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jc w:val="center"/>
        <w:rPr>
          <w:rFonts w:ascii="Times New Roman" w:eastAsia="宋体" w:cs="Times New Roman"/>
          <w:b/>
          <w:bCs/>
          <w:sz w:val="84"/>
          <w:szCs w:val="84"/>
        </w:rPr>
      </w:pPr>
      <w:r/>
      <w:bookmarkStart w:id="0" w:name="_Toc383587456"/>
      <w:r/>
      <w:bookmarkStart w:id="1" w:name="_Toc390246905"/>
      <w:r/>
      <w:bookmarkStart w:id="2" w:name="_Toc383679746"/>
      <w:r/>
      <w:bookmarkStart w:id="3" w:name="_Toc383625993"/>
      <w:r/>
      <w:bookmarkStart w:id="4" w:name="_Toc383623672"/>
      <w:r/>
      <w:bookmarkStart w:id="5" w:name="_Toc390099018"/>
      <w:r/>
      <w:bookmarkStart w:id="6" w:name="_Toc390098840"/>
      <w:r/>
      <w:bookmarkStart w:id="7" w:name="_Toc383623944"/>
      <w:r/>
      <w:bookmarkStart w:id="8" w:name="_Toc426469868"/>
      <w:r/>
      <w:bookmarkStart w:id="9" w:name="_Toc383698647"/>
      <w:r/>
      <w:r/>
    </w:p>
    <w:p>
      <w:pPr>
        <w:pStyle w:val="750"/>
        <w:jc w:val="center"/>
        <w:rPr>
          <w:rFonts w:ascii="Times New Roman" w:eastAsia="宋体" w:cs="Times New Roman"/>
          <w:b/>
          <w:bCs/>
          <w:sz w:val="84"/>
          <w:szCs w:val="84"/>
        </w:rPr>
      </w:pPr>
      <w:r>
        <w:rPr>
          <w:rFonts w:ascii="Times New Roman" w:eastAsia="宋体" w:cs="Times New Roman"/>
          <w:b/>
          <w:bCs/>
          <w:sz w:val="84"/>
          <w:szCs w:val="84"/>
        </w:rPr>
      </w:r>
      <w:r/>
    </w:p>
    <w:p>
      <w:pPr>
        <w:pStyle w:val="750"/>
        <w:jc w:val="center"/>
        <w:rPr>
          <w:rFonts w:ascii="Times New Roman" w:eastAsia="宋体" w:cs="Times New Roman"/>
          <w:b/>
          <w:bCs/>
          <w:sz w:val="84"/>
          <w:szCs w:val="84"/>
        </w:rPr>
      </w:pPr>
      <w:r>
        <w:rPr>
          <w:rFonts w:ascii="Times New Roman" w:eastAsia="宋体" w:cs="Times New Roman"/>
          <w:b/>
          <w:bCs/>
          <w:sz w:val="84"/>
          <w:szCs w:val="84"/>
        </w:rPr>
      </w:r>
      <w:r/>
    </w:p>
    <w:p>
      <w:pPr>
        <w:pStyle w:val="750"/>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750"/>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50"/>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50"/>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50"/>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169" w:hanging="2169"/>
        <w:rPr>
          <w:b/>
          <w:bCs/>
          <w:sz w:val="44"/>
          <w:szCs w:val="44"/>
        </w:rPr>
      </w:pPr>
      <w:r>
        <w:rPr>
          <w:b/>
          <w:bCs/>
          <w:sz w:val="44"/>
          <w:szCs w:val="44"/>
        </w:rPr>
        <w:t xml:space="preserve">项目名称：</w:t>
      </w:r>
      <w:r>
        <w:rPr>
          <w:rFonts w:hint="eastAsia" w:ascii="宋体" w:hAnsi="宋体" w:eastAsia="宋体" w:cs="宋体"/>
          <w:b/>
          <w:bCs/>
          <w:spacing w:val="-20"/>
          <w:sz w:val="44"/>
          <w:szCs w:val="44"/>
        </w:rPr>
        <w:t xml:space="preserve">泰兴市2026年度项目化实施的补充耕地项目客土质量抽样检测</w:t>
      </w:r>
      <w:r/>
    </w:p>
    <w:p>
      <w:pPr>
        <w:widowControl/>
        <w:rPr>
          <w:rFonts w:hint="eastAsia" w:eastAsia="宋体"/>
          <w:sz w:val="44"/>
          <w:szCs w:val="44"/>
          <w:highlight w:val="none"/>
          <w:lang w:val="en-US" w:eastAsia="zh-CN"/>
        </w:rPr>
      </w:pPr>
      <w:r>
        <w:rPr>
          <w:b/>
          <w:bCs/>
          <w:sz w:val="44"/>
          <w:szCs w:val="44"/>
        </w:rPr>
        <w:t xml:space="preserve">项目编号</w:t>
      </w:r>
      <w:r>
        <w:rPr>
          <w:b/>
          <w:bCs/>
          <w:sz w:val="44"/>
          <w:szCs w:val="44"/>
          <w:highlight w:val="none"/>
        </w:rPr>
        <w:t xml:space="preserve">：</w:t>
      </w:r>
      <w:r>
        <w:rPr>
          <w:rFonts w:hint="eastAsia" w:ascii="宋体" w:hAnsi="宋体" w:eastAsia="宋体" w:cs="宋体"/>
          <w:b/>
          <w:bCs/>
          <w:sz w:val="44"/>
          <w:szCs w:val="44"/>
          <w:highlight w:val="none"/>
        </w:rPr>
        <w:t xml:space="preserve">JSZC-321283-JZCG-G202</w:t>
      </w:r>
      <w:r>
        <w:rPr>
          <w:rFonts w:hint="eastAsia" w:ascii="宋体" w:hAnsi="宋体" w:eastAsia="宋体" w:cs="宋体"/>
          <w:b/>
          <w:bCs/>
          <w:sz w:val="44"/>
          <w:szCs w:val="44"/>
          <w:highlight w:val="none"/>
          <w:lang w:val="en-US" w:eastAsia="zh-CN"/>
        </w:rPr>
        <w:t xml:space="preserve">6</w:t>
      </w:r>
      <w:r>
        <w:rPr>
          <w:rFonts w:hint="eastAsia" w:ascii="宋体" w:hAnsi="宋体" w:eastAsia="宋体" w:cs="宋体"/>
          <w:b/>
          <w:bCs/>
          <w:sz w:val="44"/>
          <w:szCs w:val="44"/>
          <w:highlight w:val="none"/>
        </w:rPr>
        <w:t xml:space="preserve">-</w:t>
      </w:r>
      <w:r>
        <w:rPr>
          <w:rFonts w:hint="eastAsia" w:ascii="宋体" w:hAnsi="宋体" w:cs="宋体"/>
          <w:b/>
          <w:bCs/>
          <w:sz w:val="44"/>
          <w:szCs w:val="44"/>
          <w:highlight w:val="none"/>
          <w:lang w:val="en-US" w:eastAsia="zh-CN"/>
        </w:rPr>
        <w:t xml:space="preserve">0006</w:t>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5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ind w:firstLine="2530"/>
        <w:spacing w:line="360" w:lineRule="auto"/>
        <w:rPr>
          <w:rFonts w:eastAsia="楷体"/>
          <w:b/>
          <w:sz w:val="36"/>
          <w:szCs w:val="36"/>
        </w:rPr>
      </w:pPr>
      <w:r>
        <w:rPr>
          <w:rFonts w:hint="eastAsia" w:eastAsia="楷体"/>
          <w:b/>
          <w:sz w:val="36"/>
          <w:szCs w:val="36"/>
        </w:rPr>
        <w:t xml:space="preserve">泰兴市自然资源和规划局</w:t>
      </w:r>
      <w:r/>
    </w:p>
    <w:p>
      <w:pPr>
        <w:jc w:val="center"/>
        <w:spacing w:line="360" w:lineRule="auto"/>
        <w:rPr>
          <w:rFonts w:eastAsia="楷体"/>
          <w:b/>
          <w:sz w:val="36"/>
          <w:szCs w:val="36"/>
          <w:highlight w:val="none"/>
        </w:rPr>
      </w:pPr>
      <w:r>
        <w:rPr>
          <w:rFonts w:eastAsia="楷体"/>
          <w:b/>
          <w:sz w:val="36"/>
          <w:szCs w:val="36"/>
          <w:highlight w:val="none"/>
        </w:rPr>
        <w:t xml:space="preserve">二〇二</w:t>
      </w:r>
      <w:r>
        <w:rPr>
          <w:rFonts w:hint="eastAsia" w:eastAsia="楷体"/>
          <w:b/>
          <w:sz w:val="36"/>
          <w:szCs w:val="36"/>
          <w:highlight w:val="none"/>
          <w:lang w:val="en-US" w:eastAsia="zh-CN"/>
        </w:rPr>
        <w:t xml:space="preserve">六年七</w:t>
      </w:r>
      <w:r>
        <w:rPr>
          <w:rFonts w:eastAsia="楷体"/>
          <w:b/>
          <w:sz w:val="36"/>
          <w:szCs w:val="36"/>
          <w:highlight w:val="none"/>
        </w:rPr>
        <w:t xml:space="preserve">月</w:t>
      </w:r>
      <w:r/>
    </w:p>
    <w:p>
      <w:pPr>
        <w:rPr>
          <w:rFonts w:hint="eastAsia" w:ascii="黑体" w:hAnsi="黑体" w:eastAsia="黑体"/>
          <w:b/>
          <w:color w:val="auto"/>
        </w:rPr>
      </w:pPr>
      <w:r>
        <w:rPr>
          <w:rFonts w:hint="eastAsia" w:ascii="黑体" w:hAnsi="黑体" w:eastAsia="黑体"/>
          <w:b/>
          <w:color w:val="auto"/>
        </w:rPr>
      </w:r>
      <w:r/>
    </w:p>
    <w:p>
      <w:pPr>
        <w:pStyle w:val="703"/>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  招标公告</w:t>
      </w:r>
      <w:r/>
    </w:p>
    <w:p>
      <w:pPr>
        <w:spacing w:line="44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4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35393621"/>
      <w:r/>
      <w:bookmarkStart w:id="11" w:name="_Toc28359002"/>
      <w:r/>
      <w:bookmarkStart w:id="12" w:name="_Toc28359079"/>
      <w:r/>
      <w:bookmarkStart w:id="13" w:name="_Toc35393790"/>
      <w:r/>
      <w:bookmarkStart w:id="14" w:name="_Hlk24379207"/>
      <w:r>
        <w:rPr>
          <w:rFonts w:hint="eastAsia" w:ascii="宋体" w:hAnsi="宋体"/>
          <w:sz w:val="28"/>
          <w:szCs w:val="28"/>
          <w:u w:val="single"/>
        </w:rPr>
        <w:t xml:space="preserve">泰兴市2026年度项目化实施的补充耕地项目客土质量抽样检测</w:t>
      </w:r>
      <w:r>
        <w:rPr>
          <w:rFonts w:hint="eastAsia" w:ascii="宋体" w:hAnsi="宋体"/>
          <w:sz w:val="28"/>
          <w:szCs w:val="28"/>
          <w:highlight w:val="none"/>
          <w:u w:val="single"/>
        </w:rPr>
        <w:t xml:space="preserve">JSZC-321283-JZCG-G202</w:t>
      </w:r>
      <w:r>
        <w:rPr>
          <w:rFonts w:hint="eastAsia" w:ascii="宋体" w:hAnsi="宋体"/>
          <w:sz w:val="28"/>
          <w:szCs w:val="28"/>
          <w:highlight w:val="none"/>
          <w:u w:val="single"/>
          <w:lang w:val="en-US" w:eastAsia="zh-CN"/>
        </w:rPr>
        <w:t xml:space="preserve">6</w:t>
      </w:r>
      <w:r>
        <w:rPr>
          <w:rFonts w:hint="eastAsia" w:ascii="宋体" w:hAnsi="宋体"/>
          <w:sz w:val="28"/>
          <w:szCs w:val="28"/>
          <w:highlight w:val="none"/>
          <w:u w:val="single"/>
        </w:rPr>
        <w:t xml:space="preserve">-00</w:t>
      </w:r>
      <w:r>
        <w:rPr>
          <w:rFonts w:hint="eastAsia" w:ascii="宋体" w:hAnsi="宋体"/>
          <w:sz w:val="28"/>
          <w:szCs w:val="28"/>
          <w:highlight w:val="none"/>
          <w:u w:val="single"/>
          <w:lang w:val="en-US" w:eastAsia="zh-CN"/>
        </w:rPr>
        <w:t xml:space="preserve">06</w:t>
      </w:r>
      <w:r>
        <w:rPr>
          <w:rFonts w:hint="eastAsia" w:ascii="宋体" w:hAnsi="宋体"/>
          <w:sz w:val="28"/>
          <w:szCs w:val="28"/>
          <w:highlight w:val="none"/>
        </w:rPr>
        <w:t xml:space="preserve">招标项目的潜在投标人应在苏采云获取招标文件，并于202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08</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05 </w:t>
      </w:r>
      <w:r>
        <w:rPr>
          <w:rFonts w:hint="eastAsia" w:ascii="宋体" w:hAnsi="宋体"/>
          <w:sz w:val="28"/>
          <w:szCs w:val="28"/>
          <w:highlight w:val="none"/>
        </w:rPr>
        <w:t xml:space="preserve"> 0</w:t>
      </w:r>
      <w:r>
        <w:rPr>
          <w:rFonts w:hint="eastAsia" w:ascii="宋体" w:hAnsi="宋体"/>
          <w:sz w:val="28"/>
          <w:szCs w:val="28"/>
          <w:highlight w:val="none"/>
          <w:lang w:val="en-US" w:eastAsia="zh-CN"/>
        </w:rPr>
        <w:t xml:space="preserve">9</w:t>
      </w:r>
      <w:r>
        <w:rPr>
          <w:rFonts w:hint="eastAsia" w:ascii="宋体" w:hAnsi="宋体"/>
          <w:sz w:val="28"/>
          <w:szCs w:val="28"/>
          <w:highlight w:val="none"/>
        </w:rPr>
        <w:t xml:space="preserve">:00（北</w:t>
      </w:r>
      <w:r>
        <w:rPr>
          <w:rFonts w:hint="eastAsia" w:ascii="宋体" w:hAnsi="宋体"/>
          <w:sz w:val="28"/>
          <w:szCs w:val="28"/>
        </w:rPr>
        <w:t xml:space="preserve">京时间）前递交投标文件。</w:t>
      </w:r>
      <w:r/>
    </w:p>
    <w:p>
      <w:pPr>
        <w:ind w:firstLine="643"/>
        <w:keepLines w:val="0"/>
        <w:keepNext w:val="0"/>
        <w:pageBreakBefore w:val="0"/>
        <w:spacing w:line="440" w:lineRule="exact"/>
        <w:widowControl w:val="off"/>
        <w:rPr>
          <w:rFonts w:ascii="Arial" w:hAnsi="Arial" w:eastAsia="Arial"/>
          <w:b/>
          <w:sz w:val="32"/>
          <w:szCs w:val="32"/>
        </w:rPr>
      </w:pPr>
      <w:r>
        <w:rPr>
          <w:rFonts w:hint="eastAsia" w:ascii="Arial" w:hAnsi="Arial" w:eastAsia="Arial"/>
          <w:b/>
          <w:sz w:val="32"/>
          <w:szCs w:val="32"/>
        </w:rPr>
        <w:t xml:space="preserve">一、项目基本情况</w:t>
      </w:r>
      <w:bookmarkEnd w:id="10"/>
      <w:r/>
      <w:bookmarkEnd w:id="11"/>
      <w:r/>
      <w:bookmarkEnd w:id="12"/>
      <w:r/>
      <w:bookmarkEnd w:id="13"/>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highlight w:val="none"/>
        </w:rPr>
        <w:t xml:space="preserve">JSZC-321283-JZCG-G202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-00</w:t>
      </w:r>
      <w:r>
        <w:rPr>
          <w:rFonts w:hint="eastAsia" w:ascii="宋体" w:hAnsi="宋体" w:eastAsia="宋体" w:cs="宋体"/>
          <w:sz w:val="28"/>
          <w:szCs w:val="28"/>
          <w:highlight w:val="none"/>
          <w:lang w:val="en-US" w:eastAsia="zh-CN"/>
        </w:rPr>
        <w:t xml:space="preserve">0</w:t>
      </w:r>
      <w:r>
        <w:rPr>
          <w:rFonts w:hint="eastAsia" w:ascii="宋体" w:hAnsi="宋体" w:cs="宋体"/>
          <w:sz w:val="28"/>
          <w:szCs w:val="28"/>
          <w:highlight w:val="none"/>
          <w:lang w:val="en-US" w:eastAsia="zh-CN"/>
        </w:rPr>
        <w:t xml:space="preserve">6</w:t>
      </w:r>
      <w:r/>
    </w:p>
    <w:p>
      <w:pPr>
        <w:ind w:left="1957" w:hanging="1400"/>
        <w:spacing w:line="460" w:lineRule="exact"/>
        <w:rPr>
          <w:rFonts w:hint="eastAsia" w:ascii="宋体" w:hAnsi="宋体" w:eastAsia="宋体" w:cs="宋体"/>
          <w:bCs/>
          <w:sz w:val="32"/>
          <w:szCs w:val="32"/>
          <w:highlight w:val="none"/>
        </w:rPr>
      </w:pPr>
      <w:r>
        <w:rPr>
          <w:rFonts w:hint="eastAsia" w:ascii="宋体" w:hAnsi="宋体" w:eastAsia="宋体" w:cs="宋体"/>
          <w:sz w:val="28"/>
          <w:szCs w:val="28"/>
        </w:rPr>
        <w:t xml:space="preserve">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泰兴市202</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6</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年度</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项目化实施的</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补充耕地项目客土质量抽样检测</w:t>
      </w:r>
      <w:r/>
    </w:p>
    <w:p>
      <w:pPr>
        <w:ind w:firstLine="56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rPr>
        <w:t xml:space="preserve">预算金额：</w:t>
      </w:r>
      <w:r>
        <w:rPr>
          <w:rFonts w:hint="eastAsia" w:ascii="宋体" w:hAnsi="宋体" w:cs="宋体" w:eastAsiaTheme="majorEastAsia"/>
          <w:color w:val="auto"/>
          <w:sz w:val="28"/>
          <w:szCs w:val="28"/>
          <w:highlight w:val="none"/>
          <w:lang w:val="en-US" w:eastAsia="zh-CN"/>
        </w:rPr>
        <w:t xml:space="preserve">297</w:t>
      </w:r>
      <w:r>
        <w:rPr>
          <w:rFonts w:hint="eastAsia" w:ascii="宋体" w:hAnsi="宋体" w:eastAsia="宋体" w:cs="宋体"/>
          <w:sz w:val="28"/>
          <w:szCs w:val="28"/>
          <w:highlight w:val="none"/>
        </w:rPr>
        <w:t xml:space="preserve">万元</w:t>
      </w:r>
      <w:r>
        <w:rPr>
          <w:rFonts w:hint="eastAsia" w:asciiTheme="majorEastAsia" w:hAnsiTheme="majorEastAsia" w:eastAsiaTheme="majorEastAsia"/>
          <w:sz w:val="28"/>
          <w:szCs w:val="28"/>
          <w:lang w:val="en-US" w:eastAsia="zh-CN"/>
        </w:rPr>
        <w:t xml:space="preserve">（一标段为142万元：</w:t>
      </w:r>
      <w:r>
        <w:rPr>
          <w:rFonts w:hint="eastAsia" w:ascii="宋体" w:hAnsi="宋体" w:cs="宋体" w:eastAsiaTheme="majorEastAsia"/>
          <w:sz w:val="28"/>
          <w:szCs w:val="28"/>
          <w:lang w:val="en-US" w:eastAsia="zh-CN"/>
        </w:rPr>
        <w:t xml:space="preserve">二标段为155万元</w:t>
      </w:r>
      <w:r>
        <w:rPr>
          <w:rFonts w:hint="eastAsia" w:asciiTheme="majorEastAsia" w:hAnsiTheme="majorEastAsia" w:eastAsiaTheme="majorEastAsia"/>
          <w:sz w:val="28"/>
          <w:szCs w:val="28"/>
          <w:lang w:val="en-US" w:eastAsia="zh-CN"/>
        </w:rPr>
        <w:t xml:space="preserve">）</w:t>
      </w:r>
      <w:r/>
    </w:p>
    <w:p>
      <w:pPr>
        <w:ind w:firstLine="560"/>
        <w:keepLines w:val="0"/>
        <w:keepNext w:val="0"/>
        <w:pageBreakBefore w:val="0"/>
        <w:spacing w:line="440" w:lineRule="exact"/>
        <w:widowControl w:val="off"/>
        <w:rPr>
          <w:rFonts w:hint="eastAsia" w:ascii="宋体" w:hAnsi="宋体" w:eastAsia="宋体" w:cs="宋体"/>
          <w:b/>
          <w:bCs/>
          <w:color w:val="ff0000"/>
          <w:sz w:val="28"/>
          <w:szCs w:val="28"/>
          <w:lang w:val="en-US" w:eastAsia="zh-CN"/>
        </w:rPr>
      </w:pPr>
      <w:r>
        <w:rPr>
          <w:rFonts w:hint="eastAsia" w:ascii="宋体" w:hAnsi="宋体" w:eastAsia="宋体" w:cs="宋体"/>
          <w:sz w:val="28"/>
          <w:szCs w:val="28"/>
          <w:highlight w:val="none"/>
        </w:rPr>
        <w:t xml:space="preserve">最高限价：</w:t>
      </w:r>
      <w:r>
        <w:rPr>
          <w:rFonts w:hint="eastAsia" w:ascii="宋体" w:hAnsi="宋体" w:cs="宋体"/>
          <w:b w:val="0"/>
          <w:bCs w:val="0"/>
          <w:color w:val="ff0000"/>
          <w:sz w:val="28"/>
          <w:szCs w:val="28"/>
          <w:highlight w:val="none"/>
          <w:lang w:val="en-US" w:eastAsia="zh-CN"/>
        </w:rPr>
        <w:t xml:space="preserve">一标段：</w:t>
      </w:r>
      <w:r>
        <w:rPr>
          <w:rFonts w:hint="eastAsia" w:ascii="宋体" w:hAnsi="宋体" w:eastAsia="宋体" w:cs="宋体"/>
          <w:b w:val="0"/>
          <w:bCs w:val="0"/>
          <w:color w:val="ff0000"/>
          <w:sz w:val="28"/>
          <w:szCs w:val="28"/>
        </w:rPr>
        <w:t xml:space="preserve">1050元/亩</w:t>
      </w:r>
      <w:r>
        <w:rPr>
          <w:rFonts w:hint="eastAsia" w:ascii="宋体" w:hAnsi="宋体" w:eastAsia="宋体" w:cs="宋体"/>
          <w:b w:val="0"/>
          <w:bCs w:val="0"/>
          <w:color w:val="ff0000"/>
          <w:sz w:val="28"/>
          <w:szCs w:val="28"/>
          <w:lang w:eastAsia="zh-CN"/>
        </w:rPr>
        <w:t xml:space="preserve">；二标段：</w:t>
      </w:r>
      <w:r>
        <w:rPr>
          <w:rFonts w:hint="eastAsia" w:ascii="宋体" w:hAnsi="宋体" w:eastAsia="宋体" w:cs="宋体"/>
          <w:b w:val="0"/>
          <w:bCs w:val="0"/>
          <w:color w:val="ff0000"/>
          <w:sz w:val="28"/>
          <w:szCs w:val="28"/>
        </w:rPr>
        <w:t xml:space="preserve">1050元/亩</w:t>
      </w:r>
      <w:r>
        <w:rPr>
          <w:rFonts w:hint="eastAsia" w:ascii="宋体" w:hAnsi="宋体" w:eastAsia="宋体" w:cs="宋体"/>
          <w:b w:val="0"/>
          <w:bCs w:val="0"/>
          <w:color w:val="ff0000"/>
          <w:sz w:val="28"/>
          <w:szCs w:val="28"/>
          <w:lang w:eastAsia="zh-CN"/>
        </w:rPr>
        <w:t xml:space="preserve">。</w:t>
      </w:r>
      <w:r/>
    </w:p>
    <w:p>
      <w:pPr>
        <w:ind w:firstLine="560"/>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采购需求：</w:t>
      </w:r>
      <w:r/>
    </w:p>
    <w:p>
      <w:pPr>
        <w:ind w:firstLine="560"/>
        <w:keepLines w:val="0"/>
        <w:keepNext w:val="0"/>
        <w:pageBreakBefore w:val="0"/>
        <w:spacing w:line="440" w:lineRule="exact"/>
        <w:widowControl w:val="off"/>
        <w:rPr>
          <w:rFonts w:hint="eastAsia" w:ascii="宋体" w:hAnsi="宋体" w:cs="宋体"/>
          <w:sz w:val="28"/>
          <w:szCs w:val="28"/>
          <w:lang w:eastAsia="zh-CN"/>
        </w:rPr>
      </w:pPr>
      <w:r>
        <w:rPr>
          <w:rFonts w:hint="eastAsia" w:ascii="宋体" w:hAnsi="宋体" w:eastAsia="宋体" w:cs="宋体"/>
          <w:sz w:val="28"/>
          <w:szCs w:val="28"/>
        </w:rPr>
        <w:t xml:space="preserve">本次招标共分2个标段，</w:t>
      </w:r>
      <w:r>
        <w:rPr>
          <w:rFonts w:hint="eastAsia" w:ascii="宋体" w:hAnsi="宋体" w:cs="宋体"/>
          <w:color w:val="auto"/>
          <w:sz w:val="28"/>
          <w:szCs w:val="28"/>
          <w:lang w:val="en-US" w:eastAsia="zh-CN"/>
        </w:rPr>
        <w:t xml:space="preserve">总面积</w:t>
      </w:r>
      <w:r>
        <w:rPr>
          <w:rFonts w:hint="eastAsia" w:ascii="宋体" w:hAnsi="宋体" w:eastAsia="宋体" w:cs="宋体"/>
          <w:color w:val="auto"/>
          <w:sz w:val="28"/>
          <w:szCs w:val="28"/>
        </w:rPr>
        <w:t xml:space="preserve">约28</w:t>
      </w:r>
      <w:r>
        <w:rPr>
          <w:rFonts w:hint="eastAsia" w:ascii="宋体" w:hAnsi="宋体" w:cs="宋体"/>
          <w:color w:val="auto"/>
          <w:sz w:val="28"/>
          <w:szCs w:val="28"/>
          <w:lang w:val="en-US" w:eastAsia="zh-CN"/>
        </w:rPr>
        <w:t xml:space="preserve">29</w:t>
      </w:r>
      <w:r>
        <w:rPr>
          <w:rFonts w:hint="eastAsia" w:ascii="宋体" w:hAnsi="宋体" w:eastAsia="宋体" w:cs="宋体"/>
          <w:color w:val="auto"/>
          <w:sz w:val="28"/>
          <w:szCs w:val="28"/>
        </w:rPr>
        <w:t xml:space="preserve">亩</w:t>
      </w:r>
      <w:r>
        <w:rPr>
          <w:rFonts w:hint="eastAsia" w:ascii="宋体" w:hAnsi="宋体" w:eastAsia="宋体" w:cs="宋体"/>
          <w:color w:val="auto"/>
          <w:sz w:val="28"/>
          <w:szCs w:val="28"/>
          <w:lang w:eastAsia="zh-CN"/>
        </w:rPr>
        <w:t xml:space="preserve">。</w:t>
      </w:r>
      <w:r>
        <w:rPr>
          <w:rFonts w:hint="eastAsia" w:ascii="宋体" w:hAnsi="宋体" w:cs="宋体"/>
          <w:sz w:val="28"/>
          <w:szCs w:val="28"/>
          <w:lang w:eastAsia="zh-CN"/>
        </w:rPr>
        <w:t xml:space="preserve">其中：</w:t>
      </w:r>
      <w:r/>
    </w:p>
    <w:p>
      <w:pPr>
        <w:ind w:firstLine="56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一标段：面积约1355亩，</w:t>
      </w:r>
      <w:r>
        <w:rPr>
          <w:rFonts w:hint="eastAsia" w:ascii="宋体" w:hAnsi="宋体" w:eastAsia="宋体" w:cs="宋体"/>
          <w:sz w:val="28"/>
          <w:szCs w:val="28"/>
          <w:lang w:val="en-US" w:eastAsia="zh-CN"/>
        </w:rPr>
        <w:t xml:space="preserve">工作量约占补充耕地面积的48%（滨江、虹桥、张桥、宣堡、根思、济川街道、延令街道、姚王街道、河失）</w:t>
      </w:r>
      <w:r>
        <w:rPr>
          <w:rFonts w:hint="eastAsia" w:ascii="宋体" w:hAnsi="宋体" w:cs="宋体"/>
          <w:sz w:val="28"/>
          <w:szCs w:val="28"/>
          <w:lang w:val="en-US" w:eastAsia="zh-CN"/>
        </w:rPr>
        <w:t xml:space="preserve">，预算金额142万</w:t>
      </w:r>
      <w:r>
        <w:rPr>
          <w:rFonts w:hint="eastAsia" w:ascii="宋体" w:hAnsi="宋体" w:eastAsia="宋体" w:cs="宋体"/>
          <w:sz w:val="28"/>
          <w:szCs w:val="28"/>
          <w:lang w:val="en-US" w:eastAsia="zh-CN"/>
        </w:rPr>
        <w:t xml:space="preserve">；</w:t>
      </w:r>
      <w:r/>
    </w:p>
    <w:p>
      <w:pPr>
        <w:ind w:firstLine="560"/>
        <w:keepLines w:val="0"/>
        <w:keepNext w:val="0"/>
        <w:pageBreakBefore w:val="0"/>
        <w:spacing w:line="44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二标段：面积约1474亩，</w:t>
      </w:r>
      <w:r>
        <w:rPr>
          <w:rFonts w:hint="eastAsia" w:ascii="宋体" w:hAnsi="宋体" w:eastAsia="宋体" w:cs="宋体"/>
          <w:sz w:val="28"/>
          <w:szCs w:val="28"/>
          <w:lang w:val="en-US" w:eastAsia="zh-CN"/>
        </w:rPr>
        <w:t xml:space="preserve">工作量约占补充耕地面积的52%（新街、元竹、古溪、分界、珊瑚、黄桥、广陵、曲霞）</w:t>
      </w:r>
      <w:r>
        <w:rPr>
          <w:rFonts w:hint="eastAsia" w:ascii="宋体" w:hAnsi="宋体" w:cs="宋体"/>
          <w:sz w:val="28"/>
          <w:szCs w:val="28"/>
          <w:lang w:val="en-US" w:eastAsia="zh-CN"/>
        </w:rPr>
        <w:t xml:space="preserve">，预算金额155万。</w:t>
      </w:r>
      <w:r/>
    </w:p>
    <w:p>
      <w:pPr>
        <w:ind w:firstLine="560"/>
        <w:keepLines w:val="0"/>
        <w:keepNext w:val="0"/>
        <w:pageBreakBefore w:val="0"/>
        <w:spacing w:line="440" w:lineRule="exact"/>
        <w:widowControl w:val="off"/>
        <w:rPr>
          <w:rFonts w:hint="eastAsia" w:ascii="宋体" w:hAnsi="宋体" w:cs="宋体"/>
          <w:b/>
          <w:bCs/>
          <w:color w:val="ff0000"/>
          <w:sz w:val="28"/>
          <w:szCs w:val="28"/>
          <w:lang w:eastAsia="zh-CN"/>
        </w:rPr>
      </w:pPr>
      <w:r>
        <w:rPr>
          <w:rFonts w:hint="eastAsia" w:ascii="宋体" w:hAnsi="宋体" w:eastAsia="宋体" w:cs="宋体"/>
          <w:b/>
          <w:bCs/>
          <w:color w:val="ff0000"/>
          <w:sz w:val="28"/>
          <w:szCs w:val="28"/>
        </w:rPr>
        <w:t xml:space="preserve">投标时</w:t>
      </w:r>
      <w:r>
        <w:rPr>
          <w:rFonts w:hint="eastAsia" w:ascii="宋体" w:hAnsi="宋体" w:cs="宋体"/>
          <w:b/>
          <w:bCs/>
          <w:color w:val="ff0000"/>
          <w:sz w:val="28"/>
          <w:szCs w:val="28"/>
          <w:lang w:eastAsia="zh-CN"/>
        </w:rPr>
        <w:t xml:space="preserve">各标段</w:t>
      </w:r>
      <w:r>
        <w:rPr>
          <w:rFonts w:hint="eastAsia" w:ascii="宋体" w:hAnsi="宋体" w:eastAsia="宋体" w:cs="宋体"/>
          <w:b/>
          <w:bCs/>
          <w:color w:val="ff0000"/>
          <w:sz w:val="28"/>
          <w:szCs w:val="28"/>
        </w:rPr>
        <w:t xml:space="preserve">按单价进行报价，</w:t>
      </w:r>
      <w:r>
        <w:rPr>
          <w:rFonts w:hint="eastAsia" w:ascii="宋体" w:hAnsi="宋体" w:cs="宋体"/>
          <w:b/>
          <w:bCs/>
          <w:color w:val="ff0000"/>
          <w:sz w:val="28"/>
          <w:szCs w:val="28"/>
          <w:lang w:val="en-US" w:eastAsia="zh-CN"/>
        </w:rPr>
        <w:t xml:space="preserve">报价</w:t>
      </w:r>
      <w:r>
        <w:rPr>
          <w:rFonts w:hint="eastAsia" w:ascii="宋体" w:hAnsi="宋体" w:eastAsia="宋体" w:cs="宋体"/>
          <w:b/>
          <w:bCs/>
          <w:color w:val="ff0000"/>
          <w:sz w:val="28"/>
          <w:szCs w:val="28"/>
        </w:rPr>
        <w:t xml:space="preserve">不得超过1050元/亩</w:t>
      </w:r>
      <w:r>
        <w:rPr>
          <w:rFonts w:hint="eastAsia" w:ascii="宋体" w:hAnsi="宋体" w:cs="宋体"/>
          <w:b/>
          <w:bCs/>
          <w:color w:val="ff0000"/>
          <w:sz w:val="28"/>
          <w:szCs w:val="28"/>
          <w:lang w:val="en-US" w:eastAsia="zh-CN"/>
        </w:rPr>
        <w:t xml:space="preserve">（按单价报价）</w:t>
      </w:r>
      <w:r>
        <w:rPr>
          <w:rFonts w:hint="eastAsia" w:ascii="宋体" w:hAnsi="宋体" w:cs="宋体"/>
          <w:b/>
          <w:bCs/>
          <w:color w:val="ff0000"/>
          <w:sz w:val="28"/>
          <w:szCs w:val="28"/>
          <w:lang w:eastAsia="zh-CN"/>
        </w:rPr>
        <w:t xml:space="preserve">。</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bCs/>
          <w:color w:val="ff0000"/>
          <w:sz w:val="28"/>
          <w:szCs w:val="28"/>
        </w:rPr>
        <w:t xml:space="preserve">同一投标人</w:t>
      </w:r>
      <w:r>
        <w:rPr>
          <w:rFonts w:hint="eastAsia" w:ascii="宋体" w:hAnsi="宋体" w:cs="宋体"/>
          <w:b/>
          <w:bCs/>
          <w:color w:val="ff0000"/>
          <w:sz w:val="28"/>
          <w:szCs w:val="28"/>
          <w:lang w:val="en-US" w:eastAsia="zh-CN"/>
        </w:rPr>
        <w:t xml:space="preserve">可以</w:t>
      </w:r>
      <w:r>
        <w:rPr>
          <w:rFonts w:hint="eastAsia" w:ascii="宋体" w:hAnsi="宋体" w:eastAsia="宋体" w:cs="宋体"/>
          <w:b/>
          <w:bCs/>
          <w:color w:val="ff0000"/>
          <w:sz w:val="28"/>
          <w:szCs w:val="28"/>
        </w:rPr>
        <w:t xml:space="preserve">同时参与本项目所有标段的投标竞争，但只能获得一个标段的中标资格，如在前一标段被推荐为第一中标候选人，可参加以后标段的评审，但不得被推荐为中标候选人。本项目开标、评标、定标顺序：按标段依次进行。</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具体</w:t>
      </w:r>
      <w:r>
        <w:rPr>
          <w:rFonts w:hint="eastAsia" w:ascii="宋体" w:hAnsi="宋体" w:eastAsia="宋体" w:cs="宋体"/>
          <w:sz w:val="28"/>
          <w:szCs w:val="28"/>
        </w:rPr>
        <w:t xml:space="preserve">详见招标文件第五章采购需求。</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合同履行期限：</w:t>
      </w:r>
      <w:r>
        <w:rPr>
          <w:rFonts w:hint="eastAsia" w:ascii="宋体" w:hAnsi="宋体" w:eastAsia="宋体" w:cs="宋体"/>
          <w:sz w:val="28"/>
          <w:szCs w:val="28"/>
          <w:highlight w:val="none"/>
        </w:rPr>
        <w:t xml:space="preserve">自签订合同之日起</w:t>
      </w:r>
      <w:r>
        <w:rPr>
          <w:rFonts w:hint="eastAsia" w:ascii="宋体" w:hAnsi="宋体" w:cs="宋体"/>
          <w:sz w:val="28"/>
          <w:szCs w:val="28"/>
          <w:highlight w:val="none"/>
          <w:lang w:val="en-US" w:eastAsia="zh-CN"/>
        </w:rPr>
        <w:t xml:space="preserve">5个月（150天）</w:t>
      </w:r>
      <w:r>
        <w:rPr>
          <w:rFonts w:hint="eastAsia" w:ascii="宋体" w:hAnsi="宋体" w:eastAsia="宋体" w:cs="宋体"/>
          <w:sz w:val="28"/>
          <w:szCs w:val="28"/>
          <w:highlight w:val="none"/>
        </w:rPr>
        <w:t xml:space="preserve">止。</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本项目（是/否）接受联合体投标：不接受联合体。</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15" w:name="_Toc35393791"/>
      <w:r/>
      <w:bookmarkStart w:id="16" w:name="_Toc28359003"/>
      <w:r/>
      <w:bookmarkStart w:id="17" w:name="_Toc35393622"/>
      <w:r/>
      <w:bookmarkStart w:id="18" w:name="_Toc28359080"/>
      <w:r>
        <w:rPr>
          <w:rFonts w:hint="eastAsia" w:ascii="宋体" w:hAnsi="宋体" w:eastAsia="宋体" w:cs="宋体"/>
          <w:b/>
          <w:sz w:val="32"/>
          <w:szCs w:val="32"/>
        </w:rPr>
        <w:t xml:space="preserve">二、申请人的资格要求：</w:t>
      </w:r>
      <w:bookmarkEnd w:id="15"/>
      <w:r/>
      <w:bookmarkEnd w:id="16"/>
      <w:r/>
      <w:bookmarkEnd w:id="17"/>
      <w:r/>
      <w:bookmarkEnd w:id="18"/>
      <w:r/>
      <w:r/>
    </w:p>
    <w:p>
      <w:pPr>
        <w:ind w:firstLine="560"/>
        <w:keepLines w:val="0"/>
        <w:keepNext w:val="0"/>
        <w:pageBreakBefore w:val="0"/>
        <w:spacing w:line="440" w:lineRule="exact"/>
        <w:widowControl w:val="off"/>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（一）满足《中华人民共和国政府采购法》第二十二条规定；</w:t>
      </w:r>
      <w:r/>
    </w:p>
    <w:p>
      <w:p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基本资格条件的承诺（根据供应商提供的承诺函，内容完整且具有法人及法定代表人的印章）。</w:t>
      </w:r>
      <w:r/>
    </w:p>
    <w:p>
      <w:pPr>
        <w:numPr>
          <w:ilvl w:val="0"/>
          <w:numId w:val="1"/>
        </w:numPr>
        <w:ind w:firstLine="560"/>
        <w:keepLines w:val="0"/>
        <w:keepNext w:val="0"/>
        <w:pageBreakBefore w:val="0"/>
        <w:spacing w:line="440" w:lineRule="exact"/>
        <w:widowControl w:val="off"/>
        <w:rPr>
          <w:rFonts w:hint="eastAsia" w:ascii="宋体" w:hAnsi="宋体" w:eastAsia="宋体" w:cs="宋体"/>
          <w:color w:val="auto"/>
          <w:sz w:val="28"/>
          <w:szCs w:val="28"/>
        </w:rPr>
      </w:pPr>
      <w:r/>
      <w:bookmarkStart w:id="19" w:name="_Toc28359081"/>
      <w:r/>
      <w:bookmarkStart w:id="20" w:name="_Toc28359004"/>
      <w:r>
        <w:rPr>
          <w:rFonts w:hint="eastAsia" w:ascii="宋体" w:hAnsi="宋体" w:eastAsia="宋体" w:cs="宋体"/>
          <w:color w:val="auto"/>
          <w:sz w:val="28"/>
          <w:szCs w:val="28"/>
        </w:rPr>
        <w:t xml:space="preserve">落实政府采购政策需满足的资格要求：本项目为非专门面向中小企业的项目。</w:t>
      </w:r>
      <w:bookmarkEnd w:id="19"/>
      <w:r/>
      <w:bookmarkEnd w:id="20"/>
      <w:r/>
      <w:r/>
    </w:p>
    <w:p>
      <w:pPr>
        <w:numPr>
          <w:ilvl w:val="0"/>
          <w:numId w:val="1"/>
        </w:num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本项目的特定资格要求：无。</w:t>
      </w:r>
      <w:r/>
    </w:p>
    <w:p>
      <w:pPr>
        <w:ind w:firstLine="643"/>
        <w:keepLines w:val="0"/>
        <w:keepNext w:val="0"/>
        <w:pageBreakBefore w:val="0"/>
        <w:spacing w:line="440" w:lineRule="exact"/>
        <w:widowControl w:val="off"/>
        <w:rPr>
          <w:rFonts w:hint="eastAsia" w:ascii="宋体" w:hAnsi="宋体" w:eastAsia="宋体" w:cs="宋体"/>
          <w:b/>
          <w:color w:val="auto"/>
          <w:sz w:val="32"/>
          <w:szCs w:val="32"/>
        </w:rPr>
      </w:pPr>
      <w:r/>
      <w:bookmarkStart w:id="21" w:name="_Toc28359085"/>
      <w:r/>
      <w:bookmarkStart w:id="22" w:name="_Toc28359008"/>
      <w:r/>
      <w:bookmarkStart w:id="23" w:name="_Toc35393796"/>
      <w:r/>
      <w:bookmarkStart w:id="24" w:name="_Toc35393627"/>
      <w:r>
        <w:rPr>
          <w:rFonts w:hint="eastAsia" w:ascii="宋体" w:hAnsi="宋体" w:eastAsia="宋体" w:cs="宋体"/>
          <w:b/>
          <w:color w:val="auto"/>
          <w:sz w:val="32"/>
          <w:szCs w:val="32"/>
        </w:rPr>
        <w:t xml:space="preserve">三、获取招标文件</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时间：自招标文件公告发布之日起5个工作日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w:t>
      </w:r>
      <w:r>
        <w:rPr>
          <w:rFonts w:hint="eastAsia" w:ascii="宋体" w:hAnsi="宋体" w:eastAsia="宋体" w:cs="宋体"/>
          <w:sz w:val="28"/>
          <w:szCs w:val="28"/>
          <w:highlight w:val="none"/>
        </w:rPr>
        <w:t xml:space="preserve">“苏采云”政</w:t>
      </w:r>
      <w:r>
        <w:rPr>
          <w:rFonts w:hint="eastAsia" w:ascii="宋体" w:hAnsi="宋体" w:eastAsia="宋体" w:cs="宋体"/>
          <w:sz w:val="28"/>
          <w:szCs w:val="28"/>
        </w:rPr>
        <w:t xml:space="preserve">府采购一体化平台</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方式：线上获取</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售价：0.00元</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5" w:name="_Toc28359005"/>
      <w:r/>
      <w:bookmarkStart w:id="26" w:name="_Toc28359082"/>
      <w:r/>
      <w:bookmarkStart w:id="27" w:name="_Toc35393624"/>
      <w:r/>
      <w:bookmarkStart w:id="28" w:name="_Toc35393793"/>
      <w:r>
        <w:rPr>
          <w:rFonts w:hint="eastAsia" w:ascii="宋体" w:hAnsi="宋体" w:eastAsia="宋体" w:cs="宋体"/>
          <w:b/>
          <w:sz w:val="32"/>
          <w:szCs w:val="32"/>
        </w:rPr>
        <w:t xml:space="preserve">四、提交投标文件</w:t>
      </w:r>
      <w:bookmarkEnd w:id="25"/>
      <w:r/>
      <w:bookmarkEnd w:id="26"/>
      <w:r>
        <w:rPr>
          <w:rFonts w:hint="eastAsia" w:ascii="宋体" w:hAnsi="宋体" w:eastAsia="宋体" w:cs="宋体"/>
          <w:b/>
          <w:sz w:val="32"/>
          <w:szCs w:val="32"/>
        </w:rPr>
        <w:t xml:space="preserve">截止时间、开标时间和地点</w:t>
      </w:r>
      <w:bookmarkEnd w:id="27"/>
      <w:r/>
      <w:bookmarkEnd w:id="28"/>
      <w:r/>
      <w:r/>
    </w:p>
    <w:p>
      <w:pPr>
        <w:ind w:left="561"/>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2026-0</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05</w:t>
      </w:r>
      <w:r>
        <w:rPr>
          <w:rFonts w:hint="eastAsia" w:ascii="宋体" w:hAnsi="宋体" w:eastAsia="宋体" w:cs="宋体"/>
          <w:sz w:val="28"/>
          <w:szCs w:val="28"/>
          <w:highlight w:val="none"/>
        </w:rPr>
        <w:t xml:space="preserve">  0</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:00（北京时间）</w:t>
      </w:r>
      <w:r/>
    </w:p>
    <w:p>
      <w:pPr>
        <w:ind w:left="561"/>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地点：</w:t>
      </w:r>
      <w:r>
        <w:rPr>
          <w:rFonts w:hint="eastAsia" w:ascii="宋体" w:hAnsi="宋体" w:cs="宋体"/>
          <w:sz w:val="28"/>
          <w:szCs w:val="28"/>
          <w:highlight w:val="none"/>
        </w:rPr>
        <w:t xml:space="preserve">“苏采云”政</w:t>
      </w:r>
      <w:r>
        <w:rPr>
          <w:rFonts w:hint="eastAsia" w:ascii="宋体" w:hAnsi="宋体" w:cs="宋体"/>
          <w:sz w:val="28"/>
          <w:szCs w:val="28"/>
        </w:rPr>
        <w:t xml:space="preserve">府采购交易系统网上开标大厅。</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9" w:name="_Toc28359007"/>
      <w:r/>
      <w:bookmarkStart w:id="30" w:name="_Toc35393794"/>
      <w:r/>
      <w:bookmarkStart w:id="31" w:name="_Toc35393625"/>
      <w:r/>
      <w:bookmarkStart w:id="32" w:name="_Toc28359084"/>
      <w:r>
        <w:rPr>
          <w:rFonts w:hint="eastAsia" w:ascii="宋体" w:hAnsi="宋体" w:eastAsia="宋体" w:cs="宋体"/>
          <w:b/>
          <w:sz w:val="32"/>
          <w:szCs w:val="32"/>
        </w:rPr>
        <w:t xml:space="preserve">五、公告期限</w:t>
      </w:r>
      <w:bookmarkEnd w:id="29"/>
      <w:r/>
      <w:bookmarkEnd w:id="30"/>
      <w:r/>
      <w:bookmarkEnd w:id="31"/>
      <w:r/>
      <w:bookmarkEnd w:id="32"/>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33" w:name="_Toc35393626"/>
      <w:r/>
      <w:bookmarkStart w:id="34" w:name="_Toc35393795"/>
      <w:r>
        <w:rPr>
          <w:rFonts w:hint="eastAsia" w:ascii="宋体" w:hAnsi="宋体" w:eastAsia="宋体" w:cs="宋体"/>
          <w:b/>
          <w:sz w:val="32"/>
          <w:szCs w:val="32"/>
        </w:rPr>
        <w:t xml:space="preserve">六、其他补充事宜</w:t>
      </w:r>
      <w:bookmarkEnd w:id="33"/>
      <w:r/>
      <w:bookmarkEnd w:id="3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1.投标保证金：无。</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w:t>
      </w:r>
      <w:r>
        <w:rPr>
          <w:rFonts w:hint="eastAsia" w:ascii="宋体" w:hAnsi="宋体" w:eastAsia="宋体" w:cs="宋体"/>
          <w:b/>
          <w:color w:val="ff0000"/>
        </w:rPr>
        <w:t xml:space="preserve"> </w:t>
      </w:r>
      <w:r>
        <w:rPr>
          <w:rFonts w:hint="eastAsia" w:ascii="宋体" w:hAnsi="宋体" w:eastAsia="宋体" w:cs="宋体"/>
          <w:b/>
          <w:color w:val="ff0000"/>
          <w:sz w:val="28"/>
          <w:szCs w:val="28"/>
        </w:rPr>
        <w:t xml:space="preserve">注意事项：</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（3）有关本次招标的事项若存在变动或修改，敬请及时关注“江苏政府采购网”发布的更正公告。</w:t>
      </w:r>
      <w:r/>
    </w:p>
    <w:p>
      <w:pPr>
        <w:ind w:firstLine="562"/>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color w:val="ff0000"/>
          <w:sz w:val="28"/>
          <w:szCs w:val="28"/>
        </w:rPr>
        <w:t xml:space="preserve">如潜在投标人未按上述要求操作，将自行承担所产生的风险。</w:t>
      </w:r>
      <w:r/>
    </w:p>
    <w:p>
      <w:pPr>
        <w:ind w:firstLine="643"/>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sz w:val="32"/>
          <w:szCs w:val="32"/>
        </w:rPr>
        <w:t xml:space="preserve">七、对本次招标提出询问，请按以下方式联系。</w:t>
      </w:r>
      <w:bookmarkEnd w:id="21"/>
      <w:r/>
      <w:bookmarkEnd w:id="22"/>
      <w:r/>
      <w:bookmarkEnd w:id="23"/>
      <w:r/>
      <w:bookmarkEnd w:id="2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keepLines w:val="0"/>
        <w:keepNext w:val="0"/>
        <w:pageBreakBefore w:val="0"/>
        <w:spacing w:line="440" w:lineRule="exact"/>
        <w:widowControl w:val="off"/>
        <w:rPr>
          <w:rFonts w:hint="eastAsia" w:ascii="宋体" w:hAnsi="宋体" w:eastAsia="宋体" w:cs="宋体"/>
          <w:sz w:val="28"/>
          <w:szCs w:val="28"/>
        </w:rPr>
      </w:pPr>
      <w:r/>
      <w:bookmarkStart w:id="35" w:name="_Toc28359086"/>
      <w:r/>
      <w:bookmarkStart w:id="36" w:name="_Toc28359009"/>
      <w:r>
        <w:rPr>
          <w:rFonts w:hint="eastAsia" w:ascii="宋体" w:hAnsi="宋体" w:eastAsia="宋体" w:cs="宋体"/>
          <w:sz w:val="28"/>
          <w:szCs w:val="28"/>
        </w:rPr>
        <w:t xml:space="preserve">名 称：泰兴市自然资源和规划局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 泰兴市文昌东路6号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eastAsia="宋体" w:cs="宋体"/>
          <w:sz w:val="28"/>
          <w:szCs w:val="28"/>
          <w:highlight w:val="none"/>
        </w:rPr>
        <w:t xml:space="preserve">：</w:t>
      </w:r>
      <w:r>
        <w:rPr>
          <w:rFonts w:hint="eastAsia" w:ascii="宋体" w:hAnsi="宋体" w:eastAsia="宋体" w:cs="宋体"/>
          <w:color w:val="auto"/>
          <w:sz w:val="28"/>
          <w:szCs w:val="28"/>
          <w:highlight w:val="none"/>
        </w:rPr>
        <w:t xml:space="preserve">0523-80125617 </w:t>
      </w:r>
      <w:r>
        <w:rPr>
          <w:rFonts w:hint="eastAsia" w:ascii="宋体" w:hAnsi="宋体" w:eastAsia="宋体" w:cs="宋体"/>
          <w:sz w:val="28"/>
          <w:szCs w:val="28"/>
          <w:highlight w:val="none"/>
        </w:rPr>
        <w:t xml:space="preserve">  </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2.采购代理机构信息</w:t>
      </w:r>
      <w:bookmarkEnd w:id="35"/>
      <w:r/>
      <w:bookmarkEnd w:id="36"/>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名 称：泰兴市公共资源交易中心</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址：泰兴市文昌东路62号四楼40</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室</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bookmarkStart w:id="37" w:name="_Toc28359010"/>
      <w:r/>
      <w:bookmarkStart w:id="38" w:name="_Toc28359087"/>
      <w:r>
        <w:rPr>
          <w:rFonts w:hint="eastAsia" w:ascii="宋体" w:hAnsi="宋体" w:eastAsia="宋体" w:cs="宋体"/>
          <w:sz w:val="28"/>
          <w:szCs w:val="28"/>
        </w:rPr>
        <w:t xml:space="preserve"> 0523-87654122             </w:t>
      </w:r>
      <w:bookmarkEnd w:id="37"/>
      <w:r/>
      <w:bookmarkEnd w:id="38"/>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3.项目联系方式</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项目联系人：泰兴市自然资源和规划局   </w:t>
      </w:r>
      <w:r>
        <w:rPr>
          <w:rFonts w:hint="eastAsia" w:ascii="宋体" w:hAnsi="宋体" w:cs="宋体"/>
          <w:sz w:val="28"/>
          <w:szCs w:val="28"/>
          <w:lang w:val="en-US" w:eastAsia="zh-CN"/>
        </w:rPr>
        <w:t xml:space="preserve">燕</w:t>
      </w:r>
      <w:r>
        <w:rPr>
          <w:rFonts w:hint="eastAsia" w:ascii="宋体" w:hAnsi="宋体" w:eastAsia="宋体" w:cs="宋体"/>
          <w:sz w:val="28"/>
          <w:szCs w:val="28"/>
          <w:lang w:val="en-US" w:eastAsia="zh-CN"/>
        </w:rPr>
        <w:t xml:space="preserve">女士</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color w:val="auto"/>
          <w:sz w:val="28"/>
          <w:szCs w:val="28"/>
          <w:highlight w:val="none"/>
        </w:rPr>
        <w:t xml:space="preserve">0523-80125617</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项目联系人：泰兴市公共资源交易中心   黄女士</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话：0523-87654122</w:t>
      </w:r>
      <w:r/>
    </w:p>
    <w:p>
      <w:pPr>
        <w:pStyle w:val="687"/>
      </w:pPr>
      <w:r/>
      <w:r/>
    </w:p>
    <w:p>
      <w:pPr>
        <w:pStyle w:val="703"/>
        <w:ind w:left="0" w:firstLine="0"/>
        <w:jc w:val="center"/>
        <w:rPr>
          <w:rFonts w:ascii="黑体" w:hAnsi="黑体" w:eastAsia="黑体"/>
          <w:b/>
          <w:bCs/>
          <w:color w:val="auto"/>
          <w:szCs w:val="32"/>
        </w:rPr>
      </w:pPr>
      <w:r/>
      <w:bookmarkStart w:id="39" w:name="_Toc426469869"/>
      <w:r/>
      <w:bookmarkStart w:id="40" w:name="_Toc513029200"/>
      <w:r/>
      <w:bookmarkStart w:id="41" w:name="_Toc523127445"/>
      <w:r/>
      <w:bookmarkStart w:id="42" w:name="_Toc382813966"/>
      <w:r/>
      <w:bookmarkStart w:id="43" w:name="_Toc382813885"/>
      <w:r/>
      <w:bookmarkStart w:id="44" w:name="_Toc382812472"/>
      <w:r/>
      <w:bookmarkStart w:id="45" w:name="_Toc479757206"/>
      <w:r/>
      <w:bookmarkStart w:id="46" w:name="_Toc20823272"/>
      <w:r/>
      <w:bookmarkStart w:id="47" w:name="_Toc16938516"/>
      <w:r>
        <w:rPr>
          <w:szCs w:val="32"/>
        </w:rPr>
        <w:br w:type="page" w:clear="all"/>
      </w:r>
      <w:r>
        <w:rPr>
          <w:rFonts w:hint="eastAsia" w:ascii="黑体" w:hAnsi="黑体" w:eastAsia="黑体"/>
          <w:b/>
          <w:bCs/>
          <w:color w:val="auto"/>
        </w:rPr>
        <w:t xml:space="preserve">第二章</w:t>
      </w:r>
      <w:r>
        <w:rPr>
          <w:rFonts w:ascii="黑体" w:hAnsi="黑体" w:eastAsia="黑体"/>
          <w:b/>
          <w:bCs/>
          <w:color w:val="auto"/>
        </w:rPr>
        <w:t xml:space="preserve"> </w:t>
      </w:r>
      <w:r>
        <w:rPr>
          <w:rFonts w:hint="eastAsia" w:ascii="黑体" w:hAnsi="黑体" w:eastAsia="黑体"/>
          <w:b/>
          <w:bCs/>
          <w:color w:val="auto"/>
        </w:rPr>
        <w:t xml:space="preserve">供应商须知</w:t>
      </w:r>
      <w:bookmarkEnd w:id="39"/>
      <w:r/>
      <w:r/>
    </w:p>
    <w:p>
      <w:pPr>
        <w:rPr>
          <w:sz w:val="28"/>
          <w:szCs w:val="28"/>
        </w:rPr>
      </w:pPr>
      <w:r/>
      <w:bookmarkStart w:id="48" w:name="_Toc426469870"/>
      <w:r>
        <w:rPr>
          <w:rFonts w:hint="eastAsia"/>
          <w:sz w:val="28"/>
          <w:szCs w:val="28"/>
        </w:rPr>
        <w:t xml:space="preserve">供应商须知前附表</w:t>
      </w:r>
      <w:bookmarkEnd w:id="48"/>
      <w:r/>
      <w:r/>
    </w:p>
    <w:tbl>
      <w:tblPr>
        <w:tblStyle w:val="68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52"/>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名称：泰兴市自然资源和规划局</w:t>
            </w:r>
            <w:r/>
          </w:p>
          <w:p>
            <w:pPr>
              <w:jc w:val="left"/>
              <w:spacing w:line="360" w:lineRule="exact"/>
              <w:rPr>
                <w:rFonts w:ascii="宋体" w:hAnsi="宋体"/>
                <w:sz w:val="28"/>
                <w:szCs w:val="28"/>
              </w:rPr>
            </w:pPr>
            <w:r>
              <w:rPr>
                <w:rFonts w:hint="eastAsia" w:ascii="宋体" w:hAnsi="宋体"/>
                <w:sz w:val="28"/>
                <w:szCs w:val="28"/>
              </w:rPr>
              <w:t xml:space="preserve">地址：泰兴市文昌东路6号</w:t>
            </w:r>
            <w:r/>
          </w:p>
          <w:p>
            <w:pPr>
              <w:jc w:val="left"/>
              <w:spacing w:line="360" w:lineRule="exact"/>
              <w:rPr>
                <w:rFonts w:hint="default" w:ascii="宋体" w:hAnsi="宋体" w:eastAsia="宋体"/>
                <w:sz w:val="28"/>
                <w:szCs w:val="28"/>
                <w:lang w:val="en-US" w:eastAsia="zh-CN"/>
              </w:rPr>
            </w:pPr>
            <w:r>
              <w:rPr>
                <w:rFonts w:hint="eastAsia" w:ascii="宋体" w:hAnsi="宋体"/>
                <w:sz w:val="28"/>
                <w:szCs w:val="28"/>
              </w:rPr>
              <w:t xml:space="preserve">联系人：</w:t>
            </w:r>
            <w:r>
              <w:rPr>
                <w:rFonts w:hint="eastAsia" w:ascii="宋体" w:hAnsi="宋体"/>
                <w:sz w:val="28"/>
                <w:szCs w:val="28"/>
                <w:lang w:val="en-US" w:eastAsia="zh-CN"/>
              </w:rPr>
              <w:t xml:space="preserve">燕女士</w:t>
            </w:r>
            <w:r/>
          </w:p>
          <w:p>
            <w:pPr>
              <w:jc w:val="left"/>
              <w:spacing w:line="360" w:lineRule="exact"/>
              <w:rPr>
                <w:rFonts w:hint="default" w:ascii="宋体" w:hAnsi="宋体"/>
                <w:sz w:val="28"/>
                <w:szCs w:val="28"/>
                <w:lang w:val="en-US"/>
              </w:rPr>
            </w:pPr>
            <w:r>
              <w:rPr>
                <w:rFonts w:hint="eastAsia" w:ascii="宋体" w:hAnsi="宋体"/>
                <w:sz w:val="28"/>
                <w:szCs w:val="28"/>
              </w:rPr>
              <w:t xml:space="preserve">联系电话</w:t>
            </w:r>
            <w:r>
              <w:rPr>
                <w:rFonts w:hint="eastAsia" w:ascii="宋体" w:hAnsi="宋体" w:eastAsia="宋体" w:cs="宋体"/>
                <w:sz w:val="28"/>
                <w:szCs w:val="28"/>
              </w:rPr>
              <w:t xml:space="preserve">：</w:t>
            </w:r>
            <w:r>
              <w:rPr>
                <w:rFonts w:hint="eastAsia" w:ascii="宋体" w:hAnsi="宋体" w:eastAsia="宋体" w:cs="宋体"/>
                <w:color w:val="auto"/>
                <w:sz w:val="28"/>
                <w:szCs w:val="28"/>
                <w:highlight w:val="none"/>
              </w:rPr>
              <w:t xml:space="preserve">0523-80125617</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名称：泰兴市公共资源交易中心</w:t>
            </w:r>
            <w:r/>
          </w:p>
          <w:p>
            <w:pPr>
              <w:jc w:val="left"/>
              <w:spacing w:line="360" w:lineRule="exact"/>
              <w:rPr>
                <w:rFonts w:ascii="宋体"/>
                <w:sz w:val="28"/>
                <w:szCs w:val="28"/>
              </w:rPr>
            </w:pPr>
            <w:r>
              <w:rPr>
                <w:rFonts w:hint="eastAsia" w:ascii="宋体" w:hAnsi="宋体"/>
                <w:sz w:val="28"/>
                <w:szCs w:val="28"/>
              </w:rPr>
              <w:t xml:space="preserve">地址：泰兴市文昌东路</w:t>
            </w:r>
            <w:r>
              <w:rPr>
                <w:rFonts w:ascii="宋体" w:hAnsi="宋体"/>
                <w:sz w:val="28"/>
                <w:szCs w:val="28"/>
              </w:rPr>
              <w:t xml:space="preserve">62</w:t>
            </w:r>
            <w:r>
              <w:rPr>
                <w:rFonts w:hint="eastAsia" w:ascii="宋体" w:hAnsi="宋体"/>
                <w:sz w:val="28"/>
                <w:szCs w:val="28"/>
              </w:rPr>
              <w:t xml:space="preserve">号四楼</w:t>
            </w:r>
            <w:r>
              <w:rPr>
                <w:rFonts w:ascii="宋体" w:hAnsi="宋体"/>
                <w:sz w:val="28"/>
                <w:szCs w:val="28"/>
              </w:rPr>
              <w:t xml:space="preserve">40</w:t>
            </w:r>
            <w:r>
              <w:rPr>
                <w:rFonts w:hint="eastAsia" w:ascii="宋体" w:hAnsi="宋体"/>
                <w:sz w:val="28"/>
                <w:szCs w:val="28"/>
                <w:lang w:val="en-US" w:eastAsia="zh-CN"/>
              </w:rPr>
              <w:t xml:space="preserve">2</w:t>
            </w:r>
            <w:r>
              <w:rPr>
                <w:rFonts w:hint="eastAsia" w:ascii="宋体" w:hAnsi="宋体"/>
                <w:sz w:val="28"/>
                <w:szCs w:val="28"/>
              </w:rPr>
              <w:t xml:space="preserve">室</w:t>
            </w:r>
            <w:r/>
          </w:p>
          <w:p>
            <w:pPr>
              <w:jc w:val="left"/>
              <w:spacing w:line="360" w:lineRule="exact"/>
              <w:rPr>
                <w:rFonts w:ascii="宋体"/>
                <w:sz w:val="28"/>
                <w:szCs w:val="28"/>
              </w:rPr>
            </w:pPr>
            <w:r>
              <w:rPr>
                <w:rFonts w:hint="eastAsia" w:ascii="宋体" w:hAnsi="宋体"/>
                <w:sz w:val="28"/>
                <w:szCs w:val="28"/>
              </w:rPr>
              <w:t xml:space="preserve">联系人：黄女士</w:t>
            </w:r>
            <w:r/>
          </w:p>
          <w:p>
            <w:pPr>
              <w:jc w:val="left"/>
              <w:spacing w:line="360" w:lineRule="exact"/>
              <w:rPr>
                <w:rFonts w:ascii="宋体" w:hAnsi="宋体"/>
                <w:sz w:val="28"/>
                <w:szCs w:val="28"/>
              </w:rPr>
            </w:pPr>
            <w:r>
              <w:rPr>
                <w:rFonts w:hint="eastAsia" w:ascii="宋体" w:hAnsi="宋体"/>
                <w:sz w:val="28"/>
                <w:szCs w:val="28"/>
              </w:rPr>
              <w:t xml:space="preserve">联系电话：</w:t>
            </w:r>
            <w:r>
              <w:rPr>
                <w:rFonts w:ascii="宋体" w:hAnsi="宋体"/>
                <w:sz w:val="28"/>
                <w:szCs w:val="28"/>
              </w:rPr>
              <w:t xml:space="preserve">0523-87654122</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ind w:left="1439" w:hanging="1439"/>
              <w:jc w:val="left"/>
              <w:spacing w:line="360" w:lineRule="exact"/>
              <w:rPr>
                <w:rFonts w:hint="eastAsia" w:ascii="宋体" w:hAnsi="宋体"/>
                <w:sz w:val="28"/>
                <w:szCs w:val="28"/>
              </w:rPr>
            </w:pPr>
            <w:r>
              <w:rPr>
                <w:rFonts w:hint="eastAsia" w:ascii="宋体" w:hAnsi="宋体"/>
                <w:sz w:val="28"/>
                <w:szCs w:val="28"/>
              </w:rPr>
              <w:t xml:space="preserve">项目名称：</w:t>
            </w:r>
            <w:r>
              <w:rPr>
                <w:rFonts w:hint="eastAsia" w:ascii="宋体" w:hAnsi="宋体"/>
                <w:sz w:val="28"/>
                <w:szCs w:val="28"/>
                <w:u w:val="none"/>
              </w:rPr>
              <w:t xml:space="preserve">泰兴市2026年度项目化实施的补充耕地项目客土质量抽样检测</w:t>
            </w:r>
            <w:r/>
          </w:p>
          <w:p>
            <w:pPr>
              <w:jc w:val="left"/>
              <w:spacing w:line="360" w:lineRule="exact"/>
              <w:rPr>
                <w:rFonts w:hint="default" w:ascii="宋体" w:eastAsia="宋体"/>
                <w:sz w:val="28"/>
                <w:szCs w:val="28"/>
                <w:lang w:val="en-US" w:eastAsia="zh-CN"/>
              </w:rPr>
            </w:pPr>
            <w:r>
              <w:rPr>
                <w:rFonts w:hint="eastAsia" w:ascii="宋体" w:hAnsi="宋体"/>
                <w:sz w:val="28"/>
                <w:szCs w:val="28"/>
              </w:rPr>
              <w:t xml:space="preserve">项目编号：</w:t>
            </w:r>
            <w:r>
              <w:rPr>
                <w:rFonts w:hint="eastAsia" w:ascii="宋体" w:hAnsi="宋体"/>
                <w:sz w:val="28"/>
                <w:szCs w:val="28"/>
                <w:highlight w:val="none"/>
              </w:rPr>
              <w:t xml:space="preserve">JSZC-321283-JZCG-G202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-00</w:t>
            </w:r>
            <w:r>
              <w:rPr>
                <w:rFonts w:hint="eastAsia" w:ascii="宋体" w:hAnsi="宋体"/>
                <w:sz w:val="28"/>
                <w:szCs w:val="28"/>
                <w:highlight w:val="none"/>
                <w:lang w:val="en-US" w:eastAsia="zh-CN"/>
              </w:rPr>
              <w:t xml:space="preserve">06</w:t>
            </w:r>
            <w:bookmarkStart w:id="535" w:name="_GoBack"/>
            <w:r/>
            <w:bookmarkEnd w:id="535"/>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tcW w:w="2552" w:type="dxa"/>
            <w:vAlign w:val="center"/>
            <w:textDirection w:val="lrTb"/>
            <w:noWrap w:val="false"/>
          </w:tcPr>
          <w:p>
            <w:pPr>
              <w:jc w:val="center"/>
              <w:spacing w:line="380" w:lineRule="exact"/>
              <w:rPr>
                <w:rFonts w:ascii="宋体"/>
                <w:color w:val="auto"/>
                <w:sz w:val="28"/>
                <w:szCs w:val="28"/>
              </w:rPr>
            </w:pPr>
            <w:r>
              <w:rPr>
                <w:rFonts w:hint="eastAsia" w:ascii="宋体" w:hAnsi="宋体"/>
                <w:color w:val="auto"/>
                <w:sz w:val="28"/>
                <w:szCs w:val="28"/>
              </w:rPr>
              <w:t xml:space="preserve">付款方式</w:t>
            </w:r>
            <w:r/>
          </w:p>
        </w:tc>
        <w:tc>
          <w:tcPr>
            <w:tcW w:w="5987" w:type="dxa"/>
            <w:vAlign w:val="center"/>
            <w:textDirection w:val="lrTb"/>
            <w:noWrap w:val="false"/>
          </w:tcPr>
          <w:p>
            <w:pPr>
              <w:jc w:val="left"/>
              <w:spacing w:line="360" w:lineRule="exact"/>
              <w:rPr>
                <w:rFonts w:hint="default" w:ascii="宋体"/>
                <w:color w:val="auto"/>
                <w:sz w:val="28"/>
                <w:szCs w:val="28"/>
                <w:lang w:val="en-US"/>
              </w:rPr>
            </w:pPr>
            <w:r>
              <w:rPr>
                <w:rFonts w:hint="eastAsia" w:ascii="宋体" w:hAnsi="宋体"/>
                <w:sz w:val="28"/>
                <w:szCs w:val="28"/>
                <w:lang w:val="en-US" w:eastAsia="zh-CN"/>
              </w:rPr>
              <w:t xml:space="preserve">出具抽样检测报告，项目验收通过后根据实际验收面积×各标段中标单价一次性支付。</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tcW w:w="2552" w:type="dxa"/>
            <w:vAlign w:val="center"/>
            <w:textDirection w:val="lrTb"/>
            <w:noWrap w:val="false"/>
          </w:tcPr>
          <w:p>
            <w:pPr>
              <w:jc w:val="cente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合同履行期限</w:t>
            </w:r>
            <w:r/>
          </w:p>
        </w:tc>
        <w:tc>
          <w:tcPr>
            <w:tcW w:w="5987" w:type="dxa"/>
            <w:vAlign w:val="center"/>
            <w:textDirection w:val="lrTb"/>
            <w:noWrap w:val="false"/>
          </w:tcPr>
          <w:p>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合同签订之日起</w:t>
            </w:r>
            <w:r>
              <w:rPr>
                <w:rFonts w:hint="eastAsia" w:ascii="宋体" w:hAnsi="宋体" w:eastAsia="宋体" w:cs="宋体"/>
                <w:sz w:val="28"/>
                <w:szCs w:val="28"/>
                <w:highlight w:val="none"/>
                <w:lang w:val="en-US" w:eastAsia="zh-CN"/>
              </w:rPr>
              <w:t xml:space="preserve">至</w:t>
            </w:r>
            <w:r>
              <w:rPr>
                <w:rFonts w:hint="eastAsia" w:ascii="宋体" w:hAnsi="宋体" w:cs="宋体"/>
                <w:sz w:val="28"/>
                <w:szCs w:val="28"/>
                <w:highlight w:val="none"/>
                <w:lang w:val="en-US" w:eastAsia="zh-CN"/>
              </w:rPr>
              <w:t xml:space="preserve">5个月（150天）</w:t>
            </w:r>
            <w:r>
              <w:rPr>
                <w:rFonts w:hint="eastAsia" w:ascii="宋体" w:hAnsi="宋体" w:eastAsia="宋体" w:cs="宋体"/>
                <w:sz w:val="28"/>
                <w:szCs w:val="28"/>
                <w:highlight w:val="none"/>
              </w:rPr>
              <w:t xml:space="preserve">止。</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tcW w:w="2552" w:type="dxa"/>
            <w:vAlign w:val="center"/>
            <w:textDirection w:val="lrTb"/>
            <w:noWrap w:val="false"/>
          </w:tcPr>
          <w:p>
            <w:pPr>
              <w:jc w:val="center"/>
              <w:spacing w:line="320" w:lineRule="exact"/>
              <w:rPr>
                <w:rFonts w:ascii="宋体"/>
                <w:sz w:val="28"/>
                <w:szCs w:val="28"/>
                <w:highlight w:val="yellow"/>
              </w:rPr>
            </w:pPr>
            <w:r>
              <w:rPr>
                <w:rFonts w:hint="eastAsia" w:ascii="宋体" w:hAnsi="宋体"/>
                <w:sz w:val="28"/>
                <w:szCs w:val="28"/>
              </w:rPr>
              <w:t xml:space="preserve">偏离</w:t>
            </w:r>
            <w:r/>
          </w:p>
        </w:tc>
        <w:tc>
          <w:tcPr>
            <w:tcW w:w="5987" w:type="dxa"/>
            <w:vAlign w:val="center"/>
            <w:textDirection w:val="lrTb"/>
            <w:noWrap w:val="false"/>
          </w:tcPr>
          <w:p>
            <w:pPr>
              <w:pStyle w:val="686"/>
              <w:spacing w:line="320" w:lineRule="exact"/>
              <w:rPr>
                <w:rFonts w:ascii="宋体"/>
                <w:sz w:val="28"/>
                <w:szCs w:val="28"/>
                <w:highlight w:val="yellow"/>
              </w:rPr>
            </w:pPr>
            <w:r/>
            <w:bookmarkStart w:id="49" w:name="FEfe800446baa24252acf6b14953dc4897"/>
            <w:r/>
            <w:bookmarkEnd w:id="49"/>
            <w:r/>
            <w:bookmarkStart w:id="50" w:name="FBfe800446baa24252acf6b14953dc4897"/>
            <w:r/>
            <w:bookmarkEnd w:id="50"/>
            <w:r>
              <w:rPr>
                <w:rFonts w:hint="eastAsia" w:ascii="宋体"/>
                <w:sz w:val="28"/>
                <w:szCs w:val="28"/>
              </w:rPr>
              <w:t xml:space="preserve">第五章采购需求不允许负偏离</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1" w:name="EB35ced2e8f8364f63a510bf246ff979f0"/>
            <w:r/>
            <w:bookmarkEnd w:id="51"/>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rPr>
            </w:pPr>
            <w:r>
              <w:rPr>
                <w:rFonts w:hint="eastAsia" w:ascii="宋体" w:hAnsi="宋体"/>
                <w:sz w:val="28"/>
                <w:highlight w:val="none"/>
              </w:rPr>
              <w:t xml:space="preserve">202</w:t>
            </w:r>
            <w:r>
              <w:rPr>
                <w:rFonts w:hint="eastAsia" w:ascii="宋体" w:hAnsi="宋体"/>
                <w:sz w:val="28"/>
                <w:highlight w:val="none"/>
                <w:lang w:val="en-US" w:eastAsia="zh-CN"/>
              </w:rPr>
              <w:t xml:space="preserve">6</w:t>
            </w:r>
            <w:r>
              <w:rPr>
                <w:rFonts w:hint="eastAsia" w:ascii="宋体" w:hAnsi="宋体"/>
                <w:sz w:val="28"/>
                <w:highlight w:val="none"/>
              </w:rPr>
              <w:t xml:space="preserve">年</w:t>
            </w:r>
            <w:r>
              <w:rPr>
                <w:rFonts w:hint="eastAsia" w:ascii="宋体" w:hAnsi="宋体"/>
                <w:sz w:val="28"/>
                <w:highlight w:val="none"/>
                <w:lang w:val="en-US" w:eastAsia="zh-CN"/>
              </w:rPr>
              <w:t xml:space="preserve">07</w:t>
            </w:r>
            <w:r>
              <w:rPr>
                <w:rFonts w:hint="eastAsia" w:ascii="宋体" w:hAnsi="宋体"/>
                <w:sz w:val="28"/>
                <w:highlight w:val="none"/>
              </w:rPr>
              <w:t xml:space="preserve">月</w:t>
            </w:r>
            <w:r>
              <w:rPr>
                <w:rFonts w:hint="eastAsia" w:ascii="宋体" w:hAnsi="宋体"/>
                <w:sz w:val="28"/>
                <w:highlight w:val="none"/>
                <w:lang w:val="en-US" w:eastAsia="zh-CN"/>
              </w:rPr>
              <w:t xml:space="preserve">27</w:t>
            </w:r>
            <w:r>
              <w:rPr>
                <w:rFonts w:hint="eastAsia" w:ascii="宋体" w:hAnsi="宋体"/>
                <w:sz w:val="28"/>
                <w:highlight w:val="none"/>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2" w:name="EB72e20e40757d438698d0d924b6237fcc"/>
            <w:r/>
            <w:bookmarkEnd w:id="52"/>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Arial" w:hAnsi="Arial" w:eastAsia="Arial"/>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ff0000"/>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42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中标公告媒介</w:t>
            </w:r>
            <w:r/>
          </w:p>
        </w:tc>
        <w:tc>
          <w:tcPr>
            <w:tcW w:w="5987"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江苏政府采购网（</w:t>
            </w:r>
            <w:r>
              <w:rPr>
                <w:rFonts w:ascii="宋体" w:hAnsi="宋体"/>
                <w:sz w:val="28"/>
                <w:szCs w:val="28"/>
              </w:rPr>
              <w:t xml:space="preserve">www.ccgp-jiangsu.gov.cn</w:t>
            </w:r>
            <w:r>
              <w:rPr>
                <w:rFonts w:hint="eastAsia" w:ascii="宋体" w:hAnsi="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40" w:lineRule="exact"/>
              <w:rPr>
                <w:rFonts w:ascii="宋体" w:hAnsi="宋体"/>
                <w:sz w:val="28"/>
                <w:szCs w:val="28"/>
              </w:rPr>
            </w:pPr>
            <w:r>
              <w:rPr>
                <w:rFonts w:hint="eastAsia" w:ascii="宋体" w:hAnsi="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15</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2"/>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29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tcW w:w="5987"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9.3</w:t>
            </w:r>
            <w:r/>
          </w:p>
        </w:tc>
        <w:tc>
          <w:tcPr>
            <w:tcW w:w="2552"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落实政府采购政策</w:t>
            </w:r>
            <w:r/>
          </w:p>
        </w:tc>
        <w:tc>
          <w:tcPr>
            <w:tcW w:w="5987" w:type="dxa"/>
            <w:vAlign w:val="top"/>
            <w:textDirection w:val="lrTb"/>
            <w:noWrap w:val="false"/>
          </w:tcPr>
          <w:p>
            <w:pPr>
              <w:pStyle w:val="751"/>
              <w:spacing w:line="380" w:lineRule="exact"/>
              <w:rPr>
                <w:rFonts w:ascii="宋体" w:hAnsi="宋体"/>
                <w:color w:val="ff0000"/>
                <w:sz w:val="28"/>
                <w:szCs w:val="28"/>
              </w:rPr>
            </w:pPr>
            <w:r>
              <w:rPr>
                <w:rFonts w:hint="eastAsia" w:ascii="宋体" w:hAnsi="宋体"/>
                <w:color w:val="auto"/>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tcW w:w="2552"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tcW w:w="5987"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Arial" w:hAnsi="Arial" w:eastAsia="Arial"/>
                <w:b/>
                <w:color w:val="ff0000"/>
              </w:rPr>
            </w:pPr>
            <w:r>
              <w:rPr>
                <w:rFonts w:hint="eastAsia" w:ascii="宋体" w:hAnsi="宋体"/>
                <w:color w:val="000000"/>
                <w:sz w:val="28"/>
                <w:szCs w:val="28"/>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sz w:val="28"/>
                <w:szCs w:val="28"/>
              </w:rPr>
            </w:pPr>
            <w:r>
              <w:rPr>
                <w:rFonts w:hint="eastAsia" w:ascii="宋体" w:hAnsi="宋体"/>
                <w:b/>
                <w:color w:val="000000" w:themeColor="text1"/>
                <w:sz w:val="28"/>
                <w:szCs w:val="28"/>
                <w14:textFill>
                  <w14:solidFill>
                    <w14:schemeClr w14:val="tx1"/>
                  </w14:solidFill>
                </w14:textFill>
              </w:rPr>
              <w:t xml:space="preserve">9.5</w:t>
            </w:r>
            <w:r/>
          </w:p>
        </w:tc>
        <w:tc>
          <w:tcPr>
            <w:tcW w:w="2552" w:type="dxa"/>
            <w:vAlign w:val="center"/>
            <w:textDirection w:val="lrTb"/>
            <w:noWrap w:val="false"/>
          </w:tcPr>
          <w:p>
            <w:pPr>
              <w:jc w:val="center"/>
              <w:spacing w:line="360" w:lineRule="exact"/>
              <w:rPr>
                <w:rFonts w:hint="eastAsia" w:ascii="宋体" w:hAnsi="宋体"/>
                <w:color w:val="000000"/>
                <w:sz w:val="28"/>
                <w:szCs w:val="28"/>
              </w:rPr>
            </w:pPr>
            <w:r>
              <w:rPr>
                <w:rFonts w:hint="eastAsia" w:ascii="宋体" w:hAnsi="宋体"/>
                <w:color w:val="000000" w:themeColor="text1"/>
                <w:sz w:val="28"/>
                <w:szCs w:val="28"/>
                <w14:textFill>
                  <w14:solidFill>
                    <w14:schemeClr w14:val="tx1"/>
                  </w14:solidFill>
                </w14:textFill>
              </w:rPr>
              <w:t xml:space="preserve">其他内容</w:t>
            </w:r>
            <w:r/>
          </w:p>
        </w:tc>
        <w:tc>
          <w:tcPr>
            <w:tcW w:w="5987" w:type="dxa"/>
            <w:vAlign w:val="center"/>
            <w:textDirection w:val="lrTb"/>
            <w:noWrap w:val="false"/>
          </w:tcPr>
          <w:p>
            <w:pPr>
              <w:jc w:val="left"/>
              <w:spacing w:line="360" w:lineRule="exact"/>
              <w:rPr>
                <w:rFonts w:hint="eastAsia" w:ascii="宋体" w:hAnsi="宋体"/>
                <w:color w:val="000000"/>
                <w:sz w:val="28"/>
                <w:szCs w:val="28"/>
              </w:rPr>
            </w:pPr>
            <w:r>
              <w:rPr>
                <w:rFonts w:hint="eastAsia" w:ascii="宋体" w:hAnsi="宋体"/>
                <w:b/>
                <w:bCs/>
                <w:color w:val="ff0000"/>
                <w:sz w:val="28"/>
                <w:szCs w:val="28"/>
                <w:lang w:val="en-US" w:eastAsia="zh-CN"/>
              </w:rPr>
              <w:t xml:space="preserve">投标标段中涉及在</w:t>
            </w:r>
            <w:r>
              <w:rPr>
                <w:rFonts w:hint="eastAsia" w:ascii="宋体" w:hAnsi="宋体"/>
                <w:b/>
                <w:bCs/>
                <w:color w:val="ff0000"/>
                <w:sz w:val="28"/>
                <w:szCs w:val="28"/>
              </w:rPr>
              <w:t xml:space="preserve">乡镇（街道）开展过</w:t>
            </w:r>
            <w:r>
              <w:rPr>
                <w:rFonts w:hint="eastAsia" w:ascii="宋体" w:hAnsi="宋体"/>
                <w:b/>
                <w:bCs/>
                <w:color w:val="ff0000"/>
                <w:sz w:val="28"/>
                <w:szCs w:val="28"/>
                <w:lang w:val="en-US" w:eastAsia="zh-CN"/>
              </w:rPr>
              <w:t xml:space="preserve">泰兴市</w:t>
            </w:r>
            <w:r>
              <w:rPr>
                <w:rFonts w:hint="eastAsia" w:ascii="宋体" w:hAnsi="宋体"/>
                <w:b/>
                <w:bCs/>
                <w:color w:val="ff0000"/>
                <w:sz w:val="28"/>
                <w:szCs w:val="28"/>
              </w:rPr>
              <w:t xml:space="preserve">202</w:t>
            </w:r>
            <w:r>
              <w:rPr>
                <w:rFonts w:hint="eastAsia" w:ascii="宋体" w:hAnsi="宋体"/>
                <w:b/>
                <w:bCs/>
                <w:color w:val="ff0000"/>
                <w:sz w:val="28"/>
                <w:szCs w:val="28"/>
                <w:lang w:val="en-US" w:eastAsia="zh-CN"/>
              </w:rPr>
              <w:t xml:space="preserve">6</w:t>
            </w:r>
            <w:r>
              <w:rPr>
                <w:rFonts w:hint="eastAsia" w:ascii="宋体" w:hAnsi="宋体"/>
                <w:b/>
                <w:bCs/>
                <w:color w:val="ff0000"/>
                <w:sz w:val="28"/>
                <w:szCs w:val="28"/>
              </w:rPr>
              <w:t xml:space="preserve">年度</w:t>
            </w:r>
            <w:r>
              <w:rPr>
                <w:rFonts w:hint="eastAsia" w:ascii="宋体" w:hAnsi="宋体"/>
                <w:b/>
                <w:bCs/>
                <w:color w:val="ff0000"/>
                <w:sz w:val="28"/>
                <w:szCs w:val="28"/>
                <w:lang w:val="en-US" w:eastAsia="zh-CN"/>
              </w:rPr>
              <w:t xml:space="preserve">项目化实施的</w:t>
            </w:r>
            <w:r>
              <w:rPr>
                <w:rFonts w:hint="eastAsia" w:ascii="宋体" w:hAnsi="宋体"/>
                <w:b/>
                <w:bCs/>
                <w:color w:val="ff0000"/>
                <w:sz w:val="28"/>
                <w:szCs w:val="28"/>
              </w:rPr>
              <w:t xml:space="preserve">补充耕地项目客土</w:t>
            </w:r>
            <w:r>
              <w:rPr>
                <w:rFonts w:hint="eastAsia" w:ascii="宋体" w:hAnsi="宋体"/>
                <w:b/>
                <w:bCs/>
                <w:color w:val="ff0000"/>
                <w:sz w:val="28"/>
                <w:szCs w:val="28"/>
                <w:lang w:val="en-US" w:eastAsia="zh-CN"/>
              </w:rPr>
              <w:t xml:space="preserve">来源</w:t>
            </w:r>
            <w:r>
              <w:rPr>
                <w:rFonts w:hint="eastAsia" w:ascii="宋体" w:hAnsi="宋体"/>
                <w:b/>
                <w:bCs/>
                <w:color w:val="ff0000"/>
                <w:sz w:val="28"/>
                <w:szCs w:val="28"/>
              </w:rPr>
              <w:t xml:space="preserve">检测的供应商不得参加本</w:t>
            </w:r>
            <w:r>
              <w:rPr>
                <w:rFonts w:hint="eastAsia" w:ascii="宋体" w:hAnsi="宋体"/>
                <w:b/>
                <w:bCs/>
                <w:color w:val="ff0000"/>
                <w:sz w:val="28"/>
                <w:szCs w:val="28"/>
                <w:lang w:val="en-US" w:eastAsia="zh-CN"/>
              </w:rPr>
              <w:t xml:space="preserve">标段</w:t>
            </w:r>
            <w:r>
              <w:rPr>
                <w:rFonts w:hint="eastAsia" w:ascii="宋体" w:hAnsi="宋体"/>
                <w:b/>
                <w:bCs/>
                <w:color w:val="ff0000"/>
                <w:sz w:val="28"/>
                <w:szCs w:val="28"/>
              </w:rPr>
              <w:t xml:space="preserve">投标；</w:t>
            </w:r>
            <w:r>
              <w:rPr>
                <w:rFonts w:hint="eastAsia" w:ascii="宋体" w:hAnsi="宋体"/>
                <w:b/>
                <w:bCs/>
                <w:color w:val="ff0000"/>
                <w:sz w:val="28"/>
                <w:szCs w:val="28"/>
                <w:lang w:val="en-US" w:eastAsia="zh-CN"/>
              </w:rPr>
              <w:t xml:space="preserve">本次</w:t>
            </w:r>
            <w:r>
              <w:rPr>
                <w:rFonts w:hint="eastAsia" w:ascii="宋体" w:hAnsi="宋体"/>
                <w:b/>
                <w:bCs/>
                <w:color w:val="ff0000"/>
                <w:sz w:val="28"/>
                <w:szCs w:val="28"/>
              </w:rPr>
              <w:t xml:space="preserve">中标的供应商后期不得参加</w:t>
            </w:r>
            <w:r>
              <w:rPr>
                <w:rFonts w:hint="eastAsia" w:ascii="宋体" w:hAnsi="宋体"/>
                <w:b/>
                <w:bCs/>
                <w:color w:val="ff0000"/>
                <w:sz w:val="28"/>
                <w:szCs w:val="28"/>
                <w:lang w:val="en-US" w:eastAsia="zh-CN"/>
              </w:rPr>
              <w:t xml:space="preserve">本标段涉及的</w:t>
            </w:r>
            <w:r>
              <w:rPr>
                <w:rFonts w:hint="eastAsia" w:ascii="宋体" w:hAnsi="宋体"/>
                <w:b/>
                <w:bCs/>
                <w:color w:val="ff0000"/>
                <w:sz w:val="28"/>
                <w:szCs w:val="28"/>
              </w:rPr>
              <w:t xml:space="preserve">乡镇（街道）开展泰兴市202</w:t>
            </w:r>
            <w:r>
              <w:rPr>
                <w:rFonts w:hint="eastAsia" w:ascii="宋体" w:hAnsi="宋体"/>
                <w:b/>
                <w:bCs/>
                <w:color w:val="ff0000"/>
                <w:sz w:val="28"/>
                <w:szCs w:val="28"/>
                <w:lang w:val="en-US" w:eastAsia="zh-CN"/>
              </w:rPr>
              <w:t xml:space="preserve">6</w:t>
            </w:r>
            <w:r>
              <w:rPr>
                <w:rFonts w:hint="eastAsia" w:ascii="宋体" w:hAnsi="宋体"/>
                <w:b/>
                <w:bCs/>
                <w:color w:val="ff0000"/>
                <w:sz w:val="28"/>
                <w:szCs w:val="28"/>
              </w:rPr>
              <w:t xml:space="preserve">年度</w:t>
            </w:r>
            <w:r>
              <w:rPr>
                <w:rFonts w:hint="eastAsia" w:ascii="宋体" w:hAnsi="宋体"/>
                <w:b/>
                <w:bCs/>
                <w:color w:val="ff0000"/>
                <w:sz w:val="28"/>
                <w:szCs w:val="28"/>
                <w:lang w:val="en-US" w:eastAsia="zh-CN"/>
              </w:rPr>
              <w:t xml:space="preserve">项目化实施的</w:t>
            </w:r>
            <w:r>
              <w:rPr>
                <w:rFonts w:hint="eastAsia" w:ascii="宋体" w:hAnsi="宋体"/>
                <w:b/>
                <w:bCs/>
                <w:color w:val="ff0000"/>
                <w:sz w:val="28"/>
                <w:szCs w:val="28"/>
              </w:rPr>
              <w:t xml:space="preserve">补充耕地项目客土</w:t>
            </w:r>
            <w:r>
              <w:rPr>
                <w:rFonts w:hint="eastAsia" w:ascii="宋体" w:hAnsi="宋体"/>
                <w:b/>
                <w:bCs/>
                <w:color w:val="ff0000"/>
                <w:sz w:val="28"/>
                <w:szCs w:val="28"/>
                <w:lang w:val="en-US" w:eastAsia="zh-CN"/>
              </w:rPr>
              <w:t xml:space="preserve">来源</w:t>
            </w:r>
            <w:r>
              <w:rPr>
                <w:rFonts w:hint="eastAsia" w:ascii="宋体" w:hAnsi="宋体"/>
                <w:b/>
                <w:bCs/>
                <w:color w:val="ff0000"/>
                <w:sz w:val="28"/>
                <w:szCs w:val="28"/>
              </w:rPr>
              <w:t xml:space="preserve">检测项目。（需提供诚信承诺）</w:t>
            </w:r>
            <w:r/>
          </w:p>
        </w:tc>
      </w:tr>
    </w:tbl>
    <w:p>
      <w:pPr>
        <w:spacing w:line="490" w:lineRule="exact"/>
        <w:rPr>
          <w:rFonts w:ascii="黑体" w:hAnsi="黑体" w:eastAsia="黑体"/>
          <w:sz w:val="32"/>
          <w:szCs w:val="32"/>
        </w:rPr>
      </w:pPr>
      <w:r/>
      <w:bookmarkStart w:id="53" w:name="_Toc426469871"/>
      <w:r/>
      <w:bookmarkStart w:id="54" w:name="_Toc367784995"/>
      <w:r>
        <w:rPr>
          <w:rFonts w:ascii="黑体" w:hAnsi="黑体" w:eastAsia="黑体"/>
          <w:sz w:val="32"/>
          <w:szCs w:val="32"/>
        </w:rPr>
        <w:t xml:space="preserve">1.</w:t>
      </w:r>
      <w:r>
        <w:rPr>
          <w:rFonts w:hint="eastAsia" w:ascii="黑体" w:hAnsi="黑体" w:eastAsia="黑体"/>
          <w:sz w:val="32"/>
          <w:szCs w:val="32"/>
        </w:rPr>
        <w:t xml:space="preserve">总则</w:t>
      </w:r>
      <w:bookmarkEnd w:id="53"/>
      <w:r/>
      <w:bookmarkEnd w:id="54"/>
      <w:r/>
      <w:r/>
    </w:p>
    <w:p>
      <w:pPr>
        <w:spacing w:line="490" w:lineRule="exact"/>
        <w:rPr>
          <w:rFonts w:ascii="楷体" w:hAnsi="楷体" w:eastAsia="楷体"/>
          <w:b/>
          <w:sz w:val="28"/>
          <w:szCs w:val="28"/>
        </w:rPr>
      </w:pPr>
      <w:r/>
      <w:bookmarkStart w:id="55" w:name="_Toc247085690"/>
      <w:r/>
      <w:bookmarkStart w:id="56" w:name="_Toc426469872"/>
      <w:r/>
      <w:bookmarkStart w:id="57" w:name="_Toc246996176"/>
      <w:r/>
      <w:bookmarkStart w:id="58" w:name="_Toc152045530"/>
      <w:r/>
      <w:bookmarkStart w:id="59" w:name="_Toc246996919"/>
      <w:r/>
      <w:bookmarkStart w:id="60" w:name="_Toc144974498"/>
      <w:r/>
      <w:bookmarkStart w:id="61" w:name="_Toc152042306"/>
      <w:r/>
      <w:bookmarkStart w:id="62" w:name="_Toc383438593"/>
      <w:r/>
      <w:bookmarkStart w:id="63" w:name="_Toc343525506"/>
      <w:r/>
      <w:bookmarkStart w:id="64" w:name="_Toc179632547"/>
      <w:r/>
      <w:bookmarkStart w:id="65"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66" w:name="_Toc246996920"/>
      <w:r/>
      <w:bookmarkStart w:id="67" w:name="_Toc152042307"/>
      <w:r/>
      <w:bookmarkStart w:id="68" w:name="_Toc144974499"/>
      <w:r/>
      <w:bookmarkStart w:id="69" w:name="_Toc179632548"/>
      <w:r/>
      <w:bookmarkStart w:id="70" w:name="_Toc247085691"/>
      <w:r/>
      <w:bookmarkStart w:id="71" w:name="_Toc383438594"/>
      <w:r/>
      <w:bookmarkStart w:id="72" w:name="_Toc246996177"/>
      <w:r/>
      <w:bookmarkStart w:id="73" w:name="_Toc152045531"/>
      <w:r/>
      <w:bookmarkStart w:id="74" w:name="_Toc343525507"/>
      <w:r/>
      <w:bookmarkStart w:id="75" w:name="_Toc426469873"/>
      <w:r>
        <w:rPr>
          <w:rFonts w:ascii="楷体" w:hAnsi="楷体" w:eastAsia="楷体"/>
          <w:b/>
          <w:sz w:val="28"/>
          <w:szCs w:val="28"/>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付款方式：见供应商须知前附表。</w:t>
      </w:r>
      <w:r/>
    </w:p>
    <w:p>
      <w:pPr>
        <w:spacing w:line="490" w:lineRule="exact"/>
        <w:rPr>
          <w:rFonts w:ascii="楷体" w:hAnsi="楷体" w:eastAsia="楷体"/>
          <w:b/>
          <w:sz w:val="28"/>
          <w:szCs w:val="28"/>
        </w:rPr>
      </w:pPr>
      <w:r/>
      <w:bookmarkStart w:id="76" w:name="_Toc246996178"/>
      <w:r/>
      <w:bookmarkStart w:id="77" w:name="_Toc343525508"/>
      <w:r/>
      <w:bookmarkStart w:id="78" w:name="_Toc247085692"/>
      <w:r/>
      <w:bookmarkStart w:id="79" w:name="_Toc383438595"/>
      <w:r/>
      <w:bookmarkStart w:id="80" w:name="_Toc179632549"/>
      <w:r/>
      <w:bookmarkStart w:id="81" w:name="_Toc246996921"/>
      <w:r/>
      <w:bookmarkStart w:id="82" w:name="_Toc152045532"/>
      <w:r/>
      <w:bookmarkStart w:id="83" w:name="_Toc152042308"/>
      <w:r/>
      <w:bookmarkStart w:id="84" w:name="_Toc144974500"/>
      <w:r/>
      <w:bookmarkStart w:id="85" w:name="_Toc426469874"/>
      <w:r>
        <w:rPr>
          <w:rFonts w:ascii="楷体" w:hAnsi="楷体" w:eastAsia="楷体"/>
          <w:b/>
          <w:sz w:val="28"/>
          <w:szCs w:val="28"/>
        </w:rPr>
        <w:t xml:space="preserve">1.3 </w:t>
      </w:r>
      <w:bookmarkEnd w:id="76"/>
      <w:r/>
      <w:bookmarkEnd w:id="77"/>
      <w:r/>
      <w:bookmarkEnd w:id="78"/>
      <w:r/>
      <w:bookmarkEnd w:id="79"/>
      <w:r/>
      <w:bookmarkEnd w:id="80"/>
      <w:r/>
      <w:bookmarkEnd w:id="81"/>
      <w:r/>
      <w:bookmarkEnd w:id="82"/>
      <w:r/>
      <w:bookmarkEnd w:id="83"/>
      <w:r/>
      <w:bookmarkEnd w:id="84"/>
      <w:r>
        <w:rPr>
          <w:rFonts w:hint="eastAsia" w:ascii="楷体" w:hAnsi="楷体" w:eastAsia="楷体"/>
          <w:b/>
          <w:sz w:val="28"/>
          <w:szCs w:val="28"/>
        </w:rPr>
        <w:t xml:space="preserve">采购范围</w:t>
      </w:r>
      <w:bookmarkEnd w:id="85"/>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86" w:name="_Toc179632551"/>
      <w:r/>
      <w:bookmarkStart w:id="87" w:name="_Toc246996179"/>
      <w:r/>
      <w:bookmarkStart w:id="88" w:name="_Toc152042310"/>
      <w:r/>
      <w:bookmarkStart w:id="89" w:name="_Toc343525509"/>
      <w:r/>
      <w:bookmarkStart w:id="90" w:name="_Toc152045534"/>
      <w:r/>
      <w:bookmarkStart w:id="91" w:name="_Toc426469875"/>
      <w:r/>
      <w:bookmarkStart w:id="92" w:name="_Toc144974502"/>
      <w:r/>
      <w:bookmarkStart w:id="93" w:name="_Toc383438596"/>
      <w:r/>
      <w:bookmarkStart w:id="94" w:name="_Toc246996922"/>
      <w:r/>
      <w:bookmarkStart w:id="95" w:name="_Toc247085693"/>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ind w:firstLine="560"/>
        <w:spacing w:line="490" w:lineRule="exact"/>
        <w:rPr>
          <w:rFonts w:ascii="宋体"/>
          <w:sz w:val="28"/>
          <w:szCs w:val="28"/>
        </w:rPr>
      </w:pPr>
      <w:r>
        <w:rPr>
          <w:rFonts w:ascii="宋体" w:hAnsi="宋体"/>
          <w:sz w:val="28"/>
          <w:szCs w:val="28"/>
        </w:rPr>
        <w:t xml:space="preserve">1.4.2</w:t>
      </w:r>
      <w:r>
        <w:rPr>
          <w:rFonts w:hint="eastAsia" w:ascii="宋体" w:hAnsi="宋体"/>
          <w:sz w:val="28"/>
          <w:szCs w:val="28"/>
        </w:rPr>
        <w:t xml:space="preserve"> </w:t>
      </w:r>
      <w:r>
        <w:rPr>
          <w:rFonts w:hint="eastAsia" w:ascii="宋体" w:hAnsi="宋体" w:cs="宋体"/>
          <w:sz w:val="28"/>
          <w:szCs w:val="28"/>
        </w:rPr>
        <w:t xml:space="preserve">根据采购项目特殊要求，要求供应商具备的特定条件：见供应商须知前附表。</w:t>
      </w:r>
      <w:r/>
    </w:p>
    <w:p>
      <w:pPr>
        <w:ind w:firstLine="560"/>
        <w:spacing w:line="490" w:lineRule="exact"/>
        <w:rPr>
          <w:rFonts w:ascii="宋体"/>
          <w:sz w:val="28"/>
          <w:szCs w:val="28"/>
        </w:rPr>
      </w:pPr>
      <w:r>
        <w:rPr>
          <w:rFonts w:ascii="宋体" w:hAnsi="宋体"/>
          <w:sz w:val="28"/>
          <w:szCs w:val="28"/>
        </w:rPr>
        <w:t xml:space="preserve">1.4.3</w:t>
      </w:r>
      <w:r>
        <w:rPr>
          <w:rFonts w:hint="eastAsia" w:ascii="宋体" w:hAnsi="宋体"/>
          <w:sz w:val="28"/>
          <w:szCs w:val="28"/>
        </w:rPr>
        <w:t xml:space="preserve"> </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96" w:name="_Toc144974503"/>
      <w:r/>
      <w:bookmarkStart w:id="97" w:name="_Toc152042311"/>
      <w:r/>
      <w:bookmarkStart w:id="98" w:name="_Toc426469876"/>
      <w:r/>
      <w:bookmarkStart w:id="99" w:name="_Toc343525510"/>
      <w:r/>
      <w:bookmarkStart w:id="100" w:name="_Toc247085694"/>
      <w:r/>
      <w:bookmarkStart w:id="101" w:name="_Toc179632552"/>
      <w:r/>
      <w:bookmarkStart w:id="102" w:name="_Toc383438597"/>
      <w:r/>
      <w:bookmarkStart w:id="103" w:name="_Toc152045535"/>
      <w:r/>
      <w:bookmarkStart w:id="104" w:name="_Toc246996180"/>
      <w:r/>
      <w:bookmarkStart w:id="105" w:name="_Toc246996923"/>
      <w:r>
        <w:rPr>
          <w:rFonts w:ascii="楷体" w:hAnsi="楷体" w:eastAsia="楷体"/>
          <w:b/>
          <w:sz w:val="28"/>
          <w:szCs w:val="28"/>
        </w:rPr>
        <w:t xml:space="preserve">1.5</w:t>
      </w:r>
      <w:r>
        <w:rPr>
          <w:rFonts w:hint="eastAsia" w:ascii="楷体" w:hAnsi="楷体" w:eastAsia="楷体"/>
          <w:b/>
          <w:sz w:val="28"/>
          <w:szCs w:val="28"/>
        </w:rPr>
        <w:t xml:space="preserve"> </w:t>
      </w:r>
      <w:r>
        <w:rPr>
          <w:rFonts w:hint="eastAsia" w:ascii="楷体" w:hAnsi="楷体" w:eastAsia="楷体" w:cs="宋体"/>
          <w:b/>
          <w:sz w:val="28"/>
          <w:szCs w:val="28"/>
        </w:rPr>
        <w:t xml:space="preserve">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06" w:name="_Toc144974505"/>
      <w:r/>
      <w:bookmarkStart w:id="107" w:name="_Toc152042313"/>
      <w:r/>
      <w:bookmarkStart w:id="108" w:name="_Toc343525512"/>
      <w:r/>
      <w:bookmarkStart w:id="109" w:name="_Toc179632554"/>
      <w:r/>
      <w:bookmarkStart w:id="110" w:name="_Toc246996182"/>
      <w:r/>
      <w:bookmarkStart w:id="111" w:name="_Toc246996925"/>
      <w:r/>
      <w:bookmarkStart w:id="112" w:name="_Toc383438599"/>
      <w:r/>
      <w:bookmarkStart w:id="113" w:name="_Toc247085696"/>
      <w:r/>
      <w:bookmarkStart w:id="114" w:name="_Toc426469878"/>
      <w:r/>
      <w:bookmarkStart w:id="115" w:name="_Toc152045537"/>
      <w:r>
        <w:rPr>
          <w:rFonts w:ascii="楷体" w:hAnsi="楷体" w:eastAsia="楷体"/>
          <w:b/>
          <w:sz w:val="28"/>
          <w:szCs w:val="28"/>
        </w:rPr>
        <w:t xml:space="preserve">1.</w:t>
      </w:r>
      <w:r>
        <w:rPr>
          <w:rFonts w:hint="eastAsia" w:ascii="楷体" w:hAnsi="楷体" w:eastAsia="楷体"/>
          <w:b/>
          <w:sz w:val="28"/>
          <w:szCs w:val="28"/>
        </w:rPr>
        <w:t xml:space="preserve">6 </w:t>
      </w:r>
      <w:r>
        <w:rPr>
          <w:rFonts w:hint="eastAsia" w:ascii="楷体" w:hAnsi="楷体" w:eastAsia="楷体" w:cs="宋体"/>
          <w:b/>
          <w:sz w:val="28"/>
          <w:szCs w:val="28"/>
        </w:rPr>
        <w:t xml:space="preserve">语言</w:t>
      </w:r>
      <w:bookmarkEnd w:id="106"/>
      <w:r>
        <w:rPr>
          <w:rFonts w:hint="eastAsia" w:ascii="楷体" w:hAnsi="楷体" w:eastAsia="楷体" w:cs="宋体"/>
          <w:b/>
          <w:sz w:val="28"/>
          <w:szCs w:val="28"/>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90" w:lineRule="exact"/>
        <w:rPr>
          <w:rFonts w:ascii="宋体"/>
          <w:sz w:val="28"/>
          <w:szCs w:val="28"/>
        </w:rPr>
      </w:pPr>
      <w:r/>
      <w:bookmarkStart w:id="116" w:name="_Toc152042314"/>
      <w:r/>
      <w:bookmarkStart w:id="117" w:name="_Toc247085697"/>
      <w:r/>
      <w:bookmarkStart w:id="118" w:name="_Toc144974506"/>
      <w:r/>
      <w:bookmarkStart w:id="119" w:name="_Toc152045538"/>
      <w:r/>
      <w:bookmarkStart w:id="120" w:name="_Toc246996183"/>
      <w:r/>
      <w:bookmarkStart w:id="121" w:name="_Toc246996926"/>
      <w:r/>
      <w:bookmarkStart w:id="122" w:name="_Toc179632555"/>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3" w:name="_Toc383438600"/>
      <w:r/>
      <w:bookmarkStart w:id="124" w:name="_Toc426469879"/>
      <w:r/>
      <w:bookmarkStart w:id="125" w:name="_Toc343525513"/>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26" w:name="_Toc426469881"/>
      <w:r>
        <w:rPr>
          <w:rFonts w:ascii="楷体" w:hAnsi="楷体" w:eastAsia="楷体"/>
          <w:b/>
          <w:sz w:val="28"/>
          <w:szCs w:val="28"/>
        </w:rPr>
        <w:t xml:space="preserve">1.</w:t>
      </w:r>
      <w:r>
        <w:rPr>
          <w:rFonts w:hint="eastAsia" w:ascii="楷体" w:hAnsi="楷体" w:eastAsia="楷体"/>
          <w:b/>
          <w:sz w:val="28"/>
          <w:szCs w:val="28"/>
        </w:rPr>
        <w:t xml:space="preserve">8 </w:t>
      </w:r>
      <w:r>
        <w:rPr>
          <w:rFonts w:hint="eastAsia" w:ascii="楷体" w:hAnsi="楷体" w:eastAsia="楷体" w:cs="宋体"/>
          <w:b/>
          <w:sz w:val="28"/>
          <w:szCs w:val="28"/>
        </w:rPr>
        <w:t xml:space="preserve">偏离</w:t>
      </w:r>
      <w:bookmarkEnd w:id="126"/>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sz w:val="28"/>
          <w:szCs w:val="28"/>
        </w:rPr>
        <w:t xml:space="preserve"> </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sz w:val="28"/>
          <w:szCs w:val="28"/>
        </w:rPr>
        <w:t xml:space="preserve"> </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27" w:name="_Toc426469882"/>
      <w:r/>
      <w:bookmarkStart w:id="128" w:name="_Toc383438604"/>
      <w:r/>
      <w:bookmarkStart w:id="129" w:name="_Toc343525517"/>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7"/>
      <w:r/>
      <w:bookmarkEnd w:id="128"/>
      <w:r/>
      <w:bookmarkEnd w:id="129"/>
      <w:r/>
      <w:r/>
    </w:p>
    <w:p>
      <w:pPr>
        <w:spacing w:line="490" w:lineRule="exact"/>
        <w:rPr>
          <w:rFonts w:ascii="楷体" w:hAnsi="楷体" w:eastAsia="楷体"/>
          <w:b/>
          <w:sz w:val="28"/>
          <w:szCs w:val="28"/>
        </w:rPr>
      </w:pPr>
      <w:r/>
      <w:bookmarkStart w:id="130" w:name="_Toc343525518"/>
      <w:r/>
      <w:bookmarkStart w:id="131" w:name="_Toc383438605"/>
      <w:r/>
      <w:bookmarkStart w:id="132" w:name="_Toc246996188"/>
      <w:r/>
      <w:bookmarkStart w:id="133" w:name="_Toc426469883"/>
      <w:r/>
      <w:bookmarkStart w:id="134" w:name="_Toc246996931"/>
      <w:r/>
      <w:bookmarkStart w:id="135" w:name="_Toc152045543"/>
      <w:r/>
      <w:bookmarkStart w:id="136" w:name="_Toc247085702"/>
      <w:r/>
      <w:bookmarkStart w:id="137" w:name="_Toc179632561"/>
      <w:r/>
      <w:bookmarkStart w:id="138" w:name="_Toc152042319"/>
      <w:r/>
      <w:bookmarkStart w:id="139" w:name="_Toc144974511"/>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）供应商须知；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sz w:val="28"/>
          <w:szCs w:val="28"/>
        </w:rPr>
        <w:t xml:space="preserve"> </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0" w:name="_Toc343525519"/>
      <w:r/>
      <w:bookmarkStart w:id="141" w:name="_Toc246996189"/>
      <w:r/>
      <w:bookmarkStart w:id="142" w:name="_Toc247085703"/>
      <w:r/>
      <w:bookmarkStart w:id="143" w:name="_Toc426469884"/>
      <w:r/>
      <w:bookmarkStart w:id="144" w:name="_Toc383438606"/>
      <w:r/>
      <w:bookmarkStart w:id="145" w:name="_Toc246996932"/>
      <w:r/>
      <w:bookmarkStart w:id="146" w:name="_Toc144974512"/>
      <w:r/>
      <w:bookmarkStart w:id="147" w:name="_Toc179632562"/>
      <w:r/>
      <w:bookmarkStart w:id="148" w:name="_Toc152045544"/>
      <w:r/>
      <w:bookmarkStart w:id="149" w:name="_Toc152042320"/>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0"/>
      <w:r/>
      <w:bookmarkEnd w:id="141"/>
      <w:r/>
      <w:bookmarkEnd w:id="142"/>
      <w:r/>
      <w:bookmarkEnd w:id="143"/>
      <w:r/>
      <w:bookmarkEnd w:id="144"/>
      <w:r/>
      <w:bookmarkEnd w:id="145"/>
      <w:r/>
      <w:bookmarkEnd w:id="146"/>
      <w:r/>
      <w:bookmarkEnd w:id="147"/>
      <w:r/>
      <w:bookmarkEnd w:id="148"/>
      <w:r/>
      <w:bookmarkEnd w:id="149"/>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0" w:name="_Toc144974513"/>
      <w:r/>
      <w:bookmarkStart w:id="151" w:name="_Toc426469885"/>
      <w:r/>
      <w:bookmarkStart w:id="152" w:name="_Toc246996933"/>
      <w:r/>
      <w:bookmarkStart w:id="153" w:name="_Toc246996190"/>
      <w:r/>
      <w:bookmarkStart w:id="154" w:name="_Toc343525520"/>
      <w:r/>
      <w:bookmarkStart w:id="155" w:name="_Toc383438607"/>
      <w:r/>
      <w:bookmarkStart w:id="156" w:name="_Toc179632563"/>
      <w:r/>
      <w:bookmarkStart w:id="157" w:name="_Toc152045545"/>
      <w:r/>
      <w:bookmarkStart w:id="158" w:name="_Toc247085704"/>
      <w:r/>
      <w:bookmarkStart w:id="159" w:name="_Toc152042321"/>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 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0" w:name="_Toc246996191"/>
      <w:r/>
      <w:bookmarkStart w:id="161" w:name="_Toc179632564"/>
      <w:r/>
      <w:bookmarkStart w:id="162" w:name="_Toc152042322"/>
      <w:r/>
      <w:bookmarkStart w:id="163" w:name="_Toc343525522"/>
      <w:r/>
      <w:bookmarkStart w:id="164" w:name="_Toc144974514"/>
      <w:r/>
      <w:bookmarkStart w:id="165" w:name="_Toc383438609"/>
      <w:r/>
      <w:bookmarkStart w:id="166" w:name="_Toc247085705"/>
      <w:r/>
      <w:bookmarkStart w:id="167" w:name="_Toc152045546"/>
      <w:r/>
      <w:bookmarkStart w:id="168" w:name="_Toc246996934"/>
      <w:r/>
      <w:bookmarkStart w:id="169"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宋体"/>
          <w:b/>
          <w:sz w:val="32"/>
          <w:szCs w:val="32"/>
        </w:rPr>
        <w:t xml:space="preserve">文件</w:t>
      </w:r>
      <w:bookmarkEnd w:id="169"/>
      <w:r/>
      <w:r/>
    </w:p>
    <w:p>
      <w:pPr>
        <w:spacing w:line="490" w:lineRule="exact"/>
        <w:rPr>
          <w:rFonts w:ascii="楷体" w:hAnsi="楷体" w:eastAsia="楷体" w:cs="宋体"/>
          <w:b/>
          <w:sz w:val="28"/>
          <w:szCs w:val="28"/>
        </w:rPr>
      </w:pPr>
      <w:r/>
      <w:bookmarkStart w:id="170" w:name="_Toc152042323"/>
      <w:r/>
      <w:bookmarkStart w:id="171" w:name="_Toc383438610"/>
      <w:r/>
      <w:bookmarkStart w:id="172" w:name="_Toc246996935"/>
      <w:r/>
      <w:bookmarkStart w:id="173" w:name="_Toc144974515"/>
      <w:r/>
      <w:bookmarkStart w:id="174" w:name="_Toc179632565"/>
      <w:r/>
      <w:bookmarkStart w:id="175" w:name="_Toc343525523"/>
      <w:r/>
      <w:bookmarkStart w:id="176" w:name="_Toc246996192"/>
      <w:r/>
      <w:bookmarkStart w:id="177" w:name="_Toc247085706"/>
      <w:r/>
      <w:bookmarkStart w:id="178" w:name="_Toc152045547"/>
      <w:r/>
      <w:bookmarkStart w:id="179"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0"/>
      <w:r/>
      <w:bookmarkEnd w:id="171"/>
      <w:r/>
      <w:bookmarkEnd w:id="172"/>
      <w:r/>
      <w:bookmarkEnd w:id="173"/>
      <w:r/>
      <w:bookmarkEnd w:id="174"/>
      <w:r/>
      <w:bookmarkEnd w:id="175"/>
      <w:r/>
      <w:bookmarkEnd w:id="176"/>
      <w:r/>
      <w:bookmarkEnd w:id="177"/>
      <w:r/>
      <w:bookmarkEnd w:id="178"/>
      <w:r>
        <w:rPr>
          <w:rFonts w:hint="eastAsia" w:ascii="楷体" w:hAnsi="楷体" w:eastAsia="楷体" w:cs="宋体"/>
          <w:b/>
          <w:sz w:val="28"/>
          <w:szCs w:val="28"/>
        </w:rPr>
        <w:t xml:space="preserve"> 投标文件的组成</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0" w:name="_Toc367785004"/>
      <w:r/>
      <w:bookmarkStart w:id="181" w:name="_Toc426469889"/>
      <w:r>
        <w:rPr>
          <w:rFonts w:ascii="楷体" w:hAnsi="楷体" w:eastAsia="楷体" w:cs="宋体"/>
          <w:b/>
          <w:sz w:val="28"/>
          <w:szCs w:val="28"/>
        </w:rPr>
        <w:t xml:space="preserve">3.2</w:t>
      </w:r>
      <w:bookmarkEnd w:id="180"/>
      <w:r>
        <w:rPr>
          <w:rFonts w:hint="eastAsia" w:ascii="楷体" w:hAnsi="楷体" w:eastAsia="楷体" w:cs="宋体"/>
          <w:b/>
          <w:sz w:val="28"/>
          <w:szCs w:val="28"/>
        </w:rPr>
        <w:t xml:space="preserve"> 投标报价</w:t>
      </w:r>
      <w:bookmarkEnd w:id="181"/>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 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w:t>
      </w:r>
      <w:r>
        <w:rPr>
          <w:rFonts w:hint="eastAsia" w:ascii="宋体" w:hAnsi="宋体"/>
          <w:sz w:val="28"/>
          <w:szCs w:val="28"/>
        </w:rPr>
        <w:t xml:space="preserve"> </w:t>
      </w:r>
      <w:r>
        <w:rPr>
          <w:rFonts w:ascii="宋体" w:hAnsi="宋体"/>
          <w:sz w:val="28"/>
          <w:szCs w:val="28"/>
        </w:rPr>
        <w:t xml:space="preserve">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2" w:name="_Toc383438612"/>
      <w:r/>
      <w:bookmarkStart w:id="183" w:name="_Toc247085708"/>
      <w:r/>
      <w:bookmarkStart w:id="184" w:name="_Toc246996194"/>
      <w:r/>
      <w:bookmarkStart w:id="185" w:name="_Toc246996937"/>
      <w:r/>
      <w:bookmarkStart w:id="186" w:name="_Toc152042325"/>
      <w:r/>
      <w:bookmarkStart w:id="187" w:name="_Toc343525525"/>
      <w:r/>
      <w:bookmarkStart w:id="188" w:name="_Toc426469890"/>
      <w:r/>
      <w:bookmarkStart w:id="189" w:name="_Toc179632567"/>
      <w:r/>
      <w:bookmarkStart w:id="190" w:name="_Toc144974517"/>
      <w:r/>
      <w:bookmarkStart w:id="191" w:name="_Toc152045549"/>
      <w:r>
        <w:rPr>
          <w:rFonts w:ascii="楷体" w:hAnsi="楷体" w:eastAsia="楷体"/>
          <w:b/>
          <w:sz w:val="28"/>
          <w:szCs w:val="28"/>
        </w:rPr>
        <w:t xml:space="preserve">3.3</w:t>
      </w:r>
      <w:r>
        <w:rPr>
          <w:rFonts w:hint="eastAsia" w:ascii="楷体" w:hAnsi="楷体" w:eastAsia="楷体"/>
          <w:b/>
          <w:sz w:val="28"/>
          <w:szCs w:val="28"/>
        </w:rPr>
        <w:t xml:space="preserve"> </w:t>
      </w:r>
      <w:r>
        <w:rPr>
          <w:rFonts w:hint="eastAsia" w:ascii="楷体" w:hAnsi="楷体" w:eastAsia="楷体" w:cs="宋体"/>
          <w:b/>
          <w:sz w:val="28"/>
          <w:szCs w:val="28"/>
        </w:rPr>
        <w:t xml:space="preserve">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90" w:lineRule="exact"/>
        <w:rPr>
          <w:rFonts w:ascii="宋体"/>
          <w:sz w:val="28"/>
          <w:szCs w:val="28"/>
        </w:rPr>
      </w:pPr>
      <w:r>
        <w:rPr>
          <w:rFonts w:ascii="宋体" w:hAnsi="宋体"/>
          <w:sz w:val="28"/>
          <w:szCs w:val="28"/>
        </w:rPr>
        <w:t xml:space="preserve">3.3.1</w:t>
      </w:r>
      <w:r>
        <w:rPr>
          <w:rFonts w:hint="eastAsia" w:ascii="宋体" w:hAnsi="宋体"/>
          <w:sz w:val="28"/>
          <w:szCs w:val="28"/>
        </w:rPr>
        <w:t xml:space="preserve"> </w:t>
      </w:r>
      <w:r>
        <w:rPr>
          <w:rFonts w:ascii="宋体" w:hAnsi="宋体"/>
          <w:sz w:val="28"/>
          <w:szCs w:val="28"/>
        </w:rPr>
        <w:t xml:space="preserve">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sz w:val="28"/>
          <w:szCs w:val="28"/>
        </w:rPr>
        <w:t xml:space="preserve"> </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2" w:name="_Toc426469892"/>
      <w:r>
        <w:rPr>
          <w:rFonts w:ascii="楷体" w:hAnsi="楷体" w:eastAsia="楷体"/>
          <w:b/>
          <w:sz w:val="28"/>
          <w:szCs w:val="28"/>
        </w:rPr>
        <w:t xml:space="preserve">3.4</w:t>
      </w:r>
      <w:r>
        <w:rPr>
          <w:rFonts w:hint="eastAsia" w:ascii="楷体" w:hAnsi="楷体" w:eastAsia="楷体"/>
          <w:b/>
          <w:sz w:val="28"/>
          <w:szCs w:val="28"/>
        </w:rPr>
        <w:t xml:space="preserve"> </w:t>
      </w:r>
      <w:r>
        <w:rPr>
          <w:rFonts w:hint="eastAsia" w:ascii="楷体" w:hAnsi="楷体" w:eastAsia="楷体" w:cs="宋体"/>
          <w:b/>
          <w:sz w:val="28"/>
          <w:szCs w:val="28"/>
        </w:rPr>
        <w:t xml:space="preserve">投标文件的编制</w:t>
      </w:r>
      <w:bookmarkEnd w:id="192"/>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sz w:val="28"/>
          <w:szCs w:val="28"/>
        </w:rPr>
        <w:t xml:space="preserve"> </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 </w:t>
      </w:r>
      <w:r>
        <w:rPr>
          <w:rFonts w:ascii="宋体" w:hAnsi="宋体"/>
          <w:sz w:val="28"/>
          <w:szCs w:val="28"/>
        </w:rPr>
        <w:t xml:space="preserve">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193" w:name="_Toc426469894"/>
      <w:r/>
      <w:bookmarkStart w:id="194" w:name="_Toc367785016"/>
      <w:r>
        <w:rPr>
          <w:rFonts w:hint="eastAsia" w:ascii="宋体" w:hAnsi="宋体"/>
          <w:sz w:val="28"/>
          <w:szCs w:val="28"/>
        </w:rPr>
        <w:t xml:space="preserve">3.4.4 投标文件的签署：见供应商须知前附表</w:t>
      </w:r>
      <w:bookmarkEnd w:id="65"/>
      <w:r/>
      <w:bookmarkEnd w:id="193"/>
      <w:r/>
      <w:bookmarkEnd w:id="194"/>
      <w:r/>
      <w:r/>
    </w:p>
    <w:p>
      <w:pPr>
        <w:spacing w:line="490" w:lineRule="exact"/>
        <w:rPr>
          <w:rFonts w:ascii="黑体" w:hAnsi="黑体" w:eastAsia="黑体"/>
          <w:sz w:val="32"/>
          <w:szCs w:val="32"/>
        </w:rPr>
      </w:pPr>
      <w:r/>
      <w:bookmarkStart w:id="195" w:name="_Toc144974554"/>
      <w:r/>
      <w:bookmarkStart w:id="196" w:name="_Toc179632605"/>
      <w:r/>
      <w:bookmarkStart w:id="197" w:name="_Toc383438646"/>
      <w:r/>
      <w:bookmarkStart w:id="198" w:name="_Toc152042364"/>
      <w:r/>
      <w:bookmarkStart w:id="199" w:name="_Toc390099019"/>
      <w:r/>
      <w:bookmarkStart w:id="200" w:name="_Toc383623673"/>
      <w:r/>
      <w:bookmarkStart w:id="201" w:name="_Toc247085745"/>
      <w:r/>
      <w:bookmarkStart w:id="202" w:name="_Toc383698648"/>
      <w:r/>
      <w:bookmarkStart w:id="203" w:name="_Toc390098841"/>
      <w:r/>
      <w:bookmarkStart w:id="204" w:name="_Toc246996973"/>
      <w:r/>
      <w:bookmarkStart w:id="205" w:name="_Toc246996230"/>
      <w:r/>
      <w:bookmarkStart w:id="206" w:name="_Toc343525562"/>
      <w:r/>
      <w:bookmarkStart w:id="207" w:name="_Toc383625994"/>
      <w:r/>
      <w:bookmarkStart w:id="208" w:name="_Toc152045587"/>
      <w:r/>
      <w:bookmarkStart w:id="209" w:name="_Toc383587457"/>
      <w:r/>
      <w:bookmarkStart w:id="210" w:name="_Toc390246906"/>
      <w:r/>
      <w:bookmarkStart w:id="211" w:name="_Toc383623945"/>
      <w:r/>
      <w:bookmarkStart w:id="212" w:name="_Toc383679747"/>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（1）系统登录。供应商应在投标截止时间前登录开标大厅。</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（2）供应商解密投标文件。按照系统内提示，在规定的时间内完成投标文件的解密。</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（3）唱标。</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（4）开标记录确认。</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（1）系统服务器发生故障，无法访问或无法使用系统；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（2）系统的软件或数据库出现错误，不能进行正常操作；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（3）系统发现有安全漏洞，有潜在的泄密危险；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（4）其他无法保证招投标过程公平和信息安全的情形。</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5.3.2因供应商自身原因造成投标文件无法解密的，视为撤销投标文件。</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5.3.3供应商对开标过程和开标记录有疑义的，可向招标人或者采购代理机构提出。</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671343"/>
      <w:r/>
      <w:bookmarkEnd w:id="213"/>
      <w:r/>
      <w:bookmarkStart w:id="214" w:name="_Hlt26609391"/>
      <w:r/>
      <w:bookmarkEnd w:id="214"/>
      <w:r/>
      <w:bookmarkStart w:id="215" w:name="_Hlt24879081"/>
      <w:r/>
      <w:bookmarkEnd w:id="215"/>
      <w:r/>
      <w:bookmarkStart w:id="216" w:name="_Hlt26580838"/>
      <w:r/>
      <w:bookmarkEnd w:id="216"/>
      <w:r/>
      <w:bookmarkStart w:id="217" w:name="_Hlt26955064"/>
      <w:r/>
      <w:bookmarkEnd w:id="217"/>
      <w:r/>
      <w:bookmarkStart w:id="218" w:name="_Hlt26671372"/>
      <w:r/>
      <w:bookmarkEnd w:id="218"/>
      <w:r/>
      <w:bookmarkStart w:id="219" w:name="_Hlt26782999"/>
      <w:r/>
      <w:bookmarkEnd w:id="219"/>
      <w:r/>
      <w:bookmarkStart w:id="220" w:name="_Hlt26955056"/>
      <w:r/>
      <w:bookmarkEnd w:id="220"/>
      <w:r/>
      <w:r/>
    </w:p>
    <w:p>
      <w:pPr>
        <w:pStyle w:val="687"/>
        <w:spacing w:line="490" w:lineRule="exact"/>
      </w:pPr>
      <w:r/>
      <w:r/>
    </w:p>
    <w:p>
      <w:pPr>
        <w:pStyle w:val="687"/>
      </w:pPr>
      <w:r/>
      <w:r/>
    </w:p>
    <w:p>
      <w:pPr>
        <w:pStyle w:val="687"/>
      </w:pPr>
      <w:r/>
      <w:r/>
    </w:p>
    <w:p>
      <w:pPr>
        <w:pStyle w:val="687"/>
      </w:pPr>
      <w:r/>
      <w:r/>
    </w:p>
    <w:p>
      <w:pPr>
        <w:pStyle w:val="687"/>
      </w:pPr>
      <w:r/>
      <w:r/>
    </w:p>
    <w:p>
      <w:pPr>
        <w:jc w:val="left"/>
        <w:widowControl/>
      </w:pPr>
      <w:r>
        <w:br w:type="page" w:clear="all"/>
      </w:r>
      <w:r/>
    </w:p>
    <w:p>
      <w:pPr>
        <w:pStyle w:val="750"/>
        <w:ind w:left="-2" w:firstLine="643"/>
        <w:jc w:val="center"/>
        <w:spacing w:line="360" w:lineRule="exact"/>
        <w:rPr>
          <w:rFonts w:ascii="黑体" w:hAnsi="黑体" w:eastAsia="黑体"/>
          <w:b/>
          <w:sz w:val="32"/>
          <w:szCs w:val="32"/>
          <w:highlight w:val="none"/>
        </w:rPr>
        <w:outlineLvl w:val="0"/>
      </w:pPr>
      <w:r>
        <w:rPr>
          <w:rFonts w:hint="eastAsia" w:ascii="黑体" w:hAnsi="黑体" w:eastAsia="黑体"/>
          <w:b/>
          <w:sz w:val="32"/>
          <w:szCs w:val="32"/>
          <w:highlight w:val="none"/>
        </w:rPr>
        <w:t xml:space="preserve">第三章</w:t>
      </w:r>
      <w:r>
        <w:rPr>
          <w:rFonts w:ascii="黑体" w:hAnsi="黑体" w:eastAsia="黑体"/>
          <w:b/>
          <w:sz w:val="32"/>
          <w:szCs w:val="32"/>
          <w:highlight w:val="none"/>
        </w:rPr>
        <w:t xml:space="preserve"> 资格审查及</w:t>
      </w:r>
      <w:r>
        <w:rPr>
          <w:rFonts w:hint="eastAsia" w:ascii="黑体" w:hAnsi="黑体" w:eastAsia="黑体"/>
          <w:b/>
          <w:sz w:val="32"/>
          <w:szCs w:val="32"/>
          <w:highlight w:val="none"/>
        </w:rPr>
        <w:t xml:space="preserve">评标办法</w:t>
      </w:r>
      <w:r/>
    </w:p>
    <w:p>
      <w:pPr>
        <w:keepLines w:val="0"/>
        <w:keepNext w:val="0"/>
        <w:pageBreakBefore w:val="0"/>
        <w:spacing w:line="240" w:lineRule="auto"/>
        <w:widowControl w:val="off"/>
        <w:rPr>
          <w:rFonts w:hint="eastAsia" w:ascii="宋体" w:hAnsi="宋体" w:eastAsia="宋体" w:cs="宋体"/>
          <w:sz w:val="21"/>
          <w:szCs w:val="21"/>
          <w:lang w:val="zh-CN"/>
        </w:rPr>
      </w:pPr>
      <w:r/>
      <w:bookmarkStart w:id="221" w:name="_Toc179632606"/>
      <w:r/>
      <w:bookmarkStart w:id="222" w:name="_Toc426469920"/>
      <w:r/>
      <w:bookmarkStart w:id="223" w:name="_Toc152045588"/>
      <w:r/>
      <w:bookmarkStart w:id="224" w:name="_Toc383438647"/>
      <w:r/>
      <w:bookmarkStart w:id="225" w:name="_Toc246996974"/>
      <w:r/>
      <w:bookmarkStart w:id="226" w:name="_Toc247085746"/>
      <w:r/>
      <w:bookmarkStart w:id="227" w:name="_Toc152042365"/>
      <w:r/>
      <w:bookmarkStart w:id="228" w:name="_Toc343525563"/>
      <w:r/>
      <w:bookmarkStart w:id="229" w:name="_Toc246996231"/>
      <w:r/>
      <w:bookmarkStart w:id="230" w:name="_Toc144974555"/>
      <w:r>
        <w:rPr>
          <w:rFonts w:hint="eastAsia" w:ascii="宋体" w:hAnsi="宋体" w:eastAsia="宋体" w:cs="宋体"/>
          <w:sz w:val="21"/>
          <w:szCs w:val="21"/>
          <w:lang w:val="zh-CN"/>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343525564"/>
      <w:r/>
      <w:bookmarkStart w:id="232" w:name="_Toc152042366"/>
      <w:r/>
      <w:bookmarkStart w:id="233" w:name="_Toc246996975"/>
      <w:r/>
      <w:bookmarkStart w:id="234" w:name="_Toc179632607"/>
      <w:r/>
      <w:bookmarkStart w:id="235" w:name="_Toc152045589"/>
      <w:r/>
      <w:bookmarkStart w:id="236" w:name="_Toc144974556"/>
      <w:r/>
      <w:bookmarkStart w:id="237" w:name="_Toc247085747"/>
      <w:r/>
      <w:bookmarkStart w:id="238" w:name="_Toc246996232"/>
      <w:r/>
      <w:r/>
    </w:p>
    <w:tbl>
      <w:tblPr>
        <w:tblStyle w:val="682"/>
        <w:tblW w:w="91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85"/>
        <w:gridCol w:w="349"/>
        <w:gridCol w:w="2733"/>
        <w:gridCol w:w="5097"/>
        <w:gridCol w:w="634"/>
      </w:tblGrid>
      <w:tr>
        <w:trPr>
          <w:jc w:val="center"/>
          <w:trHeight w:val="361"/>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条款号</w:t>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评审因素</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评审标准</w:t>
            </w:r>
            <w:r/>
          </w:p>
        </w:tc>
      </w:tr>
      <w:tr>
        <w:trPr>
          <w:jc w:val="center"/>
          <w:trHeight w:val="1134"/>
        </w:trPr>
        <w:tc>
          <w:tcPr>
            <w:tcBorders>
              <w:top w:val="single" w:color="auto" w:sz="6" w:space="0"/>
              <w:left w:val="single" w:color="auto" w:sz="6" w:space="0"/>
              <w:right w:val="single" w:color="auto" w:sz="6" w:space="0"/>
            </w:tcBorders>
            <w:tcW w:w="385"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w:t>
            </w:r>
            <w:r/>
          </w:p>
        </w:tc>
        <w:tc>
          <w:tcPr>
            <w:tcBorders>
              <w:top w:val="single" w:color="auto" w:sz="6" w:space="0"/>
              <w:left w:val="single" w:color="auto" w:sz="6" w:space="0"/>
              <w:right w:val="single" w:color="auto" w:sz="6" w:space="0"/>
            </w:tcBorders>
            <w:tcW w:w="34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资格审查</w:t>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根据供应商提供的承诺函，内容完整且具有法人及法定代表人的印章。（内容及格式参照第六章）</w:t>
            </w:r>
            <w:r/>
          </w:p>
        </w:tc>
      </w:tr>
      <w:tr>
        <w:trPr>
          <w:jc w:val="center"/>
          <w:trHeight w:val="336"/>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460" w:lineRule="exact"/>
              <w:rPr>
                <w:rFonts w:hint="eastAsia" w:ascii="宋体" w:hAnsi="宋体" w:eastAsia="宋体" w:cs="宋体"/>
                <w:b/>
                <w:spacing w:val="-14"/>
              </w:rPr>
            </w:pPr>
            <w:r>
              <w:rPr>
                <w:rFonts w:hint="eastAsia" w:ascii="宋体" w:hAnsi="宋体" w:eastAsia="宋体" w:cs="宋体"/>
                <w:b/>
                <w:spacing w:val="-14"/>
              </w:rPr>
              <w:t xml:space="preserve">1.2项评审内容由采购人负责，投标文件不符合1.2项评审标准的，作无效标处理。</w:t>
            </w:r>
            <w:r/>
          </w:p>
        </w:tc>
      </w:tr>
      <w:tr>
        <w:trPr>
          <w:jc w:val="center"/>
          <w:trHeight w:val="359"/>
        </w:trPr>
        <w:tc>
          <w:tcPr>
            <w:tcBorders>
              <w:top w:val="single" w:color="auto" w:sz="6" w:space="0"/>
              <w:left w:val="single" w:color="auto" w:sz="6" w:space="0"/>
              <w:bottom w:val="single" w:color="auto" w:sz="6" w:space="0"/>
              <w:right w:val="single" w:color="auto" w:sz="6" w:space="0"/>
            </w:tcBorders>
            <w:tcW w:w="385"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pacing w:val="-34"/>
                <w:sz w:val="21"/>
                <w:szCs w:val="21"/>
                <w:lang w:val="zh-CN"/>
              </w:rPr>
              <w:t xml:space="preserve">2.2.2</w:t>
            </w:r>
            <w:r/>
          </w:p>
        </w:tc>
        <w:tc>
          <w:tcPr>
            <w:tcBorders>
              <w:top w:val="single" w:color="auto" w:sz="6" w:space="0"/>
              <w:left w:val="single" w:color="auto" w:sz="6" w:space="0"/>
              <w:bottom w:val="single" w:color="auto" w:sz="6" w:space="0"/>
              <w:right w:val="single" w:color="auto" w:sz="6" w:space="0"/>
            </w:tcBorders>
            <w:tcW w:w="349"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性</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评</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审</w:t>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符合第二章第3.4.4项规定</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有且只有一个有效报价；未超过采购最高限价</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符合第二章第1.3.2项规定</w:t>
            </w:r>
            <w:r/>
          </w:p>
        </w:tc>
      </w:tr>
      <w:tr>
        <w:trPr>
          <w:jc w:val="center"/>
          <w:trHeight w:val="408"/>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投标有效期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符合第二章第3.3.1项规定</w:t>
            </w:r>
            <w:r/>
          </w:p>
        </w:tc>
      </w:tr>
      <w:tr>
        <w:trPr>
          <w:jc w:val="center"/>
          <w:trHeight w:val="34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偏离</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第五章采购需求不允许负偏离</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eastAsia="宋体" w:cs="宋体"/>
                <w:b/>
                <w:spacing w:val="-14"/>
              </w:rPr>
              <w:t xml:space="preserve">2.2.2项评审内容由评标委员会负责，投标文件不符合2.2.2项评审标准的，作无效标处理。</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b/>
                <w:bCs/>
                <w:sz w:val="21"/>
                <w:szCs w:val="21"/>
                <w:lang w:val="en-US" w:eastAsia="zh-CN"/>
              </w:rPr>
              <w:t xml:space="preserve">2.3详细评审</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b/>
                <w:bCs/>
                <w:sz w:val="24"/>
                <w:szCs w:val="24"/>
                <w:highlight w:val="none"/>
              </w:rPr>
              <w:t xml:space="preserve">项目</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b/>
                <w:bCs/>
                <w:sz w:val="24"/>
                <w:szCs w:val="24"/>
                <w:highlight w:val="none"/>
              </w:rPr>
              <w:t xml:space="preserve">评分内容</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b/>
                <w:bCs/>
                <w:spacing w:val="-28"/>
                <w:sz w:val="24"/>
                <w:szCs w:val="24"/>
                <w:highlight w:val="none"/>
              </w:rPr>
              <w:t xml:space="preserve">最高分</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pacing w:val="-28"/>
                <w:sz w:val="24"/>
                <w:szCs w:val="24"/>
                <w:highlight w:val="none"/>
                <w:lang w:val="en-US" w:eastAsia="zh-CN"/>
              </w:rPr>
            </w:pPr>
            <w:r>
              <w:rPr>
                <w:rFonts w:hint="eastAsia" w:ascii="宋体" w:hAnsi="宋体" w:cs="宋体"/>
                <w:b/>
                <w:bCs/>
                <w:spacing w:val="-28"/>
                <w:sz w:val="24"/>
                <w:szCs w:val="24"/>
                <w:highlight w:val="none"/>
                <w:lang w:val="en-US" w:eastAsia="zh-CN"/>
              </w:rPr>
              <w:t xml:space="preserve">价格评审（25分）</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报价部分</w:t>
            </w:r>
            <w:r>
              <w:rPr>
                <w:rFonts w:hint="eastAsia" w:ascii="宋体" w:hAnsi="宋体" w:eastAsia="宋体" w:cs="宋体"/>
                <w:sz w:val="21"/>
                <w:szCs w:val="21"/>
                <w:highlight w:val="none"/>
                <w:lang w:val="zh-CN" w:eastAsia="zh-CN"/>
              </w:rPr>
              <w:t xml:space="preserve">（</w:t>
            </w: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eastAsia="zh-CN"/>
              </w:rPr>
              <w:t xml:space="preserve">）</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资格性审查和符合性审查合格且投标价格最低为评标基准价，其价格分为</w:t>
            </w:r>
            <w:r>
              <w:rPr>
                <w:rFonts w:hint="eastAsia" w:ascii="宋体" w:hAnsi="宋体" w:cs="宋体"/>
                <w:sz w:val="21"/>
                <w:szCs w:val="21"/>
                <w:lang w:val="en-US" w:eastAsia="zh-CN"/>
              </w:rPr>
              <w:t xml:space="preserve">25</w:t>
            </w:r>
            <w:r>
              <w:rPr>
                <w:rFonts w:hint="eastAsia" w:ascii="宋体" w:hAnsi="宋体" w:eastAsia="宋体" w:cs="宋体"/>
                <w:sz w:val="21"/>
                <w:szCs w:val="21"/>
                <w:lang w:val="zh-CN"/>
              </w:rPr>
              <w:t xml:space="preserve">分。其他投标人的价格分按照下列公式计算（小数点保留两位）：投标报价得分=（评标基准价／投标报价）×</w:t>
            </w: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lang w:val="zh-CN"/>
              </w:rPr>
              <w:t xml:space="preserve">分（保留两位小数）。</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说明：根据《政府采购促进中小企业发展管理办法》规定，对小型和微型生产企业生产的产品或承接的服务价格给予10%的扣除，扣除后的价格参与评审。供应商应当提供《中小企业声明函》（格式见附件）</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25</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b/>
                <w:bCs/>
                <w:highlight w:val="none"/>
                <w:lang w:val="zh-CN" w:eastAsia="zh-CN"/>
              </w:rPr>
              <w:t xml:space="preserve">技术评审（</w:t>
            </w:r>
            <w:r>
              <w:rPr>
                <w:rFonts w:hint="eastAsia" w:ascii="宋体" w:hAnsi="宋体" w:cs="宋体"/>
                <w:b/>
                <w:bCs/>
                <w:highlight w:val="none"/>
                <w:lang w:val="en-US" w:eastAsia="zh-CN"/>
              </w:rPr>
              <w:t xml:space="preserve">38</w:t>
            </w:r>
            <w:r>
              <w:rPr>
                <w:rFonts w:hint="eastAsia" w:ascii="宋体" w:hAnsi="宋体" w:eastAsia="宋体" w:cs="宋体"/>
                <w:b/>
                <w:bCs/>
                <w:highlight w:val="none"/>
                <w:lang w:val="zh-CN" w:eastAsia="zh-CN"/>
              </w:rPr>
              <w:t xml:space="preserve">分）</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pStyle w:val="902"/>
              <w:ind w:left="2" w:right="-2"/>
              <w:jc w:val="center"/>
              <w:spacing w:line="264" w:lineRule="auto"/>
              <w:tabs>
                <w:tab w:val="left" w:pos="709" w:leader="none"/>
              </w:tabs>
              <w:rPr>
                <w:rFonts w:hint="eastAsia" w:ascii="宋体" w:hAnsi="宋体" w:eastAsia="宋体" w:cs="宋体"/>
                <w:sz w:val="21"/>
                <w:szCs w:val="21"/>
                <w:highlight w:val="none"/>
                <w:lang w:val="zh-CN"/>
              </w:rPr>
            </w:pPr>
            <w:r>
              <w:rPr>
                <w:rFonts w:hint="eastAsia" w:ascii="宋体" w:hAnsi="宋体" w:cs="仿宋"/>
                <w:color w:val="auto"/>
                <w:sz w:val="21"/>
                <w:szCs w:val="21"/>
                <w:highlight w:val="none"/>
                <w:lang w:eastAsia="zh-CN"/>
              </w:rPr>
              <w:t xml:space="preserve">资料收集</w:t>
            </w:r>
            <w:r>
              <w:rPr>
                <w:rFonts w:hint="eastAsia" w:ascii="宋体" w:hAnsi="宋体" w:cs="仿宋"/>
                <w:color w:val="auto"/>
                <w:sz w:val="21"/>
                <w:szCs w:val="21"/>
                <w:highlight w:val="none"/>
              </w:rPr>
              <w:t xml:space="preserve">（</w:t>
            </w:r>
            <w:r>
              <w:rPr>
                <w:rFonts w:hint="eastAsia" w:cs="仿宋"/>
                <w:color w:val="auto"/>
                <w:sz w:val="21"/>
                <w:szCs w:val="21"/>
                <w:highlight w:val="none"/>
                <w:lang w:val="en-US" w:eastAsia="zh-CN"/>
              </w:rPr>
              <w:t xml:space="preserve">10</w:t>
            </w:r>
            <w:r>
              <w:rPr>
                <w:rFonts w:hint="eastAsia" w:ascii="宋体" w:hAnsi="宋体" w:cs="仿宋"/>
                <w:color w:val="auto"/>
                <w:sz w:val="21"/>
                <w:szCs w:val="21"/>
                <w:highlight w:val="none"/>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rPr>
                <w:rFonts w:hint="eastAsia" w:ascii="宋体" w:hAnsi="宋体" w:eastAsia="宋体" w:cs="宋体"/>
                <w:sz w:val="21"/>
                <w:szCs w:val="21"/>
                <w:highlight w:val="none"/>
                <w:lang w:val="zh-CN"/>
              </w:rPr>
            </w:pPr>
            <w:r>
              <w:rPr>
                <w:rFonts w:hint="eastAsia"/>
                <w:sz w:val="21"/>
                <w:szCs w:val="21"/>
                <w:highlight w:val="none"/>
              </w:rPr>
              <w:t xml:space="preserve">方案中对泰兴市区域地质、土壤类型、水文地质、土壤地球化学特征等基础背景资料有详细的分析，对泰兴市区域土地情况，地类分布</w:t>
            </w:r>
            <w:r>
              <w:rPr>
                <w:rFonts w:hint="eastAsia"/>
                <w:sz w:val="21"/>
                <w:szCs w:val="21"/>
                <w:highlight w:val="none"/>
                <w:lang w:val="en-US" w:eastAsia="zh-CN"/>
              </w:rPr>
              <w:t xml:space="preserve">表述完善、完整</w:t>
            </w:r>
            <w:r>
              <w:rPr>
                <w:rFonts w:hint="eastAsia"/>
                <w:sz w:val="21"/>
                <w:szCs w:val="21"/>
                <w:highlight w:val="none"/>
              </w:rPr>
              <w:t xml:space="preserve">的</w:t>
            </w:r>
            <w:r>
              <w:rPr>
                <w:rFonts w:hint="eastAsia"/>
                <w:sz w:val="21"/>
                <w:szCs w:val="21"/>
                <w:highlight w:val="none"/>
                <w:lang w:eastAsia="zh-CN"/>
              </w:rPr>
              <w:t xml:space="preserve">，</w:t>
            </w:r>
            <w:r>
              <w:rPr>
                <w:rFonts w:hint="eastAsia"/>
                <w:sz w:val="21"/>
                <w:szCs w:val="21"/>
                <w:highlight w:val="none"/>
              </w:rPr>
              <w:t xml:space="preserve">得</w:t>
            </w:r>
            <w:r>
              <w:rPr>
                <w:rFonts w:hint="eastAsia"/>
                <w:sz w:val="21"/>
                <w:szCs w:val="21"/>
                <w:highlight w:val="none"/>
                <w:lang w:val="en-US" w:eastAsia="zh-CN"/>
              </w:rPr>
              <w:t xml:space="preserve">10</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rPr>
              <w:t xml:space="preserve">对区域背景资料分析较为详细，对土地情况，地类分布较为</w:t>
            </w:r>
            <w:r>
              <w:rPr>
                <w:rFonts w:hint="eastAsia"/>
                <w:sz w:val="21"/>
                <w:szCs w:val="21"/>
                <w:highlight w:val="none"/>
                <w:lang w:val="en-US" w:eastAsia="zh-CN"/>
              </w:rPr>
              <w:t xml:space="preserve">表述完善的，</w:t>
            </w:r>
            <w:r>
              <w:rPr>
                <w:rFonts w:hint="eastAsia"/>
                <w:sz w:val="21"/>
                <w:szCs w:val="21"/>
                <w:highlight w:val="none"/>
              </w:rPr>
              <w:t xml:space="preserve">得</w:t>
            </w:r>
            <w:r>
              <w:rPr>
                <w:rFonts w:hint="eastAsia"/>
                <w:sz w:val="21"/>
                <w:szCs w:val="21"/>
                <w:highlight w:val="none"/>
                <w:lang w:val="en-US" w:eastAsia="zh-CN"/>
              </w:rPr>
              <w:t xml:space="preserve">7</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rPr>
              <w:t xml:space="preserve">资料收集不完整，土地情况，地类分布不清晰的</w:t>
            </w:r>
            <w:r>
              <w:rPr>
                <w:rFonts w:hint="eastAsia"/>
                <w:sz w:val="21"/>
                <w:szCs w:val="21"/>
                <w:highlight w:val="none"/>
                <w:lang w:eastAsia="zh-CN"/>
              </w:rPr>
              <w:t xml:space="preserve">，</w:t>
            </w:r>
            <w:r>
              <w:rPr>
                <w:rFonts w:hint="eastAsia"/>
                <w:sz w:val="21"/>
                <w:szCs w:val="21"/>
                <w:highlight w:val="none"/>
              </w:rPr>
              <w:t xml:space="preserve">得</w:t>
            </w:r>
            <w:r>
              <w:rPr>
                <w:rFonts w:hint="eastAsia"/>
                <w:sz w:val="21"/>
                <w:szCs w:val="21"/>
                <w:highlight w:val="none"/>
                <w:lang w:val="en-US" w:eastAsia="zh-CN"/>
              </w:rPr>
              <w:t xml:space="preserve">3</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lang w:val="en-US" w:eastAsia="zh-CN"/>
              </w:rPr>
              <w:t xml:space="preserve">未提供</w:t>
            </w:r>
            <w:r>
              <w:rPr>
                <w:rFonts w:hint="eastAsia"/>
                <w:sz w:val="21"/>
                <w:szCs w:val="21"/>
                <w:highlight w:val="none"/>
              </w:rPr>
              <w:t xml:space="preserve">的不得分。</w:t>
            </w:r>
            <w:r>
              <w:rPr>
                <w:rFonts w:hint="eastAsia"/>
                <w:sz w:val="21"/>
                <w:szCs w:val="21"/>
                <w:highlight w:val="none"/>
                <w:lang w:val="en-US" w:eastAsia="zh-CN"/>
              </w:rPr>
              <w:t xml:space="preserve">本项最多得10分。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20" w:lineRule="exact"/>
              <w:rPr>
                <w:rFonts w:hint="default" w:ascii="宋体" w:hAnsi="宋体" w:eastAsia="宋体" w:cs="宋体"/>
                <w:sz w:val="21"/>
                <w:szCs w:val="21"/>
                <w:highlight w:val="none"/>
                <w:lang w:val="en-US" w:eastAsia="zh-CN"/>
              </w:rPr>
            </w:pPr>
            <w:r>
              <w:rPr>
                <w:rFonts w:hint="eastAsia" w:ascii="宋体"/>
                <w:b w:val="0"/>
                <w:bCs/>
                <w:sz w:val="21"/>
                <w:szCs w:val="21"/>
                <w:highlight w:val="none"/>
                <w:lang w:val="en-US" w:eastAsia="zh-CN"/>
              </w:rPr>
              <w:t xml:space="preserve">10</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pStyle w:val="902"/>
              <w:ind w:left="2" w:right="-2"/>
              <w:jc w:val="center"/>
              <w:spacing w:line="264" w:lineRule="auto"/>
              <w:tabs>
                <w:tab w:val="left" w:pos="709" w:leader="none"/>
              </w:tabs>
              <w:rPr>
                <w:rFonts w:hint="eastAsia" w:ascii="宋体" w:hAnsi="宋体" w:eastAsia="宋体" w:cs="宋体"/>
                <w:sz w:val="21"/>
                <w:szCs w:val="21"/>
                <w:highlight w:val="none"/>
                <w:lang w:val="zh-CN"/>
              </w:rPr>
            </w:pPr>
            <w:r>
              <w:rPr>
                <w:rFonts w:hint="eastAsia" w:ascii="宋体" w:hAnsi="宋体" w:cs="仿宋"/>
                <w:color w:val="auto"/>
                <w:sz w:val="21"/>
                <w:szCs w:val="21"/>
              </w:rPr>
              <w:t xml:space="preserve">实施方案（1</w:t>
            </w:r>
            <w:r>
              <w:rPr>
                <w:rFonts w:hint="eastAsia" w:cs="仿宋"/>
                <w:color w:val="auto"/>
                <w:sz w:val="21"/>
                <w:szCs w:val="21"/>
                <w:lang w:val="en-US" w:eastAsia="zh-CN"/>
              </w:rPr>
              <w:t xml:space="preserve">6</w:t>
            </w:r>
            <w:r>
              <w:rPr>
                <w:rFonts w:hint="eastAsia" w:ascii="宋体" w:hAnsi="宋体" w:cs="仿宋"/>
                <w:color w:val="auto"/>
                <w:sz w:val="21"/>
                <w:szCs w:val="21"/>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jc w:val="left"/>
              <w:rPr>
                <w:sz w:val="21"/>
                <w:szCs w:val="21"/>
                <w:highlight w:val="none"/>
              </w:rPr>
            </w:pPr>
            <w:r>
              <w:rPr>
                <w:rFonts w:hint="eastAsia"/>
                <w:sz w:val="21"/>
                <w:szCs w:val="21"/>
                <w:highlight w:val="none"/>
              </w:rPr>
              <w:t xml:space="preserve">（1）方案中包含工作内容、依据、调查布点方案、检测指标、客土质量评价、时间进度安排等</w:t>
            </w:r>
            <w:r>
              <w:rPr>
                <w:rFonts w:hint="eastAsia"/>
                <w:sz w:val="21"/>
                <w:szCs w:val="21"/>
                <w:highlight w:val="none"/>
                <w:lang w:val="en-US" w:eastAsia="zh-CN"/>
              </w:rPr>
              <w:t xml:space="preserve">全部</w:t>
            </w:r>
            <w:r>
              <w:rPr>
                <w:rFonts w:hint="eastAsia"/>
                <w:sz w:val="21"/>
                <w:szCs w:val="21"/>
                <w:highlight w:val="none"/>
              </w:rPr>
              <w:t xml:space="preserve">内容，得基本分</w:t>
            </w:r>
            <w:r>
              <w:rPr>
                <w:rFonts w:hint="eastAsia"/>
                <w:sz w:val="21"/>
                <w:szCs w:val="21"/>
                <w:highlight w:val="none"/>
                <w:lang w:val="en-US" w:eastAsia="zh-CN"/>
              </w:rPr>
              <w:t xml:space="preserve">8</w:t>
            </w:r>
            <w:r>
              <w:rPr>
                <w:rFonts w:hint="eastAsia"/>
                <w:sz w:val="21"/>
                <w:szCs w:val="21"/>
                <w:highlight w:val="none"/>
              </w:rPr>
              <w:t xml:space="preserve">分，少一项扣1</w:t>
            </w:r>
            <w:r>
              <w:rPr>
                <w:rFonts w:hint="eastAsia"/>
                <w:sz w:val="21"/>
                <w:szCs w:val="21"/>
                <w:highlight w:val="none"/>
                <w:lang w:val="en-US" w:eastAsia="zh-CN"/>
              </w:rPr>
              <w:t xml:space="preserve">.5</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lang w:val="en-US" w:eastAsia="zh-CN"/>
              </w:rPr>
              <w:t xml:space="preserve">未提供</w:t>
            </w:r>
            <w:r>
              <w:rPr>
                <w:rFonts w:hint="eastAsia"/>
                <w:sz w:val="21"/>
                <w:szCs w:val="21"/>
                <w:highlight w:val="none"/>
              </w:rPr>
              <w:t xml:space="preserve">的不得分。</w:t>
            </w:r>
            <w:r>
              <w:rPr>
                <w:rFonts w:hint="eastAsia"/>
                <w:sz w:val="21"/>
                <w:szCs w:val="21"/>
                <w:highlight w:val="none"/>
                <w:lang w:val="en-US" w:eastAsia="zh-CN"/>
              </w:rPr>
              <w:t xml:space="preserve">本项最多得8分。</w:t>
            </w:r>
            <w:r/>
          </w:p>
          <w:p>
            <w:pPr>
              <w:jc w:val="left"/>
              <w:rPr>
                <w:sz w:val="21"/>
                <w:szCs w:val="21"/>
                <w:highlight w:val="none"/>
              </w:rPr>
            </w:pPr>
            <w:r>
              <w:rPr>
                <w:rFonts w:hint="eastAsia"/>
                <w:sz w:val="21"/>
                <w:szCs w:val="21"/>
                <w:highlight w:val="none"/>
              </w:rPr>
              <w:t xml:space="preserve">（2）客土质量评价方面，对客土质量评价方法有较全面的阐述，选用评价标准得当（需提出标准选用理由），得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rPr>
              <w:t xml:space="preserve">阐述简单、选用标准含糊得2分</w:t>
            </w:r>
            <w:r>
              <w:rPr>
                <w:rFonts w:hint="eastAsia"/>
                <w:sz w:val="21"/>
                <w:szCs w:val="21"/>
                <w:highlight w:val="none"/>
                <w:lang w:eastAsia="zh-CN"/>
              </w:rPr>
              <w:t xml:space="preserve">；</w:t>
            </w:r>
            <w:r>
              <w:rPr>
                <w:rFonts w:hint="eastAsia"/>
                <w:sz w:val="21"/>
                <w:szCs w:val="21"/>
                <w:highlight w:val="none"/>
                <w:lang w:val="en-US" w:eastAsia="zh-CN"/>
              </w:rPr>
              <w:t xml:space="preserve">未提供</w:t>
            </w:r>
            <w:r>
              <w:rPr>
                <w:rFonts w:hint="eastAsia"/>
                <w:sz w:val="21"/>
                <w:szCs w:val="21"/>
                <w:highlight w:val="none"/>
              </w:rPr>
              <w:t xml:space="preserve">的不得分。</w:t>
            </w:r>
            <w:r>
              <w:rPr>
                <w:rFonts w:hint="eastAsia"/>
                <w:sz w:val="21"/>
                <w:szCs w:val="21"/>
                <w:highlight w:val="none"/>
                <w:lang w:val="en-US" w:eastAsia="zh-CN"/>
              </w:rPr>
              <w:t xml:space="preserve">本项最多得4分。</w:t>
            </w:r>
            <w:r/>
          </w:p>
          <w:p>
            <w:pPr>
              <w:rPr>
                <w:rFonts w:hint="eastAsia" w:ascii="宋体" w:hAnsi="宋体" w:eastAsia="宋体" w:cs="宋体"/>
                <w:sz w:val="21"/>
                <w:szCs w:val="21"/>
                <w:highlight w:val="none"/>
                <w:lang w:val="zh-CN"/>
              </w:rPr>
            </w:pPr>
            <w:r>
              <w:rPr>
                <w:rFonts w:hint="eastAsia"/>
                <w:sz w:val="21"/>
                <w:szCs w:val="21"/>
                <w:highlight w:val="none"/>
              </w:rPr>
              <w:t xml:space="preserve">（3）时间进度安排方面，进度安排紧凑、合理的得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rPr>
              <w:t xml:space="preserve">较紧凑合理的得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rPr>
              <w:t xml:space="preserve">进度安排不合理</w:t>
            </w:r>
            <w:r>
              <w:rPr>
                <w:rFonts w:hint="eastAsia"/>
                <w:sz w:val="21"/>
                <w:szCs w:val="21"/>
                <w:highlight w:val="none"/>
                <w:lang w:val="en-US" w:eastAsia="zh-CN"/>
              </w:rPr>
              <w:t xml:space="preserve">或未提供</w:t>
            </w:r>
            <w:r>
              <w:rPr>
                <w:rFonts w:hint="eastAsia"/>
                <w:sz w:val="21"/>
                <w:szCs w:val="21"/>
                <w:highlight w:val="none"/>
              </w:rPr>
              <w:t xml:space="preserve">的不得分</w:t>
            </w:r>
            <w:r>
              <w:rPr>
                <w:rFonts w:hint="eastAsia"/>
                <w:sz w:val="21"/>
                <w:szCs w:val="21"/>
                <w:highlight w:val="none"/>
                <w:lang w:eastAsia="zh-CN"/>
              </w:rPr>
              <w:t xml:space="preserve">；</w:t>
            </w:r>
            <w:r>
              <w:rPr>
                <w:rFonts w:hint="eastAsia"/>
                <w:sz w:val="21"/>
                <w:szCs w:val="21"/>
                <w:highlight w:val="none"/>
                <w:lang w:val="en-US" w:eastAsia="zh-CN"/>
              </w:rPr>
              <w:t xml:space="preserve">本项最多得4分。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16</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pStyle w:val="902"/>
              <w:ind w:left="2" w:right="-2"/>
              <w:jc w:val="center"/>
              <w:spacing w:line="264" w:lineRule="auto"/>
              <w:tabs>
                <w:tab w:val="left" w:pos="709" w:leader="none"/>
              </w:tabs>
              <w:rPr>
                <w:rFonts w:hint="eastAsia" w:ascii="宋体" w:hAnsi="宋体" w:eastAsia="宋体" w:cs="宋体"/>
                <w:sz w:val="21"/>
                <w:szCs w:val="21"/>
                <w:highlight w:val="none"/>
                <w:lang w:val="zh-CN"/>
              </w:rPr>
            </w:pPr>
            <w:r>
              <w:rPr>
                <w:rFonts w:hint="eastAsia" w:ascii="宋体" w:hAnsi="宋体" w:cs="仿宋"/>
                <w:color w:val="auto"/>
                <w:sz w:val="21"/>
                <w:szCs w:val="21"/>
              </w:rPr>
              <w:t xml:space="preserve">组织实施（</w:t>
            </w:r>
            <w:r>
              <w:rPr>
                <w:rFonts w:hint="eastAsia" w:cs="仿宋"/>
                <w:color w:val="auto"/>
                <w:sz w:val="21"/>
                <w:szCs w:val="21"/>
                <w:lang w:val="en-US" w:eastAsia="zh-CN"/>
              </w:rPr>
              <w:t xml:space="preserve">7</w:t>
            </w:r>
            <w:r>
              <w:rPr>
                <w:rFonts w:hint="eastAsia" w:ascii="宋体" w:hAnsi="宋体" w:cs="仿宋"/>
                <w:color w:val="auto"/>
                <w:sz w:val="21"/>
                <w:szCs w:val="21"/>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rPr>
                <w:rFonts w:hint="eastAsia" w:ascii="宋体" w:hAnsi="宋体" w:eastAsia="宋体" w:cs="宋体"/>
                <w:sz w:val="21"/>
                <w:szCs w:val="21"/>
                <w:highlight w:val="none"/>
                <w:lang w:val="zh-CN"/>
              </w:rPr>
            </w:pPr>
            <w:r>
              <w:rPr>
                <w:rFonts w:hint="eastAsia"/>
                <w:sz w:val="21"/>
                <w:szCs w:val="21"/>
                <w:highlight w:val="none"/>
              </w:rPr>
              <w:t xml:space="preserve">方案中配备专职项目质量负责人及小组，有明确的组织形式，表述合理、结构明晰的得</w:t>
            </w:r>
            <w:r>
              <w:rPr>
                <w:rFonts w:hint="eastAsia"/>
                <w:sz w:val="21"/>
                <w:szCs w:val="21"/>
                <w:highlight w:val="none"/>
                <w:lang w:val="en-US" w:eastAsia="zh-CN"/>
              </w:rPr>
              <w:t xml:space="preserve">7</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rPr>
              <w:t xml:space="preserve">方案中配备专职项目质量负责人及小组，有组织形式的得</w:t>
            </w:r>
            <w:r>
              <w:rPr>
                <w:rFonts w:hint="eastAsia"/>
                <w:sz w:val="21"/>
                <w:szCs w:val="21"/>
                <w:highlight w:val="none"/>
                <w:lang w:val="en-US" w:eastAsia="zh-CN"/>
              </w:rPr>
              <w:t xml:space="preserve">5</w:t>
            </w:r>
            <w:r>
              <w:rPr>
                <w:rFonts w:hint="eastAsia"/>
                <w:sz w:val="21"/>
                <w:szCs w:val="21"/>
                <w:highlight w:val="none"/>
              </w:rPr>
              <w:t xml:space="preserve">分；方案中配备项目质量负责人及小组</w:t>
            </w:r>
            <w:r>
              <w:rPr>
                <w:rFonts w:hint="eastAsia"/>
                <w:sz w:val="21"/>
                <w:szCs w:val="21"/>
                <w:highlight w:val="none"/>
                <w:lang w:val="en-US" w:eastAsia="zh-CN"/>
              </w:rPr>
              <w:t xml:space="preserve">的</w:t>
            </w:r>
            <w:r>
              <w:rPr>
                <w:rFonts w:hint="eastAsia"/>
                <w:sz w:val="21"/>
                <w:szCs w:val="21"/>
                <w:highlight w:val="none"/>
              </w:rPr>
              <w:t xml:space="preserve">得</w:t>
            </w:r>
            <w:r>
              <w:rPr>
                <w:rFonts w:hint="eastAsia"/>
                <w:sz w:val="21"/>
                <w:szCs w:val="21"/>
                <w:highlight w:val="none"/>
                <w:lang w:val="en-US" w:eastAsia="zh-CN"/>
              </w:rPr>
              <w:t xml:space="preserve">3</w:t>
            </w:r>
            <w:r>
              <w:rPr>
                <w:rFonts w:hint="eastAsia"/>
                <w:sz w:val="21"/>
                <w:szCs w:val="21"/>
                <w:highlight w:val="none"/>
              </w:rPr>
              <w:t xml:space="preserve">分</w:t>
            </w:r>
            <w:r>
              <w:rPr>
                <w:rFonts w:hint="eastAsia"/>
                <w:sz w:val="21"/>
                <w:szCs w:val="21"/>
                <w:highlight w:val="none"/>
                <w:lang w:eastAsia="zh-CN"/>
              </w:rPr>
              <w:t xml:space="preserve">；</w:t>
            </w:r>
            <w:r>
              <w:rPr>
                <w:rFonts w:hint="eastAsia"/>
                <w:sz w:val="21"/>
                <w:szCs w:val="21"/>
                <w:highlight w:val="none"/>
                <w:lang w:val="en-US" w:eastAsia="zh-CN"/>
              </w:rPr>
              <w:t xml:space="preserve">未提供</w:t>
            </w:r>
            <w:r>
              <w:rPr>
                <w:rFonts w:hint="eastAsia"/>
                <w:sz w:val="21"/>
                <w:szCs w:val="21"/>
                <w:highlight w:val="none"/>
              </w:rPr>
              <w:t xml:space="preserve">的不得分</w:t>
            </w:r>
            <w:r>
              <w:rPr>
                <w:rFonts w:hint="eastAsia"/>
                <w:sz w:val="21"/>
                <w:szCs w:val="21"/>
                <w:highlight w:val="none"/>
                <w:lang w:eastAsia="zh-CN"/>
              </w:rPr>
              <w:t xml:space="preserve">；</w:t>
            </w:r>
            <w:r>
              <w:rPr>
                <w:rFonts w:hint="eastAsia"/>
                <w:sz w:val="21"/>
                <w:szCs w:val="21"/>
                <w:highlight w:val="none"/>
                <w:lang w:val="en-US" w:eastAsia="zh-CN"/>
              </w:rPr>
              <w:t xml:space="preserve">本项最多得7分。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7</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pStyle w:val="902"/>
              <w:ind w:left="2" w:right="-2"/>
              <w:jc w:val="center"/>
              <w:spacing w:line="264" w:lineRule="auto"/>
              <w:tabs>
                <w:tab w:val="left" w:pos="709" w:leader="none"/>
              </w:tabs>
              <w:rPr>
                <w:rFonts w:hint="eastAsia" w:ascii="宋体" w:hAnsi="宋体" w:eastAsia="宋体" w:cs="宋体"/>
                <w:sz w:val="21"/>
                <w:szCs w:val="21"/>
                <w:highlight w:val="none"/>
                <w:lang w:val="zh-CN"/>
              </w:rPr>
            </w:pPr>
            <w:r>
              <w:rPr>
                <w:rFonts w:hint="eastAsia" w:ascii="宋体" w:hAnsi="宋体" w:cs="仿宋"/>
                <w:color w:val="auto"/>
                <w:sz w:val="21"/>
                <w:szCs w:val="21"/>
              </w:rPr>
              <w:t xml:space="preserve">合理化建议（</w:t>
            </w:r>
            <w:r>
              <w:rPr>
                <w:rFonts w:hint="eastAsia" w:cs="仿宋"/>
                <w:color w:val="auto"/>
                <w:sz w:val="21"/>
                <w:szCs w:val="21"/>
                <w:lang w:val="en-US" w:eastAsia="zh-CN"/>
              </w:rPr>
              <w:t xml:space="preserve">5</w:t>
            </w:r>
            <w:r>
              <w:rPr>
                <w:rFonts w:hint="eastAsia" w:ascii="宋体" w:hAnsi="宋体" w:cs="仿宋"/>
                <w:color w:val="auto"/>
                <w:sz w:val="21"/>
                <w:szCs w:val="21"/>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rPr>
                <w:rFonts w:hint="eastAsia" w:ascii="宋体" w:hAnsi="宋体" w:eastAsia="宋体" w:cs="宋体"/>
                <w:sz w:val="21"/>
                <w:szCs w:val="21"/>
                <w:highlight w:val="none"/>
                <w:lang w:val="zh-CN"/>
              </w:rPr>
            </w:pPr>
            <w:r>
              <w:rPr>
                <w:rFonts w:hint="eastAsia" w:ascii="宋体" w:hAnsi="宋体" w:cs="宋体"/>
                <w:color w:val="000000"/>
                <w:sz w:val="21"/>
                <w:szCs w:val="21"/>
                <w:highlight w:val="none"/>
              </w:rPr>
              <w:t xml:space="preserve">方案中对调查布点方案遇到难题，提出合理科学创新调查、布点方案得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方案中对调查布点方案遇到难题，提出调查、布点方案得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sz w:val="21"/>
                <w:szCs w:val="21"/>
                <w:highlight w:val="none"/>
                <w:lang w:val="en-US" w:eastAsia="zh-CN"/>
              </w:rPr>
              <w:t xml:space="preserve">未提供</w:t>
            </w:r>
            <w:r>
              <w:rPr>
                <w:rFonts w:hint="eastAsia"/>
                <w:sz w:val="21"/>
                <w:szCs w:val="21"/>
                <w:highlight w:val="none"/>
              </w:rPr>
              <w:t xml:space="preserve">的不得分</w:t>
            </w:r>
            <w:r>
              <w:rPr>
                <w:rFonts w:hint="eastAsia"/>
                <w:sz w:val="21"/>
                <w:szCs w:val="21"/>
                <w:highlight w:val="none"/>
                <w:lang w:eastAsia="zh-CN"/>
              </w:rPr>
              <w:t xml:space="preserve">；</w:t>
            </w:r>
            <w:r>
              <w:rPr>
                <w:rFonts w:hint="eastAsia"/>
                <w:sz w:val="21"/>
                <w:szCs w:val="21"/>
                <w:highlight w:val="none"/>
                <w:lang w:val="en-US" w:eastAsia="zh-CN"/>
              </w:rPr>
              <w:t xml:space="preserve">本项最多得5分。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b/>
                <w:bCs/>
                <w:sz w:val="21"/>
                <w:szCs w:val="21"/>
                <w:highlight w:val="none"/>
                <w:lang w:val="en-US" w:eastAsia="zh-CN"/>
              </w:rPr>
              <w:t xml:space="preserve">商务评审（37分）</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eastAsia="zh-CN"/>
              </w:rPr>
              <w:t xml:space="preserve">组织力量（</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eastAsia="zh-CN"/>
              </w:rPr>
              <w:t xml:space="preserve">）</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项目负责人具有土壤类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水文地质类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环境地质类相关专业高级职称的得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分，具有土壤类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水文地质类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环境地质类</w:t>
            </w:r>
            <w:r>
              <w:rPr>
                <w:rFonts w:hint="eastAsia" w:ascii="宋体" w:hAnsi="宋体" w:cs="宋体"/>
                <w:sz w:val="21"/>
                <w:szCs w:val="21"/>
                <w:highlight w:val="none"/>
                <w:lang w:val="en-US" w:eastAsia="zh-CN"/>
              </w:rPr>
              <w:t xml:space="preserve">中</w:t>
            </w:r>
            <w:r>
              <w:rPr>
                <w:rFonts w:hint="eastAsia" w:ascii="宋体" w:hAnsi="宋体" w:eastAsia="宋体" w:cs="宋体"/>
                <w:sz w:val="21"/>
                <w:szCs w:val="21"/>
                <w:highlight w:val="none"/>
                <w:lang w:val="zh-CN"/>
              </w:rPr>
              <w:t xml:space="preserve">级职称的得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分。仅可计取一次，以最高职称为准，最高得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投入的项目技术负责人员土壤类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水文地质类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环境地质类相关专业高级职称的得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分，具有土壤类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水文地质类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环境地质类</w:t>
            </w:r>
            <w:r>
              <w:rPr>
                <w:rFonts w:hint="eastAsia" w:ascii="宋体" w:hAnsi="宋体" w:cs="宋体"/>
                <w:sz w:val="21"/>
                <w:szCs w:val="21"/>
                <w:highlight w:val="none"/>
                <w:lang w:val="en-US" w:eastAsia="zh-CN"/>
              </w:rPr>
              <w:t xml:space="preserve">中</w:t>
            </w:r>
            <w:r>
              <w:rPr>
                <w:rFonts w:hint="eastAsia" w:ascii="宋体" w:hAnsi="宋体" w:eastAsia="宋体" w:cs="宋体"/>
                <w:sz w:val="21"/>
                <w:szCs w:val="21"/>
                <w:highlight w:val="none"/>
                <w:lang w:val="zh-CN"/>
              </w:rPr>
              <w:t xml:space="preserve">级职称的得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分。仅可计取一次，以最高职称为准，最高得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分。（提供以上人员职称证书原件扫描件）。</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投入的其他技术人员中，除了项目负责人和技术负责人外，每多投入一名土壤类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水文地质类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环境地质类相关专业高级职称的得1分，最高得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分；每多投入一名土壤类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环境类</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zh-CN"/>
              </w:rPr>
              <w:t xml:space="preserve">水文地质类、环境地质类相关专业</w:t>
            </w:r>
            <w:r>
              <w:rPr>
                <w:rFonts w:hint="eastAsia" w:ascii="宋体" w:hAnsi="宋体" w:cs="宋体"/>
                <w:sz w:val="21"/>
                <w:szCs w:val="21"/>
                <w:highlight w:val="none"/>
                <w:lang w:val="en-US" w:eastAsia="zh-CN"/>
              </w:rPr>
              <w:t xml:space="preserve">中</w:t>
            </w:r>
            <w:r>
              <w:rPr>
                <w:rFonts w:hint="eastAsia" w:ascii="宋体" w:hAnsi="宋体" w:eastAsia="宋体" w:cs="宋体"/>
                <w:sz w:val="21"/>
                <w:szCs w:val="21"/>
                <w:highlight w:val="none"/>
                <w:lang w:val="zh-CN"/>
              </w:rPr>
              <w:t xml:space="preserve">级职称的得0.5分，最高得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分。本项最高得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注：以上项目团队人员不重复得分，须提供职称证（职称证书不能体现专业的需提供职称评审表或毕业证书）、投标人为其缴纳的上个月或当月的有效社保证明材料编入投标文件加盖投标人公章编入投标文件，否则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14</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业绩情况（</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投标人2020年以来承担过乡镇级客土检测</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客土调查</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土壤污染状况调查</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耕地</w:t>
            </w:r>
            <w:r>
              <w:rPr>
                <w:rFonts w:hint="eastAsia" w:ascii="宋体" w:hAnsi="宋体" w:eastAsia="宋体" w:cs="宋体"/>
                <w:color w:val="auto"/>
                <w:sz w:val="21"/>
                <w:szCs w:val="21"/>
                <w:highlight w:val="none"/>
                <w:lang w:val="zh-CN" w:eastAsia="zh-CN"/>
              </w:rPr>
              <w:t xml:space="preserve">质量评定项目，有1项得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分；承担过县级及以上客土检测</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客土调查</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土壤污染状况调查</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耕地</w:t>
            </w:r>
            <w:r>
              <w:rPr>
                <w:rFonts w:hint="eastAsia" w:ascii="宋体" w:hAnsi="宋体" w:eastAsia="宋体" w:cs="宋体"/>
                <w:color w:val="auto"/>
                <w:sz w:val="21"/>
                <w:szCs w:val="21"/>
                <w:highlight w:val="none"/>
                <w:lang w:val="zh-CN" w:eastAsia="zh-CN"/>
              </w:rPr>
              <w:t xml:space="preserve">质量评定项目，有1项得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分；本项最多得</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投标人2020年以来承担过乡镇级与本项目类似项目业绩（土壤环境监测</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土壤污染源头防控</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土壤污染普查等类似业绩），有1项得0.5分；承担过县级及以上与本项目类似项目业绩（土壤环境监测</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土壤污染源头防控</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rPr>
              <w:t xml:space="preserve">土壤污染普查等类似业绩）有1项得1分；本项最多得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注：须提供合同复印件加盖投标人公章（合同内容至少包括合同首页、标的金额所在页、签字盖章页），未提供的不得分。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18</w:t>
            </w:r>
            <w:r/>
          </w:p>
        </w:tc>
      </w:tr>
      <w:tr>
        <w:trPr>
          <w:jc w:val="center"/>
          <w:trHeight w:val="1283"/>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pStyle w:val="902"/>
              <w:ind w:left="2" w:right="-2"/>
              <w:jc w:val="center"/>
              <w:keepLines w:val="0"/>
              <w:keepNext w:val="0"/>
              <w:pageBreakBefore w:val="0"/>
              <w:spacing w:line="264" w:lineRule="auto"/>
              <w:widowControl w:val="off"/>
              <w:tabs>
                <w:tab w:val="left" w:pos="709" w:leader="none"/>
              </w:tabs>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rPr>
              <w:t xml:space="preserve">资质信誉（</w:t>
            </w:r>
            <w:r>
              <w:rPr>
                <w:rFonts w:hint="eastAsia"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numPr>
                <w:ilvl w:val="0"/>
                <w:numId w:val="0"/>
              </w:numPr>
              <w:keepLines w:val="0"/>
              <w:keepNext w:val="0"/>
              <w:pageBreakBefore w:val="0"/>
              <w:spacing w:line="260" w:lineRule="exact"/>
              <w:widowControl w:val="off"/>
              <w:rPr>
                <w:rFonts w:ascii="宋体" w:hAnsi="宋体" w:cs="宋体"/>
                <w:color w:val="auto"/>
                <w:sz w:val="21"/>
                <w:szCs w:val="21"/>
                <w:highlight w:val="none"/>
                <w:lang w:val="en-GB"/>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en-GB"/>
              </w:rPr>
              <w:t xml:space="preserve">投标</w:t>
            </w:r>
            <w:r>
              <w:rPr>
                <w:rFonts w:hint="eastAsia" w:ascii="宋体" w:hAnsi="宋体" w:cs="宋体"/>
                <w:color w:val="auto"/>
                <w:sz w:val="21"/>
                <w:szCs w:val="21"/>
                <w:highlight w:val="none"/>
                <w:lang w:val="en-US" w:eastAsia="zh-CN"/>
              </w:rPr>
              <w:t xml:space="preserve">人取得有效期内的ISO9001</w:t>
            </w:r>
            <w:r>
              <w:rPr>
                <w:rFonts w:hint="eastAsia" w:ascii="宋体" w:hAnsi="宋体" w:cs="宋体"/>
                <w:color w:val="auto"/>
                <w:sz w:val="21"/>
                <w:szCs w:val="21"/>
                <w:highlight w:val="none"/>
                <w:lang w:val="en-GB"/>
              </w:rPr>
              <w:t xml:space="preserve">质量管理体系认证</w:t>
            </w:r>
            <w:r>
              <w:rPr>
                <w:rFonts w:hint="eastAsia" w:ascii="宋体" w:hAnsi="宋体" w:cs="宋体"/>
                <w:color w:val="auto"/>
                <w:sz w:val="21"/>
                <w:szCs w:val="21"/>
                <w:highlight w:val="none"/>
                <w:lang w:val="en-US" w:eastAsia="zh-CN"/>
              </w:rPr>
              <w:t xml:space="preserve">、ISO14001环境</w:t>
            </w:r>
            <w:r>
              <w:rPr>
                <w:rFonts w:hint="eastAsia" w:ascii="宋体" w:hAnsi="宋体" w:cs="宋体"/>
                <w:color w:val="auto"/>
                <w:sz w:val="21"/>
                <w:szCs w:val="21"/>
                <w:highlight w:val="none"/>
                <w:lang w:val="en-GB"/>
              </w:rPr>
              <w:t xml:space="preserve">管理体系认证</w:t>
            </w:r>
            <w:r>
              <w:rPr>
                <w:rFonts w:hint="eastAsia" w:ascii="宋体" w:hAnsi="宋体" w:cs="宋体"/>
                <w:color w:val="auto"/>
                <w:sz w:val="21"/>
                <w:szCs w:val="21"/>
                <w:highlight w:val="none"/>
                <w:lang w:val="en-US" w:eastAsia="zh-CN"/>
              </w:rPr>
              <w:t xml:space="preserve">、ISO45001职业健康安全</w:t>
            </w:r>
            <w:r>
              <w:rPr>
                <w:rFonts w:hint="eastAsia" w:ascii="宋体" w:hAnsi="宋体" w:cs="宋体"/>
                <w:color w:val="auto"/>
                <w:sz w:val="21"/>
                <w:szCs w:val="21"/>
                <w:highlight w:val="none"/>
                <w:lang w:val="en-GB"/>
              </w:rPr>
              <w:t xml:space="preserve">管理体系认证</w:t>
            </w:r>
            <w:r>
              <w:rPr>
                <w:rFonts w:hint="eastAsia" w:ascii="宋体" w:hAnsi="宋体" w:cs="宋体"/>
                <w:color w:val="auto"/>
                <w:sz w:val="21"/>
                <w:szCs w:val="21"/>
                <w:highlight w:val="none"/>
                <w:lang w:val="en-US" w:eastAsia="zh-CN"/>
              </w:rPr>
              <w:t xml:space="preserve">证书，有1项得1分，满分3分，没有或不在有效期内的不得分</w:t>
            </w:r>
            <w:r>
              <w:rPr>
                <w:rFonts w:hint="eastAsia" w:ascii="宋体" w:hAnsi="宋体" w:cs="宋体"/>
                <w:color w:val="auto"/>
                <w:sz w:val="21"/>
                <w:szCs w:val="21"/>
                <w:highlight w:val="none"/>
                <w:lang w:val="en-GB"/>
              </w:rPr>
              <w:t xml:space="preserve">。</w:t>
            </w:r>
            <w:r/>
          </w:p>
          <w:p>
            <w:pPr>
              <w:numPr>
                <w:ilvl w:val="0"/>
                <w:numId w:val="0"/>
              </w:numPr>
              <w:keepLines w:val="0"/>
              <w:keepNext w:val="0"/>
              <w:pageBreakBefore w:val="0"/>
              <w:spacing w:line="26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en-US" w:eastAsia="zh-CN"/>
              </w:rPr>
              <w:t xml:space="preserve">人</w:t>
            </w:r>
            <w:r>
              <w:rPr>
                <w:rFonts w:hint="eastAsia" w:ascii="宋体" w:hAnsi="宋体" w:cs="宋体"/>
                <w:color w:val="auto"/>
                <w:sz w:val="21"/>
                <w:szCs w:val="21"/>
                <w:highlight w:val="none"/>
              </w:rPr>
              <w:t xml:space="preserve">实验室</w:t>
            </w:r>
            <w:r>
              <w:rPr>
                <w:rFonts w:hint="eastAsia" w:ascii="宋体" w:hAnsi="宋体" w:cs="宋体"/>
                <w:color w:val="auto"/>
                <w:sz w:val="21"/>
                <w:szCs w:val="21"/>
                <w:highlight w:val="none"/>
                <w:lang w:val="en-US" w:eastAsia="zh-CN"/>
              </w:rPr>
              <w:t xml:space="preserve">具有有效的CMA资质的得2分，没有的不得分。本项最多得2分。</w:t>
            </w:r>
            <w:r/>
          </w:p>
          <w:p>
            <w:pPr>
              <w:pStyle w:val="687"/>
              <w:keepLines w:val="0"/>
              <w:keepNext w:val="0"/>
              <w:pageBreakBefore w:val="0"/>
              <w:spacing w:line="260" w:lineRule="exact"/>
              <w:widowControl w:val="off"/>
              <w:rPr>
                <w:rFonts w:hint="eastAsia" w:ascii="宋体" w:hAnsi="宋体" w:eastAsia="宋体" w:cs="宋体"/>
                <w:color w:val="auto"/>
                <w:sz w:val="21"/>
                <w:szCs w:val="21"/>
                <w:highlight w:val="none"/>
                <w:lang w:val="zh-CN"/>
              </w:rPr>
            </w:pPr>
            <w:r>
              <w:rPr>
                <w:rFonts w:hint="eastAsia" w:ascii="宋体" w:hAnsi="宋体" w:cs="宋体"/>
                <w:b/>
                <w:bCs/>
                <w:color w:val="auto"/>
                <w:sz w:val="21"/>
                <w:szCs w:val="21"/>
                <w:highlight w:val="none"/>
                <w:lang w:val="en-GB"/>
              </w:rPr>
              <w:t xml:space="preserve">注：证明材料须提供相关证书或证明材料复印件加盖公章，否则不得分。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1379"/>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注：1.上述所有荣誉证书、资格证书、获奖证书或证明性文件等，供应商须确保真实有效，有据可查；</w:t>
            </w:r>
            <w:r/>
          </w:p>
          <w:p>
            <w:pPr>
              <w:numPr>
                <w:ilvl w:val="0"/>
                <w:numId w:val="0"/>
              </w:numPr>
              <w:keepLines w:val="0"/>
              <w:keepNext w:val="0"/>
              <w:pageBreakBefore w:val="0"/>
              <w:spacing w:line="24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2.签订合同前，采购人有权对中标人相关原件进行核查，如发现提供虚假材料，一切后果由供应商承担。</w:t>
            </w:r>
            <w:r/>
          </w:p>
          <w:p>
            <w:pP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b/>
                <w:bCs/>
                <w:sz w:val="21"/>
                <w:szCs w:val="21"/>
                <w:highlight w:val="none"/>
                <w:lang w:val="en-US" w:eastAsia="zh-CN"/>
              </w:rPr>
              <w:t xml:space="preserve">3.供应商投标文件中配备的人员须与合同签订时人员一致，如特殊情况需要更换，必须经采购人同意。如发现不一致可作为虚假材料，一切后果由供应商承担。</w:t>
            </w:r>
            <w:r/>
          </w:p>
        </w:tc>
      </w:tr>
    </w:tbl>
    <w:p>
      <w:pPr>
        <w:jc w:val="left"/>
        <w:spacing w:line="500" w:lineRule="exact"/>
        <w:rPr>
          <w:rFonts w:hint="eastAsia" w:ascii="黑体" w:hAnsi="黑体" w:eastAsia="黑体"/>
          <w:sz w:val="32"/>
          <w:szCs w:val="32"/>
        </w:rPr>
      </w:pPr>
      <w:r/>
      <w:bookmarkStart w:id="239" w:name="_Toc426469921"/>
      <w:r>
        <w:rPr>
          <w:rFonts w:hint="eastAsia" w:ascii="黑体" w:hAnsi="黑体" w:eastAsia="黑体"/>
          <w:sz w:val="32"/>
          <w:szCs w:val="32"/>
          <w:lang w:val="zh-CN"/>
        </w:rPr>
        <w:t xml:space="preserve">1.资格审查</w:t>
      </w:r>
      <w:r/>
    </w:p>
    <w:p>
      <w:pPr>
        <w:pStyle w:val="687"/>
        <w:spacing w:line="500" w:lineRule="exact"/>
        <w:rPr>
          <w:rFonts w:ascii="Arial" w:hAnsi="Arial" w:eastAsia="Arial"/>
          <w:sz w:val="28"/>
          <w:szCs w:val="28"/>
        </w:rPr>
      </w:pPr>
      <w:r>
        <w:rPr>
          <w:rFonts w:hint="eastAsia" w:ascii="Arial" w:hAnsi="Arial" w:eastAsia="Arial"/>
          <w:sz w:val="28"/>
          <w:szCs w:val="28"/>
        </w:rPr>
        <w:t xml:space="preserve">1.1项目开标结束后，招标人对投标人的资格进行审查。</w:t>
      </w:r>
      <w:r/>
    </w:p>
    <w:p>
      <w:pPr>
        <w:pStyle w:val="687"/>
        <w:spacing w:line="500" w:lineRule="exact"/>
        <w:rPr>
          <w:rFonts w:ascii="Arial" w:hAnsi="Arial" w:eastAsia="Arial"/>
          <w:sz w:val="28"/>
          <w:szCs w:val="28"/>
        </w:rPr>
      </w:pPr>
      <w:r>
        <w:rPr>
          <w:rFonts w:hint="eastAsia" w:ascii="Arial" w:hAnsi="Arial" w:eastAsia="Arial"/>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87"/>
        <w:ind w:firstLine="560"/>
        <w:spacing w:line="500" w:lineRule="exact"/>
        <w:rPr>
          <w:rFonts w:ascii="宋体" w:hAnsi="宋体"/>
          <w:sz w:val="28"/>
          <w:szCs w:val="28"/>
        </w:rPr>
      </w:pPr>
      <w:r>
        <w:rPr>
          <w:rFonts w:hint="eastAsia" w:ascii="Arial" w:hAnsi="Arial" w:eastAsia="Arial"/>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87"/>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87"/>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87"/>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87"/>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4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87"/>
        <w:ind w:firstLine="560"/>
        <w:spacing w:line="500" w:lineRule="exact"/>
        <w:rPr>
          <w:rFonts w:ascii="Arial" w:hAnsi="Arial" w:eastAsia="Arial"/>
          <w:sz w:val="28"/>
          <w:szCs w:val="28"/>
        </w:rPr>
      </w:pPr>
      <w:r>
        <w:rPr>
          <w:rFonts w:hint="eastAsia" w:ascii="Arial" w:hAnsi="Arial" w:eastAsia="Arial"/>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87"/>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87"/>
        <w:ind w:firstLine="560"/>
        <w:spacing w:line="500" w:lineRule="exact"/>
        <w:rPr>
          <w:rFonts w:ascii="Arial" w:hAnsi="Arial" w:eastAsia="Arial"/>
          <w:sz w:val="28"/>
          <w:szCs w:val="28"/>
        </w:rPr>
      </w:pPr>
      <w:r>
        <w:rPr>
          <w:rFonts w:hint="eastAsia" w:ascii="Arial" w:hAnsi="Arial" w:eastAsia="Arial"/>
          <w:sz w:val="28"/>
          <w:szCs w:val="28"/>
        </w:rPr>
        <w:t xml:space="preserve">投标文件报价出现前后不一致的，按照下列规定修正： </w:t>
      </w:r>
      <w:r/>
    </w:p>
    <w:p>
      <w:pPr>
        <w:pStyle w:val="687"/>
        <w:ind w:firstLine="280"/>
        <w:spacing w:line="440" w:lineRule="exact"/>
        <w:rPr>
          <w:rFonts w:ascii="Arial" w:hAnsi="Arial" w:eastAsia="Arial"/>
          <w:sz w:val="28"/>
          <w:szCs w:val="28"/>
        </w:rPr>
      </w:pPr>
      <w:r>
        <w:rPr>
          <w:rFonts w:hint="eastAsia" w:ascii="Arial" w:hAnsi="Arial" w:eastAsia="Arial"/>
          <w:sz w:val="28"/>
          <w:szCs w:val="28"/>
        </w:rPr>
        <w:t xml:space="preserve">（1）投标文件中开标一览表内容与投标文件中相应内容不一致的，以开标一览表为准； </w:t>
      </w:r>
      <w:r/>
    </w:p>
    <w:p>
      <w:pPr>
        <w:pStyle w:val="687"/>
        <w:ind w:firstLine="280"/>
        <w:spacing w:line="440" w:lineRule="exact"/>
        <w:rPr>
          <w:rFonts w:ascii="Arial" w:hAnsi="Arial" w:eastAsia="Arial"/>
          <w:sz w:val="28"/>
          <w:szCs w:val="28"/>
        </w:rPr>
      </w:pPr>
      <w:r>
        <w:rPr>
          <w:rFonts w:hint="eastAsia" w:ascii="Arial" w:hAnsi="Arial" w:eastAsia="Arial"/>
          <w:sz w:val="28"/>
          <w:szCs w:val="28"/>
        </w:rPr>
        <w:t xml:space="preserve">（2）大写金额和小写金额不一致的，以大写金额为准； </w:t>
      </w:r>
      <w:r/>
    </w:p>
    <w:p>
      <w:pPr>
        <w:pStyle w:val="687"/>
        <w:ind w:firstLine="280"/>
        <w:spacing w:line="440" w:lineRule="exact"/>
        <w:rPr>
          <w:rFonts w:ascii="Arial" w:hAnsi="Arial" w:eastAsia="Arial"/>
          <w:sz w:val="28"/>
          <w:szCs w:val="28"/>
        </w:rPr>
      </w:pPr>
      <w:r>
        <w:rPr>
          <w:rFonts w:hint="eastAsia" w:ascii="Arial" w:hAnsi="Arial" w:eastAsia="Arial"/>
          <w:sz w:val="28"/>
          <w:szCs w:val="28"/>
        </w:rPr>
        <w:t xml:space="preserve">（3）单价金额小数点或者百分比有明显错位的，以开标一览表的总价为准，并修改单价； </w:t>
      </w:r>
      <w:r/>
    </w:p>
    <w:p>
      <w:pPr>
        <w:pStyle w:val="687"/>
        <w:ind w:firstLine="280"/>
        <w:spacing w:line="440" w:lineRule="exact"/>
        <w:rPr>
          <w:rFonts w:ascii="Arial" w:hAnsi="Arial" w:eastAsia="Arial"/>
          <w:sz w:val="28"/>
          <w:szCs w:val="28"/>
        </w:rPr>
      </w:pPr>
      <w:r>
        <w:rPr>
          <w:rFonts w:hint="eastAsia" w:ascii="Arial" w:hAnsi="Arial" w:eastAsia="Arial"/>
          <w:sz w:val="28"/>
          <w:szCs w:val="28"/>
        </w:rPr>
        <w:t xml:space="preserve">（4）总价金额与按单价汇总金额不一致的，以单价金额计算结果为准。 </w:t>
      </w:r>
      <w:r/>
    </w:p>
    <w:p>
      <w:pPr>
        <w:pStyle w:val="687"/>
        <w:ind w:firstLine="560"/>
        <w:spacing w:line="440" w:lineRule="exact"/>
        <w:rPr>
          <w:rFonts w:ascii="Arial" w:hAnsi="Arial" w:eastAsia="Arial"/>
          <w:sz w:val="28"/>
          <w:szCs w:val="28"/>
        </w:rPr>
      </w:pPr>
      <w:r>
        <w:rPr>
          <w:rFonts w:hint="eastAsia" w:ascii="Arial" w:hAnsi="Arial" w:eastAsia="Arial"/>
          <w:sz w:val="28"/>
          <w:szCs w:val="28"/>
        </w:rPr>
        <w:t xml:space="preserve">同时出现两种以上不一致的，按照前款规定的顺序修正。修正后的报价按照本章第2.5条的规定经投标人确认后产生约束力，投标人不确认的，其投标无效。</w:t>
      </w:r>
      <w:r/>
    </w:p>
    <w:p>
      <w:pPr>
        <w:pStyle w:val="687"/>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87"/>
        <w:ind w:firstLine="560"/>
        <w:spacing w:line="500" w:lineRule="exact"/>
        <w:rPr>
          <w:rFonts w:ascii="Arial" w:hAnsi="Arial" w:eastAsia="Arial"/>
          <w:sz w:val="28"/>
          <w:szCs w:val="28"/>
        </w:rPr>
      </w:pPr>
      <w:r>
        <w:rPr>
          <w:rFonts w:hint="eastAsia" w:ascii="Arial" w:hAnsi="Arial" w:eastAsia="Arial"/>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87"/>
        <w:ind w:firstLine="560"/>
        <w:spacing w:line="500" w:lineRule="exact"/>
        <w:rPr>
          <w:rFonts w:ascii="Arial" w:hAnsi="Arial" w:eastAsia="Arial"/>
          <w:sz w:val="28"/>
          <w:szCs w:val="28"/>
        </w:rPr>
      </w:pPr>
      <w:r>
        <w:rPr>
          <w:rFonts w:hint="eastAsia" w:ascii="Arial" w:hAnsi="Arial" w:eastAsia="Arial"/>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87"/>
        <w:spacing w:line="500" w:lineRule="exact"/>
        <w:rPr>
          <w:rFonts w:hint="eastAsia" w:ascii="楷体" w:hAnsi="楷体" w:eastAsia="楷体"/>
          <w:b/>
          <w:sz w:val="28"/>
          <w:szCs w:val="28"/>
          <w:lang w:val="en-US" w:eastAsia="zh-CN"/>
        </w:rPr>
      </w:pPr>
      <w:r>
        <w:rPr>
          <w:rFonts w:hint="eastAsia" w:ascii="楷体" w:hAnsi="楷体" w:eastAsia="楷体"/>
          <w:b/>
          <w:sz w:val="28"/>
          <w:szCs w:val="28"/>
        </w:rPr>
        <w:t xml:space="preserve">3.</w:t>
      </w:r>
      <w:r>
        <w:rPr>
          <w:rFonts w:hint="eastAsia" w:ascii="楷体" w:hAnsi="楷体" w:eastAsia="楷体"/>
          <w:b/>
          <w:sz w:val="28"/>
          <w:szCs w:val="28"/>
          <w:lang w:val="en-US" w:eastAsia="zh-CN"/>
        </w:rPr>
        <w:t xml:space="preserve">3异常低价审查</w:t>
      </w:r>
      <w:r/>
    </w:p>
    <w:p>
      <w:pPr>
        <w:ind w:firstLine="480"/>
        <w:spacing w:line="480" w:lineRule="exact"/>
        <w:rPr>
          <w:rFonts w:hint="eastAsia" w:ascii="宋体" w:hAnsi="宋体" w:eastAsia="宋体" w:cs="宋体"/>
          <w:sz w:val="28"/>
          <w:szCs w:val="28"/>
          <w:lang w:val="en-US" w:eastAsia="zh-CN" w:bidi="ar-SA"/>
        </w:rPr>
      </w:pPr>
      <w:r>
        <w:rPr>
          <w:rFonts w:hint="eastAsia" w:ascii="Arial" w:hAnsi="Arial" w:eastAsia="Arial" w:cs="Times New Roman"/>
          <w:sz w:val="28"/>
          <w:szCs w:val="28"/>
          <w:lang w:val="en-US" w:eastAsia="zh-CN" w:bidi="ar-SA"/>
        </w:rPr>
        <w:t xml:space="preserve">3.3.1</w:t>
      </w:r>
      <w:r>
        <w:rPr>
          <w:rFonts w:hint="eastAsia" w:ascii="宋体" w:hAnsi="宋体" w:eastAsia="宋体" w:cs="宋体"/>
          <w:sz w:val="28"/>
          <w:szCs w:val="28"/>
          <w:lang w:val="en-US" w:eastAsia="zh-CN" w:bidi="ar-SA"/>
        </w:rPr>
        <w:t xml:space="preserve">评审过程中出现下列情形之一的，评标委员会应当启动异常低价投标（响应）审查程序： </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（3）投标(响应)报价低于采购项目最高限价45%的，即投标(响应)报价&lt;采购项目最高限价×45%；</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ind w:firstLine="480"/>
        <w:spacing w:line="480" w:lineRule="exact"/>
        <w:rPr>
          <w:rFonts w:hint="eastAsia" w:ascii="宋体" w:hAnsi="宋体" w:eastAsia="宋体" w:cs="宋体"/>
          <w:sz w:val="28"/>
          <w:szCs w:val="28"/>
          <w:lang w:val="en-US" w:eastAsia="zh-CN" w:bidi="ar-SA"/>
        </w:rPr>
      </w:pPr>
      <w:r>
        <w:rPr>
          <w:rFonts w:hint="eastAsia" w:ascii="Arial" w:hAnsi="Arial" w:eastAsia="Arial" w:cs="Times New Roman"/>
          <w:sz w:val="28"/>
          <w:szCs w:val="28"/>
          <w:lang w:val="en-US" w:eastAsia="zh-CN" w:bidi="ar-SA"/>
        </w:rPr>
        <w:t xml:space="preserve">3.3.2</w:t>
      </w:r>
      <w:r>
        <w:rPr>
          <w:rFonts w:hint="eastAsia" w:ascii="宋体" w:hAnsi="宋体" w:eastAsia="宋体" w:cs="宋体"/>
          <w:sz w:val="28"/>
          <w:szCs w:val="28"/>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7"/>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87"/>
        <w:ind w:firstLine="560"/>
        <w:spacing w:line="500" w:lineRule="exact"/>
        <w:rPr>
          <w:rFonts w:ascii="Arial" w:hAnsi="Arial" w:eastAsia="Arial"/>
          <w:sz w:val="28"/>
          <w:szCs w:val="28"/>
        </w:rPr>
      </w:pPr>
      <w:r>
        <w:rPr>
          <w:rFonts w:hint="eastAsia" w:ascii="Arial" w:hAnsi="Arial" w:eastAsia="Arial"/>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87"/>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Arial" w:hAnsi="Arial" w:eastAsia="Arial"/>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87"/>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87"/>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87"/>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87"/>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87"/>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87"/>
        <w:ind w:firstLine="560"/>
        <w:spacing w:after="0" w:line="500" w:lineRule="exact"/>
        <w:rPr>
          <w:rFonts w:ascii="Arial" w:hAnsi="Arial" w:eastAsia="Arial"/>
          <w:sz w:val="28"/>
          <w:szCs w:val="28"/>
        </w:rPr>
      </w:pPr>
      <w:r>
        <w:rPr>
          <w:rFonts w:hint="eastAsia" w:ascii="Arial" w:hAnsi="Arial" w:eastAsia="Arial"/>
          <w:sz w:val="28"/>
          <w:szCs w:val="28"/>
        </w:rPr>
        <w:t xml:space="preserve">（1）投标文件无法解密；</w:t>
      </w:r>
      <w:r/>
    </w:p>
    <w:p>
      <w:pPr>
        <w:pStyle w:val="687"/>
        <w:ind w:firstLine="560"/>
        <w:spacing w:after="0" w:line="500" w:lineRule="exact"/>
        <w:rPr>
          <w:rFonts w:ascii="Arial" w:hAnsi="Arial" w:eastAsia="Arial"/>
          <w:sz w:val="28"/>
          <w:szCs w:val="28"/>
        </w:rPr>
      </w:pPr>
      <w:r>
        <w:rPr>
          <w:rFonts w:hint="eastAsia" w:ascii="Arial" w:hAnsi="Arial" w:eastAsia="Arial"/>
          <w:sz w:val="28"/>
          <w:szCs w:val="28"/>
        </w:rPr>
        <w:t xml:space="preserve">（2）投标文件未在规定的时间内解密成功。</w:t>
      </w:r>
      <w:r/>
    </w:p>
    <w:p>
      <w:pPr>
        <w:pStyle w:val="687"/>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87"/>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87"/>
        <w:ind w:firstLine="560"/>
        <w:spacing w:after="0" w:line="500" w:lineRule="exact"/>
        <w:rPr>
          <w:rFonts w:ascii="Arial" w:hAnsi="Arial" w:eastAsia="Arial"/>
          <w:sz w:val="28"/>
          <w:szCs w:val="28"/>
        </w:rPr>
      </w:pPr>
      <w:r>
        <w:rPr>
          <w:rFonts w:hint="eastAsia" w:ascii="Arial" w:hAnsi="Arial" w:eastAsia="Arial"/>
          <w:sz w:val="28"/>
          <w:szCs w:val="28"/>
        </w:rPr>
        <w:t xml:space="preserve">（1）符合性评审时，投标文件出现不符合</w:t>
      </w:r>
      <w:r>
        <w:rPr>
          <w:rFonts w:ascii="Arial" w:hAnsi="Arial" w:eastAsia="Arial"/>
          <w:sz w:val="28"/>
          <w:szCs w:val="28"/>
        </w:rPr>
        <w:t xml:space="preserve">2.</w:t>
      </w:r>
      <w:r>
        <w:rPr>
          <w:rFonts w:hint="eastAsia" w:ascii="Arial" w:hAnsi="Arial" w:eastAsia="Arial"/>
          <w:sz w:val="28"/>
          <w:szCs w:val="28"/>
        </w:rPr>
        <w:t xml:space="preserve">2.2项评审标准之一的；</w:t>
      </w:r>
      <w:r/>
    </w:p>
    <w:p>
      <w:pPr>
        <w:pStyle w:val="687"/>
        <w:ind w:firstLine="560"/>
        <w:spacing w:after="0" w:line="500" w:lineRule="exact"/>
        <w:rPr>
          <w:rFonts w:ascii="Arial" w:hAnsi="Arial" w:eastAsia="Arial"/>
          <w:sz w:val="28"/>
          <w:szCs w:val="28"/>
        </w:rPr>
      </w:pPr>
      <w:r>
        <w:rPr>
          <w:rFonts w:hint="eastAsia" w:ascii="Arial" w:hAnsi="Arial" w:eastAsia="Arial"/>
          <w:sz w:val="28"/>
          <w:szCs w:val="28"/>
        </w:rPr>
        <w:t xml:space="preserve">（2）投标人不确认评标委员会提出的投标报价修正意见的；</w:t>
      </w:r>
      <w:r/>
    </w:p>
    <w:p>
      <w:pPr>
        <w:pStyle w:val="687"/>
        <w:ind w:firstLine="560"/>
        <w:spacing w:after="0" w:line="500" w:lineRule="exact"/>
        <w:rPr>
          <w:rFonts w:ascii="Arial" w:hAnsi="Arial" w:eastAsia="Arial"/>
          <w:sz w:val="28"/>
          <w:szCs w:val="28"/>
        </w:rPr>
      </w:pPr>
      <w:r>
        <w:rPr>
          <w:rFonts w:hint="eastAsia" w:ascii="Arial" w:hAnsi="Arial" w:eastAsia="Arial"/>
          <w:sz w:val="28"/>
          <w:szCs w:val="28"/>
        </w:rPr>
        <w:t xml:space="preserve">（3）未按照评标委员会要求提供书面说明及相关证明材料证明其报价合理性的；</w:t>
      </w:r>
      <w:r/>
    </w:p>
    <w:p>
      <w:pPr>
        <w:pStyle w:val="687"/>
        <w:ind w:firstLine="560"/>
        <w:spacing w:after="0" w:line="500" w:lineRule="exact"/>
        <w:rPr>
          <w:rFonts w:ascii="Arial" w:hAnsi="Arial" w:eastAsia="Arial"/>
          <w:sz w:val="28"/>
          <w:szCs w:val="28"/>
        </w:rPr>
      </w:pPr>
      <w:r>
        <w:rPr>
          <w:rFonts w:hint="eastAsia" w:ascii="Arial" w:hAnsi="Arial" w:eastAsia="Arial"/>
          <w:sz w:val="28"/>
          <w:szCs w:val="28"/>
        </w:rPr>
        <w:t xml:space="preserve">（4）投标文件含有采购人不能接受的附加条件的。</w:t>
      </w:r>
      <w:r/>
    </w:p>
    <w:p>
      <w:pPr>
        <w:pStyle w:val="687"/>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1"/>
      <w:r/>
      <w:bookmarkEnd w:id="232"/>
      <w:r/>
      <w:bookmarkEnd w:id="233"/>
      <w:r/>
      <w:bookmarkEnd w:id="234"/>
      <w:r/>
      <w:bookmarkEnd w:id="235"/>
      <w:r/>
      <w:bookmarkEnd w:id="236"/>
      <w:r/>
      <w:bookmarkEnd w:id="237"/>
      <w:r/>
      <w:bookmarkEnd w:id="238"/>
      <w:r/>
      <w:bookmarkEnd w:id="240"/>
      <w:r/>
      <w:r/>
    </w:p>
    <w:p>
      <w:pPr>
        <w:pStyle w:val="687"/>
      </w:pPr>
      <w:r/>
      <w:r/>
    </w:p>
    <w:p>
      <w:pPr>
        <w:jc w:val="left"/>
        <w:widowControl/>
        <w:rPr>
          <w:rFonts w:ascii="黑体" w:hAnsi="宋体" w:eastAsia="黑体"/>
          <w:b/>
          <w:sz w:val="32"/>
          <w:szCs w:val="20"/>
        </w:rPr>
      </w:pPr>
      <w:r/>
      <w:bookmarkStart w:id="241" w:name="_Toc383698715"/>
      <w:r/>
      <w:bookmarkStart w:id="242" w:name="_Toc390099086"/>
      <w:r/>
      <w:bookmarkStart w:id="243" w:name="_Toc383626062"/>
      <w:r/>
      <w:bookmarkStart w:id="244" w:name="_Toc390098908"/>
      <w:r/>
      <w:bookmarkStart w:id="245" w:name="_Toc383623741"/>
      <w:r/>
      <w:bookmarkStart w:id="246" w:name="_Toc390246973"/>
      <w:r/>
      <w:bookmarkStart w:id="247" w:name="_Toc425871381"/>
      <w:r/>
      <w:bookmarkStart w:id="248" w:name="_Toc383624013"/>
      <w:r/>
      <w:bookmarkStart w:id="249" w:name="_Toc383679815"/>
      <w:r>
        <w:rPr>
          <w:rFonts w:ascii="黑体" w:hAnsi="宋体" w:eastAsia="黑体"/>
          <w:b/>
        </w:rPr>
        <w:br w:type="page" w:clear="all"/>
      </w:r>
      <w:r/>
    </w:p>
    <w:p>
      <w:pPr>
        <w:pStyle w:val="703"/>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50" w:name="_Toc288030332"/>
      <w:r/>
      <w:bookmarkStart w:id="251" w:name="_Toc120614222"/>
      <w:r/>
      <w:bookmarkStart w:id="252" w:name="_Toc513029243"/>
      <w:r/>
      <w:bookmarkStart w:id="253" w:name="_Toc382812295"/>
      <w:r/>
      <w:bookmarkStart w:id="254" w:name="_Toc382814014"/>
      <w:r/>
      <w:bookmarkStart w:id="255" w:name="_Toc383587505"/>
      <w:r/>
      <w:bookmarkStart w:id="256" w:name="_Toc382812484"/>
      <w:r/>
      <w:bookmarkStart w:id="257" w:name="_Toc20823315"/>
      <w:r/>
      <w:bookmarkStart w:id="258" w:name="_Toc282446296"/>
      <w:r/>
      <w:bookmarkStart w:id="259" w:name="_Toc382811181"/>
      <w:r/>
      <w:bookmarkStart w:id="260" w:name="_Toc382811586"/>
      <w:r/>
      <w:bookmarkStart w:id="261" w:name="_Toc16938559"/>
      <w:r/>
      <w:bookmarkStart w:id="262" w:name="_Toc382813933"/>
      <w:r/>
      <w:bookmarkStart w:id="263" w:name="_Toc390099065"/>
      <w:r/>
      <w:bookmarkStart w:id="264" w:name="_Toc383626041"/>
      <w:r/>
      <w:bookmarkStart w:id="265" w:name="_Toc390246952"/>
      <w:r/>
      <w:bookmarkStart w:id="266" w:name="_Toc383623992"/>
      <w:r/>
      <w:bookmarkStart w:id="267" w:name="_Toc383679794"/>
      <w:r/>
      <w:bookmarkStart w:id="268" w:name="_Toc390098887"/>
      <w:r/>
      <w:bookmarkStart w:id="269" w:name="_Toc383698694"/>
      <w:r/>
      <w:bookmarkStart w:id="270" w:name="_Toc425871366"/>
      <w:r/>
      <w:bookmarkStart w:id="271" w:name="_Toc383623720"/>
      <w:r/>
      <w:r/>
    </w:p>
    <w:p>
      <w:pPr>
        <w:pStyle w:val="703"/>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703"/>
        <w:ind w:left="0" w:firstLine="0"/>
        <w:spacing w:line="500" w:lineRule="exact"/>
        <w:rPr>
          <w:rFonts w:ascii="宋体" w:hAnsi="宋体" w:eastAsia="宋体"/>
          <w:b/>
          <w:bCs/>
          <w:color w:val="000000"/>
          <w:szCs w:val="28"/>
        </w:rPr>
        <w:outlineLvl w:val="0"/>
      </w:pPr>
      <w:r>
        <w:rPr>
          <w:rFonts w:hint="eastAsia" w:ascii="宋体" w:hAnsi="宋体" w:eastAsia="宋体"/>
          <w:b/>
          <w:bCs/>
          <w:color w:val="000000"/>
          <w:szCs w:val="28"/>
        </w:rPr>
        <w:t xml:space="preserve">一、通用合同条款</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b/>
          <w:bCs/>
          <w:color w:val="000000"/>
          <w:szCs w:val="28"/>
        </w:rPr>
        <w:t xml:space="preserve">部分</w:t>
      </w:r>
      <w:bookmarkEnd w:id="263"/>
      <w:r/>
      <w:bookmarkEnd w:id="264"/>
      <w:r/>
      <w:bookmarkEnd w:id="265"/>
      <w:r/>
      <w:bookmarkEnd w:id="266"/>
      <w:r/>
      <w:bookmarkEnd w:id="267"/>
      <w:r/>
      <w:bookmarkEnd w:id="268"/>
      <w:r/>
      <w:bookmarkEnd w:id="269"/>
      <w:r/>
      <w:bookmarkEnd w:id="270"/>
      <w:r/>
      <w:bookmarkEnd w:id="271"/>
      <w:r/>
      <w:r/>
    </w:p>
    <w:p>
      <w:pPr>
        <w:ind w:firstLine="560"/>
        <w:jc w:val="left"/>
        <w:spacing w:line="500" w:lineRule="exact"/>
        <w:rPr>
          <w:rFonts w:ascii="宋体" w:hAnsi="宋体" w:cs="宋体"/>
          <w:sz w:val="28"/>
          <w:szCs w:val="21"/>
        </w:rPr>
      </w:pPr>
      <w:r/>
      <w:bookmarkStart w:id="272" w:name="_Toc20823317"/>
      <w:r/>
      <w:bookmarkStart w:id="273" w:name="_Toc382814016"/>
      <w:r/>
      <w:bookmarkStart w:id="274" w:name="_Toc390099066"/>
      <w:r/>
      <w:bookmarkStart w:id="275" w:name="_Toc383623993"/>
      <w:r/>
      <w:bookmarkStart w:id="276" w:name="_Toc383698695"/>
      <w:r/>
      <w:bookmarkStart w:id="277" w:name="_Toc288030334"/>
      <w:r/>
      <w:bookmarkStart w:id="278" w:name="_Toc382811183"/>
      <w:r/>
      <w:bookmarkStart w:id="279" w:name="_Toc383587507"/>
      <w:r/>
      <w:bookmarkStart w:id="280" w:name="_Toc282446298"/>
      <w:r/>
      <w:bookmarkStart w:id="281" w:name="_Toc120614224"/>
      <w:r/>
      <w:bookmarkStart w:id="282" w:name="_Toc390098888"/>
      <w:r/>
      <w:bookmarkStart w:id="283" w:name="_Toc383626042"/>
      <w:r/>
      <w:bookmarkStart w:id="284" w:name="_Toc382811588"/>
      <w:r/>
      <w:bookmarkStart w:id="285" w:name="_Toc16938561"/>
      <w:r/>
      <w:bookmarkStart w:id="286" w:name="_Toc382813935"/>
      <w:r/>
      <w:bookmarkStart w:id="287" w:name="_Toc425871367"/>
      <w:r/>
      <w:bookmarkStart w:id="288" w:name="_Toc390246953"/>
      <w:r/>
      <w:bookmarkStart w:id="289" w:name="_Toc383679795"/>
      <w:r/>
      <w:bookmarkStart w:id="290" w:name="_Toc382812297"/>
      <w:r/>
      <w:bookmarkStart w:id="291" w:name="_Toc513029245"/>
      <w:r/>
      <w:bookmarkStart w:id="292" w:name="_Toc382812486"/>
      <w:r/>
      <w:bookmarkStart w:id="293" w:name="_Toc383623721"/>
      <w:r>
        <w:rPr>
          <w:rFonts w:hint="eastAsia" w:ascii="宋体" w:hAnsi="宋体" w:cs="宋体"/>
          <w:sz w:val="28"/>
          <w:szCs w:val="21"/>
        </w:rPr>
        <w:t xml:space="preserve">1、定义</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4" w:name="_Toc513029246"/>
      <w:r/>
      <w:bookmarkStart w:id="295" w:name="_Toc16938562"/>
      <w:r/>
      <w:bookmarkStart w:id="296" w:name="_Toc120614225"/>
      <w:r/>
      <w:bookmarkStart w:id="297" w:name="_Toc20823318"/>
      <w:r/>
      <w:bookmarkStart w:id="298" w:name="_Toc288030335"/>
      <w:r/>
      <w:bookmarkStart w:id="299" w:name="_Toc282446299"/>
      <w:r/>
      <w:bookmarkStart w:id="300" w:name="_Toc382813936"/>
      <w:r/>
      <w:bookmarkStart w:id="301" w:name="_Toc383623722"/>
      <w:r/>
      <w:bookmarkStart w:id="302" w:name="_Toc383626043"/>
      <w:r/>
      <w:bookmarkStart w:id="303" w:name="_Toc383587508"/>
      <w:r/>
      <w:bookmarkStart w:id="304" w:name="_Toc382812298"/>
      <w:r/>
      <w:bookmarkStart w:id="305" w:name="_Toc390246954"/>
      <w:r/>
      <w:bookmarkStart w:id="306" w:name="_Toc383623994"/>
      <w:r/>
      <w:bookmarkStart w:id="307" w:name="_Toc425871368"/>
      <w:r/>
      <w:bookmarkStart w:id="308" w:name="_Toc390099067"/>
      <w:r/>
      <w:bookmarkStart w:id="309" w:name="_Toc383698696"/>
      <w:r/>
      <w:bookmarkStart w:id="310" w:name="_Toc382814017"/>
      <w:r/>
      <w:bookmarkStart w:id="311" w:name="_Toc382811589"/>
      <w:r/>
      <w:bookmarkStart w:id="312" w:name="_Toc382812487"/>
      <w:r/>
      <w:bookmarkStart w:id="313" w:name="_Toc382811184"/>
      <w:r/>
      <w:bookmarkStart w:id="314" w:name="_Toc390098889"/>
      <w:r/>
      <w:bookmarkStart w:id="315" w:name="_Toc383679796"/>
      <w:r>
        <w:rPr>
          <w:rFonts w:hint="eastAsia" w:ascii="宋体" w:hAnsi="宋体" w:cs="宋体"/>
          <w:sz w:val="28"/>
          <w:szCs w:val="21"/>
        </w:rPr>
        <w:t xml:space="preserve">2、技术</w:t>
      </w:r>
      <w:bookmarkEnd w:id="294"/>
      <w:r/>
      <w:bookmarkEnd w:id="295"/>
      <w:r/>
      <w:bookmarkEnd w:id="296"/>
      <w:r/>
      <w:bookmarkEnd w:id="297"/>
      <w:r/>
      <w:bookmarkEnd w:id="298"/>
      <w:r/>
      <w:bookmarkEnd w:id="299"/>
      <w:r>
        <w:rPr>
          <w:rFonts w:hint="eastAsia" w:ascii="宋体" w:hAnsi="宋体" w:cs="宋体"/>
          <w:sz w:val="28"/>
          <w:szCs w:val="21"/>
        </w:rPr>
        <w:t xml:space="preserve">规范</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6" w:name="_Toc382812299"/>
      <w:r/>
      <w:bookmarkStart w:id="317" w:name="_Toc383623995"/>
      <w:r/>
      <w:bookmarkStart w:id="318" w:name="_Toc20823319"/>
      <w:r/>
      <w:bookmarkStart w:id="319" w:name="_Toc390098890"/>
      <w:r/>
      <w:bookmarkStart w:id="320" w:name="_Toc383698697"/>
      <w:r/>
      <w:bookmarkStart w:id="321" w:name="_Toc382811590"/>
      <w:r/>
      <w:bookmarkStart w:id="322" w:name="_Toc383626044"/>
      <w:r/>
      <w:bookmarkStart w:id="323" w:name="_Toc425871369"/>
      <w:r/>
      <w:bookmarkStart w:id="324" w:name="_Toc383679797"/>
      <w:r/>
      <w:bookmarkStart w:id="325" w:name="_Toc513029247"/>
      <w:r/>
      <w:bookmarkStart w:id="326" w:name="_Toc390246955"/>
      <w:r/>
      <w:bookmarkStart w:id="327" w:name="_Toc383587509"/>
      <w:r/>
      <w:bookmarkStart w:id="328" w:name="_Toc382814018"/>
      <w:r/>
      <w:bookmarkStart w:id="329" w:name="_Toc382813937"/>
      <w:r/>
      <w:bookmarkStart w:id="330" w:name="_Toc390099068"/>
      <w:r/>
      <w:bookmarkStart w:id="331" w:name="_Toc120614226"/>
      <w:r/>
      <w:bookmarkStart w:id="332" w:name="_Toc382811185"/>
      <w:r/>
      <w:bookmarkStart w:id="333" w:name="_Toc383623723"/>
      <w:r/>
      <w:bookmarkStart w:id="334" w:name="_Toc382812488"/>
      <w:r/>
      <w:bookmarkStart w:id="335" w:name="_Toc16938563"/>
      <w:r/>
      <w:bookmarkStart w:id="336" w:name="_Toc282446300"/>
      <w:r/>
      <w:bookmarkStart w:id="337" w:name="_Toc288030336"/>
      <w:r>
        <w:rPr>
          <w:rFonts w:hint="eastAsia" w:ascii="宋体" w:hAnsi="宋体" w:cs="宋体"/>
          <w:sz w:val="28"/>
          <w:szCs w:val="21"/>
        </w:rPr>
        <w:t xml:space="preserve">3、专利权及版权</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38" w:name="_Toc120614227"/>
      <w:r/>
      <w:bookmarkStart w:id="339" w:name="_Toc20823320"/>
      <w:r/>
      <w:bookmarkStart w:id="340" w:name="_Toc282446301"/>
      <w:r/>
      <w:bookmarkStart w:id="341" w:name="_Toc513029248"/>
      <w:r/>
      <w:bookmarkStart w:id="342" w:name="_Toc16938564"/>
      <w:r/>
      <w:bookmarkStart w:id="343" w:name="_Toc288030337"/>
      <w:r/>
      <w:bookmarkStart w:id="344" w:name="_Toc382814019"/>
      <w:r/>
      <w:bookmarkStart w:id="345" w:name="_Toc390099069"/>
      <w:r/>
      <w:bookmarkStart w:id="346" w:name="_Toc383626045"/>
      <w:r/>
      <w:bookmarkStart w:id="347" w:name="_Toc383623996"/>
      <w:r/>
      <w:bookmarkStart w:id="348" w:name="_Toc383698698"/>
      <w:r/>
      <w:bookmarkStart w:id="349" w:name="_Toc425871370"/>
      <w:r/>
      <w:bookmarkStart w:id="350" w:name="_Toc382813938"/>
      <w:r/>
      <w:bookmarkStart w:id="351" w:name="_Toc390098891"/>
      <w:r/>
      <w:bookmarkStart w:id="352" w:name="_Toc383679798"/>
      <w:r/>
      <w:bookmarkStart w:id="353" w:name="_Toc383587510"/>
      <w:r/>
      <w:bookmarkStart w:id="354" w:name="_Toc390246956"/>
      <w:r/>
      <w:bookmarkStart w:id="355" w:name="_Toc383623724"/>
      <w:r>
        <w:rPr>
          <w:rFonts w:hint="eastAsia" w:ascii="宋体" w:hAnsi="宋体" w:cs="宋体"/>
          <w:sz w:val="28"/>
          <w:szCs w:val="21"/>
        </w:rPr>
        <w:t xml:space="preserve">4、</w:t>
      </w:r>
      <w:bookmarkEnd w:id="338"/>
      <w:r/>
      <w:bookmarkEnd w:id="339"/>
      <w:r/>
      <w:bookmarkEnd w:id="340"/>
      <w:r/>
      <w:bookmarkEnd w:id="341"/>
      <w:r/>
      <w:bookmarkEnd w:id="342"/>
      <w:r/>
      <w:bookmarkEnd w:id="343"/>
      <w:r/>
      <w:bookmarkStart w:id="356" w:name="_Toc16938566"/>
      <w:r/>
      <w:bookmarkStart w:id="357" w:name="_Toc513029250"/>
      <w:r/>
      <w:bookmarkStart w:id="358" w:name="_Toc120614229"/>
      <w:r/>
      <w:bookmarkStart w:id="359" w:name="_Toc20823322"/>
      <w:r/>
      <w:bookmarkStart w:id="360" w:name="_Toc282446303"/>
      <w:r/>
      <w:bookmarkStart w:id="361" w:name="_Toc288030339"/>
      <w:r>
        <w:rPr>
          <w:rFonts w:hint="eastAsia" w:ascii="宋体" w:hAnsi="宋体" w:cs="宋体"/>
          <w:sz w:val="28"/>
          <w:szCs w:val="21"/>
        </w:rPr>
        <w:t xml:space="preserve">付款</w:t>
      </w:r>
      <w:bookmarkEnd w:id="356"/>
      <w:r/>
      <w:bookmarkEnd w:id="357"/>
      <w:r/>
      <w:bookmarkEnd w:id="358"/>
      <w:r/>
      <w:bookmarkEnd w:id="359"/>
      <w:r/>
      <w:bookmarkEnd w:id="360"/>
      <w:r/>
      <w:bookmarkEnd w:id="361"/>
      <w:r>
        <w:rPr>
          <w:rFonts w:hint="eastAsia" w:ascii="宋体" w:hAnsi="宋体" w:cs="宋体"/>
          <w:sz w:val="28"/>
          <w:szCs w:val="21"/>
        </w:rPr>
        <w:t xml:space="preserve">方式</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62" w:name="_Toc20823323"/>
      <w:r/>
      <w:bookmarkStart w:id="363" w:name="_Toc390098892"/>
      <w:r/>
      <w:bookmarkStart w:id="364" w:name="_Toc288030340"/>
      <w:r/>
      <w:bookmarkStart w:id="365" w:name="_Toc383623997"/>
      <w:r/>
      <w:bookmarkStart w:id="366" w:name="_Toc383679799"/>
      <w:r/>
      <w:bookmarkStart w:id="367" w:name="_Toc382812300"/>
      <w:r/>
      <w:bookmarkStart w:id="368" w:name="_Toc425871371"/>
      <w:r/>
      <w:bookmarkStart w:id="369" w:name="_Toc390246957"/>
      <w:r/>
      <w:bookmarkStart w:id="370" w:name="_Toc383623725"/>
      <w:r/>
      <w:bookmarkStart w:id="371" w:name="_Toc282446304"/>
      <w:r/>
      <w:bookmarkStart w:id="372" w:name="_Toc390099070"/>
      <w:r/>
      <w:bookmarkStart w:id="373" w:name="_Toc120614230"/>
      <w:r/>
      <w:bookmarkStart w:id="374" w:name="_Toc513029251"/>
      <w:r/>
      <w:bookmarkStart w:id="375" w:name="_Toc383626046"/>
      <w:r/>
      <w:bookmarkStart w:id="376" w:name="_Toc382812489"/>
      <w:r/>
      <w:bookmarkStart w:id="377" w:name="_Toc382811591"/>
      <w:r/>
      <w:bookmarkStart w:id="378" w:name="_Toc382811186"/>
      <w:r/>
      <w:bookmarkStart w:id="379" w:name="_Toc383698699"/>
      <w:r/>
      <w:bookmarkStart w:id="380" w:name="_Toc382813939"/>
      <w:r/>
      <w:bookmarkStart w:id="381" w:name="_Toc383587511"/>
      <w:r/>
      <w:bookmarkStart w:id="382" w:name="_Toc382814020"/>
      <w:r/>
      <w:bookmarkStart w:id="383" w:name="_Toc16938567"/>
      <w:r>
        <w:rPr>
          <w:rFonts w:hint="eastAsia" w:ascii="宋体" w:hAnsi="宋体" w:cs="宋体"/>
          <w:sz w:val="28"/>
          <w:szCs w:val="21"/>
        </w:rPr>
        <w:t xml:space="preserve">5、伴随服务</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4" w:name="_Toc382811592"/>
      <w:r/>
      <w:bookmarkStart w:id="385" w:name="_Toc390246958"/>
      <w:r/>
      <w:bookmarkStart w:id="386" w:name="_Toc383623726"/>
      <w:r/>
      <w:bookmarkStart w:id="387" w:name="_Toc383623998"/>
      <w:r/>
      <w:bookmarkStart w:id="388" w:name="_Toc120614231"/>
      <w:r/>
      <w:bookmarkStart w:id="389" w:name="_Toc383679800"/>
      <w:r/>
      <w:bookmarkStart w:id="390" w:name="_Toc288030341"/>
      <w:r/>
      <w:bookmarkStart w:id="391" w:name="_Toc20823324"/>
      <w:r/>
      <w:bookmarkStart w:id="392" w:name="_Toc390099071"/>
      <w:r/>
      <w:bookmarkStart w:id="393" w:name="_Toc390098893"/>
      <w:r/>
      <w:bookmarkStart w:id="394" w:name="_Toc382811187"/>
      <w:r/>
      <w:bookmarkStart w:id="395" w:name="_Toc382814021"/>
      <w:r/>
      <w:bookmarkStart w:id="396" w:name="_Toc382812301"/>
      <w:r/>
      <w:bookmarkStart w:id="397" w:name="_Toc382812490"/>
      <w:r/>
      <w:bookmarkStart w:id="398" w:name="_Toc282446305"/>
      <w:r/>
      <w:bookmarkStart w:id="399" w:name="_Toc383587512"/>
      <w:r/>
      <w:bookmarkStart w:id="400" w:name="_Toc425871372"/>
      <w:r/>
      <w:bookmarkStart w:id="401" w:name="_Toc383698700"/>
      <w:r/>
      <w:bookmarkStart w:id="402" w:name="_Toc383626047"/>
      <w:r/>
      <w:bookmarkStart w:id="403" w:name="_Toc382813940"/>
      <w:r/>
      <w:bookmarkStart w:id="404" w:name="_Toc16938568"/>
      <w:r/>
      <w:bookmarkStart w:id="405" w:name="_Toc513029252"/>
      <w:r>
        <w:rPr>
          <w:rFonts w:hint="eastAsia" w:ascii="宋体" w:hAnsi="宋体" w:cs="宋体"/>
          <w:sz w:val="28"/>
          <w:szCs w:val="21"/>
        </w:rPr>
        <w:t xml:space="preserve">6、质量保证</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6" w:name="_Toc120614233"/>
      <w:r/>
      <w:bookmarkStart w:id="407" w:name="_Toc20823326"/>
      <w:r/>
      <w:bookmarkStart w:id="408" w:name="_Toc282446307"/>
      <w:r/>
      <w:bookmarkStart w:id="409" w:name="_Toc513029254"/>
      <w:r/>
      <w:bookmarkStart w:id="410" w:name="_Toc16938570"/>
      <w:r/>
      <w:bookmarkStart w:id="411" w:name="_Toc288030343"/>
      <w:r/>
      <w:bookmarkStart w:id="412" w:name="_Toc399227843"/>
      <w:r/>
      <w:bookmarkStart w:id="413" w:name="_Toc425871373"/>
      <w:r/>
      <w:bookmarkStart w:id="414" w:name="_Toc399228176"/>
      <w:r/>
      <w:bookmarkStart w:id="415" w:name="_Toc399658018"/>
      <w:r/>
      <w:bookmarkStart w:id="416" w:name="_Toc399853485"/>
      <w:r>
        <w:rPr>
          <w:rFonts w:hint="eastAsia" w:ascii="宋体" w:hAnsi="宋体" w:cs="宋体"/>
          <w:sz w:val="28"/>
          <w:szCs w:val="21"/>
        </w:rPr>
        <w:t xml:space="preserve">7、</w:t>
      </w:r>
      <w:bookmarkEnd w:id="406"/>
      <w:r/>
      <w:bookmarkEnd w:id="407"/>
      <w:r/>
      <w:bookmarkEnd w:id="408"/>
      <w:r/>
      <w:bookmarkEnd w:id="409"/>
      <w:r/>
      <w:bookmarkEnd w:id="410"/>
      <w:r/>
      <w:bookmarkEnd w:id="411"/>
      <w:r/>
      <w:bookmarkStart w:id="417" w:name="_Toc288030346"/>
      <w:r/>
      <w:bookmarkStart w:id="418" w:name="_Toc282446310"/>
      <w:r/>
      <w:bookmarkStart w:id="419" w:name="_Toc120614236"/>
      <w:r/>
      <w:bookmarkStart w:id="420" w:name="_Toc513029257"/>
      <w:r/>
      <w:bookmarkStart w:id="421" w:name="_Toc16938573"/>
      <w:r/>
      <w:bookmarkStart w:id="422" w:name="_Toc20823329"/>
      <w:r>
        <w:rPr>
          <w:rFonts w:hint="eastAsia" w:ascii="宋体" w:hAnsi="宋体" w:cs="宋体"/>
          <w:sz w:val="28"/>
          <w:szCs w:val="21"/>
        </w:rPr>
        <w:t xml:space="preserve">不可抗力</w:t>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3" w:name="_Toc288030347"/>
      <w:r/>
      <w:bookmarkStart w:id="424" w:name="_Toc120614237"/>
      <w:r/>
      <w:bookmarkStart w:id="425" w:name="_Toc425871374"/>
      <w:r/>
      <w:bookmarkStart w:id="426" w:name="_Toc399658019"/>
      <w:r/>
      <w:bookmarkStart w:id="427" w:name="_Toc399853486"/>
      <w:r/>
      <w:bookmarkStart w:id="428" w:name="_Toc282446311"/>
      <w:r/>
      <w:bookmarkStart w:id="429" w:name="_Toc20823330"/>
      <w:r/>
      <w:bookmarkStart w:id="430" w:name="_Toc513029258"/>
      <w:r/>
      <w:bookmarkStart w:id="431" w:name="_Toc16938574"/>
      <w:r/>
      <w:bookmarkStart w:id="432" w:name="_Toc399228177"/>
      <w:r/>
      <w:bookmarkStart w:id="433" w:name="_Toc399227844"/>
      <w:r>
        <w:rPr>
          <w:rFonts w:hint="eastAsia" w:ascii="宋体" w:hAnsi="宋体" w:cs="宋体"/>
          <w:sz w:val="28"/>
          <w:szCs w:val="21"/>
        </w:rPr>
        <w:t xml:space="preserve">8、税费</w:t>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4" w:name="_Toc282446312"/>
      <w:r/>
      <w:bookmarkStart w:id="435" w:name="_Toc20823331"/>
      <w:r/>
      <w:bookmarkStart w:id="436" w:name="_Toc425871375"/>
      <w:r/>
      <w:bookmarkStart w:id="437" w:name="_Toc399227845"/>
      <w:r/>
      <w:bookmarkStart w:id="438" w:name="_Toc288030348"/>
      <w:r/>
      <w:bookmarkStart w:id="439" w:name="_Toc120614238"/>
      <w:r/>
      <w:bookmarkStart w:id="440" w:name="_Toc399228178"/>
      <w:r/>
      <w:bookmarkStart w:id="441" w:name="_Toc399658020"/>
      <w:r/>
      <w:bookmarkStart w:id="442" w:name="_Toc513029259"/>
      <w:r/>
      <w:bookmarkStart w:id="443" w:name="_Toc16938575"/>
      <w:r/>
      <w:bookmarkStart w:id="444" w:name="_Toc399853487"/>
      <w:r>
        <w:rPr>
          <w:rFonts w:hint="eastAsia" w:ascii="宋体" w:hAnsi="宋体" w:cs="宋体"/>
          <w:sz w:val="28"/>
          <w:szCs w:val="21"/>
        </w:rPr>
        <w:t xml:space="preserve">9、履约保证金</w:t>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的形式：支票、汇票、本票或者金融机构、担保机构出具的保函等非现金形式</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的金额：</w:t>
      </w:r>
      <w:r>
        <w:rPr>
          <w:rFonts w:hint="eastAsia" w:ascii="宋体" w:hAnsi="宋体" w:cs="宋体"/>
          <w:sz w:val="28"/>
          <w:szCs w:val="21"/>
        </w:rPr>
        <w:t xml:space="preserve">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5" w:name="_Toc16938576"/>
      <w:r/>
      <w:bookmarkStart w:id="446" w:name="_Toc425871376"/>
      <w:r/>
      <w:bookmarkStart w:id="447" w:name="_Toc399853488"/>
      <w:r/>
      <w:bookmarkStart w:id="448" w:name="_Toc399658021"/>
      <w:r/>
      <w:bookmarkStart w:id="449" w:name="_Toc20823332"/>
      <w:r/>
      <w:bookmarkStart w:id="450" w:name="_Toc120614239"/>
      <w:r/>
      <w:bookmarkStart w:id="451" w:name="_Toc399227846"/>
      <w:r/>
      <w:bookmarkStart w:id="452" w:name="_Toc513029260"/>
      <w:r/>
      <w:bookmarkStart w:id="453" w:name="_Toc282446313"/>
      <w:r/>
      <w:bookmarkStart w:id="454" w:name="_Toc399228179"/>
      <w:r/>
      <w:bookmarkStart w:id="455" w:name="_Toc288030349"/>
      <w:r/>
      <w:bookmarkStart w:id="456" w:name="_Toc462564119"/>
      <w:r>
        <w:rPr>
          <w:rFonts w:hint="eastAsia" w:ascii="宋体" w:hAnsi="宋体" w:cs="宋体"/>
          <w:sz w:val="28"/>
          <w:szCs w:val="21"/>
        </w:rPr>
        <w:t xml:space="preserve">10、仲裁</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57" w:name="_Toc120614240"/>
      <w:r/>
      <w:bookmarkStart w:id="458" w:name="_Toc462564120"/>
      <w:r/>
      <w:bookmarkStart w:id="459" w:name="_Toc513029261"/>
      <w:r/>
      <w:bookmarkStart w:id="460" w:name="_Toc16938577"/>
      <w:r/>
      <w:bookmarkStart w:id="461" w:name="_Toc399228180"/>
      <w:r/>
      <w:bookmarkStart w:id="462" w:name="_Toc425871377"/>
      <w:r/>
      <w:bookmarkStart w:id="463" w:name="_Toc288030350"/>
      <w:r/>
      <w:bookmarkStart w:id="464" w:name="_Toc399658022"/>
      <w:r/>
      <w:bookmarkStart w:id="465" w:name="_Toc20823333"/>
      <w:r/>
      <w:bookmarkStart w:id="466" w:name="_Toc399853489"/>
      <w:r/>
      <w:bookmarkStart w:id="467" w:name="_Toc282446314"/>
      <w:r/>
      <w:bookmarkStart w:id="468" w:name="_Toc399227847"/>
      <w:r>
        <w:rPr>
          <w:rFonts w:hint="eastAsia" w:ascii="宋体" w:hAnsi="宋体" w:cs="宋体"/>
          <w:sz w:val="28"/>
          <w:szCs w:val="21"/>
        </w:rPr>
        <w:t xml:space="preserve">11、违约终止合同</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69" w:name="_Toc399227848"/>
      <w:r/>
      <w:bookmarkStart w:id="470" w:name="_Toc399853490"/>
      <w:r/>
      <w:bookmarkStart w:id="471" w:name="_Toc425871378"/>
      <w:r/>
      <w:bookmarkStart w:id="472" w:name="_Toc399658023"/>
      <w:r/>
      <w:bookmarkStart w:id="473" w:name="_Toc16938578"/>
      <w:r/>
      <w:bookmarkStart w:id="474" w:name="_Toc513029262"/>
      <w:r/>
      <w:bookmarkStart w:id="475" w:name="_Toc462564121"/>
      <w:r/>
      <w:bookmarkStart w:id="476" w:name="_Toc399228181"/>
      <w:r/>
      <w:bookmarkStart w:id="477" w:name="_Toc288030351"/>
      <w:r/>
      <w:bookmarkStart w:id="478" w:name="_Toc282446315"/>
      <w:r/>
      <w:bookmarkStart w:id="479" w:name="_Toc120614241"/>
      <w:r/>
      <w:bookmarkStart w:id="480" w:name="_Toc20823334"/>
      <w:r>
        <w:rPr>
          <w:rFonts w:hint="eastAsia" w:ascii="宋体" w:hAnsi="宋体" w:cs="宋体"/>
          <w:sz w:val="28"/>
          <w:szCs w:val="21"/>
        </w:rPr>
        <w:t xml:space="preserve">12、破产中止合同</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81" w:name="_Toc399228182"/>
      <w:r/>
      <w:bookmarkStart w:id="482" w:name="_Toc399658024"/>
      <w:r/>
      <w:bookmarkStart w:id="483" w:name="_Toc288030352"/>
      <w:r/>
      <w:bookmarkStart w:id="484" w:name="_Toc399227849"/>
      <w:r/>
      <w:bookmarkStart w:id="485" w:name="_Toc20823335"/>
      <w:r/>
      <w:bookmarkStart w:id="486" w:name="_Toc399853491"/>
      <w:r/>
      <w:bookmarkStart w:id="487" w:name="_Toc120614242"/>
      <w:r/>
      <w:bookmarkStart w:id="488" w:name="_Toc425871379"/>
      <w:r/>
      <w:bookmarkStart w:id="489" w:name="_Toc16938579"/>
      <w:r/>
      <w:bookmarkStart w:id="490" w:name="_Toc282446316"/>
      <w:r/>
      <w:bookmarkStart w:id="491" w:name="_Toc513029263"/>
      <w:r/>
      <w:bookmarkStart w:id="492" w:name="_Toc462564122"/>
      <w:r>
        <w:rPr>
          <w:rFonts w:hint="eastAsia" w:ascii="宋体" w:hAnsi="宋体" w:cs="宋体"/>
          <w:sz w:val="28"/>
          <w:szCs w:val="21"/>
        </w:rPr>
        <w:t xml:space="preserve">13、转让</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3" w:name="_Toc513029264"/>
      <w:r/>
      <w:bookmarkStart w:id="494" w:name="_Toc120614243"/>
      <w:r/>
      <w:bookmarkStart w:id="495" w:name="_Toc399228183"/>
      <w:r/>
      <w:bookmarkStart w:id="496" w:name="_Toc399227850"/>
      <w:r/>
      <w:bookmarkStart w:id="497" w:name="_Toc282446317"/>
      <w:r/>
      <w:bookmarkStart w:id="498" w:name="_Toc288030353"/>
      <w:r/>
      <w:bookmarkStart w:id="499" w:name="_Toc16938580"/>
      <w:r/>
      <w:bookmarkStart w:id="500" w:name="_Toc399658025"/>
      <w:r/>
      <w:bookmarkStart w:id="501" w:name="_Toc399853492"/>
      <w:r/>
      <w:bookmarkStart w:id="502" w:name="_Toc462564123"/>
      <w:r/>
      <w:bookmarkStart w:id="503" w:name="_Toc20823336"/>
      <w:r/>
      <w:bookmarkStart w:id="504" w:name="_Toc425871380"/>
      <w:r>
        <w:rPr>
          <w:rFonts w:hint="eastAsia" w:ascii="宋体" w:hAnsi="宋体" w:cs="宋体"/>
          <w:sz w:val="28"/>
          <w:szCs w:val="21"/>
        </w:rPr>
        <w:t xml:space="preserve">14、合同生效及其它</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b/>
          <w:bCs/>
          <w:sz w:val="28"/>
          <w:szCs w:val="28"/>
        </w:rPr>
        <w:outlineLvl w:val="1"/>
      </w:pPr>
      <w:r>
        <w:rPr>
          <w:rFonts w:hint="eastAsia" w:ascii="宋体" w:hAnsi="宋体" w:cs="Arial"/>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根据《中华人民共和国政府采购法》、《中华人民共和国民法典》和相关行业法律法规等法律法规的规定，甲乙双方按照**的招标结果</w:t>
      </w:r>
      <w:r>
        <w:rPr>
          <w:rFonts w:hint="eastAsia" w:ascii="宋体" w:hAnsi="宋体"/>
          <w:sz w:val="28"/>
          <w:szCs w:val="28"/>
        </w:rPr>
        <w:t xml:space="preserve">签订本合同。</w:t>
      </w:r>
      <w:r/>
    </w:p>
    <w:p>
      <w:pPr>
        <w:ind w:firstLine="562"/>
        <w:spacing w:line="500" w:lineRule="exact"/>
        <w:rPr>
          <w:rFonts w:ascii="宋体" w:hAnsi="宋体"/>
          <w:b/>
          <w:sz w:val="28"/>
          <w:szCs w:val="28"/>
        </w:rPr>
      </w:pPr>
      <w:r>
        <w:rPr>
          <w:rFonts w:hint="eastAsia" w:ascii="宋体" w:hAnsi="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b/>
          <w:sz w:val="28"/>
          <w:szCs w:val="28"/>
        </w:rPr>
      </w:pPr>
      <w:r>
        <w:rPr>
          <w:rFonts w:hint="eastAsia" w:ascii="宋体" w:hAnsi="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sz w:val="28"/>
          <w:szCs w:val="28"/>
        </w:rPr>
      </w:pPr>
      <w:r>
        <w:rPr>
          <w:rFonts w:hint="eastAsia" w:ascii="宋体" w:hAnsi="宋体"/>
          <w:b/>
          <w:sz w:val="28"/>
          <w:szCs w:val="28"/>
        </w:rPr>
        <w:t xml:space="preserve">四.服务工作执行技术标准、验收标准及工期：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sz w:val="28"/>
          <w:szCs w:val="28"/>
        </w:rPr>
      </w:pPr>
      <w:r>
        <w:rPr>
          <w:rFonts w:hint="eastAsia" w:ascii="宋体" w:hAnsi="宋体"/>
          <w:sz w:val="28"/>
          <w:szCs w:val="28"/>
        </w:rPr>
        <w:t xml:space="preserve">2、验收时间及标准：</w:t>
      </w:r>
      <w:r/>
    </w:p>
    <w:p>
      <w:pPr>
        <w:pStyle w:val="687"/>
        <w:ind w:firstLine="560"/>
        <w:spacing w:line="500" w:lineRule="exact"/>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sz w:val="28"/>
          <w:szCs w:val="28"/>
        </w:rPr>
      </w:pPr>
      <w:r>
        <w:rPr>
          <w:rFonts w:hint="eastAsia" w:ascii="宋体" w:hAnsi="宋体"/>
          <w:b/>
          <w:bCs/>
          <w:sz w:val="28"/>
          <w:szCs w:val="28"/>
        </w:rPr>
        <w:t xml:space="preserve">六</w:t>
      </w:r>
      <w:r>
        <w:rPr>
          <w:rFonts w:hint="eastAsia" w:ascii="宋体" w:hAnsi="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sz w:val="28"/>
          <w:szCs w:val="28"/>
        </w:rPr>
      </w:pPr>
      <w:r>
        <w:rPr>
          <w:rFonts w:hint="eastAsia" w:ascii="宋体" w:hAnsi="宋体"/>
          <w:b/>
          <w:bCs/>
          <w:sz w:val="28"/>
          <w:szCs w:val="28"/>
        </w:rPr>
        <w:t xml:space="preserve">七</w:t>
      </w:r>
      <w:r>
        <w:rPr>
          <w:rFonts w:hint="eastAsia" w:ascii="宋体" w:hAnsi="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sz w:val="28"/>
        </w:rPr>
      </w:pPr>
      <w:r>
        <w:rPr>
          <w:rFonts w:hint="eastAsia" w:ascii="宋体" w:hAnsi="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b/>
          <w:sz w:val="28"/>
          <w:szCs w:val="28"/>
        </w:rPr>
      </w:pPr>
      <w:r>
        <w:rPr>
          <w:rFonts w:hint="eastAsia" w:ascii="宋体" w:hAnsi="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的形式：支票、汇票、本票或者金融机构、担保机构出具的保函等非现金形式</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的金额：</w:t>
      </w:r>
      <w:r>
        <w:rPr>
          <w:rFonts w:hint="eastAsia" w:ascii="宋体" w:hAnsi="宋体" w:cs="宋体"/>
          <w:sz w:val="28"/>
          <w:szCs w:val="28"/>
        </w:rPr>
        <w:t xml:space="preserve">合同价的</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687"/>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b/>
          <w:sz w:val="28"/>
          <w:szCs w:val="28"/>
        </w:rPr>
      </w:pPr>
      <w:r>
        <w:rPr>
          <w:rFonts w:hint="eastAsia" w:ascii="宋体" w:hAnsi="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b/>
          <w:sz w:val="28"/>
          <w:szCs w:val="28"/>
        </w:rPr>
      </w:pPr>
      <w:r>
        <w:rPr>
          <w:rFonts w:hint="eastAsia" w:ascii="宋体" w:hAnsi="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b/>
          <w:sz w:val="28"/>
          <w:szCs w:val="28"/>
        </w:rPr>
      </w:pPr>
      <w:r>
        <w:rPr>
          <w:rFonts w:hint="eastAsia" w:ascii="宋体" w:hAnsi="宋体"/>
          <w:b/>
          <w:sz w:val="28"/>
          <w:szCs w:val="28"/>
        </w:rPr>
        <w:t xml:space="preserve">十二．争议</w:t>
      </w:r>
      <w:r/>
    </w:p>
    <w:p>
      <w:pPr>
        <w:ind w:firstLine="560"/>
        <w:spacing w:line="500" w:lineRule="exact"/>
        <w:rPr>
          <w:rFonts w:ascii="宋体" w:hAnsi="宋体"/>
          <w:sz w:val="28"/>
          <w:szCs w:val="28"/>
        </w:rPr>
      </w:pPr>
      <w:r>
        <w:rPr>
          <w:rFonts w:hint="eastAsia" w:ascii="宋体" w:hAnsi="宋体"/>
          <w:sz w:val="28"/>
          <w:szCs w:val="28"/>
        </w:rPr>
        <w:t xml:space="preserve">1.在执行本合同中发生的或与本合同有关的争端，双方应通过友好协商解决。</w:t>
      </w:r>
      <w:r>
        <w:rPr>
          <w:rFonts w:hint="eastAsia" w:ascii="宋体" w:hAnsi="宋体" w:cs="宋体"/>
          <w:sz w:val="28"/>
          <w:szCs w:val="28"/>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sz w:val="28"/>
          <w:szCs w:val="28"/>
        </w:rPr>
      </w:pPr>
      <w:r>
        <w:rPr>
          <w:rFonts w:hint="eastAsia" w:ascii="宋体" w:hAnsi="宋体"/>
          <w:sz w:val="28"/>
          <w:szCs w:val="28"/>
        </w:rPr>
        <w:t xml:space="preserve">2.在仲裁和诉讼期间，双方应继续履行争议部分以外的合同内容。</w:t>
      </w:r>
      <w:r/>
    </w:p>
    <w:p>
      <w:pPr>
        <w:ind w:firstLine="562"/>
        <w:spacing w:line="500" w:lineRule="exact"/>
        <w:rPr>
          <w:rFonts w:ascii="宋体" w:hAnsi="宋体"/>
          <w:b/>
          <w:sz w:val="28"/>
          <w:szCs w:val="28"/>
        </w:rPr>
      </w:pPr>
      <w:r>
        <w:rPr>
          <w:rFonts w:hint="eastAsia" w:ascii="宋体" w:hAnsi="宋体"/>
          <w:b/>
          <w:sz w:val="28"/>
          <w:szCs w:val="28"/>
        </w:rPr>
        <w:t xml:space="preserve">十三．违约终止合同</w:t>
      </w:r>
      <w:r/>
    </w:p>
    <w:p>
      <w:pPr>
        <w:ind w:firstLine="560"/>
        <w:spacing w:line="500" w:lineRule="exact"/>
        <w:rPr>
          <w:rFonts w:ascii="宋体" w:hAnsi="宋体"/>
          <w:sz w:val="28"/>
          <w:szCs w:val="28"/>
        </w:rPr>
      </w:pPr>
      <w:r>
        <w:rPr>
          <w:rFonts w:hint="eastAsia" w:ascii="宋体" w:hAnsi="宋体"/>
          <w:sz w:val="28"/>
          <w:szCs w:val="28"/>
        </w:rPr>
        <w:t xml:space="preserve">1 .违约责任</w:t>
      </w:r>
      <w:r/>
    </w:p>
    <w:p>
      <w:pPr>
        <w:ind w:firstLine="560"/>
        <w:spacing w:line="500" w:lineRule="exact"/>
        <w:rPr>
          <w:rFonts w:ascii="宋体" w:hAnsi="宋体"/>
          <w:sz w:val="28"/>
          <w:szCs w:val="28"/>
        </w:rPr>
      </w:pPr>
      <w:r>
        <w:rPr>
          <w:rFonts w:hint="eastAsia" w:ascii="宋体" w:hAnsi="宋体"/>
          <w:sz w:val="28"/>
          <w:szCs w:val="28"/>
        </w:rPr>
        <w:t xml:space="preserve">有下列情况之一的，甲方有权终止协议：</w:t>
      </w:r>
      <w:r/>
    </w:p>
    <w:p>
      <w:pPr>
        <w:ind w:firstLine="560"/>
        <w:spacing w:line="500" w:lineRule="exact"/>
        <w:rPr>
          <w:rFonts w:ascii="宋体" w:hAnsi="宋体"/>
          <w:sz w:val="28"/>
          <w:szCs w:val="28"/>
        </w:rPr>
      </w:pPr>
      <w:r>
        <w:rPr>
          <w:rFonts w:hint="eastAsia" w:ascii="宋体" w:hAnsi="宋体"/>
          <w:sz w:val="28"/>
          <w:szCs w:val="28"/>
        </w:rPr>
        <w:t xml:space="preserve">1.1</w:t>
      </w:r>
      <w:r>
        <w:rPr>
          <w:rFonts w:hint="eastAsia" w:ascii="宋体" w:hAnsi="宋体" w:cs="宋体"/>
          <w:sz w:val="28"/>
          <w:szCs w:val="28"/>
        </w:rPr>
        <w:t xml:space="preserve">乙方未能按</w:t>
      </w:r>
      <w:r>
        <w:rPr>
          <w:rFonts w:hint="eastAsia" w:ascii="宋体" w:hAnsi="宋体"/>
          <w:sz w:val="28"/>
          <w:szCs w:val="28"/>
        </w:rPr>
        <w:t xml:space="preserve">上级</w:t>
      </w:r>
      <w:r>
        <w:rPr>
          <w:rFonts w:hint="eastAsia" w:ascii="宋体" w:hAnsi="宋体" w:cs="宋体"/>
          <w:sz w:val="28"/>
          <w:szCs w:val="28"/>
        </w:rPr>
        <w:t xml:space="preserve">要求造成结果失真或未能按进保质完成甲方委托任务的。</w:t>
      </w:r>
      <w:r/>
    </w:p>
    <w:p>
      <w:pPr>
        <w:ind w:firstLine="560"/>
        <w:spacing w:line="500" w:lineRule="exact"/>
        <w:rPr>
          <w:rFonts w:ascii="宋体" w:hAnsi="宋体"/>
          <w:sz w:val="28"/>
          <w:szCs w:val="28"/>
        </w:rPr>
      </w:pPr>
      <w:r>
        <w:rPr>
          <w:rFonts w:hint="eastAsia" w:ascii="宋体" w:hAnsi="宋体"/>
          <w:sz w:val="28"/>
          <w:szCs w:val="28"/>
        </w:rPr>
        <w:t xml:space="preserve">1.2乙方违反从业道德，影响甲方声誉或投诉查实的。</w:t>
      </w:r>
      <w:r/>
    </w:p>
    <w:p>
      <w:pPr>
        <w:ind w:firstLine="560"/>
        <w:spacing w:line="500" w:lineRule="exact"/>
        <w:rPr>
          <w:rFonts w:ascii="宋体" w:hAnsi="宋体"/>
          <w:sz w:val="28"/>
          <w:szCs w:val="28"/>
        </w:rPr>
      </w:pPr>
      <w:r>
        <w:rPr>
          <w:rFonts w:hint="eastAsia" w:ascii="宋体" w:hAnsi="宋体"/>
          <w:sz w:val="28"/>
          <w:szCs w:val="28"/>
        </w:rPr>
        <w:t xml:space="preserve">2.因解除而终止</w:t>
      </w:r>
      <w:r/>
    </w:p>
    <w:p>
      <w:pPr>
        <w:ind w:firstLine="560"/>
        <w:spacing w:line="500" w:lineRule="exact"/>
        <w:rPr>
          <w:rFonts w:ascii="宋体" w:hAnsi="宋体"/>
          <w:sz w:val="28"/>
          <w:szCs w:val="28"/>
        </w:rPr>
      </w:pPr>
      <w:r>
        <w:rPr>
          <w:rFonts w:hint="eastAsia" w:ascii="宋体" w:hAnsi="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sz w:val="28"/>
          <w:szCs w:val="28"/>
        </w:rPr>
      </w:pPr>
      <w:r>
        <w:rPr>
          <w:rFonts w:hint="eastAsia" w:ascii="宋体" w:hAnsi="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sz w:val="28"/>
          <w:szCs w:val="28"/>
        </w:rPr>
      </w:pPr>
      <w:r>
        <w:rPr>
          <w:rFonts w:hint="eastAsia" w:ascii="宋体" w:hAnsi="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sz w:val="28"/>
          <w:szCs w:val="28"/>
        </w:rPr>
      </w:pPr>
      <w:r>
        <w:rPr>
          <w:rFonts w:hint="eastAsia" w:ascii="宋体" w:hAnsi="宋体"/>
          <w:sz w:val="28"/>
          <w:szCs w:val="28"/>
        </w:rPr>
        <w:t xml:space="preserve">2.4合同终止后，不妨碍守约方向违约方追究违约责任。</w:t>
      </w:r>
      <w:r/>
    </w:p>
    <w:p>
      <w:pPr>
        <w:ind w:firstLine="560"/>
        <w:spacing w:line="500" w:lineRule="exact"/>
        <w:rPr>
          <w:rFonts w:ascii="宋体" w:hAnsi="宋体"/>
          <w:sz w:val="28"/>
          <w:szCs w:val="28"/>
        </w:rPr>
      </w:pPr>
      <w:r>
        <w:rPr>
          <w:rFonts w:hint="eastAsia" w:ascii="宋体" w:hAnsi="宋体"/>
          <w:sz w:val="28"/>
          <w:szCs w:val="28"/>
        </w:rPr>
        <w:t xml:space="preserve">3.甲方未能按规定时限支付评估经费的，每延迟一天，按应付金额的0.1%对乙方进行违约赔偿。</w:t>
      </w:r>
      <w:r/>
    </w:p>
    <w:p>
      <w:pPr>
        <w:ind w:firstLine="562"/>
        <w:spacing w:line="500" w:lineRule="exact"/>
        <w:rPr>
          <w:rFonts w:ascii="宋体" w:hAnsi="宋体"/>
          <w:b/>
          <w:sz w:val="28"/>
          <w:szCs w:val="28"/>
        </w:rPr>
      </w:pPr>
      <w:r>
        <w:rPr>
          <w:rFonts w:hint="eastAsia" w:ascii="宋体" w:hAnsi="宋体"/>
          <w:b/>
          <w:sz w:val="28"/>
          <w:szCs w:val="28"/>
        </w:rPr>
        <w:t xml:space="preserve">十四．变更指示</w:t>
      </w:r>
      <w:r/>
    </w:p>
    <w:p>
      <w:pPr>
        <w:ind w:firstLine="560"/>
        <w:spacing w:line="500" w:lineRule="exact"/>
        <w:rPr>
          <w:rFonts w:ascii="宋体" w:hAnsi="宋体"/>
          <w:sz w:val="28"/>
          <w:szCs w:val="28"/>
        </w:rPr>
      </w:pPr>
      <w:r>
        <w:rPr>
          <w:rFonts w:hint="eastAsia" w:ascii="宋体" w:hAnsi="宋体"/>
          <w:sz w:val="28"/>
          <w:szCs w:val="28"/>
        </w:rPr>
        <w:t xml:space="preserve">1.甲方有权根据实际需要，在《政府采购法》允许的范围内提出变更要求。</w:t>
      </w:r>
      <w:r/>
    </w:p>
    <w:p>
      <w:pPr>
        <w:ind w:firstLine="560"/>
        <w:spacing w:line="500" w:lineRule="exact"/>
        <w:rPr>
          <w:rFonts w:ascii="宋体" w:hAnsi="宋体"/>
          <w:sz w:val="28"/>
          <w:szCs w:val="28"/>
        </w:rPr>
      </w:pPr>
      <w:r>
        <w:rPr>
          <w:rFonts w:hint="eastAsia" w:ascii="宋体" w:hAnsi="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sz w:val="28"/>
          <w:szCs w:val="28"/>
        </w:rPr>
      </w:pPr>
      <w:r>
        <w:rPr>
          <w:rFonts w:hint="eastAsia" w:ascii="宋体" w:hAnsi="宋体"/>
          <w:b/>
          <w:sz w:val="28"/>
          <w:szCs w:val="28"/>
        </w:rPr>
        <w:t xml:space="preserve">十五．合同修改</w:t>
      </w:r>
      <w:r/>
    </w:p>
    <w:p>
      <w:pPr>
        <w:ind w:firstLine="560"/>
        <w:spacing w:line="500" w:lineRule="exact"/>
        <w:rPr>
          <w:rFonts w:ascii="宋体" w:hAnsi="宋体"/>
          <w:sz w:val="28"/>
          <w:szCs w:val="28"/>
        </w:rPr>
      </w:pPr>
      <w:r>
        <w:rPr>
          <w:rFonts w:hint="eastAsia" w:ascii="宋体" w:hAnsi="宋体"/>
          <w:sz w:val="28"/>
          <w:szCs w:val="28"/>
        </w:rPr>
        <w:t xml:space="preserve">1.对合同条款作出任何改动或偏离，均须甲乙双方签署书面的合同修改书。</w:t>
      </w:r>
      <w:r/>
    </w:p>
    <w:p>
      <w:pPr>
        <w:ind w:firstLine="562"/>
        <w:spacing w:line="500" w:lineRule="exact"/>
        <w:rPr>
          <w:rFonts w:ascii="宋体" w:hAnsi="宋体"/>
          <w:b/>
          <w:sz w:val="28"/>
          <w:szCs w:val="28"/>
        </w:rPr>
      </w:pPr>
      <w:r>
        <w:rPr>
          <w:rFonts w:hint="eastAsia" w:ascii="宋体" w:hAnsi="宋体"/>
          <w:b/>
          <w:sz w:val="28"/>
          <w:szCs w:val="28"/>
        </w:rPr>
        <w:t xml:space="preserve">十六．适用法律</w:t>
      </w:r>
      <w:r/>
    </w:p>
    <w:p>
      <w:pPr>
        <w:ind w:firstLine="560"/>
        <w:spacing w:line="500" w:lineRule="exact"/>
        <w:rPr>
          <w:rFonts w:ascii="宋体" w:hAnsi="宋体"/>
          <w:sz w:val="28"/>
          <w:szCs w:val="28"/>
        </w:rPr>
      </w:pPr>
      <w:r>
        <w:rPr>
          <w:rFonts w:hint="eastAsia" w:ascii="宋体" w:hAnsi="宋体"/>
          <w:sz w:val="28"/>
          <w:szCs w:val="28"/>
        </w:rPr>
        <w:t xml:space="preserve">l.本合同应按中华人民共和国的法律解释。</w:t>
      </w:r>
      <w:r/>
    </w:p>
    <w:p>
      <w:pPr>
        <w:ind w:firstLine="562"/>
        <w:spacing w:line="500" w:lineRule="exact"/>
        <w:rPr>
          <w:rFonts w:ascii="宋体" w:hAnsi="宋体"/>
          <w:b/>
          <w:sz w:val="28"/>
          <w:szCs w:val="28"/>
        </w:rPr>
      </w:pPr>
      <w:r>
        <w:rPr>
          <w:rFonts w:hint="eastAsia" w:ascii="宋体" w:hAnsi="宋体"/>
          <w:b/>
          <w:sz w:val="28"/>
          <w:szCs w:val="28"/>
        </w:rPr>
        <w:t xml:space="preserve">十七．语言与计量单位</w:t>
      </w:r>
      <w:r/>
    </w:p>
    <w:p>
      <w:pPr>
        <w:ind w:firstLine="560"/>
        <w:spacing w:line="500" w:lineRule="exact"/>
        <w:rPr>
          <w:rFonts w:ascii="宋体" w:hAnsi="宋体"/>
          <w:sz w:val="28"/>
          <w:szCs w:val="28"/>
        </w:rPr>
      </w:pPr>
      <w:r>
        <w:rPr>
          <w:rFonts w:hint="eastAsia" w:ascii="宋体" w:hAnsi="宋体"/>
          <w:sz w:val="28"/>
          <w:szCs w:val="28"/>
        </w:rPr>
        <w:t xml:space="preserve">1.合同书写应用中文。甲乙双方所有的来往函电以及与合同有关的文件均应以中文书写。</w:t>
      </w:r>
      <w:r/>
    </w:p>
    <w:p>
      <w:pPr>
        <w:ind w:firstLine="560"/>
        <w:spacing w:line="500" w:lineRule="exact"/>
        <w:rPr>
          <w:rFonts w:ascii="宋体" w:hAnsi="宋体"/>
          <w:sz w:val="28"/>
          <w:szCs w:val="28"/>
        </w:rPr>
      </w:pPr>
      <w:r>
        <w:rPr>
          <w:rFonts w:hint="eastAsia" w:ascii="宋体" w:hAnsi="宋体"/>
          <w:sz w:val="28"/>
          <w:szCs w:val="28"/>
        </w:rPr>
        <w:t xml:space="preserve">2.除技术规格中另有规定外，计量单位均使用国际单位制。</w:t>
      </w:r>
      <w:r/>
    </w:p>
    <w:p>
      <w:pPr>
        <w:ind w:firstLine="562"/>
        <w:spacing w:line="500" w:lineRule="exact"/>
        <w:rPr>
          <w:rFonts w:ascii="宋体" w:hAnsi="宋体"/>
          <w:b/>
          <w:sz w:val="28"/>
          <w:szCs w:val="28"/>
        </w:rPr>
      </w:pPr>
      <w:r>
        <w:rPr>
          <w:rFonts w:hint="eastAsia" w:ascii="宋体" w:hAnsi="宋体"/>
          <w:b/>
          <w:sz w:val="28"/>
          <w:szCs w:val="28"/>
        </w:rPr>
        <w:t xml:space="preserve">十八．通知</w:t>
      </w:r>
      <w:r/>
    </w:p>
    <w:p>
      <w:pPr>
        <w:ind w:firstLine="560"/>
        <w:spacing w:line="500" w:lineRule="exact"/>
        <w:rPr>
          <w:rFonts w:ascii="宋体" w:hAnsi="宋体"/>
          <w:sz w:val="28"/>
          <w:szCs w:val="28"/>
        </w:rPr>
      </w:pPr>
      <w:r>
        <w:rPr>
          <w:rFonts w:hint="eastAsia" w:ascii="宋体" w:hAnsi="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b/>
          <w:sz w:val="28"/>
          <w:szCs w:val="28"/>
        </w:rPr>
      </w:pPr>
      <w:r>
        <w:rPr>
          <w:rFonts w:hint="eastAsia" w:ascii="宋体" w:hAnsi="宋体"/>
          <w:b/>
          <w:sz w:val="28"/>
          <w:szCs w:val="28"/>
        </w:rPr>
        <w:t xml:space="preserve">十九．合同文件及资料的保密</w:t>
      </w:r>
      <w:r/>
    </w:p>
    <w:p>
      <w:pPr>
        <w:ind w:firstLine="542"/>
        <w:spacing w:line="500" w:lineRule="exact"/>
        <w:rPr>
          <w:rFonts w:ascii="宋体" w:hAnsi="宋体"/>
          <w:sz w:val="28"/>
          <w:szCs w:val="28"/>
        </w:rPr>
      </w:pPr>
      <w:r>
        <w:rPr>
          <w:rFonts w:hint="eastAsia" w:ascii="宋体" w:hAnsi="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sz w:val="28"/>
          <w:szCs w:val="28"/>
        </w:rPr>
      </w:pPr>
      <w:r>
        <w:rPr>
          <w:rFonts w:hint="eastAsia" w:ascii="宋体" w:hAnsi="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sz w:val="28"/>
          <w:szCs w:val="28"/>
        </w:rPr>
      </w:pPr>
      <w:r>
        <w:rPr>
          <w:rFonts w:hint="eastAsia" w:ascii="宋体" w:hAnsi="宋体"/>
          <w:b/>
          <w:sz w:val="28"/>
          <w:szCs w:val="28"/>
        </w:rPr>
        <w:t xml:space="preserve">二十．合同生效及其他</w:t>
      </w:r>
      <w:r/>
    </w:p>
    <w:p>
      <w:pPr>
        <w:ind w:firstLine="560"/>
        <w:spacing w:line="500" w:lineRule="exact"/>
        <w:rPr>
          <w:rFonts w:ascii="宋体" w:hAnsi="宋体"/>
          <w:sz w:val="28"/>
          <w:szCs w:val="28"/>
        </w:rPr>
      </w:pPr>
      <w:r>
        <w:rPr>
          <w:rFonts w:hint="eastAsia" w:ascii="宋体" w:hAnsi="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sz w:val="28"/>
          <w:szCs w:val="28"/>
        </w:rPr>
      </w:pPr>
      <w:r>
        <w:rPr>
          <w:rFonts w:hint="eastAsia" w:ascii="宋体" w:hAnsi="宋体"/>
          <w:sz w:val="28"/>
          <w:szCs w:val="28"/>
        </w:rPr>
        <w:t xml:space="preserve">2.合同一式肆份，具有同等法律效力。</w:t>
      </w:r>
      <w:r/>
    </w:p>
    <w:p>
      <w:pPr>
        <w:ind w:firstLine="562"/>
        <w:spacing w:line="500" w:lineRule="exact"/>
        <w:rPr>
          <w:rFonts w:ascii="宋体" w:hAnsi="宋体"/>
          <w:b/>
          <w:sz w:val="28"/>
          <w:szCs w:val="28"/>
        </w:rPr>
      </w:pPr>
      <w:r>
        <w:rPr>
          <w:rFonts w:hint="eastAsia" w:ascii="宋体" w:hAnsi="宋体"/>
          <w:b/>
          <w:sz w:val="28"/>
          <w:szCs w:val="28"/>
        </w:rPr>
        <w:t xml:space="preserve">二十一．合同文件及解释顺序</w:t>
      </w:r>
      <w:r/>
    </w:p>
    <w:p>
      <w:pPr>
        <w:ind w:firstLine="560"/>
        <w:spacing w:line="500" w:lineRule="exact"/>
        <w:rPr>
          <w:rFonts w:ascii="宋体" w:hAnsi="宋体"/>
          <w:sz w:val="28"/>
          <w:szCs w:val="28"/>
        </w:rPr>
      </w:pPr>
      <w:r>
        <w:rPr>
          <w:rFonts w:hint="eastAsia" w:ascii="宋体" w:hAnsi="宋体"/>
          <w:sz w:val="28"/>
          <w:szCs w:val="28"/>
        </w:rPr>
        <w:t xml:space="preserve">下列文件均为合同组成文件</w:t>
      </w:r>
      <w:r/>
    </w:p>
    <w:p>
      <w:pPr>
        <w:ind w:firstLine="560"/>
        <w:spacing w:line="500" w:lineRule="exact"/>
        <w:rPr>
          <w:rFonts w:ascii="宋体" w:hAnsi="宋体"/>
          <w:sz w:val="28"/>
          <w:szCs w:val="28"/>
        </w:rPr>
      </w:pPr>
      <w:r>
        <w:rPr>
          <w:rFonts w:hint="eastAsia" w:ascii="宋体" w:hAnsi="宋体"/>
          <w:sz w:val="28"/>
          <w:szCs w:val="28"/>
        </w:rPr>
        <w:t xml:space="preserve">1.招标文件（包括澄清、答疑、修改和补充通知）</w:t>
      </w:r>
      <w:r/>
    </w:p>
    <w:p>
      <w:pPr>
        <w:ind w:firstLine="560"/>
        <w:spacing w:line="500" w:lineRule="exact"/>
        <w:rPr>
          <w:rFonts w:ascii="宋体" w:hAnsi="宋体"/>
          <w:sz w:val="28"/>
          <w:szCs w:val="28"/>
        </w:rPr>
      </w:pPr>
      <w:r>
        <w:rPr>
          <w:rFonts w:hint="eastAsia" w:ascii="宋体" w:hAnsi="宋体"/>
          <w:sz w:val="28"/>
          <w:szCs w:val="28"/>
        </w:rPr>
        <w:t xml:space="preserve">2.投标文件（包括修改、澄清）</w:t>
      </w:r>
      <w:r/>
    </w:p>
    <w:p>
      <w:pPr>
        <w:ind w:firstLine="560"/>
        <w:spacing w:line="500" w:lineRule="exact"/>
        <w:rPr>
          <w:rFonts w:ascii="宋体" w:hAnsi="宋体"/>
          <w:sz w:val="28"/>
          <w:szCs w:val="28"/>
        </w:rPr>
      </w:pPr>
      <w:r>
        <w:rPr>
          <w:rFonts w:hint="eastAsia" w:ascii="宋体" w:hAnsi="宋体"/>
          <w:sz w:val="28"/>
          <w:szCs w:val="28"/>
        </w:rPr>
        <w:t xml:space="preserve">3.中标通知书（包括投标人“回执”）</w:t>
      </w:r>
      <w:r/>
    </w:p>
    <w:p>
      <w:pPr>
        <w:ind w:firstLine="560"/>
        <w:spacing w:line="500" w:lineRule="exact"/>
        <w:rPr>
          <w:rFonts w:ascii="宋体" w:hAnsi="宋体"/>
          <w:sz w:val="28"/>
          <w:szCs w:val="28"/>
        </w:rPr>
      </w:pPr>
      <w:r>
        <w:rPr>
          <w:rFonts w:hint="eastAsia" w:ascii="宋体" w:hAnsi="宋体"/>
          <w:sz w:val="28"/>
          <w:szCs w:val="28"/>
        </w:rPr>
        <w:t xml:space="preserve">4.双方商定的补充协议或合同期内双方签署的备忘录</w:t>
      </w:r>
      <w:r/>
    </w:p>
    <w:p>
      <w:pPr>
        <w:ind w:firstLine="560"/>
        <w:spacing w:line="500" w:lineRule="exact"/>
        <w:rPr>
          <w:rFonts w:ascii="宋体" w:hAnsi="宋体"/>
          <w:sz w:val="28"/>
          <w:szCs w:val="28"/>
        </w:rPr>
      </w:pPr>
      <w:r>
        <w:rPr>
          <w:rFonts w:hint="eastAsia" w:ascii="宋体" w:hAnsi="宋体"/>
          <w:sz w:val="28"/>
          <w:szCs w:val="28"/>
        </w:rPr>
        <w:t xml:space="preserve">5.双方签署的合同谈判备忘录</w:t>
      </w:r>
      <w:r/>
    </w:p>
    <w:p>
      <w:pPr>
        <w:ind w:firstLine="560"/>
        <w:spacing w:line="500" w:lineRule="exact"/>
        <w:rPr>
          <w:rFonts w:ascii="宋体" w:hAnsi="宋体"/>
          <w:sz w:val="28"/>
          <w:szCs w:val="28"/>
        </w:rPr>
      </w:pPr>
      <w:r>
        <w:rPr>
          <w:rFonts w:hint="eastAsia" w:ascii="宋体" w:hAnsi="宋体"/>
          <w:sz w:val="28"/>
          <w:szCs w:val="28"/>
        </w:rPr>
        <w:t xml:space="preserve">6.与本合同有关的其他文件</w:t>
      </w:r>
      <w:r/>
    </w:p>
    <w:p>
      <w:pPr>
        <w:ind w:firstLine="420"/>
        <w:jc w:val="left"/>
        <w:spacing w:line="500" w:lineRule="exact"/>
        <w:rPr>
          <w:rFonts w:ascii="宋体" w:hAnsi="宋体"/>
          <w:b/>
          <w:bCs/>
          <w:sz w:val="28"/>
          <w:szCs w:val="28"/>
          <w:lang w:val="zh-CN"/>
        </w:rPr>
      </w:pPr>
      <w:r>
        <w:rPr>
          <w:rFonts w:hint="eastAsia" w:ascii="宋体" w:hAnsi="宋体"/>
          <w:b/>
          <w:bCs/>
          <w:sz w:val="28"/>
          <w:szCs w:val="28"/>
          <w:lang w:val="zh-CN"/>
        </w:rPr>
        <w:t xml:space="preserve">二十二</w:t>
      </w:r>
      <w:r>
        <w:rPr>
          <w:rFonts w:hint="eastAsia" w:ascii="宋体" w:hAnsi="宋体"/>
          <w:b/>
          <w:sz w:val="28"/>
          <w:szCs w:val="28"/>
        </w:rPr>
        <w:t xml:space="preserve">．</w:t>
      </w:r>
      <w:r>
        <w:rPr>
          <w:rFonts w:hint="eastAsia" w:ascii="宋体" w:hAnsi="宋体"/>
          <w:b/>
          <w:bCs/>
          <w:sz w:val="28"/>
          <w:szCs w:val="28"/>
          <w:lang w:val="zh-CN"/>
        </w:rPr>
        <w:t xml:space="preserve">合同的变更和终止</w:t>
      </w:r>
      <w:r/>
    </w:p>
    <w:p>
      <w:pPr>
        <w:ind w:firstLine="560"/>
        <w:spacing w:line="500" w:lineRule="exact"/>
        <w:rPr>
          <w:rFonts w:ascii="宋体" w:hAnsi="宋体"/>
          <w:sz w:val="28"/>
          <w:szCs w:val="28"/>
        </w:rPr>
      </w:pPr>
      <w:r>
        <w:rPr>
          <w:rFonts w:hint="eastAsia" w:ascii="宋体" w:hAnsi="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sz w:val="28"/>
          <w:szCs w:val="28"/>
        </w:rPr>
      </w:pPr>
      <w:r>
        <w:rPr>
          <w:rFonts w:hint="eastAsia" w:ascii="宋体" w:hAnsi="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rPr>
      </w:pPr>
      <w:r>
        <w:rPr>
          <w:rFonts w:eastAsia="黑体"/>
          <w:sz w:val="52"/>
        </w:rPr>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甲方：（盖章）                乙方：（盖章）</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法定代表人                   </w:t>
      </w:r>
      <w:r>
        <w:rPr>
          <w:rFonts w:hint="eastAsia" w:ascii="宋体" w:hAnsi="宋体"/>
          <w:sz w:val="28"/>
          <w:szCs w:val="28"/>
          <w:lang w:val="en-US" w:eastAsia="zh-CN"/>
        </w:rPr>
        <w:t xml:space="preserve"> </w:t>
      </w:r>
      <w:r>
        <w:rPr>
          <w:rFonts w:hint="eastAsia" w:ascii="宋体" w:hAnsi="宋体"/>
          <w:sz w:val="28"/>
          <w:szCs w:val="28"/>
        </w:rPr>
        <w:t xml:space="preserve">法定代表人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（或授权代理人）：           （或授权代理人）：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单位地址：泰兴市文昌东路6号  单位地址：</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邮    编：</w:t>
      </w:r>
      <w:r>
        <w:rPr>
          <w:rFonts w:hint="eastAsia" w:ascii="宋体" w:hAnsi="宋体"/>
          <w:sz w:val="28"/>
          <w:szCs w:val="28"/>
          <w:lang w:val="en-US" w:eastAsia="zh-CN"/>
        </w:rPr>
        <w:t xml:space="preserve">225400</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邮    编：</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电    话：</w:t>
      </w:r>
      <w:r>
        <w:rPr>
          <w:rFonts w:hint="eastAsia" w:ascii="宋体" w:hAnsi="宋体" w:eastAsia="宋体" w:cs="宋体"/>
          <w:sz w:val="28"/>
          <w:szCs w:val="28"/>
        </w:rPr>
        <w:t xml:space="preserve">0523-</w:t>
      </w:r>
      <w:r>
        <w:rPr>
          <w:rFonts w:hint="eastAsia" w:ascii="宋体" w:hAnsi="宋体" w:eastAsia="宋体" w:cs="宋体"/>
          <w:sz w:val="28"/>
          <w:szCs w:val="28"/>
          <w:lang w:val="en-US" w:eastAsia="zh-CN"/>
        </w:rPr>
        <w:t xml:space="preserve">80721685</w:t>
      </w:r>
      <w:r>
        <w:rPr>
          <w:rFonts w:hint="eastAsia" w:ascii="宋体" w:hAnsi="宋体"/>
          <w:sz w:val="28"/>
          <w:szCs w:val="28"/>
        </w:rPr>
        <w:t xml:space="preserve">      电    话：</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传    真：87626742            传    真：</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开户银行：                    开户银行：</w:t>
      </w:r>
      <w:r/>
    </w:p>
    <w:p>
      <w:pPr>
        <w:keepLines w:val="0"/>
        <w:keepNext w:val="0"/>
        <w:pageBreakBefore w:val="0"/>
        <w:spacing w:line="460" w:lineRule="exact"/>
        <w:widowControl w:val="off"/>
        <w:tabs>
          <w:tab w:val="left" w:pos="4680" w:leader="none"/>
          <w:tab w:val="left" w:pos="4860" w:leader="none"/>
        </w:tabs>
        <w:rPr>
          <w:rFonts w:ascii="宋体" w:cs="宋体"/>
          <w:sz w:val="21"/>
          <w:szCs w:val="21"/>
        </w:rPr>
      </w:pPr>
      <w:r>
        <w:rPr>
          <w:rFonts w:hint="eastAsia" w:ascii="宋体" w:hAnsi="宋体"/>
          <w:sz w:val="28"/>
          <w:szCs w:val="28"/>
        </w:rPr>
        <w:t xml:space="preserve">帐    号：                    帐    号：</w:t>
      </w:r>
      <w:bookmarkEnd w:id="241"/>
      <w:r/>
      <w:bookmarkEnd w:id="242"/>
      <w:r/>
      <w:bookmarkEnd w:id="243"/>
      <w:r/>
      <w:bookmarkEnd w:id="244"/>
      <w:r/>
      <w:bookmarkEnd w:id="245"/>
      <w:r/>
      <w:bookmarkEnd w:id="246"/>
      <w:r/>
      <w:bookmarkEnd w:id="247"/>
      <w:r/>
      <w:bookmarkEnd w:id="248"/>
      <w:r/>
      <w:bookmarkEnd w:id="249"/>
      <w:r/>
      <w:r/>
    </w:p>
    <w:p>
      <w:pPr>
        <w:jc w:val="left"/>
        <w:widowControl/>
        <w:rPr>
          <w:rFonts w:ascii="黑体" w:hAnsi="黑体" w:eastAsia="黑体"/>
          <w:sz w:val="44"/>
          <w:szCs w:val="44"/>
        </w:rPr>
      </w:pPr>
      <w:r>
        <w:rPr>
          <w:rFonts w:ascii="黑体" w:hAnsi="黑体" w:eastAsia="黑体"/>
          <w:sz w:val="44"/>
          <w:szCs w:val="44"/>
        </w:rPr>
        <w:br w:type="page" w:clear="all"/>
      </w:r>
      <w:r/>
    </w:p>
    <w:p>
      <w:pPr>
        <w:numPr>
          <w:ilvl w:val="0"/>
          <w:numId w:val="2"/>
        </w:numPr>
        <w:jc w:val="center"/>
        <w:keepLines w:val="0"/>
        <w:keepNext w:val="0"/>
        <w:pageBreakBefore w:val="0"/>
        <w:spacing w:line="500" w:lineRule="exact"/>
        <w:widowControl w:val="off"/>
        <w:rPr>
          <w:rFonts w:hint="eastAsia" w:ascii="黑体" w:hAnsi="黑体" w:eastAsia="黑体"/>
          <w:sz w:val="44"/>
          <w:szCs w:val="44"/>
        </w:rPr>
      </w:pPr>
      <w:r>
        <w:rPr>
          <w:rFonts w:hint="eastAsia" w:ascii="黑体" w:hAnsi="黑体" w:eastAsia="黑体"/>
          <w:sz w:val="44"/>
          <w:szCs w:val="44"/>
        </w:rPr>
        <w:t xml:space="preserve">采购需求</w:t>
      </w:r>
      <w:r/>
    </w:p>
    <w:p>
      <w:pPr>
        <w:pStyle w:val="687"/>
        <w:numPr>
          <w:ilvl w:val="0"/>
          <w:numId w:val="0"/>
        </w:numPr>
      </w:pPr>
      <w:r/>
      <w:r/>
    </w:p>
    <w:p>
      <w:pPr>
        <w:ind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一、项目背景</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为落实耕地占补平衡改革要求，实现耕地总量动态平衡，牢牢守住耕地保护红线，根据《自然资源部 农业农村部</w:t>
      </w:r>
      <w:r>
        <w:rPr>
          <w:rFonts w:hint="eastAsia" w:asciiTheme="minorEastAsia" w:hAnsiTheme="minorEastAsia" w:eastAsiaTheme="minorEastAsia" w:cstheme="minorEastAsia"/>
          <w:sz w:val="28"/>
          <w:szCs w:val="28"/>
          <w:lang w:eastAsia="zh-CN"/>
        </w:rPr>
        <w:t xml:space="preserve">关于改革完善耕地占补平衡管理的通知》（自然资发〔2024〕204号）、《江苏省自然资源厅关于进一步加强补充耕地管理的通知》（苏自然资发〔2025〕296号）、《江苏省农业农村厅 江苏省自然资源厅关于印发&lt;江苏省补充耕地质量验收实施细则（试行）&gt;的通知》（苏农建〔2026〕6号）和《泰州市自然资源和规划局关于进一步加强补充耕地全流程管控的通知》（泰自然资〔2026〕28号）等文件要求，2026年项目化实施的补充耕地项目涉及利用客土的，项目实施前须进行客土质量抽样检测，客土抽样检测报告将作为项目验收的依据之一。</w:t>
      </w:r>
      <w:r/>
    </w:p>
    <w:p>
      <w:pPr>
        <w:ind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二、工作内容</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宋体" w:hAnsi="宋体" w:eastAsia="宋体" w:cs="宋体"/>
          <w:sz w:val="28"/>
          <w:szCs w:val="28"/>
          <w:lang w:val="en-US" w:eastAsia="zh-CN"/>
        </w:rPr>
        <w:t xml:space="preserve">根据泰兴市2026年度项目化实施的补充耕地项目中涉及客土回填的项目地实际情况，编制合理可行的客土调查、布点实施方案，对客土理化指标、重金属指标、肥力指标、农残指标等进行检测（必要时对土壤有机物、农产品质量进行补充检测），开展客土环境质量评价，编制客土质量抽样检测与评价报告。</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具体要求：</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在项目地内采集一定量的土壤表层样与柱状样，对土壤现场指标进行记录，现场指标主要包括颜色、质地、密实度、现场快速检测指标（重金属和有机物），同时对土壤进行实验室指标测定，实验室指标为：pH、镉、汞、砷、铅、铬、铜、镍、锌及六六六总量、滴滴涕总量、苯并（a）芘等指标，若土源为基坑土、盾构土、冲淤土则需加测全氮、全磷、全钾和有机质，如发现其他疑似特征污染物，须一并纳入实验室检测指标。</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预期成果：</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提交《泰兴市2026年度项目化实施的补充耕地项目客土质量抽样检测报告》及相关附件（检测报告等）</w:t>
      </w:r>
      <w:r/>
    </w:p>
    <w:p>
      <w:pPr>
        <w:ind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val="en-US" w:eastAsia="zh-CN"/>
        </w:rPr>
        <w:t xml:space="preserve">三</w:t>
      </w:r>
      <w:r>
        <w:rPr>
          <w:rFonts w:hint="eastAsia" w:ascii="黑体" w:hAnsi="黑体" w:eastAsia="黑体" w:cs="黑体"/>
          <w:sz w:val="28"/>
          <w:szCs w:val="28"/>
          <w:lang w:eastAsia="zh-CN"/>
        </w:rPr>
        <w:t xml:space="preserve">、工作要求</w:t>
      </w:r>
      <w:r/>
    </w:p>
    <w:p>
      <w:pPr>
        <w:ind w:firstLine="560"/>
        <w:keepLines w:val="0"/>
        <w:keepNext w:val="0"/>
        <w:pageBreakBefore w:val="0"/>
        <w:spacing w:line="500" w:lineRule="exact"/>
        <w:widowControl w:val="off"/>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eastAsia="zh-CN"/>
        </w:rPr>
        <w:t xml:space="preserve">1.</w:t>
      </w:r>
      <w:r>
        <w:rPr>
          <w:rFonts w:hint="eastAsia" w:asciiTheme="minorEastAsia" w:hAnsiTheme="minorEastAsia" w:eastAsiaTheme="minorEastAsia" w:cstheme="minorEastAsia"/>
          <w:sz w:val="28"/>
          <w:szCs w:val="28"/>
          <w:lang w:val="en-US" w:eastAsia="zh-CN"/>
        </w:rPr>
        <w:t xml:space="preserve">检测成果须符合国家、省、市的相关规定要求。</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2.中标单位要充分了解现状情况，充分收集相关资料，听取有关部门意见。</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lang w:eastAsia="zh-CN"/>
        </w:rPr>
        <w:t xml:space="preserve">土壤样品采集后，两周内出具</w:t>
      </w:r>
      <w:r>
        <w:rPr>
          <w:rFonts w:hint="eastAsia" w:asciiTheme="minorEastAsia" w:hAnsiTheme="minorEastAsia" w:eastAsiaTheme="minorEastAsia" w:cstheme="minorEastAsia"/>
          <w:sz w:val="28"/>
          <w:szCs w:val="28"/>
          <w:lang w:val="en-US" w:eastAsia="zh-CN"/>
        </w:rPr>
        <w:t xml:space="preserve">客土质量</w:t>
      </w:r>
      <w:r>
        <w:rPr>
          <w:rFonts w:hint="eastAsia" w:asciiTheme="minorEastAsia" w:hAnsiTheme="minorEastAsia" w:eastAsiaTheme="minorEastAsia" w:cstheme="minorEastAsia"/>
          <w:sz w:val="28"/>
          <w:szCs w:val="28"/>
          <w:lang w:eastAsia="zh-CN"/>
        </w:rPr>
        <w:t xml:space="preserve">抽样检测报告。</w:t>
      </w:r>
      <w:r/>
    </w:p>
    <w:p>
      <w:pPr>
        <w:ind w:firstLine="560"/>
        <w:keepLines w:val="0"/>
        <w:keepNext w:val="0"/>
        <w:pageBreakBefore w:val="0"/>
        <w:spacing w:line="500" w:lineRule="exact"/>
        <w:widowControl w:val="off"/>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 xml:space="preserve">四</w:t>
      </w:r>
      <w:r>
        <w:rPr>
          <w:rFonts w:hint="eastAsia" w:ascii="黑体" w:hAnsi="黑体" w:eastAsia="黑体" w:cs="黑体"/>
          <w:sz w:val="28"/>
          <w:szCs w:val="28"/>
          <w:lang w:eastAsia="zh-CN"/>
        </w:rPr>
        <w:t xml:space="preserve">、</w:t>
      </w:r>
      <w:r>
        <w:rPr>
          <w:rFonts w:hint="eastAsia" w:ascii="黑体" w:hAnsi="黑体" w:eastAsia="黑体" w:cs="黑体"/>
          <w:sz w:val="28"/>
          <w:szCs w:val="28"/>
          <w:lang w:val="en-US" w:eastAsia="zh-CN"/>
        </w:rPr>
        <w:t xml:space="preserve">预算金额</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预算金额：297万元（一标段为142万元：二标段为155万元）</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最高限价（如有）：297万元。一标段142万，二标段155万。结算时根据实际验收面积</w:t>
      </w:r>
      <w:r>
        <w:rPr>
          <w:rFonts w:hint="eastAsia" w:ascii="宋体"/>
          <w:color w:val="auto"/>
          <w:sz w:val="28"/>
          <w:szCs w:val="28"/>
          <w:lang w:val="en-US" w:eastAsia="zh-CN"/>
        </w:rPr>
        <w:t xml:space="preserve">出具抽样检测报告，项目验收通过后根据实际验收面积×各标段</w:t>
      </w:r>
      <w:r>
        <w:rPr>
          <w:rFonts w:hint="eastAsia" w:asciiTheme="minorEastAsia" w:hAnsiTheme="minorEastAsia" w:eastAsiaTheme="minorEastAsia" w:cstheme="minorEastAsia"/>
          <w:sz w:val="28"/>
          <w:szCs w:val="28"/>
          <w:lang w:eastAsia="zh-CN"/>
        </w:rPr>
        <w:t xml:space="preserve">中标单价计算，但</w:t>
      </w:r>
      <w:r>
        <w:rPr>
          <w:rFonts w:hint="eastAsia" w:asciiTheme="minorEastAsia" w:hAnsiTheme="minorEastAsia" w:eastAsiaTheme="minorEastAsia" w:cstheme="minorEastAsia"/>
          <w:sz w:val="28"/>
          <w:szCs w:val="28"/>
          <w:lang w:val="en-US" w:eastAsia="zh-CN"/>
        </w:rPr>
        <w:t xml:space="preserve">各标段总价</w:t>
      </w:r>
      <w:r>
        <w:rPr>
          <w:rFonts w:hint="eastAsia" w:asciiTheme="minorEastAsia" w:hAnsiTheme="minorEastAsia" w:eastAsiaTheme="minorEastAsia" w:cstheme="minorEastAsia"/>
          <w:sz w:val="28"/>
          <w:szCs w:val="28"/>
          <w:lang w:eastAsia="zh-CN"/>
        </w:rPr>
        <w:t xml:space="preserve">不得超过</w:t>
      </w:r>
      <w:r>
        <w:rPr>
          <w:rFonts w:hint="eastAsia" w:asciiTheme="minorEastAsia" w:hAnsiTheme="minorEastAsia" w:eastAsiaTheme="minorEastAsia" w:cstheme="minorEastAsia"/>
          <w:sz w:val="28"/>
          <w:szCs w:val="28"/>
          <w:lang w:val="en-US" w:eastAsia="zh-CN"/>
        </w:rPr>
        <w:t xml:space="preserve">本</w:t>
      </w:r>
      <w:r>
        <w:rPr>
          <w:rFonts w:hint="eastAsia" w:asciiTheme="minorEastAsia" w:hAnsiTheme="minorEastAsia" w:eastAsiaTheme="minorEastAsia" w:cstheme="minorEastAsia"/>
          <w:sz w:val="28"/>
          <w:szCs w:val="28"/>
          <w:lang w:eastAsia="zh-CN"/>
        </w:rPr>
        <w:t xml:space="preserve">标段的最高限价。</w:t>
      </w:r>
      <w:r/>
    </w:p>
    <w:p>
      <w:pPr>
        <w:ind w:firstLine="560"/>
        <w:keepLines w:val="0"/>
        <w:keepNext w:val="0"/>
        <w:pageBreakBefore w:val="0"/>
        <w:spacing w:line="500" w:lineRule="exact"/>
        <w:widowControl w:val="off"/>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本次招标共分2个标段，一标段：面积约1355亩，工作量约占补充耕地面积的48%（滨江、虹桥、张桥、宣堡、根思、济川街道、延令街道、姚王街道、河失），预算金额142万；二标段：面积约1474亩，工作量约占补充耕地面积的52%（新街、元竹、古溪、分界、珊瑚、黄桥、广陵、曲霞），预算金额155万。投标时按单价进行报价，报价不得超过1050元/亩（按单价报价），总面积约28</w:t>
      </w:r>
      <w:r>
        <w:rPr>
          <w:rFonts w:hint="eastAsia" w:asciiTheme="minorEastAsia" w:hAnsiTheme="minorEastAsia" w:eastAsiaTheme="minorEastAsia" w:cstheme="minorEastAsia"/>
          <w:sz w:val="28"/>
          <w:szCs w:val="28"/>
          <w:lang w:val="en-US" w:eastAsia="zh-CN"/>
        </w:rPr>
        <w:t xml:space="preserve">29</w:t>
      </w:r>
      <w:r>
        <w:rPr>
          <w:rFonts w:hint="eastAsia" w:asciiTheme="minorEastAsia" w:hAnsiTheme="minorEastAsia" w:eastAsiaTheme="minorEastAsia" w:cstheme="minorEastAsia"/>
          <w:sz w:val="28"/>
          <w:szCs w:val="28"/>
          <w:lang w:eastAsia="zh-CN"/>
        </w:rPr>
        <w:t xml:space="preserve">亩。</w:t>
      </w:r>
      <w:r/>
    </w:p>
    <w:p>
      <w:pPr>
        <w:rPr>
          <w:rFonts w:hint="eastAsia" w:ascii="Times New Roman" w:hAnsi="Times New Roman" w:eastAsia="仿宋_GB2312"/>
          <w:sz w:val="32"/>
          <w:szCs w:val="32"/>
          <w:lang w:eastAsia="zh-CN"/>
        </w:rPr>
      </w:pPr>
      <w:r>
        <w:rPr>
          <w:rFonts w:hint="eastAsia" w:eastAsia="仿宋_GB2312"/>
          <w:sz w:val="32"/>
          <w:szCs w:val="32"/>
          <w:lang w:val="en-US" w:eastAsia="zh-CN"/>
        </w:rPr>
        <w:t xml:space="preserve">  </w:t>
      </w:r>
      <w:r/>
    </w:p>
    <w:p>
      <w:pPr>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pStyle w:val="687"/>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pStyle w:val="687"/>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pStyle w:val="724"/>
        <w:rPr>
          <w:rFonts w:hint="eastAsia"/>
          <w:lang w:eastAsia="zh-CN"/>
        </w:rPr>
      </w:pPr>
      <w:r>
        <w:rPr>
          <w:rFonts w:hint="eastAsia"/>
          <w:lang w:eastAsia="zh-CN"/>
        </w:rPr>
      </w:r>
      <w:r/>
    </w:p>
    <w:p>
      <w:pPr>
        <w:jc w:val="center"/>
        <w:rPr>
          <w:rFonts w:ascii="黑体" w:hAnsi="黑体" w:eastAsia="黑体"/>
          <w:sz w:val="44"/>
          <w:szCs w:val="44"/>
        </w:rPr>
      </w:pPr>
      <w:r>
        <w:rPr>
          <w:rFonts w:ascii="黑体" w:hAnsi="黑体" w:eastAsia="黑体"/>
          <w:sz w:val="44"/>
          <w:szCs w:val="44"/>
        </w:rPr>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505" w:name="_Hlt26955039"/>
      <w:r/>
      <w:bookmarkEnd w:id="505"/>
      <w:r/>
      <w:bookmarkStart w:id="506" w:name="_Hlt26671244"/>
      <w:r/>
      <w:bookmarkEnd w:id="506"/>
      <w:r/>
      <w:bookmarkStart w:id="507" w:name="_Toc288030359"/>
      <w:r/>
      <w:bookmarkStart w:id="508" w:name="_Toc49090576"/>
      <w:r/>
      <w:bookmarkStart w:id="509" w:name="_Toc26554094"/>
      <w:r/>
      <w:bookmarkStart w:id="510" w:name="_Toc282446331"/>
      <w:r/>
      <w:bookmarkStart w:id="511" w:name="_Toc120614282"/>
      <w:r/>
      <w:r/>
    </w:p>
    <w:p>
      <w:pPr>
        <w:pStyle w:val="703"/>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512"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512"/>
      <w:r/>
      <w:r/>
    </w:p>
    <w:p>
      <w:pPr>
        <w:ind w:firstLine="560"/>
        <w:spacing w:line="500" w:lineRule="exact"/>
        <w:rPr>
          <w:rFonts w:ascii="宋体"/>
          <w:sz w:val="28"/>
          <w:szCs w:val="28"/>
        </w:rPr>
      </w:pPr>
      <w:r/>
      <w:bookmarkStart w:id="513"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513"/>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514" w:name="OLE_LINK8"/>
      <w:r>
        <w:rPr>
          <w:rFonts w:hint="eastAsia" w:ascii="宋体" w:hAnsi="宋体" w:cs="宋体"/>
          <w:sz w:val="28"/>
          <w:szCs w:val="28"/>
        </w:rPr>
        <w:t xml:space="preserve">投标报价明细表</w:t>
      </w:r>
      <w:bookmarkEnd w:id="514"/>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515"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507"/>
      <w:r/>
      <w:bookmarkEnd w:id="508"/>
      <w:r/>
      <w:bookmarkEnd w:id="509"/>
      <w:r/>
      <w:bookmarkEnd w:id="510"/>
      <w:r/>
      <w:bookmarkEnd w:id="511"/>
      <w:r/>
      <w:bookmarkEnd w:id="515"/>
      <w:r/>
      <w:bookmarkStart w:id="516" w:name="_Toc426469936"/>
      <w:r/>
      <w:bookmarkStart w:id="517" w:name="_Toc426469937"/>
      <w:r/>
      <w:bookmarkStart w:id="518" w:name="_Toc382812507"/>
      <w:r/>
      <w:bookmarkStart w:id="519" w:name="_Toc383587529"/>
      <w:r/>
      <w:bookmarkStart w:id="520" w:name="_Toc382812316"/>
      <w:r/>
      <w:bookmarkStart w:id="521" w:name="_Toc383679822"/>
      <w:r/>
      <w:bookmarkStart w:id="522" w:name="_Toc382811607"/>
      <w:r/>
      <w:bookmarkStart w:id="523" w:name="_Toc390099111"/>
      <w:r/>
      <w:bookmarkStart w:id="524" w:name="_Toc390098915"/>
      <w:r/>
      <w:bookmarkStart w:id="525" w:name="_Toc383626069"/>
      <w:r/>
      <w:bookmarkStart w:id="526" w:name="_Toc383623749"/>
      <w:r/>
      <w:bookmarkStart w:id="527" w:name="_Toc382814038"/>
      <w:r/>
      <w:bookmarkStart w:id="528" w:name="_Toc383698722"/>
      <w:r/>
      <w:bookmarkStart w:id="529" w:name="_Toc390246998"/>
      <w:r/>
      <w:bookmarkStart w:id="530" w:name="_Toc382813957"/>
      <w:r/>
      <w:bookmarkStart w:id="531" w:name="_Toc383624021"/>
      <w:r/>
      <w:bookmarkStart w:id="532" w:name="_Toc382811202"/>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516"/>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87"/>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517"/>
      <w:r/>
      <w:r/>
    </w:p>
    <w:p>
      <w:pPr>
        <w:rPr>
          <w:b/>
          <w:sz w:val="32"/>
          <w:szCs w:val="32"/>
        </w:rPr>
      </w:pPr>
      <w:r/>
      <w:bookmarkStart w:id="533" w:name="_Toc426469938"/>
      <w:r>
        <w:rPr>
          <w:rFonts w:hint="eastAsia"/>
        </w:rPr>
        <w:t xml:space="preserve">                </w:t>
      </w:r>
      <w:r/>
    </w:p>
    <w:p>
      <w:pPr>
        <w:jc w:val="center"/>
        <w:rPr>
          <w:b/>
          <w:sz w:val="32"/>
          <w:szCs w:val="32"/>
        </w:rPr>
      </w:pPr>
      <w:r>
        <w:rPr>
          <w:rFonts w:hint="eastAsia" w:ascii="宋体" w:hAnsi="宋体" w:cs="宋体"/>
        </w:rPr>
        <w:t xml:space="preserve">   </w:t>
      </w:r>
      <w:r>
        <w:rPr>
          <w:rFonts w:hint="eastAsia"/>
          <w:b/>
          <w:sz w:val="32"/>
          <w:szCs w:val="32"/>
        </w:rPr>
        <w:t xml:space="preserve">开标一览表</w:t>
      </w:r>
      <w:r/>
    </w:p>
    <w:p>
      <w:pPr>
        <w:rPr>
          <w:rFonts w:ascii="楷体" w:hAnsi="楷体" w:eastAsia="楷体"/>
          <w:sz w:val="28"/>
          <w:szCs w:val="28"/>
        </w:rPr>
      </w:pPr>
      <w:r>
        <w:rPr>
          <w:rFonts w:hint="eastAsia" w:ascii="宋体"/>
          <w:sz w:val="28"/>
          <w:szCs w:val="28"/>
        </w:rPr>
        <w:t xml:space="preserve">按“江苏省政府采购管理交易系统（苏采云）”中格式填写。</w:t>
      </w: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jc w:val="center"/>
        <w:rPr>
          <w:sz w:val="44"/>
          <w:szCs w:val="44"/>
        </w:rPr>
      </w:pPr>
      <w:r/>
      <w:bookmarkStart w:id="534"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534"/>
      <w:r/>
      <w:r/>
    </w:p>
    <w:p>
      <w:pPr>
        <w:rPr>
          <w:rFonts w:ascii="Arial" w:hAnsi="Arial"/>
          <w:sz w:val="28"/>
          <w:szCs w:val="28"/>
        </w:rPr>
      </w:pPr>
      <w:r>
        <w:rPr>
          <w:rFonts w:hint="eastAsia" w:ascii="Arial" w:hAnsi="Arial"/>
          <w:sz w:val="28"/>
          <w:szCs w:val="28"/>
        </w:rPr>
        <w:t xml:space="preserve">致：</w:t>
      </w:r>
      <w:r>
        <w:rPr>
          <w:rFonts w:hint="eastAsia" w:ascii="宋体" w:hAnsi="宋体" w:eastAsia="宋体" w:cs="宋体"/>
          <w:sz w:val="28"/>
          <w:szCs w:val="28"/>
          <w:u w:val="single"/>
        </w:rPr>
        <w:t xml:space="preserve">(</w:t>
      </w:r>
      <w:r>
        <w:rPr>
          <w:rFonts w:hint="eastAsia" w:ascii="Arial" w:hAnsi="Arial"/>
          <w:sz w:val="28"/>
          <w:szCs w:val="28"/>
          <w:u w:val="single"/>
        </w:rPr>
        <w:t xml:space="preserve">采购人名称</w:t>
      </w:r>
      <w:r>
        <w:rPr>
          <w:rFonts w:hint="eastAsia" w:ascii="宋体" w:hAnsi="宋体" w:eastAsia="宋体" w:cs="宋体"/>
          <w:sz w:val="28"/>
          <w:szCs w:val="28"/>
          <w:u w:val="single"/>
        </w:rPr>
        <w:t xml:space="preserve">)</w:t>
      </w:r>
      <w:r>
        <w:rPr>
          <w:rFonts w:hint="eastAsia" w:ascii="Arial" w:hAnsi="Arial"/>
          <w:sz w:val="28"/>
          <w:szCs w:val="28"/>
        </w:rPr>
        <w:t xml:space="preserve">：</w:t>
      </w:r>
      <w:r/>
    </w:p>
    <w:p>
      <w:pPr>
        <w:ind w:firstLine="560"/>
        <w:spacing w:line="520" w:lineRule="exact"/>
        <w:rPr>
          <w:rFonts w:ascii="Arial" w:hAnsi="Arial"/>
          <w:sz w:val="28"/>
          <w:szCs w:val="28"/>
        </w:rPr>
      </w:pPr>
      <w:r>
        <w:rPr>
          <w:rFonts w:hint="eastAsia" w:ascii="Arial" w:hAnsi="Arial"/>
          <w:sz w:val="28"/>
          <w:szCs w:val="28"/>
        </w:rPr>
        <w:t xml:space="preserve">根据</w:t>
      </w:r>
      <w:r>
        <w:rPr>
          <w:rFonts w:hint="eastAsia" w:ascii="宋体" w:hAnsi="宋体" w:eastAsia="宋体" w:cs="宋体"/>
          <w:sz w:val="28"/>
          <w:szCs w:val="28"/>
          <w:u w:val="single"/>
        </w:rPr>
        <w:t xml:space="preserve">   （项目名称）    </w:t>
      </w:r>
      <w:r>
        <w:rPr>
          <w:rFonts w:hint="eastAsia" w:ascii="Arial" w:hAnsi="Arial"/>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Arial" w:hAnsi="Arial"/>
          <w:sz w:val="28"/>
          <w:szCs w:val="28"/>
        </w:rPr>
      </w:pPr>
      <w:r>
        <w:rPr>
          <w:rFonts w:ascii="Arial" w:hAnsi="Arial"/>
          <w:sz w:val="28"/>
          <w:szCs w:val="28"/>
        </w:rPr>
        <w:t xml:space="preserve">1</w:t>
      </w:r>
      <w:r>
        <w:rPr>
          <w:rFonts w:hint="eastAsia" w:ascii="Arial" w:hAnsi="Arial"/>
          <w:sz w:val="28"/>
          <w:szCs w:val="28"/>
        </w:rPr>
        <w:t xml:space="preserve">、</w:t>
      </w:r>
      <w:r>
        <w:rPr>
          <w:rFonts w:ascii="SimSun" w:hAnsi="SimSun" w:eastAsia="SimSun" w:cs="SimSun"/>
          <w:color w:val="000000"/>
          <w:sz w:val="28"/>
        </w:rPr>
        <w:t xml:space="preserve">一、二标段投标单价各为</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Arial" w:hAnsi="Arial"/>
          <w:sz w:val="28"/>
          <w:szCs w:val="28"/>
        </w:rPr>
        <w:t xml:space="preserve">如我方中标，投标总价即为合同价，在履行合同约定的责任和义务的过程中不再要求调增。</w:t>
      </w:r>
      <w:r/>
    </w:p>
    <w:p>
      <w:pPr>
        <w:ind w:firstLine="560"/>
        <w:spacing w:line="520" w:lineRule="exact"/>
        <w:rPr>
          <w:rFonts w:ascii="Arial" w:hAnsi="Arial"/>
          <w:sz w:val="28"/>
          <w:szCs w:val="28"/>
        </w:rPr>
      </w:pPr>
      <w:r>
        <w:rPr>
          <w:rFonts w:hint="eastAsia" w:ascii="Arial" w:hAnsi="Arial"/>
          <w:sz w:val="28"/>
          <w:szCs w:val="28"/>
        </w:rPr>
        <w:t xml:space="preserve">2、合同履行期限（工期）：</w:t>
      </w:r>
      <w:r>
        <w:rPr>
          <w:rFonts w:hint="eastAsia" w:ascii="宋体" w:hAnsi="宋体" w:eastAsia="宋体" w:cs="宋体"/>
          <w:sz w:val="28"/>
          <w:szCs w:val="28"/>
          <w:u w:val="single"/>
        </w:rPr>
        <w:t xml:space="preserve">              </w:t>
      </w:r>
      <w:r>
        <w:rPr>
          <w:rFonts w:hint="eastAsia" w:ascii="Arial" w:hAnsi="Arial"/>
          <w:sz w:val="28"/>
          <w:szCs w:val="28"/>
        </w:rPr>
        <w:t xml:space="preserve">。</w:t>
      </w:r>
      <w:r>
        <w:rPr>
          <w:rFonts w:ascii="Arial" w:hAnsi="Arial"/>
          <w:sz w:val="28"/>
          <w:szCs w:val="28"/>
        </w:rPr>
        <w:t xml:space="preserve"> </w:t>
      </w:r>
      <w:r/>
    </w:p>
    <w:p>
      <w:pPr>
        <w:ind w:firstLine="560"/>
        <w:spacing w:line="520" w:lineRule="exact"/>
        <w:rPr>
          <w:rFonts w:ascii="Arial" w:hAnsi="Arial"/>
          <w:sz w:val="28"/>
          <w:szCs w:val="28"/>
        </w:rPr>
      </w:pPr>
      <w:r>
        <w:rPr>
          <w:rFonts w:hint="eastAsia" w:ascii="Arial" w:hAnsi="Arial"/>
          <w:sz w:val="28"/>
          <w:szCs w:val="28"/>
        </w:rPr>
        <w:t xml:space="preserve">3、投标有效期：</w:t>
      </w:r>
      <w:r>
        <w:rPr>
          <w:rFonts w:hint="eastAsia" w:ascii="宋体" w:hAnsi="宋体" w:eastAsia="宋体" w:cs="宋体"/>
          <w:sz w:val="28"/>
          <w:szCs w:val="28"/>
          <w:u w:val="single"/>
        </w:rPr>
        <w:t xml:space="preserve"> 60天 </w:t>
      </w:r>
      <w:r>
        <w:rPr>
          <w:rFonts w:hint="eastAsia" w:ascii="Arial" w:hAnsi="Arial"/>
          <w:sz w:val="28"/>
          <w:szCs w:val="28"/>
        </w:rPr>
        <w:t xml:space="preserve">。在投标有效期内我方同意遵守本投标文件中的承诺且在此期限期满之前投标文件对我方具有法律约束力。</w:t>
      </w:r>
      <w:r/>
    </w:p>
    <w:p>
      <w:pPr>
        <w:ind w:firstLine="560"/>
        <w:spacing w:line="520" w:lineRule="exact"/>
        <w:rPr>
          <w:rFonts w:ascii="Arial" w:hAnsi="Arial"/>
          <w:sz w:val="28"/>
          <w:szCs w:val="28"/>
        </w:rPr>
      </w:pPr>
      <w:r>
        <w:rPr>
          <w:rFonts w:hint="eastAsia" w:ascii="Arial" w:hAnsi="Arial"/>
          <w:sz w:val="28"/>
          <w:szCs w:val="28"/>
        </w:rPr>
        <w:t xml:space="preserve">4、我方已详细审查全部招标文件。我们完全理解并同意放弃对这方面有不明及误解的权力。</w:t>
      </w:r>
      <w:r/>
    </w:p>
    <w:p>
      <w:pPr>
        <w:ind w:firstLine="560"/>
        <w:spacing w:line="520" w:lineRule="exact"/>
        <w:rPr>
          <w:rFonts w:ascii="Arial" w:hAnsi="Arial"/>
          <w:sz w:val="28"/>
          <w:szCs w:val="28"/>
        </w:rPr>
      </w:pPr>
      <w:r>
        <w:rPr>
          <w:rFonts w:hint="eastAsia" w:ascii="Arial" w:hAnsi="Arial"/>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87"/>
      </w:pPr>
      <w:r/>
      <w:r/>
    </w:p>
    <w:p>
      <w:pPr>
        <w:ind w:right="560" w:firstLine="3080"/>
        <w:spacing w:line="520" w:lineRule="exact"/>
        <w:rPr>
          <w:rFonts w:ascii="Arial" w:hAnsi="Arial"/>
          <w:sz w:val="28"/>
          <w:szCs w:val="28"/>
        </w:rPr>
      </w:pPr>
      <w:r>
        <w:rPr>
          <w:rFonts w:hint="eastAsia" w:ascii="Arial" w:hAnsi="Arial"/>
          <w:sz w:val="28"/>
          <w:szCs w:val="28"/>
        </w:rPr>
        <w:t xml:space="preserve">投标人名称(盖法人章)：</w:t>
      </w:r>
      <w:r/>
    </w:p>
    <w:p>
      <w:pPr>
        <w:ind w:firstLine="3080"/>
        <w:spacing w:line="520" w:lineRule="exact"/>
        <w:rPr>
          <w:rFonts w:ascii="Arial" w:hAnsi="Arial"/>
          <w:sz w:val="28"/>
          <w:szCs w:val="28"/>
        </w:rPr>
      </w:pPr>
      <w:r>
        <w:rPr>
          <w:rFonts w:hint="eastAsia" w:ascii="Arial" w:hAnsi="Arial"/>
          <w:sz w:val="28"/>
          <w:szCs w:val="28"/>
        </w:rPr>
        <w:t xml:space="preserve">法定代表人 (签字或签章)：</w:t>
      </w:r>
      <w:r/>
    </w:p>
    <w:p>
      <w:pPr>
        <w:ind w:firstLine="3080"/>
        <w:spacing w:line="520" w:lineRule="exact"/>
        <w:rPr>
          <w:rFonts w:ascii="Arial" w:hAnsi="Arial"/>
          <w:sz w:val="28"/>
          <w:szCs w:val="28"/>
        </w:rPr>
      </w:pPr>
      <w:r>
        <w:rPr>
          <w:rFonts w:hint="eastAsia" w:ascii="Arial" w:hAnsi="Arial"/>
          <w:sz w:val="28"/>
          <w:szCs w:val="28"/>
        </w:rPr>
        <w:t xml:space="preserve">日期：   年  月   日</w:t>
      </w:r>
      <w:r/>
    </w:p>
    <w:p>
      <w:pPr>
        <w:jc w:val="left"/>
        <w:spacing w:line="500" w:lineRule="exact"/>
        <w:widowControl/>
        <w:rPr>
          <w:rFonts w:ascii="楷体" w:hAnsi="楷体" w:eastAsia="楷体" w:cs="宋体"/>
          <w:b/>
          <w:sz w:val="32"/>
          <w:szCs w:val="32"/>
        </w:rPr>
      </w:pPr>
      <w:r>
        <w:rPr>
          <w:rFonts w:ascii="Arial" w:hAnsi="Arial"/>
          <w:sz w:val="28"/>
          <w:szCs w:val="28"/>
        </w:rPr>
        <w:br w:type="page" w:clear="all"/>
      </w:r>
      <w:r>
        <w:rPr>
          <w:rFonts w:hint="eastAsia" w:ascii="楷体" w:hAnsi="楷体" w:eastAsia="楷体" w:cs="宋体"/>
          <w:b/>
          <w:sz w:val="32"/>
          <w:szCs w:val="32"/>
        </w:rPr>
        <w:t xml:space="preserve">3.4供应商资格条件证明文件</w:t>
      </w:r>
      <w:r/>
    </w:p>
    <w:p>
      <w:pPr>
        <w:pStyle w:val="685"/>
        <w:spacing w:line="500" w:lineRule="exact"/>
        <w:rPr>
          <w:rFonts w:ascii="Arial" w:hAnsi="Arial" w:eastAsia="Arial" w:cs="宋体"/>
          <w:b/>
          <w:sz w:val="28"/>
          <w:szCs w:val="28"/>
        </w:rPr>
      </w:pPr>
      <w:r>
        <w:rPr>
          <w:rFonts w:hint="eastAsia" w:ascii="Arial" w:hAnsi="Arial" w:eastAsia="Arial" w:cs="宋体"/>
          <w:b/>
          <w:sz w:val="28"/>
          <w:szCs w:val="28"/>
        </w:rPr>
        <w:t xml:space="preserve">（1）供应商基本资格条件承诺函</w:t>
      </w:r>
      <w:r/>
    </w:p>
    <w:p>
      <w:pPr>
        <w:pStyle w:val="685"/>
        <w:jc w:val="center"/>
        <w:spacing w:line="480" w:lineRule="exact"/>
        <w:rPr>
          <w:rFonts w:ascii="Arial" w:hAnsi="Arial" w:eastAsia="Arial" w:cs="宋体"/>
          <w:b/>
          <w:sz w:val="28"/>
          <w:szCs w:val="28"/>
        </w:rPr>
      </w:pPr>
      <w:r>
        <w:rPr>
          <w:rFonts w:hint="eastAsia" w:ascii="Arial" w:hAnsi="Arial" w:eastAsia="Arial" w:cs="宋体"/>
          <w:b/>
          <w:sz w:val="28"/>
          <w:szCs w:val="28"/>
        </w:rPr>
        <w:t xml:space="preserve">供应商基本资格条件承诺函</w:t>
      </w:r>
      <w:r/>
    </w:p>
    <w:p>
      <w:pPr>
        <w:ind w:firstLine="560"/>
        <w:spacing w:line="480" w:lineRule="exact"/>
        <w:rPr>
          <w:rFonts w:ascii="Arial" w:hAnsi="Arial" w:eastAsia="Arial" w:cs="宋体"/>
          <w:sz w:val="28"/>
          <w:szCs w:val="28"/>
        </w:rPr>
      </w:pPr>
      <w:r>
        <w:rPr>
          <w:rFonts w:hint="eastAsia" w:ascii="Arial" w:hAnsi="Arial" w:eastAsia="Arial" w:cs="宋体"/>
          <w:sz w:val="28"/>
          <w:szCs w:val="28"/>
        </w:rPr>
        <w:t xml:space="preserve">一、按照《政府采购法》第二十二条规定的供应商基本资格条件，我公司郑重承诺如下：</w:t>
      </w:r>
      <w:r/>
    </w:p>
    <w:p>
      <w:pPr>
        <w:pStyle w:val="685"/>
        <w:ind w:firstLine="560"/>
        <w:spacing w:line="480" w:lineRule="exact"/>
        <w:rPr>
          <w:rFonts w:ascii="Arial" w:hAnsi="Arial" w:eastAsia="Arial"/>
          <w:sz w:val="28"/>
          <w:szCs w:val="28"/>
          <w:shd w:val="clear" w:color="auto" w:fill="ffffff"/>
        </w:rPr>
      </w:pPr>
      <w:r>
        <w:rPr>
          <w:rFonts w:hint="eastAsia" w:ascii="Arial" w:hAnsi="Arial" w:eastAsia="Arial"/>
          <w:sz w:val="28"/>
          <w:szCs w:val="28"/>
        </w:rPr>
        <w:t xml:space="preserve">1.我公司具有</w:t>
      </w:r>
      <w:r>
        <w:rPr>
          <w:rFonts w:hint="eastAsia" w:ascii="Arial" w:hAnsi="Arial" w:eastAsia="Arial"/>
          <w:sz w:val="28"/>
          <w:szCs w:val="28"/>
          <w:shd w:val="clear" w:color="auto" w:fill="ffffff"/>
        </w:rPr>
        <w:t xml:space="preserve">良好的商业信誉和健全的财务制度；</w:t>
      </w:r>
      <w:r/>
    </w:p>
    <w:p>
      <w:pPr>
        <w:pStyle w:val="685"/>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2.我公司具有履行合同所必须的设备和专业技术能力；</w:t>
      </w:r>
      <w:r/>
    </w:p>
    <w:p>
      <w:pPr>
        <w:pStyle w:val="685"/>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3.我公司具有依法缴纳税收和社会保障资金的良好记录；</w:t>
      </w:r>
      <w:r/>
    </w:p>
    <w:p>
      <w:pPr>
        <w:pStyle w:val="685"/>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4.我公司参加政府采购活动前三年内，在经营活动中没有重大违法记录；</w:t>
      </w:r>
      <w:r/>
    </w:p>
    <w:p>
      <w:pPr>
        <w:pStyle w:val="685"/>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Arial" w:hAnsi="Arial" w:eastAsia="Arial"/>
          <w:sz w:val="28"/>
          <w:szCs w:val="28"/>
        </w:rPr>
        <w:t xml:space="preserve">。</w:t>
      </w:r>
      <w:r/>
    </w:p>
    <w:p>
      <w:pPr>
        <w:pStyle w:val="685"/>
        <w:ind w:firstLine="560"/>
        <w:spacing w:line="480" w:lineRule="exact"/>
        <w:rPr>
          <w:rFonts w:ascii="Arial" w:hAnsi="Arial" w:eastAsia="Arial"/>
          <w:sz w:val="28"/>
          <w:szCs w:val="28"/>
        </w:rPr>
      </w:pPr>
      <w:r>
        <w:rPr>
          <w:rFonts w:hint="eastAsia" w:ascii="Arial" w:hAnsi="Arial" w:eastAsia="Arial"/>
          <w:sz w:val="28"/>
          <w:szCs w:val="28"/>
          <w:shd w:val="clear" w:color="auto" w:fill="ffffff"/>
        </w:rPr>
        <w:t xml:space="preserve">二、</w:t>
      </w:r>
      <w:r>
        <w:rPr>
          <w:rFonts w:hint="eastAsia" w:ascii="Arial" w:hAnsi="Arial" w:eastAsia="Arial"/>
          <w:sz w:val="28"/>
          <w:szCs w:val="28"/>
        </w:rPr>
        <w:t xml:space="preserve">我公司承诺：在本次投标过程中，我公司不存在本项目招标文件第二章第1.4.3条所列情形之一。</w:t>
      </w:r>
      <w:r/>
    </w:p>
    <w:p>
      <w:pPr>
        <w:ind w:firstLine="3920"/>
        <w:spacing w:before="156" w:line="480" w:lineRule="exact"/>
        <w:rPr>
          <w:rFonts w:ascii="Arial" w:hAnsi="Arial" w:eastAsia="Arial"/>
          <w:sz w:val="28"/>
          <w:szCs w:val="28"/>
        </w:rPr>
      </w:pPr>
      <w:r>
        <w:rPr>
          <w:rFonts w:ascii="Arial" w:hAnsi="Arial" w:eastAsia="Arial"/>
          <w:sz w:val="28"/>
          <w:szCs w:val="28"/>
        </w:rPr>
        <w:t xml:space="preserve">投标人名称(盖法人章)：</w:t>
      </w:r>
      <w:r/>
    </w:p>
    <w:p>
      <w:pPr>
        <w:ind w:firstLine="3920"/>
        <w:spacing w:before="156" w:line="480" w:lineRule="exact"/>
        <w:rPr>
          <w:rFonts w:ascii="Arial" w:hAnsi="Arial" w:eastAsia="Arial"/>
          <w:sz w:val="28"/>
          <w:szCs w:val="28"/>
          <w:u w:val="single"/>
        </w:rPr>
      </w:pPr>
      <w:r>
        <w:rPr>
          <w:rFonts w:hint="eastAsia" w:ascii="Arial" w:hAnsi="Arial" w:eastAsia="Arial"/>
          <w:sz w:val="28"/>
          <w:szCs w:val="28"/>
        </w:rPr>
        <w:t xml:space="preserve">法定代表人</w:t>
      </w:r>
      <w:r>
        <w:rPr>
          <w:rFonts w:ascii="Arial" w:hAnsi="Arial" w:eastAsia="Arial"/>
          <w:sz w:val="28"/>
          <w:szCs w:val="28"/>
        </w:rPr>
        <w:t xml:space="preserve"> (</w:t>
      </w:r>
      <w:r>
        <w:rPr>
          <w:rFonts w:hint="eastAsia" w:ascii="Arial" w:hAnsi="Arial" w:eastAsia="Arial"/>
          <w:sz w:val="28"/>
          <w:szCs w:val="28"/>
        </w:rPr>
        <w:t xml:space="preserve">签字或签章</w:t>
      </w:r>
      <w:r>
        <w:rPr>
          <w:rFonts w:ascii="Arial" w:hAnsi="Arial" w:eastAsia="Arial"/>
          <w:sz w:val="28"/>
          <w:szCs w:val="28"/>
        </w:rPr>
        <w:t xml:space="preserve">)</w:t>
      </w:r>
      <w:r>
        <w:rPr>
          <w:rFonts w:hint="eastAsia" w:ascii="Arial" w:hAnsi="Arial" w:eastAsia="Arial"/>
          <w:sz w:val="28"/>
          <w:szCs w:val="28"/>
        </w:rPr>
        <w:t xml:space="preserve">：</w:t>
      </w:r>
      <w:r/>
    </w:p>
    <w:p>
      <w:pPr>
        <w:ind w:firstLine="3920"/>
        <w:spacing w:before="156" w:line="480" w:lineRule="exact"/>
        <w:rPr>
          <w:rFonts w:ascii="Arial" w:hAnsi="Arial" w:eastAsia="Arial"/>
          <w:sz w:val="28"/>
          <w:szCs w:val="28"/>
        </w:rPr>
      </w:pPr>
      <w:r>
        <w:rPr>
          <w:rFonts w:hint="eastAsia" w:ascii="Arial" w:hAnsi="Arial" w:eastAsia="Arial"/>
          <w:sz w:val="28"/>
          <w:szCs w:val="28"/>
        </w:rPr>
        <w:t xml:space="preserve">日期：   年  月   日</w:t>
      </w:r>
      <w:r/>
    </w:p>
    <w:p>
      <w:pPr>
        <w:pStyle w:val="685"/>
        <w:spacing w:line="500" w:lineRule="exact"/>
        <w:rPr>
          <w:rFonts w:ascii="Arial" w:hAnsi="Arial" w:eastAsia="Arial"/>
          <w:b/>
          <w:sz w:val="28"/>
          <w:szCs w:val="28"/>
        </w:rPr>
      </w:pPr>
      <w:r>
        <w:rPr>
          <w:rFonts w:ascii="Arial" w:hAnsi="Arial" w:eastAsia="Arial"/>
          <w:b/>
          <w:sz w:val="28"/>
          <w:szCs w:val="28"/>
        </w:rPr>
      </w:r>
      <w:r/>
    </w:p>
    <w:p>
      <w:pPr>
        <w:pStyle w:val="685"/>
        <w:spacing w:line="500" w:lineRule="exact"/>
        <w:rPr>
          <w:rFonts w:ascii="Arial" w:hAnsi="Arial" w:eastAsia="Arial"/>
          <w:b/>
          <w:sz w:val="28"/>
          <w:szCs w:val="28"/>
        </w:rPr>
      </w:pPr>
      <w:r>
        <w:rPr>
          <w:rFonts w:hint="eastAsia" w:ascii="Arial" w:hAnsi="Arial" w:eastAsia="Arial"/>
          <w:b/>
          <w:sz w:val="28"/>
          <w:szCs w:val="28"/>
        </w:rPr>
        <w:t xml:space="preserve">（2）</w:t>
      </w:r>
      <w:r>
        <w:rPr>
          <w:rFonts w:hint="eastAsia" w:ascii="Arial" w:hAnsi="Arial" w:eastAsia="Arial" w:cs="宋体"/>
          <w:b/>
          <w:sz w:val="28"/>
          <w:szCs w:val="28"/>
        </w:rPr>
        <w:t xml:space="preserve">招标文件要求的其他资格条件及证明材料</w:t>
      </w:r>
      <w:r/>
    </w:p>
    <w:p>
      <w:pPr>
        <w:pStyle w:val="685"/>
        <w:ind w:firstLine="560"/>
        <w:spacing w:line="500" w:lineRule="exact"/>
        <w:rPr>
          <w:rFonts w:ascii="Arial" w:hAnsi="Arial" w:eastAsia="Arial" w:cs="宋体"/>
          <w:sz w:val="28"/>
          <w:szCs w:val="28"/>
        </w:rPr>
      </w:pPr>
      <w:r>
        <w:rPr>
          <w:rFonts w:hint="eastAsia" w:ascii="Arial" w:hAnsi="Arial" w:eastAsia="Arial" w:cs="宋体"/>
          <w:sz w:val="28"/>
          <w:szCs w:val="28"/>
        </w:rPr>
        <w:t xml:space="preserve">1.具有有效的营业执照（附证书的复印件）；</w:t>
      </w:r>
      <w:r/>
    </w:p>
    <w:p>
      <w:pPr>
        <w:pStyle w:val="685"/>
        <w:ind w:firstLine="560"/>
        <w:spacing w:line="500" w:lineRule="exact"/>
        <w:rPr>
          <w:rFonts w:hint="eastAsia" w:ascii="Arial" w:hAnsi="Arial" w:eastAsia="Arial" w:cs="宋体"/>
          <w:sz w:val="28"/>
          <w:szCs w:val="28"/>
        </w:rPr>
      </w:pPr>
      <w:r>
        <w:rPr>
          <w:rFonts w:hint="eastAsia" w:ascii="Arial" w:hAnsi="Arial" w:eastAsia="Arial" w:cs="宋体"/>
          <w:sz w:val="28"/>
          <w:szCs w:val="28"/>
        </w:rPr>
        <w:t xml:space="preserve">2.中小企业声明函（参考格式附后）；</w:t>
      </w:r>
      <w:r/>
    </w:p>
    <w:p>
      <w:pPr>
        <w:rPr>
          <w:rFonts w:hint="eastAsia" w:ascii="Arial" w:hAnsi="Arial" w:eastAsia="Arial" w:cs="宋体"/>
          <w:b/>
          <w:sz w:val="30"/>
          <w:szCs w:val="30"/>
        </w:rPr>
      </w:pPr>
      <w:r>
        <w:rPr>
          <w:rFonts w:hint="eastAsia" w:ascii="Arial" w:hAnsi="Arial" w:eastAsia="Arial" w:cs="宋体"/>
          <w:b/>
          <w:sz w:val="30"/>
          <w:szCs w:val="30"/>
        </w:rPr>
        <w:br w:type="page" w:clear="all"/>
      </w:r>
      <w:r/>
    </w:p>
    <w:p>
      <w:pPr>
        <w:pStyle w:val="685"/>
        <w:ind w:left="0" w:firstLine="0"/>
        <w:spacing w:line="500" w:lineRule="exact"/>
        <w:rPr>
          <w:rFonts w:ascii="Arial" w:hAnsi="Arial" w:eastAsia="Arial" w:cs="宋体"/>
          <w:sz w:val="30"/>
          <w:szCs w:val="30"/>
        </w:rPr>
      </w:pPr>
      <w:r>
        <w:rPr>
          <w:rFonts w:hint="eastAsia" w:ascii="Arial" w:hAnsi="Arial" w:eastAsia="Arial" w:cs="宋体"/>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rPr>
        <w:t xml:space="preserve"> （单位名称）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其他未列明行业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其他未列明行业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（中型企业、小型企业、微型企业）       </w:t>
      </w:r>
      <w:r>
        <w:rPr>
          <w:rFonts w:hint="eastAsia" w:ascii="宋体" w:hAnsi="宋体" w:eastAsia="宋体" w:cs="宋体"/>
          <w:sz w:val="28"/>
          <w:szCs w:val="28"/>
        </w:rPr>
        <w:t xml:space="preserve">；</w:t>
      </w:r>
      <w:r/>
    </w:p>
    <w:p>
      <w:pPr>
        <w:pStyle w:val="752"/>
        <w:ind w:left="930" w:firstLine="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日  期：</w:t>
      </w:r>
      <w:r/>
    </w:p>
    <w:p>
      <w:pPr>
        <w:pStyle w:val="751"/>
        <w:spacing w:line="440" w:lineRule="exact"/>
        <w:rPr>
          <w:rFonts w:hint="eastAsia" w:ascii="宋体" w:hAnsi="宋体" w:eastAsia="宋体" w:cs="宋体"/>
          <w:sz w:val="28"/>
          <w:szCs w:val="28"/>
        </w:rPr>
      </w:pPr>
      <w:r>
        <w:rPr>
          <w:rFonts w:hint="eastAsia" w:ascii="宋体" w:hAnsi="宋体" w:eastAsia="宋体" w:cs="宋体"/>
          <w:sz w:val="28"/>
          <w:szCs w:val="28"/>
        </w:rPr>
        <w:t xml:space="preserve">注：1、从业人员、营业收入填报上一年度数据，无上一年度数据的新成立企业可不填报。</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2、供应商如不提供此声明函，价格将不做相应扣除。</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hint="eastAsia" w:ascii="楷体" w:hAnsi="楷体" w:eastAsia="楷体" w:cs="宋体"/>
          <w:b/>
          <w:sz w:val="32"/>
          <w:szCs w:val="32"/>
        </w:rPr>
      </w:pPr>
      <w:r>
        <w:rPr>
          <w:rFonts w:hint="eastAsia" w:ascii="楷体" w:hAnsi="楷体" w:eastAsia="楷体" w:cs="宋体"/>
          <w:b/>
          <w:sz w:val="32"/>
          <w:szCs w:val="32"/>
        </w:rPr>
        <w:t xml:space="preserve">3.5采购需求响应表（格式自拟）</w:t>
      </w:r>
      <w:r/>
    </w:p>
    <w:p>
      <w:pPr>
        <w:pStyle w:val="687"/>
      </w:pPr>
      <w:r/>
      <w:r/>
    </w:p>
    <w:p>
      <w:pPr>
        <w:rPr>
          <w:rFonts w:hint="eastAsia" w:ascii="楷体" w:hAnsi="楷体" w:eastAsia="楷体" w:cs="宋体"/>
          <w:b/>
          <w:sz w:val="32"/>
          <w:szCs w:val="32"/>
          <w:lang w:val="en-US" w:eastAsia="zh-CN"/>
        </w:rPr>
      </w:pPr>
      <w:r>
        <w:rPr>
          <w:rFonts w:hint="eastAsia" w:ascii="楷体" w:hAnsi="楷体" w:eastAsia="楷体" w:cs="宋体"/>
          <w:b/>
          <w:sz w:val="32"/>
          <w:szCs w:val="32"/>
          <w:lang w:val="en-US" w:eastAsia="zh-CN"/>
        </w:rPr>
        <w:br w:type="page" w:clear="all"/>
      </w:r>
      <w:r/>
    </w:p>
    <w:p>
      <w:pPr>
        <w:jc w:val="left"/>
        <w:spacing w:line="440" w:lineRule="exact"/>
        <w:widowControl/>
        <w:rPr>
          <w:rFonts w:hint="default" w:ascii="楷体" w:hAnsi="楷体" w:eastAsia="楷体" w:cs="宋体"/>
          <w:b/>
          <w:sz w:val="32"/>
          <w:szCs w:val="32"/>
          <w:lang w:val="en-US" w:eastAsia="zh-CN"/>
        </w:rPr>
      </w:pPr>
      <w:r>
        <w:rPr>
          <w:rFonts w:hint="eastAsia" w:ascii="楷体" w:hAnsi="楷体" w:eastAsia="楷体" w:cs="宋体"/>
          <w:b/>
          <w:sz w:val="32"/>
          <w:szCs w:val="32"/>
          <w:lang w:val="en-US" w:eastAsia="zh-CN"/>
        </w:rPr>
        <w:t xml:space="preserve">3.6 诚信承诺（格式自拟）</w:t>
      </w:r>
      <w:r/>
    </w:p>
    <w:p>
      <w:pPr>
        <w:pStyle w:val="751"/>
        <w:ind w:firstLine="560"/>
        <w:spacing w:line="440" w:lineRule="exact"/>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 xml:space="preserve">投标标段中涉及在乡镇（街道）开展过泰兴市2026年度项目化实施的补充耕地项目客土来源检测的供应商不得参加本标段投标；本次中标的供应商后期不得参加本标段涉及的乡镇（街道）开展泰兴市2026年度项目化实施的补充耕地项目客土来源检测项目。</w:t>
      </w:r>
      <w:r/>
    </w:p>
    <w:sectPr>
      <w:footerReference w:type="default" r:id="rId9"/>
      <w:footnotePr/>
      <w:endnotePr/>
      <w:type w:val="nextPage"/>
      <w:pgSz w:w="11906" w:h="16838" w:orient="portrait"/>
      <w:pgMar w:top="1247" w:right="1735" w:bottom="1191"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Calibri Light">
    <w:panose1 w:val="020F03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fldChar w:fldCharType="begin"/>
    </w:r>
    <w:r>
      <w:instrText xml:space="preserve">PAGE   \* MERGEFORMAT</w:instrText>
    </w:r>
    <w:r>
      <w:fldChar w:fldCharType="separate"/>
    </w:r>
    <w:r>
      <w:rPr>
        <w:lang w:val="zh-CN"/>
      </w:rPr>
      <w:t xml:space="preserve">16</w:t>
    </w:r>
    <w:r>
      <w:fldChar w:fldCharType="end"/>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681"/>
    <w:link w:val="672"/>
    <w:uiPriority w:val="9"/>
    <w:rPr>
      <w:rFonts w:ascii="Arial" w:hAnsi="Arial" w:eastAsia="Arial" w:cs="Arial"/>
      <w:sz w:val="40"/>
      <w:szCs w:val="40"/>
    </w:rPr>
  </w:style>
  <w:style w:type="character" w:styleId="657">
    <w:name w:val="Heading 2 Char"/>
    <w:basedOn w:val="681"/>
    <w:link w:val="673"/>
    <w:uiPriority w:val="9"/>
    <w:rPr>
      <w:rFonts w:ascii="Arial" w:hAnsi="Arial" w:eastAsia="Arial" w:cs="Arial"/>
      <w:sz w:val="34"/>
    </w:rPr>
  </w:style>
  <w:style w:type="character" w:styleId="658">
    <w:name w:val="Heading 3 Char"/>
    <w:basedOn w:val="681"/>
    <w:link w:val="674"/>
    <w:uiPriority w:val="9"/>
    <w:rPr>
      <w:rFonts w:ascii="Arial" w:hAnsi="Arial" w:eastAsia="Arial" w:cs="Arial"/>
      <w:sz w:val="30"/>
      <w:szCs w:val="30"/>
    </w:rPr>
  </w:style>
  <w:style w:type="character" w:styleId="659">
    <w:name w:val="Heading 4 Char"/>
    <w:basedOn w:val="681"/>
    <w:link w:val="675"/>
    <w:uiPriority w:val="9"/>
    <w:rPr>
      <w:rFonts w:ascii="Arial" w:hAnsi="Arial" w:eastAsia="Arial" w:cs="Arial"/>
      <w:b/>
      <w:bCs/>
      <w:sz w:val="26"/>
      <w:szCs w:val="26"/>
    </w:rPr>
  </w:style>
  <w:style w:type="character" w:styleId="660">
    <w:name w:val="Heading 5 Char"/>
    <w:basedOn w:val="681"/>
    <w:link w:val="676"/>
    <w:uiPriority w:val="9"/>
    <w:rPr>
      <w:rFonts w:ascii="Arial" w:hAnsi="Arial" w:eastAsia="Arial" w:cs="Arial"/>
      <w:b/>
      <w:bCs/>
      <w:sz w:val="24"/>
      <w:szCs w:val="24"/>
    </w:rPr>
  </w:style>
  <w:style w:type="character" w:styleId="661">
    <w:name w:val="Heading 6 Char"/>
    <w:basedOn w:val="681"/>
    <w:link w:val="677"/>
    <w:uiPriority w:val="9"/>
    <w:rPr>
      <w:rFonts w:ascii="Arial" w:hAnsi="Arial" w:eastAsia="Arial" w:cs="Arial"/>
      <w:b/>
      <w:bCs/>
      <w:sz w:val="22"/>
      <w:szCs w:val="22"/>
    </w:rPr>
  </w:style>
  <w:style w:type="character" w:styleId="662">
    <w:name w:val="Heading 7 Char"/>
    <w:basedOn w:val="681"/>
    <w:link w:val="678"/>
    <w:uiPriority w:val="9"/>
    <w:rPr>
      <w:rFonts w:ascii="Arial" w:hAnsi="Arial" w:eastAsia="Arial" w:cs="Arial"/>
      <w:b/>
      <w:bCs/>
      <w:i/>
      <w:iCs/>
      <w:sz w:val="22"/>
      <w:szCs w:val="22"/>
    </w:rPr>
  </w:style>
  <w:style w:type="character" w:styleId="663">
    <w:name w:val="Heading 8 Char"/>
    <w:basedOn w:val="681"/>
    <w:link w:val="679"/>
    <w:uiPriority w:val="9"/>
    <w:rPr>
      <w:rFonts w:ascii="Arial" w:hAnsi="Arial" w:eastAsia="Arial" w:cs="Arial"/>
      <w:i/>
      <w:iCs/>
      <w:sz w:val="22"/>
      <w:szCs w:val="22"/>
    </w:rPr>
  </w:style>
  <w:style w:type="character" w:styleId="664">
    <w:name w:val="Heading 9 Char"/>
    <w:basedOn w:val="681"/>
    <w:link w:val="680"/>
    <w:uiPriority w:val="9"/>
    <w:rPr>
      <w:rFonts w:ascii="Arial" w:hAnsi="Arial" w:eastAsia="Arial" w:cs="Arial"/>
      <w:i/>
      <w:iCs/>
      <w:sz w:val="21"/>
      <w:szCs w:val="21"/>
    </w:rPr>
  </w:style>
  <w:style w:type="character" w:styleId="665">
    <w:name w:val="Title Char"/>
    <w:basedOn w:val="681"/>
    <w:link w:val="707"/>
    <w:uiPriority w:val="10"/>
    <w:rPr>
      <w:sz w:val="48"/>
      <w:szCs w:val="48"/>
    </w:rPr>
  </w:style>
  <w:style w:type="character" w:styleId="666">
    <w:name w:val="Quote Char"/>
    <w:link w:val="757"/>
    <w:uiPriority w:val="29"/>
    <w:rPr>
      <w:i/>
    </w:rPr>
  </w:style>
  <w:style w:type="character" w:styleId="667">
    <w:name w:val="Intense Quote Char"/>
    <w:link w:val="759"/>
    <w:uiPriority w:val="30"/>
    <w:rPr>
      <w:i/>
    </w:rPr>
  </w:style>
  <w:style w:type="character" w:styleId="668">
    <w:name w:val="Header Char"/>
    <w:basedOn w:val="681"/>
    <w:link w:val="697"/>
    <w:uiPriority w:val="99"/>
  </w:style>
  <w:style w:type="character" w:styleId="669">
    <w:name w:val="Footer Char"/>
    <w:basedOn w:val="681"/>
    <w:link w:val="696"/>
    <w:uiPriority w:val="99"/>
  </w:style>
  <w:style w:type="paragraph" w:styleId="670">
    <w:name w:val="TOC Heading"/>
    <w:uiPriority w:val="39"/>
    <w:unhideWhenUsed/>
  </w:style>
  <w:style w:type="paragraph" w:styleId="671" w:default="1">
    <w:name w:val="Normal"/>
    <w:uiPriority w:val="0"/>
    <w:qFormat/>
    <w:pPr>
      <w:jc w:val="both"/>
      <w:spacing w:after="0"/>
      <w:widowControl w:val="off"/>
    </w:pPr>
    <w:rPr>
      <w:rFonts w:ascii="Times New Roman" w:hAnsi="Times New Roman" w:eastAsia="宋体" w:cs="Times New Roman"/>
      <w:sz w:val="24"/>
      <w:szCs w:val="24"/>
      <w:lang w:val="en-US" w:eastAsia="zh-CN" w:bidi="ar-SA"/>
    </w:rPr>
  </w:style>
  <w:style w:type="paragraph" w:styleId="672">
    <w:name w:val="Heading 1"/>
    <w:basedOn w:val="671"/>
    <w:next w:val="671"/>
    <w:link w:val="728"/>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673">
    <w:name w:val="Heading 2"/>
    <w:basedOn w:val="671"/>
    <w:next w:val="671"/>
    <w:link w:val="729"/>
    <w:uiPriority w:val="0"/>
    <w:qFormat/>
    <w:pPr>
      <w:keepLines/>
      <w:keepNext/>
      <w:spacing w:before="260" w:after="260" w:line="416" w:lineRule="auto"/>
      <w:outlineLvl w:val="1"/>
    </w:pPr>
    <w:rPr>
      <w:rFonts w:ascii="Calibri Light" w:hAnsi="Calibri Light" w:eastAsia="Arial" w:cs="Arial"/>
      <w:b/>
      <w:bCs/>
      <w:sz w:val="32"/>
      <w:szCs w:val="32"/>
    </w:rPr>
  </w:style>
  <w:style w:type="paragraph" w:styleId="674">
    <w:name w:val="Heading 3"/>
    <w:basedOn w:val="671"/>
    <w:next w:val="671"/>
    <w:link w:val="730"/>
    <w:uiPriority w:val="0"/>
    <w:qFormat/>
    <w:pPr>
      <w:keepLines/>
      <w:keepNext/>
      <w:spacing w:before="320" w:after="200"/>
      <w:outlineLvl w:val="2"/>
    </w:pPr>
    <w:rPr>
      <w:rFonts w:ascii="Arial" w:hAnsi="Arial" w:eastAsia="Arial" w:cs="Arial"/>
      <w:sz w:val="30"/>
      <w:szCs w:val="30"/>
    </w:rPr>
  </w:style>
  <w:style w:type="paragraph" w:styleId="675">
    <w:name w:val="Heading 4"/>
    <w:basedOn w:val="671"/>
    <w:next w:val="671"/>
    <w:link w:val="731"/>
    <w:uiPriority w:val="0"/>
    <w:qFormat/>
    <w:pPr>
      <w:keepLines/>
      <w:keepNext/>
      <w:spacing w:before="320" w:after="200"/>
      <w:outlineLvl w:val="3"/>
    </w:pPr>
    <w:rPr>
      <w:rFonts w:ascii="Arial" w:hAnsi="Arial" w:eastAsia="Arial" w:cs="Arial"/>
      <w:b/>
      <w:bCs/>
      <w:sz w:val="26"/>
      <w:szCs w:val="26"/>
    </w:rPr>
  </w:style>
  <w:style w:type="paragraph" w:styleId="676">
    <w:name w:val="Heading 5"/>
    <w:basedOn w:val="671"/>
    <w:next w:val="671"/>
    <w:link w:val="732"/>
    <w:uiPriority w:val="0"/>
    <w:qFormat/>
    <w:pPr>
      <w:keepLines/>
      <w:keepNext/>
      <w:spacing w:before="320" w:after="200"/>
      <w:outlineLvl w:val="4"/>
    </w:pPr>
    <w:rPr>
      <w:rFonts w:ascii="Arial" w:hAnsi="Arial" w:eastAsia="Arial" w:cs="Arial"/>
      <w:b/>
      <w:bCs/>
      <w:sz w:val="24"/>
      <w:szCs w:val="24"/>
    </w:rPr>
  </w:style>
  <w:style w:type="paragraph" w:styleId="677">
    <w:name w:val="Heading 6"/>
    <w:basedOn w:val="671"/>
    <w:next w:val="671"/>
    <w:link w:val="733"/>
    <w:uiPriority w:val="0"/>
    <w:qFormat/>
    <w:pPr>
      <w:keepLines/>
      <w:keepNext/>
      <w:spacing w:before="320" w:after="200"/>
      <w:outlineLvl w:val="5"/>
    </w:pPr>
    <w:rPr>
      <w:rFonts w:ascii="Arial" w:hAnsi="Arial" w:eastAsia="Arial" w:cs="Arial"/>
      <w:b/>
      <w:bCs/>
      <w:sz w:val="22"/>
      <w:szCs w:val="22"/>
    </w:rPr>
  </w:style>
  <w:style w:type="paragraph" w:styleId="678">
    <w:name w:val="Heading 7"/>
    <w:basedOn w:val="671"/>
    <w:next w:val="671"/>
    <w:link w:val="734"/>
    <w:uiPriority w:val="0"/>
    <w:qFormat/>
    <w:pPr>
      <w:keepLines/>
      <w:keepNext/>
      <w:spacing w:before="320" w:after="200"/>
      <w:outlineLvl w:val="6"/>
    </w:pPr>
    <w:rPr>
      <w:rFonts w:ascii="Arial" w:hAnsi="Arial" w:eastAsia="Arial" w:cs="Arial"/>
      <w:b/>
      <w:bCs/>
      <w:i/>
      <w:iCs/>
      <w:sz w:val="22"/>
      <w:szCs w:val="22"/>
    </w:rPr>
  </w:style>
  <w:style w:type="paragraph" w:styleId="679">
    <w:name w:val="Heading 8"/>
    <w:basedOn w:val="671"/>
    <w:next w:val="671"/>
    <w:link w:val="735"/>
    <w:uiPriority w:val="0"/>
    <w:qFormat/>
    <w:pPr>
      <w:keepLines/>
      <w:keepNext/>
      <w:spacing w:before="320" w:after="200"/>
      <w:outlineLvl w:val="7"/>
    </w:pPr>
    <w:rPr>
      <w:rFonts w:ascii="Arial" w:hAnsi="Arial" w:eastAsia="Arial" w:cs="Arial"/>
      <w:i/>
      <w:iCs/>
      <w:sz w:val="22"/>
      <w:szCs w:val="22"/>
    </w:rPr>
  </w:style>
  <w:style w:type="paragraph" w:styleId="680">
    <w:name w:val="Heading 9"/>
    <w:basedOn w:val="671"/>
    <w:next w:val="671"/>
    <w:link w:val="736"/>
    <w:uiPriority w:val="0"/>
    <w:qFormat/>
    <w:pPr>
      <w:keepLines/>
      <w:keepNext/>
      <w:spacing w:before="320" w:after="200"/>
      <w:outlineLvl w:val="8"/>
    </w:pPr>
    <w:rPr>
      <w:rFonts w:ascii="Arial" w:hAnsi="Arial" w:eastAsia="Arial" w:cs="Arial"/>
      <w:i/>
      <w:iCs/>
      <w:sz w:val="21"/>
      <w:szCs w:val="21"/>
    </w:rPr>
  </w:style>
  <w:style w:type="character" w:styleId="681" w:default="1">
    <w:name w:val="Default Paragraph Font"/>
    <w:uiPriority w:val="0"/>
    <w:qFormat/>
    <w:rPr>
      <w:rFonts w:ascii="Times New Roman" w:hAnsi="Times New Roman" w:eastAsia="宋体" w:cs="Times New Roman"/>
    </w:rPr>
  </w:style>
  <w:style w:type="table" w:styleId="682"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683">
    <w:name w:val="toc 7"/>
    <w:basedOn w:val="671"/>
    <w:next w:val="671"/>
    <w:uiPriority w:val="0"/>
    <w:qFormat/>
    <w:pPr>
      <w:ind w:left="1701" w:right="0" w:firstLine="0"/>
      <w:spacing w:after="57"/>
    </w:pPr>
    <w:rPr>
      <w:rFonts w:ascii="Times New Roman" w:hAnsi="Times New Roman" w:eastAsia="宋体" w:cs="Times New Roman"/>
    </w:rPr>
  </w:style>
  <w:style w:type="paragraph" w:styleId="684">
    <w:name w:val="Caption"/>
    <w:basedOn w:val="671"/>
    <w:next w:val="671"/>
    <w:uiPriority w:val="0"/>
    <w:qFormat/>
    <w:pPr>
      <w:spacing w:line="276" w:lineRule="auto"/>
    </w:pPr>
    <w:rPr>
      <w:rFonts w:ascii="Times New Roman" w:hAnsi="Times New Roman" w:eastAsia="宋体" w:cs="Times New Roman"/>
      <w:b/>
      <w:bCs/>
      <w:color w:val="5b9bd5"/>
      <w:sz w:val="18"/>
      <w:szCs w:val="18"/>
    </w:rPr>
  </w:style>
  <w:style w:type="paragraph" w:styleId="685">
    <w:name w:val="Document Map"/>
    <w:basedOn w:val="671"/>
    <w:link w:val="737"/>
    <w:uiPriority w:val="0"/>
    <w:qFormat/>
    <w:rPr>
      <w:rFonts w:ascii="宋体" w:hAnsi="Times New Roman" w:eastAsia="宋体" w:cs="Times New Roman"/>
      <w:sz w:val="18"/>
      <w:szCs w:val="18"/>
    </w:rPr>
  </w:style>
  <w:style w:type="paragraph" w:styleId="686">
    <w:name w:val="annotation text"/>
    <w:basedOn w:val="671"/>
    <w:link w:val="738"/>
    <w:uiPriority w:val="0"/>
    <w:qFormat/>
    <w:pPr>
      <w:jc w:val="left"/>
    </w:pPr>
    <w:rPr>
      <w:rFonts w:ascii="Times New Roman" w:hAnsi="Times New Roman" w:eastAsia="宋体" w:cs="Times New Roman"/>
    </w:rPr>
  </w:style>
  <w:style w:type="paragraph" w:styleId="687">
    <w:name w:val="Body Text"/>
    <w:basedOn w:val="671"/>
    <w:next w:val="688"/>
    <w:link w:val="739"/>
    <w:uiPriority w:val="0"/>
    <w:qFormat/>
    <w:pPr>
      <w:spacing w:after="120"/>
    </w:pPr>
    <w:rPr>
      <w:rFonts w:ascii="Times New Roman" w:hAnsi="Times New Roman" w:eastAsia="宋体" w:cs="Times New Roman"/>
    </w:rPr>
  </w:style>
  <w:style w:type="paragraph" w:styleId="688">
    <w:name w:val="toc 2"/>
    <w:basedOn w:val="671"/>
    <w:next w:val="671"/>
    <w:uiPriority w:val="39"/>
    <w:qFormat/>
    <w:pPr>
      <w:ind w:left="210"/>
      <w:jc w:val="left"/>
    </w:pPr>
    <w:rPr>
      <w:smallCaps/>
      <w:sz w:val="20"/>
      <w:szCs w:val="20"/>
    </w:rPr>
  </w:style>
  <w:style w:type="paragraph" w:styleId="689">
    <w:name w:val="toc 5"/>
    <w:basedOn w:val="671"/>
    <w:next w:val="671"/>
    <w:uiPriority w:val="0"/>
    <w:qFormat/>
    <w:pPr>
      <w:ind w:left="1134" w:right="0" w:firstLine="0"/>
      <w:spacing w:after="57"/>
    </w:pPr>
    <w:rPr>
      <w:rFonts w:ascii="Times New Roman" w:hAnsi="Times New Roman" w:eastAsia="宋体" w:cs="Times New Roman"/>
    </w:rPr>
  </w:style>
  <w:style w:type="paragraph" w:styleId="690">
    <w:name w:val="toc 3"/>
    <w:basedOn w:val="671"/>
    <w:next w:val="671"/>
    <w:uiPriority w:val="0"/>
    <w:qFormat/>
    <w:pPr>
      <w:ind w:left="567" w:right="0" w:firstLine="0"/>
      <w:spacing w:after="57"/>
    </w:pPr>
    <w:rPr>
      <w:rFonts w:ascii="Times New Roman" w:hAnsi="Times New Roman" w:eastAsia="宋体" w:cs="Times New Roman"/>
    </w:rPr>
  </w:style>
  <w:style w:type="paragraph" w:styleId="691">
    <w:name w:val="Plain Text"/>
    <w:basedOn w:val="671"/>
    <w:link w:val="740"/>
    <w:uiPriority w:val="0"/>
    <w:qFormat/>
    <w:rPr>
      <w:rFonts w:ascii="宋体" w:hAnsi="Courier New" w:eastAsia="宋体" w:cs="Times New Roman"/>
      <w:szCs w:val="20"/>
    </w:rPr>
  </w:style>
  <w:style w:type="paragraph" w:styleId="692">
    <w:name w:val="toc 8"/>
    <w:basedOn w:val="671"/>
    <w:next w:val="671"/>
    <w:uiPriority w:val="0"/>
    <w:qFormat/>
    <w:pPr>
      <w:ind w:left="1984" w:right="0" w:firstLine="0"/>
      <w:spacing w:after="57"/>
    </w:pPr>
    <w:rPr>
      <w:rFonts w:ascii="Times New Roman" w:hAnsi="Times New Roman" w:eastAsia="宋体" w:cs="Times New Roman"/>
    </w:rPr>
  </w:style>
  <w:style w:type="paragraph" w:styleId="693">
    <w:name w:val="Body Text Indent 2"/>
    <w:basedOn w:val="671"/>
    <w:uiPriority w:val="0"/>
    <w:qFormat/>
    <w:pPr>
      <w:ind w:left="420"/>
      <w:spacing w:after="120" w:line="480" w:lineRule="auto"/>
    </w:pPr>
    <w:rPr>
      <w:rFonts w:ascii="Times New Roman" w:hAnsi="Times New Roman" w:eastAsia="宋体" w:cs="Times New Roman"/>
    </w:rPr>
  </w:style>
  <w:style w:type="paragraph" w:styleId="694">
    <w:name w:val="endnote text"/>
    <w:basedOn w:val="671"/>
    <w:link w:val="741"/>
    <w:uiPriority w:val="0"/>
    <w:qFormat/>
    <w:pPr>
      <w:spacing w:after="0" w:line="240" w:lineRule="auto"/>
    </w:pPr>
    <w:rPr>
      <w:rFonts w:ascii="Times New Roman" w:hAnsi="Times New Roman" w:eastAsia="宋体" w:cs="Times New Roman"/>
      <w:sz w:val="20"/>
    </w:rPr>
  </w:style>
  <w:style w:type="paragraph" w:styleId="695">
    <w:name w:val="Balloon Text"/>
    <w:basedOn w:val="671"/>
    <w:link w:val="742"/>
    <w:uiPriority w:val="0"/>
    <w:qFormat/>
    <w:rPr>
      <w:rFonts w:ascii="Times New Roman" w:hAnsi="Times New Roman" w:eastAsia="宋体" w:cs="Times New Roman"/>
      <w:sz w:val="18"/>
      <w:szCs w:val="18"/>
    </w:rPr>
  </w:style>
  <w:style w:type="paragraph" w:styleId="696">
    <w:name w:val="Footer"/>
    <w:basedOn w:val="671"/>
    <w:link w:val="743"/>
    <w:uiPriority w:val="0"/>
    <w:qFormat/>
    <w:pPr>
      <w:jc w:val="left"/>
      <w:tabs>
        <w:tab w:val="center" w:pos="4153" w:leader="none"/>
        <w:tab w:val="right" w:pos="8306" w:leader="none"/>
      </w:tabs>
    </w:pPr>
    <w:rPr>
      <w:rFonts w:ascii="Calibri" w:hAnsi="Calibri" w:eastAsia="Arial" w:cs="Arial"/>
      <w:sz w:val="18"/>
      <w:szCs w:val="18"/>
    </w:rPr>
  </w:style>
  <w:style w:type="paragraph" w:styleId="697">
    <w:name w:val="Header"/>
    <w:basedOn w:val="671"/>
    <w:link w:val="744"/>
    <w:uiPriority w:val="0"/>
    <w:qFormat/>
    <w:pPr>
      <w:jc w:val="center"/>
      <w:tabs>
        <w:tab w:val="center" w:pos="4153" w:leader="none"/>
        <w:tab w:val="right" w:pos="8306" w:leader="none"/>
      </w:tabs>
    </w:pPr>
    <w:rPr>
      <w:rFonts w:ascii="Calibri" w:hAnsi="Calibri" w:eastAsia="Arial" w:cs="Arial"/>
      <w:sz w:val="18"/>
      <w:szCs w:val="18"/>
    </w:rPr>
  </w:style>
  <w:style w:type="paragraph" w:styleId="698">
    <w:name w:val="toc 1"/>
    <w:basedOn w:val="671"/>
    <w:next w:val="671"/>
    <w:uiPriority w:val="0"/>
    <w:qFormat/>
    <w:pPr>
      <w:ind w:left="0" w:right="0" w:firstLine="0"/>
      <w:spacing w:after="57"/>
    </w:pPr>
    <w:rPr>
      <w:rFonts w:ascii="Times New Roman" w:hAnsi="Times New Roman" w:eastAsia="宋体" w:cs="Times New Roman"/>
    </w:rPr>
  </w:style>
  <w:style w:type="paragraph" w:styleId="699">
    <w:name w:val="toc 4"/>
    <w:basedOn w:val="671"/>
    <w:next w:val="671"/>
    <w:uiPriority w:val="0"/>
    <w:qFormat/>
    <w:pPr>
      <w:ind w:left="850" w:right="0" w:firstLine="0"/>
      <w:spacing w:after="57"/>
    </w:pPr>
    <w:rPr>
      <w:rFonts w:ascii="Times New Roman" w:hAnsi="Times New Roman" w:eastAsia="宋体" w:cs="Times New Roman"/>
    </w:rPr>
  </w:style>
  <w:style w:type="paragraph" w:styleId="700">
    <w:name w:val="Subtitle"/>
    <w:basedOn w:val="671"/>
    <w:next w:val="671"/>
    <w:link w:val="745"/>
    <w:uiPriority w:val="0"/>
    <w:qFormat/>
    <w:pPr>
      <w:spacing w:before="200" w:after="200"/>
    </w:pPr>
    <w:rPr>
      <w:rFonts w:ascii="Times New Roman" w:hAnsi="Times New Roman" w:eastAsia="宋体" w:cs="Times New Roman"/>
      <w:sz w:val="24"/>
      <w:szCs w:val="24"/>
    </w:rPr>
  </w:style>
  <w:style w:type="paragraph" w:styleId="701">
    <w:name w:val="footnote text"/>
    <w:basedOn w:val="671"/>
    <w:link w:val="746"/>
    <w:uiPriority w:val="0"/>
    <w:qFormat/>
    <w:pPr>
      <w:spacing w:after="40" w:line="240" w:lineRule="auto"/>
    </w:pPr>
    <w:rPr>
      <w:rFonts w:ascii="Times New Roman" w:hAnsi="Times New Roman" w:eastAsia="宋体" w:cs="Times New Roman"/>
      <w:sz w:val="18"/>
    </w:rPr>
  </w:style>
  <w:style w:type="paragraph" w:styleId="702">
    <w:name w:val="toc 6"/>
    <w:basedOn w:val="671"/>
    <w:next w:val="671"/>
    <w:uiPriority w:val="0"/>
    <w:qFormat/>
    <w:pPr>
      <w:ind w:left="1417" w:right="0" w:firstLine="0"/>
      <w:spacing w:after="57"/>
    </w:pPr>
    <w:rPr>
      <w:rFonts w:ascii="Times New Roman" w:hAnsi="Times New Roman" w:eastAsia="宋体" w:cs="Times New Roman"/>
    </w:rPr>
  </w:style>
  <w:style w:type="paragraph" w:styleId="703">
    <w:name w:val="Body Text Indent 3"/>
    <w:basedOn w:val="671"/>
    <w:link w:val="747"/>
    <w:uiPriority w:val="0"/>
    <w:qFormat/>
    <w:pPr>
      <w:ind w:left="645" w:firstLine="645"/>
    </w:pPr>
    <w:rPr>
      <w:rFonts w:ascii="Arial" w:hAnsi="Arial" w:eastAsia="仿宋_GB2312" w:cs="Times New Roman"/>
      <w:color w:val="ffff00"/>
      <w:sz w:val="32"/>
      <w:szCs w:val="20"/>
    </w:rPr>
  </w:style>
  <w:style w:type="paragraph" w:styleId="704">
    <w:name w:val="table of figures"/>
    <w:basedOn w:val="671"/>
    <w:next w:val="671"/>
    <w:uiPriority w:val="0"/>
    <w:qFormat/>
    <w:pPr>
      <w:spacing w:after="0" w:afterAutospacing="0"/>
    </w:pPr>
    <w:rPr>
      <w:rFonts w:ascii="Times New Roman" w:hAnsi="Times New Roman" w:eastAsia="宋体" w:cs="Times New Roman"/>
    </w:rPr>
  </w:style>
  <w:style w:type="paragraph" w:styleId="705">
    <w:name w:val="toc 9"/>
    <w:basedOn w:val="671"/>
    <w:next w:val="671"/>
    <w:uiPriority w:val="0"/>
    <w:qFormat/>
    <w:pPr>
      <w:ind w:left="2268" w:right="0" w:firstLine="0"/>
      <w:spacing w:after="57"/>
    </w:pPr>
    <w:rPr>
      <w:rFonts w:ascii="Times New Roman" w:hAnsi="Times New Roman" w:eastAsia="宋体" w:cs="Times New Roman"/>
    </w:rPr>
  </w:style>
  <w:style w:type="paragraph" w:styleId="706">
    <w:name w:val="Normal (Web)"/>
    <w:basedOn w:val="671"/>
    <w:uiPriority w:val="0"/>
    <w:qFormat/>
    <w:pPr>
      <w:jc w:val="left"/>
      <w:spacing w:before="150" w:after="150" w:line="480" w:lineRule="auto"/>
    </w:pPr>
    <w:rPr>
      <w:rFonts w:hint="eastAsia" w:ascii="宋体" w:hAnsi="宋体" w:eastAsia="宋体" w:cs="Times New Roman"/>
      <w:color w:val="000000"/>
    </w:rPr>
  </w:style>
  <w:style w:type="paragraph" w:styleId="707">
    <w:name w:val="Title"/>
    <w:basedOn w:val="671"/>
    <w:next w:val="671"/>
    <w:link w:val="748"/>
    <w:uiPriority w:val="0"/>
    <w:qFormat/>
    <w:pPr>
      <w:contextualSpacing/>
      <w:spacing w:before="300" w:after="200"/>
    </w:pPr>
    <w:rPr>
      <w:rFonts w:ascii="Times New Roman" w:hAnsi="Times New Roman" w:eastAsia="宋体" w:cs="Times New Roman"/>
      <w:sz w:val="48"/>
      <w:szCs w:val="48"/>
    </w:rPr>
  </w:style>
  <w:style w:type="paragraph" w:styleId="708">
    <w:name w:val="annotation subject"/>
    <w:basedOn w:val="686"/>
    <w:next w:val="686"/>
    <w:link w:val="749"/>
    <w:uiPriority w:val="0"/>
    <w:qFormat/>
    <w:rPr>
      <w:rFonts w:ascii="Times New Roman" w:hAnsi="Times New Roman" w:eastAsia="宋体" w:cs="Times New Roman"/>
      <w:b/>
      <w:bCs/>
    </w:rPr>
  </w:style>
  <w:style w:type="paragraph" w:styleId="709">
    <w:name w:val="Body Text First Indent"/>
    <w:basedOn w:val="687"/>
    <w:uiPriority w:val="0"/>
    <w:qFormat/>
    <w:pPr>
      <w:ind w:firstLine="420"/>
    </w:pPr>
  </w:style>
  <w:style w:type="table" w:styleId="710">
    <w:name w:val="Table Grid"/>
    <w:basedOn w:val="682"/>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Medium Grid 3"/>
    <w:basedOn w:val="682"/>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12">
    <w:name w:val="Medium Grid 3 Accent 1"/>
    <w:basedOn w:val="682"/>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13">
    <w:name w:val="Medium Grid 3 Accent 2"/>
    <w:basedOn w:val="682"/>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14">
    <w:name w:val="Medium Grid 3 Accent 3"/>
    <w:basedOn w:val="682"/>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15">
    <w:name w:val="Medium Grid 3 Accent 4"/>
    <w:basedOn w:val="682"/>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16">
    <w:name w:val="Medium Grid 3 Accent 5"/>
    <w:basedOn w:val="682"/>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17">
    <w:name w:val="Medium Grid 3 Accent 6"/>
    <w:basedOn w:val="682"/>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718">
    <w:name w:val="Strong"/>
    <w:basedOn w:val="681"/>
    <w:uiPriority w:val="0"/>
    <w:qFormat/>
    <w:rPr>
      <w:rFonts w:ascii="Times New Roman" w:hAnsi="Times New Roman" w:eastAsia="宋体" w:cs="Times New Roman"/>
      <w:b/>
    </w:rPr>
  </w:style>
  <w:style w:type="character" w:styleId="719">
    <w:name w:val="endnote reference"/>
    <w:basedOn w:val="681"/>
    <w:uiPriority w:val="0"/>
    <w:qFormat/>
    <w:rPr>
      <w:rFonts w:ascii="Times New Roman" w:hAnsi="Times New Roman" w:eastAsia="宋体" w:cs="Times New Roman"/>
      <w:vertAlign w:val="superscript"/>
    </w:rPr>
  </w:style>
  <w:style w:type="character" w:styleId="720">
    <w:name w:val="FollowedHyperlink"/>
    <w:basedOn w:val="681"/>
    <w:uiPriority w:val="0"/>
    <w:qFormat/>
    <w:rPr>
      <w:rFonts w:ascii="Times New Roman" w:hAnsi="Times New Roman" w:eastAsia="宋体" w:cs="Times New Roman"/>
      <w:color w:val="333333"/>
      <w:u w:val="none"/>
    </w:rPr>
  </w:style>
  <w:style w:type="character" w:styleId="721">
    <w:name w:val="Hyperlink"/>
    <w:uiPriority w:val="0"/>
    <w:qFormat/>
    <w:rPr>
      <w:rFonts w:ascii="Times New Roman" w:hAnsi="Times New Roman" w:eastAsia="宋体" w:cs="Times New Roman"/>
      <w:color w:val="336699"/>
      <w:sz w:val="18"/>
      <w:u w:val="none"/>
    </w:rPr>
  </w:style>
  <w:style w:type="character" w:styleId="722">
    <w:name w:val="annotation reference"/>
    <w:basedOn w:val="681"/>
    <w:uiPriority w:val="0"/>
    <w:qFormat/>
    <w:rPr>
      <w:rFonts w:ascii="Times New Roman" w:hAnsi="Times New Roman" w:eastAsia="宋体" w:cs="Times New Roman"/>
      <w:sz w:val="21"/>
      <w:szCs w:val="21"/>
    </w:rPr>
  </w:style>
  <w:style w:type="character" w:styleId="723">
    <w:name w:val="footnote reference"/>
    <w:basedOn w:val="681"/>
    <w:uiPriority w:val="0"/>
    <w:qFormat/>
    <w:rPr>
      <w:rFonts w:ascii="Times New Roman" w:hAnsi="Times New Roman" w:eastAsia="宋体" w:cs="Times New Roman"/>
      <w:vertAlign w:val="superscript"/>
    </w:rPr>
  </w:style>
  <w:style w:type="paragraph" w:styleId="724" w:customStyle="1">
    <w:name w:val="BodyText1I"/>
    <w:basedOn w:val="725"/>
    <w:uiPriority w:val="0"/>
    <w:qFormat/>
    <w:pPr>
      <w:ind w:firstLine="200"/>
      <w:jc w:val="both"/>
      <w:spacing w:after="120" w:line="360" w:lineRule="auto"/>
    </w:pPr>
    <w:rPr>
      <w:rFonts w:ascii="仿宋_GB2312" w:hAnsi="Arial" w:eastAsia="仿宋_GB2312"/>
      <w:sz w:val="30"/>
      <w:szCs w:val="30"/>
    </w:rPr>
  </w:style>
  <w:style w:type="paragraph" w:styleId="725" w:customStyle="1">
    <w:name w:val="BodyText"/>
    <w:basedOn w:val="671"/>
    <w:next w:val="726"/>
    <w:uiPriority w:val="0"/>
    <w:qFormat/>
    <w:pPr>
      <w:jc w:val="both"/>
      <w:spacing w:line="60" w:lineRule="auto"/>
    </w:pPr>
    <w:rPr>
      <w:rFonts w:ascii="仿宋_GB2312" w:hAnsi="Calibri" w:eastAsia="仿宋_GB2312"/>
      <w:sz w:val="32"/>
      <w:szCs w:val="22"/>
      <w:lang w:val="en-US" w:eastAsia="zh-CN" w:bidi="ar-SA"/>
    </w:rPr>
  </w:style>
  <w:style w:type="paragraph" w:styleId="726" w:customStyle="1">
    <w:name w:val="toc 2"/>
    <w:basedOn w:val="671"/>
    <w:next w:val="671"/>
    <w:uiPriority w:val="0"/>
    <w:qFormat/>
    <w:pPr>
      <w:ind w:left="210"/>
      <w:jc w:val="left"/>
    </w:pPr>
    <w:rPr>
      <w:rFonts w:ascii="Times New Roman" w:hAnsi="Times New Roman"/>
      <w:smallCaps/>
      <w:sz w:val="20"/>
      <w:szCs w:val="20"/>
      <w:lang w:val="en-US" w:eastAsia="zh-CN" w:bidi="ar-SA"/>
    </w:rPr>
  </w:style>
  <w:style w:type="paragraph" w:styleId="727" w:customStyle="1">
    <w:name w:val="toc 21"/>
    <w:basedOn w:val="671"/>
    <w:next w:val="671"/>
    <w:uiPriority w:val="0"/>
    <w:qFormat/>
    <w:pPr>
      <w:ind w:left="210"/>
      <w:jc w:val="left"/>
    </w:pPr>
    <w:rPr>
      <w:rFonts w:ascii="Times New Roman" w:hAnsi="Times New Roman"/>
      <w:smallCaps/>
      <w:sz w:val="20"/>
      <w:szCs w:val="20"/>
      <w:lang w:val="en-US" w:eastAsia="zh-CN" w:bidi="ar-SA"/>
    </w:rPr>
  </w:style>
  <w:style w:type="character" w:styleId="728" w:customStyle="1">
    <w:name w:val="标题 1 Char"/>
    <w:basedOn w:val="681"/>
    <w:link w:val="672"/>
    <w:uiPriority w:val="0"/>
    <w:qFormat/>
    <w:rPr>
      <w:rFonts w:ascii="Times New Roman" w:hAnsi="Times New Roman" w:eastAsia="宋体" w:cs="Times New Roman"/>
      <w:b/>
      <w:bCs/>
      <w:sz w:val="44"/>
      <w:szCs w:val="44"/>
    </w:rPr>
  </w:style>
  <w:style w:type="character" w:styleId="729" w:customStyle="1">
    <w:name w:val="标题 2 Char"/>
    <w:basedOn w:val="681"/>
    <w:link w:val="673"/>
    <w:uiPriority w:val="0"/>
    <w:qFormat/>
    <w:rPr>
      <w:rFonts w:ascii="Calibri Light" w:hAnsi="Calibri Light" w:eastAsia="Arial" w:cs="Arial"/>
      <w:b/>
      <w:bCs/>
      <w:sz w:val="32"/>
      <w:szCs w:val="32"/>
    </w:rPr>
  </w:style>
  <w:style w:type="character" w:styleId="730" w:customStyle="1">
    <w:name w:val="Heading 3 Char_a9b216b8-bf54-458b-b387-147c628c2a81"/>
    <w:basedOn w:val="681"/>
    <w:link w:val="674"/>
    <w:uiPriority w:val="0"/>
    <w:qFormat/>
    <w:rPr>
      <w:rFonts w:ascii="Arial" w:hAnsi="Arial" w:eastAsia="Arial" w:cs="Arial"/>
      <w:sz w:val="30"/>
      <w:szCs w:val="30"/>
    </w:rPr>
  </w:style>
  <w:style w:type="character" w:styleId="731" w:customStyle="1">
    <w:name w:val="Heading 4 Char_b59364e0-d5ed-4dc1-b6d7-cdc88059b588"/>
    <w:basedOn w:val="681"/>
    <w:link w:val="675"/>
    <w:uiPriority w:val="0"/>
    <w:qFormat/>
    <w:rPr>
      <w:rFonts w:ascii="Arial" w:hAnsi="Arial" w:eastAsia="Arial" w:cs="Arial"/>
      <w:b/>
      <w:bCs/>
      <w:sz w:val="26"/>
      <w:szCs w:val="26"/>
    </w:rPr>
  </w:style>
  <w:style w:type="character" w:styleId="732" w:customStyle="1">
    <w:name w:val="Heading 5 Char_65e270c1-d483-457d-8dc0-82819986679d"/>
    <w:basedOn w:val="681"/>
    <w:link w:val="676"/>
    <w:uiPriority w:val="0"/>
    <w:qFormat/>
    <w:rPr>
      <w:rFonts w:ascii="Arial" w:hAnsi="Arial" w:eastAsia="Arial" w:cs="Arial"/>
      <w:b/>
      <w:bCs/>
      <w:sz w:val="24"/>
      <w:szCs w:val="24"/>
    </w:rPr>
  </w:style>
  <w:style w:type="character" w:styleId="733" w:customStyle="1">
    <w:name w:val="Heading 6 Char_e1e3f1cb-737b-4f5c-88d0-5e1d123f61ac"/>
    <w:basedOn w:val="681"/>
    <w:link w:val="677"/>
    <w:uiPriority w:val="0"/>
    <w:qFormat/>
    <w:rPr>
      <w:rFonts w:ascii="Arial" w:hAnsi="Arial" w:eastAsia="Arial" w:cs="Arial"/>
      <w:b/>
      <w:bCs/>
      <w:sz w:val="22"/>
      <w:szCs w:val="22"/>
    </w:rPr>
  </w:style>
  <w:style w:type="character" w:styleId="734" w:customStyle="1">
    <w:name w:val="Heading 7 Char_50de44a3-68c1-4df3-b0b2-d34005039162"/>
    <w:basedOn w:val="681"/>
    <w:link w:val="678"/>
    <w:uiPriority w:val="0"/>
    <w:qFormat/>
    <w:rPr>
      <w:rFonts w:ascii="Arial" w:hAnsi="Arial" w:eastAsia="Arial" w:cs="Arial"/>
      <w:b/>
      <w:bCs/>
      <w:i/>
      <w:iCs/>
      <w:sz w:val="22"/>
      <w:szCs w:val="22"/>
    </w:rPr>
  </w:style>
  <w:style w:type="character" w:styleId="735" w:customStyle="1">
    <w:name w:val="Heading 8 Char_18f28759-a39c-4025-a777-591394453635"/>
    <w:basedOn w:val="681"/>
    <w:link w:val="679"/>
    <w:uiPriority w:val="0"/>
    <w:qFormat/>
    <w:rPr>
      <w:rFonts w:ascii="Arial" w:hAnsi="Arial" w:eastAsia="Arial" w:cs="Arial"/>
      <w:i/>
      <w:iCs/>
      <w:sz w:val="22"/>
      <w:szCs w:val="22"/>
    </w:rPr>
  </w:style>
  <w:style w:type="character" w:styleId="736" w:customStyle="1">
    <w:name w:val="Heading 9 Char_8bd0dcb3-8880-40de-b698-603d2e08a712"/>
    <w:basedOn w:val="681"/>
    <w:link w:val="680"/>
    <w:uiPriority w:val="0"/>
    <w:qFormat/>
    <w:rPr>
      <w:rFonts w:ascii="Arial" w:hAnsi="Arial" w:eastAsia="Arial" w:cs="Arial"/>
      <w:i/>
      <w:iCs/>
      <w:sz w:val="21"/>
      <w:szCs w:val="21"/>
    </w:rPr>
  </w:style>
  <w:style w:type="character" w:styleId="737" w:customStyle="1">
    <w:name w:val="文档结构图 Char"/>
    <w:basedOn w:val="681"/>
    <w:link w:val="685"/>
    <w:uiPriority w:val="0"/>
    <w:qFormat/>
    <w:rPr>
      <w:rFonts w:ascii="宋体" w:hAnsi="Times New Roman" w:eastAsia="宋体" w:cs="Times New Roman"/>
      <w:sz w:val="18"/>
      <w:szCs w:val="18"/>
    </w:rPr>
  </w:style>
  <w:style w:type="character" w:styleId="738" w:customStyle="1">
    <w:name w:val="批注文字 Char"/>
    <w:basedOn w:val="681"/>
    <w:link w:val="686"/>
    <w:uiPriority w:val="0"/>
    <w:qFormat/>
    <w:rPr>
      <w:rFonts w:ascii="Times New Roman" w:hAnsi="Times New Roman" w:eastAsia="宋体" w:cs="Times New Roman"/>
      <w:sz w:val="24"/>
      <w:szCs w:val="24"/>
    </w:rPr>
  </w:style>
  <w:style w:type="character" w:styleId="739" w:customStyle="1">
    <w:name w:val="正文文本 Char1"/>
    <w:basedOn w:val="681"/>
    <w:link w:val="687"/>
    <w:uiPriority w:val="0"/>
    <w:qFormat/>
    <w:rPr>
      <w:rFonts w:ascii="Times New Roman" w:hAnsi="Times New Roman" w:eastAsia="宋体" w:cs="Times New Roman"/>
      <w:sz w:val="24"/>
      <w:szCs w:val="24"/>
    </w:rPr>
  </w:style>
  <w:style w:type="character" w:styleId="740" w:customStyle="1">
    <w:name w:val="纯文本 Char"/>
    <w:basedOn w:val="681"/>
    <w:link w:val="691"/>
    <w:uiPriority w:val="0"/>
    <w:qFormat/>
    <w:rPr>
      <w:rFonts w:ascii="宋体" w:hAnsi="Courier New" w:eastAsia="宋体" w:cs="Times New Roman"/>
      <w:sz w:val="24"/>
      <w:szCs w:val="20"/>
    </w:rPr>
  </w:style>
  <w:style w:type="character" w:styleId="741" w:customStyle="1">
    <w:name w:val="Endnote Text Char"/>
    <w:link w:val="694"/>
    <w:uiPriority w:val="0"/>
    <w:qFormat/>
    <w:rPr>
      <w:rFonts w:ascii="Times New Roman" w:hAnsi="Times New Roman" w:eastAsia="宋体" w:cs="Times New Roman"/>
      <w:sz w:val="20"/>
    </w:rPr>
  </w:style>
  <w:style w:type="character" w:styleId="742" w:customStyle="1">
    <w:name w:val="批注框文本 Char"/>
    <w:basedOn w:val="681"/>
    <w:link w:val="695"/>
    <w:uiPriority w:val="0"/>
    <w:qFormat/>
    <w:rPr>
      <w:rFonts w:ascii="Times New Roman" w:hAnsi="Times New Roman" w:eastAsia="宋体" w:cs="Times New Roman"/>
      <w:sz w:val="18"/>
      <w:szCs w:val="18"/>
    </w:rPr>
  </w:style>
  <w:style w:type="character" w:styleId="743" w:customStyle="1">
    <w:name w:val="页脚 Char"/>
    <w:basedOn w:val="681"/>
    <w:link w:val="696"/>
    <w:uiPriority w:val="0"/>
    <w:qFormat/>
    <w:rPr>
      <w:rFonts w:ascii="Times New Roman" w:hAnsi="Times New Roman" w:eastAsia="宋体" w:cs="Times New Roman"/>
      <w:sz w:val="18"/>
      <w:szCs w:val="18"/>
    </w:rPr>
  </w:style>
  <w:style w:type="character" w:styleId="744" w:customStyle="1">
    <w:name w:val="页眉 Char"/>
    <w:basedOn w:val="681"/>
    <w:link w:val="697"/>
    <w:uiPriority w:val="0"/>
    <w:qFormat/>
    <w:rPr>
      <w:rFonts w:ascii="Times New Roman" w:hAnsi="Times New Roman" w:eastAsia="宋体" w:cs="Times New Roman"/>
      <w:sz w:val="18"/>
      <w:szCs w:val="18"/>
    </w:rPr>
  </w:style>
  <w:style w:type="character" w:styleId="745" w:customStyle="1">
    <w:name w:val="Subtitle Char"/>
    <w:basedOn w:val="681"/>
    <w:link w:val="700"/>
    <w:uiPriority w:val="0"/>
    <w:qFormat/>
    <w:rPr>
      <w:rFonts w:ascii="Times New Roman" w:hAnsi="Times New Roman" w:eastAsia="宋体" w:cs="Times New Roman"/>
      <w:sz w:val="24"/>
      <w:szCs w:val="24"/>
    </w:rPr>
  </w:style>
  <w:style w:type="character" w:styleId="746" w:customStyle="1">
    <w:name w:val="Footnote Text Char"/>
    <w:link w:val="701"/>
    <w:uiPriority w:val="0"/>
    <w:qFormat/>
    <w:rPr>
      <w:rFonts w:ascii="Times New Roman" w:hAnsi="Times New Roman" w:eastAsia="宋体" w:cs="Times New Roman"/>
      <w:sz w:val="18"/>
    </w:rPr>
  </w:style>
  <w:style w:type="character" w:styleId="747" w:customStyle="1">
    <w:name w:val="正文文本缩进 3 Char1"/>
    <w:basedOn w:val="681"/>
    <w:link w:val="703"/>
    <w:uiPriority w:val="0"/>
    <w:qFormat/>
    <w:rPr>
      <w:rFonts w:ascii="Arial" w:hAnsi="Arial" w:eastAsia="仿宋_GB2312" w:cs="Times New Roman"/>
      <w:color w:val="ffff00"/>
      <w:sz w:val="32"/>
      <w:szCs w:val="20"/>
    </w:rPr>
  </w:style>
  <w:style w:type="character" w:styleId="748" w:customStyle="1">
    <w:name w:val="Title Char_6f9859c7-e2e7-4fc0-9c1b-fce9cc378762"/>
    <w:basedOn w:val="681"/>
    <w:link w:val="707"/>
    <w:uiPriority w:val="0"/>
    <w:qFormat/>
    <w:rPr>
      <w:rFonts w:ascii="Times New Roman" w:hAnsi="Times New Roman" w:eastAsia="宋体" w:cs="Times New Roman"/>
      <w:sz w:val="48"/>
      <w:szCs w:val="48"/>
    </w:rPr>
  </w:style>
  <w:style w:type="character" w:styleId="749" w:customStyle="1">
    <w:name w:val="批注主题 Char"/>
    <w:basedOn w:val="738"/>
    <w:link w:val="708"/>
    <w:uiPriority w:val="0"/>
    <w:qFormat/>
    <w:rPr>
      <w:rFonts w:ascii="Times New Roman" w:hAnsi="Times New Roman" w:eastAsia="宋体" w:cs="Times New Roman"/>
      <w:b/>
      <w:bCs/>
      <w:sz w:val="24"/>
      <w:szCs w:val="24"/>
    </w:rPr>
  </w:style>
  <w:style w:type="paragraph" w:styleId="75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51" w:customStyle="1">
    <w:name w:val="WPS Plain"/>
    <w:uiPriority w:val="0"/>
    <w:qFormat/>
    <w:rPr>
      <w:rFonts w:hint="default" w:ascii="Times New Roman" w:hAnsi="Times New Roman" w:eastAsia="宋体" w:cs="Times New Roman"/>
      <w:lang w:val="en-US" w:eastAsia="zh-CN" w:bidi="ar-SA"/>
    </w:rPr>
  </w:style>
  <w:style w:type="paragraph" w:styleId="752">
    <w:name w:val="List Paragraph"/>
    <w:basedOn w:val="671"/>
    <w:uiPriority w:val="0"/>
    <w:qFormat/>
    <w:pPr>
      <w:ind w:firstLine="420"/>
      <w:jc w:val="both"/>
      <w:spacing w:after="0"/>
      <w:widowControl w:val="off"/>
    </w:pPr>
    <w:rPr>
      <w:rFonts w:ascii="Times New Roman" w:hAnsi="Times New Roman" w:eastAsia="Times New Roman" w:cs="Times New Roman"/>
      <w:sz w:val="24"/>
      <w:szCs w:val="24"/>
      <w:lang w:val="en-US" w:eastAsia="zh-CN" w:bidi="ar-SA"/>
    </w:rPr>
  </w:style>
  <w:style w:type="character" w:styleId="753" w:customStyle="1">
    <w:name w:val="Heading 1 Char_2c6a9e7d-8fb6-41f0-ab97-3c4b3a529362"/>
    <w:basedOn w:val="681"/>
    <w:uiPriority w:val="0"/>
    <w:qFormat/>
    <w:rPr>
      <w:rFonts w:ascii="Arial" w:hAnsi="Arial" w:eastAsia="Arial" w:cs="Arial"/>
      <w:sz w:val="40"/>
      <w:szCs w:val="40"/>
    </w:rPr>
  </w:style>
  <w:style w:type="character" w:styleId="754" w:customStyle="1">
    <w:name w:val="Heading 2 Char_b3c263ad-609e-4410-9c59-906d5cae4b57"/>
    <w:basedOn w:val="681"/>
    <w:uiPriority w:val="0"/>
    <w:qFormat/>
    <w:rPr>
      <w:rFonts w:ascii="Arial" w:hAnsi="Arial" w:eastAsia="Arial" w:cs="Arial"/>
      <w:sz w:val="34"/>
    </w:rPr>
  </w:style>
  <w:style w:type="paragraph" w:styleId="755">
    <w:name w:val="No Spacing"/>
    <w:uiPriority w:val="0"/>
    <w:qFormat/>
    <w:pPr>
      <w:spacing w:before="0" w:after="0" w:line="240" w:lineRule="auto"/>
    </w:pPr>
    <w:rPr>
      <w:rFonts w:hint="default" w:ascii="Times New Roman" w:hAnsi="Times New Roman" w:eastAsia="宋体" w:cs="Times New Roman"/>
    </w:rPr>
  </w:style>
  <w:style w:type="character" w:styleId="756" w:customStyle="1">
    <w:name w:val="Quote Char_cc0a6e4d-c12d-445f-8a70-4f5f6c17c00b"/>
    <w:link w:val="757"/>
    <w:uiPriority w:val="0"/>
    <w:qFormat/>
    <w:rPr>
      <w:rFonts w:ascii="Times New Roman" w:hAnsi="Times New Roman" w:eastAsia="宋体" w:cs="Times New Roman"/>
      <w:i/>
    </w:rPr>
  </w:style>
  <w:style w:type="paragraph" w:styleId="757">
    <w:name w:val="Quote"/>
    <w:basedOn w:val="671"/>
    <w:next w:val="671"/>
    <w:link w:val="756"/>
    <w:uiPriority w:val="0"/>
    <w:qFormat/>
    <w:pPr>
      <w:ind w:left="720" w:right="720"/>
    </w:pPr>
    <w:rPr>
      <w:rFonts w:ascii="Times New Roman" w:hAnsi="Times New Roman" w:eastAsia="宋体" w:cs="Times New Roman"/>
      <w:i/>
    </w:rPr>
  </w:style>
  <w:style w:type="character" w:styleId="758" w:customStyle="1">
    <w:name w:val="Intense Quote Char_e574a8f7-d888-4b7d-8c4c-51d5ba965287"/>
    <w:link w:val="759"/>
    <w:uiPriority w:val="0"/>
    <w:qFormat/>
    <w:rPr>
      <w:rFonts w:ascii="Times New Roman" w:hAnsi="Times New Roman" w:eastAsia="宋体" w:cs="Times New Roman"/>
      <w:i/>
    </w:rPr>
  </w:style>
  <w:style w:type="paragraph" w:styleId="759">
    <w:name w:val="Intense Quote"/>
    <w:basedOn w:val="671"/>
    <w:next w:val="671"/>
    <w:link w:val="75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760" w:customStyle="1">
    <w:name w:val="Header Char_0d925369-ca41-4946-bcdb-d109485ae1d5"/>
    <w:basedOn w:val="681"/>
    <w:uiPriority w:val="0"/>
    <w:qFormat/>
    <w:rPr>
      <w:rFonts w:ascii="Times New Roman" w:hAnsi="Times New Roman" w:eastAsia="宋体" w:cs="Times New Roman"/>
    </w:rPr>
  </w:style>
  <w:style w:type="character" w:styleId="761" w:customStyle="1">
    <w:name w:val="Footer Char_6c612275-b2b1-46fc-b9b6-149cfbd3ef6d"/>
    <w:basedOn w:val="681"/>
    <w:uiPriority w:val="0"/>
    <w:qFormat/>
    <w:rPr>
      <w:rFonts w:ascii="Times New Roman" w:hAnsi="Times New Roman" w:eastAsia="宋体" w:cs="Times New Roman"/>
    </w:rPr>
  </w:style>
  <w:style w:type="character" w:styleId="762" w:customStyle="1">
    <w:name w:val="Caption Char"/>
    <w:uiPriority w:val="0"/>
    <w:qFormat/>
    <w:rPr>
      <w:rFonts w:ascii="Times New Roman" w:hAnsi="Times New Roman" w:eastAsia="宋体" w:cs="Times New Roman"/>
    </w:rPr>
  </w:style>
  <w:style w:type="table" w:styleId="763" w:customStyle="1">
    <w:name w:val="Table Grid Light"/>
    <w:basedOn w:val="682"/>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64" w:customStyle="1">
    <w:name w:val="Plain Table 1"/>
    <w:basedOn w:val="682"/>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style>
  <w:style w:type="table" w:styleId="765" w:customStyle="1">
    <w:name w:val="Plain Table 2"/>
    <w:basedOn w:val="682"/>
    <w:uiPriority w:val="0"/>
    <w:qFormat/>
    <w:pPr>
      <w:spacing w:after="0" w:line="240" w:lineRule="auto"/>
    </w:pPr>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766" w:customStyle="1">
    <w:name w:val="Plain Table 3"/>
    <w:basedOn w:val="682"/>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style>
  <w:style w:type="table" w:styleId="767" w:customStyle="1">
    <w:name w:val="Plain Table 4"/>
    <w:basedOn w:val="682"/>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style>
  <w:style w:type="table" w:styleId="768" w:customStyle="1">
    <w:name w:val="Plain Table 5"/>
    <w:basedOn w:val="682"/>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1 Light"/>
    <w:basedOn w:val="682"/>
    <w:uiPriority w:val="0"/>
    <w:qFormat/>
    <w:pPr>
      <w:spacing w:after="0" w:line="240" w:lineRule="auto"/>
    </w:pPr>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Row">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1 Light - Accent 1"/>
    <w:basedOn w:val="682"/>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9FC4E6" w:sz="12"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1 Light - Accent 2"/>
    <w:basedOn w:val="682"/>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386" w:sz="12"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1 Light - Accent 3"/>
    <w:basedOn w:val="682"/>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ACACA" w:sz="12"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1 Light - Accent 4"/>
    <w:basedOn w:val="682"/>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A69" w:sz="12"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1 Light - Accent 5"/>
    <w:basedOn w:val="682"/>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91ACDC" w:sz="12"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1 Light - Accent 6"/>
    <w:basedOn w:val="682"/>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AD190" w:sz="12"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w:basedOn w:val="682"/>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Row">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1"/>
    <w:basedOn w:val="682"/>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Row">
      <w:tcPr>
        <w:shd w:val="clear" w:color="ffffff" w:fill="auto"/>
        <w:tcBorders>
          <w:top w:val="none" w:color="000000" w:sz="4" w:space="0"/>
          <w:left w:val="single" w:color="68A3D8"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2 - Accent 2"/>
    <w:basedOn w:val="682"/>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shd w:val="clear" w:color="ffffff" w:fill="auto"/>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2 - Accent 3"/>
    <w:basedOn w:val="682"/>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shd w:val="clear" w:color="ffffff" w:fill="auto"/>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2 - Accent 4"/>
    <w:basedOn w:val="682"/>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shd w:val="clear" w:color="ffffff" w:fill="auto"/>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2 - Accent 5"/>
    <w:basedOn w:val="682"/>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shd w:val="clear" w:color="ffffff" w:fill="auto"/>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2 - Accent 6"/>
    <w:basedOn w:val="682"/>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shd w:val="clear" w:color="ffffff" w:fill="auto"/>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w:basedOn w:val="682"/>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1"/>
    <w:basedOn w:val="682"/>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3 - Accent 2"/>
    <w:basedOn w:val="682"/>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3 - Accent 3"/>
    <w:basedOn w:val="682"/>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3 - Accent 4"/>
    <w:basedOn w:val="682"/>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3 - Accent 5"/>
    <w:basedOn w:val="682"/>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3 - Accent 6"/>
    <w:basedOn w:val="682"/>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w:basedOn w:val="682"/>
    <w:uiPriority w:val="0"/>
    <w:qFormat/>
    <w:pPr>
      <w:spacing w:after="0" w:line="240" w:lineRule="auto"/>
    </w:pPr>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tcPr>
        <w:shd w:val="clear" w:color="cacaca" w:fill="cacaca"/>
      </w:tcPr>
    </w:tblStylePr>
    <w:tblStylePr w:type="band1Vert">
      <w:tcPr>
        <w:shd w:val="clear" w:color="cacaca" w:fill="cacaca"/>
      </w:tcPr>
    </w:tblStylePr>
    <w:tblStylePr w:type="firstRow">
      <w:tcPr>
        <w:shd w:val="clear" w:color="000000" w:fill="000000"/>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1"/>
    <w:basedOn w:val="682"/>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tcPr>
        <w:shd w:val="clear" w:color="deebf6" w:fill="deebf6"/>
      </w:tcPr>
    </w:tblStylePr>
    <w:tblStylePr w:type="band1Vert">
      <w:tcPr>
        <w:shd w:val="clear" w:color="deebf6" w:fill="deebf6"/>
      </w:tcPr>
    </w:tblStylePr>
    <w:tblStylePr w:type="firstRow">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Row">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4 - Accent 2"/>
    <w:basedOn w:val="682"/>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tcPr>
        <w:shd w:val="clear" w:color="fbe5d6" w:fill="fbe5d6"/>
      </w:tcPr>
    </w:tblStylePr>
    <w:tblStylePr w:type="band1Vert">
      <w:tcPr>
        <w:shd w:val="clear" w:color="fbe5d6" w:fill="fbe5d6"/>
      </w:tcPr>
    </w:tblStylePr>
    <w:tblStylePr w:type="firstRow">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4 - Accent 3"/>
    <w:basedOn w:val="682"/>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tcPr>
        <w:shd w:val="clear" w:color="ececec" w:fill="ececec"/>
      </w:tcPr>
    </w:tblStylePr>
    <w:tblStylePr w:type="band1Vert">
      <w:tcPr>
        <w:shd w:val="clear" w:color="ececec" w:fill="ececec"/>
      </w:tcPr>
    </w:tblStylePr>
    <w:tblStylePr w:type="firstRow">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4 - Accent 4"/>
    <w:basedOn w:val="682"/>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tcPr>
        <w:shd w:val="clear" w:color="fef2ca" w:fill="fef2ca"/>
      </w:tcPr>
    </w:tblStylePr>
    <w:tblStylePr w:type="band1Vert">
      <w:tcPr>
        <w:shd w:val="clear" w:color="fef2ca" w:fill="fef2ca"/>
      </w:tcPr>
    </w:tblStylePr>
    <w:tblStylePr w:type="firstRow">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4 - Accent 5"/>
    <w:basedOn w:val="682"/>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Row">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4 - Accent 6"/>
    <w:basedOn w:val="682"/>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Row">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w:basedOn w:val="682"/>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tcPr>
        <w:shd w:val="clear" w:color="000000" w:fill="000000"/>
      </w:tcPr>
    </w:tblStylePr>
    <w:tblStylePr w:type="firstRow">
      <w:tcPr>
        <w:shd w:val="clear" w:color="000000" w:fill="000000"/>
      </w:tcPr>
    </w:tblStylePr>
    <w:tblStylePr w:type="lastCol">
      <w:tcPr>
        <w:shd w:val="clear" w:color="000000" w:fill="000000"/>
      </w:tcPr>
    </w:tblStylePr>
    <w:tblStylePr w:type="lastRow">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Accent 1"/>
    <w:basedOn w:val="682"/>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tcPr>
        <w:shd w:val="clear" w:color="5b9bd5" w:fill="5b9bd5"/>
      </w:tcPr>
    </w:tblStylePr>
    <w:tblStylePr w:type="firstRow">
      <w:tcPr>
        <w:shd w:val="clear" w:color="5b9bd5" w:fill="5b9bd5"/>
      </w:tcPr>
    </w:tblStylePr>
    <w:tblStylePr w:type="lastCol">
      <w:tcPr>
        <w:shd w:val="clear" w:color="5b9bd5" w:fill="5b9bd5"/>
      </w:tcPr>
    </w:tblStylePr>
    <w:tblStylePr w:type="lastRow">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5 Dark - Accent 2"/>
    <w:basedOn w:val="682"/>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tcPr>
        <w:shd w:val="clear" w:color="ed7d31" w:fill="ed7d31"/>
      </w:tcPr>
    </w:tblStylePr>
    <w:tblStylePr w:type="firstRow">
      <w:tcPr>
        <w:shd w:val="clear" w:color="ed7d31" w:fill="ed7d31"/>
      </w:tcPr>
    </w:tblStylePr>
    <w:tblStylePr w:type="lastCol">
      <w:tcPr>
        <w:shd w:val="clear" w:color="ed7d31" w:fill="ed7d31"/>
      </w:tcPr>
    </w:tblStylePr>
    <w:tblStylePr w:type="lastRow">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5 Dark - Accent 3"/>
    <w:basedOn w:val="682"/>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5 Dark- Accent 4"/>
    <w:basedOn w:val="682"/>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tcPr>
        <w:shd w:val="clear" w:color="ffc000" w:fill="ffc000"/>
      </w:tcPr>
    </w:tblStylePr>
    <w:tblStylePr w:type="firstRow">
      <w:tcPr>
        <w:shd w:val="clear" w:color="ffc000" w:fill="ffc000"/>
      </w:tcPr>
    </w:tblStylePr>
    <w:tblStylePr w:type="lastCol">
      <w:tcPr>
        <w:shd w:val="clear" w:color="ffc000" w:fill="ffc000"/>
      </w:tcPr>
    </w:tblStylePr>
    <w:tblStylePr w:type="lastRow">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5 Dark - Accent 5"/>
    <w:basedOn w:val="682"/>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5 Dark - Accent 6"/>
    <w:basedOn w:val="682"/>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6 Colorful"/>
    <w:basedOn w:val="682"/>
    <w:uiPriority w:val="0"/>
    <w:qFormat/>
    <w:pPr>
      <w:spacing w:after="0" w:line="240" w:lineRule="auto"/>
    </w:pPr>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tcPr>
        <w:shd w:val="clear" w:color="cacaca" w:fill="cacaca"/>
      </w:tcPr>
    </w:tblStylePr>
    <w:tblStylePr w:type="band1Vert">
      <w:tcPr>
        <w:shd w:val="clear" w:color="cacaca" w:fill="cacaca"/>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6 Colorful - Accent 1"/>
    <w:basedOn w:val="682"/>
    <w:uiPriority w:val="0"/>
    <w:qFormat/>
    <w:pPr>
      <w:spacing w:after="0" w:line="240" w:lineRule="auto"/>
    </w:pPr>
    <w:rPr>
      <w:rFonts w:ascii="Times New Roman" w:hAnsi="Times New Roman" w:eastAsia="宋体" w:cs="Times New Roman"/>
    </w:rPr>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Row">
      <w:tcPr>
        <w:tcBorders>
          <w:top w:val="none" w:color="000000" w:sz="4" w:space="0"/>
          <w:left w:val="single" w:color="ACCCE9" w:sz="12"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6 Colorful - Accent 2"/>
    <w:basedOn w:val="682"/>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6 Colorful - Accent 3"/>
    <w:basedOn w:val="682"/>
    <w:uiPriority w:val="0"/>
    <w:qFormat/>
    <w:pPr>
      <w:spacing w:after="0" w:line="240" w:lineRule="auto"/>
    </w:pPr>
    <w:rPr>
      <w:rFonts w:ascii="Times New Roman" w:hAnsi="Times New Roman"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6 Colorful - Accent 4"/>
    <w:basedOn w:val="682"/>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6 Colorful - Accent 5"/>
    <w:basedOn w:val="682"/>
    <w:uiPriority w:val="0"/>
    <w:qFormat/>
    <w:pPr>
      <w:spacing w:after="0" w:line="240" w:lineRule="auto"/>
    </w:pPr>
    <w:rPr>
      <w:rFonts w:ascii="Times New Roman" w:hAnsi="Times New Roman"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6 Colorful - Accent 6"/>
    <w:basedOn w:val="682"/>
    <w:uiPriority w:val="0"/>
    <w:qFormat/>
    <w:pPr>
      <w:spacing w:after="0" w:line="240" w:lineRule="auto"/>
    </w:pPr>
    <w:rPr>
      <w:rFonts w:ascii="Times New Roman" w:hAnsi="Times New Roman"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w:basedOn w:val="682"/>
    <w:uiPriority w:val="0"/>
    <w:qFormat/>
    <w:pPr>
      <w:spacing w:after="0" w:line="240" w:lineRule="auto"/>
    </w:pPr>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1"/>
    <w:basedOn w:val="682"/>
    <w:uiPriority w:val="0"/>
    <w:qFormat/>
    <w:pPr>
      <w:spacing w:after="0" w:line="240" w:lineRule="auto"/>
    </w:pPr>
    <w:rPr>
      <w:rFonts w:ascii="Times New Roman" w:hAnsi="Times New Roman" w:eastAsia="宋体" w:cs="Times New Roman"/>
    </w:rPr>
    <w:tblPr>
      <w:tblBorders>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tcPr>
        <w:shd w:val="clear" w:color="ffffff" w:fill="ffffff"/>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Row">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7 Colorful - Accent 2"/>
    <w:basedOn w:val="682"/>
    <w:uiPriority w:val="0"/>
    <w:qFormat/>
    <w:pPr>
      <w:spacing w:after="0" w:line="240" w:lineRule="auto"/>
    </w:pPr>
    <w:rPr>
      <w:rFonts w:ascii="Times New Roman" w:hAnsi="Times New Roman" w:eastAsia="宋体" w:cs="Times New Roman"/>
    </w:rPr>
    <w:tblPr>
      <w:tblBorders>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7 Colorful - Accent 3"/>
    <w:basedOn w:val="682"/>
    <w:uiPriority w:val="0"/>
    <w:qFormat/>
    <w:pPr>
      <w:spacing w:after="0" w:line="240" w:lineRule="auto"/>
    </w:pPr>
    <w:rPr>
      <w:rFonts w:ascii="Times New Roman" w:hAnsi="Times New Roman"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tcPr>
        <w:shd w:val="clear" w:color="ffffff" w:fill="ffffff"/>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Row">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7 Colorful - Accent 4"/>
    <w:basedOn w:val="682"/>
    <w:uiPriority w:val="0"/>
    <w:qFormat/>
    <w:pPr>
      <w:spacing w:after="0" w:line="240" w:lineRule="auto"/>
    </w:pPr>
    <w:rPr>
      <w:rFonts w:ascii="Times New Roman" w:hAnsi="Times New Roman" w:eastAsia="宋体" w:cs="Times New Roman"/>
    </w:rPr>
    <w:tblPr>
      <w:tblBorders>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7 Colorful - Accent 5"/>
    <w:basedOn w:val="682"/>
    <w:uiPriority w:val="0"/>
    <w:qFormat/>
    <w:pPr>
      <w:spacing w:after="0" w:line="240" w:lineRule="auto"/>
    </w:pPr>
    <w:rPr>
      <w:rFonts w:ascii="Times New Roman" w:hAnsi="Times New Roman"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tcPr>
        <w:shd w:val="clear" w:color="ffffff" w:fill="ffffff"/>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Row">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7 Colorful - Accent 6"/>
    <w:basedOn w:val="682"/>
    <w:uiPriority w:val="0"/>
    <w:qFormat/>
    <w:pPr>
      <w:spacing w:after="0" w:line="240" w:lineRule="auto"/>
    </w:pPr>
    <w:rPr>
      <w:rFonts w:ascii="Times New Roman" w:hAnsi="Times New Roman"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tcPr>
        <w:shd w:val="clear" w:color="ffffff" w:fill="ffffff"/>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Row">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w:basedOn w:val="682"/>
    <w:uiPriority w:val="0"/>
    <w:qFormat/>
    <w:pPr>
      <w:spacing w:after="0" w:line="240" w:lineRule="auto"/>
    </w:pPr>
    <w:rPr>
      <w:rFonts w:ascii="Times New Roman" w:hAnsi="Times New Roman" w:eastAsia="宋体" w:cs="Times New Roman"/>
    </w:rPr>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1"/>
    <w:basedOn w:val="682"/>
    <w:uiPriority w:val="0"/>
    <w:qFormat/>
    <w:pPr>
      <w:spacing w:after="0" w:line="240" w:lineRule="auto"/>
    </w:pPr>
    <w:rPr>
      <w:rFonts w:ascii="Times New Roman" w:hAnsi="Times New Roman" w:eastAsia="宋体" w:cs="Times New Roman"/>
    </w:rPr>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1 Light - Accent 2"/>
    <w:basedOn w:val="682"/>
    <w:uiPriority w:val="0"/>
    <w:qFormat/>
    <w:pPr>
      <w:spacing w:after="0" w:line="240" w:lineRule="auto"/>
    </w:pPr>
    <w:rPr>
      <w:rFonts w:ascii="Times New Roman" w:hAnsi="Times New Roman" w:eastAsia="宋体" w:cs="Times New Roman"/>
    </w:rPr>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ED7D31"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1 Light - Accent 3"/>
    <w:basedOn w:val="682"/>
    <w:uiPriority w:val="0"/>
    <w:qFormat/>
    <w:pPr>
      <w:spacing w:after="0" w:line="240" w:lineRule="auto"/>
    </w:pPr>
    <w:rPr>
      <w:rFonts w:ascii="Times New Roman" w:hAnsi="Times New Roman" w:eastAsia="宋体" w:cs="Times New Roman"/>
    </w:rPr>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1 Light - Accent 4"/>
    <w:basedOn w:val="682"/>
    <w:uiPriority w:val="0"/>
    <w:qFormat/>
    <w:pPr>
      <w:spacing w:after="0" w:line="240" w:lineRule="auto"/>
    </w:pPr>
    <w:rPr>
      <w:rFonts w:ascii="Times New Roman" w:hAnsi="Times New Roman" w:eastAsia="宋体" w:cs="Times New Roman"/>
    </w:rPr>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C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1 Light - Accent 5"/>
    <w:basedOn w:val="682"/>
    <w:uiPriority w:val="0"/>
    <w:qFormat/>
    <w:pPr>
      <w:spacing w:after="0" w:line="240" w:lineRule="auto"/>
    </w:pPr>
    <w:rPr>
      <w:rFonts w:ascii="Times New Roman" w:hAnsi="Times New Roman" w:eastAsia="宋体" w:cs="Times New Roman"/>
    </w:rPr>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4472C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1 Light - Accent 6"/>
    <w:basedOn w:val="682"/>
    <w:uiPriority w:val="0"/>
    <w:qFormat/>
    <w:pPr>
      <w:spacing w:after="0" w:line="240" w:lineRule="auto"/>
    </w:pPr>
    <w:rPr>
      <w:rFonts w:ascii="Times New Roman" w:hAnsi="Times New Roman" w:eastAsia="宋体" w:cs="Times New Roman"/>
    </w:rPr>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70AD4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2"/>
    <w:basedOn w:val="682"/>
    <w:uiPriority w:val="0"/>
    <w:qFormat/>
    <w:pPr>
      <w:spacing w:after="0" w:line="240" w:lineRule="auto"/>
    </w:pPr>
    <w:rPr>
      <w:rFonts w:ascii="Times New Roman" w:hAnsi="Times New Roman" w:eastAsia="宋体" w:cs="Times New Roman"/>
    </w:rPr>
    <w:tblPr>
      <w:tblBorders>
        <w:top w:val="single" w:color="6E6E6E" w:sz="4" w:space="0"/>
        <w:bottom w:val="single" w:color="6E6E6E" w:sz="4" w:space="0"/>
        <w:insideH w:val="single" w:color="6E6E6E" w:sz="4" w:space="0"/>
      </w:tblBorders>
    </w:tblPr>
    <w:tblStylePr w:type="band1Horz">
      <w:tcPr>
        <w:shd w:val="clear" w:color="bebebe" w:fill="bebebe"/>
      </w:tcPr>
    </w:tblStylePr>
    <w:tblStylePr w:type="band1Vert">
      <w:tcPr>
        <w:shd w:val="clear" w:color="bebebe" w:fill="bebebe"/>
      </w:tcPr>
    </w:tblStylePr>
    <w:tblStylePr w:type="fir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2 - Accent 1"/>
    <w:basedOn w:val="682"/>
    <w:uiPriority w:val="0"/>
    <w:qFormat/>
    <w:pPr>
      <w:spacing w:after="0" w:line="240" w:lineRule="auto"/>
    </w:pPr>
    <w:rPr>
      <w:rFonts w:ascii="Times New Roman" w:hAnsi="Times New Roman" w:eastAsia="宋体" w:cs="Times New Roman"/>
    </w:rPr>
    <w:tblPr>
      <w:tblBorders>
        <w:top w:val="single" w:color="A2C6E7" w:sz="4" w:space="0"/>
        <w:bottom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2 - Accent 2"/>
    <w:basedOn w:val="682"/>
    <w:uiPriority w:val="0"/>
    <w:qFormat/>
    <w:pPr>
      <w:spacing w:after="0" w:line="240" w:lineRule="auto"/>
    </w:pPr>
    <w:rPr>
      <w:rFonts w:ascii="Times New Roman" w:hAnsi="Times New Roman" w:eastAsia="宋体" w:cs="Times New Roman"/>
    </w:rPr>
    <w:tblPr>
      <w:tblBorders>
        <w:top w:val="single" w:color="F4B58A" w:sz="4" w:space="0"/>
        <w:bottom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style>
  <w:style w:type="table" w:styleId="828" w:customStyle="1">
    <w:name w:val="List Table 2 - Accent 3"/>
    <w:basedOn w:val="682"/>
    <w:uiPriority w:val="0"/>
    <w:qFormat/>
    <w:pPr>
      <w:spacing w:after="0" w:line="240" w:lineRule="auto"/>
    </w:pPr>
    <w:rPr>
      <w:rFonts w:ascii="Times New Roman" w:hAnsi="Times New Roman" w:eastAsia="宋体" w:cs="Times New Roman"/>
    </w:rPr>
    <w:tblPr>
      <w:tblBorders>
        <w:top w:val="single" w:color="CCCCCC" w:sz="4" w:space="0"/>
        <w:bottom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style>
  <w:style w:type="table" w:styleId="829" w:customStyle="1">
    <w:name w:val="List Table 2 - Accent 4"/>
    <w:basedOn w:val="682"/>
    <w:uiPriority w:val="0"/>
    <w:qFormat/>
    <w:pPr>
      <w:spacing w:after="0" w:line="240" w:lineRule="auto"/>
    </w:pPr>
    <w:rPr>
      <w:rFonts w:ascii="Times New Roman" w:hAnsi="Times New Roman" w:eastAsia="宋体" w:cs="Times New Roman"/>
    </w:rPr>
    <w:tblPr>
      <w:tblBorders>
        <w:top w:val="single" w:color="FFDB6E" w:sz="4" w:space="0"/>
        <w:bottom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style>
  <w:style w:type="table" w:styleId="830" w:customStyle="1">
    <w:name w:val="List Table 2 - Accent 5"/>
    <w:basedOn w:val="682"/>
    <w:uiPriority w:val="0"/>
    <w:qFormat/>
    <w:pPr>
      <w:spacing w:after="0" w:line="240" w:lineRule="auto"/>
    </w:pPr>
    <w:rPr>
      <w:rFonts w:ascii="Times New Roman" w:hAnsi="Times New Roman" w:eastAsia="宋体" w:cs="Times New Roman"/>
    </w:rPr>
    <w:tblPr>
      <w:tblBorders>
        <w:top w:val="single" w:color="95AFDD" w:sz="4" w:space="0"/>
        <w:bottom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style>
  <w:style w:type="table" w:styleId="831" w:customStyle="1">
    <w:name w:val="List Table 2 - Accent 6"/>
    <w:basedOn w:val="682"/>
    <w:uiPriority w:val="0"/>
    <w:qFormat/>
    <w:pPr>
      <w:spacing w:after="0" w:line="240" w:lineRule="auto"/>
    </w:pPr>
    <w:rPr>
      <w:rFonts w:ascii="Times New Roman" w:hAnsi="Times New Roman" w:eastAsia="宋体" w:cs="Times New Roman"/>
    </w:rPr>
    <w:tblPr>
      <w:tblBorders>
        <w:top w:val="single" w:color="ADD394" w:sz="4" w:space="0"/>
        <w:bottom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3"/>
    <w:basedOn w:val="682"/>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000000" w:fill="000000"/>
      </w:tcPr>
    </w:tblStylePr>
  </w:style>
  <w:style w:type="table" w:styleId="833" w:customStyle="1">
    <w:name w:val="List Table 3 - Accent 1"/>
    <w:basedOn w:val="682"/>
    <w:uiPriority w:val="0"/>
    <w:qFormat/>
    <w:pPr>
      <w:spacing w:after="0" w:line="240" w:lineRule="auto"/>
    </w:pPr>
    <w:rPr>
      <w:rFonts w:ascii="Times New Roman" w:hAnsi="Times New Roman"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tcPr>
        <w:tcBorders>
          <w:top w:val="single" w:color="5B9BD5" w:sz="4" w:space="0"/>
          <w:left w:val="single" w:color="5B9BD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5B9BD5" w:sz="4" w:space="0"/>
          <w:right w:val="single" w:color="5B9BD5" w:sz="4" w:space="0"/>
          <w:insideH w:val="none" w:color="000000" w:sz="4" w:space="0"/>
          <w:insideV w:val="none" w:color="000000" w:sz="4" w:space="0"/>
        </w:tcBorders>
      </w:tcPr>
    </w:tblStylePr>
    <w:tblStylePr w:type="firstRow">
      <w:tcPr>
        <w:shd w:val="clear" w:color="5b9bd5" w:fill="5b9bd5"/>
      </w:tcPr>
    </w:tblStylePr>
  </w:style>
  <w:style w:type="table" w:styleId="834" w:customStyle="1">
    <w:name w:val="List Table 3 - Accent 2"/>
    <w:basedOn w:val="682"/>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tblBorders>
    </w:tblPr>
    <w:tblStylePr w:type="band1Horz">
      <w:tcPr>
        <w:tcBorders>
          <w:top w:val="single" w:color="F4B285" w:sz="4" w:space="0"/>
          <w:left w:val="single" w:color="F4B28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4B285" w:sz="4" w:space="0"/>
          <w:right w:val="single" w:color="F4B285" w:sz="4" w:space="0"/>
          <w:insideH w:val="none" w:color="000000" w:sz="4" w:space="0"/>
          <w:insideV w:val="none" w:color="000000" w:sz="4" w:space="0"/>
        </w:tcBorders>
      </w:tcPr>
    </w:tblStylePr>
    <w:tblStylePr w:type="firstRow">
      <w:tcPr>
        <w:shd w:val="clear" w:color="f4b285" w:fill="f4b285"/>
      </w:tcPr>
    </w:tblStylePr>
  </w:style>
  <w:style w:type="table" w:styleId="835" w:customStyle="1">
    <w:name w:val="List Table 3 - Accent 3"/>
    <w:basedOn w:val="682"/>
    <w:uiPriority w:val="0"/>
    <w:qFormat/>
    <w:pPr>
      <w:spacing w:after="0" w:line="240" w:lineRule="auto"/>
    </w:pPr>
    <w:rPr>
      <w:rFonts w:ascii="Times New Roman" w:hAnsi="Times New Roman"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tcPr>
        <w:tcBorders>
          <w:top w:val="single" w:color="C9C9C9" w:sz="4" w:space="0"/>
          <w:left w:val="single" w:color="C9C9C9"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C9C9C9" w:sz="4" w:space="0"/>
          <w:right w:val="single" w:color="C9C9C9" w:sz="4" w:space="0"/>
          <w:insideH w:val="none" w:color="000000" w:sz="4" w:space="0"/>
          <w:insideV w:val="none" w:color="000000" w:sz="4" w:space="0"/>
        </w:tcBorders>
      </w:tcPr>
    </w:tblStylePr>
    <w:tblStylePr w:type="firstRow">
      <w:tcPr>
        <w:shd w:val="clear" w:color="c9c9c9" w:fill="c9c9c9"/>
      </w:tcPr>
    </w:tblStylePr>
  </w:style>
  <w:style w:type="table" w:styleId="836" w:customStyle="1">
    <w:name w:val="List Table 3 - Accent 4"/>
    <w:basedOn w:val="682"/>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tblBorders>
    </w:tblPr>
    <w:tblStylePr w:type="band1Horz">
      <w:tcPr>
        <w:tcBorders>
          <w:top w:val="single" w:color="FFD864" w:sz="4" w:space="0"/>
          <w:left w:val="single" w:color="FFD864"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FD864" w:sz="4" w:space="0"/>
          <w:right w:val="single" w:color="FFD864" w:sz="4" w:space="0"/>
          <w:insideH w:val="none" w:color="000000" w:sz="4" w:space="0"/>
          <w:insideV w:val="none" w:color="000000" w:sz="4" w:space="0"/>
        </w:tcBorders>
      </w:tcPr>
    </w:tblStylePr>
    <w:tblStylePr w:type="firstRow">
      <w:tcPr>
        <w:shd w:val="clear" w:color="ffd864" w:fill="ffd864"/>
      </w:tcPr>
    </w:tblStylePr>
  </w:style>
  <w:style w:type="table" w:styleId="837" w:customStyle="1">
    <w:name w:val="List Table 3 - Accent 5"/>
    <w:basedOn w:val="682"/>
    <w:uiPriority w:val="0"/>
    <w:qFormat/>
    <w:pPr>
      <w:spacing w:after="0" w:line="240" w:lineRule="auto"/>
    </w:pPr>
    <w:rPr>
      <w:rFonts w:ascii="Times New Roman" w:hAnsi="Times New Roman" w:eastAsia="宋体" w:cs="Times New Roman"/>
    </w:rPr>
    <w:tblPr>
      <w:tblBorders>
        <w:top w:val="single" w:color="8EA9DB" w:sz="4" w:space="0"/>
        <w:left w:val="single" w:color="8EA9DB" w:sz="4" w:space="0"/>
        <w:bottom w:val="single" w:color="8EA9DB" w:sz="4" w:space="0"/>
        <w:right w:val="single" w:color="8EA9DB" w:sz="4" w:space="0"/>
      </w:tblBorders>
    </w:tblPr>
    <w:tblStylePr w:type="band1Horz">
      <w:tcPr>
        <w:tcBorders>
          <w:top w:val="single" w:color="8EA9DB" w:sz="4" w:space="0"/>
          <w:left w:val="single" w:color="8EA9DB"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8EA9DB" w:sz="4" w:space="0"/>
          <w:right w:val="single" w:color="8EA9DB" w:sz="4" w:space="0"/>
          <w:insideH w:val="none" w:color="000000" w:sz="4" w:space="0"/>
          <w:insideV w:val="none" w:color="000000" w:sz="4" w:space="0"/>
        </w:tcBorders>
      </w:tcPr>
    </w:tblStylePr>
    <w:tblStylePr w:type="firstRow">
      <w:tcPr>
        <w:shd w:val="clear" w:color="8ea9db" w:fill="8ea9db"/>
      </w:tcPr>
    </w:tblStylePr>
  </w:style>
  <w:style w:type="table" w:styleId="838" w:customStyle="1">
    <w:name w:val="List Table 3 - Accent 6"/>
    <w:basedOn w:val="682"/>
    <w:uiPriority w:val="0"/>
    <w:qFormat/>
    <w:pPr>
      <w:spacing w:after="0" w:line="240" w:lineRule="auto"/>
    </w:pPr>
    <w:rPr>
      <w:rFonts w:ascii="Times New Roman" w:hAnsi="Times New Roman"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tcPr>
        <w:tcBorders>
          <w:top w:val="single" w:color="A9D08E" w:sz="4" w:space="0"/>
          <w:left w:val="single" w:color="A9D08E"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9D08E" w:sz="4" w:space="0"/>
          <w:right w:val="single" w:color="A9D08E" w:sz="4" w:space="0"/>
          <w:insideH w:val="none" w:color="000000" w:sz="4" w:space="0"/>
          <w:insideV w:val="none" w:color="000000" w:sz="4" w:space="0"/>
        </w:tcBorders>
      </w:tcPr>
    </w:tblStylePr>
    <w:tblStylePr w:type="firstRow">
      <w:tcPr>
        <w:shd w:val="clear" w:color="a9d08e" w:fill="a9d08e"/>
      </w:tcPr>
    </w:tblStylePr>
  </w:style>
  <w:style w:type="table" w:styleId="839" w:customStyle="1">
    <w:name w:val="List Table 4"/>
    <w:basedOn w:val="682"/>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bebebe" w:fill="bebebe"/>
      </w:tcPr>
    </w:tblStylePr>
    <w:tblStylePr w:type="band1Vert">
      <w:tcPr>
        <w:shd w:val="clear" w:color="bebebe" w:fill="bebebe"/>
      </w:tcPr>
    </w:tblStylePr>
    <w:tblStylePr w:type="firstRow">
      <w:tcPr>
        <w:shd w:val="clear" w:color="000000" w:fill="000000"/>
      </w:tcPr>
    </w:tblStylePr>
  </w:style>
  <w:style w:type="table" w:styleId="840" w:customStyle="1">
    <w:name w:val="List Table 4 - Accent 1"/>
    <w:basedOn w:val="682"/>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shd w:val="clear" w:color="5b9bd5" w:fill="5b9bd5"/>
      </w:tcPr>
    </w:tblStylePr>
  </w:style>
  <w:style w:type="table" w:styleId="841" w:customStyle="1">
    <w:name w:val="List Table 4 - Accent 2"/>
    <w:basedOn w:val="682"/>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shd w:val="clear" w:color="ed7d31" w:fill="ed7d31"/>
      </w:tcPr>
    </w:tblStylePr>
  </w:style>
  <w:style w:type="table" w:styleId="842" w:customStyle="1">
    <w:name w:val="List Table 4 - Accent 3"/>
    <w:basedOn w:val="682"/>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shd w:val="clear" w:color="a5a5a5" w:fill="a5a5a5"/>
      </w:tcPr>
    </w:tblStylePr>
  </w:style>
  <w:style w:type="table" w:styleId="843" w:customStyle="1">
    <w:name w:val="List Table 4 - Accent 4"/>
    <w:basedOn w:val="682"/>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shd w:val="clear" w:color="ffc000" w:fill="ffc000"/>
      </w:tcPr>
    </w:tblStylePr>
  </w:style>
  <w:style w:type="table" w:styleId="844" w:customStyle="1">
    <w:name w:val="List Table 4 - Accent 5"/>
    <w:basedOn w:val="682"/>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shd w:val="clear" w:color="4472c4" w:fill="4472c4"/>
      </w:tcPr>
    </w:tblStylePr>
  </w:style>
  <w:style w:type="table" w:styleId="845" w:customStyle="1">
    <w:name w:val="List Table 4 - Accent 6"/>
    <w:basedOn w:val="682"/>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shd w:val="clear" w:color="70ad47" w:fill="70ad47"/>
      </w:tcPr>
    </w:tblStylePr>
  </w:style>
  <w:style w:type="table" w:styleId="846" w:customStyle="1">
    <w:name w:val="List Table 5 Dark"/>
    <w:basedOn w:val="682"/>
    <w:uiPriority w:val="0"/>
    <w:qFormat/>
    <w:pPr>
      <w:spacing w:after="0" w:line="240" w:lineRule="auto"/>
    </w:pPr>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style>
  <w:style w:type="table" w:styleId="847" w:customStyle="1">
    <w:name w:val="List Table 5 Dark - Accent 1"/>
    <w:basedOn w:val="682"/>
    <w:uiPriority w:val="0"/>
    <w:qFormat/>
    <w:pPr>
      <w:spacing w:after="0" w:line="240" w:lineRule="auto"/>
    </w:pPr>
    <w:rPr>
      <w:rFonts w:ascii="Times New Roman" w:hAnsi="Times New Roman" w:eastAsia="宋体" w:cs="Times New Roman"/>
    </w:r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5B9BD5" w:sz="32" w:space="0"/>
          <w:right w:val="single" w:color="FFFFFF" w:sz="4" w:space="0"/>
          <w:insideH w:val="none" w:color="000000" w:sz="4" w:space="0"/>
          <w:insideV w:val="none" w:color="000000" w:sz="4" w:space="0"/>
        </w:tcBorders>
      </w:tcPr>
    </w:tblStylePr>
    <w:tblStylePr w:type="firstRow">
      <w:tcPr>
        <w:shd w:val="clear" w:color="5b9bd5" w:fill="5b9bd5"/>
        <w:tcBorders>
          <w:top w:val="single" w:color="5B9BD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5B9BD5" w:sz="32" w:space="0"/>
          <w:insideH w:val="none" w:color="000000" w:sz="4" w:space="0"/>
          <w:insideV w:val="none" w:color="000000" w:sz="4" w:space="0"/>
        </w:tcBorders>
      </w:tcPr>
    </w:tblStylePr>
  </w:style>
  <w:style w:type="table" w:styleId="848" w:customStyle="1">
    <w:name w:val="List Table 5 Dark - Accent 2"/>
    <w:basedOn w:val="682"/>
    <w:uiPriority w:val="0"/>
    <w:qFormat/>
    <w:pPr>
      <w:spacing w:after="0" w:line="240" w:lineRule="auto"/>
    </w:pPr>
    <w:rPr>
      <w:rFonts w:ascii="Times New Roman" w:hAnsi="Times New Roman" w:eastAsia="宋体" w:cs="Times New Roman"/>
    </w:rPr>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4B285" w:sz="32" w:space="0"/>
          <w:right w:val="single" w:color="FFFFFF" w:sz="4" w:space="0"/>
          <w:insideH w:val="none" w:color="000000" w:sz="4" w:space="0"/>
          <w:insideV w:val="none" w:color="000000" w:sz="4" w:space="0"/>
        </w:tcBorders>
      </w:tcPr>
    </w:tblStylePr>
    <w:tblStylePr w:type="firstRow">
      <w:tcPr>
        <w:shd w:val="clear" w:color="f4b285" w:fill="f4b285"/>
        <w:tcBorders>
          <w:top w:val="single" w:color="F4B28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4B285" w:sz="32" w:space="0"/>
          <w:insideH w:val="none" w:color="000000" w:sz="4" w:space="0"/>
          <w:insideV w:val="none" w:color="000000" w:sz="4" w:space="0"/>
        </w:tcBorders>
      </w:tcPr>
    </w:tblStylePr>
  </w:style>
  <w:style w:type="table" w:styleId="849" w:customStyle="1">
    <w:name w:val="List Table 5 Dark - Accent 3"/>
    <w:basedOn w:val="682"/>
    <w:uiPriority w:val="0"/>
    <w:qFormat/>
    <w:pPr>
      <w:spacing w:after="0" w:line="240" w:lineRule="auto"/>
    </w:pPr>
    <w:rPr>
      <w:rFonts w:ascii="Times New Roman" w:hAnsi="Times New Roman" w:eastAsia="宋体" w:cs="Times New Roman"/>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C9C9C9" w:sz="32" w:space="0"/>
          <w:right w:val="single" w:color="FFFFFF" w:sz="4" w:space="0"/>
          <w:insideH w:val="none" w:color="000000" w:sz="4" w:space="0"/>
          <w:insideV w:val="none" w:color="000000" w:sz="4" w:space="0"/>
        </w:tcBorders>
      </w:tcPr>
    </w:tblStylePr>
    <w:tblStylePr w:type="firstRow">
      <w:tcPr>
        <w:shd w:val="clear" w:color="c9c9c9" w:fill="c9c9c9"/>
        <w:tcBorders>
          <w:top w:val="single" w:color="C9C9C9"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9C9C9" w:sz="32" w:space="0"/>
          <w:insideH w:val="none" w:color="000000" w:sz="4" w:space="0"/>
          <w:insideV w:val="none" w:color="000000" w:sz="4" w:space="0"/>
        </w:tcBorders>
      </w:tcPr>
    </w:tblStylePr>
  </w:style>
  <w:style w:type="table" w:styleId="850" w:customStyle="1">
    <w:name w:val="List Table 5 Dark - Accent 4"/>
    <w:basedOn w:val="682"/>
    <w:uiPriority w:val="0"/>
    <w:qFormat/>
    <w:pPr>
      <w:spacing w:after="0" w:line="240" w:lineRule="auto"/>
    </w:pPr>
    <w:rPr>
      <w:rFonts w:ascii="Times New Roman" w:hAnsi="Times New Roman" w:eastAsia="宋体" w:cs="Times New Roman"/>
    </w:rPr>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FD864" w:sz="32" w:space="0"/>
          <w:right w:val="single" w:color="FFFFFF" w:sz="4" w:space="0"/>
          <w:insideH w:val="none" w:color="000000" w:sz="4" w:space="0"/>
          <w:insideV w:val="none" w:color="000000" w:sz="4" w:space="0"/>
        </w:tcBorders>
      </w:tcPr>
    </w:tblStylePr>
    <w:tblStylePr w:type="firstRow">
      <w:tcPr>
        <w:shd w:val="clear" w:color="ffd864" w:fill="ffd864"/>
        <w:tcBorders>
          <w:top w:val="single" w:color="FFD864"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FD864" w:sz="32" w:space="0"/>
          <w:insideH w:val="none" w:color="000000" w:sz="4" w:space="0"/>
          <w:insideV w:val="none" w:color="000000" w:sz="4" w:space="0"/>
        </w:tcBorders>
      </w:tcPr>
    </w:tblStylePr>
  </w:style>
  <w:style w:type="table" w:styleId="851" w:customStyle="1">
    <w:name w:val="List Table 5 Dark - Accent 5"/>
    <w:basedOn w:val="682"/>
    <w:uiPriority w:val="0"/>
    <w:qFormat/>
    <w:pPr>
      <w:spacing w:after="0" w:line="240" w:lineRule="auto"/>
    </w:pPr>
    <w:rPr>
      <w:rFonts w:ascii="Times New Roman" w:hAnsi="Times New Roman" w:eastAsia="宋体" w:cs="Times New Roman"/>
    </w:rPr>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8EA9DB" w:sz="32" w:space="0"/>
          <w:right w:val="single" w:color="FFFFFF" w:sz="4" w:space="0"/>
          <w:insideH w:val="none" w:color="000000" w:sz="4" w:space="0"/>
          <w:insideV w:val="none" w:color="000000" w:sz="4" w:space="0"/>
        </w:tcBorders>
      </w:tcPr>
    </w:tblStylePr>
    <w:tblStylePr w:type="firstRow">
      <w:tcPr>
        <w:shd w:val="clear" w:color="8ea9db" w:fill="8ea9db"/>
        <w:tcBorders>
          <w:top w:val="single" w:color="8EA9DB"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8EA9DB" w:sz="32" w:space="0"/>
          <w:insideH w:val="none" w:color="000000" w:sz="4" w:space="0"/>
          <w:insideV w:val="none" w:color="000000" w:sz="4" w:space="0"/>
        </w:tcBorders>
      </w:tcPr>
    </w:tblStylePr>
  </w:style>
  <w:style w:type="table" w:styleId="852" w:customStyle="1">
    <w:name w:val="List Table 5 Dark - Accent 6"/>
    <w:basedOn w:val="682"/>
    <w:uiPriority w:val="0"/>
    <w:qFormat/>
    <w:pPr>
      <w:spacing w:after="0" w:line="240" w:lineRule="auto"/>
    </w:pPr>
    <w:rPr>
      <w:rFonts w:ascii="Times New Roman" w:hAnsi="Times New Roman" w:eastAsia="宋体" w:cs="Times New Roman"/>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9D08E" w:sz="32" w:space="0"/>
          <w:right w:val="single" w:color="FFFFFF" w:sz="4" w:space="0"/>
          <w:insideH w:val="none" w:color="000000" w:sz="4" w:space="0"/>
          <w:insideV w:val="none" w:color="000000" w:sz="4" w:space="0"/>
        </w:tcBorders>
      </w:tcPr>
    </w:tblStylePr>
    <w:tblStylePr w:type="firstRow">
      <w:tcPr>
        <w:shd w:val="clear" w:color="a9d08e" w:fill="a9d08e"/>
        <w:tcBorders>
          <w:top w:val="single" w:color="A9D08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A9D08E" w:sz="32" w:space="0"/>
          <w:insideH w:val="none" w:color="000000" w:sz="4" w:space="0"/>
          <w:insideV w:val="none" w:color="000000" w:sz="4" w:space="0"/>
        </w:tcBorders>
      </w:tcPr>
    </w:tblStylePr>
  </w:style>
  <w:style w:type="table" w:styleId="853" w:customStyle="1">
    <w:name w:val="List Table 6 Colorful"/>
    <w:basedOn w:val="682"/>
    <w:uiPriority w:val="0"/>
    <w:qFormat/>
    <w:pPr>
      <w:spacing w:after="0" w:line="240" w:lineRule="auto"/>
    </w:pPr>
    <w:rPr>
      <w:rFonts w:ascii="Times New Roman" w:hAnsi="Times New Roman" w:eastAsia="宋体" w:cs="Times New Roman"/>
    </w:rPr>
    <w:tblPr>
      <w:tblBorders>
        <w:top w:val="single" w:color="7E7E7E" w:sz="4" w:space="0"/>
        <w:bottom w:val="single" w:color="7E7E7E" w:sz="4" w:space="0"/>
      </w:tblBorders>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1"/>
    <w:basedOn w:val="682"/>
    <w:uiPriority w:val="0"/>
    <w:qFormat/>
    <w:pPr>
      <w:spacing w:after="0" w:line="240" w:lineRule="auto"/>
    </w:pPr>
    <w:rPr>
      <w:rFonts w:ascii="Times New Roman" w:hAnsi="Times New Roman" w:eastAsia="宋体" w:cs="Times New Roman"/>
    </w:rPr>
    <w:tblPr>
      <w:tblBorders>
        <w:top w:val="single" w:color="5B9BD5" w:sz="4" w:space="0"/>
        <w:bottom w:val="single" w:color="5B9BD5" w:sz="4" w:space="0"/>
      </w:tblBorders>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6 Colorful - Accent 2"/>
    <w:basedOn w:val="682"/>
    <w:uiPriority w:val="0"/>
    <w:qFormat/>
    <w:pPr>
      <w:spacing w:after="0" w:line="240" w:lineRule="auto"/>
    </w:pPr>
    <w:rPr>
      <w:rFonts w:ascii="Times New Roman" w:hAnsi="Times New Roman" w:eastAsia="宋体" w:cs="Times New Roman"/>
    </w:rPr>
    <w:tblPr>
      <w:tblBorders>
        <w:top w:val="single" w:color="F4B285" w:sz="4" w:space="0"/>
        <w:bottom w:val="single" w:color="F4B285" w:sz="4" w:space="0"/>
      </w:tblBorders>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6 Colorful - Accent 3"/>
    <w:basedOn w:val="682"/>
    <w:uiPriority w:val="0"/>
    <w:qFormat/>
    <w:pPr>
      <w:spacing w:after="0" w:line="240" w:lineRule="auto"/>
    </w:pPr>
    <w:rPr>
      <w:rFonts w:ascii="Times New Roman" w:hAnsi="Times New Roman" w:eastAsia="宋体" w:cs="Times New Roman"/>
    </w:rPr>
    <w:tblPr>
      <w:tblBorders>
        <w:top w:val="single" w:color="C9C9C9" w:sz="4" w:space="0"/>
        <w:bottom w:val="single" w:color="C9C9C9" w:sz="4" w:space="0"/>
      </w:tblBorders>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6 Colorful - Accent 4"/>
    <w:basedOn w:val="682"/>
    <w:uiPriority w:val="0"/>
    <w:qFormat/>
    <w:pPr>
      <w:spacing w:after="0" w:line="240" w:lineRule="auto"/>
    </w:pPr>
    <w:rPr>
      <w:rFonts w:ascii="Times New Roman" w:hAnsi="Times New Roman" w:eastAsia="宋体" w:cs="Times New Roman"/>
    </w:rPr>
    <w:tblPr>
      <w:tblBorders>
        <w:top w:val="single" w:color="FFD864" w:sz="4" w:space="0"/>
        <w:bottom w:val="single" w:color="FFD864" w:sz="4" w:space="0"/>
      </w:tblBorders>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6 Colorful - Accent 5"/>
    <w:basedOn w:val="682"/>
    <w:uiPriority w:val="0"/>
    <w:qFormat/>
    <w:pPr>
      <w:spacing w:after="0" w:line="240" w:lineRule="auto"/>
    </w:pPr>
    <w:rPr>
      <w:rFonts w:ascii="Times New Roman" w:hAnsi="Times New Roman" w:eastAsia="宋体" w:cs="Times New Roman"/>
    </w:rPr>
    <w:tblPr>
      <w:tblBorders>
        <w:top w:val="single" w:color="8EA9DB" w:sz="4" w:space="0"/>
        <w:bottom w:val="single" w:color="8EA9DB" w:sz="4" w:space="0"/>
      </w:tblBorders>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6 Colorful - Accent 6"/>
    <w:basedOn w:val="682"/>
    <w:uiPriority w:val="0"/>
    <w:qFormat/>
    <w:pPr>
      <w:spacing w:after="0" w:line="240" w:lineRule="auto"/>
    </w:pPr>
    <w:rPr>
      <w:rFonts w:ascii="Times New Roman" w:hAnsi="Times New Roman" w:eastAsia="宋体" w:cs="Times New Roman"/>
    </w:rPr>
    <w:tblPr>
      <w:tblBorders>
        <w:top w:val="single" w:color="A9D08E" w:sz="4" w:space="0"/>
        <w:bottom w:val="single" w:color="A9D08E" w:sz="4" w:space="0"/>
      </w:tblBorders>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w:basedOn w:val="682"/>
    <w:uiPriority w:val="0"/>
    <w:qFormat/>
    <w:pPr>
      <w:spacing w:after="0" w:line="240" w:lineRule="auto"/>
    </w:pPr>
    <w:rPr>
      <w:rFonts w:ascii="Times New Roman" w:hAnsi="Times New Roman" w:eastAsia="宋体" w:cs="Times New Roman"/>
    </w:rPr>
    <w:tblPr>
      <w:tblBorders>
        <w:right w:val="single" w:color="7E7E7E" w:sz="4" w:space="0"/>
      </w:tblBorders>
    </w:tblPr>
    <w:tblStylePr w:type="band1Horz">
      <w:tcPr>
        <w:shd w:val="clear" w:color="bebebe" w:fill="bebebe"/>
      </w:tcPr>
    </w:tblStylePr>
    <w:tblStylePr w:type="band1Vert">
      <w:tcPr>
        <w:shd w:val="clear" w:color="bebebe" w:fill="bebebe"/>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1"/>
    <w:basedOn w:val="682"/>
    <w:uiPriority w:val="0"/>
    <w:qFormat/>
    <w:pPr>
      <w:spacing w:after="0" w:line="240" w:lineRule="auto"/>
    </w:pPr>
    <w:rPr>
      <w:rFonts w:ascii="Times New Roman" w:hAnsi="Times New Roman" w:eastAsia="宋体" w:cs="Times New Roman"/>
    </w:rPr>
    <w:tblPr>
      <w:tblBorders>
        <w:right w:val="single" w:color="5B9BD5" w:sz="4" w:space="0"/>
      </w:tblBorders>
    </w:tblPr>
    <w:tblStylePr w:type="band1Horz">
      <w:tcPr>
        <w:shd w:val="clear" w:color="d5e5f4" w:fill="d5e5f4"/>
      </w:tcPr>
    </w:tblStylePr>
    <w:tblStylePr w:type="band1Vert">
      <w:tcPr>
        <w:shd w:val="clear" w:color="d5e5f4" w:fill="d5e5f4"/>
      </w:tcPr>
    </w:tblStylePr>
    <w:tblStylePr w:type="firstCol">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tcPr>
        <w:shd w:val="clear" w:color="ffffff" w:fill="ffffff"/>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Row">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7 Colorful - Accent 2"/>
    <w:basedOn w:val="682"/>
    <w:uiPriority w:val="0"/>
    <w:qFormat/>
    <w:pPr>
      <w:spacing w:after="0" w:line="240" w:lineRule="auto"/>
    </w:pPr>
    <w:rPr>
      <w:rFonts w:ascii="Times New Roman" w:hAnsi="Times New Roman" w:eastAsia="宋体" w:cs="Times New Roman"/>
    </w:rPr>
    <w:tblPr>
      <w:tblBorders>
        <w:right w:val="single" w:color="F4B285" w:sz="4" w:space="0"/>
      </w:tblBorders>
    </w:tblPr>
    <w:tblStylePr w:type="band1Horz">
      <w:tcPr>
        <w:shd w:val="clear" w:color="fadecb" w:fill="fadecb"/>
      </w:tcPr>
    </w:tblStylePr>
    <w:tblStylePr w:type="band1Vert">
      <w:tcPr>
        <w:shd w:val="clear" w:color="fadecb" w:fill="fadecb"/>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7 Colorful - Accent 3"/>
    <w:basedOn w:val="682"/>
    <w:uiPriority w:val="0"/>
    <w:qFormat/>
    <w:pPr>
      <w:spacing w:after="0" w:line="240" w:lineRule="auto"/>
    </w:pPr>
    <w:rPr>
      <w:rFonts w:ascii="Times New Roman" w:hAnsi="Times New Roman" w:eastAsia="宋体" w:cs="Times New Roman"/>
    </w:rPr>
    <w:tblPr>
      <w:tblBorders>
        <w:right w:val="single" w:color="C9C9C9" w:sz="4" w:space="0"/>
      </w:tblBorders>
    </w:tblPr>
    <w:tblStylePr w:type="band1Horz">
      <w:tcPr>
        <w:shd w:val="clear" w:color="e8e8e8" w:fill="e8e8e8"/>
      </w:tcPr>
    </w:tblStylePr>
    <w:tblStylePr w:type="band1Vert">
      <w:tcPr>
        <w:shd w:val="clear" w:color="e8e8e8" w:fill="e8e8e8"/>
      </w:tcPr>
    </w:tblStylePr>
    <w:tblStylePr w:type="firstCol">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tcPr>
        <w:shd w:val="clear" w:color="ffffff" w:fill="ffffff"/>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Row">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7 Colorful - Accent 4"/>
    <w:basedOn w:val="682"/>
    <w:uiPriority w:val="0"/>
    <w:qFormat/>
    <w:pPr>
      <w:spacing w:after="0" w:line="240" w:lineRule="auto"/>
    </w:pPr>
    <w:rPr>
      <w:rFonts w:ascii="Times New Roman" w:hAnsi="Times New Roman" w:eastAsia="宋体" w:cs="Times New Roman"/>
    </w:rPr>
    <w:tblPr>
      <w:tblBorders>
        <w:right w:val="single" w:color="FFD864" w:sz="4" w:space="0"/>
      </w:tblBorders>
    </w:tblPr>
    <w:tblStylePr w:type="band1Horz">
      <w:tcPr>
        <w:shd w:val="clear" w:color="ffefbe" w:fill="ffefbe"/>
      </w:tcPr>
    </w:tblStylePr>
    <w:tblStylePr w:type="band1Vert">
      <w:tcPr>
        <w:shd w:val="clear" w:color="ffefbe" w:fill="ffefbe"/>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7 Colorful - Accent 5"/>
    <w:basedOn w:val="682"/>
    <w:uiPriority w:val="0"/>
    <w:qFormat/>
    <w:pPr>
      <w:spacing w:after="0" w:line="240" w:lineRule="auto"/>
    </w:pPr>
    <w:rPr>
      <w:rFonts w:ascii="Times New Roman" w:hAnsi="Times New Roman" w:eastAsia="宋体" w:cs="Times New Roman"/>
    </w:rPr>
    <w:tblPr>
      <w:tblBorders>
        <w:right w:val="single" w:color="8EA9DB" w:sz="4" w:space="0"/>
      </w:tblBorders>
    </w:tblPr>
    <w:tblStylePr w:type="band1Horz">
      <w:tcPr>
        <w:shd w:val="clear" w:color="d0dbf0" w:fill="d0dbf0"/>
      </w:tcPr>
    </w:tblStylePr>
    <w:tblStylePr w:type="band1Vert">
      <w:tcPr>
        <w:shd w:val="clear" w:color="d0dbf0" w:fill="d0dbf0"/>
      </w:tcPr>
    </w:tblStylePr>
    <w:tblStylePr w:type="firstCol">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tcPr>
        <w:shd w:val="clear" w:color="ffffff" w:fill="ffffff"/>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Row">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7 Colorful - Accent 6"/>
    <w:basedOn w:val="682"/>
    <w:uiPriority w:val="0"/>
    <w:qFormat/>
    <w:pPr>
      <w:spacing w:after="0" w:line="240" w:lineRule="auto"/>
    </w:pPr>
    <w:rPr>
      <w:rFonts w:ascii="Times New Roman" w:hAnsi="Times New Roman" w:eastAsia="宋体" w:cs="Times New Roman"/>
    </w:rPr>
    <w:tblPr>
      <w:tblBorders>
        <w:right w:val="single" w:color="A9D08E" w:sz="4" w:space="0"/>
      </w:tblBorders>
    </w:tblPr>
    <w:tblStylePr w:type="band1Horz">
      <w:tcPr>
        <w:shd w:val="clear" w:color="daebcf" w:fill="daebcf"/>
      </w:tcPr>
    </w:tblStylePr>
    <w:tblStylePr w:type="band1Vert">
      <w:tcPr>
        <w:shd w:val="clear" w:color="daebcf" w:fill="daebcf"/>
      </w:tcPr>
    </w:tblStylePr>
    <w:tblStylePr w:type="firstCol">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tcPr>
        <w:shd w:val="clear" w:color="ffffff" w:fill="ffffff"/>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Row">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ned - Accent"/>
    <w:basedOn w:val="682"/>
    <w:uiPriority w:val="0"/>
    <w:qFormat/>
    <w:pPr>
      <w:spacing w:after="0" w:line="240" w:lineRule="auto"/>
    </w:pPr>
    <w:rPr>
      <w:rFonts w:ascii="Times New Roman" w:hAnsi="Times New Roman" w:eastAsia="宋体" w:cs="Times New Roman"/>
      <w:color w:val="404040"/>
    </w:rPr>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68" w:customStyle="1">
    <w:name w:val="Lined - Accent 1"/>
    <w:basedOn w:val="682"/>
    <w:uiPriority w:val="0"/>
    <w:qFormat/>
    <w:pPr>
      <w:spacing w:after="0" w:line="240" w:lineRule="auto"/>
    </w:pPr>
    <w:rPr>
      <w:rFonts w:ascii="Times New Roman" w:hAnsi="Times New Roman" w:eastAsia="宋体" w:cs="Times New Roman"/>
      <w:color w:val="404040"/>
    </w:rPr>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69" w:customStyle="1">
    <w:name w:val="Lined - Accent 2"/>
    <w:basedOn w:val="682"/>
    <w:uiPriority w:val="0"/>
    <w:qFormat/>
    <w:pPr>
      <w:spacing w:after="0" w:line="240" w:lineRule="auto"/>
    </w:pPr>
    <w:rPr>
      <w:rFonts w:ascii="Times New Roman" w:hAnsi="Times New Roman" w:eastAsia="宋体" w:cs="Times New Roman"/>
      <w:color w:val="404040"/>
    </w:rPr>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70" w:customStyle="1">
    <w:name w:val="Lined - Accent 3"/>
    <w:basedOn w:val="682"/>
    <w:uiPriority w:val="0"/>
    <w:qFormat/>
    <w:pPr>
      <w:spacing w:after="0" w:line="240" w:lineRule="auto"/>
    </w:pPr>
    <w:rPr>
      <w:rFonts w:ascii="Times New Roman" w:hAnsi="Times New Roman" w:eastAsia="宋体" w:cs="Times New Roman"/>
      <w:color w:val="404040"/>
    </w:rPr>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71" w:customStyle="1">
    <w:name w:val="Lined - Accent 4"/>
    <w:basedOn w:val="682"/>
    <w:uiPriority w:val="0"/>
    <w:qFormat/>
    <w:pPr>
      <w:spacing w:after="0" w:line="240" w:lineRule="auto"/>
    </w:pPr>
    <w:rPr>
      <w:rFonts w:ascii="Times New Roman" w:hAnsi="Times New Roman" w:eastAsia="宋体" w:cs="Times New Roman"/>
      <w:color w:val="404040"/>
    </w:rPr>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72" w:customStyle="1">
    <w:name w:val="Lined - Accent 5"/>
    <w:basedOn w:val="682"/>
    <w:uiPriority w:val="0"/>
    <w:qFormat/>
    <w:pPr>
      <w:spacing w:after="0" w:line="240" w:lineRule="auto"/>
    </w:pPr>
    <w:rPr>
      <w:rFonts w:ascii="Times New Roman" w:hAnsi="Times New Roman" w:eastAsia="宋体" w:cs="Times New Roman"/>
      <w:color w:val="404040"/>
    </w:rPr>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73" w:customStyle="1">
    <w:name w:val="Lined - Accent 6"/>
    <w:basedOn w:val="682"/>
    <w:uiPriority w:val="0"/>
    <w:qFormat/>
    <w:pPr>
      <w:spacing w:after="0" w:line="240" w:lineRule="auto"/>
    </w:pPr>
    <w:rPr>
      <w:rFonts w:ascii="Times New Roman" w:hAnsi="Times New Roman" w:eastAsia="宋体" w:cs="Times New Roman"/>
      <w:color w:val="404040"/>
    </w:rPr>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74" w:customStyle="1">
    <w:name w:val="Bordered &amp; Lined - Accent"/>
    <w:basedOn w:val="682"/>
    <w:uiPriority w:val="0"/>
    <w:qFormat/>
    <w:pPr>
      <w:spacing w:after="0" w:line="240" w:lineRule="auto"/>
    </w:pPr>
    <w:rPr>
      <w:rFonts w:ascii="Times New Roman" w:hAnsi="Times New Roman" w:eastAsia="宋体" w:cs="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75" w:customStyle="1">
    <w:name w:val="Bordered &amp; Lined - Accent 1"/>
    <w:basedOn w:val="682"/>
    <w:uiPriority w:val="0"/>
    <w:qFormat/>
    <w:pPr>
      <w:spacing w:after="0" w:line="240" w:lineRule="auto"/>
    </w:pPr>
    <w:rPr>
      <w:rFonts w:ascii="Times New Roman" w:hAnsi="Times New Roman" w:eastAsia="宋体" w:cs="Times New Roman"/>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76" w:customStyle="1">
    <w:name w:val="Bordered &amp; Lined - Accent 2"/>
    <w:basedOn w:val="682"/>
    <w:uiPriority w:val="0"/>
    <w:qFormat/>
    <w:pPr>
      <w:spacing w:after="0" w:line="240" w:lineRule="auto"/>
    </w:pPr>
    <w:rPr>
      <w:rFonts w:ascii="Times New Roman" w:hAnsi="Times New Roman"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77" w:customStyle="1">
    <w:name w:val="Bordered &amp; Lined - Accent 3"/>
    <w:basedOn w:val="682"/>
    <w:uiPriority w:val="0"/>
    <w:qFormat/>
    <w:pPr>
      <w:spacing w:after="0" w:line="240" w:lineRule="auto"/>
    </w:pPr>
    <w:rPr>
      <w:rFonts w:ascii="Times New Roman" w:hAnsi="Times New Roman"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78" w:customStyle="1">
    <w:name w:val="Bordered &amp; Lined - Accent 4"/>
    <w:basedOn w:val="682"/>
    <w:uiPriority w:val="0"/>
    <w:qFormat/>
    <w:pPr>
      <w:spacing w:after="0" w:line="240" w:lineRule="auto"/>
    </w:pPr>
    <w:rPr>
      <w:rFonts w:ascii="Times New Roman" w:hAnsi="Times New Roman" w:eastAsia="宋体" w:cs="Times New Roman"/>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79" w:customStyle="1">
    <w:name w:val="Bordered &amp; Lined - Accent 5"/>
    <w:basedOn w:val="682"/>
    <w:uiPriority w:val="0"/>
    <w:qFormat/>
    <w:pPr>
      <w:spacing w:after="0" w:line="240" w:lineRule="auto"/>
    </w:pPr>
    <w:rPr>
      <w:rFonts w:ascii="Times New Roman" w:hAnsi="Times New Roman" w:eastAsia="宋体" w:cs="Times New Roman"/>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80" w:customStyle="1">
    <w:name w:val="Bordered &amp; Lined - Accent 6"/>
    <w:basedOn w:val="682"/>
    <w:uiPriority w:val="0"/>
    <w:qFormat/>
    <w:pPr>
      <w:spacing w:after="0" w:line="240" w:lineRule="auto"/>
    </w:pPr>
    <w:rPr>
      <w:rFonts w:ascii="Times New Roman" w:hAnsi="Times New Roman" w:eastAsia="宋体" w:cs="Times New Roman"/>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81" w:customStyle="1">
    <w:name w:val="Bordered"/>
    <w:basedOn w:val="682"/>
    <w:uiPriority w:val="0"/>
    <w:qFormat/>
    <w:pPr>
      <w:spacing w:after="0" w:line="240" w:lineRule="auto"/>
    </w:pPr>
    <w:rPr>
      <w:rFonts w:ascii="Times New Roman" w:hAnsi="Times New Roman" w:eastAsia="宋体" w:cs="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1"/>
    <w:basedOn w:val="682"/>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Row">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Bordered - Accent 2"/>
    <w:basedOn w:val="682"/>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Row">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Bordered - Accent 3"/>
    <w:basedOn w:val="682"/>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Row">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Bordered - Accent 4"/>
    <w:basedOn w:val="682"/>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Row">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Bordered - Accent 5"/>
    <w:basedOn w:val="682"/>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Row">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Bordered - Accent 6"/>
    <w:basedOn w:val="682"/>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Row">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8" w:customStyle="1">
    <w:name w:val="TOC Heading_896fdbc1-233e-4be8-9400-2c907556909b"/>
    <w:uiPriority w:val="0"/>
    <w:qFormat/>
    <w:rPr>
      <w:rFonts w:hint="default" w:ascii="Times New Roman" w:hAnsi="Times New Roman" w:eastAsia="宋体" w:cs="Times New Roman"/>
    </w:rPr>
  </w:style>
  <w:style w:type="table" w:styleId="889" w:customStyle="1">
    <w:name w:val="三线表"/>
    <w:basedOn w:val="682"/>
    <w:uiPriority w:val="0"/>
    <w:qFormat/>
    <w:rPr>
      <w:rFonts w:ascii="Times New Roman" w:hAnsi="Times New Roman" w:eastAsia="宋体" w:cs="Times New Roman"/>
    </w:rPr>
    <w:tblPr>
      <w:tblBorders>
        <w:top w:val="single" w:color="000000" w:sz="12" w:space="0"/>
        <w:bottom w:val="single" w:color="000000" w:sz="12" w:space="0"/>
      </w:tblBorders>
      <w:tblCellMar>
        <w:left w:w="108" w:type="dxa"/>
        <w:top w:w="0" w:type="dxa"/>
        <w:right w:w="108" w:type="dxa"/>
        <w:bottom w:w="0" w:type="dxa"/>
      </w:tblCellMar>
    </w:tbl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style>
  <w:style w:type="character" w:styleId="890" w:customStyle="1">
    <w:name w:val="正文文本 Char"/>
    <w:basedOn w:val="681"/>
    <w:uiPriority w:val="0"/>
    <w:qFormat/>
    <w:rPr>
      <w:rFonts w:ascii="Times New Roman" w:hAnsi="Times New Roman" w:eastAsia="宋体" w:cs="Times New Roman"/>
      <w:sz w:val="24"/>
      <w:szCs w:val="24"/>
    </w:rPr>
  </w:style>
  <w:style w:type="character" w:styleId="891" w:customStyle="1">
    <w:name w:val="正文文本缩进 3 Char"/>
    <w:basedOn w:val="681"/>
    <w:uiPriority w:val="0"/>
    <w:qFormat/>
    <w:rPr>
      <w:rFonts w:ascii="Times New Roman" w:hAnsi="Times New Roman" w:eastAsia="宋体" w:cs="Times New Roman"/>
      <w:sz w:val="16"/>
      <w:szCs w:val="16"/>
    </w:rPr>
  </w:style>
  <w:style w:type="paragraph" w:styleId="892" w:customStyle="1">
    <w:name w:val="正文首行缩进2字符"/>
    <w:basedOn w:val="671"/>
    <w:uiPriority w:val="0"/>
    <w:qFormat/>
    <w:pPr>
      <w:ind w:firstLine="482"/>
    </w:pPr>
    <w:rPr>
      <w:rFonts w:ascii="Times New Roman" w:hAnsi="Times New Roman" w:eastAsia="宋体" w:cs="Times New Roman"/>
    </w:rPr>
  </w:style>
  <w:style w:type="character" w:styleId="893" w:customStyle="1">
    <w:name w:val="current"/>
    <w:basedOn w:val="681"/>
    <w:uiPriority w:val="0"/>
    <w:qFormat/>
    <w:rPr>
      <w:rFonts w:ascii="Times New Roman" w:hAnsi="Times New Roman" w:eastAsia="宋体" w:cs="Times New Roman"/>
      <w:b/>
      <w:bCs/>
      <w:color w:val="05a7d8"/>
      <w:sz w:val="18"/>
      <w:szCs w:val="18"/>
    </w:rPr>
  </w:style>
  <w:style w:type="character" w:styleId="894" w:customStyle="1">
    <w:name w:val="l-btn-left"/>
    <w:basedOn w:val="681"/>
    <w:uiPriority w:val="0"/>
    <w:qFormat/>
    <w:rPr>
      <w:rFonts w:ascii="Times New Roman" w:hAnsi="Times New Roman" w:eastAsia="宋体" w:cs="Times New Roman"/>
    </w:rPr>
  </w:style>
  <w:style w:type="character" w:styleId="895" w:customStyle="1">
    <w:name w:val="l-btn-text36"/>
    <w:basedOn w:val="681"/>
    <w:uiPriority w:val="0"/>
    <w:qFormat/>
    <w:rPr>
      <w:rFonts w:ascii="Times New Roman" w:hAnsi="Times New Roman" w:eastAsia="宋体" w:cs="Times New Roman"/>
    </w:rPr>
  </w:style>
  <w:style w:type="character" w:styleId="896" w:customStyle="1">
    <w:name w:val="l-btn-text"/>
    <w:basedOn w:val="681"/>
    <w:uiPriority w:val="0"/>
    <w:qFormat/>
    <w:rPr>
      <w:rFonts w:ascii="Times New Roman" w:hAnsi="Times New Roman" w:eastAsia="宋体" w:cs="Times New Roman"/>
    </w:rPr>
  </w:style>
  <w:style w:type="character" w:styleId="897" w:customStyle="1">
    <w:name w:val="grame"/>
    <w:basedOn w:val="681"/>
    <w:uiPriority w:val="0"/>
    <w:qFormat/>
    <w:rPr>
      <w:rFonts w:ascii="Times New Roman" w:hAnsi="Times New Roman" w:eastAsia="宋体" w:cs="Times New Roman"/>
    </w:rPr>
  </w:style>
  <w:style w:type="paragraph" w:styleId="898" w:customStyle="1">
    <w:name w:val="标准文本"/>
    <w:basedOn w:val="671"/>
    <w:uiPriority w:val="0"/>
    <w:qFormat/>
    <w:pPr>
      <w:ind w:firstLine="480"/>
      <w:spacing w:line="360" w:lineRule="auto"/>
    </w:pPr>
    <w:rPr>
      <w:rFonts w:ascii="Times New Roman" w:hAnsi="Times New Roman" w:eastAsia="宋体" w:cs="宋体"/>
      <w:szCs w:val="20"/>
    </w:rPr>
  </w:style>
  <w:style w:type="paragraph" w:styleId="899"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character" w:styleId="900" w:customStyle="1">
    <w:name w:val="active16"/>
    <w:basedOn w:val="681"/>
    <w:uiPriority w:val="0"/>
    <w:qFormat/>
    <w:rPr>
      <w:rFonts w:ascii="Times New Roman" w:hAnsi="Times New Roman" w:eastAsia="宋体" w:cs="Times New Roman"/>
      <w:color w:val="ffffff"/>
      <w:shd w:val="clear" w:color="auto" w:fill="0f5bb9"/>
    </w:rPr>
  </w:style>
  <w:style w:type="character" w:styleId="901" w:customStyle="1">
    <w:name w:val="active"/>
    <w:basedOn w:val="681"/>
    <w:uiPriority w:val="0"/>
    <w:qFormat/>
    <w:rPr>
      <w:rFonts w:ascii="Times New Roman" w:hAnsi="Times New Roman" w:eastAsia="宋体" w:cs="Times New Roman"/>
      <w:color w:val="ffffff"/>
      <w:shd w:val="clear" w:color="auto" w:fill="0f5bb9"/>
    </w:rPr>
  </w:style>
  <w:style w:type="paragraph" w:styleId="902" w:customStyle="1">
    <w:name w:val="Table Paragraph"/>
    <w:basedOn w:val="671"/>
    <w:uiPriority w:val="1"/>
    <w:qFormat/>
    <w:pPr>
      <w:jc w:val="left"/>
    </w:pPr>
    <w:rPr>
      <w:rFonts w:ascii="宋体" w:hAnsi="宋体" w:cs="宋体"/>
      <w:sz w:val="22"/>
      <w:szCs w:val="22"/>
      <w:lang w:eastAsia="en-US"/>
    </w:rPr>
  </w:style>
  <w:style w:type="paragraph" w:styleId="903" w:customStyle="1">
    <w:name w:val="正文1"/>
    <w:next w:val="904"/>
    <w:uiPriority w:val="0"/>
    <w:qFormat/>
    <w:pPr>
      <w:jc w:val="both"/>
      <w:widowControl w:val="off"/>
    </w:pPr>
    <w:rPr>
      <w:rFonts w:hint="default" w:ascii="Times New Roman" w:hAnsi="Times New Roman" w:eastAsia="宋体" w:cs="Times New Roman"/>
      <w:sz w:val="21"/>
      <w:szCs w:val="24"/>
    </w:rPr>
  </w:style>
  <w:style w:type="paragraph" w:styleId="904" w:customStyle="1">
    <w:name w:val="脚注文本1"/>
    <w:basedOn w:val="903"/>
    <w:next w:val="905"/>
    <w:uiPriority w:val="0"/>
    <w:qFormat/>
    <w:pPr>
      <w:jc w:val="left"/>
    </w:pPr>
    <w:rPr>
      <w:rFonts w:ascii="宋体" w:eastAsiaTheme="minorEastAsia"/>
      <w:b/>
      <w:color w:val="ff0000"/>
      <w:sz w:val="28"/>
      <w:szCs w:val="28"/>
    </w:rPr>
  </w:style>
  <w:style w:type="paragraph" w:styleId="905" w:customStyle="1">
    <w:name w:val="索引 51"/>
    <w:basedOn w:val="903"/>
    <w:next w:val="903"/>
    <w:uiPriority w:val="0"/>
    <w:qFormat/>
    <w:pPr>
      <w:ind w:left="798"/>
      <w:jc w:val="left"/>
    </w:pPr>
    <w:rPr>
      <w:rFonts w:ascii="Calibri" w:hAnsi="Calibri"/>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晗宇 康</dc:creator>
  <cp:lastModifiedBy>黄雪峰</cp:lastModifiedBy>
  <cp:revision>6</cp:revision>
  <dcterms:created xsi:type="dcterms:W3CDTF">2024-12-04T02:34:00Z</dcterms:created>
  <dcterms:modified xsi:type="dcterms:W3CDTF">2026-07-15T07:44:46Z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A5C5AA3307A641DFB39D4677CCC237D2_13</vt:lpwstr>
  </property>
  <property fmtid="{D5CDD505-2E9C-101B-9397-08002B2CF9AE}" pid="4" name="KSOTemplateDocerSaveRecord">
    <vt:lpwstr>eyJoZGlkIjoiZGFmOTA5N2IxNmQ1YWY5MjI1YTlkYmVhY2NiMGJkN2QiLCJ1c2VySWQiOiI1Njk0NzI4ODgifQ==</vt:lpwstr>
  </property>
</Properties>
</file>