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1"/>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南京鼓楼医院受试者智能筛选系统 </w:t>
      </w:r>
      <w:r>
        <w:rPr>
          <w:rFonts w:hint="eastAsia" w:ascii="Arial" w:hAnsi="Arial" w:cs="Times New Roman"/>
          <w:b/>
          <w:bCs/>
          <w:color w:val="000000"/>
          <w:sz w:val="32"/>
          <w:szCs w:val="24"/>
          <w:highlight w:val="none"/>
          <w:u w:val="single"/>
          <w:lang w:val="en-US" w:eastAsia="zh-CN"/>
        </w:rPr>
      </w:r>
      <w:r/>
    </w:p>
    <w:p>
      <w:pPr>
        <w:pStyle w:val="869"/>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JSZC-320100-JZCG-C2026-0269</w:t>
      </w:r>
      <w:r>
        <w:rPr>
          <w:color w:val="000000"/>
          <w:highlight w:val="none"/>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881"/>
        <w:rPr>
          <w:rFonts w:hint="eastAsia"/>
          <w:lang w:val="en-US" w:eastAsia="zh-CN"/>
        </w:rPr>
      </w:pPr>
      <w:r>
        <w:rPr>
          <w:rFonts w:hint="eastAsia"/>
          <w:lang w:val="en-US" w:eastAsia="zh-CN"/>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9"/>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1"/>
        <w:ind w:firstLine="0"/>
        <w:jc w:val="center"/>
        <w:rPr>
          <w:rFonts w:hint="eastAsia" w:ascii="Arial" w:hAnsi="Arial" w:eastAsia="宋体" w:cs="Times New Roman"/>
          <w:b/>
          <w:bCs/>
          <w:sz w:val="32"/>
          <w:highlight w:val="none"/>
          <w:lang w:eastAsia="zh-CN"/>
        </w:rPr>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8</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bookmarkStart w:id="0" w:name="_Toc523127445"/>
      <w:r/>
      <w:bookmarkStart w:id="1" w:name="_Toc20823272"/>
      <w:r/>
      <w:bookmarkStart w:id="2" w:name="_Toc479757206"/>
      <w:r/>
      <w:bookmarkStart w:id="3" w:name="_Toc16938516"/>
      <w:r/>
      <w:bookmarkStart w:id="4" w:name="_Toc513029200"/>
      <w:r/>
      <w:bookmarkStart w:id="5" w:name="_Toc120614210"/>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26</w:t>
      </w:r>
      <w:r>
        <w:rPr>
          <w:rFonts w:hint="eastAsia" w:ascii="黑体" w:hAnsi="宋体" w:eastAsia="黑体" w:cs="Times New Roman"/>
          <w:color w:val="000000"/>
          <w:sz w:val="36"/>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szCs w:val="21"/>
          <w:highlight w:val="none"/>
        </w:rPr>
      </w:pPr>
      <w:r>
        <w:rPr>
          <w:rFonts w:hint="eastAsia" w:ascii="Times New Roman" w:hAnsi="Times New Roman"/>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eastAsia="zh-CN"/>
        </w:rPr>
        <w:t xml:space="preserve">JSZC-320100-JZCG-C2026-0269</w:t>
      </w:r>
      <w:r>
        <w:rPr>
          <w:rFonts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南京鼓楼医院受试者智能筛选系统</w:t>
      </w:r>
      <w:r>
        <w:rPr>
          <w:rFonts w:hint="eastAsia" w:ascii="宋体" w:hAnsi="宋体" w:eastAsia="宋体"/>
          <w:color w:val="000000"/>
          <w:sz w:val="24"/>
          <w:szCs w:val="24"/>
          <w:highlight w:val="none"/>
          <w:lang w:eastAsia="zh-CN"/>
        </w:rPr>
      </w:r>
      <w:r/>
    </w:p>
    <w:p>
      <w:pPr>
        <w:pStyle w:val="869"/>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10万元</w:t>
      </w:r>
      <w:r>
        <w:rPr>
          <w:rFonts w:ascii="宋体" w:hAnsi="宋体"/>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lang w:val="en-US" w:eastAsia="zh-CN"/>
        </w:rPr>
        <w:t xml:space="preserve">9万元</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采购并部署一套专业、智能、合规的智能筛选系统，实现对入排条件智能解析，对内深度对接医院临床数据平台，实现对潜在受试者的自动化初筛、精准匹配的全流程管理。</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9"/>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30天（系统开发及验收时间为合同签订后30天内）</w:t>
      </w:r>
      <w:r>
        <w:rPr>
          <w:rFonts w:ascii="宋体" w:hAnsi="宋体" w:eastAsia="宋体" w:cs="宋体"/>
          <w:color w:val="000000"/>
          <w:sz w:val="24"/>
          <w:szCs w:val="24"/>
          <w:highlight w:val="none"/>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69"/>
        <w:spacing w:line="240" w:lineRule="auto"/>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cs="宋体"/>
          <w:b w:val="0"/>
          <w:bCs w:val="0"/>
          <w:color w:val="000000"/>
          <w:sz w:val="24"/>
          <w:szCs w:val="24"/>
          <w:highlight w:val="none"/>
          <w:u w:val="none"/>
          <w:lang w:val="en-US" w:eastAsia="zh-CN"/>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highlight w:val="none"/>
          <w:u w:val="none"/>
        </w:rPr>
        <w:t xml:space="preserve">年</w:t>
      </w:r>
      <w:r>
        <w:rPr>
          <w:rFonts w:hint="eastAsia" w:ascii="宋体" w:hAnsi="宋体" w:cs="宋体"/>
          <w:b w:val="0"/>
          <w:bCs w:val="0"/>
          <w:color w:val="000000"/>
          <w:sz w:val="24"/>
          <w:szCs w:val="24"/>
          <w:highlight w:val="none"/>
          <w:u w:val="none"/>
          <w:lang w:val="en-US" w:eastAsia="zh-CN"/>
        </w:rPr>
        <w:t xml:space="preserve">9</w:t>
      </w:r>
      <w:r>
        <w:rPr>
          <w:rFonts w:hint="eastAsia" w:ascii="宋体" w:hAnsi="宋体"/>
          <w:b w:val="0"/>
          <w:bCs w:val="0"/>
          <w:color w:val="000000"/>
          <w:sz w:val="24"/>
          <w:szCs w:val="24"/>
          <w:highlight w:val="none"/>
          <w:u w:val="none"/>
        </w:rPr>
        <w:t xml:space="preserve">月9</w:t>
      </w:r>
      <w:r>
        <w:rPr>
          <w:rFonts w:hint="eastAsia" w:ascii="宋体" w:hAnsi="宋体"/>
          <w:b w:val="0"/>
          <w:bCs w:val="0"/>
          <w:color w:val="000000"/>
          <w:sz w:val="24"/>
          <w:szCs w:val="24"/>
          <w:highlight w:val="none"/>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 </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采购人《质疑函》收件人：张老师，收件地址：</w:t>
      </w:r>
      <w:r>
        <w:rPr>
          <w:rFonts w:hint="eastAsia" w:ascii="宋体" w:hAnsi="宋体" w:eastAsia="宋体" w:cs="宋体"/>
          <w:color w:val="000000"/>
          <w:sz w:val="24"/>
          <w:szCs w:val="24"/>
          <w:highlight w:val="none"/>
          <w:u w:val="none"/>
          <w:lang w:val="en-US" w:eastAsia="zh-CN"/>
        </w:rPr>
        <w:t xml:space="preserve">南京市玄武区双龙巷5号4楼410（南京鼓楼医院医用物资采购中心），</w:t>
      </w:r>
      <w:r>
        <w:rPr>
          <w:rFonts w:hint="eastAsia" w:ascii="宋体" w:hAnsi="宋体" w:eastAsia="宋体" w:cs="Times New Roman"/>
          <w:b w:val="0"/>
          <w:bCs w:val="0"/>
          <w:color w:val="000000"/>
          <w:sz w:val="24"/>
          <w:highlight w:val="none"/>
          <w:lang w:val="en-US" w:eastAsia="zh-CN"/>
        </w:rPr>
        <w:t xml:space="preserve">联系电话：025-83105006。</w:t>
      </w:r>
      <w:r>
        <w:rPr>
          <w:rFonts w:ascii="宋体" w:hAnsi="宋体" w:eastAsia="宋体" w:cs="Times New Roman"/>
          <w:b w:val="0"/>
          <w:bCs w:val="0"/>
          <w:color w:val="000000"/>
          <w:sz w:val="24"/>
          <w:highlight w:val="none"/>
          <w:lang w:val="en-US" w:eastAsia="zh-CN"/>
        </w:rPr>
      </w:r>
      <w:r/>
    </w:p>
    <w:p>
      <w:pPr>
        <w:pStyle w:val="869"/>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称：南京鼓楼医院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南京市鼓楼区中山路321号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张老师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联系电话：025-83105006 </w:t>
      </w:r>
      <w:bookmarkStart w:id="6" w:name="_Toc28359009"/>
      <w:r/>
      <w:bookmarkStart w:id="7" w:name="_Toc28359086"/>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6"/>
      <w:r/>
      <w:bookmarkEnd w:id="7"/>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王女士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联系电话：025-68505967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ascii="宋体" w:hAnsi="宋体" w:eastAsia="宋体" w:cs="Times New Roman"/>
          <w:color w:val="000000"/>
          <w:sz w:val="24"/>
          <w:szCs w:val="24"/>
          <w:highlight w:val="none"/>
          <w:u w:val="none"/>
          <w:lang w:val="en-US" w:eastAsia="zh-CN"/>
        </w:rPr>
      </w:r>
      <w:r/>
    </w:p>
    <w:p>
      <w:pPr>
        <w:pStyle w:val="869"/>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 w:name="_Hlt16619475"/>
      <w:r/>
      <w:bookmarkEnd w:id="8"/>
      <w:r/>
      <w:bookmarkStart w:id="9" w:name="_Toc458694821"/>
      <w:r/>
      <w:bookmarkStart w:id="10" w:name="_Toc20823276"/>
      <w:r/>
      <w:bookmarkStart w:id="11" w:name="_Toc16938520"/>
      <w:r/>
      <w:bookmarkStart w:id="12" w:name="_Toc513029204"/>
      <w:r>
        <w:rPr>
          <w:rFonts w:hint="eastAsia" w:ascii="方正楷体_GBK" w:hAnsi="方正楷体_GBK" w:eastAsia="方正楷体_GBK" w:cs="方正楷体_GBK"/>
          <w:b/>
          <w:bCs/>
          <w:sz w:val="28"/>
          <w:szCs w:val="28"/>
          <w:highlight w:val="none"/>
          <w:lang w:val="en-US" w:eastAsia="zh-CN"/>
        </w:rPr>
        <w:t xml:space="preserve">1</w:t>
      </w:r>
      <w:bookmarkEnd w:id="9"/>
      <w:r>
        <w:rPr>
          <w:rFonts w:hint="eastAsia" w:ascii="方正楷体_GBK" w:hAnsi="方正楷体_GBK" w:eastAsia="方正楷体_GBK" w:cs="方正楷体_GBK"/>
          <w:b/>
          <w:bCs/>
          <w:sz w:val="28"/>
          <w:szCs w:val="28"/>
          <w:highlight w:val="none"/>
          <w:lang w:val="en-US" w:eastAsia="zh-CN"/>
        </w:rPr>
        <w:t xml:space="preserve">.采购方式</w:t>
      </w:r>
      <w:bookmarkEnd w:id="10"/>
      <w:r/>
      <w:bookmarkEnd w:id="11"/>
      <w:r/>
      <w:bookmarkEnd w:id="12"/>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3" w:name="_Toc20823277"/>
      <w:r/>
      <w:bookmarkStart w:id="14" w:name="_Toc513029205"/>
      <w:r/>
      <w:bookmarkStart w:id="15" w:name="_Toc16938521"/>
      <w:r>
        <w:rPr>
          <w:rFonts w:hint="eastAsia" w:ascii="方正楷体_GBK" w:hAnsi="方正楷体_GBK" w:eastAsia="方正楷体_GBK" w:cs="方正楷体_GBK"/>
          <w:b/>
          <w:bCs/>
          <w:sz w:val="28"/>
          <w:szCs w:val="28"/>
          <w:highlight w:val="none"/>
          <w:lang w:val="en-US" w:eastAsia="zh-CN"/>
        </w:rPr>
        <w:t xml:space="preserve">2.合格的</w:t>
      </w:r>
      <w:bookmarkEnd w:id="13"/>
      <w:r/>
      <w:bookmarkEnd w:id="14"/>
      <w:r/>
      <w:bookmarkEnd w:id="15"/>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6" w:name="_Toc20823278"/>
      <w:r/>
      <w:bookmarkStart w:id="17" w:name="_Toc16938522"/>
      <w:r/>
      <w:bookmarkStart w:id="18" w:name="_Toc513029206"/>
      <w:r>
        <w:rPr>
          <w:rFonts w:hint="eastAsia" w:ascii="方正楷体_GBK" w:hAnsi="方正楷体_GBK" w:eastAsia="方正楷体_GBK" w:cs="方正楷体_GBK"/>
          <w:b/>
          <w:bCs/>
          <w:sz w:val="28"/>
          <w:szCs w:val="28"/>
          <w:highlight w:val="none"/>
          <w:lang w:val="en-US" w:eastAsia="zh-CN"/>
        </w:rPr>
        <w:t xml:space="preserve">3.适用法律</w:t>
      </w:r>
      <w:bookmarkEnd w:id="16"/>
      <w:r/>
      <w:bookmarkEnd w:id="17"/>
      <w:r/>
      <w:bookmarkEnd w:id="18"/>
      <w:r>
        <w:rPr>
          <w:rFonts w:hint="eastAsia" w:ascii="方正楷体_GBK" w:hAnsi="方正楷体_GBK" w:eastAsia="方正楷体_GBK" w:cs="方正楷体_GBK"/>
          <w:b/>
          <w:bCs/>
          <w:sz w:val="28"/>
          <w:szCs w:val="28"/>
          <w:highlight w:val="none"/>
          <w:lang w:val="en-US" w:eastAsia="zh-CN"/>
        </w:rPr>
      </w:r>
      <w:r/>
    </w:p>
    <w:p>
      <w:pPr>
        <w:pStyle w:val="869"/>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9" w:name="_Toc513029207"/>
      <w:r/>
      <w:bookmarkStart w:id="20" w:name="_Toc20823279"/>
      <w:r/>
      <w:bookmarkStart w:id="21" w:name="_Toc16938523"/>
      <w:r/>
      <w:bookmarkStart w:id="22" w:name="_Toc462564067"/>
      <w:r>
        <w:rPr>
          <w:rFonts w:hint="eastAsia" w:ascii="方正楷体_GBK" w:hAnsi="方正楷体_GBK" w:eastAsia="方正楷体_GBK" w:cs="方正楷体_GBK"/>
          <w:b/>
          <w:bCs/>
          <w:sz w:val="28"/>
          <w:szCs w:val="28"/>
          <w:highlight w:val="none"/>
          <w:lang w:val="en-US" w:eastAsia="zh-CN"/>
        </w:rPr>
        <w:t xml:space="preserve">4.磋商费用</w:t>
      </w:r>
      <w:bookmarkEnd w:id="19"/>
      <w:r/>
      <w:bookmarkEnd w:id="20"/>
      <w:r/>
      <w:bookmarkEnd w:id="21"/>
      <w:r/>
      <w:bookmarkEnd w:id="22"/>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3" w:name="_Toc513029209"/>
      <w:r/>
      <w:bookmarkStart w:id="24" w:name="_Toc20823281"/>
      <w:r/>
      <w:bookmarkStart w:id="25" w:name="_Toc16938525"/>
      <w:r/>
      <w:bookmarkStart w:id="26" w:name="_Toc120614215"/>
      <w:r>
        <w:rPr>
          <w:rFonts w:hint="eastAsia" w:ascii="方正黑体_GBK" w:hAnsi="方正黑体_GBK" w:eastAsia="方正黑体_GBK" w:cs="方正黑体_GBK"/>
          <w:b w:val="0"/>
          <w:bCs w:val="0"/>
          <w:color w:val="000000"/>
          <w:sz w:val="30"/>
          <w:szCs w:val="30"/>
          <w:highlight w:val="none"/>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7" w:name="_Toc20823282"/>
      <w:r/>
      <w:bookmarkStart w:id="28" w:name="_Toc513029210"/>
      <w:r/>
      <w:bookmarkStart w:id="29" w:name="_Toc16938526"/>
      <w:r>
        <w:rPr>
          <w:rFonts w:hint="eastAsia" w:ascii="方正楷体_GBK" w:hAnsi="方正楷体_GBK" w:eastAsia="方正楷体_GBK" w:cs="方正楷体_GBK"/>
          <w:b/>
          <w:bCs/>
          <w:sz w:val="28"/>
          <w:szCs w:val="28"/>
          <w:highlight w:val="none"/>
          <w:lang w:val="en-US" w:eastAsia="zh-CN"/>
        </w:rPr>
        <w:t xml:space="preserve">6.磋商文件构成</w:t>
      </w:r>
      <w:bookmarkEnd w:id="27"/>
      <w:r/>
      <w:bookmarkEnd w:id="28"/>
      <w:r/>
      <w:bookmarkEnd w:id="29"/>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0" w:name="_Toc513029211"/>
      <w:r/>
      <w:bookmarkStart w:id="31" w:name="_Toc16938527"/>
      <w:r/>
      <w:bookmarkStart w:id="32" w:name="_Toc20823283"/>
      <w:r/>
      <w:bookmarkStart w:id="33" w:name="_Toc462564070"/>
      <w:r>
        <w:rPr>
          <w:rFonts w:hint="eastAsia" w:ascii="方正楷体_GBK" w:hAnsi="方正楷体_GBK" w:eastAsia="方正楷体_GBK" w:cs="方正楷体_GBK"/>
          <w:b/>
          <w:bCs/>
          <w:sz w:val="28"/>
          <w:szCs w:val="28"/>
          <w:highlight w:val="none"/>
          <w:lang w:val="en-US" w:eastAsia="zh-CN"/>
        </w:rPr>
        <w:t xml:space="preserve">7.磋商文件的澄清</w:t>
      </w:r>
      <w:bookmarkEnd w:id="30"/>
      <w:r/>
      <w:bookmarkEnd w:id="31"/>
      <w:r/>
      <w:bookmarkEnd w:id="32"/>
      <w:r/>
      <w:bookmarkEnd w:id="33"/>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lang w:val="en-US" w:eastAsia="zh-CN"/>
        </w:rPr>
        <w:t xml:space="preserve">如有</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4" w:name="_Hlt26668975"/>
      <w:r/>
      <w:bookmarkEnd w:id="34"/>
      <w:r/>
      <w:bookmarkStart w:id="35" w:name="_Hlt26670360"/>
      <w:r/>
      <w:bookmarkEnd w:id="35"/>
      <w:r/>
      <w:bookmarkStart w:id="36" w:name="_Hlt26954838"/>
      <w:r/>
      <w:bookmarkEnd w:id="36"/>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9"/>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和分项报价表（如有），否则作为无效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7" w:name="_Hlt26670486"/>
      <w:r/>
      <w:bookmarkEnd w:id="37"/>
      <w:r/>
      <w:bookmarkStart w:id="38" w:name="_Hlt26670482"/>
      <w:r/>
      <w:bookmarkEnd w:id="38"/>
      <w:r/>
      <w:bookmarkStart w:id="39" w:name="_Hlt26954731"/>
      <w:r/>
      <w:bookmarkEnd w:id="39"/>
      <w:r/>
      <w:bookmarkStart w:id="40" w:name="_Hlt26954846"/>
      <w:r/>
      <w:bookmarkEnd w:id="40"/>
      <w:r/>
      <w:bookmarkStart w:id="41" w:name="_Hlt26954848"/>
      <w:r/>
      <w:bookmarkEnd w:id="41"/>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9"/>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2" w:name="_Toc14577360"/>
      <w:r/>
      <w:bookmarkStart w:id="43" w:name="_Toc49090511"/>
      <w:r>
        <w:rPr>
          <w:rFonts w:hint="eastAsia" w:ascii="方正楷体_GBK" w:hAnsi="方正楷体_GBK" w:eastAsia="方正楷体_GBK" w:cs="方正楷体_GBK"/>
          <w:b/>
          <w:bCs/>
          <w:sz w:val="28"/>
          <w:szCs w:val="28"/>
          <w:highlight w:val="none"/>
          <w:lang w:val="en-US" w:eastAsia="zh-CN"/>
        </w:rPr>
        <w:t xml:space="preserve">13.磋商有效期</w:t>
      </w:r>
      <w:bookmarkEnd w:id="42"/>
      <w:r/>
      <w:bookmarkEnd w:id="43"/>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44" w:name="_Hlt26954739"/>
      <w:r/>
      <w:bookmarkEnd w:id="44"/>
      <w:r/>
      <w:bookmarkStart w:id="45" w:name="_Hlt26954852"/>
      <w:r/>
      <w:bookmarkEnd w:id="45"/>
      <w:r/>
      <w:bookmarkStart w:id="46" w:name="_Toc16938540"/>
      <w:r/>
      <w:bookmarkStart w:id="47" w:name="_Toc120614217"/>
      <w:r/>
      <w:bookmarkStart w:id="48" w:name="_Toc20823296"/>
      <w:r/>
      <w:bookmarkStart w:id="49"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0" w:name="_Toc462564084"/>
      <w:r/>
      <w:bookmarkStart w:id="51" w:name="_Toc513029225"/>
      <w:r/>
      <w:bookmarkStart w:id="52" w:name="_Toc20823297"/>
      <w:r/>
      <w:bookmarkStart w:id="53" w:name="_Toc16938541"/>
      <w:r>
        <w:rPr>
          <w:rFonts w:hint="eastAsia" w:ascii="方正楷体_GBK" w:hAnsi="方正楷体_GBK" w:eastAsia="方正楷体_GBK" w:cs="方正楷体_GBK"/>
          <w:b/>
          <w:bCs/>
          <w:sz w:val="28"/>
          <w:szCs w:val="28"/>
          <w:highlight w:val="none"/>
          <w:lang w:val="en-US" w:eastAsia="zh-CN"/>
        </w:rPr>
        <w:t xml:space="preserve">15.</w:t>
      </w:r>
      <w:bookmarkEnd w:id="50"/>
      <w:r/>
      <w:bookmarkEnd w:id="51"/>
      <w:r/>
      <w:bookmarkEnd w:id="52"/>
      <w:r/>
      <w:bookmarkEnd w:id="53"/>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4" w:name="_Toc16938542"/>
      <w:r/>
      <w:bookmarkStart w:id="55" w:name="_Toc20823298"/>
      <w:r/>
      <w:bookmarkStart w:id="56"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4"/>
      <w:r/>
      <w:bookmarkEnd w:id="55"/>
      <w:r/>
      <w:bookmarkEnd w:id="56"/>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7" w:name="_Toc513029228"/>
      <w:r/>
      <w:bookmarkStart w:id="58" w:name="_Toc20823300"/>
      <w:r/>
      <w:bookmarkStart w:id="59" w:name="_Toc16938544"/>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57"/>
      <w:r/>
      <w:bookmarkEnd w:id="58"/>
      <w:r/>
      <w:bookmarkEnd w:id="59"/>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0" w:name="_Toc16938545"/>
      <w:r/>
      <w:bookmarkStart w:id="61" w:name="_Toc20823301"/>
      <w:r/>
      <w:bookmarkStart w:id="62" w:name="_Toc513029229"/>
      <w:r/>
      <w:bookmarkStart w:id="63"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4" w:name="_Toc513029232"/>
      <w:r/>
      <w:bookmarkStart w:id="65" w:name="_Toc16938548"/>
      <w:r/>
      <w:bookmarkStart w:id="66" w:name="_Toc20823304"/>
      <w:r>
        <w:rPr>
          <w:rFonts w:hint="eastAsia" w:ascii="方正楷体_GBK" w:hAnsi="方正楷体_GBK" w:eastAsia="方正楷体_GBK" w:cs="方正楷体_GBK"/>
          <w:b/>
          <w:bCs/>
          <w:sz w:val="28"/>
          <w:szCs w:val="28"/>
          <w:highlight w:val="none"/>
          <w:lang w:val="en-US" w:eastAsia="zh-CN"/>
        </w:rPr>
        <w:t xml:space="preserve">20.评审过程中的澄清</w:t>
      </w:r>
      <w:bookmarkEnd w:id="64"/>
      <w:r/>
      <w:bookmarkEnd w:id="65"/>
      <w:r/>
      <w:bookmarkEnd w:id="66"/>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7" w:name="_Toc20823305"/>
      <w:r/>
      <w:bookmarkStart w:id="68" w:name="_Toc513029233"/>
      <w:r/>
      <w:bookmarkStart w:id="69" w:name="_Toc16938549"/>
      <w:r>
        <w:rPr>
          <w:rFonts w:hint="eastAsia" w:ascii="方正楷体_GBK" w:hAnsi="方正楷体_GBK" w:eastAsia="方正楷体_GBK" w:cs="方正楷体_GBK"/>
          <w:b/>
          <w:bCs/>
          <w:sz w:val="28"/>
          <w:szCs w:val="28"/>
          <w:highlight w:val="none"/>
          <w:lang w:val="en-US" w:eastAsia="zh-CN"/>
        </w:rPr>
        <w:t xml:space="preserve">21.响应文件的审</w:t>
      </w:r>
      <w:bookmarkEnd w:id="67"/>
      <w:r/>
      <w:bookmarkEnd w:id="68"/>
      <w:r/>
      <w:bookmarkEnd w:id="69"/>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w:t>
      </w:r>
      <w:r>
        <w:rPr>
          <w:rFonts w:hint="eastAsia" w:ascii="宋体" w:hAnsi="宋体" w:eastAsia="宋体" w:cs="Times New Roman"/>
          <w:color w:val="000000"/>
          <w:sz w:val="24"/>
          <w:szCs w:val="22"/>
          <w:highlight w:val="none"/>
          <w:lang w:val="zh-CN"/>
        </w:rPr>
        <w:t xml:space="preserve">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9"/>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9"/>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9"/>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70" w:name="_Toc20823307"/>
      <w:r/>
      <w:bookmarkStart w:id="71" w:name="_Toc120614219"/>
      <w:r/>
      <w:bookmarkStart w:id="72" w:name="_Toc16938551"/>
      <w:r/>
      <w:bookmarkStart w:id="73"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4" w:name="_Toc513029238"/>
      <w:r/>
      <w:bookmarkStart w:id="75" w:name="_Toc20823310"/>
      <w:r/>
      <w:bookmarkStart w:id="76" w:name="_Toc16938554"/>
      <w:r>
        <w:rPr>
          <w:rFonts w:hint="eastAsia" w:ascii="方正楷体_GBK" w:hAnsi="方正楷体_GBK" w:eastAsia="方正楷体_GBK" w:cs="方正楷体_GBK"/>
          <w:b/>
          <w:bCs/>
          <w:sz w:val="28"/>
          <w:szCs w:val="28"/>
          <w:highlight w:val="none"/>
          <w:lang w:val="en-US" w:eastAsia="zh-CN"/>
        </w:rPr>
        <w:t xml:space="preserve">2</w:t>
      </w:r>
      <w:bookmarkEnd w:id="74"/>
      <w:r>
        <w:rPr>
          <w:rFonts w:hint="eastAsia" w:ascii="方正楷体_GBK" w:hAnsi="方正楷体_GBK" w:eastAsia="方正楷体_GBK" w:cs="方正楷体_GBK"/>
          <w:b/>
          <w:bCs/>
          <w:sz w:val="28"/>
          <w:szCs w:val="28"/>
          <w:highlight w:val="none"/>
          <w:lang w:val="en-US" w:eastAsia="zh-CN"/>
        </w:rPr>
        <w:t xml:space="preserve">4.确定</w:t>
      </w:r>
      <w:bookmarkEnd w:id="75"/>
      <w:r/>
      <w:bookmarkEnd w:id="76"/>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7"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7"/>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9"/>
        <w:spacing w:line="24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个工作日内向</w:t>
      </w:r>
      <w:r>
        <w:rPr>
          <w:rFonts w:hint="eastAsia" w:ascii="宋体" w:hAnsi="宋体" w:cs="Times New Roman"/>
          <w:b/>
          <w:bCs/>
          <w:i w:val="0"/>
          <w:iCs w:val="0"/>
          <w:caps w:val="0"/>
          <w:color w:val="000000" w:themeColor="text1"/>
          <w:spacing w:val="0"/>
          <w:sz w:val="24"/>
          <w:szCs w:val="21"/>
          <w:highlight w:val="none"/>
          <w:shd w:val="clear" w:color="auto" w:fill="auto"/>
          <w:lang w:val="en-US" w:eastAsia="zh-CN"/>
        </w:rPr>
        <w:t xml:space="preserve">南京市</w:t>
      </w:r>
      <w:r>
        <w:rPr>
          <w:rFonts w:hint="eastAsia" w:ascii="宋体" w:hAnsi="宋体" w:eastAsia="宋体" w:cs="Times New Roman"/>
          <w:b/>
          <w:bCs/>
          <w:i w:val="0"/>
          <w:iCs w:val="0"/>
          <w:caps w:val="0"/>
          <w:color w:val="000000" w:themeColor="text1"/>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themeColor="text1"/>
          <w:spacing w:val="0"/>
          <w:sz w:val="24"/>
          <w:szCs w:val="21"/>
          <w:highlight w:val="none"/>
          <w:shd w:val="clear" w:color="auto" w:fill="auto"/>
        </w:rPr>
        <w:t xml:space="preserve">提起投诉。</w:t>
      </w:r>
      <w:r>
        <w:rPr>
          <w:color w:val="000000" w:themeColor="text1"/>
        </w:rPr>
      </w:r>
      <w:r/>
    </w:p>
    <w:p>
      <w:pPr>
        <w:pStyle w:val="869"/>
        <w:ind w:firstLine="420"/>
        <w:keepLines w:val="0"/>
        <w:keepNext w:val="0"/>
        <w:pageBreakBefore w:val="0"/>
        <w:spacing w:line="240" w:lineRule="auto"/>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34.</w:t>
      </w:r>
      <w:r>
        <w:rPr>
          <w:rFonts w:hint="eastAsia" w:ascii="宋体" w:hAnsi="宋体" w:eastAsia="宋体" w:cs="Times New Roman"/>
          <w:color w:val="000000" w:themeColor="text1"/>
          <w:sz w:val="24"/>
          <w:highlight w:val="none"/>
          <w:lang w:val="zh-CN"/>
        </w:rPr>
        <w:t xml:space="preserve">以下情形的质疑不予受理：</w:t>
      </w:r>
      <w:r>
        <w:rPr>
          <w:color w:val="000000" w:themeColor="text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3"/>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73"/>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88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8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8"/>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w:t>
      </w:r>
      <w:r>
        <w:rPr>
          <w:rFonts w:ascii="宋体" w:hAnsi="宋体" w:cs="Courier New"/>
          <w:color w:val="000000"/>
          <w:sz w:val="24"/>
          <w:szCs w:val="24"/>
          <w:highlight w:val="none"/>
        </w:rPr>
        <w:t xml:space="preserve">果，签署本合同。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2"/>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系统开发完成并验收合格后，甲方支付合同总价款的70%。</w:t>
      </w:r>
      <w:r>
        <w:rPr>
          <w:rFonts w:hint="eastAsia"/>
          <w:color w:val="000000"/>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0.01%</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0.1</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0.1%</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0.1%</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1"/>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8" w:name="_Toc16938590"/>
      <w:r/>
      <w:bookmarkStart w:id="79" w:name="_Hlt16619350"/>
      <w:r/>
      <w:bookmarkStart w:id="80" w:name="_Toc20823346"/>
      <w:r/>
      <w:bookmarkStart w:id="81" w:name="_Toc120614244"/>
      <w:r/>
      <w:bookmarkStart w:id="82" w:name="_Toc479757211"/>
      <w:r/>
      <w:bookmarkStart w:id="83" w:name="_Toc462564139"/>
      <w:r>
        <w:rPr>
          <w:rFonts w:hint="eastAsia" w:ascii="宋体" w:hAnsi="宋体" w:eastAsia="宋体" w:cs="Courier New"/>
          <w:color w:val="000000"/>
          <w:sz w:val="24"/>
          <w:szCs w:val="24"/>
          <w:highlight w:val="none"/>
          <w:lang w:val="en-US" w:eastAsia="zh-CN" w:bidi="ar-SA"/>
        </w:rPr>
        <w:br w:type="page" w:clear="all"/>
      </w:r>
      <w:bookmarkEnd w:id="78"/>
      <w:r/>
      <w:bookmarkEnd w:id="79"/>
      <w:r/>
      <w:bookmarkEnd w:id="80"/>
      <w:r/>
      <w:bookmarkEnd w:id="81"/>
      <w:r/>
      <w:bookmarkStart w:id="84" w:name="_Toc49090575"/>
      <w:r/>
      <w:bookmarkStart w:id="85" w:name="_Toc26554093"/>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I期临床试验病房承担的试验项目数量与复杂性显著增加。当前受试者招募主要依赖传统人工筛选，面临以下主要痛点：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ab/>
      </w:r>
      <w:r>
        <w:rPr>
          <w:rFonts w:hint="eastAsia" w:ascii="宋体" w:hAnsi="宋体" w:eastAsia="宋体" w:cs="Times New Roman"/>
          <w:color w:val="000000"/>
          <w:sz w:val="24"/>
          <w:szCs w:val="24"/>
          <w:highlight w:val="none"/>
          <w:lang w:val="en-US" w:eastAsia="zh-CN"/>
        </w:rPr>
        <w:t xml:space="preserve">招募效率低：面对I期试验对健康受试者或特定患者严格的纳排标准（如年龄、体重、生命体征、实验室指标、合并用药史等），人工逐一核对病历与体检报告耗时费力，导致入组速度难以匹配项目启动需求。</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ab/>
      </w:r>
      <w:r>
        <w:rPr>
          <w:rFonts w:hint="eastAsia" w:ascii="宋体" w:hAnsi="宋体" w:eastAsia="宋体" w:cs="Times New Roman"/>
          <w:color w:val="000000"/>
          <w:sz w:val="24"/>
          <w:szCs w:val="24"/>
          <w:highlight w:val="none"/>
          <w:lang w:val="en-US" w:eastAsia="zh-CN"/>
        </w:rPr>
        <w:t xml:space="preserve">数据利用不足：院内CDR中的海量历史诊疗数据未被有效激活，无法主动识别和预招募潜在合适的受试者，大量潜在具有参与试验条件的人群流失。</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为解决上述问题，计划采购并部署一套专业、智能、合规的智能筛选系统。该系统可实现对入排条件智能解析，对内深度对接医院临床数据平台，实现对潜在受试者的自动化初筛、精准匹配的全流程管理。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通过建设本系统改变完全依赖人工翻阅病历的被动低效模式，通过系统自动预筛，将入组准备时间大幅压缩。对过往产生的检验、诊断、用药等数据进行标准化清洗与标签化，形成可随时检索的受试者库。未来任何一个新试验启动，都能快速回溯匹配历史数据中的潜在人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87"/>
        <w:tblW w:w="521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13"/>
        <w:gridCol w:w="2360"/>
        <w:gridCol w:w="778"/>
        <w:gridCol w:w="1062"/>
        <w:gridCol w:w="1579"/>
        <w:gridCol w:w="1966"/>
        <w:gridCol w:w="1626"/>
      </w:tblGrid>
      <w:tr>
        <w:trPr>
          <w:trHeight w:val="675"/>
        </w:trPr>
        <w:tc>
          <w:tcPr>
            <w:tcW w:w="39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15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52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75"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9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42"/>
        </w:trPr>
        <w:tc>
          <w:tcPr>
            <w:tcW w:w="39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158" w:type="dxa"/>
            <w:vAlign w:val="center"/>
            <w:textDirection w:val="lrTb"/>
            <w:noWrap w:val="false"/>
          </w:tcPr>
          <w:p>
            <w:pPr>
              <w:pStyle w:val="869"/>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rPr>
              <w:t xml:space="preserve">受试者智能筛选系统</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ascii="宋体" w:hAnsi="宋体" w:cs="宋体"/>
                <w:bCs/>
                <w:color w:val="000000"/>
                <w:sz w:val="24"/>
                <w:szCs w:val="24"/>
              </w:rPr>
              <w:t xml:space="preserve">1</w:t>
            </w:r>
            <w:r>
              <w:rPr>
                <w:rFonts w:hint="eastAsia" w:ascii="宋体" w:hAnsi="宋体" w:eastAsia="宋体" w:cs="Times New Roman"/>
                <w:bCs/>
                <w:color w:val="000000"/>
                <w:sz w:val="24"/>
                <w:szCs w:val="24"/>
                <w:highlight w:val="none"/>
              </w:rPr>
            </w:r>
            <w:r/>
          </w:p>
        </w:tc>
        <w:tc>
          <w:tcPr>
            <w:tcW w:w="521"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rPr>
              <w:t xml:space="preserve">项</w:t>
            </w:r>
            <w:r>
              <w:rPr>
                <w:rFonts w:hint="eastAsia" w:ascii="宋体" w:hAnsi="宋体" w:eastAsia="宋体" w:cs="宋体"/>
                <w:bCs/>
                <w:color w:val="000000"/>
                <w:sz w:val="24"/>
                <w:szCs w:val="24"/>
                <w:highlight w:val="none"/>
                <w:lang w:val="en-US" w:eastAsia="zh-CN"/>
              </w:rPr>
            </w:r>
            <w:r/>
          </w:p>
        </w:tc>
        <w:tc>
          <w:tcPr>
            <w:tcW w:w="7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主要产品</w:t>
            </w:r>
            <w:r>
              <w:rPr>
                <w:rFonts w:hint="eastAsia" w:ascii="宋体" w:hAnsi="宋体" w:eastAsia="宋体" w:cs="Times New Roman"/>
                <w:bCs/>
                <w:color w:val="000000"/>
                <w:sz w:val="24"/>
                <w:szCs w:val="24"/>
                <w:highlight w:val="none"/>
              </w:rPr>
            </w:r>
            <w:r/>
          </w:p>
        </w:tc>
        <w:tc>
          <w:tcPr>
            <w:tcW w:w="9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9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rPr>
        <w:outlineLvl w:val="2"/>
      </w:pPr>
      <w:r/>
      <w:bookmarkStart w:id="86" w:name="_Toc120614281"/>
      <w:r>
        <w:rPr>
          <w:rFonts w:hint="eastAsia" w:ascii="宋体" w:hAnsi="宋体" w:eastAsia="宋体" w:cs="宋体"/>
          <w:bCs/>
          <w:color w:val="000000"/>
          <w:sz w:val="24"/>
          <w:szCs w:val="24"/>
          <w:highlight w:val="none"/>
        </w:rPr>
        <w:t xml:space="preserve">（一）技术要求</w:t>
      </w:r>
      <w:r>
        <w:rPr>
          <w:rFonts w:hint="eastAsia"/>
        </w:rPr>
      </w:r>
      <w:r/>
    </w:p>
    <w:tbl>
      <w:tblPr>
        <w:tblW w:w="101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276"/>
        <w:gridCol w:w="7780"/>
      </w:tblGrid>
      <w:tr>
        <w:trPr>
          <w:trHeight w:val="447"/>
        </w:trPr>
        <w:tc>
          <w:tcPr>
            <w:gridSpan w:val="2"/>
            <w:tcW w:w="24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模块要求</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技术要求</w:t>
            </w:r>
            <w:r>
              <w:rPr>
                <w:rFonts w:hint="eastAsia" w:ascii="宋体" w:hAnsi="宋体" w:eastAsia="宋体" w:cs="Times New Roman"/>
                <w:color w:val="000000"/>
                <w:sz w:val="24"/>
                <w:szCs w:val="24"/>
                <w:highlight w:val="none"/>
                <w:lang w:val="en-US" w:eastAsia="zh-CN"/>
              </w:rPr>
            </w:r>
            <w:r/>
          </w:p>
        </w:tc>
      </w:tr>
      <w:tr>
        <w:trPr>
          <w:trHeight w:val="2909"/>
        </w:trPr>
        <w:tc>
          <w:tcPr>
            <w:gridSpan w:val="2"/>
            <w:tcW w:w="24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总体要求</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 信息进行有效管理，通过对数据进行分析和处理，帮助管理者进行科学管理决策，帮助医生提升受试者筛选效率。</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2. 规范性：系统各功能画面与现有业务流程中使用的纸面表格有明确的对应关系和业务逻辑。系统各功能画面能被打印输出和预览，输出用语、计算公式、文档格式符合相关规定。</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3. 便利性：系统设计使用上的便利性，这包括：较低的学习成本(操作有规律，学习掌握容易)； 较低的操作成本（操作简单，同一数据不重复输入）；方便的系统维护（系统自检功能）等。</w:t>
            </w:r>
            <w:r>
              <w:rPr>
                <w:rFonts w:hint="eastAsia" w:ascii="宋体" w:hAnsi="宋体" w:eastAsia="宋体" w:cs="Times New Roman"/>
                <w:color w:val="000000"/>
                <w:sz w:val="24"/>
                <w:szCs w:val="24"/>
                <w:highlight w:val="none"/>
                <w:lang w:val="en-US" w:eastAsia="zh-CN"/>
              </w:rPr>
            </w:r>
            <w:r/>
          </w:p>
        </w:tc>
      </w:tr>
      <w:tr>
        <w:trPr>
          <w:trHeight w:val="259"/>
        </w:trPr>
        <w:tc>
          <w:tcPr>
            <w:tcW w:w="1129" w:type="dxa"/>
            <w:vAlign w:val="center"/>
            <w:vMerge w:val="restart"/>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受试者智能筛选系统</w:t>
            </w: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工作流程管理</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▲支持患者数据查看申请审批流程，支持患者推荐项目确认流程。</w:t>
            </w:r>
            <w:r>
              <w:rPr>
                <w:rFonts w:hint="eastAsia" w:ascii="宋体" w:hAnsi="宋体" w:eastAsia="宋体" w:cs="Times New Roman"/>
                <w:color w:val="000000"/>
                <w:sz w:val="24"/>
                <w:szCs w:val="24"/>
                <w:highlight w:val="none"/>
                <w:lang w:val="en-US" w:eastAsia="zh-CN"/>
              </w:rPr>
            </w:r>
            <w:r/>
          </w:p>
        </w:tc>
      </w:tr>
      <w:tr>
        <w:trPr>
          <w:trHeight w:val="1815"/>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患者库管理</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 支持为I期研究中心建立患者库，信息包含BE/I期临床试验项目管理系统中的研究病历信息以及所有诊疗信息，如全量临床诊断、用药信息、 治疗信息、检验报告、检查报告、病理报告、 病历文书等；</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2. 系统支持模糊检索和高级检索两种方式，模糊检索中支持按分类检索，并可选择模糊匹配或分词匹配；高级检索支持添加多个条件以及条件组，并按配置条件进行精确搜索；</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3. 系统支持对库中受试者进行按权限范围查看，保障数据安全；</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4. 系统基于受试者末次参与试验时间自动计算洗脱期，洗脱期满自动转入“可用池”，未满期打标“锁定期”并禁止重复入组；</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5. 记录受试者是否曾发生严重不良事件、主动退出、 多次失访，自动加入全局黑名单池，阻止其参与后续所有 I 期试验。</w:t>
            </w:r>
            <w:r>
              <w:rPr>
                <w:rFonts w:hint="eastAsia" w:ascii="宋体" w:hAnsi="宋体" w:eastAsia="宋体" w:cs="Times New Roman"/>
                <w:color w:val="000000"/>
                <w:sz w:val="24"/>
                <w:szCs w:val="24"/>
                <w:highlight w:val="none"/>
                <w:lang w:val="en-US" w:eastAsia="zh-CN"/>
              </w:rPr>
            </w:r>
            <w:r/>
          </w:p>
        </w:tc>
      </w:tr>
      <w:tr>
        <w:trPr>
          <w:trHeight w:val="77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初筛指标管理</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 根据I期研究中心的典型项目的入选排除标准设计可用于临床研究筛选指标集合；</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 系统自动按设置的筛选指标集合形成初步建档；</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3. 支持人工填写. 修改和补充建档数据。</w:t>
            </w:r>
            <w:r>
              <w:rPr>
                <w:rFonts w:hint="eastAsia" w:ascii="宋体" w:hAnsi="宋体" w:eastAsia="宋体" w:cs="Times New Roman"/>
                <w:color w:val="000000"/>
                <w:sz w:val="24"/>
                <w:szCs w:val="24"/>
                <w:highlight w:val="none"/>
                <w:lang w:val="en-US" w:eastAsia="zh-CN"/>
              </w:rPr>
            </w:r>
            <w:r/>
          </w:p>
        </w:tc>
      </w:tr>
      <w:tr>
        <w:trPr>
          <w:trHeight w:val="51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入排配置管理</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 支持针对项目入选排除标准，配置筛选指标匹配关系；</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 支持对匹配的指标进行自定义编程。</w:t>
            </w:r>
            <w:r>
              <w:rPr>
                <w:rFonts w:hint="eastAsia" w:ascii="宋体" w:hAnsi="宋体" w:eastAsia="宋体" w:cs="Times New Roman"/>
                <w:color w:val="000000"/>
                <w:sz w:val="24"/>
                <w:szCs w:val="24"/>
                <w:highlight w:val="none"/>
                <w:lang w:val="en-US" w:eastAsia="zh-CN"/>
              </w:rPr>
            </w:r>
            <w:r/>
          </w:p>
        </w:tc>
      </w:tr>
      <w:tr>
        <w:trPr>
          <w:trHeight w:val="77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智能筛选推荐引擎</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 智能解析项目入排标标准，拆解为临床研究筛选指标，并联动患者库；</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2. 通过智能关联分析与动态评分机制，自动挖掘并排序符合项目入组要求的患者清单，同时关注关键匹配依据，为研究者提供可视化的筛选结果与决策支持。</w:t>
            </w:r>
            <w:r>
              <w:rPr>
                <w:rFonts w:hint="eastAsia" w:ascii="宋体" w:hAnsi="宋体" w:eastAsia="宋体" w:cs="Times New Roman"/>
                <w:color w:val="000000"/>
                <w:sz w:val="24"/>
                <w:szCs w:val="24"/>
                <w:highlight w:val="none"/>
                <w:lang w:val="en-US" w:eastAsia="zh-CN"/>
              </w:rPr>
            </w:r>
            <w:r/>
          </w:p>
        </w:tc>
      </w:tr>
      <w:tr>
        <w:trPr>
          <w:trHeight w:val="77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筛选跟踪管理</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 支持患者开始参与筛选的状态更新；</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 支持患者被项目组判定筛选失败结果更新；</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3. 支持患者被项目组判定筛选成功结果更新。</w:t>
            </w:r>
            <w:r>
              <w:rPr>
                <w:rFonts w:hint="eastAsia" w:ascii="宋体" w:hAnsi="宋体" w:eastAsia="宋体" w:cs="Times New Roman"/>
                <w:color w:val="000000"/>
                <w:sz w:val="24"/>
                <w:szCs w:val="24"/>
                <w:highlight w:val="none"/>
                <w:lang w:val="en-US" w:eastAsia="zh-CN"/>
              </w:rPr>
            </w:r>
            <w:r/>
          </w:p>
        </w:tc>
      </w:tr>
      <w:tr>
        <w:trPr>
          <w:trHeight w:val="77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入组跟踪管理</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 支持患者入组项目状态更新；</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 支持患者在参与的项目中出组状态更新；</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3. 支持患者在参与的项目中脱落状态更新。</w:t>
            </w:r>
            <w:r>
              <w:rPr>
                <w:rFonts w:hint="eastAsia" w:ascii="宋体" w:hAnsi="宋体" w:eastAsia="宋体" w:cs="Times New Roman"/>
                <w:color w:val="000000"/>
                <w:sz w:val="24"/>
                <w:szCs w:val="24"/>
                <w:highlight w:val="none"/>
                <w:lang w:val="en-US" w:eastAsia="zh-CN"/>
              </w:rPr>
            </w:r>
            <w:r/>
          </w:p>
        </w:tc>
      </w:tr>
      <w:tr>
        <w:trPr>
          <w:trHeight w:val="1037"/>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数据检索</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 基于医院数据中心的患者数据库，根据临床试验项目的入排标准，CRC或研究者通过入排条件设置对本院就诊患者进行潜在受试者筛选。</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 系统支持模糊检索和高级检索两种方式，模糊检索中支持按分类检索，并可选择模糊匹配或分词匹配；高级检索支持添加多个条件以及条件组，并按配置条件进行精确搜索。</w:t>
            </w:r>
            <w:r>
              <w:rPr>
                <w:rFonts w:hint="eastAsia" w:ascii="宋体" w:hAnsi="宋体" w:eastAsia="宋体" w:cs="Times New Roman"/>
                <w:color w:val="000000"/>
                <w:sz w:val="24"/>
                <w:szCs w:val="24"/>
                <w:highlight w:val="none"/>
                <w:lang w:val="en-US" w:eastAsia="zh-CN"/>
              </w:rPr>
            </w:r>
            <w:r/>
          </w:p>
        </w:tc>
      </w:tr>
      <w:tr>
        <w:trPr>
          <w:trHeight w:val="77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患者360视图</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1. 支持查看患者完整就诊信息。系统整合受试者作为患者在本院全部科室的所有诊疗信息，包括全量临床诊断、用药信息、治疗信息、检验报告、检查报告、病理报告、病历文书等。</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 支持自动调用医院报告中心查阅原始报告</w:t>
            </w:r>
            <w:r>
              <w:rPr>
                <w:rFonts w:hint="eastAsia" w:ascii="宋体" w:hAnsi="宋体" w:eastAsia="宋体" w:cs="Times New Roman"/>
                <w:color w:val="000000"/>
                <w:sz w:val="24"/>
                <w:szCs w:val="24"/>
                <w:highlight w:val="none"/>
                <w:lang w:val="en-US" w:eastAsia="zh-CN"/>
              </w:rPr>
            </w:r>
            <w:r/>
          </w:p>
        </w:tc>
      </w:tr>
      <w:tr>
        <w:trPr>
          <w:trHeight w:val="51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数据报表</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 系统提供患者库管理分析报表；</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2. 系统提供患者状态跟踪报表。</w:t>
            </w:r>
            <w:r>
              <w:rPr>
                <w:rFonts w:hint="eastAsia" w:ascii="宋体" w:hAnsi="宋体" w:eastAsia="宋体" w:cs="Times New Roman"/>
                <w:color w:val="000000"/>
                <w:sz w:val="24"/>
                <w:szCs w:val="24"/>
                <w:highlight w:val="none"/>
                <w:lang w:val="en-US" w:eastAsia="zh-CN"/>
              </w:rPr>
            </w:r>
            <w:r/>
          </w:p>
        </w:tc>
      </w:tr>
      <w:tr>
        <w:trPr>
          <w:trHeight w:val="518"/>
        </w:trPr>
        <w:tc>
          <w:tcPr>
            <w:tcW w:w="1129" w:type="dxa"/>
            <w:vAlign w:val="center"/>
            <w:vMerge w:val="continue"/>
            <w:textDirection w:val="lrTb"/>
            <w:noWrap w:val="false"/>
          </w:tcPr>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tc>
        <w:tc>
          <w:tcPr>
            <w:tcW w:w="1276"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报告统计</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 报告可按患者和病例维度进行统计分析；</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2. 支持可视化展示与导出，可按不同时间段对患者或者病例从入院时间分布、来源分布以及临床分期进行统计分析。</w:t>
            </w:r>
            <w:r>
              <w:rPr>
                <w:rFonts w:hint="eastAsia" w:ascii="宋体" w:hAnsi="宋体" w:eastAsia="宋体" w:cs="Times New Roman"/>
                <w:color w:val="000000"/>
                <w:sz w:val="24"/>
                <w:szCs w:val="24"/>
                <w:highlight w:val="none"/>
                <w:lang w:val="en-US" w:eastAsia="zh-CN"/>
              </w:rPr>
            </w:r>
            <w:r/>
          </w:p>
        </w:tc>
      </w:tr>
      <w:tr>
        <w:trPr>
          <w:trHeight w:val="53"/>
        </w:trPr>
        <w:tc>
          <w:tcPr>
            <w:gridSpan w:val="2"/>
            <w:tcW w:w="240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系统对接要求</w:t>
            </w:r>
            <w:r>
              <w:rPr>
                <w:rFonts w:hint="eastAsia" w:ascii="宋体" w:hAnsi="宋体" w:eastAsia="宋体" w:cs="Times New Roman"/>
                <w:color w:val="000000"/>
                <w:sz w:val="24"/>
                <w:szCs w:val="24"/>
                <w:highlight w:val="none"/>
                <w:lang w:val="en-US" w:eastAsia="zh-CN"/>
              </w:rPr>
            </w:r>
            <w:r/>
          </w:p>
        </w:tc>
        <w:tc>
          <w:tcPr>
            <w:tcW w:w="778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 支持与医院信息系统原I期临床系统、HIS、LIS、PACS、HRP等系统对接；</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2. 支持采用Web Service或WebAPI方式进行接口数据交互；</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3. 支持与院方集成平台对接接口管控和数据交互；</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4. 支持短信平台接口，按照设定条件自动发送信息；</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5. 支持自动化任务管理，对于特定的数据接口执行和处理采用定时和预约等机制使用；</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6. 支持与BE/I期临床试验项目管理系统对接，获取项目、受试者、随访等信息；</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7. 支持按照指定要求自动同步CDR或RDR中患者数据功能；</w:t>
            </w:r>
            <w:r>
              <w:rPr>
                <w:rFonts w:hint="eastAsia" w:ascii="宋体" w:hAnsi="宋体" w:eastAsia="宋体" w:cs="Times New Roman"/>
                <w:color w:val="000000"/>
                <w:sz w:val="24"/>
                <w:szCs w:val="24"/>
                <w:highlight w:val="none"/>
                <w:lang w:val="en-US" w:eastAsia="zh-CN"/>
              </w:rPr>
              <w:br w:type="textWrapping" w:clear="all"/>
            </w:r>
            <w:r>
              <w:rPr>
                <w:rFonts w:hint="eastAsia" w:ascii="宋体" w:hAnsi="宋体" w:eastAsia="宋体" w:cs="Times New Roman"/>
                <w:color w:val="000000"/>
                <w:sz w:val="24"/>
                <w:szCs w:val="24"/>
                <w:highlight w:val="none"/>
                <w:lang w:val="en-US" w:eastAsia="zh-CN"/>
              </w:rPr>
              <w:t xml:space="preserve">8. 支持操作人员手工同步CDR或RDR中患者数据功能。</w:t>
            </w:r>
            <w:r>
              <w:rPr>
                <w:rFonts w:hint="eastAsia" w:ascii="宋体" w:hAnsi="宋体" w:eastAsia="宋体" w:cs="Times New Roman"/>
                <w:color w:val="000000"/>
                <w:sz w:val="24"/>
                <w:szCs w:val="24"/>
                <w:highlight w:val="none"/>
                <w:lang w:val="en-US"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①供应商提供的系统能够根据采购人实际需求与医院各院区所有信息系统、集成</w:t>
      </w:r>
      <w:r>
        <w:rPr>
          <w:rFonts w:hint="eastAsia" w:ascii="宋体" w:hAnsi="宋体" w:eastAsia="宋体" w:cs="Times New Roman"/>
          <w:color w:val="000000"/>
          <w:sz w:val="24"/>
          <w:szCs w:val="24"/>
          <w:highlight w:val="none"/>
          <w:lang w:val="en-US" w:eastAsia="zh-CN"/>
        </w:rPr>
        <w:t xml:space="preserve">平台做对接及集成（对接人：王工 ；联系电话：025-83106666转60632）：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②本章中所列技术要求为医院项目初步需求，具体需求以国家最新政策标准为准。</w:t>
      </w:r>
      <w:r>
        <w:rPr>
          <w:rFonts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（4）运维要求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运维期：供应商应确保本次采购所有项目的安全稳定运行，提供3年运维服务（自验收报告签字确认日起，开始进入维保期，相关费用包含在本次报价中）。维保期内，本合同项目所有技术和服务发生任何非人为故障，由供应商负责系统恢复。</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⑤本采购项目出保后每年的维护费不超过合同总金额的5%。</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⑥质保期内供应商提供的系统软件升级，保证采购人使用最新版本软件。质保期满后软件版本内终身升级。</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②开发实施人员：不少于3人。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③项目组所有人员必须为供应商正式工作人员，不得兼任其他项目工作，未经采购人同意，人员不得更换。</w:t>
      </w:r>
      <w:r>
        <w:rPr>
          <w:rFonts w:hint="eastAsia" w:ascii="宋体" w:hAnsi="宋体" w:eastAsia="宋体" w:cs="Times New Roman"/>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满足采购人需求的、完整的、可最终良好运行的系统。</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提供项目的最终版本部署包及产品永久授权。</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（7）建设成果要求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①项目启动阶段：项目实施方案。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②业务需求分析阶段：需求调研方案、需求分析说明书。</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⑥运行维护阶段：系统维护方案、系统维护手册、系统运行维护记录。</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（8）信创适配要求</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项目涉及的软件、硬件产品满足信创要求。</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（9）网络安全等级保护测评要求</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供应商配合采购人，做好系统通过等保测评相关准备工作。</w:t>
      </w:r>
      <w:r>
        <w:rPr>
          <w:rFonts w:ascii="宋体" w:hAnsi="宋体" w:eastAsia="宋体" w:cs="Times New Roman"/>
          <w:color w:val="000000"/>
          <w:sz w:val="24"/>
          <w:szCs w:val="24"/>
          <w:highlight w:val="none"/>
          <w:lang w:val="en-US" w:eastAsia="zh-CN"/>
        </w:rPr>
      </w:r>
      <w:r/>
    </w:p>
    <w:p>
      <w:pPr>
        <w:pStyle w:val="869"/>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（10）系统培训要求</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二次，提供软件终身升级服务，费用包含在投标报价中。</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（11）网络安全和数据安全要求，外包网络安全管理要求</w:t>
      </w:r>
      <w:r>
        <w:rPr>
          <w:rFonts w:hint="eastAsia" w:ascii="宋体" w:hAnsi="宋体" w:eastAsia="宋体" w:cs="Times New Roman"/>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合同签订后30天内完成系统开发及整体交付验收工作</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87"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87"/>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9"/>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r>
      <w:r/>
    </w:p>
    <w:p>
      <w:pPr>
        <w:pStyle w:val="881"/>
        <w:numPr>
          <w:ilvl w:val="0"/>
          <w:numId w:val="0"/>
        </w:numPr>
        <w:jc w:val="both"/>
        <w:spacing w:after="0" w:line="264" w:lineRule="auto"/>
        <w:widowControl w:val="off"/>
        <w:rPr>
          <w:rFonts w:hint="eastAsia"/>
          <w:highlight w:val="none"/>
          <w:lang w:val="en-US" w:eastAsia="zh-CN"/>
        </w:rPr>
      </w:pPr>
      <w:r>
        <w:rPr>
          <w:rFonts w:hint="eastAsia"/>
          <w:highlight w:val="none"/>
          <w:lang w:val="en-US" w:eastAsia="zh-CN"/>
        </w:rPr>
      </w:r>
      <w:r/>
    </w:p>
    <w:p>
      <w:pPr>
        <w:pStyle w:val="869"/>
        <w:rPr>
          <w:rFonts w:hint="eastAsia"/>
          <w:highlight w:val="none"/>
          <w:lang w:val="en-US" w:eastAsia="zh-CN"/>
        </w:rPr>
      </w:pPr>
      <w:r>
        <w:rPr>
          <w:rFonts w:hint="eastAsia"/>
          <w:highlight w:val="none"/>
          <w:lang w:val="en-US" w:eastAsia="zh-CN"/>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b/>
          <w:bCs/>
          <w:color w:val="000000"/>
          <w:sz w:val="24"/>
          <w:szCs w:val="24"/>
          <w:highlight w:val="none"/>
        </w:rPr>
        <w:t xml:space="preserve">磋商小组按照评审</w:t>
      </w:r>
      <w:r>
        <w:rPr>
          <w:rFonts w:hint="eastAsia" w:ascii="宋体" w:hAnsi="宋体" w:cs="宋体"/>
          <w:b/>
          <w:bCs/>
          <w:color w:val="000000"/>
          <w:sz w:val="24"/>
          <w:szCs w:val="24"/>
          <w:highlight w:val="none"/>
          <w:lang w:val="en-US" w:eastAsia="zh-CN"/>
        </w:rPr>
        <w:t xml:space="preserve">总</w:t>
      </w:r>
      <w:r>
        <w:rPr>
          <w:rFonts w:hint="eastAsia" w:ascii="宋体" w:hAnsi="宋体" w:eastAsia="宋体" w:cs="宋体"/>
          <w:b/>
          <w:bCs/>
          <w:color w:val="000000"/>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color w:val="000000"/>
          <w:sz w:val="24"/>
          <w:szCs w:val="24"/>
          <w:highlight w:val="none"/>
        </w:rPr>
        <w:t xml:space="preserve">符合本磋商文件第二章第2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.1.2条</w:t>
      </w:r>
      <w:r>
        <w:rPr>
          <w:rFonts w:hint="eastAsia" w:ascii="宋体" w:hAnsi="宋体" w:cs="宋体"/>
          <w:b/>
          <w:bCs/>
          <w:color w:val="000000"/>
          <w:sz w:val="24"/>
          <w:szCs w:val="24"/>
          <w:highlight w:val="none"/>
          <w:lang w:val="en-US" w:eastAsia="zh-CN"/>
        </w:rPr>
        <w:t xml:space="preserve">第三款</w:t>
      </w:r>
      <w:r>
        <w:rPr>
          <w:rFonts w:hint="eastAsia" w:ascii="宋体" w:hAnsi="宋体" w:eastAsia="宋体" w:cs="宋体"/>
          <w:b/>
          <w:bCs/>
          <w:color w:val="000000"/>
          <w:sz w:val="24"/>
          <w:szCs w:val="24"/>
          <w:highlight w:val="none"/>
        </w:rPr>
        <w:t xml:space="preserve">情形的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可以推荐</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名成交候选供应商。</w:t>
      </w:r>
      <w:r>
        <w:rPr>
          <w:rFonts w:hint="eastAsia" w:ascii="宋体" w:hAnsi="宋体" w:eastAsia="宋体" w:cs="宋体"/>
          <w:color w:val="000000"/>
          <w:sz w:val="24"/>
          <w:szCs w:val="24"/>
          <w:highlight w:val="none"/>
        </w:rPr>
        <w:t xml:space="preserve">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w:t>
      </w:r>
      <w:r>
        <w:rPr>
          <w:rFonts w:hint="eastAsia" w:ascii="宋体" w:hAnsi="宋体" w:eastAsia="宋体" w:cs="宋体"/>
          <w:sz w:val="24"/>
          <w:szCs w:val="24"/>
          <w:highlight w:val="none"/>
        </w:rPr>
        <w:t xml:space="preserve">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jc w:val="left"/>
              <w:spacing w:line="264" w:lineRule="auto"/>
              <w:widowControl/>
              <w:rPr>
                <w:rFonts w:ascii="宋体" w:hAnsi="宋体" w:cs="宋体"/>
                <w:color w:val="000000"/>
                <w14:ligatures w14:val="none"/>
              </w:rPr>
            </w:pPr>
            <w:r>
              <w:rPr>
                <w:rFonts w:ascii="宋体" w:hAnsi="宋体" w:cs="宋体"/>
                <w:color w:val="000000"/>
              </w:rPr>
              <w:t xml:space="preserve">价格分</w:t>
            </w:r>
            <w:r>
              <w:rPr>
                <w:rFonts w:ascii="宋体" w:hAnsi="宋体" w:cs="宋体"/>
                <w:color w:val="000000"/>
              </w:rPr>
            </w:r>
            <w:r/>
          </w:p>
        </w:tc>
        <w:tc>
          <w:tcPr>
            <w:tcW w:w="6330" w:type="dxa"/>
            <w:vAlign w:val="center"/>
            <w:textDirection w:val="lrTb"/>
            <w:noWrap w:val="false"/>
          </w:tcPr>
          <w:p>
            <w:pPr>
              <w:jc w:val="left"/>
              <w:spacing w:line="264" w:lineRule="auto"/>
              <w:widowControl/>
              <w:rPr>
                <w:rFonts w:ascii="宋体" w:hAnsi="宋体" w:cs="宋体"/>
                <w:color w:val="000000"/>
                <w14:ligatures w14:val="none"/>
              </w:rPr>
            </w:pPr>
            <w:r>
              <w:rPr>
                <w:rFonts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rFonts w:ascii="宋体" w:hAnsi="宋体" w:cs="宋体"/>
                <w:color w:val="000000"/>
              </w:rPr>
            </w:r>
            <w:r/>
          </w:p>
          <w:p>
            <w:pPr>
              <w:jc w:val="left"/>
              <w:spacing w:line="264" w:lineRule="auto"/>
              <w:widowControl/>
              <w:rPr>
                <w:rFonts w:ascii="宋体" w:hAnsi="宋体" w:cs="宋体"/>
                <w:color w:val="000000"/>
                <w14:ligatures w14:val="none"/>
              </w:rPr>
            </w:pPr>
            <w:r>
              <w:rPr>
                <w:rFonts w:ascii="宋体" w:hAnsi="宋体" w:cs="宋体"/>
                <w:color w:val="000000"/>
                <w:lang w:val="en-US" w:eastAsia="zh-CN"/>
              </w:rPr>
              <w:t xml:space="preserve">因落实政府采购政策进行价格调整的，以调整后的价格计算评审基准价和最终报价。</w:t>
            </w:r>
            <w:r>
              <w:rPr>
                <w:rFonts w:ascii="宋体" w:hAnsi="宋体" w:cs="宋体"/>
                <w:color w:val="000000"/>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30</w:t>
            </w:r>
            <w:r>
              <w:rPr>
                <w:rFonts w:ascii="宋体" w:hAnsi="宋体" w:eastAsia="宋体" w:cs="宋体"/>
                <w:color w:val="000000"/>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价格分</w:t>
            </w:r>
            <w:r>
              <w:rPr>
                <w:rFonts w:hint="eastAsia" w:ascii="宋体" w:hAnsi="宋体" w:eastAsia="宋体" w:cs="宋体"/>
                <w:color w:val="000000"/>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Times New Roman" w:hAnsi="Times New Roman" w:eastAsia="宋体" w:cs="Times New Roman"/>
                <w:color w:val="000000"/>
                <w:highlight w:val="none"/>
                <w:lang w:val="en-US" w:eastAsia="zh-CN"/>
              </w:rPr>
              <w:t xml:space="preserve">产品技术参数</w:t>
            </w:r>
            <w:r>
              <w:rPr>
                <w:rFonts w:hint="eastAsia" w:ascii="宋体" w:hAnsi="宋体" w:eastAsia="宋体" w:cs="宋体"/>
                <w:color w:val="000000"/>
                <w:spacing w:val="-2"/>
                <w:highlight w:val="none"/>
                <w:lang w:eastAsia="zh-CN"/>
              </w:rPr>
            </w:r>
            <w:r/>
          </w:p>
        </w:tc>
        <w:tc>
          <w:tcPr>
            <w:tcW w:w="6330" w:type="dxa"/>
            <w:vAlign w:val="center"/>
            <w:textDirection w:val="lrTb"/>
            <w:noWrap w:val="false"/>
          </w:tcPr>
          <w:p>
            <w:pPr>
              <w:pStyle w:val="869"/>
              <w:jc w:val="left"/>
              <w:spacing w:line="264" w:lineRule="auto"/>
              <w:widowControl/>
              <w:rPr>
                <w:color w:val="000000"/>
                <w:highlight w:val="none"/>
              </w:rPr>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磋商文件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w:t>
            </w:r>
            <w:r>
              <w:rPr>
                <w:rFonts w:hint="eastAsia" w:ascii="宋体" w:hAnsi="宋体" w:cs="宋体"/>
                <w:color w:val="000000"/>
              </w:rPr>
              <w:t xml:space="preserve">响应，</w:t>
            </w:r>
            <w:r>
              <w:rPr>
                <w:rFonts w:ascii="宋体" w:hAnsi="宋体" w:cs="宋体"/>
                <w:color w:val="000000"/>
              </w:rPr>
              <w:t xml:space="preserve">打▲指标</w:t>
            </w:r>
            <w:r>
              <w:rPr>
                <w:rFonts w:hint="eastAsia" w:ascii="宋体" w:hAnsi="宋体" w:cs="宋体"/>
                <w:color w:val="000000"/>
                <w:lang w:eastAsia="zh-CN"/>
              </w:rPr>
              <w:t xml:space="preserve">（</w:t>
            </w:r>
            <w:r>
              <w:rPr>
                <w:rFonts w:hint="eastAsia" w:ascii="宋体" w:hAnsi="宋体" w:cs="宋体"/>
                <w:color w:val="000000"/>
                <w:lang w:val="en-US" w:eastAsia="zh-CN"/>
              </w:rPr>
              <w:t xml:space="preserve">7项</w:t>
            </w:r>
            <w:r>
              <w:rPr>
                <w:rFonts w:hint="eastAsia" w:ascii="宋体" w:hAnsi="宋体" w:cs="宋体"/>
                <w:color w:val="000000"/>
                <w:lang w:eastAsia="zh-CN"/>
              </w:rPr>
              <w:t xml:space="preserve">）</w:t>
            </w:r>
            <w:r>
              <w:rPr>
                <w:rFonts w:ascii="宋体" w:hAnsi="宋体" w:cs="宋体"/>
                <w:color w:val="000000"/>
              </w:rPr>
              <w:t xml:space="preserve">为重要指标，</w:t>
            </w:r>
            <w:r>
              <w:rPr>
                <w:rFonts w:hint="eastAsia" w:ascii="宋体" w:hAnsi="宋体" w:cs="宋体"/>
                <w:color w:val="000000"/>
                <w:szCs w:val="21"/>
              </w:rPr>
              <w:t xml:space="preserve">有1项负偏离扣</w:t>
            </w:r>
            <w:r>
              <w:rPr>
                <w:rFonts w:ascii="宋体" w:hAnsi="宋体" w:cs="宋体"/>
                <w:color w:val="000000"/>
                <w:szCs w:val="21"/>
              </w:rPr>
              <w:t xml:space="preserve">2</w:t>
            </w:r>
            <w:r>
              <w:rPr>
                <w:rFonts w:hint="eastAsia" w:ascii="宋体" w:hAnsi="宋体" w:cs="宋体"/>
                <w:color w:val="000000"/>
                <w:szCs w:val="21"/>
              </w:rPr>
              <w:t xml:space="preserve">分，其余指标有1项</w:t>
            </w:r>
            <w:r>
              <w:rPr>
                <w:rFonts w:hint="eastAsia" w:ascii="宋体" w:hAnsi="宋体" w:cs="宋体"/>
                <w:color w:val="000000"/>
                <w:szCs w:val="21"/>
              </w:rPr>
              <w:t xml:space="preserve">负偏离扣</w:t>
            </w:r>
            <w:r>
              <w:rPr>
                <w:rFonts w:ascii="宋体" w:hAnsi="宋体" w:cs="宋体"/>
                <w:color w:val="000000"/>
                <w:szCs w:val="21"/>
              </w:rPr>
              <w:t xml:space="preserve">0.5</w:t>
            </w:r>
            <w:r>
              <w:rPr>
                <w:rFonts w:hint="eastAsia" w:ascii="宋体" w:hAnsi="宋体" w:cs="宋体"/>
                <w:color w:val="000000"/>
                <w:szCs w:val="21"/>
              </w:rPr>
              <w:t xml:space="preserve">分。</w:t>
            </w:r>
            <w:r>
              <w:rPr>
                <w:color w:val="000000"/>
                <w:highlight w:val="none"/>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highlight w:val="none"/>
                <w:lang w:val="en-US" w:eastAsia="zh-CN"/>
              </w:rPr>
            </w:pPr>
            <w:r>
              <w:rPr>
                <w:rFonts w:ascii="宋体" w:hAnsi="宋体" w:cs="宋体"/>
                <w:color w:val="000000"/>
              </w:rPr>
              <w:t xml:space="preserve">25</w:t>
            </w:r>
            <w:r>
              <w:rPr>
                <w:rFonts w:ascii="宋体" w:hAnsi="宋体" w:eastAsia="宋体" w:cs="宋体"/>
                <w:color w:val="000000"/>
                <w:highlight w:val="none"/>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highlight w:val="none"/>
                <w:lang w:eastAsia="zh-CN"/>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highlight w:val="none"/>
                <w:lang w:eastAsia="zh-CN"/>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需求理解</w:t>
            </w:r>
            <w:r>
              <w:rPr>
                <w:rFonts w:hint="eastAsia" w:ascii="Times New Roman" w:hAnsi="Times New Roman" w:eastAsia="宋体" w:cs="Times New Roman"/>
                <w:color w:val="000000"/>
                <w:sz w:val="21"/>
                <w:szCs w:val="22"/>
                <w:highlight w:val="none"/>
                <w:lang w:val="en-US" w:eastAsia="zh-CN" w:bidi="ar-SA"/>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根据本项目采购需求及相关要求编制方案，内容包含：1.业务需求分析；2.建设目标分析；3.建设依据、必要性分析。以上每项内容逐项评分：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业务需求分析内容完整深刻、针对性强、紧贴采购需求，且专门针对本项目，契合采购需求视为符合；</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业务需求分析内容属于通用类，非专门针对本项目，部分契合采购需求视为部分符合；</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业务需求分析内容非专门针对本项目，脱离采购需求视为不符合。</w:t>
            </w:r>
            <w:r>
              <w:rPr>
                <w:rFonts w:hint="eastAsia" w:ascii="宋体" w:hAnsi="宋体" w:eastAsia="宋体" w:cs="宋体"/>
                <w:color w:val="000000"/>
                <w:sz w:val="21"/>
                <w:szCs w:val="21"/>
                <w:highlight w:val="none"/>
                <w:lang w:val="en-US" w:eastAsia="zh-CN" w:bidi="ar-SA"/>
              </w:rPr>
            </w:r>
            <w:r/>
          </w:p>
          <w:p>
            <w:pPr>
              <w:pStyle w:val="901"/>
              <w:ind w:left="0" w:right="0"/>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上述每项内容符合得2分；部分符合得1分；不符合或不提供不得分。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2"/>
                <w:lang w:val="en-US" w:eastAsia="zh-CN" w:bidi="ar-SA"/>
              </w:rPr>
            </w:pPr>
            <w:r>
              <w:rPr>
                <w:rFonts w:hint="eastAsia" w:ascii="宋体" w:hAnsi="宋体" w:cs="宋体"/>
                <w:color w:val="000000"/>
              </w:rPr>
              <w:t xml:space="preserve">6</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1"/>
                <w:szCs w:val="22"/>
                <w:lang w:val="en-US" w:eastAsia="zh-CN" w:bidi="ar-SA"/>
              </w:rPr>
            </w:pPr>
            <w:r>
              <w:rPr>
                <w:rFonts w:hint="eastAsia" w:ascii="宋体" w:hAnsi="宋体" w:cs="宋体"/>
                <w:color w:val="000000"/>
                <w:spacing w:val="-6"/>
              </w:rPr>
              <w:t xml:space="preserve">主观分</w:t>
            </w:r>
            <w:r>
              <w:rPr>
                <w:rFonts w:hint="eastAsia" w:ascii="宋体" w:hAnsi="宋体" w:eastAsia="宋体" w:cs="宋体"/>
                <w:color w:val="000000"/>
                <w:spacing w:val="-6"/>
                <w:sz w:val="21"/>
                <w:szCs w:val="22"/>
                <w:lang w:val="en-US" w:eastAsia="zh-CN" w:bidi="ar-SA"/>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总体技术方案</w:t>
            </w:r>
            <w:r>
              <w:rPr>
                <w:rFonts w:hint="eastAsia" w:ascii="Times New Roman" w:hAnsi="Times New Roman" w:eastAsia="宋体" w:cs="Times New Roman"/>
                <w:color w:val="000000"/>
                <w:sz w:val="21"/>
                <w:szCs w:val="22"/>
                <w:highlight w:val="none"/>
                <w:lang w:val="en-US" w:eastAsia="zh-CN" w:bidi="ar-SA"/>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根据本项目采购需求及相关要求编制方案，内容包括：1.总体架构和性能设计；2.用户界面和应用功能设计；3.系统部署和安全防护设计。以上每项内容逐项评分：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方案内容制定清晰完整，提供架构图层次分明，且专门针对本项目，契合采购需求视为符合；</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方案内容属于通用类，非专门针对本项目，部分契合采购需求视为部分符合；</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上述每项内容符合得2分；部分符合得1分；不符合或不提供不得分。</w:t>
            </w:r>
            <w:r>
              <w:rPr>
                <w:rFonts w:hint="eastAsia" w:ascii="宋体" w:hAnsi="宋体" w:eastAsia="宋体" w:cs="宋体"/>
                <w:color w:val="000000"/>
                <w:sz w:val="21"/>
                <w:szCs w:val="21"/>
                <w:highlight w:val="none"/>
                <w:lang w:val="zh-CN"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2"/>
                <w:highlight w:val="none"/>
                <w:lang w:val="en-US" w:eastAsia="zh-CN" w:bidi="ar-SA"/>
              </w:rPr>
            </w:pPr>
            <w:r>
              <w:rPr>
                <w:rFonts w:hint="eastAsia" w:ascii="宋体" w:hAnsi="宋体" w:cs="宋体"/>
                <w:color w:val="000000"/>
              </w:rPr>
              <w:t xml:space="preserve">6</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1"/>
                <w:szCs w:val="22"/>
                <w:highlight w:val="none"/>
                <w:lang w:val="en-US" w:eastAsia="zh-CN" w:bidi="ar-SA"/>
              </w:rPr>
            </w:pPr>
            <w:r>
              <w:rPr>
                <w:rFonts w:hint="eastAsia" w:ascii="宋体" w:hAnsi="宋体" w:cs="宋体"/>
                <w:color w:val="000000"/>
                <w:spacing w:val="-4"/>
              </w:rPr>
              <w:t xml:space="preserve">主观分</w:t>
            </w:r>
            <w:r>
              <w:rPr>
                <w:rFonts w:hint="eastAsia" w:ascii="宋体" w:hAnsi="宋体" w:eastAsia="宋体" w:cs="宋体"/>
                <w:color w:val="000000"/>
                <w:spacing w:val="-6"/>
                <w:sz w:val="21"/>
                <w:szCs w:val="22"/>
                <w:highlight w:val="none"/>
                <w:lang w:val="en-US" w:eastAsia="zh-CN" w:bidi="ar-SA"/>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宋体" w:hAnsi="宋体" w:eastAsia="宋体" w:cs="宋体"/>
                <w:color w:val="000000"/>
                <w:spacing w:val="-2"/>
                <w:highlight w:val="none"/>
              </w:rPr>
              <w:t xml:space="preserve">2</w:t>
            </w:r>
            <w:r>
              <w:rPr>
                <w:rFonts w:ascii="宋体" w:hAnsi="宋体" w:eastAsia="宋体" w:cs="宋体"/>
                <w:color w:val="000000"/>
                <w:spacing w:val="-2"/>
                <w:highlight w:val="none"/>
              </w:rPr>
              <w:t xml:space="preserve">.</w:t>
            </w:r>
            <w:r>
              <w:rPr>
                <w:rFonts w:hint="eastAsia" w:ascii="宋体" w:hAnsi="宋体" w:eastAsia="宋体" w:cs="宋体"/>
                <w:color w:val="000000"/>
                <w:spacing w:val="-2"/>
                <w:highlight w:val="none"/>
                <w:lang w:val="en-US" w:eastAsia="zh-CN"/>
              </w:rPr>
              <w:t xml:space="preserve">4</w:t>
            </w:r>
            <w:r>
              <w:rPr>
                <w:rFonts w:hint="eastAsia" w:ascii="宋体" w:hAnsi="宋体" w:eastAsia="宋体" w:cs="宋体"/>
                <w:color w:val="000000"/>
                <w:spacing w:val="-2"/>
                <w:highlight w:val="none"/>
                <w:lang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highlight w:val="none"/>
              </w:rPr>
            </w:pPr>
            <w:r>
              <w:rPr>
                <w:rFonts w:hint="eastAsia" w:ascii="Times New Roman" w:hAnsi="Times New Roman" w:eastAsia="宋体" w:cs="Times New Roman"/>
                <w:color w:val="000000"/>
                <w:sz w:val="21"/>
                <w:szCs w:val="21"/>
                <w:highlight w:val="none"/>
                <w:lang w:val="en-US" w:eastAsia="zh-CN"/>
              </w:rPr>
              <w:t xml:space="preserve">实施方案</w:t>
            </w:r>
            <w:r>
              <w:rPr>
                <w:rFonts w:hint="eastAsia" w:ascii="Times New Roman" w:hAnsi="Times New Roman" w:eastAsia="宋体" w:cs="Times New Roman"/>
                <w:color w:val="000000"/>
                <w:spacing w:val="0"/>
                <w:highlight w:val="none"/>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bookmarkStart w:id="88" w:name="OLE_LINK5"/>
            <w:r>
              <w:rPr>
                <w:rFonts w:hint="eastAsia" w:ascii="宋体" w:hAnsi="宋体" w:eastAsia="宋体" w:cs="宋体"/>
                <w:color w:val="000000"/>
                <w:sz w:val="21"/>
                <w:szCs w:val="21"/>
                <w:highlight w:val="none"/>
                <w:lang w:val="en-US" w:eastAsia="zh-CN" w:bidi="ar-SA"/>
              </w:rPr>
              <w:t xml:space="preserve">根据本项目采购需求及相关要求编制方案，内容包含：</w:t>
            </w:r>
            <w:bookmarkEnd w:id="88"/>
            <w:r>
              <w:rPr>
                <w:rFonts w:hint="eastAsia" w:ascii="宋体" w:hAnsi="宋体" w:eastAsia="宋体" w:cs="宋体"/>
                <w:color w:val="000000"/>
                <w:sz w:val="21"/>
                <w:szCs w:val="21"/>
                <w:highlight w:val="none"/>
                <w:lang w:val="en-US" w:eastAsia="zh-CN" w:bidi="ar-SA"/>
              </w:rPr>
              <w:t xml:space="preserve">1.实施流程；2.实施进度安排；3.验收措施。以上每项内容逐项评分：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方案内容制定规范完整，各环节衔接顺畅并贴合项目实际，且专门针对本项目，契合采购需求视为符合；</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方案内容属于通用类，非专门针对本项目，部分契合采购需求视为部分符合；</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方案内容非专门针对本项目，脱离采购需求视为不符合。</w:t>
            </w:r>
            <w:r>
              <w:rPr>
                <w:rFonts w:hint="eastAsia" w:ascii="宋体" w:hAnsi="宋体" w:eastAsia="宋体" w:cs="宋体"/>
                <w:color w:val="000000"/>
                <w:sz w:val="21"/>
                <w:szCs w:val="21"/>
                <w:highlight w:val="none"/>
                <w:lang w:val="en-US" w:eastAsia="zh-CN" w:bidi="ar-SA"/>
              </w:rPr>
            </w:r>
            <w:r/>
          </w:p>
          <w:p>
            <w:pPr>
              <w:pStyle w:val="901"/>
              <w:spacing w:line="264"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上述每项内容符合得2分；部分符合得1分；不符合或不提供不得分</w:t>
            </w:r>
            <w:r>
              <w:rPr>
                <w:rFonts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highlight w:val="none"/>
                <w:lang w:val="en-US" w:eastAsia="zh-CN"/>
              </w:rPr>
            </w:pPr>
            <w:r>
              <w:rPr>
                <w:rFonts w:hint="eastAsia" w:ascii="宋体" w:hAnsi="宋体" w:cs="宋体"/>
                <w:color w:val="000000"/>
              </w:rPr>
              <w:t xml:space="preserve">6</w:t>
            </w:r>
            <w:r>
              <w:rPr>
                <w:rFonts w:ascii="宋体" w:hAnsi="宋体" w:eastAsia="宋体" w:cs="宋体"/>
                <w:color w:val="000000"/>
                <w:highlight w:val="none"/>
                <w:lang w:val="en-US" w:eastAsia="zh-CN"/>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highlight w:val="none"/>
              </w:rPr>
            </w:pPr>
            <w:r>
              <w:rPr>
                <w:rFonts w:hint="eastAsia" w:ascii="宋体" w:hAnsi="宋体" w:cs="宋体"/>
                <w:color w:val="000000"/>
                <w:spacing w:val="-4"/>
              </w:rPr>
              <w:t xml:space="preserve">主观分</w:t>
            </w:r>
            <w:r>
              <w:rPr>
                <w:rFonts w:ascii="宋体" w:hAnsi="宋体" w:eastAsia="宋体" w:cs="宋体"/>
                <w:color w:val="000000"/>
                <w:highlight w:val="none"/>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运维服务方案</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根据本项目采购需求及相关要求编制方案，内容包含：1.技术支持；2.保障措施。以上每项内容逐项评分：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（1）技术支持</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提供专业技术支持，精准解决技术难题，保障项目顺利推进，得2分；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提供基本技术支持，能够响应常规技术需求，得1分；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未提供任何技术支持，不得分。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（2）保障措施</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保障措施安排全面完善，可有效规避项目实施风险，得2分；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保障措施基本到位，整体安排合理，得1分；</w:t>
            </w:r>
            <w:r>
              <w:rPr>
                <w:rFonts w:hint="eastAsia" w:ascii="宋体" w:hAnsi="宋体" w:eastAsia="宋体" w:cs="宋体"/>
                <w:color w:val="000000"/>
                <w:sz w:val="21"/>
                <w:szCs w:val="21"/>
                <w:highlight w:val="none"/>
                <w:lang w:val="en-US" w:eastAsia="zh-CN" w:bidi="ar-SA"/>
              </w:rPr>
            </w:r>
            <w:r/>
          </w:p>
          <w:p>
            <w:pPr>
              <w:pStyle w:val="901"/>
              <w:spacing w:line="264" w:lineRule="auto"/>
              <w:rPr>
                <w:color w:val="000000"/>
                <w:highlight w:val="none"/>
                <w:lang w:val="zh-CN" w:eastAsia="zh-CN"/>
              </w:rPr>
            </w:pPr>
            <w:r>
              <w:rPr>
                <w:rFonts w:hint="eastAsia" w:ascii="宋体" w:hAnsi="宋体" w:eastAsia="宋体" w:cs="宋体"/>
                <w:color w:val="000000"/>
                <w:sz w:val="21"/>
                <w:szCs w:val="21"/>
                <w:highlight w:val="none"/>
                <w:lang w:val="en-US" w:eastAsia="zh-CN" w:bidi="ar-SA"/>
              </w:rPr>
              <w:t xml:space="preserve">未提供任何保障措施的，不得分。</w:t>
            </w:r>
            <w:r>
              <w:rPr>
                <w:color w:val="000000"/>
                <w:highlight w:val="none"/>
                <w:lang w:val="zh-CN"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2"/>
                <w:highlight w:val="none"/>
                <w:lang w:val="en-US" w:eastAsia="zh-CN" w:bidi="ar-SA"/>
              </w:rPr>
            </w:pPr>
            <w:r>
              <w:rPr>
                <w:rFonts w:hint="eastAsia" w:ascii="宋体" w:hAnsi="宋体" w:cs="宋体"/>
                <w:color w:val="000000"/>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spacing w:val="-6"/>
                <w:highlight w:val="none"/>
                <w:lang w:val="en-US" w:eastAsia="zh-CN"/>
              </w:rPr>
            </w:pPr>
            <w:r>
              <w:rPr>
                <w:rFonts w:ascii="宋体" w:hAnsi="宋体" w:cs="宋体"/>
                <w:color w:val="000000"/>
                <w:spacing w:val="-6"/>
              </w:rPr>
              <w:t xml:space="preserve">主观分</w:t>
            </w:r>
            <w:r>
              <w:rPr>
                <w:rFonts w:ascii="宋体" w:hAnsi="宋体" w:eastAsia="宋体" w:cs="宋体"/>
                <w:color w:val="000000"/>
                <w:spacing w:val="-6"/>
                <w:highlight w:val="none"/>
                <w:lang w:val="en-US"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培训方案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根据本项目采购需求及相关要求编制方案，内容包含：1.培训计划；2.培训内容；3.培训质量保障措施。以上每项内容逐项评分：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（1）培训计划</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培训计划细化到不同角色，分层清晰，得1分；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培训计划有角色区分但不够详细，得0.5分；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未提供或提供的内容完全不符合采购需求的不得分。 </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（2）培训内容</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培训内容系统深入，覆盖面广，得1分；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培训内容覆盖基础操作但深度不足，得0.5分；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未提供或提供的内容完全不符合采购需求的不得分。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（3）培训质量保障措施</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培训质量保障措施清晰详细，具体有效，得1分；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培训质量保障措施较清晰详细，基本有效，得0.5分；</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color w:val="000000"/>
                <w:sz w:val="21"/>
                <w:szCs w:val="21"/>
                <w:highlight w:val="none"/>
                <w:lang w:val="en-US" w:bidi="ar-SA"/>
              </w:rPr>
            </w:pPr>
            <w:r>
              <w:rPr>
                <w:rFonts w:hint="eastAsia" w:ascii="宋体" w:hAnsi="宋体" w:eastAsia="宋体" w:cs="宋体"/>
                <w:color w:val="000000"/>
                <w:sz w:val="21"/>
                <w:szCs w:val="21"/>
                <w:highlight w:val="none"/>
                <w:lang w:val="en-US" w:eastAsia="zh-CN" w:bidi="ar-SA"/>
              </w:rPr>
              <w:t xml:space="preserve">未提供或内容完全不符合采购需求的不得分。</w:t>
            </w:r>
            <w:r>
              <w:rPr>
                <w:rFonts w:hint="eastAsia"/>
                <w:color w:val="000000"/>
                <w:sz w:val="21"/>
                <w:szCs w:val="21"/>
                <w:highlight w:val="none"/>
                <w:lang w:val="en-US"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2"/>
                <w:lang w:val="en-US" w:eastAsia="zh-CN" w:bidi="ar-SA"/>
              </w:rPr>
            </w:pPr>
            <w:r>
              <w:rPr>
                <w:rFonts w:ascii="宋体" w:hAnsi="宋体" w:cs="宋体"/>
                <w:color w:val="000000"/>
              </w:rPr>
              <w:t xml:space="preserve">3</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spacing w:val="-6"/>
                <w:sz w:val="21"/>
                <w:szCs w:val="22"/>
                <w:lang w:val="en-US" w:eastAsia="zh-CN" w:bidi="ar-SA"/>
              </w:rPr>
            </w:pPr>
            <w:r>
              <w:rPr>
                <w:rFonts w:ascii="宋体" w:hAnsi="宋体" w:cs="宋体"/>
                <w:color w:val="000000"/>
                <w:spacing w:val="-6"/>
              </w:rPr>
              <w:t xml:space="preserve">主观分</w:t>
            </w:r>
            <w:r>
              <w:rPr>
                <w:rFonts w:ascii="宋体" w:hAnsi="宋体" w:eastAsia="宋体" w:cs="宋体"/>
                <w:color w:val="000000"/>
                <w:spacing w:val="-6"/>
                <w:sz w:val="21"/>
                <w:szCs w:val="22"/>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本地化服务</w:t>
            </w:r>
            <w:r>
              <w:rPr>
                <w:rFonts w:hint="eastAsia" w:ascii="宋体" w:hAnsi="宋体" w:eastAsia="宋体" w:cs="宋体"/>
                <w:color w:val="000000"/>
                <w:spacing w:val="-2"/>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pacing w:val="-2"/>
                <w:highlight w:val="none"/>
                <w:lang w:val="en-US" w:eastAsia="zh-CN"/>
              </w:rPr>
            </w:pPr>
            <w:r>
              <w:rPr>
                <w:rFonts w:hint="eastAsia" w:ascii="宋体" w:hAnsi="宋体" w:eastAsia="宋体" w:cs="宋体"/>
                <w:color w:val="000000"/>
                <w:sz w:val="21"/>
                <w:szCs w:val="21"/>
                <w:highlight w:val="none"/>
                <w:lang w:val="en-US" w:eastAsia="zh-CN" w:bidi="ar-SA"/>
              </w:rPr>
              <w:t xml:space="preserve">供应商成交后能够提供本地化服务的得</w:t>
            </w: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分。（提供承诺书或有效证明材料）</w:t>
            </w:r>
            <w:r>
              <w:rPr>
                <w:rFonts w:hint="eastAsia" w:ascii="宋体" w:hAnsi="宋体" w:eastAsia="宋体" w:cs="宋体"/>
                <w:color w:val="000000"/>
                <w:spacing w:val="-2"/>
                <w:highlight w:val="none"/>
                <w:lang w:val="en-US"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highlight w:val="none"/>
                <w:lang w:val="en-US" w:eastAsia="zh-CN"/>
              </w:rPr>
            </w:pPr>
            <w:r>
              <w:rPr>
                <w:rFonts w:hint="eastAsia" w:ascii="宋体" w:hAnsi="宋体" w:cs="宋体"/>
                <w:color w:val="000000"/>
              </w:rPr>
              <w:t xml:space="preserve">1</w:t>
            </w:r>
            <w:r>
              <w:rPr>
                <w:rFonts w:ascii="宋体" w:hAnsi="宋体" w:eastAsia="宋体" w:cs="宋体"/>
                <w:color w:val="000000"/>
                <w:highlight w:val="none"/>
                <w:lang w:val="en-US" w:eastAsia="zh-CN"/>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spacing w:val="-6"/>
                <w:highlight w:val="none"/>
                <w:lang w:val="en-US" w:eastAsia="zh-CN"/>
              </w:rPr>
            </w:pPr>
            <w:r>
              <w:rPr>
                <w:rFonts w:hint="eastAsia" w:ascii="宋体" w:hAnsi="宋体" w:cs="宋体"/>
                <w:color w:val="000000"/>
                <w:spacing w:val="-6"/>
              </w:rPr>
              <w:t xml:space="preserve">客观分</w:t>
            </w:r>
            <w:r>
              <w:rPr>
                <w:rFonts w:ascii="宋体" w:hAnsi="宋体" w:eastAsia="宋体" w:cs="宋体"/>
                <w:color w:val="000000"/>
                <w:spacing w:val="-6"/>
                <w:highlight w:val="none"/>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供应商提供</w:t>
            </w:r>
            <w:r>
              <w:rPr>
                <w:rFonts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t xml:space="preserve">23</w:t>
            </w:r>
            <w:r>
              <w:rPr>
                <w:rFonts w:ascii="宋体" w:hAnsi="宋体" w:eastAsia="宋体" w:cs="宋体"/>
                <w:color w:val="000000"/>
                <w:sz w:val="21"/>
                <w:szCs w:val="21"/>
                <w:highlight w:val="none"/>
                <w:lang w:val="en-US" w:eastAsia="zh-CN" w:bidi="ar-SA"/>
              </w:rPr>
              <w:t xml:space="preserve">年</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月</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日（含）以来类似</w:t>
            </w:r>
            <w:r>
              <w:rPr>
                <w:rFonts w:hint="eastAsia" w:ascii="宋体" w:hAnsi="宋体" w:eastAsia="宋体" w:cs="宋体"/>
                <w:color w:val="000000"/>
                <w:sz w:val="21"/>
                <w:szCs w:val="21"/>
                <w:highlight w:val="none"/>
                <w:lang w:val="en-US" w:eastAsia="zh-CN" w:bidi="ar-SA"/>
              </w:rPr>
              <w:t xml:space="preserve">信息化</w:t>
            </w:r>
            <w:r>
              <w:rPr>
                <w:rFonts w:ascii="宋体" w:hAnsi="宋体" w:eastAsia="宋体" w:cs="宋体"/>
                <w:color w:val="000000"/>
                <w:sz w:val="21"/>
                <w:szCs w:val="21"/>
                <w:highlight w:val="none"/>
                <w:lang w:val="en-US" w:eastAsia="zh-CN" w:bidi="ar-SA"/>
              </w:rPr>
              <w:t xml:space="preserve">项目业绩</w:t>
            </w:r>
            <w:r>
              <w:rPr>
                <w:rFonts w:hint="eastAsia" w:ascii="宋体" w:hAnsi="宋体" w:eastAsia="宋体" w:cs="宋体"/>
                <w:color w:val="000000"/>
                <w:sz w:val="21"/>
                <w:szCs w:val="21"/>
                <w:highlight w:val="none"/>
                <w:lang w:val="en-US" w:eastAsia="zh-CN" w:bidi="ar-SA"/>
              </w:rPr>
              <w:t xml:space="preserve">（至少包含</w:t>
            </w:r>
            <w:bookmarkStart w:id="89" w:name="OLE_LINK2"/>
            <w:r>
              <w:rPr>
                <w:rFonts w:hint="eastAsia" w:ascii="宋体" w:hAnsi="宋体" w:eastAsia="宋体" w:cs="宋体"/>
                <w:color w:val="000000"/>
                <w:sz w:val="21"/>
                <w:szCs w:val="21"/>
                <w:highlight w:val="none"/>
                <w:lang w:val="en-US" w:eastAsia="zh-CN" w:bidi="ar-SA"/>
              </w:rPr>
              <w:t xml:space="preserve">筛选类、试验类</w:t>
            </w:r>
            <w:bookmarkEnd w:id="89"/>
            <w:r>
              <w:rPr>
                <w:rFonts w:hint="eastAsia" w:ascii="宋体" w:hAnsi="宋体" w:eastAsia="宋体" w:cs="宋体"/>
                <w:color w:val="000000"/>
                <w:sz w:val="21"/>
                <w:szCs w:val="21"/>
                <w:highlight w:val="none"/>
                <w:lang w:val="en-US" w:eastAsia="zh-CN" w:bidi="ar-SA"/>
              </w:rPr>
              <w:t xml:space="preserve">等相关内容）</w:t>
            </w:r>
            <w:r>
              <w:rPr>
                <w:rFonts w:ascii="宋体" w:hAnsi="宋体" w:eastAsia="宋体" w:cs="宋体"/>
                <w:color w:val="000000"/>
                <w:sz w:val="21"/>
                <w:szCs w:val="21"/>
                <w:highlight w:val="none"/>
                <w:lang w:val="en-US" w:eastAsia="zh-CN" w:bidi="ar-SA"/>
              </w:rPr>
              <w:t xml:space="preserve">，每提供</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个得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t xml:space="preserve">，最多得6分</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bidi="ar-SA"/>
              </w:rPr>
              <w:t xml:space="preserve">提供有效合同，合同</w:t>
            </w:r>
            <w:r>
              <w:rPr>
                <w:rFonts w:hint="eastAsia" w:ascii="宋体" w:hAnsi="宋体" w:eastAsia="宋体" w:cs="宋体"/>
                <w:color w:val="000000"/>
                <w:sz w:val="21"/>
                <w:szCs w:val="21"/>
                <w:highlight w:val="none"/>
                <w:lang w:val="en-US" w:eastAsia="zh-CN" w:bidi="ar-SA"/>
              </w:rPr>
              <w:t xml:space="preserve">页</w:t>
            </w:r>
            <w:r>
              <w:rPr>
                <w:rFonts w:ascii="宋体" w:hAnsi="宋体" w:eastAsia="宋体" w:cs="宋体"/>
                <w:color w:val="000000"/>
                <w:sz w:val="21"/>
                <w:szCs w:val="21"/>
                <w:highlight w:val="none"/>
                <w:lang w:val="en-US" w:eastAsia="zh-CN" w:bidi="ar-SA"/>
              </w:rPr>
              <w:t xml:space="preserve">须清晰可见相应内容）</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9"/>
              <w:jc w:val="center"/>
              <w:spacing w:line="264" w:lineRule="auto"/>
              <w:rPr>
                <w:rFonts w:ascii="Times New Roman" w:hAnsi="Times New Roman" w:eastAsia="宋体" w:cs="Times New Roman"/>
                <w:color w:val="000000"/>
                <w:sz w:val="21"/>
                <w:szCs w:val="21"/>
                <w:highlight w:val="none"/>
                <w:lang w:val="en-US" w:eastAsia="zh-CN" w:bidi="ar-SA"/>
              </w:rPr>
            </w:pPr>
            <w:r>
              <w:rPr>
                <w:rFonts w:ascii="宋体" w:hAnsi="宋体" w:cs="宋体"/>
                <w:color w:val="000000"/>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highlight w:val="none"/>
                <w:lang w:eastAsia="zh-CN"/>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highlight w:val="none"/>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5.履约能力</w:t>
            </w:r>
            <w:r>
              <w:rPr>
                <w:rFonts w:ascii="宋体" w:hAnsi="宋体" w:eastAsia="宋体" w:cs="宋体"/>
                <w:color w:val="000000"/>
                <w:highlight w:val="none"/>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1</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项目经理能力：</w:t>
            </w:r>
            <w:r>
              <w:rPr>
                <w:rFonts w:hint="eastAsia" w:ascii="宋体" w:hAnsi="宋体" w:eastAsia="宋体" w:cs="宋体"/>
                <w:color w:val="000000"/>
                <w:sz w:val="21"/>
                <w:szCs w:val="21"/>
                <w:highlight w:val="none"/>
                <w:lang w:val="en-US" w:eastAsia="zh-CN" w:bidi="ar-SA"/>
              </w:rPr>
            </w:r>
            <w:r/>
          </w:p>
          <w:p>
            <w:pPr>
              <w:pStyle w:val="901"/>
              <w:spacing w:line="264" w:lineRule="auto"/>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项目经理具有工信部和人社部颁发的信息系统项目管理师证书，得3分。</w:t>
            </w:r>
            <w:r>
              <w:rPr>
                <w:rFonts w:ascii="宋体" w:hAnsi="宋体" w:eastAsia="宋体" w:cs="宋体"/>
                <w:color w:val="000000"/>
                <w:sz w:val="21"/>
                <w:szCs w:val="21"/>
                <w:highlight w:val="none"/>
                <w:lang w:val="en-US" w:eastAsia="zh-CN" w:bidi="ar-SA"/>
              </w:rPr>
            </w:r>
            <w:r/>
          </w:p>
          <w:p>
            <w:pPr>
              <w:pStyle w:val="901"/>
              <w:spacing w:line="264" w:lineRule="auto"/>
              <w:rPr>
                <w:color w:val="000000"/>
                <w:highlight w:val="none"/>
                <w:lang w:val="en-US" w:eastAsia="zh-CN"/>
              </w:rPr>
            </w:pPr>
            <w:r>
              <w:rPr>
                <w:rFonts w:ascii="宋体" w:hAnsi="宋体" w:eastAsia="宋体" w:cs="宋体"/>
                <w:color w:val="000000"/>
                <w:sz w:val="21"/>
                <w:szCs w:val="21"/>
                <w:highlight w:val="none"/>
                <w:lang w:val="en-US" w:eastAsia="zh-CN" w:bidi="ar-SA"/>
              </w:rPr>
              <w:t xml:space="preserve">（提供人员证书</w:t>
            </w:r>
            <w:r>
              <w:rPr>
                <w:rFonts w:hint="eastAsia" w:ascii="宋体" w:hAnsi="宋体" w:eastAsia="宋体" w:cs="宋体"/>
                <w:color w:val="000000"/>
                <w:sz w:val="21"/>
                <w:szCs w:val="21"/>
                <w:highlight w:val="none"/>
                <w:lang w:val="en-US" w:eastAsia="zh-CN" w:bidi="ar-SA"/>
              </w:rPr>
              <w:t xml:space="preserve">及</w:t>
            </w:r>
            <w:r>
              <w:rPr>
                <w:rFonts w:ascii="宋体" w:hAnsi="宋体" w:eastAsia="宋体" w:cs="宋体"/>
                <w:color w:val="000000"/>
                <w:sz w:val="21"/>
                <w:szCs w:val="21"/>
                <w:highlight w:val="none"/>
                <w:lang w:val="en-US" w:eastAsia="zh-CN" w:bidi="ar-SA"/>
              </w:rPr>
              <w:t xml:space="preserve">供应商为其缴纳的2026年1月以来任意一个月的社保证明材料，缺一不可）</w:t>
            </w:r>
            <w:r>
              <w:rPr>
                <w:color w:val="000000"/>
                <w:highlight w:val="none"/>
                <w:lang w:val="en-US"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2"/>
                <w:highlight w:val="none"/>
                <w:lang w:val="en-US" w:eastAsia="zh-CN" w:bidi="ar-SA"/>
              </w:rPr>
            </w:pPr>
            <w:r>
              <w:rPr>
                <w:rFonts w:ascii="宋体" w:hAnsi="宋体" w:cs="宋体"/>
                <w:color w:val="000000"/>
              </w:rPr>
              <w:t xml:space="preserve">3</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highlight w:val="none"/>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2</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供应商拟投入本项目</w:t>
            </w:r>
            <w:r>
              <w:rPr>
                <w:rFonts w:ascii="宋体" w:hAnsi="宋体" w:eastAsia="宋体" w:cs="宋体"/>
                <w:color w:val="000000"/>
                <w:sz w:val="21"/>
                <w:szCs w:val="21"/>
                <w:highlight w:val="none"/>
                <w:lang w:val="en-US" w:eastAsia="zh-CN" w:bidi="ar-SA"/>
              </w:rPr>
              <w:t xml:space="preserve">团队成员</w:t>
            </w:r>
            <w:r>
              <w:rPr>
                <w:rFonts w:hint="eastAsia" w:ascii="宋体" w:hAnsi="宋体" w:eastAsia="宋体" w:cs="宋体"/>
                <w:color w:val="000000"/>
                <w:sz w:val="21"/>
                <w:szCs w:val="21"/>
                <w:highlight w:val="none"/>
                <w:lang w:val="en-US" w:eastAsia="zh-CN" w:bidi="ar-SA"/>
              </w:rPr>
              <w:t xml:space="preserve">（不含项目经理）：</w:t>
            </w:r>
            <w:r>
              <w:rPr>
                <w:rFonts w:hint="eastAsia" w:ascii="宋体" w:hAnsi="宋体" w:eastAsia="宋体" w:cs="宋体"/>
                <w:color w:val="000000"/>
                <w:sz w:val="21"/>
                <w:szCs w:val="21"/>
                <w:highlight w:val="none"/>
                <w:lang w:val="en-US" w:eastAsia="zh-CN" w:bidi="ar-SA"/>
              </w:rPr>
            </w:r>
            <w:r/>
          </w:p>
          <w:p>
            <w:pPr>
              <w:pStyle w:val="901"/>
              <w:numPr>
                <w:ilvl w:val="0"/>
                <w:numId w:val="5"/>
              </w:numPr>
              <w:spacing w:line="264" w:lineRule="auto"/>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具有工信部和人社部颁发的</w:t>
            </w:r>
            <w:r>
              <w:rPr>
                <w:rFonts w:hint="eastAsia" w:ascii="宋体" w:hAnsi="宋体" w:eastAsia="宋体" w:cs="宋体"/>
                <w:color w:val="000000"/>
                <w:sz w:val="21"/>
                <w:szCs w:val="21"/>
                <w:highlight w:val="none"/>
                <w:lang w:val="en-US" w:eastAsia="zh-CN" w:bidi="ar-SA"/>
              </w:rPr>
              <w:t xml:space="preserve">系统分析师</w:t>
            </w:r>
            <w:r>
              <w:rPr>
                <w:rFonts w:ascii="宋体" w:hAnsi="宋体" w:eastAsia="宋体" w:cs="宋体"/>
                <w:color w:val="000000"/>
                <w:sz w:val="21"/>
                <w:szCs w:val="21"/>
                <w:highlight w:val="none"/>
                <w:lang w:val="en-US" w:eastAsia="zh-CN" w:bidi="ar-SA"/>
              </w:rPr>
              <w:t xml:space="preserve">得</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901"/>
              <w:numPr>
                <w:ilvl w:val="0"/>
                <w:numId w:val="5"/>
              </w:numPr>
              <w:spacing w:line="264" w:lineRule="auto"/>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具有工信部和人社部颁发的软件设计师、系统集成项目管理工程师证书，每提供1个证书得</w:t>
            </w: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t xml:space="preserve">分，最多得</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901"/>
              <w:spacing w:line="264" w:lineRule="auto"/>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（一人多证及一证多人不重复得分。提供上述人员证书及供应商为其缴纳的2026年1月以来任意一个月的社保证明材料，缺一不可）</w:t>
            </w:r>
            <w:r>
              <w:rPr>
                <w:rFonts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color w:val="000000"/>
                <w:highlight w:val="none"/>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3</w:t>
            </w:r>
            <w:r>
              <w:rPr>
                <w:rFonts w:hint="eastAsia" w:ascii="Times New Roman" w:hAnsi="Times New Roman" w:eastAsia="宋体" w:cs="Times New Roman"/>
                <w:color w:val="000000"/>
                <w:spacing w:val="0"/>
                <w:highlight w:val="none"/>
                <w:lang w:eastAsia="zh-CN"/>
              </w:rPr>
            </w:r>
            <w:r/>
          </w:p>
        </w:tc>
        <w:tc>
          <w:tcPr>
            <w:tcW w:w="6330" w:type="dxa"/>
            <w:vAlign w:val="center"/>
            <w:textDirection w:val="lrTb"/>
            <w:noWrap w:val="false"/>
          </w:tcPr>
          <w:p>
            <w:pPr>
              <w:pStyle w:val="901"/>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供应商具有本项目相关的软件著作权证书，包含</w:t>
            </w:r>
            <w:r>
              <w:rPr>
                <w:rFonts w:ascii="宋体" w:hAnsi="宋体" w:eastAsia="宋体" w:cs="宋体"/>
                <w:color w:val="000000"/>
                <w:sz w:val="21"/>
                <w:szCs w:val="21"/>
                <w:highlight w:val="none"/>
                <w:lang w:val="en-US" w:eastAsia="zh-CN" w:bidi="ar-SA"/>
              </w:rPr>
              <w:t xml:space="preserve">“筛选、临床试验”</w:t>
            </w:r>
            <w:r>
              <w:rPr>
                <w:rFonts w:hint="eastAsia" w:ascii="宋体" w:hAnsi="宋体" w:eastAsia="宋体" w:cs="宋体"/>
                <w:color w:val="000000"/>
                <w:sz w:val="21"/>
                <w:szCs w:val="21"/>
                <w:highlight w:val="none"/>
                <w:lang w:val="en-US" w:eastAsia="zh-CN" w:bidi="ar-SA"/>
              </w:rPr>
              <w:t xml:space="preserve">类等相关内容，每提供1个证书得2分，最多得4分。 </w:t>
            </w:r>
            <w:r>
              <w:rPr>
                <w:rFonts w:hint="eastAsia" w:ascii="宋体" w:hAnsi="宋体" w:eastAsia="宋体" w:cs="宋体"/>
                <w:color w:val="000000"/>
                <w:sz w:val="21"/>
                <w:szCs w:val="21"/>
                <w:highlight w:val="none"/>
                <w:lang w:val="en-US" w:eastAsia="zh-CN" w:bidi="ar-SA"/>
              </w:rPr>
            </w:r>
            <w:r/>
          </w:p>
          <w:p>
            <w:pPr>
              <w:pStyle w:val="901"/>
              <w:spacing w:line="264" w:lineRule="auto"/>
              <w:rPr>
                <w:rFonts w:hint="eastAsia"/>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（所提供证书</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软件名称</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与评分细则规定不同时，应提供符合上述要求的内容（功能）说明及关键信息，否则不予认可）</w:t>
            </w:r>
            <w:r>
              <w:rPr>
                <w:rFonts w:hint="eastAsia"/>
                <w:color w:val="000000"/>
                <w:highlight w:val="none"/>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2"/>
                <w:highlight w:val="none"/>
                <w:lang w:val="en-US" w:eastAsia="zh-CN" w:bidi="ar-SA"/>
              </w:rPr>
            </w:pPr>
            <w:r>
              <w:rPr>
                <w:rFonts w:ascii="宋体" w:hAnsi="宋体" w:cs="宋体"/>
                <w:color w:val="000000"/>
              </w:rPr>
              <w:t xml:space="preserve">4</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869"/>
        <w:keepLines w:val="0"/>
        <w:keepNext w:val="0"/>
        <w:pageBreakBefore w:val="0"/>
        <w:spacing w:line="264" w:lineRule="auto"/>
        <w:widowControl w:val="off"/>
        <w:rPr>
          <w:rFonts w:hint="eastAsia"/>
          <w:highlight w:val="none"/>
        </w:rPr>
      </w:pPr>
      <w:r>
        <w:rPr>
          <w:rFonts w:hint="eastAsia"/>
          <w:highlight w:val="none"/>
        </w:rPr>
      </w:r>
      <w:r/>
    </w:p>
    <w:p>
      <w:pPr>
        <w:pStyle w:val="869"/>
        <w:keepLines w:val="0"/>
        <w:keepNext w:val="0"/>
        <w:pageBreakBefore w:val="0"/>
        <w:spacing w:line="288" w:lineRule="auto"/>
        <w:widowControl w:val="off"/>
        <w:rPr>
          <w:rFonts w:hint="eastAsia"/>
          <w:highlight w:val="none"/>
        </w:rPr>
      </w:pPr>
      <w:r>
        <w:rPr>
          <w:rFonts w:hint="eastAsia"/>
          <w:highlight w:val="none"/>
        </w:rPr>
      </w:r>
      <w:r/>
    </w:p>
    <w:p>
      <w:pPr>
        <w:pStyle w:val="948"/>
        <w:keepLines w:val="0"/>
        <w:keepNext w:val="0"/>
        <w:pageBreakBefore w:val="0"/>
        <w:spacing w:line="288" w:lineRule="auto"/>
        <w:widowControl w:val="off"/>
        <w:rPr>
          <w:rFonts w:hint="eastAsia"/>
          <w:highlight w:val="none"/>
        </w:rPr>
      </w:pPr>
      <w:r>
        <w:rPr>
          <w:rFonts w:hint="eastAsia"/>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4"/>
      <w:r/>
      <w:bookmarkEnd w:id="85"/>
      <w:r/>
      <w:bookmarkEnd w:id="86"/>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sz w:val="72"/>
          <w:szCs w:val="21"/>
          <w:highlight w:val="none"/>
        </w:rPr>
      </w:pPr>
      <w:r/>
      <w:bookmarkStart w:id="90" w:name="_Hlt26955039"/>
      <w:r/>
      <w:bookmarkEnd w:id="90"/>
      <w:r/>
      <w:bookmarkStart w:id="91" w:name="_Hlt26671244"/>
      <w:r/>
      <w:bookmarkEnd w:id="91"/>
      <w:r/>
      <w:bookmarkStart w:id="92" w:name="_Toc49090576"/>
      <w:r/>
      <w:bookmarkStart w:id="93" w:name="_Toc120614282"/>
      <w:r/>
      <w:bookmarkStart w:id="94" w:name="_Toc26554094"/>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72"/>
          <w:szCs w:val="21"/>
          <w:highlight w:val="none"/>
        </w:rPr>
      </w:pPr>
      <w:r>
        <w:rPr>
          <w:rFonts w:hint="eastAsia" w:ascii="宋体" w:hAnsi="宋体"/>
          <w:b/>
          <w:sz w:val="72"/>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jc w:val="center"/>
        <w:rPr>
          <w:rFonts w:hint="eastAsia" w:ascii="宋体" w:hAnsi="宋体"/>
          <w:b/>
          <w:sz w:val="36"/>
          <w:szCs w:val="21"/>
          <w:highlight w:val="none"/>
        </w:rPr>
      </w:pPr>
      <w:r>
        <w:rPr>
          <w:rFonts w:hint="eastAsia" w:ascii="宋体" w:hAnsi="宋体"/>
          <w:b/>
          <w:sz w:val="36"/>
          <w:szCs w:val="21"/>
          <w:highlight w:val="none"/>
        </w:rPr>
      </w:r>
      <w:r/>
    </w:p>
    <w:p>
      <w:pPr>
        <w:pStyle w:val="869"/>
        <w:ind w:firstLine="1084"/>
        <w:rPr>
          <w:rFonts w:ascii="宋体" w:hAnsi="宋体" w:eastAsia="宋体"/>
          <w:b/>
          <w:sz w:val="36"/>
          <w:szCs w:val="21"/>
          <w:highlight w:val="none"/>
          <w:lang w:val="en-US" w:eastAsia="zh-CN"/>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9"/>
        <w:ind w:firstLine="1084"/>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rPr>
          <w:rFonts w:ascii="宋体" w:hAnsi="宋体" w:eastAsia="宋体"/>
          <w:b/>
          <w:sz w:val="36"/>
          <w:szCs w:val="21"/>
          <w:highlight w:val="none"/>
          <w:u w:val="single"/>
          <w:lang w:val="en-US" w:eastAsia="zh-CN"/>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9"/>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9"/>
        <w:spacing w:line="440" w:lineRule="exact"/>
        <w:rPr>
          <w:rFonts w:ascii="宋体" w:hAnsi="宋体"/>
          <w:szCs w:val="21"/>
          <w:highlight w:val="none"/>
        </w:rPr>
      </w:pPr>
      <w:r>
        <w:rPr>
          <w:rFonts w:ascii="宋体" w:hAnsi="宋体"/>
          <w:szCs w:val="21"/>
          <w:highlight w:val="none"/>
        </w:rPr>
      </w:r>
      <w:r/>
    </w:p>
    <w:p>
      <w:pPr>
        <w:pStyle w:val="869"/>
        <w:jc w:val="both"/>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r>
      <w:r/>
    </w:p>
    <w:p>
      <w:pPr>
        <w:pStyle w:val="869"/>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（如有）</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9"/>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ind w:firstLine="480"/>
        <w:spacing w:line="440" w:lineRule="exact"/>
        <w:rPr>
          <w:rFonts w:ascii="宋体" w:hAnsi="宋体"/>
          <w:sz w:val="24"/>
          <w:szCs w:val="21"/>
          <w:highlight w:val="none"/>
        </w:rPr>
      </w:pPr>
      <w:r>
        <w:rPr>
          <w:rFonts w:ascii="宋体" w:hAnsi="宋体"/>
          <w:sz w:val="24"/>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8"/>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9"/>
        <w:rPr>
          <w:sz w:val="24"/>
          <w:szCs w:val="24"/>
          <w:highlight w:val="none"/>
        </w:rPr>
      </w:pPr>
      <w:r>
        <w:rPr>
          <w:sz w:val="24"/>
          <w:szCs w:val="24"/>
          <w:highlight w:val="none"/>
        </w:rPr>
      </w:r>
      <w:r/>
    </w:p>
    <w:p>
      <w:pPr>
        <w:pStyle w:val="869"/>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8"/>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楷体" w:hAnsi="楷体" w:eastAsia="楷体"/>
          <w:bCs/>
          <w:sz w:val="24"/>
          <w:szCs w:val="24"/>
          <w:highlight w:val="none"/>
        </w:rPr>
        <w:br w:type="page" w:clear="all"/>
      </w:r>
      <w:bookmarkEnd w:id="92"/>
      <w:r/>
      <w:bookmarkEnd w:id="93"/>
      <w:r/>
      <w:bookmarkEnd w:id="94"/>
      <w:r/>
      <w:bookmarkStart w:id="95"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69"/>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Cs w:val="21"/>
          <w:highlight w:val="none"/>
        </w:rPr>
        <w:t xml:space="preserve">                    （采购人名称）</w:t>
      </w:r>
      <w:r>
        <w:rPr>
          <w:rFonts w:hint="eastAsia" w:ascii="宋体" w:hAnsi="宋体" w:eastAsia="宋体"/>
          <w:sz w:val="24"/>
          <w:szCs w:val="21"/>
          <w:highlight w:val="none"/>
          <w:lang w:eastAsia="zh-CN"/>
        </w:rPr>
      </w:r>
      <w:r/>
    </w:p>
    <w:p>
      <w:pPr>
        <w:pStyle w:val="961"/>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向贵方提供所需服务（包含与货物相关的服务及与服务相关的货物）。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交付贵方验收、使用。</w:t>
      </w:r>
      <w:r>
        <w:rPr>
          <w:rFonts w:hint="eastAsia" w:ascii="宋体" w:hAnsi="宋体" w:eastAsia="宋体" w:cs="Times New Roman"/>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1"/>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61"/>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1"/>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9"/>
        <w:rPr>
          <w:rFonts w:hint="eastAsia" w:ascii="宋体" w:hAnsi="宋体"/>
          <w:szCs w:val="21"/>
          <w:highlight w:val="none"/>
        </w:rPr>
      </w:pPr>
      <w:r>
        <w:rPr>
          <w:rFonts w:hint="eastAsia" w:ascii="宋体" w:hAnsi="宋体"/>
          <w:szCs w:val="21"/>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9"/>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69"/>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sz w:val="24"/>
          <w:szCs w:val="24"/>
          <w:highlight w:val="none"/>
        </w:rPr>
        <w:t xml:space="preserve">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9"/>
        <w:rPr>
          <w:rFonts w:ascii="宋体" w:hAnsi="宋体"/>
          <w:sz w:val="24"/>
          <w:szCs w:val="24"/>
          <w:highlight w:val="none"/>
        </w:rPr>
      </w:pPr>
      <w:r>
        <w:rPr>
          <w:rFonts w:ascii="宋体" w:hAnsi="宋体"/>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9"/>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69"/>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9"/>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9"/>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9"/>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9"/>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81"/>
        <w:ind w:firstLine="0"/>
        <w:rPr>
          <w:rFonts w:hint="eastAsia"/>
          <w:highlight w:val="none"/>
        </w:rPr>
      </w:pPr>
      <w:r>
        <w:rPr>
          <w:rFonts w:hint="eastAsia"/>
          <w:highlight w:val="none"/>
        </w:rPr>
      </w:r>
      <w:r/>
    </w:p>
    <w:p>
      <w:pPr>
        <w:pStyle w:val="948"/>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69"/>
        <w:rPr>
          <w:rFonts w:hint="eastAsia"/>
          <w:highlight w:val="none"/>
        </w:rPr>
      </w:pPr>
      <w:r>
        <w:rPr>
          <w:rFonts w:hint="eastAsia"/>
          <w:highlight w:val="none"/>
        </w:rPr>
      </w:r>
      <w:r/>
    </w:p>
    <w:p>
      <w:pPr>
        <w:pStyle w:val="869"/>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948"/>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ascii="黑体" w:hAnsi="黑体" w:eastAsia="黑体" w:cs="Times New Roman"/>
          <w:i w:val="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9"/>
              <w:ind w:right="180"/>
              <w:jc w:val="center"/>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869"/>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9"/>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69"/>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69"/>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69"/>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9"/>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9"/>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bl>
    <w:p>
      <w:pPr>
        <w:pStyle w:val="869"/>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sz w:val="32"/>
          <w:szCs w:val="32"/>
          <w:highlight w:val="none"/>
          <w:u w:val="single"/>
          <w:lang w:val="en-US" w:eastAsia="zh-CN"/>
        </w:rPr>
        <w:br w:type="page" w:clear="all"/>
      </w:r>
      <w:bookmarkEnd w:id="82"/>
      <w:r/>
      <w:bookmarkEnd w:id="83"/>
      <w:r/>
      <w:bookmarkEnd w:id="95"/>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rPr>
          <w:rFonts w:hint="eastAsia"/>
          <w:b/>
          <w:bCs/>
          <w:highlight w:val="none"/>
        </w:rPr>
      </w:r>
      <w:r/>
    </w:p>
    <w:p>
      <w:pPr>
        <w:pStyle w:val="935"/>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b/>
          <w:bCs/>
          <w:highlight w:val="none"/>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9"/>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9"/>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96" w:name="_Hlt26782999"/>
            <w:r/>
            <w:bookmarkEnd w:id="96"/>
            <w:r/>
            <w:bookmarkStart w:id="97" w:name="_Hlt26955056"/>
            <w:r/>
            <w:bookmarkEnd w:id="97"/>
            <w:r/>
            <w:bookmarkStart w:id="98" w:name="_Hlt26671372"/>
            <w:r/>
            <w:bookmarkEnd w:id="98"/>
            <w:r/>
            <w:bookmarkStart w:id="99" w:name="_Hlt24879081"/>
            <w:r/>
            <w:bookmarkEnd w:id="99"/>
            <w:r/>
            <w:bookmarkStart w:id="100" w:name="_Hlt26955064"/>
            <w:r/>
            <w:bookmarkEnd w:id="100"/>
            <w:r/>
            <w:bookmarkStart w:id="101" w:name="_Hlt26671343"/>
            <w:r/>
            <w:bookmarkEnd w:id="101"/>
            <w:r/>
            <w:bookmarkStart w:id="102" w:name="_Hlt26580838"/>
            <w:r/>
            <w:bookmarkEnd w:id="102"/>
            <w:r/>
            <w:bookmarkStart w:id="103" w:name="_Hlt26609391"/>
            <w:r/>
            <w:bookmarkEnd w:id="10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5"/>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highlight w:val="none"/>
        </w:rPr>
      </w:pPr>
      <w:r>
        <w:rPr>
          <w:highlight w:val="none"/>
        </w:rPr>
      </w:r>
      <w:r/>
    </w:p>
    <w:p>
      <w:pPr>
        <w:pStyle w:val="869"/>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48"/>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9"/>
        <w:ind w:firstLine="482"/>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9"/>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48"/>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9"/>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9"/>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9"/>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9"/>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9"/>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9"/>
        <w:jc w:val="left"/>
        <w:keepLines w:val="0"/>
        <w:keepNext w:val="0"/>
        <w:widowControl/>
        <w:rPr>
          <w:highlight w:val="none"/>
        </w:rPr>
        <w:suppressLineNumbers w:val="0"/>
      </w:pPr>
      <w:r>
        <w:rPr>
          <w:highlight w:val="none"/>
        </w:rPr>
      </w:r>
      <w:r/>
    </w:p>
    <w:p>
      <w:pPr>
        <w:pStyle w:val="935"/>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pStyle w:val="869"/>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9"/>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9"/>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9"/>
        <w:rPr>
          <w:rFonts w:hint="eastAsia" w:ascii="宋体" w:hAnsi="宋体"/>
          <w:sz w:val="24"/>
          <w:szCs w:val="24"/>
          <w:highlight w:val="none"/>
        </w:rPr>
      </w:pPr>
      <w:r>
        <w:rPr>
          <w:rFonts w:hint="eastAsia"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9"/>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9"/>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4">
    <w:multiLevelType w:val="hybridMultilevel"/>
    <w:lvl w:ilvl="0">
      <w:start w:val="1"/>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9"/>
    <w:next w:val="869"/>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9"/>
    <w:next w:val="869"/>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9"/>
    <w:next w:val="869"/>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9"/>
    <w:next w:val="86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9"/>
    <w:next w:val="869"/>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9"/>
    <w:next w:val="86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9"/>
    <w:next w:val="86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9"/>
    <w:next w:val="86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9"/>
    <w:next w:val="869"/>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eastAsia="宋体" w:cs="Times New Roman"/>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Char"/>
    <w:basedOn w:val="879"/>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basedOn w:val="879"/>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文本首行缩进 2"/>
    <w:basedOn w:val="949"/>
    <w:next w:val="950"/>
    <w:link w:val="869"/>
    <w:qFormat/>
    <w:pPr>
      <w:ind w:left="0" w:firstLine="420"/>
      <w:spacing w:after="0" w:line="360" w:lineRule="auto"/>
    </w:pPr>
    <w:rPr>
      <w:rFonts w:ascii="宋体" w:hAnsi="宋体"/>
      <w:sz w:val="20"/>
      <w:szCs w:val="20"/>
      <w:lang w:val="en-US" w:eastAsia="en-US"/>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5"/>
    <w:link w:val="869"/>
    <w:qFormat/>
    <w:pPr>
      <w:spacing w:after="120"/>
    </w:pPr>
    <w:rPr>
      <w:rFonts w:ascii="宋体" w:hAnsi="Arial" w:eastAsia="宋体" w:cs="Times New Roman"/>
      <w:bCs/>
      <w:iCs/>
      <w:szCs w:val="24"/>
    </w:rPr>
  </w:style>
  <w:style w:type="paragraph" w:styleId="957">
    <w:name w:val="xl27"/>
    <w:basedOn w:val="869"/>
    <w:next w:val="957"/>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9"/>
    <w:next w:val="960"/>
    <w:link w:val="869"/>
    <w:rPr>
      <w:rFonts w:ascii="Tahoma" w:hAnsi="Tahoma"/>
      <w:sz w:val="24"/>
      <w:szCs w:val="24"/>
    </w:rPr>
  </w:style>
  <w:style w:type="paragraph" w:styleId="961">
    <w:name w:val="普通正文"/>
    <w:basedOn w:val="869"/>
    <w:next w:val="961"/>
    <w:link w:val="869"/>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9"/>
    <w:next w:val="965"/>
    <w:link w:val="869"/>
    <w:pPr>
      <w:spacing w:line="360" w:lineRule="auto"/>
    </w:pPr>
    <w:rPr>
      <w:rFonts w:ascii="Tahoma" w:hAnsi="Tahoma"/>
      <w:sz w:val="24"/>
      <w:szCs w:val="24"/>
    </w:rPr>
  </w:style>
  <w:style w:type="paragraph" w:styleId="966">
    <w:name w:val="List Paragraph"/>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qFormat/>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qFormat/>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qFormat/>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9"/>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_Style 112"/>
    <w:next w:val="985"/>
    <w:link w:val="869"/>
    <w:uiPriority w:val="99"/>
    <w:semiHidden/>
    <w:rPr>
      <w:rFonts w:ascii="Times New Roman" w:hAnsi="Times New Roman" w:eastAsia="宋体" w:cs="Times New Roman"/>
      <w:sz w:val="21"/>
      <w:szCs w:val="21"/>
      <w:lang w:val="en-US" w:eastAsia="zh-CN" w:bidi="ar-SA"/>
    </w:rPr>
  </w:style>
  <w:style w:type="paragraph" w:styleId="986">
    <w:name w:val="No Spacing"/>
    <w:next w:val="986"/>
    <w:link w:val="869"/>
    <w:uiPriority w:val="99"/>
    <w:qFormat/>
    <w:pPr>
      <w:jc w:val="both"/>
      <w:widowControl w:val="off"/>
    </w:pPr>
    <w:rPr>
      <w:rFonts w:ascii="Times New Roman" w:hAnsi="Times New Roman" w:eastAsia="宋体" w:cs="Times New Roman"/>
      <w:sz w:val="21"/>
      <w:szCs w:val="21"/>
      <w:lang w:val="en-US" w:eastAsia="zh-CN" w:bidi="ar-SA"/>
    </w:rPr>
  </w:style>
  <w:style w:type="table" w:styleId="987">
    <w:name w:val="Table Normal"/>
    <w:next w:val="987"/>
    <w:link w:val="869"/>
    <w:qFormat/>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character" w:styleId="994">
    <w:name w:val="15"/>
    <w:basedOn w:val="879"/>
    <w:next w:val="994"/>
    <w:link w:val="869"/>
    <w:rPr>
      <w:rFonts w:ascii="Times New Roman" w:hAnsi="Times New Roman" w:cs="Times New Roman"/>
    </w:r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paragraph" w:styleId="998">
    <w:name w:val="Table Paragraph"/>
    <w:basedOn w:val="869"/>
    <w:next w:val="998"/>
    <w:link w:val="869"/>
    <w:uiPriority w:val="1"/>
    <w:qFormat/>
    <w:pPr>
      <w:jc w:val="left"/>
    </w:pPr>
    <w:rPr>
      <w:rFonts w:ascii="宋体" w:hAnsi="宋体" w:eastAsia="宋体" w:cs="宋体"/>
      <w:sz w:val="22"/>
      <w:szCs w:val="22"/>
      <w:lang w:val="zh-CN" w:bidi="zh-CN"/>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5</cp:revision>
  <dcterms:created xsi:type="dcterms:W3CDTF">2023-03-27T07:28:00Z</dcterms:created>
  <dcterms:modified xsi:type="dcterms:W3CDTF">2026-08-24T01:21:11Z</dcterms:modified>
</cp:coreProperties>
</file>