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D70B59">
      <w:pPr>
        <w:pStyle w:val="7"/>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75E6DB9">
      <w:pPr>
        <w:pStyle w:val="7"/>
        <w:spacing w:before="120" w:beforeAutospacing="0" w:after="120" w:afterAutospacing="0" w:line="360" w:lineRule="auto"/>
        <w:rPr>
          <w:rFonts w:hint="eastAsia" w:asciiTheme="majorEastAsia" w:hAnsiTheme="majorEastAsia" w:eastAsiaTheme="majorEastAsia" w:cstheme="majorEastAsia"/>
          <w:color w:val="auto"/>
          <w:highlight w:val="none"/>
        </w:rPr>
      </w:pPr>
    </w:p>
    <w:p w14:paraId="40F8D5C1">
      <w:pPr>
        <w:pStyle w:val="7"/>
        <w:spacing w:before="120" w:beforeAutospacing="0" w:after="120" w:afterAutospacing="0" w:line="360" w:lineRule="auto"/>
        <w:jc w:val="center"/>
        <w:rPr>
          <w:rFonts w:hint="eastAsia" w:asciiTheme="majorEastAsia" w:hAnsiTheme="majorEastAsia" w:eastAsiaTheme="majorEastAsia" w:cstheme="majorEastAsia"/>
          <w:b/>
          <w:color w:val="auto"/>
          <w:sz w:val="84"/>
          <w:szCs w:val="84"/>
          <w:highlight w:val="none"/>
        </w:rPr>
      </w:pPr>
      <w:r>
        <w:rPr>
          <w:rFonts w:hint="eastAsia" w:asciiTheme="majorEastAsia" w:hAnsiTheme="majorEastAsia" w:eastAsiaTheme="majorEastAsia" w:cstheme="majorEastAsia"/>
          <w:b/>
          <w:color w:val="auto"/>
          <w:sz w:val="84"/>
          <w:szCs w:val="84"/>
          <w:highlight w:val="none"/>
        </w:rPr>
        <w:t>招 标 文 件</w:t>
      </w:r>
    </w:p>
    <w:p w14:paraId="0BFB49EE">
      <w:pPr>
        <w:pStyle w:val="7"/>
        <w:spacing w:before="120" w:beforeAutospacing="0" w:after="120" w:afterAutospacing="0" w:line="360" w:lineRule="auto"/>
        <w:jc w:val="center"/>
        <w:rPr>
          <w:rFonts w:hint="eastAsia" w:asciiTheme="majorEastAsia" w:hAnsiTheme="majorEastAsia" w:eastAsiaTheme="majorEastAsia" w:cstheme="majorEastAsia"/>
          <w:b/>
          <w:color w:val="auto"/>
          <w:sz w:val="84"/>
          <w:szCs w:val="84"/>
          <w:highlight w:val="none"/>
        </w:rPr>
      </w:pPr>
    </w:p>
    <w:p w14:paraId="3EAE28F8">
      <w:pPr>
        <w:pStyle w:val="7"/>
        <w:spacing w:before="120" w:beforeAutospacing="0" w:after="120" w:afterAutospacing="0" w:line="360" w:lineRule="auto"/>
        <w:jc w:val="center"/>
        <w:rPr>
          <w:rFonts w:hint="eastAsia" w:asciiTheme="majorEastAsia" w:hAnsiTheme="majorEastAsia" w:eastAsiaTheme="majorEastAsia" w:cstheme="majorEastAsia"/>
          <w:b/>
          <w:color w:val="auto"/>
          <w:sz w:val="84"/>
          <w:szCs w:val="84"/>
          <w:highlight w:val="none"/>
        </w:rPr>
      </w:pPr>
    </w:p>
    <w:p w14:paraId="440F17C2">
      <w:pPr>
        <w:pStyle w:val="7"/>
        <w:spacing w:before="120" w:beforeAutospacing="0" w:after="120" w:afterAutospacing="0" w:line="360" w:lineRule="auto"/>
        <w:ind w:firstLine="964" w:firstLineChars="300"/>
        <w:rPr>
          <w:rFonts w:hint="eastAsia" w:asciiTheme="majorEastAsia" w:hAnsiTheme="majorEastAsia" w:eastAsiaTheme="majorEastAsia" w:cstheme="majorEastAsia"/>
          <w:b/>
          <w:color w:val="auto"/>
          <w:sz w:val="32"/>
          <w:szCs w:val="32"/>
          <w:highlight w:val="none"/>
          <w:lang w:eastAsia="zh-CN"/>
        </w:rPr>
      </w:pPr>
      <w:r>
        <w:rPr>
          <w:rFonts w:hint="eastAsia" w:asciiTheme="majorEastAsia" w:hAnsiTheme="majorEastAsia" w:eastAsiaTheme="majorEastAsia" w:cstheme="majorEastAsia"/>
          <w:b/>
          <w:color w:val="auto"/>
          <w:sz w:val="32"/>
          <w:szCs w:val="32"/>
          <w:highlight w:val="none"/>
        </w:rPr>
        <w:t>项目名称：</w:t>
      </w:r>
      <w:r>
        <w:rPr>
          <w:rFonts w:hint="eastAsia" w:asciiTheme="majorEastAsia" w:hAnsiTheme="majorEastAsia" w:eastAsiaTheme="majorEastAsia" w:cstheme="majorEastAsia"/>
          <w:b/>
          <w:color w:val="auto"/>
          <w:sz w:val="32"/>
          <w:szCs w:val="32"/>
          <w:highlight w:val="none"/>
          <w:lang w:eastAsia="zh-CN"/>
        </w:rPr>
        <w:t>滨海县2026年国土变更调查项目（采购包2  二次）</w:t>
      </w:r>
    </w:p>
    <w:p w14:paraId="75FB8DA4">
      <w:pPr>
        <w:pStyle w:val="7"/>
        <w:spacing w:before="120" w:beforeAutospacing="0" w:after="120" w:afterAutospacing="0" w:line="360" w:lineRule="auto"/>
        <w:ind w:firstLine="964" w:firstLineChars="300"/>
        <w:rPr>
          <w:rFonts w:hint="default"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项目编号：</w:t>
      </w:r>
      <w:r>
        <w:rPr>
          <w:rFonts w:hint="eastAsia" w:asciiTheme="majorEastAsia" w:hAnsiTheme="majorEastAsia" w:eastAsiaTheme="majorEastAsia" w:cstheme="majorEastAsia"/>
          <w:b/>
          <w:color w:val="auto"/>
          <w:sz w:val="32"/>
          <w:szCs w:val="32"/>
          <w:highlight w:val="none"/>
          <w:lang w:eastAsia="zh-CN"/>
        </w:rPr>
        <w:t>JSZC-320922-YTGC-G2026-0022</w:t>
      </w:r>
    </w:p>
    <w:p w14:paraId="2380D169">
      <w:pPr>
        <w:pStyle w:val="7"/>
        <w:spacing w:before="120" w:beforeAutospacing="0" w:after="120" w:afterAutospacing="0" w:line="360" w:lineRule="auto"/>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 </w:t>
      </w:r>
    </w:p>
    <w:p w14:paraId="1F6D6E97">
      <w:pPr>
        <w:pStyle w:val="7"/>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B6228C0">
      <w:pPr>
        <w:pStyle w:val="7"/>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C574AA9">
      <w:pPr>
        <w:pStyle w:val="7"/>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D164D88">
      <w:pPr>
        <w:pStyle w:val="7"/>
        <w:spacing w:beforeAutospacing="0" w:afterAutospacing="0" w:line="360" w:lineRule="auto"/>
        <w:rPr>
          <w:rFonts w:hint="eastAsia" w:asciiTheme="majorEastAsia" w:hAnsiTheme="majorEastAsia" w:eastAsiaTheme="majorEastAsia" w:cstheme="majorEastAsia"/>
          <w:color w:val="auto"/>
          <w:highlight w:val="none"/>
        </w:rPr>
      </w:pPr>
    </w:p>
    <w:p w14:paraId="1D5B188E">
      <w:pPr>
        <w:pStyle w:val="7"/>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DA331B4">
      <w:pPr>
        <w:pStyle w:val="7"/>
        <w:spacing w:before="120" w:beforeAutospacing="0" w:after="120" w:afterAutospacing="0" w:line="360" w:lineRule="auto"/>
        <w:jc w:val="center"/>
        <w:rPr>
          <w:rFonts w:hint="eastAsia" w:asciiTheme="majorEastAsia" w:hAnsiTheme="majorEastAsia" w:eastAsiaTheme="majorEastAsia" w:cstheme="majorEastAsia"/>
          <w:b/>
          <w:color w:val="auto"/>
          <w:sz w:val="32"/>
          <w:szCs w:val="32"/>
          <w:highlight w:val="none"/>
          <w:lang w:val="en-US" w:eastAsia="zh-CN"/>
        </w:rPr>
      </w:pPr>
      <w:r>
        <w:rPr>
          <w:rFonts w:hint="eastAsia" w:asciiTheme="majorEastAsia" w:hAnsiTheme="majorEastAsia" w:eastAsiaTheme="majorEastAsia" w:cstheme="majorEastAsia"/>
          <w:b/>
          <w:color w:val="auto"/>
          <w:sz w:val="32"/>
          <w:szCs w:val="32"/>
          <w:highlight w:val="none"/>
          <w:lang w:val="en-US" w:eastAsia="zh-CN"/>
        </w:rPr>
        <w:t>滨海县自然资源和规划局</w:t>
      </w:r>
    </w:p>
    <w:p w14:paraId="409A096E">
      <w:pPr>
        <w:pStyle w:val="7"/>
        <w:spacing w:before="120" w:beforeAutospacing="0" w:after="12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lang w:val="en-US" w:eastAsia="zh-CN"/>
        </w:rPr>
        <w:t>2026</w:t>
      </w:r>
      <w:r>
        <w:rPr>
          <w:rFonts w:hint="eastAsia" w:asciiTheme="majorEastAsia" w:hAnsiTheme="majorEastAsia" w:eastAsiaTheme="majorEastAsia" w:cstheme="majorEastAsia"/>
          <w:b/>
          <w:color w:val="auto"/>
          <w:sz w:val="32"/>
          <w:szCs w:val="32"/>
          <w:highlight w:val="none"/>
        </w:rPr>
        <w:t>年</w:t>
      </w:r>
      <w:r>
        <w:rPr>
          <w:rFonts w:hint="eastAsia" w:asciiTheme="majorEastAsia" w:hAnsiTheme="majorEastAsia" w:eastAsiaTheme="majorEastAsia" w:cstheme="majorEastAsia"/>
          <w:b/>
          <w:color w:val="auto"/>
          <w:sz w:val="32"/>
          <w:szCs w:val="32"/>
          <w:highlight w:val="none"/>
          <w:lang w:val="en-US" w:eastAsia="zh-CN"/>
        </w:rPr>
        <w:t>7</w:t>
      </w:r>
      <w:r>
        <w:rPr>
          <w:rFonts w:hint="eastAsia" w:asciiTheme="majorEastAsia" w:hAnsiTheme="majorEastAsia" w:eastAsiaTheme="majorEastAsia" w:cstheme="majorEastAsia"/>
          <w:b/>
          <w:color w:val="auto"/>
          <w:sz w:val="32"/>
          <w:szCs w:val="32"/>
          <w:highlight w:val="none"/>
        </w:rPr>
        <w:t>月</w:t>
      </w:r>
    </w:p>
    <w:p w14:paraId="1D135651">
      <w:pPr>
        <w:pStyle w:val="7"/>
        <w:spacing w:before="120" w:beforeAutospacing="0" w:after="12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w:t>
      </w:r>
    </w:p>
    <w:p w14:paraId="128E92F0">
      <w:pPr>
        <w:pStyle w:val="7"/>
        <w:spacing w:before="120" w:beforeAutospacing="0" w:after="120" w:afterAutospacing="0" w:line="36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5B2E9C6">
      <w:pPr>
        <w:pStyle w:val="7"/>
        <w:spacing w:beforeAutospacing="0" w:afterAutospacing="0" w:line="480" w:lineRule="auto"/>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1"/>
          <w:szCs w:val="21"/>
          <w:highlight w:val="none"/>
        </w:rPr>
        <w:br w:type="page"/>
      </w:r>
      <w:r>
        <w:rPr>
          <w:rFonts w:hint="eastAsia" w:asciiTheme="majorEastAsia" w:hAnsiTheme="majorEastAsia" w:eastAsiaTheme="majorEastAsia" w:cstheme="majorEastAsia"/>
          <w:color w:val="auto"/>
          <w:sz w:val="21"/>
          <w:szCs w:val="21"/>
          <w:highlight w:val="none"/>
        </w:rPr>
        <w:t> </w:t>
      </w:r>
      <w:bookmarkStart w:id="0" w:name="_Toc523127445"/>
      <w:bookmarkStart w:id="1" w:name="_Toc20823272"/>
      <w:bookmarkStart w:id="2" w:name="_Toc479757206"/>
      <w:bookmarkStart w:id="3" w:name="_Toc16938516"/>
      <w:bookmarkStart w:id="4" w:name="_Toc513029200"/>
      <w:bookmarkStart w:id="5" w:name="_Toc120614210"/>
      <w:r>
        <w:rPr>
          <w:rFonts w:hint="eastAsia" w:asciiTheme="majorEastAsia" w:hAnsiTheme="majorEastAsia" w:eastAsiaTheme="majorEastAsia" w:cstheme="majorEastAsia"/>
          <w:color w:val="auto"/>
          <w:sz w:val="21"/>
          <w:szCs w:val="21"/>
          <w:highlight w:val="none"/>
        </w:rPr>
        <w:t> </w:t>
      </w:r>
      <w:r>
        <w:rPr>
          <w:rFonts w:hint="eastAsia" w:asciiTheme="majorEastAsia" w:hAnsiTheme="majorEastAsia" w:eastAsiaTheme="majorEastAsia" w:cstheme="majorEastAsia"/>
          <w:b/>
          <w:color w:val="auto"/>
          <w:sz w:val="44"/>
          <w:szCs w:val="44"/>
          <w:highlight w:val="none"/>
        </w:rPr>
        <w:t>总  目  录</w:t>
      </w:r>
      <w:bookmarkEnd w:id="0"/>
      <w:bookmarkEnd w:id="1"/>
      <w:bookmarkEnd w:id="2"/>
      <w:bookmarkEnd w:id="3"/>
      <w:bookmarkEnd w:id="4"/>
      <w:bookmarkEnd w:id="5"/>
    </w:p>
    <w:p w14:paraId="71F115FF">
      <w:pPr>
        <w:pStyle w:val="7"/>
        <w:spacing w:beforeAutospacing="0" w:afterAutospacing="0" w:line="48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46737A0">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第一章  招标公告</w:t>
      </w:r>
    </w:p>
    <w:p w14:paraId="734B2CC2">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第二章  </w:t>
      </w:r>
      <w:r>
        <w:rPr>
          <w:rFonts w:hint="eastAsia" w:asciiTheme="majorEastAsia" w:hAnsiTheme="majorEastAsia" w:eastAsiaTheme="majorEastAsia" w:cstheme="majorEastAsia"/>
          <w:color w:val="auto"/>
          <w:sz w:val="36"/>
          <w:szCs w:val="36"/>
          <w:highlight w:val="none"/>
        </w:rPr>
        <w:t xml:space="preserve">投标人须知 </w:t>
      </w:r>
    </w:p>
    <w:p w14:paraId="5BC15696">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第三章  </w:t>
      </w:r>
      <w:r>
        <w:rPr>
          <w:rFonts w:hint="eastAsia" w:asciiTheme="majorEastAsia" w:hAnsiTheme="majorEastAsia" w:eastAsiaTheme="majorEastAsia" w:cstheme="majorEastAsia"/>
          <w:color w:val="auto"/>
          <w:sz w:val="36"/>
          <w:szCs w:val="36"/>
          <w:highlight w:val="none"/>
        </w:rPr>
        <w:t>合同文本</w:t>
      </w:r>
    </w:p>
    <w:p w14:paraId="4EB3C5C2">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第四章  </w:t>
      </w:r>
      <w:r>
        <w:rPr>
          <w:rFonts w:hint="eastAsia" w:asciiTheme="majorEastAsia" w:hAnsiTheme="majorEastAsia" w:eastAsiaTheme="majorEastAsia" w:cstheme="majorEastAsia"/>
          <w:color w:val="auto"/>
          <w:sz w:val="36"/>
          <w:szCs w:val="36"/>
          <w:highlight w:val="none"/>
        </w:rPr>
        <w:t>采购需求</w:t>
      </w:r>
    </w:p>
    <w:p w14:paraId="699645E3">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第五章  </w:t>
      </w:r>
      <w:r>
        <w:rPr>
          <w:rFonts w:hint="eastAsia" w:asciiTheme="majorEastAsia" w:hAnsiTheme="majorEastAsia" w:eastAsiaTheme="majorEastAsia" w:cstheme="majorEastAsia"/>
          <w:color w:val="auto"/>
          <w:sz w:val="36"/>
          <w:szCs w:val="36"/>
          <w:highlight w:val="none"/>
        </w:rPr>
        <w:t>评标方法与评标标准</w:t>
      </w:r>
    </w:p>
    <w:p w14:paraId="2F50E340">
      <w:pPr>
        <w:pStyle w:val="7"/>
        <w:tabs>
          <w:tab w:val="left" w:pos="1441"/>
        </w:tabs>
        <w:spacing w:beforeAutospacing="0" w:afterAutospacing="0" w:line="480" w:lineRule="auto"/>
        <w:ind w:left="2160" w:hanging="14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6"/>
          <w:szCs w:val="36"/>
          <w:highlight w:val="none"/>
          <w:lang w:val="en-US" w:eastAsia="zh-CN"/>
        </w:rPr>
        <w:t xml:space="preserve">第六章  </w:t>
      </w:r>
      <w:r>
        <w:rPr>
          <w:rFonts w:hint="eastAsia" w:asciiTheme="majorEastAsia" w:hAnsiTheme="majorEastAsia" w:eastAsiaTheme="majorEastAsia" w:cstheme="majorEastAsia"/>
          <w:color w:val="auto"/>
          <w:sz w:val="36"/>
          <w:szCs w:val="36"/>
          <w:highlight w:val="none"/>
        </w:rPr>
        <w:t>投标文件格式</w:t>
      </w:r>
    </w:p>
    <w:p w14:paraId="574E18D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E460964">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3743CF">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B84FB8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33DA316">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37A0728">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F127E2">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6473135">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2A4B686">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A9D7F2F">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18619B9">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FB977D7">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70EE61E">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871CC70">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F6B2A3F">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B8A8E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A390555">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11ECF8">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5611610">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67834B8">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EC40F99">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EA5AC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B060CC2">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1458CA7">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DD31A3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59EBDE7">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87B9D3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ACE760">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20C4F0E">
      <w:pPr>
        <w:pStyle w:val="7"/>
        <w:spacing w:beforeAutospacing="0" w:afterAutospacing="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 </w:t>
      </w:r>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color w:val="auto"/>
          <w:sz w:val="28"/>
          <w:szCs w:val="28"/>
          <w:highlight w:val="none"/>
          <w:lang w:val="en-US" w:eastAsia="zh-CN"/>
        </w:rPr>
        <w:t xml:space="preserve">     </w:t>
      </w:r>
      <w:r>
        <w:rPr>
          <w:rFonts w:hint="eastAsia" w:asciiTheme="majorEastAsia" w:hAnsiTheme="majorEastAsia" w:eastAsiaTheme="majorEastAsia" w:cstheme="majorEastAsia"/>
          <w:b/>
          <w:bCs/>
          <w:color w:val="auto"/>
          <w:sz w:val="28"/>
          <w:szCs w:val="28"/>
          <w:highlight w:val="none"/>
          <w:lang w:val="en-US" w:eastAsia="zh-CN"/>
        </w:rPr>
        <w:t xml:space="preserve">      </w:t>
      </w:r>
      <w:r>
        <w:rPr>
          <w:rFonts w:hint="eastAsia" w:asciiTheme="majorEastAsia" w:hAnsiTheme="majorEastAsia" w:eastAsiaTheme="majorEastAsia" w:cstheme="majorEastAsia"/>
          <w:b/>
          <w:bCs/>
          <w:color w:val="auto"/>
          <w:sz w:val="48"/>
          <w:szCs w:val="48"/>
          <w:highlight w:val="none"/>
        </w:rPr>
        <w:t>第一章 </w:t>
      </w:r>
      <w:r>
        <w:rPr>
          <w:rFonts w:hint="eastAsia" w:asciiTheme="majorEastAsia" w:hAnsiTheme="majorEastAsia" w:eastAsiaTheme="majorEastAsia" w:cstheme="majorEastAsia"/>
          <w:b/>
          <w:bCs/>
          <w:color w:val="auto"/>
          <w:sz w:val="48"/>
          <w:szCs w:val="48"/>
          <w:highlight w:val="none"/>
          <w:lang w:val="en-US" w:eastAsia="zh-CN"/>
        </w:rPr>
        <w:t>招标公告</w:t>
      </w:r>
    </w:p>
    <w:p w14:paraId="57B6D876">
      <w:pPr>
        <w:pStyle w:val="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项目概况</w:t>
      </w:r>
    </w:p>
    <w:p w14:paraId="5C2260CA">
      <w:pPr>
        <w:pStyle w:val="7"/>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u w:val="single"/>
          <w:lang w:eastAsia="zh-CN"/>
        </w:rPr>
        <w:t>滨海县2026年国土变更调查项目（采购包2  二次）</w:t>
      </w:r>
      <w:r>
        <w:rPr>
          <w:rFonts w:hint="eastAsia" w:asciiTheme="majorEastAsia" w:hAnsiTheme="majorEastAsia" w:eastAsiaTheme="majorEastAsia" w:cstheme="majorEastAsia"/>
          <w:color w:val="auto"/>
          <w:sz w:val="24"/>
          <w:szCs w:val="24"/>
          <w:highlight w:val="none"/>
        </w:rPr>
        <w:t>招标项目的潜在投标人可在“苏采云”系统内免费下载（投标人必须在苏采云系统中获取采购文件，方能参与政府采购项目），并于</w:t>
      </w:r>
      <w:r>
        <w:rPr>
          <w:rFonts w:hint="eastAsia" w:asciiTheme="majorEastAsia" w:hAnsiTheme="majorEastAsia" w:eastAsiaTheme="majorEastAsia" w:cstheme="majorEastAsia"/>
          <w:color w:val="auto"/>
          <w:sz w:val="24"/>
          <w:szCs w:val="24"/>
          <w:highlight w:val="none"/>
          <w:u w:val="single"/>
          <w:lang w:val="en-US" w:eastAsia="zh-CN"/>
        </w:rPr>
        <w:t>2026</w:t>
      </w:r>
      <w:r>
        <w:rPr>
          <w:rFonts w:hint="eastAsia" w:asciiTheme="majorEastAsia" w:hAnsiTheme="majorEastAsia" w:eastAsiaTheme="majorEastAsia" w:cstheme="majorEastAsia"/>
          <w:color w:val="auto"/>
          <w:sz w:val="24"/>
          <w:szCs w:val="24"/>
          <w:highlight w:val="none"/>
          <w:u w:val="single"/>
        </w:rPr>
        <w:t>年</w:t>
      </w:r>
      <w:r>
        <w:rPr>
          <w:rFonts w:hint="eastAsia" w:asciiTheme="majorEastAsia" w:hAnsiTheme="majorEastAsia" w:eastAsiaTheme="majorEastAsia" w:cstheme="majorEastAsia"/>
          <w:color w:val="auto"/>
          <w:sz w:val="24"/>
          <w:szCs w:val="24"/>
          <w:highlight w:val="none"/>
          <w:u w:val="single"/>
          <w:lang w:val="en-US" w:eastAsia="zh-CN"/>
        </w:rPr>
        <w:t>8</w:t>
      </w:r>
      <w:r>
        <w:rPr>
          <w:rFonts w:hint="eastAsia" w:asciiTheme="majorEastAsia" w:hAnsiTheme="majorEastAsia" w:eastAsiaTheme="majorEastAsia" w:cstheme="majorEastAsia"/>
          <w:color w:val="auto"/>
          <w:sz w:val="24"/>
          <w:szCs w:val="24"/>
          <w:highlight w:val="none"/>
          <w:u w:val="single"/>
        </w:rPr>
        <w:t>月</w:t>
      </w:r>
      <w:r>
        <w:rPr>
          <w:rFonts w:hint="eastAsia" w:asciiTheme="majorEastAsia" w:hAnsiTheme="majorEastAsia" w:eastAsiaTheme="majorEastAsia" w:cstheme="majorEastAsia"/>
          <w:color w:val="auto"/>
          <w:sz w:val="24"/>
          <w:szCs w:val="24"/>
          <w:highlight w:val="none"/>
          <w:u w:val="single"/>
          <w:lang w:val="en-US" w:eastAsia="zh-CN"/>
        </w:rPr>
        <w:t>12</w:t>
      </w:r>
      <w:r>
        <w:rPr>
          <w:rFonts w:hint="eastAsia" w:asciiTheme="majorEastAsia" w:hAnsiTheme="majorEastAsia" w:eastAsiaTheme="majorEastAsia" w:cstheme="majorEastAsia"/>
          <w:color w:val="auto"/>
          <w:sz w:val="24"/>
          <w:szCs w:val="24"/>
          <w:highlight w:val="none"/>
          <w:u w:val="single"/>
        </w:rPr>
        <w:t>日</w:t>
      </w:r>
      <w:r>
        <w:rPr>
          <w:rFonts w:hint="eastAsia" w:asciiTheme="majorEastAsia" w:hAnsiTheme="majorEastAsia" w:eastAsiaTheme="majorEastAsia" w:cstheme="majorEastAsia"/>
          <w:color w:val="auto"/>
          <w:sz w:val="24"/>
          <w:szCs w:val="24"/>
          <w:highlight w:val="none"/>
          <w:u w:val="single"/>
          <w:lang w:val="en-US" w:eastAsia="zh-CN"/>
        </w:rPr>
        <w:t>09</w:t>
      </w:r>
      <w:r>
        <w:rPr>
          <w:rFonts w:hint="eastAsia" w:asciiTheme="majorEastAsia" w:hAnsiTheme="majorEastAsia" w:eastAsiaTheme="majorEastAsia" w:cstheme="majorEastAsia"/>
          <w:color w:val="auto"/>
          <w:sz w:val="24"/>
          <w:szCs w:val="24"/>
          <w:highlight w:val="none"/>
          <w:u w:val="single"/>
        </w:rPr>
        <w:t>点</w:t>
      </w:r>
      <w:r>
        <w:rPr>
          <w:rFonts w:hint="eastAsia" w:asciiTheme="majorEastAsia" w:hAnsiTheme="majorEastAsia" w:eastAsiaTheme="majorEastAsia" w:cstheme="majorEastAsia"/>
          <w:color w:val="auto"/>
          <w:sz w:val="24"/>
          <w:szCs w:val="24"/>
          <w:highlight w:val="none"/>
          <w:u w:val="single"/>
          <w:lang w:val="en-US" w:eastAsia="zh-CN"/>
        </w:rPr>
        <w:t>00</w:t>
      </w:r>
      <w:r>
        <w:rPr>
          <w:rFonts w:hint="eastAsia" w:asciiTheme="majorEastAsia" w:hAnsiTheme="majorEastAsia" w:eastAsiaTheme="majorEastAsia" w:cstheme="majorEastAsia"/>
          <w:color w:val="auto"/>
          <w:sz w:val="24"/>
          <w:szCs w:val="24"/>
          <w:highlight w:val="none"/>
          <w:u w:val="single"/>
        </w:rPr>
        <w:t>分</w:t>
      </w:r>
      <w:r>
        <w:rPr>
          <w:rFonts w:hint="eastAsia" w:asciiTheme="majorEastAsia" w:hAnsiTheme="majorEastAsia" w:eastAsiaTheme="majorEastAsia" w:cstheme="majorEastAsia"/>
          <w:color w:val="auto"/>
          <w:sz w:val="24"/>
          <w:szCs w:val="24"/>
          <w:highlight w:val="none"/>
          <w:u w:val="single"/>
          <w:lang w:val="en-US" w:eastAsia="zh-CN"/>
        </w:rPr>
        <w:t>00秒</w:t>
      </w:r>
      <w:r>
        <w:rPr>
          <w:rFonts w:hint="eastAsia" w:asciiTheme="majorEastAsia" w:hAnsiTheme="majorEastAsia" w:eastAsiaTheme="majorEastAsia" w:cstheme="majorEastAsia"/>
          <w:color w:val="auto"/>
          <w:sz w:val="24"/>
          <w:szCs w:val="24"/>
          <w:highlight w:val="none"/>
          <w:u w:val="single"/>
        </w:rPr>
        <w:t>（</w:t>
      </w:r>
      <w:r>
        <w:rPr>
          <w:rFonts w:hint="eastAsia" w:asciiTheme="majorEastAsia" w:hAnsiTheme="majorEastAsia" w:eastAsiaTheme="majorEastAsia" w:cstheme="majorEastAsia"/>
          <w:color w:val="auto"/>
          <w:sz w:val="24"/>
          <w:szCs w:val="24"/>
          <w:highlight w:val="none"/>
        </w:rPr>
        <w:t>北京时间）前递交投标文件。</w:t>
      </w:r>
    </w:p>
    <w:p w14:paraId="3C820E06">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bookmarkStart w:id="6" w:name="_Hlk24379207"/>
      <w:bookmarkStart w:id="7" w:name="_Toc38985263"/>
      <w:bookmarkStart w:id="8" w:name="_Toc35393790"/>
      <w:bookmarkStart w:id="9" w:name="_Toc28359079"/>
      <w:bookmarkStart w:id="10" w:name="_Toc28359002"/>
      <w:bookmarkStart w:id="11" w:name="_Toc35393621"/>
      <w:r>
        <w:rPr>
          <w:rFonts w:hint="eastAsia" w:asciiTheme="majorEastAsia" w:hAnsiTheme="majorEastAsia" w:eastAsiaTheme="majorEastAsia" w:cstheme="majorEastAsia"/>
          <w:b/>
          <w:color w:val="auto"/>
          <w:sz w:val="24"/>
          <w:szCs w:val="24"/>
          <w:highlight w:val="none"/>
        </w:rPr>
        <w:t>一、项目基本情况</w:t>
      </w:r>
      <w:bookmarkEnd w:id="6"/>
      <w:bookmarkEnd w:id="7"/>
      <w:bookmarkEnd w:id="8"/>
      <w:bookmarkEnd w:id="9"/>
      <w:bookmarkEnd w:id="10"/>
      <w:bookmarkEnd w:id="11"/>
      <w:bookmarkStart w:id="201" w:name="_GoBack"/>
      <w:bookmarkEnd w:id="201"/>
    </w:p>
    <w:p w14:paraId="222ED26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1.项目编号：</w:t>
      </w:r>
      <w:r>
        <w:rPr>
          <w:rFonts w:hint="eastAsia" w:asciiTheme="majorEastAsia" w:hAnsiTheme="majorEastAsia" w:eastAsiaTheme="majorEastAsia" w:cstheme="majorEastAsia"/>
          <w:color w:val="auto"/>
          <w:sz w:val="24"/>
          <w:szCs w:val="24"/>
          <w:highlight w:val="none"/>
          <w:lang w:eastAsia="zh-CN"/>
        </w:rPr>
        <w:t>JSZC-320922-YTGC-G2026-0022</w:t>
      </w:r>
    </w:p>
    <w:p w14:paraId="16DA3B32">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2.项目名称：</w:t>
      </w:r>
      <w:r>
        <w:rPr>
          <w:rFonts w:hint="eastAsia" w:asciiTheme="majorEastAsia" w:hAnsiTheme="majorEastAsia" w:eastAsiaTheme="majorEastAsia" w:cstheme="majorEastAsia"/>
          <w:color w:val="auto"/>
          <w:sz w:val="24"/>
          <w:szCs w:val="24"/>
          <w:highlight w:val="none"/>
          <w:lang w:eastAsia="zh-CN"/>
        </w:rPr>
        <w:t>滨海县2026年国土变更调查项目（采购包2  二次）</w:t>
      </w:r>
    </w:p>
    <w:p w14:paraId="6387C919">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采购方式：</w:t>
      </w:r>
      <w:r>
        <w:rPr>
          <w:rFonts w:hint="eastAsia" w:asciiTheme="majorEastAsia" w:hAnsiTheme="majorEastAsia" w:eastAsiaTheme="majorEastAsia" w:cstheme="majorEastAsia"/>
          <w:color w:val="auto"/>
          <w:sz w:val="24"/>
          <w:szCs w:val="24"/>
          <w:highlight w:val="none"/>
          <w:lang w:val="en-US" w:eastAsia="zh-CN"/>
        </w:rPr>
        <w:t>公开招标</w:t>
      </w:r>
    </w:p>
    <w:p w14:paraId="23A4C3D2">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.预算金额：</w:t>
      </w:r>
      <w:r>
        <w:rPr>
          <w:rFonts w:hint="eastAsia" w:asciiTheme="majorEastAsia" w:hAnsiTheme="majorEastAsia" w:eastAsiaTheme="majorEastAsia" w:cstheme="majorEastAsia"/>
          <w:color w:val="auto"/>
          <w:sz w:val="24"/>
          <w:szCs w:val="24"/>
          <w:highlight w:val="none"/>
          <w:lang w:val="en-US" w:eastAsia="zh-CN"/>
        </w:rPr>
        <w:t>10万元</w:t>
      </w:r>
    </w:p>
    <w:p w14:paraId="7205A9D4">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5.最高限价：10万元</w:t>
      </w:r>
    </w:p>
    <w:p w14:paraId="7E43C656">
      <w:pPr>
        <w:spacing w:line="460" w:lineRule="exact"/>
        <w:ind w:firstLine="480" w:firstLineChars="20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6.采购需求：滨海县通过国家核查的数据成果资料进行汇总，形成滨海县2026年度变更调查数据册；在汇总分析的基础上，形成滨海县2026年度土地利用变化情况分析报告，同时对滨海县国土变更调查工作进行技术指导。详细内容见本招标文件第四章。</w:t>
      </w:r>
    </w:p>
    <w:p w14:paraId="612CCF5A">
      <w:pPr>
        <w:spacing w:line="460" w:lineRule="exact"/>
        <w:ind w:firstLine="56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7.合同履行期限：</w:t>
      </w:r>
      <w:bookmarkStart w:id="12" w:name="_Toc28359080"/>
      <w:bookmarkStart w:id="13" w:name="_Toc35393791"/>
      <w:bookmarkStart w:id="14" w:name="_Toc28359003"/>
      <w:bookmarkStart w:id="15" w:name="_Toc35393622"/>
      <w:bookmarkStart w:id="16" w:name="_Toc38985264"/>
      <w:r>
        <w:rPr>
          <w:rFonts w:hint="eastAsia" w:asciiTheme="majorEastAsia" w:hAnsiTheme="majorEastAsia" w:eastAsiaTheme="majorEastAsia" w:cstheme="majorEastAsia"/>
          <w:color w:val="auto"/>
          <w:kern w:val="0"/>
          <w:sz w:val="24"/>
          <w:szCs w:val="24"/>
          <w:highlight w:val="none"/>
          <w:lang w:val="en-US" w:eastAsia="zh-CN" w:bidi="ar-SA"/>
        </w:rPr>
        <w:t>滨海县2026年度国土变更调查进度以部、省、市及滨海县自然资源和规划局工作部署要求为准。</w:t>
      </w:r>
    </w:p>
    <w:p w14:paraId="51A71155">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8.本项目不接受联合体参与投标。</w:t>
      </w:r>
    </w:p>
    <w:p w14:paraId="2A91681D">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二、申请人的资格要求：</w:t>
      </w:r>
      <w:bookmarkEnd w:id="12"/>
      <w:bookmarkEnd w:id="13"/>
      <w:bookmarkEnd w:id="14"/>
      <w:bookmarkEnd w:id="15"/>
      <w:bookmarkEnd w:id="16"/>
    </w:p>
    <w:p w14:paraId="69E45047">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1.满足《中华人民共和国政府采购法》第二十二条规定，并提供下列材料：</w:t>
      </w:r>
    </w:p>
    <w:p w14:paraId="6109BF99">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1.1 法人或者其他组织的营业执照等证明文件，自然人的身份证明；</w:t>
      </w:r>
    </w:p>
    <w:p w14:paraId="7B405D13">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1.2上一年度的财务状况报</w:t>
      </w:r>
      <w:r>
        <w:rPr>
          <w:rFonts w:hint="eastAsia" w:asciiTheme="majorEastAsia" w:hAnsiTheme="majorEastAsia" w:eastAsiaTheme="majorEastAsia" w:cstheme="majorEastAsia"/>
          <w:color w:val="auto"/>
          <w:sz w:val="24"/>
          <w:szCs w:val="24"/>
          <w:highlight w:val="none"/>
          <w:lang w:val="en-US" w:eastAsia="zh-CN"/>
        </w:rPr>
        <w:t>告</w:t>
      </w:r>
      <w:r>
        <w:rPr>
          <w:rFonts w:hint="eastAsia" w:asciiTheme="majorEastAsia" w:hAnsiTheme="majorEastAsia" w:eastAsiaTheme="majorEastAsia" w:cstheme="majorEastAsia"/>
          <w:color w:val="auto"/>
          <w:sz w:val="24"/>
          <w:szCs w:val="24"/>
          <w:highlight w:val="none"/>
        </w:rPr>
        <w:t>（</w:t>
      </w:r>
      <w:r>
        <w:rPr>
          <w:rFonts w:hint="eastAsia" w:asciiTheme="majorEastAsia" w:hAnsiTheme="majorEastAsia" w:eastAsiaTheme="majorEastAsia" w:cstheme="majorEastAsia"/>
          <w:color w:val="auto"/>
          <w:sz w:val="24"/>
          <w:szCs w:val="24"/>
          <w:highlight w:val="none"/>
          <w:lang w:val="en-US" w:eastAsia="zh-CN"/>
        </w:rPr>
        <w:t>投标人成立不满一年无需提供</w:t>
      </w:r>
      <w:r>
        <w:rPr>
          <w:rFonts w:hint="eastAsia" w:asciiTheme="majorEastAsia" w:hAnsiTheme="majorEastAsia" w:eastAsiaTheme="majorEastAsia" w:cstheme="majorEastAsia"/>
          <w:color w:val="auto"/>
          <w:sz w:val="24"/>
          <w:szCs w:val="24"/>
          <w:highlight w:val="none"/>
        </w:rPr>
        <w:t>）；</w:t>
      </w:r>
    </w:p>
    <w:p w14:paraId="47DE983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1.3</w:t>
      </w:r>
      <w:r>
        <w:rPr>
          <w:rFonts w:hint="eastAsia" w:asciiTheme="majorEastAsia" w:hAnsiTheme="majorEastAsia" w:eastAsiaTheme="majorEastAsia" w:cstheme="majorEastAsia"/>
          <w:color w:val="auto"/>
          <w:sz w:val="24"/>
          <w:szCs w:val="24"/>
          <w:highlight w:val="none"/>
        </w:rPr>
        <w:t>具备履行合同所必需的设备和专业技术能力的书面声明；</w:t>
      </w:r>
    </w:p>
    <w:p w14:paraId="1361BC0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B7C9CFC">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.5参加政府采购活动前3年内在经营活动中没有重大违法记录的书面声明。</w:t>
      </w:r>
    </w:p>
    <w:p w14:paraId="6CD1EC0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1.6法律、行政法规规定的其他条件。</w:t>
      </w:r>
    </w:p>
    <w:p w14:paraId="0AA36020">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1.7</w:t>
      </w:r>
      <w:r>
        <w:rPr>
          <w:rFonts w:hint="eastAsia" w:asciiTheme="majorEastAsia" w:hAnsiTheme="majorEastAsia" w:eastAsiaTheme="majorEastAsia" w:cstheme="majorEastAsia"/>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1AF76275">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1.8</w:t>
      </w:r>
      <w:r>
        <w:rPr>
          <w:rFonts w:hint="eastAsia" w:asciiTheme="majorEastAsia" w:hAnsiTheme="majorEastAsia" w:eastAsiaTheme="majorEastAsia" w:cstheme="majorEastAsia"/>
          <w:color w:val="auto"/>
          <w:sz w:val="24"/>
          <w:szCs w:val="24"/>
          <w:highlight w:val="none"/>
        </w:rPr>
        <w:t>单位负责人为同一人或者存在直接控股、管理关系的不同供应商，不得参加同一合同项下的政府采购活动。</w:t>
      </w:r>
    </w:p>
    <w:p w14:paraId="0DF80F9C">
      <w:pPr>
        <w:pStyle w:val="7"/>
        <w:pageBreakBefore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w:t>
      </w:r>
      <w:r>
        <w:rPr>
          <w:rFonts w:hint="eastAsia" w:asciiTheme="majorEastAsia" w:hAnsiTheme="majorEastAsia" w:eastAsiaTheme="majorEastAsia" w:cstheme="majorEastAsia"/>
          <w:color w:val="auto"/>
          <w:sz w:val="24"/>
          <w:szCs w:val="24"/>
          <w:highlight w:val="none"/>
        </w:rPr>
        <w:t>落实政府采购政策需满足的资格要求：无</w:t>
      </w:r>
    </w:p>
    <w:p w14:paraId="6C93D42A">
      <w:pPr>
        <w:spacing w:line="440" w:lineRule="exact"/>
        <w:ind w:firstLine="480" w:firstLineChars="20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本项目的特定资格要求</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kern w:val="0"/>
          <w:sz w:val="24"/>
          <w:szCs w:val="24"/>
          <w:highlight w:val="none"/>
          <w:lang w:val="en-US" w:eastAsia="zh-CN" w:bidi="ar-SA"/>
        </w:rPr>
        <w:t>投标人具有行政主管部门颁发的测绘乙级及以上资质（专业范围须包含地理信息系统工程、界线与不动产测绘、摄影测量与遥感）。</w:t>
      </w:r>
    </w:p>
    <w:p w14:paraId="57942384">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三、获取招标文件</w:t>
      </w:r>
    </w:p>
    <w:p w14:paraId="261C5D7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17" w:name="_Toc38985266"/>
      <w:bookmarkStart w:id="18" w:name="_Toc28359082"/>
      <w:bookmarkStart w:id="19" w:name="_Toc35393624"/>
      <w:bookmarkStart w:id="20" w:name="_Toc28359005"/>
      <w:bookmarkStart w:id="21" w:name="_Toc35393793"/>
      <w:r>
        <w:rPr>
          <w:rFonts w:hint="eastAsia" w:asciiTheme="majorEastAsia" w:hAnsiTheme="majorEastAsia" w:eastAsiaTheme="majorEastAsia" w:cstheme="majorEastAsia"/>
          <w:color w:val="auto"/>
          <w:sz w:val="24"/>
          <w:szCs w:val="24"/>
          <w:highlight w:val="none"/>
        </w:rPr>
        <w:t>1.时间</w:t>
      </w:r>
      <w:r>
        <w:rPr>
          <w:rFonts w:hint="eastAsia" w:asciiTheme="majorEastAsia" w:hAnsiTheme="majorEastAsia" w:eastAsiaTheme="majorEastAsia" w:cstheme="majorEastAsia"/>
          <w:color w:val="auto"/>
          <w:kern w:val="0"/>
          <w:sz w:val="24"/>
          <w:szCs w:val="24"/>
          <w:highlight w:val="none"/>
          <w:lang w:val="en-US" w:eastAsia="zh-CN" w:bidi="ar-SA"/>
        </w:rPr>
        <w:t>：</w:t>
      </w:r>
      <w:bookmarkEnd w:id="17"/>
      <w:bookmarkEnd w:id="18"/>
      <w:bookmarkEnd w:id="19"/>
      <w:bookmarkEnd w:id="20"/>
      <w:bookmarkEnd w:id="21"/>
      <w:r>
        <w:rPr>
          <w:rFonts w:hint="eastAsia" w:asciiTheme="majorEastAsia" w:hAnsiTheme="majorEastAsia" w:eastAsiaTheme="majorEastAsia" w:cstheme="majorEastAsia"/>
          <w:color w:val="auto"/>
          <w:kern w:val="0"/>
          <w:sz w:val="24"/>
          <w:szCs w:val="24"/>
          <w:highlight w:val="none"/>
          <w:lang w:val="en-US" w:eastAsia="zh-CN" w:bidi="ar-SA"/>
        </w:rPr>
        <w:t>自招标文件公告发布之日起5个工作日。</w:t>
      </w:r>
    </w:p>
    <w:p w14:paraId="08D85AC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2.地点：“苏采云”系统内免费下载（投标人必须在苏采云系统中获取采购文件，方能参与政府采购项目）；</w:t>
      </w:r>
    </w:p>
    <w:p w14:paraId="4F5DC36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3.方式：本项目采用网上注册登记方式。 </w:t>
      </w:r>
    </w:p>
    <w:p w14:paraId="601E1F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4.售价：0元</w:t>
      </w:r>
    </w:p>
    <w:p w14:paraId="5178F893">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四、提交投标文件截止时间、开标时间和地点</w:t>
      </w:r>
    </w:p>
    <w:p w14:paraId="7B6F82C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sz w:val="24"/>
          <w:szCs w:val="24"/>
          <w:highlight w:val="none"/>
        </w:rPr>
        <w:t>1.</w:t>
      </w:r>
      <w:r>
        <w:rPr>
          <w:rFonts w:hint="eastAsia" w:asciiTheme="majorEastAsia" w:hAnsiTheme="majorEastAsia" w:eastAsiaTheme="majorEastAsia" w:cstheme="majorEastAsia"/>
          <w:color w:val="auto"/>
          <w:kern w:val="0"/>
          <w:sz w:val="24"/>
          <w:szCs w:val="24"/>
          <w:highlight w:val="none"/>
          <w:lang w:val="en-US" w:eastAsia="zh-CN" w:bidi="ar-SA"/>
        </w:rPr>
        <w:t>时间：</w:t>
      </w:r>
      <w:r>
        <w:rPr>
          <w:rFonts w:hint="eastAsia" w:asciiTheme="majorEastAsia" w:hAnsiTheme="majorEastAsia" w:eastAsiaTheme="majorEastAsia" w:cstheme="majorEastAsia"/>
          <w:color w:val="auto"/>
          <w:kern w:val="0"/>
          <w:sz w:val="24"/>
          <w:szCs w:val="24"/>
          <w:highlight w:val="none"/>
          <w:u w:val="single"/>
          <w:lang w:val="en-US" w:eastAsia="zh-CN" w:bidi="ar-SA"/>
        </w:rPr>
        <w:t>2026年8月12日09点00分00秒</w:t>
      </w:r>
      <w:r>
        <w:rPr>
          <w:rFonts w:hint="eastAsia" w:asciiTheme="majorEastAsia" w:hAnsiTheme="majorEastAsia" w:eastAsiaTheme="majorEastAsia" w:cstheme="majorEastAsia"/>
          <w:color w:val="auto"/>
          <w:kern w:val="0"/>
          <w:sz w:val="24"/>
          <w:szCs w:val="24"/>
          <w:highlight w:val="none"/>
          <w:lang w:val="en-US" w:eastAsia="zh-CN" w:bidi="ar-SA"/>
        </w:rPr>
        <w:t>（北京时间）</w:t>
      </w:r>
    </w:p>
    <w:p w14:paraId="6A4E224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2.地点：苏采云“不见面”开标大厅 。</w:t>
      </w:r>
    </w:p>
    <w:p w14:paraId="411E8FC3">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bookmarkStart w:id="22" w:name="_Toc35393625"/>
      <w:bookmarkStart w:id="23" w:name="_Toc38985267"/>
      <w:bookmarkStart w:id="24" w:name="_Toc35393794"/>
      <w:bookmarkStart w:id="25" w:name="_Toc28359084"/>
      <w:bookmarkStart w:id="26" w:name="_Toc28359007"/>
      <w:r>
        <w:rPr>
          <w:rFonts w:hint="eastAsia" w:asciiTheme="majorEastAsia" w:hAnsiTheme="majorEastAsia" w:eastAsiaTheme="majorEastAsia" w:cstheme="majorEastAsia"/>
          <w:b/>
          <w:color w:val="auto"/>
          <w:sz w:val="24"/>
          <w:szCs w:val="24"/>
          <w:highlight w:val="none"/>
        </w:rPr>
        <w:t>五、公告期限</w:t>
      </w:r>
      <w:bookmarkEnd w:id="22"/>
      <w:bookmarkEnd w:id="23"/>
      <w:bookmarkEnd w:id="24"/>
      <w:bookmarkEnd w:id="25"/>
      <w:bookmarkEnd w:id="26"/>
    </w:p>
    <w:p w14:paraId="4AF0BCF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bookmarkStart w:id="27" w:name="_Toc38985268"/>
      <w:bookmarkStart w:id="28" w:name="_Toc35393626"/>
      <w:bookmarkStart w:id="29" w:name="_Toc35393795"/>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自本公告发布之日起5个工作日。</w:t>
      </w:r>
      <w:bookmarkEnd w:id="27"/>
      <w:bookmarkEnd w:id="28"/>
      <w:bookmarkEnd w:id="29"/>
    </w:p>
    <w:p w14:paraId="4A4B66C2">
      <w:pPr>
        <w:pStyle w:val="7"/>
        <w:keepNext/>
        <w:keepLines/>
        <w:pageBreakBefore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六、其他补充事宜</w:t>
      </w:r>
    </w:p>
    <w:p w14:paraId="27C24FA6">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bookmarkStart w:id="30" w:name="_Toc28359018"/>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1FBCE060">
      <w:pPr>
        <w:pageBreakBefore w:val="0"/>
        <w:numPr>
          <w:ilvl w:val="0"/>
          <w:numId w:val="0"/>
        </w:numPr>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领取CA和办理电子签章（请至盐城市府西路1号盐城市公共资源交易中心四楼大</w:t>
      </w:r>
      <w:r>
        <w:rPr>
          <w:rFonts w:hint="eastAsia" w:asciiTheme="majorEastAsia" w:hAnsiTheme="majorEastAsia" w:eastAsiaTheme="majorEastAsia" w:cstheme="majorEastAsia"/>
          <w:i w:val="0"/>
          <w:iCs w:val="0"/>
          <w:caps w:val="0"/>
          <w:color w:val="auto"/>
          <w:spacing w:val="0"/>
          <w:sz w:val="24"/>
          <w:szCs w:val="24"/>
          <w:highlight w:val="none"/>
          <w:shd w:val="clear" w:color="auto" w:fill="auto"/>
          <w:lang w:val="en-US" w:eastAsia="zh-CN"/>
        </w:rPr>
        <w:t>厅10号、11号窗口</w:t>
      </w: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办理</w:t>
      </w:r>
      <w:r>
        <w:rPr>
          <w:rFonts w:hint="eastAsia" w:asciiTheme="majorEastAsia" w:hAnsiTheme="majorEastAsia" w:eastAsiaTheme="majorEastAsia" w:cstheme="majorEastAsia"/>
          <w:i w:val="0"/>
          <w:iCs w:val="0"/>
          <w:caps w:val="0"/>
          <w:color w:val="auto"/>
          <w:spacing w:val="0"/>
          <w:sz w:val="24"/>
          <w:szCs w:val="24"/>
          <w:highlight w:val="none"/>
          <w:shd w:val="clear" w:fill="FFFFFF"/>
          <w:lang w:val="en-US" w:eastAsia="zh-CN"/>
        </w:rPr>
        <w:t>，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7ECDFDA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 潜在供应商访问电子招标响应交易平台的网络地址和方法： </w:t>
      </w:r>
    </w:p>
    <w:p w14:paraId="21E0BB0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04031B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2.2 潜在投标人访问“苏采云”系统方法：江苏省政府采购网首页-“苏采云”链接。 </w:t>
      </w:r>
    </w:p>
    <w:p w14:paraId="34E6EEF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2.3 采购文件（后缀名为“.kedt”）、供应商操作手册及政府采购客户端 工具可通过“苏采云”系统相应链接进行下载。 </w:t>
      </w:r>
    </w:p>
    <w:p w14:paraId="3C90577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2.4 采购代理机构将数据电文形式的采购文件加载至“苏采云”系统，供潜在供应商下载或者查阅。 </w:t>
      </w:r>
    </w:p>
    <w:p w14:paraId="7C3DBBA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23CF29F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如潜在投标人未按上述要求操作，将自行承担所产生的风险。</w:t>
      </w:r>
    </w:p>
    <w:p w14:paraId="49C0F93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3.有关本次招标的事项若存在变动或修改，敬请及时关注采购代理机构在“中国政府采购网”“江苏政府采购网”“盐城市政府采购网”发布的更正公告。</w:t>
      </w:r>
    </w:p>
    <w:p w14:paraId="71A6F12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560"/>
        <w:jc w:val="both"/>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4.本次招标不收取投标保证金，不收取质量保证金。</w:t>
      </w:r>
    </w:p>
    <w:p w14:paraId="2B181763">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482" w:firstLineChars="200"/>
        <w:jc w:val="both"/>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七、对本次招标提出询问，请按以下方式联系。</w:t>
      </w:r>
      <w:bookmarkEnd w:id="30"/>
    </w:p>
    <w:p w14:paraId="645B9297">
      <w:pPr>
        <w:spacing w:line="460" w:lineRule="exact"/>
        <w:ind w:firstLine="480"/>
        <w:rPr>
          <w:rFonts w:hint="eastAsia" w:asciiTheme="majorEastAsia" w:hAnsiTheme="majorEastAsia" w:eastAsiaTheme="majorEastAsia" w:cstheme="majorEastAsia"/>
          <w:color w:val="auto"/>
          <w:kern w:val="0"/>
          <w:sz w:val="24"/>
          <w:szCs w:val="24"/>
          <w:highlight w:val="none"/>
          <w:lang w:val="en-US" w:eastAsia="zh-CN" w:bidi="ar-SA"/>
        </w:rPr>
      </w:pPr>
      <w:bookmarkStart w:id="31" w:name="_Toc28359009"/>
      <w:r>
        <w:rPr>
          <w:rFonts w:hint="eastAsia" w:asciiTheme="majorEastAsia" w:hAnsiTheme="majorEastAsia" w:eastAsiaTheme="majorEastAsia" w:cstheme="majorEastAsia"/>
          <w:color w:val="auto"/>
          <w:kern w:val="0"/>
          <w:sz w:val="24"/>
          <w:szCs w:val="24"/>
          <w:highlight w:val="none"/>
          <w:lang w:val="en-US" w:eastAsia="zh-CN" w:bidi="ar-SA"/>
        </w:rPr>
        <w:t>1.采购人信息</w:t>
      </w:r>
    </w:p>
    <w:p w14:paraId="5B6B9CEC">
      <w:pPr>
        <w:spacing w:line="460" w:lineRule="exact"/>
        <w:ind w:firstLine="48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名    称：滨海县自然资源和规划局</w:t>
      </w:r>
    </w:p>
    <w:p w14:paraId="1D6BE7A5">
      <w:pPr>
        <w:spacing w:line="460" w:lineRule="exact"/>
        <w:ind w:firstLine="48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地    址：滨海县育才西路586号</w:t>
      </w:r>
    </w:p>
    <w:p w14:paraId="1BBBCA3D">
      <w:pPr>
        <w:spacing w:line="460" w:lineRule="exact"/>
        <w:ind w:firstLine="48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联 系 人：张先生</w:t>
      </w:r>
    </w:p>
    <w:p w14:paraId="72526545">
      <w:pPr>
        <w:spacing w:line="460" w:lineRule="exact"/>
        <w:ind w:firstLine="480"/>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 xml:space="preserve">联系电话：13512591126 </w:t>
      </w:r>
    </w:p>
    <w:p w14:paraId="201AC48D">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2.采购代理机构信息</w:t>
      </w:r>
    </w:p>
    <w:p w14:paraId="61B11A18">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名    称：江苏雨田工程咨询集团有限公司</w:t>
      </w:r>
    </w:p>
    <w:p w14:paraId="14514F31">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地　　址：滨海县大学生创业园电谷A226室</w:t>
      </w:r>
    </w:p>
    <w:p w14:paraId="49FD0428">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联 系 人：田女士</w:t>
      </w:r>
    </w:p>
    <w:p w14:paraId="56AF7B41">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联系电话：15751609431</w:t>
      </w:r>
    </w:p>
    <w:p w14:paraId="214135A9">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3.项目联系方式</w:t>
      </w:r>
    </w:p>
    <w:p w14:paraId="229A8ED0">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项目联系人：张先生、田女士</w:t>
      </w:r>
    </w:p>
    <w:p w14:paraId="7F7957DC">
      <w:pPr>
        <w:spacing w:line="460" w:lineRule="exact"/>
        <w:ind w:firstLine="480"/>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pPr>
      <w:r>
        <w:rPr>
          <w:rFonts w:hint="eastAsia" w:asciiTheme="majorEastAsia" w:hAnsiTheme="majorEastAsia" w:eastAsiaTheme="majorEastAsia" w:cstheme="majorEastAsia"/>
          <w:i w:val="0"/>
          <w:iCs w:val="0"/>
          <w:caps w:val="0"/>
          <w:color w:val="auto"/>
          <w:spacing w:val="0"/>
          <w:kern w:val="2"/>
          <w:sz w:val="24"/>
          <w:szCs w:val="24"/>
          <w:highlight w:val="none"/>
          <w:shd w:val="clear" w:color="auto" w:fill="auto"/>
          <w:lang w:val="en-US" w:eastAsia="zh-CN" w:bidi="ar-SA"/>
        </w:rPr>
        <w:t>电　　  话：13512591126 、15751609431</w:t>
      </w:r>
    </w:p>
    <w:p w14:paraId="4B02A973">
      <w:pPr>
        <w:pageBreakBefore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46BEB654">
      <w:pPr>
        <w:pStyle w:val="7"/>
        <w:spacing w:beforeAutospacing="0" w:afterAutospacing="0"/>
        <w:ind w:right="8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24"/>
          <w:szCs w:val="24"/>
          <w:highlight w:val="none"/>
        </w:rPr>
        <w:br w:type="page"/>
      </w:r>
      <w:r>
        <w:rPr>
          <w:rFonts w:hint="eastAsia" w:asciiTheme="majorEastAsia" w:hAnsiTheme="majorEastAsia" w:eastAsiaTheme="majorEastAsia" w:cstheme="majorEastAsia"/>
          <w:color w:val="auto"/>
          <w:highlight w:val="none"/>
        </w:rPr>
        <w:t> </w:t>
      </w:r>
      <w:bookmarkStart w:id="32" w:name="_Toc120614211"/>
      <w:r>
        <w:rPr>
          <w:rFonts w:hint="eastAsia" w:asciiTheme="majorEastAsia" w:hAnsiTheme="majorEastAsia" w:eastAsiaTheme="majorEastAsia" w:cstheme="majorEastAsia"/>
          <w:color w:val="auto"/>
          <w:highlight w:val="none"/>
          <w:lang w:val="en-US" w:eastAsia="zh-CN"/>
        </w:rPr>
        <w:t xml:space="preserve">           </w:t>
      </w:r>
      <w:r>
        <w:rPr>
          <w:rFonts w:hint="eastAsia" w:asciiTheme="majorEastAsia" w:hAnsiTheme="majorEastAsia" w:eastAsiaTheme="majorEastAsia" w:cstheme="majorEastAsia"/>
          <w:b/>
          <w:bCs/>
          <w:color w:val="auto"/>
          <w:sz w:val="48"/>
          <w:szCs w:val="48"/>
          <w:highlight w:val="none"/>
        </w:rPr>
        <w:t xml:space="preserve">第二章  </w:t>
      </w:r>
      <w:bookmarkEnd w:id="32"/>
      <w:bookmarkStart w:id="33" w:name="_Toc513029202"/>
      <w:bookmarkStart w:id="34" w:name="_Toc16938518"/>
      <w:bookmarkStart w:id="35" w:name="_Toc20823274"/>
      <w:bookmarkStart w:id="36" w:name="_Toc120614213"/>
      <w:r>
        <w:rPr>
          <w:rFonts w:hint="eastAsia" w:asciiTheme="majorEastAsia" w:hAnsiTheme="majorEastAsia" w:eastAsiaTheme="majorEastAsia" w:cstheme="majorEastAsia"/>
          <w:b/>
          <w:bCs/>
          <w:color w:val="auto"/>
          <w:sz w:val="48"/>
          <w:szCs w:val="48"/>
          <w:highlight w:val="none"/>
        </w:rPr>
        <w:t>投标人须知</w:t>
      </w:r>
      <w:bookmarkEnd w:id="33"/>
      <w:bookmarkEnd w:id="34"/>
      <w:bookmarkEnd w:id="35"/>
      <w:bookmarkEnd w:id="36"/>
    </w:p>
    <w:p w14:paraId="261BCBA2">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98"/>
        <w:jc w:val="both"/>
        <w:textAlignment w:val="auto"/>
        <w:rPr>
          <w:rFonts w:hint="eastAsia" w:asciiTheme="majorEastAsia" w:hAnsiTheme="majorEastAsia" w:eastAsiaTheme="majorEastAsia" w:cstheme="majorEastAsia"/>
          <w:color w:val="auto"/>
          <w:sz w:val="24"/>
          <w:szCs w:val="24"/>
          <w:highlight w:val="none"/>
        </w:rPr>
      </w:pPr>
      <w:bookmarkStart w:id="37" w:name="_Toc16938519"/>
      <w:bookmarkStart w:id="38" w:name="_Toc120614214"/>
      <w:bookmarkStart w:id="39" w:name="_Toc20823275"/>
      <w:bookmarkStart w:id="40" w:name="_Toc513029203"/>
      <w:r>
        <w:rPr>
          <w:rFonts w:hint="eastAsia" w:asciiTheme="majorEastAsia" w:hAnsiTheme="majorEastAsia" w:eastAsiaTheme="majorEastAsia" w:cstheme="majorEastAsia"/>
          <w:b/>
          <w:color w:val="auto"/>
          <w:sz w:val="24"/>
          <w:szCs w:val="24"/>
          <w:highlight w:val="none"/>
        </w:rPr>
        <w:t>一、总则</w:t>
      </w:r>
      <w:bookmarkEnd w:id="37"/>
      <w:bookmarkEnd w:id="38"/>
      <w:bookmarkEnd w:id="39"/>
      <w:bookmarkEnd w:id="40"/>
    </w:p>
    <w:p w14:paraId="613B10A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41" w:name="_Toc16938520"/>
      <w:bookmarkStart w:id="42" w:name="_Toc513029204"/>
      <w:bookmarkStart w:id="43" w:name="_Toc458694821"/>
      <w:bookmarkStart w:id="44" w:name="_Toc20823276"/>
      <w:bookmarkStart w:id="45" w:name="_Hlt16619475"/>
      <w:r>
        <w:rPr>
          <w:rFonts w:hint="eastAsia" w:asciiTheme="majorEastAsia" w:hAnsiTheme="majorEastAsia" w:eastAsiaTheme="majorEastAsia" w:cstheme="majorEastAsia"/>
          <w:color w:val="auto"/>
          <w:kern w:val="0"/>
          <w:sz w:val="24"/>
          <w:szCs w:val="24"/>
          <w:highlight w:val="none"/>
          <w:lang w:val="en-US" w:eastAsia="zh-CN" w:bidi="ar-SA"/>
        </w:rPr>
        <w:t>1</w:t>
      </w:r>
      <w:bookmarkEnd w:id="41"/>
      <w:r>
        <w:rPr>
          <w:rFonts w:hint="eastAsia" w:asciiTheme="majorEastAsia" w:hAnsiTheme="majorEastAsia" w:eastAsiaTheme="majorEastAsia" w:cstheme="majorEastAsia"/>
          <w:color w:val="auto"/>
          <w:kern w:val="0"/>
          <w:sz w:val="24"/>
          <w:szCs w:val="24"/>
          <w:highlight w:val="none"/>
          <w:lang w:val="en-US" w:eastAsia="zh-CN" w:bidi="ar-SA"/>
        </w:rPr>
        <w:t>、招标方式</w:t>
      </w:r>
      <w:bookmarkEnd w:id="42"/>
      <w:bookmarkEnd w:id="43"/>
      <w:bookmarkEnd w:id="44"/>
    </w:p>
    <w:p w14:paraId="6ACD993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1.1本次招标采取公开招标方式，本招标文件仅适用于招标公告中所述项目。</w:t>
      </w:r>
    </w:p>
    <w:p w14:paraId="52910C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46" w:name="_Toc513029205"/>
      <w:bookmarkStart w:id="47" w:name="_Toc20823277"/>
      <w:bookmarkStart w:id="48" w:name="_Toc16938521"/>
      <w:r>
        <w:rPr>
          <w:rFonts w:hint="eastAsia" w:asciiTheme="majorEastAsia" w:hAnsiTheme="majorEastAsia" w:eastAsiaTheme="majorEastAsia" w:cstheme="majorEastAsia"/>
          <w:color w:val="auto"/>
          <w:kern w:val="0"/>
          <w:sz w:val="24"/>
          <w:szCs w:val="24"/>
          <w:highlight w:val="none"/>
          <w:lang w:val="en-US" w:eastAsia="zh-CN" w:bidi="ar-SA"/>
        </w:rPr>
        <w:t>2、合格的投标人</w:t>
      </w:r>
      <w:bookmarkEnd w:id="46"/>
      <w:bookmarkEnd w:id="47"/>
      <w:bookmarkEnd w:id="48"/>
    </w:p>
    <w:p w14:paraId="35E783F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2.1满足招标公告中供应商的资格要求的规定。</w:t>
      </w:r>
    </w:p>
    <w:p w14:paraId="3B3C11B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2.2满足本文件实质性要求和条件的规定。</w:t>
      </w:r>
    </w:p>
    <w:p w14:paraId="701E5D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49" w:name="_Toc20823278"/>
      <w:bookmarkStart w:id="50" w:name="_Toc513029206"/>
      <w:bookmarkStart w:id="51" w:name="_Toc16938522"/>
      <w:bookmarkStart w:id="52" w:name="_Toc513029207"/>
      <w:bookmarkStart w:id="53" w:name="_Toc16938523"/>
      <w:bookmarkStart w:id="54" w:name="_Toc462564067"/>
      <w:bookmarkStart w:id="55" w:name="_Toc20823279"/>
      <w:r>
        <w:rPr>
          <w:rFonts w:hint="eastAsia" w:asciiTheme="majorEastAsia" w:hAnsiTheme="majorEastAsia" w:eastAsiaTheme="majorEastAsia" w:cstheme="majorEastAsia"/>
          <w:color w:val="auto"/>
          <w:kern w:val="0"/>
          <w:sz w:val="24"/>
          <w:szCs w:val="24"/>
          <w:highlight w:val="none"/>
          <w:lang w:val="en-US" w:eastAsia="zh-CN" w:bidi="ar-SA"/>
        </w:rPr>
        <w:t>3、适用法律</w:t>
      </w:r>
      <w:bookmarkEnd w:id="49"/>
      <w:bookmarkEnd w:id="50"/>
      <w:bookmarkEnd w:id="51"/>
      <w:r>
        <w:rPr>
          <w:rFonts w:hint="eastAsia" w:asciiTheme="majorEastAsia" w:hAnsiTheme="majorEastAsia" w:eastAsiaTheme="majorEastAsia" w:cstheme="majorEastAsia"/>
          <w:color w:val="auto"/>
          <w:kern w:val="0"/>
          <w:sz w:val="24"/>
          <w:szCs w:val="24"/>
          <w:highlight w:val="none"/>
          <w:lang w:val="en-US" w:eastAsia="zh-CN" w:bidi="ar-SA"/>
        </w:rPr>
        <w:t>和标准</w:t>
      </w:r>
    </w:p>
    <w:p w14:paraId="0A3826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3.1 本次招标及由此产生的合同受中华人民共和国有关的法律法规制约和保护。</w:t>
      </w:r>
    </w:p>
    <w:p w14:paraId="012D2D5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3.2 在本项目政府采购活动过程中，如果所执行的标准有更新的，按照最新标准执行。</w:t>
      </w:r>
    </w:p>
    <w:p w14:paraId="0BFDAC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4、投标费用</w:t>
      </w:r>
      <w:bookmarkEnd w:id="52"/>
      <w:bookmarkEnd w:id="53"/>
      <w:bookmarkEnd w:id="54"/>
      <w:bookmarkEnd w:id="55"/>
    </w:p>
    <w:p w14:paraId="02F9B7F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4.1投标人应自行承担所有与参加投标有关的费用，无论投标过程中的做法和结果如何，采购代理机构在任何情况下均无义务和责任承担这些费用。</w:t>
      </w:r>
    </w:p>
    <w:p w14:paraId="3018B7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4.2本次招标采购人及采购代理机构不收取标书工本费。</w:t>
      </w:r>
    </w:p>
    <w:p w14:paraId="06945BD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5、招标文件的约束力</w:t>
      </w:r>
    </w:p>
    <w:p w14:paraId="3254DB6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5.1投标人一旦参加本项目采购活动，即被认为接受了本招标文件的规定和约束。</w:t>
      </w:r>
    </w:p>
    <w:p w14:paraId="6EF709A5">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321"/>
        <w:jc w:val="both"/>
        <w:textAlignment w:val="auto"/>
        <w:rPr>
          <w:rFonts w:hint="eastAsia" w:asciiTheme="majorEastAsia" w:hAnsiTheme="majorEastAsia" w:eastAsiaTheme="majorEastAsia" w:cstheme="majorEastAsia"/>
          <w:color w:val="auto"/>
          <w:sz w:val="24"/>
          <w:szCs w:val="24"/>
          <w:highlight w:val="none"/>
        </w:rPr>
      </w:pPr>
      <w:bookmarkStart w:id="56" w:name="_Toc120614215"/>
      <w:bookmarkStart w:id="57" w:name="_Toc20823281"/>
      <w:bookmarkStart w:id="58" w:name="_Toc513029209"/>
      <w:bookmarkStart w:id="59" w:name="_Toc16938525"/>
      <w:r>
        <w:rPr>
          <w:rFonts w:hint="eastAsia" w:asciiTheme="majorEastAsia" w:hAnsiTheme="majorEastAsia" w:eastAsiaTheme="majorEastAsia" w:cstheme="majorEastAsia"/>
          <w:b/>
          <w:color w:val="auto"/>
          <w:sz w:val="24"/>
          <w:szCs w:val="24"/>
          <w:highlight w:val="none"/>
        </w:rPr>
        <w:t>二、招标文件</w:t>
      </w:r>
      <w:bookmarkEnd w:id="56"/>
      <w:bookmarkEnd w:id="57"/>
      <w:bookmarkEnd w:id="58"/>
      <w:bookmarkEnd w:id="59"/>
    </w:p>
    <w:p w14:paraId="672D82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60" w:name="_Toc513029210"/>
      <w:bookmarkStart w:id="61" w:name="_Toc20823282"/>
      <w:bookmarkStart w:id="62" w:name="_Toc16938526"/>
      <w:r>
        <w:rPr>
          <w:rFonts w:hint="eastAsia" w:asciiTheme="majorEastAsia" w:hAnsiTheme="majorEastAsia" w:eastAsiaTheme="majorEastAsia" w:cstheme="majorEastAsia"/>
          <w:color w:val="auto"/>
          <w:kern w:val="0"/>
          <w:sz w:val="24"/>
          <w:szCs w:val="24"/>
          <w:highlight w:val="none"/>
          <w:lang w:val="en-US" w:eastAsia="zh-CN" w:bidi="ar-SA"/>
        </w:rPr>
        <w:t>6、招标文件构成</w:t>
      </w:r>
      <w:bookmarkEnd w:id="60"/>
      <w:bookmarkEnd w:id="61"/>
      <w:bookmarkEnd w:id="62"/>
    </w:p>
    <w:p w14:paraId="7D8C1C9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6.1 招标文件由以下部分组成：</w:t>
      </w:r>
    </w:p>
    <w:p w14:paraId="25C7237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（1）招标公告</w:t>
      </w:r>
    </w:p>
    <w:p w14:paraId="658818C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（2）投标人须知</w:t>
      </w:r>
    </w:p>
    <w:p w14:paraId="080F356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（3）合同文本</w:t>
      </w:r>
    </w:p>
    <w:p w14:paraId="75A2E1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（4）采购需求</w:t>
      </w:r>
    </w:p>
    <w:p w14:paraId="1931452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（5）评标方法与评标标准</w:t>
      </w:r>
    </w:p>
    <w:p w14:paraId="41984F7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（6）投标文件格式</w:t>
      </w:r>
    </w:p>
    <w:p w14:paraId="381AC78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请仔细检查招标文件是否齐全，如有缺漏请立即与采购代理机构联系解决。</w:t>
      </w:r>
    </w:p>
    <w:p w14:paraId="7D771E5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68FC3F7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63" w:name="_Toc16938527"/>
      <w:bookmarkStart w:id="64" w:name="_Toc20823283"/>
      <w:bookmarkStart w:id="65" w:name="_Toc462564070"/>
      <w:bookmarkStart w:id="66" w:name="_Toc513029211"/>
      <w:r>
        <w:rPr>
          <w:rFonts w:hint="eastAsia" w:asciiTheme="majorEastAsia" w:hAnsiTheme="majorEastAsia" w:eastAsiaTheme="majorEastAsia" w:cstheme="majorEastAsia"/>
          <w:color w:val="auto"/>
          <w:kern w:val="0"/>
          <w:sz w:val="24"/>
          <w:szCs w:val="24"/>
          <w:highlight w:val="none"/>
          <w:lang w:val="en-US" w:eastAsia="zh-CN" w:bidi="ar-SA"/>
        </w:rPr>
        <w:t>7、招标文件的澄清</w:t>
      </w:r>
      <w:bookmarkEnd w:id="63"/>
      <w:bookmarkEnd w:id="64"/>
      <w:bookmarkEnd w:id="65"/>
      <w:bookmarkEnd w:id="66"/>
    </w:p>
    <w:p w14:paraId="1DB0F67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7.1任何要求对招标文件进行澄清的投标人，应在投标截止期</w:t>
      </w:r>
      <w:r>
        <w:rPr>
          <w:rFonts w:hint="eastAsia" w:asciiTheme="majorEastAsia" w:hAnsiTheme="majorEastAsia" w:eastAsiaTheme="majorEastAsia" w:cstheme="majorEastAsia"/>
          <w:b/>
          <w:bCs/>
          <w:color w:val="auto"/>
          <w:kern w:val="0"/>
          <w:sz w:val="24"/>
          <w:szCs w:val="24"/>
          <w:highlight w:val="none"/>
          <w:lang w:val="en-US" w:eastAsia="zh-CN" w:bidi="ar-SA"/>
        </w:rPr>
        <w:t>十日前</w:t>
      </w:r>
      <w:r>
        <w:rPr>
          <w:rFonts w:hint="eastAsia" w:asciiTheme="majorEastAsia" w:hAnsiTheme="majorEastAsia" w:eastAsiaTheme="majorEastAsia" w:cstheme="majorEastAsia"/>
          <w:color w:val="auto"/>
          <w:kern w:val="0"/>
          <w:sz w:val="24"/>
          <w:szCs w:val="24"/>
          <w:highlight w:val="none"/>
          <w:lang w:val="en-US" w:eastAsia="zh-CN" w:bidi="ar-SA"/>
        </w:rPr>
        <w:t>按招标公告中的通讯地址，以书面形式通知采购代理机构。</w:t>
      </w:r>
    </w:p>
    <w:p w14:paraId="10098FF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67" w:name="_Toc20823284"/>
      <w:bookmarkStart w:id="68" w:name="_Toc16938528"/>
      <w:bookmarkStart w:id="69" w:name="_Toc513029212"/>
      <w:bookmarkStart w:id="70" w:name="_Toc462564071"/>
      <w:r>
        <w:rPr>
          <w:rFonts w:hint="eastAsia" w:asciiTheme="majorEastAsia" w:hAnsiTheme="majorEastAsia" w:eastAsiaTheme="majorEastAsia" w:cstheme="majorEastAsia"/>
          <w:color w:val="auto"/>
          <w:kern w:val="0"/>
          <w:sz w:val="24"/>
          <w:szCs w:val="24"/>
          <w:highlight w:val="none"/>
          <w:lang w:val="en-US" w:eastAsia="zh-CN" w:bidi="ar-SA"/>
        </w:rPr>
        <w:t>8、招标文件的修改</w:t>
      </w:r>
      <w:bookmarkEnd w:id="67"/>
      <w:bookmarkEnd w:id="68"/>
      <w:bookmarkEnd w:id="69"/>
      <w:bookmarkEnd w:id="70"/>
    </w:p>
    <w:p w14:paraId="7EA4266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8.1在投标截止时间前，采购代理机构可以对招标文件进行修改。</w:t>
      </w:r>
    </w:p>
    <w:p w14:paraId="23A8F67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8.2采购代理机构有权按照法定的要求推迟投标截止日期和开标日期。</w:t>
      </w:r>
    </w:p>
    <w:p w14:paraId="0B64896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8.3招标文件的修改将在中国政府采购网、江苏政府采购网、盐城市政府采购网公布，补充文件将作为招标文件的组成部分，并对投标人具有约束力。</w:t>
      </w:r>
    </w:p>
    <w:p w14:paraId="646D594D">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color w:val="auto"/>
          <w:sz w:val="24"/>
          <w:szCs w:val="24"/>
          <w:highlight w:val="none"/>
        </w:rPr>
      </w:pPr>
      <w:bookmarkStart w:id="71" w:name="_Toc20823285"/>
      <w:bookmarkStart w:id="72" w:name="_Toc120614216"/>
      <w:bookmarkStart w:id="73" w:name="_Toc462564072"/>
      <w:bookmarkStart w:id="74" w:name="_Toc513029213"/>
      <w:bookmarkStart w:id="75" w:name="_Toc16938529"/>
      <w:r>
        <w:rPr>
          <w:rFonts w:hint="eastAsia" w:asciiTheme="majorEastAsia" w:hAnsiTheme="majorEastAsia" w:eastAsiaTheme="majorEastAsia" w:cstheme="majorEastAsia"/>
          <w:b/>
          <w:color w:val="auto"/>
          <w:sz w:val="24"/>
          <w:szCs w:val="24"/>
          <w:highlight w:val="none"/>
        </w:rPr>
        <w:t>三、投标文件的编制</w:t>
      </w:r>
      <w:bookmarkEnd w:id="71"/>
      <w:bookmarkEnd w:id="72"/>
      <w:bookmarkEnd w:id="73"/>
      <w:bookmarkEnd w:id="74"/>
      <w:bookmarkEnd w:id="75"/>
    </w:p>
    <w:p w14:paraId="04A03C2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76" w:name="_Toc513029214"/>
      <w:bookmarkStart w:id="77" w:name="_Toc16938530"/>
      <w:bookmarkStart w:id="78" w:name="_Toc462564073"/>
      <w:bookmarkStart w:id="79" w:name="_Toc20823286"/>
      <w:r>
        <w:rPr>
          <w:rFonts w:hint="eastAsia" w:asciiTheme="majorEastAsia" w:hAnsiTheme="majorEastAsia" w:eastAsiaTheme="majorEastAsia" w:cstheme="majorEastAsia"/>
          <w:color w:val="auto"/>
          <w:kern w:val="0"/>
          <w:sz w:val="24"/>
          <w:szCs w:val="24"/>
          <w:highlight w:val="none"/>
          <w:lang w:val="en-US" w:eastAsia="zh-CN" w:bidi="ar-SA"/>
        </w:rPr>
        <w:t>9、投标文件的语言及度量衡单位</w:t>
      </w:r>
      <w:bookmarkEnd w:id="76"/>
      <w:bookmarkEnd w:id="77"/>
      <w:bookmarkEnd w:id="78"/>
      <w:bookmarkEnd w:id="79"/>
    </w:p>
    <w:p w14:paraId="381125A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9.1投标人提交的投标文件以及投标人与采购代理机构就有关投标的所有来往通知、函件和文件均应使用</w:t>
      </w:r>
      <w:r>
        <w:rPr>
          <w:rFonts w:hint="eastAsia" w:asciiTheme="majorEastAsia" w:hAnsiTheme="majorEastAsia" w:eastAsiaTheme="majorEastAsia" w:cstheme="majorEastAsia"/>
          <w:b/>
          <w:bCs/>
          <w:color w:val="auto"/>
          <w:kern w:val="0"/>
          <w:sz w:val="24"/>
          <w:szCs w:val="24"/>
          <w:highlight w:val="none"/>
          <w:lang w:val="en-US" w:eastAsia="zh-CN" w:bidi="ar-SA"/>
        </w:rPr>
        <w:t>简体中文</w:t>
      </w:r>
      <w:r>
        <w:rPr>
          <w:rFonts w:hint="eastAsia" w:asciiTheme="majorEastAsia" w:hAnsiTheme="majorEastAsia" w:eastAsiaTheme="majorEastAsia" w:cstheme="majorEastAsia"/>
          <w:color w:val="auto"/>
          <w:kern w:val="0"/>
          <w:sz w:val="24"/>
          <w:szCs w:val="24"/>
          <w:highlight w:val="none"/>
          <w:lang w:val="en-US" w:eastAsia="zh-CN" w:bidi="ar-SA"/>
        </w:rPr>
        <w:t>。</w:t>
      </w:r>
    </w:p>
    <w:p w14:paraId="642B486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9.2除技术性能另有规定外，投标文件所使用的度量衡单位，均须采用国家法定计量单位。</w:t>
      </w:r>
    </w:p>
    <w:p w14:paraId="665E6EF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80" w:name="_Toc462564074"/>
      <w:bookmarkStart w:id="81" w:name="_Toc513029215"/>
      <w:bookmarkStart w:id="82" w:name="_Toc20823287"/>
      <w:bookmarkStart w:id="83" w:name="_Toc16938531"/>
      <w:r>
        <w:rPr>
          <w:rFonts w:hint="eastAsia" w:asciiTheme="majorEastAsia" w:hAnsiTheme="majorEastAsia" w:eastAsiaTheme="majorEastAsia" w:cstheme="majorEastAsia"/>
          <w:color w:val="auto"/>
          <w:kern w:val="0"/>
          <w:sz w:val="24"/>
          <w:szCs w:val="24"/>
          <w:highlight w:val="none"/>
          <w:lang w:val="en-US" w:eastAsia="zh-CN" w:bidi="ar-SA"/>
        </w:rPr>
        <w:t>10、投标文件构成</w:t>
      </w:r>
      <w:bookmarkEnd w:id="80"/>
      <w:bookmarkEnd w:id="81"/>
      <w:bookmarkEnd w:id="82"/>
      <w:bookmarkEnd w:id="83"/>
    </w:p>
    <w:p w14:paraId="62A88D1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10.1投标人编写的投标文件应包括资格证明文件、符合性证明文件、投标分项报价表、技术要求响应及偏离表、商务要求响应及偏离表、其他证明文件、投标函、开标一览表等部分。</w:t>
      </w:r>
    </w:p>
    <w:p w14:paraId="404B68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10.2如标书制作工具中格式和内容与“中国政府采购网”“江苏政府采购网”“盐城市政府采购网”发布的招标文件不一致，请以“中国政府采购网”“江苏政府采购网”“盐城市政府采购网”发布的招标文件为准。</w:t>
      </w:r>
    </w:p>
    <w:p w14:paraId="27F39D9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84" w:name="_Toc49090507"/>
      <w:bookmarkStart w:id="85" w:name="_Toc513029219"/>
      <w:bookmarkStart w:id="86" w:name="_Toc49090509"/>
      <w:bookmarkStart w:id="87" w:name="_Toc14577354"/>
      <w:bookmarkStart w:id="88" w:name="_Toc513029216"/>
      <w:bookmarkStart w:id="89" w:name="_Toc14577357"/>
      <w:bookmarkStart w:id="90" w:name="_Hlt26670360"/>
      <w:bookmarkStart w:id="91" w:name="_Hlt26954838"/>
      <w:bookmarkStart w:id="92" w:name="_Hlt26668975"/>
      <w:r>
        <w:rPr>
          <w:rFonts w:hint="eastAsia" w:asciiTheme="majorEastAsia" w:hAnsiTheme="majorEastAsia" w:eastAsiaTheme="majorEastAsia" w:cstheme="majorEastAsia"/>
          <w:color w:val="auto"/>
          <w:kern w:val="0"/>
          <w:sz w:val="24"/>
          <w:szCs w:val="24"/>
          <w:highlight w:val="none"/>
          <w:lang w:val="en-US" w:eastAsia="zh-CN" w:bidi="ar-SA"/>
        </w:rPr>
        <w:t>11、证明投标人及投标标的符合招标文件规定的文件</w:t>
      </w:r>
      <w:bookmarkEnd w:id="84"/>
      <w:bookmarkEnd w:id="85"/>
      <w:bookmarkEnd w:id="86"/>
      <w:bookmarkEnd w:id="87"/>
      <w:bookmarkEnd w:id="88"/>
      <w:bookmarkEnd w:id="89"/>
    </w:p>
    <w:p w14:paraId="17A735B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93" w:name="_Toc14577355"/>
      <w:bookmarkStart w:id="94" w:name="_Toc49090508"/>
      <w:r>
        <w:rPr>
          <w:rFonts w:hint="eastAsia" w:asciiTheme="majorEastAsia" w:hAnsiTheme="majorEastAsia" w:eastAsiaTheme="majorEastAsia" w:cstheme="majorEastAsia"/>
          <w:color w:val="auto"/>
          <w:kern w:val="0"/>
          <w:sz w:val="24"/>
          <w:szCs w:val="24"/>
          <w:highlight w:val="none"/>
          <w:lang w:val="en-US" w:eastAsia="zh-CN" w:bidi="ar-SA"/>
        </w:rPr>
        <w:t>11.1投标人应按照法律、法规、规章和规范性文件以及招标文件要求提交证明文件，证明其及投标标的符合招标文件规定。</w:t>
      </w:r>
      <w:bookmarkEnd w:id="93"/>
      <w:bookmarkEnd w:id="94"/>
    </w:p>
    <w:p w14:paraId="2D09694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11.2招标文件对证明文件无明确形式要求的，证明文件可以以文字资料、图纸和数据等形式提交。</w:t>
      </w:r>
    </w:p>
    <w:p w14:paraId="119003C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12、投标分项报价</w:t>
      </w:r>
      <w:bookmarkStart w:id="95" w:name="_Hlt26670373"/>
      <w:r>
        <w:rPr>
          <w:rFonts w:hint="eastAsia" w:asciiTheme="majorEastAsia" w:hAnsiTheme="majorEastAsia" w:eastAsiaTheme="majorEastAsia" w:cstheme="majorEastAsia"/>
          <w:color w:val="auto"/>
          <w:kern w:val="0"/>
          <w:sz w:val="24"/>
          <w:szCs w:val="24"/>
          <w:highlight w:val="none"/>
          <w:lang w:val="en-US" w:eastAsia="zh-CN" w:bidi="ar-SA"/>
        </w:rPr>
        <w:t>表</w:t>
      </w:r>
    </w:p>
    <w:p w14:paraId="2D963574">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12.1投</w:t>
      </w:r>
      <w:bookmarkStart w:id="96" w:name="_Hlt26954840"/>
      <w:r>
        <w:rPr>
          <w:rFonts w:hint="eastAsia" w:asciiTheme="majorEastAsia" w:hAnsiTheme="majorEastAsia" w:eastAsiaTheme="majorEastAsia" w:cstheme="majorEastAsia"/>
          <w:color w:val="auto"/>
          <w:kern w:val="0"/>
          <w:sz w:val="24"/>
          <w:szCs w:val="24"/>
          <w:highlight w:val="none"/>
          <w:lang w:val="en-US" w:eastAsia="zh-CN" w:bidi="ar-SA"/>
        </w:rPr>
        <w:t>标人应按照招标文件规定格式填报投标分项报价表</w:t>
      </w:r>
      <w:bookmarkStart w:id="97" w:name="_Hlt26670399"/>
      <w:r>
        <w:rPr>
          <w:rFonts w:hint="eastAsia" w:asciiTheme="majorEastAsia" w:hAnsiTheme="majorEastAsia" w:eastAsiaTheme="majorEastAsia" w:cstheme="majorEastAsia"/>
          <w:color w:val="auto"/>
          <w:kern w:val="0"/>
          <w:sz w:val="24"/>
          <w:szCs w:val="24"/>
          <w:highlight w:val="none"/>
          <w:lang w:val="en-US" w:eastAsia="zh-CN" w:bidi="ar-SA"/>
        </w:rPr>
        <w:t>。</w:t>
      </w:r>
    </w:p>
    <w:p w14:paraId="44BC3C4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12.2投标货币。投标文件中的单价和总价无特殊规定的采用人民币报价，以元为单位标注。招标文件中另有规定的按规定执行。</w:t>
      </w:r>
    </w:p>
    <w:p w14:paraId="23C633C5">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98" w:name="_Hlt26954844"/>
      <w:bookmarkStart w:id="99" w:name="_Hlt26670482"/>
      <w:bookmarkStart w:id="100" w:name="_Hlt26668983"/>
      <w:bookmarkStart w:id="101" w:name="_Hlt26670425"/>
      <w:bookmarkStart w:id="102" w:name="_Hlt26954842"/>
      <w:bookmarkStart w:id="103" w:name="_Hlt26954846"/>
      <w:bookmarkStart w:id="104" w:name="_Hlt26954731"/>
      <w:bookmarkStart w:id="105" w:name="_Hlt26670403"/>
      <w:bookmarkStart w:id="106" w:name="_Hlt26670486"/>
      <w:bookmarkStart w:id="107" w:name="_Hlt26954848"/>
      <w:r>
        <w:rPr>
          <w:rFonts w:hint="eastAsia" w:asciiTheme="majorEastAsia" w:hAnsiTheme="majorEastAsia" w:eastAsiaTheme="majorEastAsia" w:cstheme="majorEastAsia"/>
          <w:color w:val="auto"/>
          <w:kern w:val="0"/>
          <w:sz w:val="24"/>
          <w:szCs w:val="24"/>
          <w:highlight w:val="none"/>
          <w:lang w:val="en-US" w:eastAsia="zh-CN" w:bidi="ar-SA"/>
        </w:rPr>
        <w:t>13、技术要求响应及偏离表、商务要求响应及偏离表</w:t>
      </w:r>
    </w:p>
    <w:p w14:paraId="7D62CD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13.1投标人需对招标文件中的技术要求与商务要求逐项作出响应或偏离，并说明原因。</w:t>
      </w:r>
    </w:p>
    <w:p w14:paraId="6996565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13.2投标人可在投标文件中提供认为需要的其他技术文件或说明。</w:t>
      </w:r>
    </w:p>
    <w:p w14:paraId="2C904EE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108" w:name="_Toc14577359"/>
      <w:bookmarkStart w:id="109" w:name="_Toc49090510"/>
      <w:r>
        <w:rPr>
          <w:rFonts w:hint="eastAsia" w:asciiTheme="majorEastAsia" w:hAnsiTheme="majorEastAsia" w:eastAsiaTheme="majorEastAsia" w:cstheme="majorEastAsia"/>
          <w:color w:val="auto"/>
          <w:kern w:val="0"/>
          <w:sz w:val="24"/>
          <w:szCs w:val="24"/>
          <w:highlight w:val="none"/>
          <w:lang w:val="en-US" w:eastAsia="zh-CN" w:bidi="ar-SA"/>
        </w:rPr>
        <w:t>14、投标函和开标一览表</w:t>
      </w:r>
      <w:bookmarkEnd w:id="108"/>
      <w:bookmarkEnd w:id="109"/>
    </w:p>
    <w:p w14:paraId="3C2D83B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14.1投标人应按照招标文件中提供的格式完整、正确填写投标函、开标一览表。</w:t>
      </w:r>
    </w:p>
    <w:p w14:paraId="5F7AD11D">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14.2对于采用货币报价的项目，开标一览表中的投标总报价应与投标分项报价表中的投标总报价一致，如不一致，不作为无效投标处理，但评标时按开标一览表中价格为准。</w:t>
      </w:r>
    </w:p>
    <w:p w14:paraId="68925D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bookmarkStart w:id="110" w:name="_Toc49090511"/>
      <w:bookmarkStart w:id="111" w:name="_Toc14577360"/>
      <w:bookmarkStart w:id="112" w:name="_Hlt26954734"/>
      <w:bookmarkStart w:id="113" w:name="_Hlt26954850"/>
      <w:bookmarkStart w:id="114" w:name="_Hlt26670489"/>
      <w:r>
        <w:rPr>
          <w:rFonts w:hint="eastAsia" w:asciiTheme="majorEastAsia" w:hAnsiTheme="majorEastAsia" w:eastAsiaTheme="majorEastAsia" w:cstheme="majorEastAsia"/>
          <w:color w:val="auto"/>
          <w:kern w:val="0"/>
          <w:sz w:val="24"/>
          <w:szCs w:val="24"/>
          <w:highlight w:val="none"/>
          <w:lang w:val="en-US" w:eastAsia="zh-CN" w:bidi="ar-SA"/>
        </w:rPr>
        <w:t>15、投标有效期</w:t>
      </w:r>
      <w:bookmarkEnd w:id="110"/>
      <w:bookmarkEnd w:id="111"/>
    </w:p>
    <w:p w14:paraId="008FD487">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15.1投标有效期为采购代理机构规定的开标之日后</w:t>
      </w:r>
      <w:r>
        <w:rPr>
          <w:rFonts w:hint="eastAsia" w:asciiTheme="majorEastAsia" w:hAnsiTheme="majorEastAsia" w:eastAsiaTheme="majorEastAsia" w:cstheme="majorEastAsia"/>
          <w:b/>
          <w:bCs/>
          <w:color w:val="auto"/>
          <w:kern w:val="0"/>
          <w:sz w:val="24"/>
          <w:szCs w:val="24"/>
          <w:highlight w:val="none"/>
          <w:u w:val="single"/>
          <w:lang w:val="en-US" w:eastAsia="zh-CN" w:bidi="ar-SA"/>
        </w:rPr>
        <w:t>九十（90）天</w:t>
      </w:r>
      <w:r>
        <w:rPr>
          <w:rFonts w:hint="eastAsia" w:asciiTheme="majorEastAsia" w:hAnsiTheme="majorEastAsia" w:eastAsiaTheme="majorEastAsia" w:cstheme="majorEastAsia"/>
          <w:color w:val="auto"/>
          <w:kern w:val="0"/>
          <w:sz w:val="24"/>
          <w:szCs w:val="24"/>
          <w:highlight w:val="none"/>
          <w:lang w:val="en-US" w:eastAsia="zh-CN" w:bidi="ar-SA"/>
        </w:rPr>
        <w:t>。投标有效期比规定短的将被视为未实质性响应招标文件而予以拒绝。</w:t>
      </w:r>
    </w:p>
    <w:p w14:paraId="44285CC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color w:val="auto"/>
          <w:kern w:val="0"/>
          <w:sz w:val="24"/>
          <w:szCs w:val="24"/>
          <w:highlight w:val="none"/>
          <w:lang w:val="en-US" w:eastAsia="zh-CN" w:bidi="ar-SA"/>
        </w:rPr>
      </w:pPr>
      <w:r>
        <w:rPr>
          <w:rFonts w:hint="eastAsia" w:asciiTheme="majorEastAsia" w:hAnsiTheme="majorEastAsia" w:eastAsiaTheme="majorEastAsia" w:cstheme="majorEastAsia"/>
          <w:color w:val="auto"/>
          <w:kern w:val="0"/>
          <w:sz w:val="24"/>
          <w:szCs w:val="24"/>
          <w:highlight w:val="none"/>
          <w:lang w:val="en-US" w:eastAsia="zh-CN" w:bidi="ar-SA"/>
        </w:rPr>
        <w:t>16、投标有效期的延长</w:t>
      </w:r>
    </w:p>
    <w:p w14:paraId="7FD55B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16.1在特殊情况下，</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于原投标有效期满之前，可向投标人提出延长投标有效期的要求。这种要求与答复均应采用书面形式。投标人可以拒绝</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01432020">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color w:val="auto"/>
          <w:sz w:val="24"/>
          <w:szCs w:val="24"/>
          <w:highlight w:val="none"/>
        </w:rPr>
      </w:pPr>
      <w:bookmarkStart w:id="115" w:name="_Toc16938540"/>
      <w:bookmarkStart w:id="116" w:name="_Toc120614217"/>
      <w:bookmarkStart w:id="117" w:name="_Toc513029224"/>
      <w:bookmarkStart w:id="118" w:name="_Toc20823296"/>
      <w:bookmarkStart w:id="119" w:name="_Hlt26954739"/>
      <w:bookmarkStart w:id="120" w:name="_Hlt26954852"/>
      <w:r>
        <w:rPr>
          <w:rFonts w:hint="eastAsia" w:asciiTheme="majorEastAsia" w:hAnsiTheme="majorEastAsia" w:eastAsiaTheme="majorEastAsia" w:cstheme="majorEastAsia"/>
          <w:b/>
          <w:color w:val="auto"/>
          <w:sz w:val="24"/>
          <w:szCs w:val="24"/>
          <w:highlight w:val="none"/>
        </w:rPr>
        <w:t>四、投标文件的递交</w:t>
      </w:r>
      <w:bookmarkEnd w:id="115"/>
      <w:bookmarkEnd w:id="116"/>
      <w:bookmarkEnd w:id="117"/>
      <w:bookmarkEnd w:id="118"/>
    </w:p>
    <w:p w14:paraId="6A22D61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21" w:name="_Toc20823297"/>
      <w:bookmarkStart w:id="122" w:name="_Toc462564084"/>
      <w:bookmarkStart w:id="123" w:name="_Toc513029225"/>
      <w:bookmarkStart w:id="124" w:name="_Toc16938541"/>
      <w:r>
        <w:rPr>
          <w:rFonts w:hint="eastAsia" w:asciiTheme="majorEastAsia" w:hAnsiTheme="majorEastAsia" w:eastAsiaTheme="majorEastAsia" w:cstheme="majorEastAsia"/>
          <w:color w:val="auto"/>
          <w:sz w:val="24"/>
          <w:szCs w:val="24"/>
          <w:highlight w:val="none"/>
        </w:rPr>
        <w:t>17、投标文件</w:t>
      </w:r>
      <w:bookmarkEnd w:id="121"/>
      <w:bookmarkEnd w:id="122"/>
      <w:bookmarkEnd w:id="123"/>
      <w:bookmarkEnd w:id="124"/>
      <w:r>
        <w:rPr>
          <w:rFonts w:hint="eastAsia" w:asciiTheme="majorEastAsia" w:hAnsiTheme="majorEastAsia" w:eastAsiaTheme="majorEastAsia" w:cstheme="majorEastAsia"/>
          <w:color w:val="auto"/>
          <w:sz w:val="24"/>
          <w:szCs w:val="24"/>
          <w:highlight w:val="none"/>
        </w:rPr>
        <w:t>的递交</w:t>
      </w:r>
    </w:p>
    <w:p w14:paraId="1A971E3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17.1 电子投标文件的递交</w:t>
      </w:r>
    </w:p>
    <w:p w14:paraId="0291E24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3B3C851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18、投标截止时间</w:t>
      </w:r>
    </w:p>
    <w:p w14:paraId="77591B9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bCs/>
          <w:i/>
          <w:color w:val="auto"/>
          <w:sz w:val="24"/>
          <w:szCs w:val="24"/>
          <w:highlight w:val="none"/>
          <w:u w:val="single"/>
        </w:rPr>
        <w:t>18.1投标人上传电子投标文件的时间不得迟于招标公告中规定的投标截止时间。</w:t>
      </w:r>
    </w:p>
    <w:p w14:paraId="6EF69AC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投标人应充分考虑到网络环境、网络带宽等风险因素，如因投标人自身原因造成的电子投标文件上传不成功的按照本招标文件第二章第26.1.2条规定做无效投标处理。</w:t>
      </w:r>
    </w:p>
    <w:p w14:paraId="2396849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18.2</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6AF989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28" w:name="_Toc20823299"/>
      <w:bookmarkStart w:id="129" w:name="_Toc16938543"/>
      <w:bookmarkStart w:id="130" w:name="_Toc513029227"/>
      <w:r>
        <w:rPr>
          <w:rFonts w:hint="eastAsia" w:asciiTheme="majorEastAsia" w:hAnsiTheme="majorEastAsia" w:eastAsiaTheme="majorEastAsia" w:cstheme="majorEastAsia"/>
          <w:color w:val="auto"/>
          <w:sz w:val="24"/>
          <w:szCs w:val="24"/>
          <w:highlight w:val="none"/>
        </w:rPr>
        <w:t>19、投标文件</w:t>
      </w:r>
      <w:bookmarkEnd w:id="128"/>
      <w:bookmarkEnd w:id="129"/>
      <w:bookmarkEnd w:id="130"/>
      <w:r>
        <w:rPr>
          <w:rFonts w:hint="eastAsia" w:asciiTheme="majorEastAsia" w:hAnsiTheme="majorEastAsia" w:eastAsiaTheme="majorEastAsia" w:cstheme="majorEastAsia"/>
          <w:color w:val="auto"/>
          <w:sz w:val="24"/>
          <w:szCs w:val="24"/>
          <w:highlight w:val="none"/>
        </w:rPr>
        <w:t>的拒收</w:t>
      </w:r>
    </w:p>
    <w:p w14:paraId="1004451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19.1</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拒绝接收在其规定的投标截止时间后上传的任何投标文件。</w:t>
      </w:r>
    </w:p>
    <w:p w14:paraId="05EDD40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31" w:name="_Toc16938544"/>
      <w:bookmarkStart w:id="132" w:name="_Toc513029228"/>
      <w:bookmarkStart w:id="133" w:name="_Toc20823300"/>
      <w:r>
        <w:rPr>
          <w:rFonts w:hint="eastAsia" w:asciiTheme="majorEastAsia" w:hAnsiTheme="majorEastAsia" w:eastAsiaTheme="majorEastAsia" w:cstheme="majorEastAsia"/>
          <w:color w:val="auto"/>
          <w:sz w:val="24"/>
          <w:szCs w:val="24"/>
          <w:highlight w:val="none"/>
        </w:rPr>
        <w:t>20、投标文件的撤回和修改</w:t>
      </w:r>
      <w:bookmarkEnd w:id="131"/>
      <w:bookmarkEnd w:id="132"/>
      <w:bookmarkEnd w:id="133"/>
    </w:p>
    <w:p w14:paraId="4CD4F44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20.1投标文件的撤回</w:t>
      </w:r>
    </w:p>
    <w:p w14:paraId="4135B02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.1.1电子投标文件的撤回</w:t>
      </w:r>
    </w:p>
    <w:p w14:paraId="235CA02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投标人可在投标截止时间前，撤回其电子投标文件，具体操作方法见《操作手册》。</w:t>
      </w:r>
    </w:p>
    <w:p w14:paraId="6D84B0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w:t>
      </w:r>
      <w:r>
        <w:rPr>
          <w:rFonts w:hint="eastAsia" w:asciiTheme="majorEastAsia" w:hAnsiTheme="majorEastAsia" w:eastAsiaTheme="majorEastAsia" w:cstheme="majorEastAsia"/>
          <w:color w:val="auto"/>
          <w:sz w:val="24"/>
          <w:szCs w:val="24"/>
          <w:highlight w:val="none"/>
          <w:lang w:val="en-US" w:eastAsia="zh-CN"/>
        </w:rPr>
        <w:t>0</w:t>
      </w:r>
      <w:r>
        <w:rPr>
          <w:rFonts w:hint="eastAsia" w:asciiTheme="majorEastAsia" w:hAnsiTheme="majorEastAsia" w:eastAsiaTheme="majorEastAsia" w:cstheme="majorEastAsia"/>
          <w:color w:val="auto"/>
          <w:sz w:val="24"/>
          <w:szCs w:val="24"/>
          <w:highlight w:val="none"/>
        </w:rPr>
        <w:t>.1.2投标人撤回电子投标文件，则认为其不再参与本项目投标活动。</w:t>
      </w:r>
    </w:p>
    <w:p w14:paraId="022017B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 投标文件的修改</w:t>
      </w:r>
    </w:p>
    <w:p w14:paraId="062A2A7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20.2.1投标人可在投标截止时间前，对其电子投标文件进行修改，具体操作方法见《操作手册》。</w:t>
      </w:r>
    </w:p>
    <w:p w14:paraId="0DB0EB0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20.2.2在投标截止时间之后，投标人不得对其电子投标文件作任何修改。</w:t>
      </w:r>
    </w:p>
    <w:p w14:paraId="4D49323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20.3在投标截止时间至招标文件中规定的投标有效期满之间的这段时间内，投标人不得撤回其投标。</w:t>
      </w:r>
    </w:p>
    <w:p w14:paraId="44D7A7BD">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color w:val="auto"/>
          <w:sz w:val="24"/>
          <w:szCs w:val="24"/>
          <w:highlight w:val="none"/>
        </w:rPr>
      </w:pPr>
      <w:bookmarkStart w:id="134" w:name="_Toc513029229"/>
      <w:bookmarkStart w:id="135" w:name="_Toc16938545"/>
      <w:bookmarkStart w:id="136" w:name="_Toc120614218"/>
      <w:bookmarkStart w:id="137" w:name="_Toc20823301"/>
      <w:r>
        <w:rPr>
          <w:rFonts w:hint="eastAsia" w:asciiTheme="majorEastAsia" w:hAnsiTheme="majorEastAsia" w:eastAsiaTheme="majorEastAsia" w:cstheme="majorEastAsia"/>
          <w:b/>
          <w:color w:val="auto"/>
          <w:sz w:val="24"/>
          <w:szCs w:val="24"/>
          <w:highlight w:val="none"/>
        </w:rPr>
        <w:t>五、开标与评标</w:t>
      </w:r>
      <w:bookmarkEnd w:id="134"/>
      <w:bookmarkEnd w:id="135"/>
      <w:bookmarkEnd w:id="136"/>
      <w:bookmarkEnd w:id="137"/>
    </w:p>
    <w:p w14:paraId="1B4E3F3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38" w:name="_Toc20823302"/>
      <w:bookmarkStart w:id="139" w:name="_Toc16938546"/>
      <w:bookmarkStart w:id="140" w:name="_Toc513029230"/>
      <w:r>
        <w:rPr>
          <w:rFonts w:hint="eastAsia" w:asciiTheme="majorEastAsia" w:hAnsiTheme="majorEastAsia" w:eastAsiaTheme="majorEastAsia" w:cstheme="majorEastAsia"/>
          <w:color w:val="auto"/>
          <w:sz w:val="24"/>
          <w:szCs w:val="24"/>
          <w:highlight w:val="none"/>
        </w:rPr>
        <w:t>21、开标</w:t>
      </w:r>
      <w:bookmarkEnd w:id="138"/>
      <w:bookmarkEnd w:id="139"/>
      <w:bookmarkEnd w:id="140"/>
    </w:p>
    <w:p w14:paraId="4A36223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21.1</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将在招标公告中规定的时间和地点组织公开开标。投标人应当按照《操作手册》规定，参加开标活动和在苏采云系统规定的时间内对投标文件进行解密。</w:t>
      </w:r>
    </w:p>
    <w:p w14:paraId="2C7EF0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21.2开标仪式由</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组织。苏采云系统将自动对项目进行开标，并宣布各投标人名称和投标价格。</w:t>
      </w:r>
    </w:p>
    <w:p w14:paraId="3AA2733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21.3投标人在开标过程中涉及到的投标文件解密、开标结果确认等工作，应按照《操作手册》规定执行。</w:t>
      </w:r>
    </w:p>
    <w:p w14:paraId="6ED325B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21.4投标人如果对开标过程和开标记录有疑义，应当根据《操作手册》规定提出，如苏采云系统中《开标记录表》宣布后5分钟内未提出的，视同认可开标结果。</w:t>
      </w:r>
    </w:p>
    <w:p w14:paraId="6B416F0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41" w:name="_Toc16938547"/>
      <w:bookmarkStart w:id="142" w:name="_Toc20823303"/>
      <w:bookmarkStart w:id="143" w:name="_Toc513029231"/>
      <w:r>
        <w:rPr>
          <w:rFonts w:hint="eastAsia" w:asciiTheme="majorEastAsia" w:hAnsiTheme="majorEastAsia" w:eastAsiaTheme="majorEastAsia" w:cstheme="majorEastAsia"/>
          <w:color w:val="auto"/>
          <w:sz w:val="24"/>
          <w:szCs w:val="24"/>
          <w:highlight w:val="none"/>
        </w:rPr>
        <w:t>22、评标委员会</w:t>
      </w:r>
      <w:bookmarkEnd w:id="141"/>
      <w:bookmarkEnd w:id="142"/>
      <w:bookmarkEnd w:id="143"/>
    </w:p>
    <w:p w14:paraId="0A47765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22.1开标后，</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将立即组织评标委员会（以下简称评委会）进行评标。</w:t>
      </w:r>
    </w:p>
    <w:p w14:paraId="1696CC6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22.2评委会由采购人代表和有关技术、经济等方面的专家组成，且人员构成符合政府采购有关规定。</w:t>
      </w:r>
    </w:p>
    <w:p w14:paraId="3BD94A4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22.3评委会独立工作，负责评审所有投标文件并确定中标</w:t>
      </w:r>
      <w:r>
        <w:rPr>
          <w:rFonts w:hint="eastAsia" w:asciiTheme="majorEastAsia" w:hAnsiTheme="majorEastAsia" w:eastAsiaTheme="majorEastAsia" w:cstheme="majorEastAsia"/>
          <w:color w:val="auto"/>
          <w:sz w:val="24"/>
          <w:szCs w:val="24"/>
          <w:highlight w:val="none"/>
          <w:lang w:eastAsia="zh-CN"/>
        </w:rPr>
        <w:t>候选人</w:t>
      </w:r>
      <w:r>
        <w:rPr>
          <w:rFonts w:hint="eastAsia" w:asciiTheme="majorEastAsia" w:hAnsiTheme="majorEastAsia" w:eastAsiaTheme="majorEastAsia" w:cstheme="majorEastAsia"/>
          <w:color w:val="auto"/>
          <w:sz w:val="24"/>
          <w:szCs w:val="24"/>
          <w:highlight w:val="none"/>
        </w:rPr>
        <w:t>。</w:t>
      </w:r>
    </w:p>
    <w:p w14:paraId="240F106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23、评标过程的保密与公正</w:t>
      </w:r>
    </w:p>
    <w:p w14:paraId="5815BF8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23.1凡是与审查、澄清、评价和比较投标的有关资料以及授标建议等，采购人、评委、</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均不得向投标人或与评标无关的其他人员透露。</w:t>
      </w:r>
    </w:p>
    <w:p w14:paraId="0C5664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23.2在评标过程中，投标人不得以任何行为影响评标过程，否则其投标文件将被作为无效投标文件。</w:t>
      </w:r>
    </w:p>
    <w:p w14:paraId="6472A81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23.3</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和评标委员会不向未中标的投标人解释未中标原因，也不公布评标过程中的相关细节。</w:t>
      </w:r>
    </w:p>
    <w:p w14:paraId="329E0D8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23.4采用综合评分法的项目，未中标的投标人可于中标结果公告期限届满之日起通过苏采云系统查看自己的评审得分及排序情况。</w:t>
      </w:r>
      <w:bookmarkStart w:id="144" w:name="_Toc513029232"/>
      <w:bookmarkStart w:id="145" w:name="_Toc20823304"/>
      <w:bookmarkStart w:id="146" w:name="_Toc16938548"/>
    </w:p>
    <w:p w14:paraId="1CA13F9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24、投标文件的澄清</w:t>
      </w:r>
      <w:bookmarkEnd w:id="144"/>
      <w:bookmarkEnd w:id="145"/>
      <w:bookmarkEnd w:id="146"/>
    </w:p>
    <w:p w14:paraId="1A19A31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24.1评标期间，评委会对投标文件中含义不明确、同类问题表述不一致或者有明显文字和计算错误的内容，有权要求投标人作出必要的澄清、说明或者补正。</w:t>
      </w:r>
    </w:p>
    <w:p w14:paraId="61F7052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投标人的澄清、说明或者补正不得超出投标文件的范围或者改变投标文件的实质性内容。</w:t>
      </w:r>
    </w:p>
    <w:p w14:paraId="543237B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评标委员会并非对每个投标人都做澄清要求。</w:t>
      </w:r>
    </w:p>
    <w:p w14:paraId="494AF17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6786798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24.3接到评委会澄清、说明和补正要求的投标人如未按规定</w:t>
      </w:r>
      <w:r>
        <w:rPr>
          <w:rFonts w:hint="eastAsia" w:asciiTheme="majorEastAsia" w:hAnsiTheme="majorEastAsia" w:eastAsiaTheme="majorEastAsia" w:cstheme="majorEastAsia"/>
          <w:color w:val="auto"/>
          <w:sz w:val="24"/>
          <w:szCs w:val="24"/>
          <w:highlight w:val="none"/>
          <w:lang w:eastAsia="zh-CN"/>
        </w:rPr>
        <w:t>作出</w:t>
      </w:r>
      <w:r>
        <w:rPr>
          <w:rFonts w:hint="eastAsia" w:asciiTheme="majorEastAsia" w:hAnsiTheme="majorEastAsia" w:eastAsiaTheme="majorEastAsia" w:cstheme="majorEastAsia"/>
          <w:color w:val="auto"/>
          <w:sz w:val="24"/>
          <w:szCs w:val="24"/>
          <w:highlight w:val="none"/>
        </w:rPr>
        <w:t>澄清、说明和补正，其风险由投标人自行承担。</w:t>
      </w:r>
    </w:p>
    <w:p w14:paraId="5D73D9B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47" w:name="_Toc513029233"/>
      <w:bookmarkStart w:id="148" w:name="_Toc20823305"/>
      <w:bookmarkStart w:id="149" w:name="_Toc16938549"/>
      <w:r>
        <w:rPr>
          <w:rFonts w:hint="eastAsia" w:asciiTheme="majorEastAsia" w:hAnsiTheme="majorEastAsia" w:eastAsiaTheme="majorEastAsia" w:cstheme="majorEastAsia"/>
          <w:color w:val="auto"/>
          <w:sz w:val="24"/>
          <w:szCs w:val="24"/>
          <w:highlight w:val="none"/>
        </w:rPr>
        <w:t>25、对投标文件的初审</w:t>
      </w:r>
      <w:bookmarkEnd w:id="147"/>
      <w:bookmarkEnd w:id="148"/>
      <w:bookmarkEnd w:id="149"/>
    </w:p>
    <w:p w14:paraId="5DE078D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25.1投标文件初审分为资格审查和符合性审查。</w:t>
      </w:r>
    </w:p>
    <w:p w14:paraId="34B4359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25.1.1资格审查：依据法律法规和招标文件的规定，由采购人对投标文件中的资格证明文件进行审查。资格审查的结论，采购人以书面形式向评委会进行反馈。</w:t>
      </w:r>
    </w:p>
    <w:p w14:paraId="2A92612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采购人在进行资格性审查的同时，将在“信用中国”网站（www.creditchina.gov.cn）查询投标人的信用记录，以确定投标人是否具备投标资格,查询结果留存并归档。</w:t>
      </w:r>
    </w:p>
    <w:p w14:paraId="40E581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14:paraId="1BC309F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7473481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25.1.3未通过资格审查或符合性审查的投标人，</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将在苏采云系统中告知未通过资格审查或符合性审查的原因，评标结束后，</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将不再告知未通过资格审查和符合性审查的原因。</w:t>
      </w:r>
    </w:p>
    <w:p w14:paraId="4D3EDB5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1CDD01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所谓重大偏离或保留是指与招标文件规定的实质性要求存在负偏离，或者在实质上与招标文件不一致，而且限制了合同中买方和</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916DA9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47EACAE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25.4评委会将对确定为实质性响应的投标进行进一步审核，确定其是否有计算上或累加上的算术错误，修正错误的原则如下：</w:t>
      </w:r>
    </w:p>
    <w:p w14:paraId="7AD76BA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（1）投标文件中开标一览表内容与投标文件中相应内容不一致的，以开标一览表为准。</w:t>
      </w:r>
    </w:p>
    <w:p w14:paraId="0216FF4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（2）大写金额和小写金额不一致的，以大写金额为准。</w:t>
      </w:r>
    </w:p>
    <w:p w14:paraId="650F159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（3）单价金额小数点或者百分比有明显错位的，以开标一览表的总价为准，并修改单价。</w:t>
      </w:r>
    </w:p>
    <w:p w14:paraId="62D89F4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（4）总价金额与按单价汇总金额不一致的，以单价金额计算结果为准。</w:t>
      </w:r>
    </w:p>
    <w:p w14:paraId="37D6B7B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同时出现两种以上错误的，按照前款规定的顺序修正。</w:t>
      </w:r>
    </w:p>
    <w:p w14:paraId="3053C9D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7AC5907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50" w:name="_Toc513029234"/>
      <w:bookmarkStart w:id="151" w:name="_Toc16938550"/>
      <w:bookmarkStart w:id="152" w:name="_Toc20823306"/>
      <w:r>
        <w:rPr>
          <w:rFonts w:hint="eastAsia" w:asciiTheme="majorEastAsia" w:hAnsiTheme="majorEastAsia" w:eastAsiaTheme="majorEastAsia" w:cstheme="majorEastAsia"/>
          <w:color w:val="auto"/>
          <w:sz w:val="24"/>
          <w:szCs w:val="24"/>
          <w:highlight w:val="none"/>
        </w:rPr>
        <w:t>25.6投标人在开、评标全过程中应</w:t>
      </w:r>
      <w:r>
        <w:rPr>
          <w:rFonts w:hint="eastAsia" w:asciiTheme="majorEastAsia" w:hAnsiTheme="majorEastAsia" w:eastAsiaTheme="majorEastAsia" w:cstheme="majorEastAsia"/>
          <w:color w:val="auto"/>
          <w:sz w:val="24"/>
          <w:szCs w:val="24"/>
          <w:highlight w:val="none"/>
          <w:lang w:eastAsia="zh-CN"/>
        </w:rPr>
        <w:t>保持通信畅通</w:t>
      </w:r>
      <w:r>
        <w:rPr>
          <w:rFonts w:hint="eastAsia" w:asciiTheme="majorEastAsia" w:hAnsiTheme="majorEastAsia" w:eastAsiaTheme="majorEastAsia" w:cstheme="majorEastAsia"/>
          <w:color w:val="auto"/>
          <w:sz w:val="24"/>
          <w:szCs w:val="24"/>
          <w:highlight w:val="none"/>
        </w:rPr>
        <w:t>，及时登录苏采云系统查阅、答复相关信息，并安排专人与</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及评标委员会联系。</w:t>
      </w:r>
      <w:bookmarkEnd w:id="150"/>
      <w:bookmarkEnd w:id="151"/>
      <w:bookmarkEnd w:id="152"/>
    </w:p>
    <w:p w14:paraId="2D35AE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26、无效投标条款和废标条款</w:t>
      </w:r>
    </w:p>
    <w:p w14:paraId="688A4E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53" w:name="_Toc20823307"/>
      <w:bookmarkStart w:id="154" w:name="_Toc16938551"/>
      <w:bookmarkStart w:id="155" w:name="_Toc513029235"/>
      <w:r>
        <w:rPr>
          <w:rFonts w:hint="eastAsia" w:asciiTheme="majorEastAsia" w:hAnsiTheme="majorEastAsia" w:eastAsiaTheme="majorEastAsia" w:cstheme="majorEastAsia"/>
          <w:color w:val="auto"/>
          <w:sz w:val="24"/>
          <w:szCs w:val="24"/>
          <w:highlight w:val="none"/>
        </w:rPr>
        <w:t>26.1无效投标条款</w:t>
      </w:r>
      <w:bookmarkEnd w:id="153"/>
      <w:bookmarkEnd w:id="154"/>
      <w:bookmarkEnd w:id="155"/>
    </w:p>
    <w:p w14:paraId="76023CC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26.1.1投标人在苏采云系统规定的时间内未成功解密电子投标文件的。</w:t>
      </w:r>
    </w:p>
    <w:p w14:paraId="7E7103C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26.1.2投标人未按照招标文件要求上传电子投标文件的。</w:t>
      </w:r>
    </w:p>
    <w:p w14:paraId="6DD2297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26.1.3同一投标人提交两个（含两个）以上不同的投标报价的。</w:t>
      </w:r>
    </w:p>
    <w:p w14:paraId="25EDD4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26.1.4投标人不具备招标文件中规定资格要求的。</w:t>
      </w:r>
    </w:p>
    <w:p w14:paraId="362F0C2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26.1.5投标人的报价超过了采购预算或最高限价的。</w:t>
      </w:r>
    </w:p>
    <w:p w14:paraId="6EDD65A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26.1.6未通过符合性审查的。</w:t>
      </w:r>
    </w:p>
    <w:p w14:paraId="6CEF4D7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i/>
          <w:iCs/>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26.1.7不符合招标文件中规定的实质性要求和条件的</w:t>
      </w:r>
      <w:r>
        <w:rPr>
          <w:rFonts w:hint="eastAsia" w:asciiTheme="majorEastAsia" w:hAnsiTheme="majorEastAsia" w:eastAsiaTheme="majorEastAsia" w:cstheme="majorEastAsia"/>
          <w:b/>
          <w:bCs/>
          <w:i/>
          <w:iCs/>
          <w:color w:val="auto"/>
          <w:sz w:val="24"/>
          <w:szCs w:val="24"/>
          <w:highlight w:val="none"/>
          <w:u w:val="single"/>
        </w:rPr>
        <w:t>（本招标文件中斜体且有下划线部分为实质性要求和条件）。</w:t>
      </w:r>
    </w:p>
    <w:p w14:paraId="418E4FA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1F0BB9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26.1.9投标文件含有采购人不能接受的附加条件的。</w:t>
      </w:r>
    </w:p>
    <w:p w14:paraId="30ABCB5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26.1.10投标人不能证明其报价合理性的，评</w:t>
      </w:r>
      <w:r>
        <w:rPr>
          <w:rFonts w:hint="eastAsia" w:asciiTheme="majorEastAsia" w:hAnsiTheme="majorEastAsia" w:eastAsiaTheme="majorEastAsia" w:cstheme="majorEastAsia"/>
          <w:b/>
          <w:bCs/>
          <w:color w:val="auto"/>
          <w:sz w:val="24"/>
          <w:szCs w:val="24"/>
          <w:highlight w:val="none"/>
          <w:lang w:val="en-US" w:eastAsia="zh-CN"/>
        </w:rPr>
        <w:t>标</w:t>
      </w:r>
      <w:r>
        <w:rPr>
          <w:rFonts w:hint="eastAsia" w:asciiTheme="majorEastAsia" w:hAnsiTheme="majorEastAsia" w:eastAsiaTheme="majorEastAsia" w:cstheme="majorEastAsia"/>
          <w:b/>
          <w:bCs/>
          <w:color w:val="auto"/>
          <w:sz w:val="24"/>
          <w:szCs w:val="24"/>
          <w:highlight w:val="none"/>
        </w:rPr>
        <w:t>委员会应当将其作为无效投标处理。</w:t>
      </w:r>
    </w:p>
    <w:p w14:paraId="3915F12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（一）评审过程中出现下列情形之一的，评标委员会应当启动异常低价投标审查程序：</w:t>
      </w:r>
    </w:p>
    <w:p w14:paraId="25AC461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1.投标（响应）报价低于全部通过符合性审查供应商投标（响应）报价平均值50%的，即投标（响应）报价&lt;全部通过符合性审查供应商投标（响应）报价平均值×50%；</w:t>
      </w:r>
    </w:p>
    <w:p w14:paraId="3F1E7E7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2.投标（响应）报价低于通过符合性审查的次低报价供应商投标（响应）报价50%的，即投标（响应）报价&lt;通过符合性审查的次低报价供应商投标（响应）报价×50%；</w:t>
      </w:r>
    </w:p>
    <w:p w14:paraId="187A9EC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3.投标（响应）报价低于采购项目最高限价45%的，即投标（响应）报价&lt;采购项目最高限价×45%；</w:t>
      </w:r>
    </w:p>
    <w:p w14:paraId="1A291F0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4.评审委员会基于专业判断，认为供应商报价过低，有可能影响产品质量或者不能诚信履约的其他情形。</w:t>
      </w:r>
    </w:p>
    <w:p w14:paraId="5599256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采购人可以结合具体项目实际情况，提高上述第1项至第3项中启动异常低价投标（响应）审查的数值标准，但是最高不得超过65%。</w:t>
      </w:r>
    </w:p>
    <w:p w14:paraId="4491F54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相关法律法规对供应商报价有规定的，从其规定。</w:t>
      </w:r>
    </w:p>
    <w:p w14:paraId="5B83ABD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462039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1E5A240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800E9D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21758FB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26.1.11投标文件未按照招标文件要求加盖CA电子公章的。</w:t>
      </w:r>
    </w:p>
    <w:p w14:paraId="33B57D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26.1.12其他法律、法规及本招标文件规定的属无效投标的情形。</w:t>
      </w:r>
    </w:p>
    <w:p w14:paraId="30878A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26.2废标条款</w:t>
      </w:r>
    </w:p>
    <w:p w14:paraId="5AB0B9A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26.2.1符合专业条件的供应商或者对招标文件作实质响应的供应商不足三家的。</w:t>
      </w:r>
    </w:p>
    <w:p w14:paraId="0C408DB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26.2.2出现影响采购公正的违法、违规行为的。</w:t>
      </w:r>
    </w:p>
    <w:p w14:paraId="4FE3C70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26.2.3因重大变故，采购任务取消的。</w:t>
      </w:r>
    </w:p>
    <w:p w14:paraId="05A2B4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26.2.4评标委员会认定招标文件存在歧义、重大缺陷导致评审工作无法进行。</w:t>
      </w:r>
    </w:p>
    <w:p w14:paraId="081A53D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26.2.5因苏采云系统系统故障原因造成开标不成功的。</w:t>
      </w:r>
    </w:p>
    <w:p w14:paraId="4B5D81A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26.3 投标截止时间结束后参加投标的供应商不足三家的处理：</w:t>
      </w:r>
    </w:p>
    <w:p w14:paraId="27BA4D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26.3.1如出现投标截止时间结束后参加投标的供应商或者在评标期间对招标文件做出实质响应的供应商不足三家情况，按政府采购相关规定执行。</w:t>
      </w:r>
    </w:p>
    <w:p w14:paraId="4962CF73">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ind w:firstLine="482"/>
        <w:jc w:val="both"/>
        <w:textAlignment w:val="auto"/>
        <w:rPr>
          <w:rFonts w:hint="eastAsia" w:asciiTheme="majorEastAsia" w:hAnsiTheme="majorEastAsia" w:eastAsiaTheme="majorEastAsia" w:cstheme="majorEastAsia"/>
          <w:color w:val="auto"/>
          <w:sz w:val="24"/>
          <w:szCs w:val="24"/>
          <w:highlight w:val="none"/>
        </w:rPr>
      </w:pPr>
      <w:bookmarkStart w:id="156" w:name="_Toc120614219"/>
      <w:r>
        <w:rPr>
          <w:rFonts w:hint="eastAsia" w:asciiTheme="majorEastAsia" w:hAnsiTheme="majorEastAsia" w:eastAsiaTheme="majorEastAsia" w:cstheme="majorEastAsia"/>
          <w:b/>
          <w:color w:val="auto"/>
          <w:sz w:val="24"/>
          <w:szCs w:val="24"/>
          <w:highlight w:val="none"/>
        </w:rPr>
        <w:t>六、定标</w:t>
      </w:r>
      <w:bookmarkEnd w:id="156"/>
    </w:p>
    <w:p w14:paraId="19F0950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57" w:name="_Toc20823310"/>
      <w:bookmarkStart w:id="158" w:name="_Toc16938554"/>
      <w:bookmarkStart w:id="159" w:name="_Toc513029238"/>
      <w:r>
        <w:rPr>
          <w:rFonts w:hint="eastAsia" w:asciiTheme="majorEastAsia" w:hAnsiTheme="majorEastAsia" w:eastAsiaTheme="majorEastAsia" w:cstheme="majorEastAsia"/>
          <w:color w:val="auto"/>
          <w:sz w:val="24"/>
          <w:szCs w:val="24"/>
          <w:highlight w:val="none"/>
        </w:rPr>
        <w:t>27、</w:t>
      </w:r>
      <w:bookmarkEnd w:id="157"/>
      <w:r>
        <w:rPr>
          <w:rFonts w:hint="eastAsia" w:asciiTheme="majorEastAsia" w:hAnsiTheme="majorEastAsia" w:eastAsiaTheme="majorEastAsia" w:cstheme="majorEastAsia"/>
          <w:color w:val="auto"/>
          <w:sz w:val="24"/>
          <w:szCs w:val="24"/>
          <w:highlight w:val="none"/>
        </w:rPr>
        <w:t>确定</w:t>
      </w:r>
      <w:bookmarkEnd w:id="158"/>
      <w:bookmarkEnd w:id="159"/>
      <w:r>
        <w:rPr>
          <w:rFonts w:hint="eastAsia" w:asciiTheme="majorEastAsia" w:hAnsiTheme="majorEastAsia" w:eastAsiaTheme="majorEastAsia" w:cstheme="majorEastAsia"/>
          <w:color w:val="auto"/>
          <w:sz w:val="24"/>
          <w:szCs w:val="24"/>
          <w:highlight w:val="none"/>
        </w:rPr>
        <w:t>中标单位</w:t>
      </w:r>
    </w:p>
    <w:p w14:paraId="11C11E4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27.1中标候选人的选取原则和数量见招标文件第五章规定。 </w:t>
      </w:r>
    </w:p>
    <w:p w14:paraId="1D27C73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27.2采购人应根据评委会推荐的中标候选人确定中标人。</w:t>
      </w:r>
    </w:p>
    <w:p w14:paraId="36F2BF7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27.3</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将在</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lang w:val="en-US" w:eastAsia="zh-CN"/>
        </w:rPr>
        <w:t>中国政府采购网”“</w:t>
      </w:r>
      <w:r>
        <w:rPr>
          <w:rFonts w:hint="eastAsia" w:asciiTheme="majorEastAsia" w:hAnsiTheme="majorEastAsia" w:eastAsiaTheme="majorEastAsia" w:cstheme="majorEastAsia"/>
          <w:color w:val="auto"/>
          <w:sz w:val="24"/>
          <w:szCs w:val="24"/>
          <w:highlight w:val="none"/>
        </w:rPr>
        <w:t>江苏政府采购网</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盐城市政府采购网”发布中标公告，公告期限为1个工作日。</w:t>
      </w:r>
    </w:p>
    <w:p w14:paraId="3BB3691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27.4若有充分证据证明，中标人出现下列情况之一的，一经查实，将被取消中标资格：</w:t>
      </w:r>
    </w:p>
    <w:p w14:paraId="143F730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27.4.1提供虚假材料谋取中标的。</w:t>
      </w:r>
    </w:p>
    <w:p w14:paraId="2DCE549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27.4.2向采购人、</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行贿或者提供其他不正当利益的。</w:t>
      </w:r>
    </w:p>
    <w:p w14:paraId="39CACE2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27.4.3属于本文件规定的无效条件，但在评标过程中又未被评委会发现的。</w:t>
      </w:r>
    </w:p>
    <w:p w14:paraId="6D0D75D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27.4.4与采购人或者其他供应商恶意串通的。</w:t>
      </w:r>
    </w:p>
    <w:p w14:paraId="29B22F7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27.4.5采取不正当手段诋毁、排挤其他供应商的。</w:t>
      </w:r>
    </w:p>
    <w:p w14:paraId="5920FE4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60" w:name="_Toc200451960"/>
      <w:r>
        <w:rPr>
          <w:rFonts w:hint="eastAsia" w:asciiTheme="majorEastAsia" w:hAnsiTheme="majorEastAsia" w:eastAsiaTheme="majorEastAsia" w:cstheme="majorEastAsia"/>
          <w:color w:val="auto"/>
          <w:sz w:val="24"/>
          <w:szCs w:val="24"/>
          <w:highlight w:val="none"/>
        </w:rPr>
        <w:t>27.5 有下列情形之一的，视为投标人串通投标，投标无效：</w:t>
      </w:r>
      <w:bookmarkEnd w:id="160"/>
    </w:p>
    <w:p w14:paraId="4426430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27.5.1不同投标人的投标文件由同一单位或者个人编制。</w:t>
      </w:r>
    </w:p>
    <w:p w14:paraId="7DC02A2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27.5.2不同投标人委托同一单位或者个人办理投标事宜。</w:t>
      </w:r>
    </w:p>
    <w:p w14:paraId="2A441F8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27.5.3不同投标人的投标文件载明的项目管理成员或者联系人员为同一人。</w:t>
      </w:r>
    </w:p>
    <w:p w14:paraId="2A4EC36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27.5.4不同投标人的投标文件异常一致或者投标报价呈规律性差异。</w:t>
      </w:r>
    </w:p>
    <w:p w14:paraId="46F2633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28、质疑处理</w:t>
      </w:r>
    </w:p>
    <w:p w14:paraId="1A872A7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28.1提出质疑的供应商应当是参与所质疑项目采购活动的供应商。潜在供应商依法获取其可质疑的采购文件的，可以对采购文件提出质疑。</w:t>
      </w:r>
    </w:p>
    <w:p w14:paraId="6F0443C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28.2供应商认为采购文件、采购过程和采购结果使自己的权益受到损害的，可以在知道或应知其权益受到损害之日起七个工作日内，以书面形式根据下述28.4条款的规定向</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或采购人提出质疑。上述应知其权益受到损害之日，是指：</w:t>
      </w:r>
    </w:p>
    <w:p w14:paraId="1760329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28.2.1对可以质疑的采购文件提出质疑的，为收到采购文件之日或者采购文件公告期限届满之日；</w:t>
      </w:r>
    </w:p>
    <w:p w14:paraId="3A53A62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28.2.2对采购过程提出质疑的，为各采购程序环节结束之日；</w:t>
      </w:r>
    </w:p>
    <w:p w14:paraId="4472E19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28.2.3对中标或者成交结果提出质疑的，为中标或者成交结果公告期限届满之日。</w:t>
      </w:r>
    </w:p>
    <w:p w14:paraId="796C763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供应商应当在法定质疑期内一次性提出针对同一采购程序环节的质疑。供应商如在法定期限内对同一采购程序环节提出多次质疑的，</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、采购人将只对供应商第一次质疑作出答复。</w:t>
      </w:r>
    </w:p>
    <w:p w14:paraId="772E25B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1E4C429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提出，由</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负责答复。</w:t>
      </w:r>
    </w:p>
    <w:p w14:paraId="5E4AF22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代理机构及采购人只接收以纸质原件形式送达的质疑,采购人和采购代理机构不接受未填写快递运单的快件。质疑接收部门为江苏雨田工程咨询集团有限公司，联系地址：滨海县大学生创业园电谷A226室，联系电话：15751609431。</w:t>
      </w:r>
    </w:p>
    <w:p w14:paraId="21646E5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 以下情形的质疑不予受理</w:t>
      </w:r>
    </w:p>
    <w:p w14:paraId="0129FDD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28.5.1内容不符合《政府采购质疑和投诉办法》第十二条规定的质疑。</w:t>
      </w:r>
    </w:p>
    <w:p w14:paraId="47382B8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28.5.2超出政府采购法定期限的质疑。</w:t>
      </w:r>
    </w:p>
    <w:p w14:paraId="0505FA0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28.5.3以传真、电子邮件等方式递交的非原件形式的质疑。</w:t>
      </w:r>
    </w:p>
    <w:p w14:paraId="2FC725C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28.5.4未参加投标活动的供应商或在投标活动中自身权益未受到损害的供应商所提出的质疑。</w:t>
      </w:r>
    </w:p>
    <w:p w14:paraId="1A0BBF3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28.5.5供应商组成联合体参加投标，联合体中任何一方或多方未按要求签字、盖章、加盖公章的质疑。</w:t>
      </w:r>
    </w:p>
    <w:p w14:paraId="595C2EE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28.6供应商提出书面质疑必须有理、有据，不得捏造事实、提供虚假材料进行恶意质疑。否则，一经查实，</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有权依据政府采购的有关规定，报请政府采购监管部门对该供应商进行相应的行政处罚和记录该供应商的失信信息。</w:t>
      </w:r>
    </w:p>
    <w:p w14:paraId="58081A8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29、中标通知书</w:t>
      </w:r>
    </w:p>
    <w:p w14:paraId="78F4F21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29.l中标结果确定后，</w:t>
      </w:r>
      <w:r>
        <w:rPr>
          <w:rFonts w:hint="eastAsia" w:asciiTheme="majorEastAsia" w:hAnsiTheme="majorEastAsia" w:eastAsiaTheme="majorEastAsia" w:cstheme="majorEastAsia"/>
          <w:color w:val="auto"/>
          <w:sz w:val="24"/>
          <w:szCs w:val="24"/>
          <w:highlight w:val="none"/>
          <w:lang w:eastAsia="zh-CN"/>
        </w:rPr>
        <w:t>采购代理机构</w:t>
      </w:r>
      <w:r>
        <w:rPr>
          <w:rFonts w:hint="eastAsia" w:asciiTheme="majorEastAsia" w:hAnsiTheme="majorEastAsia" w:eastAsiaTheme="majorEastAsia" w:cstheme="majorEastAsia"/>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4DE914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445310C1">
      <w:pPr>
        <w:pStyle w:val="7"/>
        <w:keepNext/>
        <w:keepLines/>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bookmarkStart w:id="161" w:name="_Toc16938552"/>
      <w:bookmarkStart w:id="162" w:name="_Toc513029236"/>
      <w:bookmarkStart w:id="163" w:name="_Toc120614220"/>
      <w:bookmarkStart w:id="164" w:name="_Toc20823308"/>
      <w:r>
        <w:rPr>
          <w:rFonts w:hint="eastAsia" w:asciiTheme="majorEastAsia" w:hAnsiTheme="majorEastAsia" w:eastAsiaTheme="majorEastAsia" w:cstheme="majorEastAsia"/>
          <w:b/>
          <w:color w:val="auto"/>
          <w:sz w:val="24"/>
          <w:szCs w:val="24"/>
          <w:highlight w:val="none"/>
        </w:rPr>
        <w:t>七、授予合同</w:t>
      </w:r>
      <w:bookmarkEnd w:id="161"/>
      <w:bookmarkEnd w:id="162"/>
      <w:bookmarkEnd w:id="163"/>
      <w:bookmarkEnd w:id="164"/>
    </w:p>
    <w:p w14:paraId="5607D86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bookmarkStart w:id="165" w:name="_Toc16938553"/>
      <w:bookmarkStart w:id="166" w:name="_Toc513029237"/>
      <w:bookmarkStart w:id="167" w:name="_Toc20823309"/>
      <w:r>
        <w:rPr>
          <w:rFonts w:hint="eastAsia" w:asciiTheme="majorEastAsia" w:hAnsiTheme="majorEastAsia" w:eastAsiaTheme="majorEastAsia" w:cstheme="majorEastAsia"/>
          <w:color w:val="auto"/>
          <w:sz w:val="24"/>
          <w:szCs w:val="24"/>
          <w:highlight w:val="none"/>
        </w:rPr>
        <w:t>30.签订合同</w:t>
      </w:r>
      <w:bookmarkEnd w:id="165"/>
      <w:bookmarkEnd w:id="166"/>
      <w:bookmarkEnd w:id="167"/>
    </w:p>
    <w:p w14:paraId="581B912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30.l中标人应当在中标通知书发出之日起三十日内，按照招标文件确定的事项与采购人签订政府采购合同。</w:t>
      </w:r>
    </w:p>
    <w:p w14:paraId="72813794">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30.2招标文件、中标人的投标文件及招标过程中有关澄清、承诺文件均应作为合同附件。</w:t>
      </w:r>
    </w:p>
    <w:p w14:paraId="56A39F7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30.3签订合同后，</w:t>
      </w:r>
      <w:r>
        <w:rPr>
          <w:rFonts w:hint="eastAsia" w:asciiTheme="majorEastAsia" w:hAnsiTheme="majorEastAsia" w:eastAsiaTheme="majorEastAsia" w:cstheme="majorEastAsia"/>
          <w:b/>
          <w:bCs/>
          <w:i/>
          <w:iCs/>
          <w:color w:val="auto"/>
          <w:sz w:val="24"/>
          <w:szCs w:val="24"/>
          <w:highlight w:val="none"/>
          <w:u w:val="single"/>
        </w:rPr>
        <w:t>中标人不得将合同标的进行转包</w:t>
      </w:r>
      <w:r>
        <w:rPr>
          <w:rFonts w:hint="eastAsia" w:asciiTheme="majorEastAsia" w:hAnsiTheme="majorEastAsia" w:eastAsiaTheme="majorEastAsia" w:cstheme="majorEastAsia"/>
          <w:color w:val="auto"/>
          <w:sz w:val="24"/>
          <w:szCs w:val="24"/>
          <w:highlight w:val="none"/>
        </w:rPr>
        <w:t>。未经采购人同意，中标人也不得采用分包的形式履行合同，否则采购人有权终止合同。转包或分包造成采购人损失的，中标人应承担相应赔偿责任。</w:t>
      </w:r>
    </w:p>
    <w:p w14:paraId="72AD40E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31、服务（包含与服务相关的货物）的追加</w:t>
      </w:r>
    </w:p>
    <w:p w14:paraId="0E91D5A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762CC62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32.政府采购政策功能落实</w:t>
      </w:r>
    </w:p>
    <w:p w14:paraId="0CC4635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32.1</w:t>
      </w:r>
      <w:r>
        <w:rPr>
          <w:rFonts w:hint="eastAsia" w:asciiTheme="majorEastAsia" w:hAnsiTheme="majorEastAsia" w:eastAsiaTheme="majorEastAsia" w:cstheme="majorEastAsia"/>
          <w:color w:val="auto"/>
          <w:sz w:val="24"/>
          <w:szCs w:val="24"/>
          <w:highlight w:val="none"/>
        </w:rPr>
        <w:t>政府采购</w:t>
      </w:r>
      <w:r>
        <w:rPr>
          <w:rFonts w:hint="eastAsia" w:asciiTheme="majorEastAsia" w:hAnsiTheme="majorEastAsia" w:eastAsiaTheme="majorEastAsia" w:cstheme="majorEastAsia"/>
          <w:color w:val="auto"/>
          <w:sz w:val="24"/>
          <w:szCs w:val="24"/>
          <w:highlight w:val="none"/>
          <w:lang w:eastAsia="zh-CN"/>
        </w:rPr>
        <w:t>线上合同信用融资</w:t>
      </w:r>
      <w:r>
        <w:rPr>
          <w:rFonts w:hint="eastAsia" w:asciiTheme="majorEastAsia" w:hAnsiTheme="majorEastAsia" w:eastAsiaTheme="majorEastAsia" w:cstheme="majorEastAsia"/>
          <w:color w:val="auto"/>
          <w:sz w:val="24"/>
          <w:szCs w:val="24"/>
          <w:highlight w:val="none"/>
        </w:rPr>
        <w:t>政策</w:t>
      </w:r>
    </w:p>
    <w:p w14:paraId="4FECD1A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Theme="majorEastAsia" w:hAnsiTheme="majorEastAsia" w:eastAsiaTheme="majorEastAsia" w:cstheme="majorEastAsia"/>
          <w:color w:val="auto"/>
          <w:sz w:val="24"/>
          <w:szCs w:val="24"/>
          <w:highlight w:val="none"/>
          <w:lang w:val="en-US" w:eastAsia="zh-CN"/>
        </w:rPr>
        <w:t>江苏省</w:t>
      </w:r>
      <w:r>
        <w:rPr>
          <w:rFonts w:hint="eastAsia" w:asciiTheme="majorEastAsia" w:hAnsiTheme="majorEastAsia" w:eastAsiaTheme="majorEastAsia" w:cstheme="majorEastAsia"/>
          <w:color w:val="auto"/>
          <w:sz w:val="24"/>
          <w:szCs w:val="24"/>
          <w:highlight w:val="none"/>
        </w:rPr>
        <w:t>政府采购网“政采贷”栏目）申请贷款，相关金融机构按照双方自愿的原则提供便捷、优惠的贷款服务；具体操作流程请参考苏采云系统中操作手册。 </w:t>
      </w:r>
    </w:p>
    <w:p w14:paraId="07C5E5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32.2进口产品</w:t>
      </w:r>
    </w:p>
    <w:p w14:paraId="312F524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进口产品</w:t>
      </w:r>
      <w:r>
        <w:rPr>
          <w:rFonts w:hint="eastAsia" w:asciiTheme="majorEastAsia" w:hAnsiTheme="majorEastAsia" w:eastAsiaTheme="majorEastAsia" w:cstheme="majorEastAsia"/>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3FC3E8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32.3中小企业、监狱企业及残疾人福利性单位</w:t>
      </w:r>
    </w:p>
    <w:p w14:paraId="1305861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32.3.1中小企业定义：</w:t>
      </w:r>
    </w:p>
    <w:p w14:paraId="3183E5E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1149179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32.3.2供应商提供的货物、工程或者服务符合下列情形的，享受中小企业扶持政策：</w:t>
      </w:r>
    </w:p>
    <w:p w14:paraId="4F0E7A3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32.3.2.1在货物采购项目中，货物由中小企业制造，即货物由中小企业生产且使用该中小企业商号或者注册商标；</w:t>
      </w:r>
    </w:p>
    <w:p w14:paraId="73309C26">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32.3.2.2在工程采购项目中，工程由中小企业承建，即工程施工单位为中小企业；</w:t>
      </w:r>
    </w:p>
    <w:p w14:paraId="6B7DB78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1A390C0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32.3.3在货物采购项目中，供应商提供的货物既有中小企业制造货物，也有大型企业制造货物的，不享受中小企业扶持政策。</w:t>
      </w:r>
    </w:p>
    <w:p w14:paraId="142F171D">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22D78EF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64B6B7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32.3.6残疾人福利单位定义：享受政府采购支持政策的残疾人福利性单位应当同时满足以下条件：</w:t>
      </w:r>
    </w:p>
    <w:p w14:paraId="25DA594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32.3.6.1安置的残疾人占本单位在职职工人数的比例不低于25%（含25%），并且安置的残疾人人数不少于10 人（含10 人）；</w:t>
      </w:r>
    </w:p>
    <w:p w14:paraId="0A2BABD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32.3.6.2依法与安置的每位残疾人签订了一年以上（含一年）的劳动合同或服务协议；</w:t>
      </w:r>
    </w:p>
    <w:p w14:paraId="6759EDBA">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32.3.6.3为安置的每位残疾人按月足额缴纳了基本养老保险、基本医疗保险、失业保险、工伤保险和生育保险等社会保险费；</w:t>
      </w:r>
    </w:p>
    <w:p w14:paraId="5BD2AA3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5B6729D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19B4179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46081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32.3.7本项目是否专门面向中小企业预留采购份额见第一章《招标公告》。</w:t>
      </w:r>
    </w:p>
    <w:p w14:paraId="3B93DDBC">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32.3.8采购标的对应的中小企业划分标准所属行业见第四章《采购需求》。</w:t>
      </w:r>
    </w:p>
    <w:p w14:paraId="718B6B0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32.3.9小微企业价格评审优惠的政策：见第五章《评标方法和评标标准》。</w:t>
      </w:r>
    </w:p>
    <w:p w14:paraId="45BB733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32.4政府采购节能产品、环境标志产品</w:t>
      </w:r>
    </w:p>
    <w:p w14:paraId="37D493C0">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E71FE3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48822A8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32.5绿色包装</w:t>
      </w:r>
    </w:p>
    <w:p w14:paraId="4ABA43B1">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2C57E142">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32.6政府采购创新产品</w:t>
      </w:r>
    </w:p>
    <w:p w14:paraId="60A22B79">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采购人优先采购各级政府部门公开发布的有效期内的创新产品、创新服务、首台套、首购首用等《目录》的创新产品。</w:t>
      </w:r>
    </w:p>
    <w:p w14:paraId="2D4DDD5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32.7绿色数据中心政策 </w:t>
      </w:r>
    </w:p>
    <w:p w14:paraId="3065958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5A0B39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32.8实施本国产品标准及相关政策</w:t>
      </w:r>
    </w:p>
    <w:p w14:paraId="10C668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1.本项目对采购本国产品给予政策支持，具体内容见招标文件“第五章 评标方法与评标标准”。</w:t>
      </w:r>
    </w:p>
    <w:p w14:paraId="69DF1A5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2B63FE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11DB62B8">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5F0B154F">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32.9履约保证金政策</w:t>
      </w:r>
    </w:p>
    <w:p w14:paraId="3744F7F3">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确需收取履约保证金的，履约保证金的缴纳形式：</w:t>
      </w:r>
    </w:p>
    <w:p w14:paraId="1F196DF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69F243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 如以履约保函（保险）形式缴纳履约保证金，供应商可通过政府采购电子履约保函（保险）平台（www.jsdzbh.com）在线申请履约保函（保险）。</w:t>
      </w:r>
    </w:p>
    <w:p w14:paraId="534297C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p>
    <w:p w14:paraId="5494D70B">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33. 预付款制度</w:t>
      </w:r>
    </w:p>
    <w:p w14:paraId="4CFD5BBE">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本项目落实预付款制度，预付款比例为</w:t>
      </w:r>
      <w:r>
        <w:rPr>
          <w:rFonts w:hint="eastAsia" w:asciiTheme="majorEastAsia" w:hAnsiTheme="majorEastAsia" w:eastAsiaTheme="majorEastAsia" w:cstheme="majorEastAsia"/>
          <w:color w:val="auto"/>
          <w:sz w:val="24"/>
          <w:szCs w:val="24"/>
          <w:highlight w:val="none"/>
          <w:u w:val="single"/>
          <w:lang w:val="en-US" w:eastAsia="zh-CN"/>
        </w:rPr>
        <w:t>20%</w:t>
      </w:r>
      <w:r>
        <w:rPr>
          <w:rFonts w:hint="eastAsia" w:asciiTheme="majorEastAsia" w:hAnsiTheme="majorEastAsia" w:eastAsiaTheme="majorEastAsia" w:cstheme="majorEastAsia"/>
          <w:color w:val="auto"/>
          <w:sz w:val="24"/>
          <w:szCs w:val="24"/>
          <w:highlight w:val="none"/>
          <w:lang w:val="en-US" w:eastAsia="zh-CN"/>
        </w:rPr>
        <w:t>。在签订合同时，中标、成交供应商明确书面表示无需预付款或者主动要求降低预付款比例的，采购人可就预付款比例作相应调整。</w:t>
      </w:r>
    </w:p>
    <w:p w14:paraId="4F43D37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u w:val="none"/>
          <w:lang w:val="en-US" w:eastAsia="zh-CN"/>
        </w:rPr>
      </w:pPr>
      <w:r>
        <w:rPr>
          <w:rFonts w:hint="eastAsia" w:asciiTheme="majorEastAsia" w:hAnsiTheme="majorEastAsia" w:eastAsiaTheme="majorEastAsia" w:cstheme="majorEastAsia"/>
          <w:color w:val="auto"/>
          <w:sz w:val="24"/>
          <w:szCs w:val="24"/>
          <w:highlight w:val="none"/>
          <w:u w:val="none"/>
          <w:lang w:val="en-US" w:eastAsia="zh-CN"/>
        </w:rPr>
        <w:t>34.其他费用</w:t>
      </w:r>
    </w:p>
    <w:p w14:paraId="127B4FE3">
      <w:pPr>
        <w:spacing w:line="420" w:lineRule="exact"/>
        <w:ind w:firstLine="480" w:firstLineChars="200"/>
        <w:jc w:val="left"/>
        <w:rPr>
          <w:rFonts w:hint="eastAsia" w:asciiTheme="majorEastAsia" w:hAnsiTheme="majorEastAsia" w:eastAsiaTheme="majorEastAsia" w:cstheme="majorEastAsia"/>
          <w:color w:val="auto"/>
          <w:kern w:val="0"/>
          <w:sz w:val="24"/>
          <w:szCs w:val="24"/>
          <w:highlight w:val="none"/>
          <w:u w:val="none"/>
          <w:lang w:val="en-US" w:eastAsia="zh-CN" w:bidi="ar-SA"/>
        </w:rPr>
      </w:pPr>
      <w:r>
        <w:rPr>
          <w:rFonts w:hint="eastAsia" w:asciiTheme="majorEastAsia" w:hAnsiTheme="majorEastAsia" w:eastAsiaTheme="majorEastAsia" w:cstheme="majorEastAsia"/>
          <w:color w:val="auto"/>
          <w:kern w:val="0"/>
          <w:sz w:val="24"/>
          <w:szCs w:val="24"/>
          <w:highlight w:val="none"/>
          <w:u w:val="none"/>
          <w:lang w:val="en-US" w:eastAsia="zh-CN" w:bidi="ar-SA"/>
        </w:rPr>
        <w:t>招标文件未列明，而投标人认为必须的费用也须列入报价。</w:t>
      </w:r>
    </w:p>
    <w:p w14:paraId="27B69394">
      <w:pPr>
        <w:spacing w:line="420" w:lineRule="exact"/>
        <w:ind w:firstLine="480" w:firstLineChars="200"/>
        <w:rPr>
          <w:rFonts w:hint="eastAsia" w:asciiTheme="majorEastAsia" w:hAnsiTheme="majorEastAsia" w:eastAsiaTheme="majorEastAsia" w:cstheme="majorEastAsia"/>
          <w:color w:val="auto"/>
          <w:kern w:val="0"/>
          <w:sz w:val="24"/>
          <w:szCs w:val="24"/>
          <w:highlight w:val="none"/>
          <w:u w:val="none"/>
          <w:lang w:val="en-US" w:eastAsia="zh-CN" w:bidi="ar-SA"/>
        </w:rPr>
      </w:pPr>
      <w:r>
        <w:rPr>
          <w:rFonts w:hint="eastAsia" w:asciiTheme="majorEastAsia" w:hAnsiTheme="majorEastAsia" w:eastAsiaTheme="majorEastAsia" w:cstheme="majorEastAsia"/>
          <w:color w:val="auto"/>
          <w:kern w:val="0"/>
          <w:sz w:val="24"/>
          <w:szCs w:val="24"/>
          <w:highlight w:val="none"/>
          <w:u w:val="none"/>
          <w:lang w:val="en-US" w:eastAsia="zh-CN" w:bidi="ar-SA"/>
        </w:rPr>
        <w:t>本项目代理服务费按苏政采【2024】20号文件中服务招标收取费用标准折后执行，采购人约定由中标人在领取中标通知书前向采购代理单位一次性代为支付采购代理服务费人民币3000元。投标人须将此费用纳入投标报价中，采购人不另行支付。</w:t>
      </w:r>
    </w:p>
    <w:p w14:paraId="07AD1A05">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p>
    <w:p w14:paraId="3EB1FCF7">
      <w:pPr>
        <w:pStyle w:val="7"/>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w:t>
      </w:r>
    </w:p>
    <w:p w14:paraId="5E715187">
      <w:pPr>
        <w:pStyle w:val="7"/>
        <w:spacing w:beforeAutospacing="0" w:afterAutospacing="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2EBE5B2B">
      <w:pPr>
        <w:pStyle w:val="7"/>
        <w:spacing w:beforeAutospacing="0" w:afterAutospacing="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687590B2">
      <w:pPr>
        <w:pStyle w:val="7"/>
        <w:spacing w:beforeAutospacing="0" w:afterAutospacing="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7A3776DA">
      <w:pPr>
        <w:pStyle w:val="7"/>
        <w:spacing w:beforeAutospacing="0" w:afterAutospacing="0"/>
        <w:jc w:val="both"/>
        <w:rPr>
          <w:rFonts w:hint="eastAsia" w:asciiTheme="majorEastAsia" w:hAnsiTheme="majorEastAsia" w:eastAsiaTheme="majorEastAsia" w:cstheme="majorEastAsia"/>
          <w:color w:val="auto"/>
          <w:sz w:val="24"/>
          <w:szCs w:val="24"/>
          <w:highlight w:val="none"/>
        </w:rPr>
      </w:pPr>
    </w:p>
    <w:p w14:paraId="77B0A2B2">
      <w:pPr>
        <w:keepNext w:val="0"/>
        <w:keepLines w:val="0"/>
        <w:pageBreakBefore w:val="0"/>
        <w:widowControl w:val="0"/>
        <w:kinsoku/>
        <w:wordWrap/>
        <w:overflowPunct/>
        <w:topLinePunct w:val="0"/>
        <w:autoSpaceDE/>
        <w:autoSpaceDN/>
        <w:bidi w:val="0"/>
        <w:adjustRightInd/>
        <w:snapToGrid/>
        <w:spacing w:line="500" w:lineRule="exact"/>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r>
        <w:rPr>
          <w:rFonts w:hint="eastAsia" w:asciiTheme="majorEastAsia" w:hAnsiTheme="majorEastAsia" w:eastAsiaTheme="majorEastAsia" w:cstheme="majorEastAsia"/>
          <w:b/>
          <w:bCs/>
          <w:color w:val="auto"/>
          <w:kern w:val="0"/>
          <w:sz w:val="48"/>
          <w:szCs w:val="48"/>
          <w:highlight w:val="none"/>
          <w:lang w:val="en-US" w:eastAsia="zh-CN" w:bidi="ar-SA"/>
        </w:rPr>
        <w:t>第三章  合同文本</w:t>
      </w:r>
    </w:p>
    <w:p w14:paraId="6395CC98">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center"/>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盐城市政府采购合同（服务）（合同编号）</w:t>
      </w:r>
    </w:p>
    <w:p w14:paraId="686F9D8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项目名称：</w:t>
      </w:r>
    </w:p>
    <w:p w14:paraId="177D858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项目编号：</w:t>
      </w:r>
    </w:p>
    <w:p w14:paraId="25017DB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甲方：（买方）_________</w:t>
      </w:r>
    </w:p>
    <w:p w14:paraId="1D9A0AA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乙方：（卖方）_________</w:t>
      </w:r>
    </w:p>
    <w:p w14:paraId="1616360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 xml:space="preserve">   </w:t>
      </w:r>
      <w:r>
        <w:rPr>
          <w:rFonts w:hint="eastAsia" w:asciiTheme="majorEastAsia" w:hAnsiTheme="majorEastAsia" w:eastAsiaTheme="majorEastAsia" w:cstheme="majorEastAsia"/>
          <w:color w:val="auto"/>
          <w:sz w:val="24"/>
          <w:szCs w:val="24"/>
          <w:highlight w:val="none"/>
        </w:rPr>
        <w:t>甲、乙双方根据</w:t>
      </w:r>
      <w:r>
        <w:rPr>
          <w:rFonts w:hint="eastAsia" w:asciiTheme="majorEastAsia" w:hAnsiTheme="majorEastAsia" w:eastAsiaTheme="majorEastAsia" w:cstheme="majorEastAsia"/>
          <w:color w:val="auto"/>
          <w:sz w:val="24"/>
          <w:szCs w:val="24"/>
          <w:highlight w:val="none"/>
          <w:u w:val="single"/>
        </w:rPr>
        <w:t xml:space="preserve">         </w:t>
      </w:r>
      <w:r>
        <w:rPr>
          <w:rFonts w:hint="eastAsia" w:asciiTheme="majorEastAsia" w:hAnsiTheme="majorEastAsia" w:eastAsiaTheme="majorEastAsia" w:cstheme="majorEastAsia"/>
          <w:color w:val="auto"/>
          <w:sz w:val="24"/>
          <w:szCs w:val="24"/>
          <w:highlight w:val="none"/>
        </w:rPr>
        <w:t>项目公开招标的结果，签署本合同。</w:t>
      </w:r>
    </w:p>
    <w:p w14:paraId="717F683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一、合同内容</w:t>
      </w:r>
    </w:p>
    <w:p w14:paraId="0DCB674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标的名称：</w:t>
      </w:r>
    </w:p>
    <w:p w14:paraId="72B3CFF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标的质量：</w:t>
      </w:r>
    </w:p>
    <w:p w14:paraId="7046221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标的数量（规模）：</w:t>
      </w:r>
    </w:p>
    <w:p w14:paraId="3DB431B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4.</w:t>
      </w:r>
      <w:r>
        <w:rPr>
          <w:rFonts w:hint="eastAsia" w:asciiTheme="majorEastAsia" w:hAnsiTheme="majorEastAsia" w:eastAsiaTheme="majorEastAsia" w:cstheme="majorEastAsia"/>
          <w:color w:val="auto"/>
          <w:sz w:val="24"/>
          <w:szCs w:val="24"/>
          <w:highlight w:val="none"/>
        </w:rPr>
        <w:t>履行时间（期限）：</w:t>
      </w:r>
    </w:p>
    <w:p w14:paraId="5EECAE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5.</w:t>
      </w:r>
      <w:r>
        <w:rPr>
          <w:rFonts w:hint="eastAsia" w:asciiTheme="majorEastAsia" w:hAnsiTheme="majorEastAsia" w:eastAsiaTheme="majorEastAsia" w:cstheme="majorEastAsia"/>
          <w:color w:val="auto"/>
          <w:sz w:val="24"/>
          <w:szCs w:val="24"/>
          <w:highlight w:val="none"/>
        </w:rPr>
        <w:t>履行地点：</w:t>
      </w:r>
    </w:p>
    <w:p w14:paraId="487F703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6.</w:t>
      </w:r>
      <w:r>
        <w:rPr>
          <w:rFonts w:hint="eastAsia" w:asciiTheme="majorEastAsia" w:hAnsiTheme="majorEastAsia" w:eastAsiaTheme="majorEastAsia" w:cstheme="majorEastAsia"/>
          <w:color w:val="auto"/>
          <w:sz w:val="24"/>
          <w:szCs w:val="24"/>
          <w:highlight w:val="none"/>
        </w:rPr>
        <w:t>履行方式：</w:t>
      </w:r>
    </w:p>
    <w:p w14:paraId="79D499CE">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二、合同金额</w:t>
      </w:r>
    </w:p>
    <w:p w14:paraId="731F9D3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本合同金额为（大写）：______________圆（__________元）人民币。</w:t>
      </w:r>
    </w:p>
    <w:p w14:paraId="5E75B539">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合同价款包含所有乙方提供合同约定的服务报酬及乙方提供合同中服务所支出的所有费用（含税费），甲方在上述合同价款之外不再向乙方支付其他任何费用。</w:t>
      </w:r>
    </w:p>
    <w:p w14:paraId="47A732A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三、技术资料</w:t>
      </w:r>
    </w:p>
    <w:p w14:paraId="34F5CCB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乙方应按招标文件规定的时间向甲方提供服务（包含与服务相关的货物）的有关技术资料。</w:t>
      </w:r>
    </w:p>
    <w:p w14:paraId="2499C11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 xml:space="preserve">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30F61D3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2" w:hanging="412"/>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四、知识产权</w:t>
      </w:r>
    </w:p>
    <w:p w14:paraId="0FD047B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乙方应保证甲方在使用、接受本合同服务（包含与服务相关的货物）或其任何一部分时不受第三方提出侵犯其专利权、版权、商标权和工业设计权等知</w:t>
      </w:r>
      <w:r>
        <w:rPr>
          <w:rFonts w:hint="eastAsia" w:asciiTheme="majorEastAsia" w:hAnsiTheme="majorEastAsia" w:eastAsiaTheme="majorEastAsia" w:cstheme="majorEastAsia"/>
          <w:color w:val="auto"/>
          <w:sz w:val="24"/>
          <w:szCs w:val="24"/>
          <w:highlight w:val="none"/>
          <w:lang w:val="en-US" w:eastAsia="zh-CN"/>
        </w:rPr>
        <w:t>识产权的起诉。一旦出现侵权，由乙方负全部责任。</w:t>
      </w:r>
    </w:p>
    <w:p w14:paraId="196D755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五、产权担保</w:t>
      </w:r>
    </w:p>
    <w:p w14:paraId="13AD8E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乙方保证所交付的服务（包含与服务相关的货物）的所有权完全属于乙方且无任何抵押、查封等产权瑕疵。</w:t>
      </w:r>
    </w:p>
    <w:p w14:paraId="7BE18A1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10" w:hanging="41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六、履约保证金</w:t>
      </w:r>
    </w:p>
    <w:p w14:paraId="1620750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乙方交纳人民币_________元作为本合同的履约保证金。</w:t>
      </w:r>
    </w:p>
    <w:p w14:paraId="6C3B3FA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2.确需收取履约保证金的，</w:t>
      </w:r>
      <w:r>
        <w:rPr>
          <w:rFonts w:hint="eastAsia" w:asciiTheme="majorEastAsia" w:hAnsiTheme="majorEastAsia" w:eastAsiaTheme="majorEastAsia" w:cstheme="majorEastAsia"/>
          <w:color w:val="auto"/>
          <w:sz w:val="24"/>
          <w:szCs w:val="24"/>
          <w:highlight w:val="none"/>
          <w:lang w:eastAsia="zh-CN"/>
        </w:rPr>
        <w:t>履约保证金的缴纳形式：</w:t>
      </w:r>
    </w:p>
    <w:p w14:paraId="04D6C5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lang w:val="en-US" w:eastAsia="zh-CN"/>
        </w:rPr>
        <w:t>2.1</w:t>
      </w:r>
      <w:r>
        <w:rPr>
          <w:rFonts w:hint="eastAsia" w:asciiTheme="majorEastAsia" w:hAnsiTheme="majorEastAsia" w:eastAsiaTheme="majorEastAsia" w:cstheme="majorEastAsia"/>
          <w:color w:val="auto"/>
          <w:sz w:val="24"/>
          <w:szCs w:val="24"/>
          <w:highlight w:val="none"/>
        </w:rPr>
        <w:t>供应商应当以支票、汇票、本票或者金融机构、担保机构出具的保函等非现金形式提交</w:t>
      </w:r>
      <w:r>
        <w:rPr>
          <w:rFonts w:hint="eastAsia" w:asciiTheme="majorEastAsia" w:hAnsiTheme="majorEastAsia" w:eastAsiaTheme="majorEastAsia" w:cstheme="majorEastAsia"/>
          <w:color w:val="auto"/>
          <w:sz w:val="24"/>
          <w:szCs w:val="24"/>
          <w:highlight w:val="none"/>
          <w:lang w:eastAsia="zh-CN"/>
        </w:rPr>
        <w:t>履约保证金</w:t>
      </w:r>
      <w:r>
        <w:rPr>
          <w:rFonts w:hint="eastAsia" w:asciiTheme="majorEastAsia" w:hAnsiTheme="majorEastAsia" w:eastAsiaTheme="majorEastAsia" w:cstheme="majorEastAsia"/>
          <w:color w:val="auto"/>
          <w:sz w:val="24"/>
          <w:szCs w:val="24"/>
          <w:highlight w:val="none"/>
        </w:rPr>
        <w:t>。依据《关于在全省政府采购领域推行电子履约保函（保险）的通知》，鼓励供应商自愿使用</w:t>
      </w:r>
      <w:r>
        <w:rPr>
          <w:rFonts w:hint="eastAsia" w:asciiTheme="majorEastAsia" w:hAnsiTheme="majorEastAsia" w:eastAsiaTheme="majorEastAsia" w:cstheme="majorEastAsia"/>
          <w:color w:val="auto"/>
          <w:sz w:val="24"/>
          <w:szCs w:val="24"/>
          <w:highlight w:val="none"/>
          <w:lang w:eastAsia="zh-CN"/>
        </w:rPr>
        <w:t>电子</w:t>
      </w:r>
      <w:r>
        <w:rPr>
          <w:rFonts w:hint="eastAsia" w:asciiTheme="majorEastAsia" w:hAnsiTheme="majorEastAsia" w:eastAsiaTheme="majorEastAsia" w:cstheme="majorEastAsia"/>
          <w:color w:val="auto"/>
          <w:sz w:val="24"/>
          <w:szCs w:val="24"/>
          <w:highlight w:val="none"/>
        </w:rPr>
        <w:t>履约保函（保险）代替缴纳履约保证金</w:t>
      </w:r>
      <w:r>
        <w:rPr>
          <w:rFonts w:hint="eastAsia" w:asciiTheme="majorEastAsia" w:hAnsiTheme="majorEastAsia" w:eastAsiaTheme="majorEastAsia" w:cstheme="majorEastAsia"/>
          <w:color w:val="auto"/>
          <w:sz w:val="24"/>
          <w:szCs w:val="24"/>
          <w:highlight w:val="none"/>
          <w:lang w:eastAsia="zh-CN"/>
        </w:rPr>
        <w:t>。</w:t>
      </w:r>
    </w:p>
    <w:p w14:paraId="52041F7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2.2 如以履约保函（保险）形式缴纳履约保证金，供应商可通过政府采购电子履约保函（保险）平台（www.jsdzbh.com）在线申请履约保函（保险）。</w:t>
      </w:r>
    </w:p>
    <w:p w14:paraId="0EB84AD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08" w:hanging="408"/>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合同履行结束后，甲方应及时退还交纳的履约保证金。</w:t>
      </w:r>
    </w:p>
    <w:p w14:paraId="1DCC17C3">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履约保证金的退还：</w:t>
      </w:r>
    </w:p>
    <w:p w14:paraId="32AA1E4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.1方式：退还至投标人缴纳履约保证金的账户。如为保函，在到期时自行失效。</w:t>
      </w:r>
    </w:p>
    <w:p w14:paraId="5FFCF7B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.2时间：验收合格且采购人收到发票后30日内。</w:t>
      </w:r>
    </w:p>
    <w:p w14:paraId="145801E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.3条件：按合同要求全部履约完成并经采购人验收合格，且采购人收到中标人出具的发票。</w:t>
      </w:r>
    </w:p>
    <w:p w14:paraId="358356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.4不予退还情形：</w:t>
      </w:r>
    </w:p>
    <w:p w14:paraId="529909A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除不可抗力情况外，投标人出现下列情形之一的，其履约保证金，招标人将视情节决定不予退还或部分不予退还。</w:t>
      </w:r>
    </w:p>
    <w:p w14:paraId="4CE29B0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（1）中标人无正当理由拒绝签订合同的，或者在签订合同时向采购人提出附加条件或者更改合同实质性内容要求的；</w:t>
      </w:r>
    </w:p>
    <w:p w14:paraId="6EDE79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（2）中标人不履行与采购人订立的合同的；</w:t>
      </w:r>
    </w:p>
    <w:p w14:paraId="668D9861">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（3）中标人所供货物或服务不符合招标文件规定要求的；</w:t>
      </w:r>
    </w:p>
    <w:p w14:paraId="51084B0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（4）中标人采取欺骗、弄虚作假方式投标的或与其它投标人串通投标的；</w:t>
      </w:r>
    </w:p>
    <w:p w14:paraId="445ED5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（5）中标人将合同内容转包、违法分包的；</w:t>
      </w:r>
    </w:p>
    <w:p w14:paraId="05BC5189">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rPr>
        <w:t>（6）中标人故意捏造事实或伪造证明材料，进行虚假恶意投诉或反映的。</w:t>
      </w:r>
    </w:p>
    <w:p w14:paraId="784CF522">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4</w:t>
      </w:r>
      <w:r>
        <w:rPr>
          <w:rFonts w:hint="eastAsia" w:asciiTheme="majorEastAsia" w:hAnsiTheme="majorEastAsia" w:eastAsiaTheme="majorEastAsia" w:cstheme="majorEastAsia"/>
          <w:color w:val="auto"/>
          <w:kern w:val="0"/>
          <w:sz w:val="24"/>
          <w:szCs w:val="24"/>
          <w:highlight w:val="none"/>
        </w:rPr>
        <w:t>.5逾期退还的违约责任：采购人逾期无故未退还履约保证金的，按中国人民银行同期贷款基准利率上浮20%后的利率支付超期资金占用费，但因供应商自身原因导致无法及时退还的除外。</w:t>
      </w:r>
    </w:p>
    <w:p w14:paraId="1F9864A1">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七、合同转包或分包</w:t>
      </w:r>
    </w:p>
    <w:p w14:paraId="2410AAF2">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乙方不得将合同标的转包给他人履行。</w:t>
      </w:r>
    </w:p>
    <w:p w14:paraId="2804D99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乙方不得将合同标的分包给他人履行。</w:t>
      </w:r>
    </w:p>
    <w:p w14:paraId="06ED51AA">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乙方如有转包或未经甲方同意的分包行为，甲方有权解除合同。</w:t>
      </w:r>
    </w:p>
    <w:p w14:paraId="2E4D0F9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八、合同款项支付</w:t>
      </w:r>
    </w:p>
    <w:p w14:paraId="305F072C">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yellow"/>
          <w:lang w:eastAsia="zh-CN"/>
        </w:rPr>
      </w:pPr>
      <w:r>
        <w:rPr>
          <w:rFonts w:hint="eastAsia" w:asciiTheme="majorEastAsia" w:hAnsiTheme="majorEastAsia" w:eastAsiaTheme="majorEastAsia" w:cstheme="majorEastAsia"/>
          <w:color w:val="auto"/>
          <w:sz w:val="24"/>
          <w:szCs w:val="24"/>
          <w:highlight w:val="yellow"/>
          <w:lang w:val="en-US" w:eastAsia="zh-CN"/>
        </w:rPr>
        <w:t>1.</w:t>
      </w:r>
      <w:r>
        <w:rPr>
          <w:rFonts w:hint="eastAsia" w:asciiTheme="majorEastAsia" w:hAnsiTheme="majorEastAsia" w:eastAsiaTheme="majorEastAsia" w:cstheme="majorEastAsia"/>
          <w:color w:val="auto"/>
          <w:sz w:val="24"/>
          <w:szCs w:val="24"/>
          <w:highlight w:val="yellow"/>
        </w:rPr>
        <w:t>合同签定后7日内支付合同总价的</w:t>
      </w:r>
      <w:r>
        <w:rPr>
          <w:rFonts w:hint="eastAsia" w:asciiTheme="majorEastAsia" w:hAnsiTheme="majorEastAsia" w:eastAsiaTheme="majorEastAsia" w:cstheme="majorEastAsia"/>
          <w:color w:val="auto"/>
          <w:sz w:val="24"/>
          <w:szCs w:val="24"/>
          <w:highlight w:val="yellow"/>
          <w:lang w:val="en-US" w:eastAsia="zh-CN"/>
        </w:rPr>
        <w:t>20</w:t>
      </w:r>
      <w:r>
        <w:rPr>
          <w:rFonts w:hint="eastAsia" w:asciiTheme="majorEastAsia" w:hAnsiTheme="majorEastAsia" w:eastAsiaTheme="majorEastAsia" w:cstheme="majorEastAsia"/>
          <w:color w:val="auto"/>
          <w:sz w:val="24"/>
          <w:szCs w:val="24"/>
          <w:highlight w:val="yellow"/>
        </w:rPr>
        <w:t>%作为预付款(乙方须提供合同总价</w:t>
      </w:r>
      <w:r>
        <w:rPr>
          <w:rFonts w:hint="eastAsia" w:asciiTheme="majorEastAsia" w:hAnsiTheme="majorEastAsia" w:eastAsiaTheme="majorEastAsia" w:cstheme="majorEastAsia"/>
          <w:color w:val="auto"/>
          <w:sz w:val="24"/>
          <w:szCs w:val="24"/>
          <w:highlight w:val="yellow"/>
          <w:lang w:val="en-US" w:eastAsia="zh-CN"/>
        </w:rPr>
        <w:t>20</w:t>
      </w:r>
      <w:r>
        <w:rPr>
          <w:rFonts w:hint="eastAsia" w:asciiTheme="majorEastAsia" w:hAnsiTheme="majorEastAsia" w:eastAsiaTheme="majorEastAsia" w:cstheme="majorEastAsia"/>
          <w:color w:val="auto"/>
          <w:sz w:val="24"/>
          <w:szCs w:val="24"/>
          <w:highlight w:val="yellow"/>
        </w:rPr>
        <w:t>%的金融机构或担保机构出具的</w:t>
      </w:r>
      <w:r>
        <w:rPr>
          <w:rFonts w:hint="eastAsia" w:asciiTheme="majorEastAsia" w:hAnsiTheme="majorEastAsia" w:eastAsiaTheme="majorEastAsia" w:cstheme="majorEastAsia"/>
          <w:color w:val="auto"/>
          <w:sz w:val="24"/>
          <w:szCs w:val="24"/>
          <w:highlight w:val="yellow"/>
          <w:lang w:val="en-US" w:eastAsia="zh-CN"/>
        </w:rPr>
        <w:t>预付款</w:t>
      </w:r>
      <w:r>
        <w:rPr>
          <w:rFonts w:hint="eastAsia" w:asciiTheme="majorEastAsia" w:hAnsiTheme="majorEastAsia" w:eastAsiaTheme="majorEastAsia" w:cstheme="majorEastAsia"/>
          <w:color w:val="auto"/>
          <w:sz w:val="24"/>
          <w:szCs w:val="24"/>
          <w:highlight w:val="yellow"/>
        </w:rPr>
        <w:t>保函)</w:t>
      </w:r>
      <w:r>
        <w:rPr>
          <w:rFonts w:hint="eastAsia" w:asciiTheme="majorEastAsia" w:hAnsiTheme="majorEastAsia" w:eastAsiaTheme="majorEastAsia" w:cstheme="majorEastAsia"/>
          <w:color w:val="auto"/>
          <w:sz w:val="24"/>
          <w:szCs w:val="24"/>
          <w:highlight w:val="yellow"/>
          <w:lang w:eastAsia="zh-CN"/>
        </w:rPr>
        <w:t>；</w:t>
      </w:r>
    </w:p>
    <w:p w14:paraId="50F5204D">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default" w:asciiTheme="majorEastAsia" w:hAnsiTheme="majorEastAsia" w:eastAsiaTheme="majorEastAsia" w:cstheme="majorEastAsia"/>
          <w:color w:val="auto"/>
          <w:sz w:val="24"/>
          <w:szCs w:val="24"/>
          <w:highlight w:val="yellow"/>
          <w:lang w:val="en-US" w:eastAsia="zh-CN"/>
        </w:rPr>
      </w:pPr>
      <w:r>
        <w:rPr>
          <w:rFonts w:hint="eastAsia" w:asciiTheme="majorEastAsia" w:hAnsiTheme="majorEastAsia" w:eastAsiaTheme="majorEastAsia" w:cstheme="majorEastAsia"/>
          <w:color w:val="auto"/>
          <w:sz w:val="24"/>
          <w:szCs w:val="24"/>
          <w:highlight w:val="yellow"/>
          <w:lang w:val="en-US" w:eastAsia="zh-CN"/>
        </w:rPr>
        <w:t>2.完成全部工作内容后经上级主管部门验收合格后支付剩余全部款项。</w:t>
      </w:r>
    </w:p>
    <w:p w14:paraId="6CBD38C1">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注：在签订合同时，中标、成交供应商明确书面表示无需预付款或者主动要求降低预付款比例的，采购人可就预付款比例作相应调整。</w:t>
      </w:r>
    </w:p>
    <w:p w14:paraId="647D258B">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九、税费</w:t>
      </w:r>
    </w:p>
    <w:p w14:paraId="0F153822">
      <w:pPr>
        <w:pStyle w:val="7"/>
        <w:keepNext w:val="0"/>
        <w:keepLines w:val="0"/>
        <w:pageBreakBefore w:val="0"/>
        <w:widowControl w:val="0"/>
        <w:kinsoku/>
        <w:wordWrap/>
        <w:overflowPunct/>
        <w:topLinePunct w:val="0"/>
        <w:autoSpaceDE/>
        <w:autoSpaceDN/>
        <w:bidi w:val="0"/>
        <w:adjustRightInd/>
        <w:snapToGrid/>
        <w:spacing w:before="145" w:beforeAutospacing="0" w:after="145"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本合同执行中相关的一切税费均由乙方负担。</w:t>
      </w:r>
    </w:p>
    <w:p w14:paraId="040BB55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十、项目验收</w:t>
      </w:r>
    </w:p>
    <w:p w14:paraId="397733EF">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1.甲方依法组织履约验收工作。</w:t>
      </w:r>
    </w:p>
    <w:p w14:paraId="764BE8C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5F85427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3.对于实际使用人和甲方分离的项目，甲方邀请实际使用人参与验收。</w:t>
      </w:r>
    </w:p>
    <w:p w14:paraId="027EBF7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4.如有必要，甲方邀请参加本项目的其他供应商或第三方专业机构及专家参与验收，相关意见将作为验收书的参考资料。</w:t>
      </w:r>
    </w:p>
    <w:p w14:paraId="6C2CF1E6">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p>
    <w:p w14:paraId="3027184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62EF947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十一、违约责任</w:t>
      </w:r>
    </w:p>
    <w:p w14:paraId="0005DEF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宋体" w:hAnsi="宋体" w:eastAsia="宋体" w:cs="宋体"/>
          <w:color w:val="auto"/>
          <w:sz w:val="21"/>
          <w:szCs w:val="21"/>
          <w:lang w:val="en-US" w:eastAsia="zh-CN"/>
        </w:rPr>
        <w:t>合同一方不履行合同义务或者履行合同义务不符合约定的，应当承担继续履行、采取补</w:t>
      </w:r>
      <w:r>
        <w:rPr>
          <w:rFonts w:hint="eastAsia" w:asciiTheme="majorEastAsia" w:hAnsiTheme="majorEastAsia" w:eastAsiaTheme="majorEastAsia" w:cstheme="majorEastAsia"/>
          <w:color w:val="auto"/>
          <w:sz w:val="24"/>
          <w:szCs w:val="24"/>
          <w:highlight w:val="none"/>
          <w:lang w:val="en-US" w:eastAsia="zh-CN"/>
        </w:rPr>
        <w:t>救措施或者赔偿损失等违约责任。</w:t>
      </w:r>
    </w:p>
    <w:p w14:paraId="2A29C6C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（一）甲方违约责任</w:t>
      </w:r>
    </w:p>
    <w:p w14:paraId="5461EC0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1.甲方无故逾期付款的，就无故逾期款项按同期全国银行间同业拆借中心授权公布贷款市场报价利率（LPR）支付逾期付款违约金，但违约金总额不超过无故逾期付款金额的5%。</w:t>
      </w:r>
    </w:p>
    <w:p w14:paraId="7DB0D3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2.如因财政资金的下达、拨付问题导致付款延迟的，不视为甲方违约，乙方不能据此追究甲方的违约责任。</w:t>
      </w:r>
    </w:p>
    <w:p w14:paraId="2D3E2B2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（二）乙方违约责任</w:t>
      </w:r>
    </w:p>
    <w:p w14:paraId="59E4B10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乙方无法提供服务，或服务成果不合格且整改后仍无法满足合同约定，影响甲方项目推进及按期使用的，甲方有权解除合同。乙方须向甲方支付合同总价款20%的违约金；若违约金不足以弥补甲方损失的，甲方有权要求乙方补足（补足金额不超过合同总价款的100%）。</w:t>
      </w:r>
    </w:p>
    <w:p w14:paraId="7994E01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乙方逾期提供服务或交付成果的，须提前征求甲方书面意见，经甲方同意后方可顺延工期。甲方仍需求的，乙方应立即加快推进工作，并按合同总金额的每日万分之四支付逾期违约金，同时承担甲方因此遭受的全部损失；甲方不再需求的，有权解除合同，乙方须退还已付款项并赔偿甲方损失。</w:t>
      </w:r>
    </w:p>
    <w:p w14:paraId="7178A32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3.乙方泄露甲方工作秘密或敏感信息，或未按约定履行保密义务造成资料泄密的，须向甲方支付合同总金额20%的违约金，并赔偿甲方因此遭受的全部损失；构成犯罪的，依法追究刑事责任。</w:t>
      </w:r>
    </w:p>
    <w:p w14:paraId="27B20F7C">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4.项目实施期间，因乙方安全管理不善、自身疏忽导致的一切安全事故、人身伤害、财产损失、数据成果损坏等，均由乙方承担全部责任及费用；甲方因此承担赔偿责任的，有权向乙方全额追偿。</w:t>
      </w:r>
    </w:p>
    <w:p w14:paraId="2660356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5.未经甲方书面同意，乙方将本项目分包、转包、委托或挂靠给第三方的，视为严重违约。甲方有权立即解除合同，乙方须按合同总价款的20%支付违约金，退还甲方已支付的全部款项，并赔偿甲方因此造成的全部损失。</w:t>
      </w:r>
    </w:p>
    <w:p w14:paraId="55B2FF1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6.乙方无合同或法律依据单方面解除合同，或因乙方违约导致甲方解除合同的，乙方须在合同解除后 10个工作日内退还甲方已支付的全部款项，并按合同总价款的30%支付违约金；若违约金不足以弥补甲方损失（如重新采购的差价、诉讼费、律师费等），乙方须补足差额。</w:t>
      </w:r>
    </w:p>
    <w:p w14:paraId="26346A3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7.乙方未按约定配备项目人员，或擅自更换核心成员的，甲方有权要求乙方限期整改，整改期间暂停付款；逾期未整改或整改后仍不符合要求的，甲方有权扣除相应合同款项，情节严重的可解除合同，乙方承担相应违约责任。</w:t>
      </w:r>
    </w:p>
    <w:p w14:paraId="1AE414B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8.乙方应向甲方支付的违约金、赔偿款，甲方有权直接从未支付的合同款项中扣除；扣除后仍不足的，甲方有权要求乙方另行支付。</w:t>
      </w:r>
    </w:p>
    <w:p w14:paraId="2DBAF60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9.本条款约定的“甲方损失”包括但不限于：直接损失、间接损失、诉讼费、保全费、鉴定费、评估费、公证费、执行费、律师费、交通费、差旅费，以及甲方为继续履行合同而重新聘请第三方提供服务的费用差额等。</w:t>
      </w:r>
    </w:p>
    <w:p w14:paraId="0FDBBB8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十二、不可抗力事件处理</w:t>
      </w:r>
    </w:p>
    <w:p w14:paraId="34E2130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1.在合同有效期内，任何一方因不可抗力事件导致不能履行合同，则合同履行期可延长，其延长期与不可抗力影响期相同。</w:t>
      </w:r>
    </w:p>
    <w:p w14:paraId="23BECE54">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2.不可抗力事件发生后，应立即通知对方，并寄送有关权威机构出具的证明。</w:t>
      </w:r>
    </w:p>
    <w:p w14:paraId="2E8E07E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3.不可抗力事件延续120天以上，双方应通过友好协商，确定是否继续履行合同。</w:t>
      </w:r>
    </w:p>
    <w:p w14:paraId="3B4CB16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十三、解决争议的方法</w:t>
      </w:r>
    </w:p>
    <w:p w14:paraId="6F98D72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双方在签订、履行合同中所发生的一切争议，应通过友好协商解决。如协商不成，由甲方住所地人民法院管辖。</w:t>
      </w:r>
    </w:p>
    <w:p w14:paraId="25D976F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十四、合同生效及其</w:t>
      </w:r>
      <w:r>
        <w:rPr>
          <w:rFonts w:hint="eastAsia" w:asciiTheme="majorEastAsia" w:hAnsiTheme="majorEastAsia" w:eastAsiaTheme="majorEastAsia" w:cstheme="majorEastAsia"/>
          <w:b/>
          <w:color w:val="auto"/>
          <w:sz w:val="24"/>
          <w:szCs w:val="24"/>
          <w:highlight w:val="none"/>
          <w:lang w:eastAsia="zh-CN"/>
        </w:rPr>
        <w:t>他</w:t>
      </w:r>
    </w:p>
    <w:p w14:paraId="15F1BC3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1.</w:t>
      </w:r>
      <w:r>
        <w:rPr>
          <w:rFonts w:hint="eastAsia" w:asciiTheme="majorEastAsia" w:hAnsiTheme="majorEastAsia" w:eastAsiaTheme="majorEastAsia" w:cstheme="majorEastAsia"/>
          <w:color w:val="auto"/>
          <w:sz w:val="24"/>
          <w:szCs w:val="24"/>
          <w:highlight w:val="none"/>
        </w:rPr>
        <w:t>合同经双方法定代表人或授权委托代表人签字并加盖单位公章后生效。</w:t>
      </w:r>
    </w:p>
    <w:p w14:paraId="1DE4C7B1">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2.</w:t>
      </w:r>
      <w:r>
        <w:rPr>
          <w:rFonts w:hint="eastAsia" w:asciiTheme="majorEastAsia" w:hAnsiTheme="majorEastAsia" w:eastAsiaTheme="majorEastAsia" w:cstheme="majorEastAsia"/>
          <w:color w:val="auto"/>
          <w:sz w:val="24"/>
          <w:szCs w:val="24"/>
          <w:highlight w:val="none"/>
        </w:rPr>
        <w:t>本合同未尽事宜，遵照《</w:t>
      </w:r>
      <w:r>
        <w:rPr>
          <w:rFonts w:hint="eastAsia" w:asciiTheme="majorEastAsia" w:hAnsiTheme="majorEastAsia" w:eastAsiaTheme="majorEastAsia" w:cstheme="majorEastAsia"/>
          <w:color w:val="auto"/>
          <w:sz w:val="24"/>
          <w:szCs w:val="24"/>
          <w:highlight w:val="none"/>
          <w:lang w:val="en-US" w:eastAsia="zh-CN"/>
        </w:rPr>
        <w:t>中华人民共和国</w:t>
      </w:r>
      <w:r>
        <w:rPr>
          <w:rFonts w:hint="eastAsia" w:asciiTheme="majorEastAsia" w:hAnsiTheme="majorEastAsia" w:eastAsiaTheme="majorEastAsia" w:cstheme="majorEastAsia"/>
          <w:color w:val="auto"/>
          <w:sz w:val="24"/>
          <w:szCs w:val="24"/>
          <w:highlight w:val="none"/>
        </w:rPr>
        <w:t>民法典》、《</w:t>
      </w:r>
      <w:r>
        <w:rPr>
          <w:rFonts w:hint="eastAsia" w:asciiTheme="majorEastAsia" w:hAnsiTheme="majorEastAsia" w:eastAsiaTheme="majorEastAsia" w:cstheme="majorEastAsia"/>
          <w:color w:val="auto"/>
          <w:sz w:val="24"/>
          <w:szCs w:val="24"/>
          <w:highlight w:val="none"/>
          <w:lang w:val="en-US" w:eastAsia="zh-CN"/>
        </w:rPr>
        <w:t>中华人民共和国</w:t>
      </w:r>
      <w:r>
        <w:rPr>
          <w:rFonts w:hint="eastAsia" w:asciiTheme="majorEastAsia" w:hAnsiTheme="majorEastAsia" w:eastAsiaTheme="majorEastAsia" w:cstheme="majorEastAsia"/>
          <w:color w:val="auto"/>
          <w:sz w:val="24"/>
          <w:szCs w:val="24"/>
          <w:highlight w:val="none"/>
        </w:rPr>
        <w:t>政府采购法》有关条文执行。</w:t>
      </w:r>
    </w:p>
    <w:p w14:paraId="23A6AFC5">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lang w:val="en-US" w:eastAsia="zh-CN"/>
        </w:rPr>
        <w:t>3.</w:t>
      </w:r>
      <w:r>
        <w:rPr>
          <w:rFonts w:hint="eastAsia" w:asciiTheme="majorEastAsia" w:hAnsiTheme="majorEastAsia" w:eastAsiaTheme="majorEastAsia" w:cstheme="majorEastAsia"/>
          <w:color w:val="auto"/>
          <w:sz w:val="24"/>
          <w:szCs w:val="24"/>
          <w:highlight w:val="none"/>
        </w:rPr>
        <w:t>本合同正本一式</w:t>
      </w:r>
      <w:r>
        <w:rPr>
          <w:rFonts w:hint="eastAsia" w:asciiTheme="majorEastAsia" w:hAnsiTheme="majorEastAsia" w:eastAsiaTheme="majorEastAsia" w:cstheme="majorEastAsia"/>
          <w:color w:val="auto"/>
          <w:sz w:val="24"/>
          <w:szCs w:val="24"/>
          <w:highlight w:val="none"/>
          <w:lang w:val="en-US" w:eastAsia="zh-CN"/>
        </w:rPr>
        <w:t>肆</w:t>
      </w:r>
      <w:r>
        <w:rPr>
          <w:rFonts w:hint="eastAsia" w:asciiTheme="majorEastAsia" w:hAnsiTheme="majorEastAsia" w:eastAsiaTheme="majorEastAsia" w:cstheme="majorEastAsia"/>
          <w:color w:val="auto"/>
          <w:sz w:val="24"/>
          <w:szCs w:val="24"/>
          <w:highlight w:val="none"/>
        </w:rPr>
        <w:t>份，具有同等法律效力，甲方、乙方各执</w:t>
      </w:r>
      <w:r>
        <w:rPr>
          <w:rFonts w:hint="eastAsia" w:asciiTheme="majorEastAsia" w:hAnsiTheme="majorEastAsia" w:eastAsiaTheme="majorEastAsia" w:cstheme="majorEastAsia"/>
          <w:color w:val="auto"/>
          <w:sz w:val="24"/>
          <w:szCs w:val="24"/>
          <w:highlight w:val="none"/>
          <w:lang w:val="en-US" w:eastAsia="zh-CN"/>
        </w:rPr>
        <w:t>贰</w:t>
      </w:r>
      <w:r>
        <w:rPr>
          <w:rFonts w:hint="eastAsia" w:asciiTheme="majorEastAsia" w:hAnsiTheme="majorEastAsia" w:eastAsiaTheme="majorEastAsia" w:cstheme="majorEastAsia"/>
          <w:color w:val="auto"/>
          <w:sz w:val="24"/>
          <w:szCs w:val="24"/>
          <w:highlight w:val="none"/>
        </w:rPr>
        <w:t>份。</w:t>
      </w:r>
    </w:p>
    <w:p w14:paraId="5F5FE160">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left="480" w:hanging="48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 甲方：                乙方： </w:t>
      </w:r>
    </w:p>
    <w:p w14:paraId="48FE48C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地址：               </w:t>
      </w:r>
      <w:r>
        <w:rPr>
          <w:rFonts w:hint="eastAsia" w:asciiTheme="majorEastAsia" w:hAnsiTheme="majorEastAsia" w:eastAsiaTheme="majorEastAsia" w:cstheme="majorEastAsia"/>
          <w:color w:val="auto"/>
          <w:sz w:val="24"/>
          <w:szCs w:val="24"/>
          <w:highlight w:val="none"/>
          <w:lang w:val="en-US" w:eastAsia="zh-CN"/>
        </w:rPr>
        <w:t xml:space="preserve"> </w:t>
      </w:r>
      <w:r>
        <w:rPr>
          <w:rFonts w:hint="eastAsia" w:asciiTheme="majorEastAsia" w:hAnsiTheme="majorEastAsia" w:eastAsiaTheme="majorEastAsia" w:cstheme="majorEastAsia"/>
          <w:color w:val="auto"/>
          <w:sz w:val="24"/>
          <w:szCs w:val="24"/>
          <w:highlight w:val="none"/>
        </w:rPr>
        <w:t xml:space="preserve">地址： </w:t>
      </w:r>
    </w:p>
    <w:p w14:paraId="369B40EB">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法定代表人或授权代表：        法定代表人或授权代表：</w:t>
      </w:r>
    </w:p>
    <w:p w14:paraId="723742A2">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ind w:firstLine="240" w:firstLineChars="100"/>
        <w:jc w:val="both"/>
        <w:textAlignment w:val="auto"/>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xml:space="preserve">联系电话：              联系电话：          </w:t>
      </w:r>
    </w:p>
    <w:p w14:paraId="73F65EBD">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r>
        <w:rPr>
          <w:rFonts w:hint="eastAsia" w:asciiTheme="majorEastAsia" w:hAnsiTheme="majorEastAsia" w:eastAsiaTheme="majorEastAsia" w:cstheme="majorEastAsia"/>
          <w:color w:val="auto"/>
          <w:sz w:val="24"/>
          <w:szCs w:val="24"/>
          <w:highlight w:val="none"/>
        </w:rPr>
        <w:t>                                          签订日期：      年    月   日</w:t>
      </w:r>
      <w:bookmarkStart w:id="168" w:name="_Toc479757211"/>
      <w:bookmarkStart w:id="169" w:name="_Toc20823346"/>
      <w:bookmarkStart w:id="170" w:name="_Toc462564139"/>
      <w:bookmarkStart w:id="171" w:name="_Toc120614244"/>
      <w:bookmarkStart w:id="172" w:name="_Hlt16619350"/>
      <w:bookmarkStart w:id="173" w:name="_Toc16938590"/>
      <w:bookmarkStart w:id="174" w:name="_Hlt16619369"/>
      <w:r>
        <w:rPr>
          <w:rFonts w:hint="eastAsia" w:asciiTheme="majorEastAsia" w:hAnsiTheme="majorEastAsia" w:eastAsiaTheme="majorEastAsia" w:cstheme="majorEastAsia"/>
          <w:color w:val="auto"/>
          <w:sz w:val="24"/>
          <w:szCs w:val="24"/>
          <w:highlight w:val="none"/>
        </w:rPr>
        <w:br w:type="page"/>
      </w:r>
      <w:r>
        <w:rPr>
          <w:rFonts w:hint="eastAsia" w:asciiTheme="majorEastAsia" w:hAnsiTheme="majorEastAsia" w:eastAsiaTheme="majorEastAsia" w:cstheme="majorEastAsia"/>
          <w:b/>
          <w:bCs/>
          <w:color w:val="auto"/>
          <w:kern w:val="0"/>
          <w:sz w:val="48"/>
          <w:szCs w:val="48"/>
          <w:highlight w:val="none"/>
          <w:lang w:val="en-US" w:eastAsia="zh-CN" w:bidi="ar-SA"/>
        </w:rPr>
        <w:t> 第</w:t>
      </w:r>
      <w:bookmarkEnd w:id="168"/>
      <w:r>
        <w:rPr>
          <w:rFonts w:hint="eastAsia" w:asciiTheme="majorEastAsia" w:hAnsiTheme="majorEastAsia" w:eastAsiaTheme="majorEastAsia" w:cstheme="majorEastAsia"/>
          <w:b/>
          <w:bCs/>
          <w:color w:val="auto"/>
          <w:kern w:val="0"/>
          <w:sz w:val="48"/>
          <w:szCs w:val="48"/>
          <w:highlight w:val="none"/>
          <w:lang w:val="en-US" w:eastAsia="zh-CN" w:bidi="ar-SA"/>
        </w:rPr>
        <w:t>四章  采购需求</w:t>
      </w:r>
      <w:bookmarkEnd w:id="169"/>
      <w:bookmarkEnd w:id="170"/>
      <w:bookmarkEnd w:id="171"/>
      <w:bookmarkEnd w:id="172"/>
      <w:bookmarkEnd w:id="173"/>
    </w:p>
    <w:p w14:paraId="3813942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bookmarkStart w:id="175" w:name="_Toc49090575"/>
      <w:bookmarkStart w:id="176" w:name="_Toc26554093"/>
      <w:r>
        <w:rPr>
          <w:rFonts w:hint="eastAsia" w:asciiTheme="majorEastAsia" w:hAnsiTheme="majorEastAsia" w:eastAsiaTheme="majorEastAsia" w:cstheme="majorEastAsia"/>
          <w:color w:val="auto"/>
          <w:sz w:val="24"/>
          <w:szCs w:val="24"/>
          <w:highlight w:val="none"/>
        </w:rPr>
        <w:t>项目属性:服务类项目。</w:t>
      </w:r>
      <w:bookmarkEnd w:id="175"/>
      <w:bookmarkEnd w:id="176"/>
    </w:p>
    <w:p w14:paraId="7C1ED12B">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一、项目概况</w:t>
      </w:r>
    </w:p>
    <w:p w14:paraId="4A3C7EE9">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部、省、市工作部署及我县实际，组织开展滨海县2026年年度国土变更调查和日常国土变更调查工作，确保按时保质提交数据成果。以上一年度土地变更调查结果为基础，全面查清本年度本行政区域内土地利用状况变化情况，更新土地利用现状图件和土地利用数据库，逐级汇总上报各类土地利用变化数据。</w:t>
      </w:r>
    </w:p>
    <w:p w14:paraId="527C995B">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二、工作任务</w:t>
      </w:r>
    </w:p>
    <w:p w14:paraId="51131FF5">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1、对滨海县通过国家核查的数据成果资料进行汇总，形成滨海县2026年度变更调查数据册。</w:t>
      </w:r>
    </w:p>
    <w:p w14:paraId="409D7ABA">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2、在汇总分析的基础上，形成滨海县2026年度</w:t>
      </w:r>
      <w:r>
        <w:rPr>
          <w:rFonts w:hint="eastAsia" w:asciiTheme="majorEastAsia" w:hAnsiTheme="majorEastAsia" w:eastAsiaTheme="majorEastAsia" w:cstheme="majorEastAsia"/>
          <w:color w:val="auto"/>
          <w:sz w:val="24"/>
          <w:szCs w:val="24"/>
          <w:highlight w:val="none"/>
          <w:lang w:val="en-US" w:eastAsia="zh-CN"/>
        </w:rPr>
        <w:t>国土变更调查（</w:t>
      </w:r>
      <w:r>
        <w:rPr>
          <w:rFonts w:hint="eastAsia" w:asciiTheme="majorEastAsia" w:hAnsiTheme="majorEastAsia" w:eastAsiaTheme="majorEastAsia" w:cstheme="majorEastAsia"/>
          <w:color w:val="auto"/>
          <w:sz w:val="24"/>
          <w:szCs w:val="24"/>
          <w:highlight w:val="none"/>
        </w:rPr>
        <w:t>土地利用变化情况</w:t>
      </w:r>
      <w:r>
        <w:rPr>
          <w:rFonts w:hint="eastAsia" w:asciiTheme="majorEastAsia" w:hAnsiTheme="majorEastAsia" w:eastAsiaTheme="majorEastAsia" w:cstheme="majorEastAsia"/>
          <w:color w:val="auto"/>
          <w:sz w:val="24"/>
          <w:szCs w:val="24"/>
          <w:highlight w:val="none"/>
          <w:lang w:eastAsia="zh-CN"/>
        </w:rPr>
        <w:t>）</w:t>
      </w:r>
      <w:r>
        <w:rPr>
          <w:rFonts w:hint="eastAsia" w:asciiTheme="majorEastAsia" w:hAnsiTheme="majorEastAsia" w:eastAsiaTheme="majorEastAsia" w:cstheme="majorEastAsia"/>
          <w:color w:val="auto"/>
          <w:sz w:val="24"/>
          <w:szCs w:val="24"/>
          <w:highlight w:val="none"/>
        </w:rPr>
        <w:t>分析报告。</w:t>
      </w:r>
    </w:p>
    <w:p w14:paraId="0434C7EA">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3、对滨海县国土变更调查工作进行技术指导。</w:t>
      </w:r>
    </w:p>
    <w:p w14:paraId="7529D055">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三、成果要求</w:t>
      </w:r>
    </w:p>
    <w:p w14:paraId="688AB270">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各类成果应确保完整性和准确性，符合国家和省级质量要求及相关标准，并通过省级和国家核查。根据国家和省级成果汇交要求及相关标准，进行成果汇交。</w:t>
      </w:r>
    </w:p>
    <w:p w14:paraId="7D32A9C1">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滨海县2026年度变更调查数据册。</w:t>
      </w:r>
    </w:p>
    <w:p w14:paraId="6FC2C386">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滨海县2026年度</w:t>
      </w:r>
      <w:r>
        <w:rPr>
          <w:rFonts w:hint="eastAsia" w:asciiTheme="majorEastAsia" w:hAnsiTheme="majorEastAsia" w:eastAsiaTheme="majorEastAsia" w:cstheme="majorEastAsia"/>
          <w:color w:val="auto"/>
          <w:sz w:val="24"/>
          <w:szCs w:val="24"/>
          <w:highlight w:val="none"/>
          <w:lang w:val="en-US" w:eastAsia="zh-CN"/>
        </w:rPr>
        <w:t>国土变更调查工作及</w:t>
      </w:r>
      <w:r>
        <w:rPr>
          <w:rFonts w:hint="eastAsia" w:asciiTheme="majorEastAsia" w:hAnsiTheme="majorEastAsia" w:eastAsiaTheme="majorEastAsia" w:cstheme="majorEastAsia"/>
          <w:color w:val="auto"/>
          <w:sz w:val="24"/>
          <w:szCs w:val="24"/>
          <w:highlight w:val="none"/>
        </w:rPr>
        <w:t>土地利用变化情况分析报告。</w:t>
      </w:r>
    </w:p>
    <w:p w14:paraId="57FA4AF2">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四、项目管理</w:t>
      </w:r>
    </w:p>
    <w:p w14:paraId="24B2155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组织机构齐全，制度健全，责任分工明确，成立项目工作专班（包含项目负责人、技术负责人、质量负责人、项目组成员、成果检查人员等），制定项目管理方案。</w:t>
      </w:r>
    </w:p>
    <w:p w14:paraId="0BE8CFDC">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五、质量要求</w:t>
      </w:r>
    </w:p>
    <w:p w14:paraId="067023D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最终成果数据通过市、省、部检查合格。</w:t>
      </w:r>
    </w:p>
    <w:p w14:paraId="5C8CFEFA">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六、进度安排</w:t>
      </w:r>
    </w:p>
    <w:p w14:paraId="154DC70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滨海县2026年度国土变更调查进度以部、省、市及滨海县自然资源和规划局工作要求为准。</w:t>
      </w:r>
    </w:p>
    <w:p w14:paraId="22B1BA31">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rPr>
        <w:t>七、</w:t>
      </w:r>
      <w:r>
        <w:rPr>
          <w:rFonts w:hint="eastAsia" w:asciiTheme="majorEastAsia" w:hAnsiTheme="majorEastAsia" w:eastAsiaTheme="majorEastAsia" w:cstheme="majorEastAsia"/>
          <w:b/>
          <w:bCs/>
          <w:color w:val="auto"/>
          <w:sz w:val="24"/>
          <w:szCs w:val="24"/>
          <w:highlight w:val="none"/>
          <w:lang w:val="en-US" w:eastAsia="zh-CN"/>
        </w:rPr>
        <w:t>安全生产管理要求</w:t>
      </w:r>
    </w:p>
    <w:p w14:paraId="54024AE8">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为贯彻“安全第一，预防为主”方针，成交供应商在项目</w:t>
      </w:r>
      <w:r>
        <w:rPr>
          <w:rFonts w:hint="eastAsia" w:asciiTheme="majorEastAsia" w:hAnsiTheme="majorEastAsia" w:eastAsiaTheme="majorEastAsia" w:cstheme="majorEastAsia"/>
          <w:color w:val="auto"/>
          <w:sz w:val="24"/>
          <w:szCs w:val="24"/>
          <w:highlight w:val="none"/>
          <w:lang w:val="en-US" w:eastAsia="zh-CN"/>
        </w:rPr>
        <w:t>实施</w:t>
      </w:r>
      <w:r>
        <w:rPr>
          <w:rFonts w:hint="eastAsia" w:asciiTheme="majorEastAsia" w:hAnsiTheme="majorEastAsia" w:eastAsiaTheme="majorEastAsia" w:cstheme="majorEastAsia"/>
          <w:color w:val="auto"/>
          <w:sz w:val="24"/>
          <w:szCs w:val="24"/>
          <w:highlight w:val="none"/>
        </w:rPr>
        <w:t>过程中，必须遵守国家和地方关于劳动安全等法律法规及规章制度，制定严格的安全措施，加强安全监督管理,对工程</w:t>
      </w:r>
      <w:r>
        <w:rPr>
          <w:rFonts w:hint="eastAsia" w:asciiTheme="majorEastAsia" w:hAnsiTheme="majorEastAsia" w:eastAsiaTheme="majorEastAsia" w:cstheme="majorEastAsia"/>
          <w:color w:val="auto"/>
          <w:sz w:val="24"/>
          <w:szCs w:val="24"/>
          <w:highlight w:val="none"/>
          <w:lang w:val="en-US" w:eastAsia="zh-CN"/>
        </w:rPr>
        <w:t>实施</w:t>
      </w:r>
      <w:r>
        <w:rPr>
          <w:rFonts w:hint="eastAsia" w:asciiTheme="majorEastAsia" w:hAnsiTheme="majorEastAsia" w:eastAsiaTheme="majorEastAsia" w:cstheme="majorEastAsia"/>
          <w:color w:val="auto"/>
          <w:sz w:val="24"/>
          <w:szCs w:val="24"/>
          <w:highlight w:val="none"/>
        </w:rPr>
        <w:t>过程中发生的人身伤害、设备损坏事故承担安全责任,并按国家有关规定，为工作人员进行人身保险，配备合格的劳动防护用品、安全用具。</w:t>
      </w:r>
    </w:p>
    <w:p w14:paraId="5B9F6B6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若发生安全问题，由成交供应商自行负责处理并承担一切经济和法律责任，其与采购单位一切无关，同时按合同要求保证</w:t>
      </w:r>
      <w:r>
        <w:rPr>
          <w:rFonts w:hint="eastAsia" w:asciiTheme="majorEastAsia" w:hAnsiTheme="majorEastAsia" w:eastAsiaTheme="majorEastAsia" w:cstheme="majorEastAsia"/>
          <w:color w:val="auto"/>
          <w:sz w:val="24"/>
          <w:szCs w:val="24"/>
          <w:highlight w:val="none"/>
          <w:lang w:val="en-US" w:eastAsia="zh-CN"/>
        </w:rPr>
        <w:t>实施</w:t>
      </w:r>
      <w:r>
        <w:rPr>
          <w:rFonts w:hint="eastAsia" w:asciiTheme="majorEastAsia" w:hAnsiTheme="majorEastAsia" w:eastAsiaTheme="majorEastAsia" w:cstheme="majorEastAsia"/>
          <w:color w:val="auto"/>
          <w:sz w:val="24"/>
          <w:szCs w:val="24"/>
          <w:highlight w:val="none"/>
        </w:rPr>
        <w:t>进度，按时完工。</w:t>
      </w:r>
    </w:p>
    <w:p w14:paraId="2B0CE4EC">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八</w:t>
      </w:r>
      <w:r>
        <w:rPr>
          <w:rFonts w:hint="eastAsia" w:asciiTheme="majorEastAsia" w:hAnsiTheme="majorEastAsia" w:eastAsiaTheme="majorEastAsia" w:cstheme="majorEastAsia"/>
          <w:b/>
          <w:bCs/>
          <w:color w:val="auto"/>
          <w:sz w:val="24"/>
          <w:szCs w:val="24"/>
          <w:highlight w:val="none"/>
        </w:rPr>
        <w:t>、重难点分析</w:t>
      </w:r>
    </w:p>
    <w:p w14:paraId="7F4B6528">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根据项目任务实际情况，对项目存在的重点、难点进行分析，并提出合理可行的解决措施。</w:t>
      </w:r>
    </w:p>
    <w:p w14:paraId="23112BE9">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lang w:val="en-US" w:eastAsia="zh-CN"/>
        </w:rPr>
        <w:t>九</w:t>
      </w:r>
      <w:r>
        <w:rPr>
          <w:rFonts w:hint="eastAsia" w:asciiTheme="majorEastAsia" w:hAnsiTheme="majorEastAsia" w:eastAsiaTheme="majorEastAsia" w:cstheme="majorEastAsia"/>
          <w:b/>
          <w:bCs/>
          <w:color w:val="auto"/>
          <w:sz w:val="24"/>
          <w:szCs w:val="24"/>
          <w:highlight w:val="none"/>
        </w:rPr>
        <w:t>、合理化建议</w:t>
      </w:r>
    </w:p>
    <w:p w14:paraId="02128F77">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根据项目任务实际情况，分析项目特点，并提供合理的、有利于项目开展的建议，如：成果质量控制、安全生产管控、“直报即审”日常变更等方面的建议。</w:t>
      </w:r>
    </w:p>
    <w:p w14:paraId="056653B3">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十、服务承诺</w:t>
      </w:r>
    </w:p>
    <w:p w14:paraId="05966712">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提供售后服务方案、措施等，售后承诺细致，售后服务体系完备，售后服务便捷，响应时间迅速，技术支持保障措施完善。</w:t>
      </w:r>
    </w:p>
    <w:p w14:paraId="54E395CE">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十</w:t>
      </w:r>
      <w:r>
        <w:rPr>
          <w:rFonts w:hint="eastAsia" w:asciiTheme="majorEastAsia" w:hAnsiTheme="majorEastAsia" w:eastAsiaTheme="majorEastAsia" w:cstheme="majorEastAsia"/>
          <w:b/>
          <w:bCs/>
          <w:color w:val="auto"/>
          <w:sz w:val="24"/>
          <w:szCs w:val="24"/>
          <w:highlight w:val="none"/>
          <w:lang w:val="en-US" w:eastAsia="zh-CN"/>
        </w:rPr>
        <w:t>一</w:t>
      </w:r>
      <w:r>
        <w:rPr>
          <w:rFonts w:hint="eastAsia" w:asciiTheme="majorEastAsia" w:hAnsiTheme="majorEastAsia" w:eastAsiaTheme="majorEastAsia" w:cstheme="majorEastAsia"/>
          <w:b/>
          <w:bCs/>
          <w:color w:val="auto"/>
          <w:sz w:val="24"/>
          <w:szCs w:val="24"/>
          <w:highlight w:val="none"/>
        </w:rPr>
        <w:t>、</w:t>
      </w:r>
      <w:r>
        <w:rPr>
          <w:rFonts w:hint="eastAsia" w:asciiTheme="majorEastAsia" w:hAnsiTheme="majorEastAsia" w:eastAsiaTheme="majorEastAsia" w:cstheme="majorEastAsia"/>
          <w:b/>
          <w:bCs/>
          <w:color w:val="auto"/>
          <w:sz w:val="24"/>
          <w:szCs w:val="24"/>
          <w:highlight w:val="none"/>
          <w:lang w:val="en-US" w:eastAsia="zh-CN"/>
        </w:rPr>
        <w:t>数据安全、</w:t>
      </w:r>
      <w:r>
        <w:rPr>
          <w:rFonts w:hint="eastAsia" w:asciiTheme="majorEastAsia" w:hAnsiTheme="majorEastAsia" w:eastAsiaTheme="majorEastAsia" w:cstheme="majorEastAsia"/>
          <w:b/>
          <w:bCs/>
          <w:color w:val="auto"/>
          <w:sz w:val="24"/>
          <w:szCs w:val="24"/>
          <w:highlight w:val="none"/>
        </w:rPr>
        <w:t>保密工作要求</w:t>
      </w:r>
    </w:p>
    <w:p w14:paraId="32DDD0AD">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配备资料管理员，全面负责成果资料的管理工作；由资料管理员负责成果资料的保管、整理、保密工作，确保资料成果的安全性。</w:t>
      </w:r>
    </w:p>
    <w:p w14:paraId="7D29E9DA">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对涉密测绘资料要严格管理，在规定范围内使用，不得将涉密测绘资料私自带出资料室或外传，对机密资料内容不得自行摘抄、拍照、翻印或复制。</w:t>
      </w:r>
    </w:p>
    <w:p w14:paraId="08EED463">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严格履行国家秘密测绘成果使用、保管、销毁手续。</w:t>
      </w:r>
    </w:p>
    <w:p w14:paraId="5A49CF61">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和采购人签订保密责任书，成交供应商须在合同中进行责任约定;中标单位在工作期间必须遵守相关保密制度;</w:t>
      </w:r>
    </w:p>
    <w:p w14:paraId="0CDB8E11">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sz w:val="24"/>
          <w:szCs w:val="24"/>
          <w:highlight w:val="none"/>
          <w:lang w:eastAsia="zh-CN"/>
        </w:rPr>
      </w:pPr>
      <w:r>
        <w:rPr>
          <w:rFonts w:hint="eastAsia" w:asciiTheme="majorEastAsia" w:hAnsiTheme="majorEastAsia" w:eastAsiaTheme="majorEastAsia" w:cstheme="majorEastAsia"/>
          <w:color w:val="auto"/>
          <w:sz w:val="24"/>
          <w:szCs w:val="24"/>
          <w:highlight w:val="none"/>
        </w:rPr>
        <w:t>工作人员未经采购人管理人员同意，不许私自携带任何存储以及有摄像功能的设备进入或离开工作现场</w:t>
      </w:r>
      <w:r>
        <w:rPr>
          <w:rFonts w:hint="eastAsia" w:asciiTheme="majorEastAsia" w:hAnsiTheme="majorEastAsia" w:eastAsiaTheme="majorEastAsia" w:cstheme="majorEastAsia"/>
          <w:color w:val="auto"/>
          <w:sz w:val="24"/>
          <w:szCs w:val="24"/>
          <w:highlight w:val="none"/>
          <w:lang w:eastAsia="zh-CN"/>
        </w:rPr>
        <w:t>。</w:t>
      </w:r>
    </w:p>
    <w:p w14:paraId="1D125161">
      <w:pPr>
        <w:widowControl/>
        <w:tabs>
          <w:tab w:val="left" w:pos="1173"/>
        </w:tabs>
        <w:spacing w:line="480" w:lineRule="exact"/>
        <w:ind w:firstLine="482" w:firstLineChars="200"/>
        <w:jc w:val="left"/>
        <w:rPr>
          <w:rFonts w:hint="eastAsia" w:asciiTheme="majorEastAsia" w:hAnsiTheme="majorEastAsia" w:eastAsiaTheme="majorEastAsia" w:cstheme="majorEastAsia"/>
          <w:b/>
          <w:bCs/>
          <w:color w:val="auto"/>
          <w:sz w:val="24"/>
          <w:szCs w:val="24"/>
          <w:highlight w:val="none"/>
          <w:lang w:val="en-US" w:eastAsia="zh-CN"/>
        </w:rPr>
      </w:pPr>
      <w:r>
        <w:rPr>
          <w:rFonts w:hint="eastAsia" w:asciiTheme="majorEastAsia" w:hAnsiTheme="majorEastAsia" w:eastAsiaTheme="majorEastAsia" w:cstheme="majorEastAsia"/>
          <w:b/>
          <w:bCs/>
          <w:color w:val="auto"/>
          <w:sz w:val="24"/>
          <w:szCs w:val="24"/>
          <w:highlight w:val="none"/>
          <w:lang w:val="en-US" w:eastAsia="zh-CN"/>
        </w:rPr>
        <w:t>十二、其他事项</w:t>
      </w:r>
    </w:p>
    <w:p w14:paraId="5FFD69D5">
      <w:pPr>
        <w:spacing w:line="360" w:lineRule="auto"/>
        <w:ind w:firstLine="480" w:firstLineChars="200"/>
        <w:jc w:val="left"/>
        <w:outlineLvl w:val="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本项目实施人员必须是投标文件中提供的人员，成交供应商不得以任何原因和方式将合同转包、分包或雇用其他作业人员进行生产。一经发现有上述情况的，将按违约处理，采购人有权拒付合同额。</w:t>
      </w:r>
    </w:p>
    <w:p w14:paraId="01D0C896">
      <w:pPr>
        <w:spacing w:line="360" w:lineRule="auto"/>
        <w:ind w:firstLine="480" w:firstLineChars="200"/>
        <w:jc w:val="left"/>
        <w:outlineLvl w:val="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采购人向成交供应商提供的全部资料及成交供应商生产的全部成果资料（包括中间资料）其版权归采购人所有，成交供应商不得自留使用或以任何方式转让或提供给第三方使用。</w:t>
      </w:r>
    </w:p>
    <w:p w14:paraId="172E5C3C">
      <w:pPr>
        <w:spacing w:line="360" w:lineRule="auto"/>
        <w:ind w:firstLine="480" w:firstLineChars="200"/>
        <w:jc w:val="left"/>
        <w:outlineLvl w:val="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本项目最终成果的检查验收由采购人组织，其经费由成交供应商承担。</w:t>
      </w:r>
    </w:p>
    <w:p w14:paraId="1B4C3DB4">
      <w:pPr>
        <w:spacing w:line="360" w:lineRule="auto"/>
        <w:ind w:firstLine="480" w:firstLineChars="200"/>
        <w:jc w:val="left"/>
        <w:outlineLvl w:val="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xml:space="preserve">由于成交供应商责任造成的项目违约，由成交供应商向采购人支付合同最高金额的20%作为违约金。  </w:t>
      </w:r>
    </w:p>
    <w:p w14:paraId="780ABCA8">
      <w:pPr>
        <w:spacing w:line="360" w:lineRule="auto"/>
        <w:ind w:firstLine="480" w:firstLineChars="200"/>
        <w:jc w:val="left"/>
        <w:outlineLvl w:val="0"/>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投标人的投标报价，在合同实施期间，中标价不随国家政策或法规、标准及任何市场因素的变化而进行调整。</w:t>
      </w:r>
    </w:p>
    <w:p w14:paraId="0D0F358C">
      <w:pPr>
        <w:spacing w:line="360" w:lineRule="auto"/>
        <w:ind w:firstLine="480" w:firstLineChars="200"/>
        <w:jc w:val="left"/>
        <w:outlineLvl w:val="0"/>
        <w:rPr>
          <w:rFonts w:hint="eastAsia" w:asciiTheme="majorEastAsia" w:hAnsiTheme="majorEastAsia" w:eastAsiaTheme="majorEastAsia" w:cstheme="majorEastAsia"/>
          <w:color w:val="auto"/>
          <w:sz w:val="44"/>
          <w:szCs w:val="44"/>
        </w:rPr>
      </w:pPr>
      <w:r>
        <w:rPr>
          <w:rFonts w:hint="eastAsia" w:asciiTheme="majorEastAsia" w:hAnsiTheme="majorEastAsia" w:eastAsiaTheme="majorEastAsia" w:cstheme="majorEastAsia"/>
          <w:color w:val="auto"/>
          <w:sz w:val="24"/>
          <w:szCs w:val="24"/>
          <w:highlight w:val="none"/>
          <w:lang w:val="en-US" w:eastAsia="zh-CN"/>
        </w:rPr>
        <w:t>成交供应商在履行合同过程中，一切事故其责任由成交供应商承担，采购人不承担任何责任。</w:t>
      </w:r>
    </w:p>
    <w:p w14:paraId="7369554D">
      <w:pPr>
        <w:widowControl/>
        <w:tabs>
          <w:tab w:val="left" w:pos="1173"/>
        </w:tabs>
        <w:spacing w:line="480" w:lineRule="exact"/>
        <w:ind w:firstLine="480" w:firstLineChars="200"/>
        <w:jc w:val="left"/>
        <w:rPr>
          <w:rFonts w:hint="eastAsia" w:asciiTheme="majorEastAsia" w:hAnsiTheme="majorEastAsia" w:eastAsiaTheme="majorEastAsia" w:cstheme="majorEastAsia"/>
          <w:color w:val="auto"/>
          <w:kern w:val="0"/>
          <w:sz w:val="24"/>
          <w:szCs w:val="24"/>
          <w:highlight w:val="none"/>
          <w:lang w:val="en-US" w:eastAsia="zh-CN" w:bidi="ar-SA"/>
        </w:rPr>
      </w:pPr>
    </w:p>
    <w:p w14:paraId="4B8A29F3">
      <w:pPr>
        <w:pStyle w:val="7"/>
        <w:spacing w:beforeAutospacing="0" w:afterAutospacing="0" w:line="0" w:lineRule="atLeast"/>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 </w:t>
      </w:r>
    </w:p>
    <w:p w14:paraId="1A412692">
      <w:pPr>
        <w:pStyle w:val="7"/>
        <w:spacing w:beforeAutospacing="0" w:afterAutospacing="0" w:line="0" w:lineRule="atLeast"/>
        <w:ind w:firstLine="48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采购标的对应的中小企业划分标准所属行业一览表</w:t>
      </w:r>
    </w:p>
    <w:tbl>
      <w:tblPr>
        <w:tblStyle w:val="8"/>
        <w:tblW w:w="8750" w:type="dxa"/>
        <w:jc w:val="center"/>
        <w:tblCellSpacing w:w="0" w:type="dxa"/>
        <w:tblLayout w:type="fixed"/>
        <w:tblCellMar>
          <w:top w:w="0" w:type="dxa"/>
          <w:left w:w="108" w:type="dxa"/>
          <w:bottom w:w="0" w:type="dxa"/>
          <w:right w:w="108" w:type="dxa"/>
        </w:tblCellMar>
      </w:tblPr>
      <w:tblGrid>
        <w:gridCol w:w="1000"/>
        <w:gridCol w:w="4557"/>
        <w:gridCol w:w="3193"/>
      </w:tblGrid>
      <w:tr w14:paraId="43952EEC">
        <w:tblPrEx>
          <w:tblCellMar>
            <w:top w:w="0" w:type="dxa"/>
            <w:left w:w="108" w:type="dxa"/>
            <w:bottom w:w="0" w:type="dxa"/>
            <w:right w:w="108" w:type="dxa"/>
          </w:tblCellMar>
        </w:tblPrEx>
        <w:trPr>
          <w:trHeight w:val="273" w:hRule="atLeast"/>
          <w:tblCellSpacing w:w="0" w:type="dxa"/>
          <w:jc w:val="center"/>
        </w:trPr>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D08D30">
            <w:pPr>
              <w:pStyle w:val="7"/>
              <w:spacing w:beforeAutospacing="0" w:afterAutospacing="0" w:line="0" w:lineRule="atLeas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序号</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DD4BC5">
            <w:pPr>
              <w:pStyle w:val="7"/>
              <w:spacing w:beforeAutospacing="0" w:afterAutospacing="0" w:line="0" w:lineRule="atLeast"/>
              <w:ind w:firstLine="1920" w:firstLineChars="80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采购标的</w:t>
            </w:r>
          </w:p>
        </w:tc>
        <w:tc>
          <w:tcPr>
            <w:tcW w:w="31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549A38">
            <w:pPr>
              <w:pStyle w:val="7"/>
              <w:spacing w:beforeAutospacing="0" w:afterAutospacing="0" w:line="0" w:lineRule="atLeast"/>
              <w:jc w:val="center"/>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对应中小企业划分标准所属行业</w:t>
            </w:r>
          </w:p>
        </w:tc>
      </w:tr>
      <w:tr w14:paraId="1D9119E7">
        <w:tblPrEx>
          <w:tblCellMar>
            <w:top w:w="0" w:type="dxa"/>
            <w:left w:w="108" w:type="dxa"/>
            <w:bottom w:w="0" w:type="dxa"/>
            <w:right w:w="108" w:type="dxa"/>
          </w:tblCellMar>
        </w:tblPrEx>
        <w:trPr>
          <w:trHeight w:val="235" w:hRule="atLeast"/>
          <w:tblCellSpacing w:w="0" w:type="dxa"/>
          <w:jc w:val="center"/>
        </w:trPr>
        <w:tc>
          <w:tcPr>
            <w:tcW w:w="100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1E939">
            <w:pPr>
              <w:pStyle w:val="7"/>
              <w:spacing w:beforeAutospacing="0" w:afterAutospacing="0" w:line="0" w:lineRule="atLeast"/>
              <w:ind w:firstLine="240" w:firstLineChars="10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2</w:t>
            </w:r>
          </w:p>
        </w:tc>
        <w:tc>
          <w:tcPr>
            <w:tcW w:w="455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C1CE19">
            <w:pPr>
              <w:pStyle w:val="7"/>
              <w:spacing w:beforeAutospacing="0" w:afterAutospacing="0" w:line="0" w:lineRule="atLeast"/>
              <w:jc w:val="left"/>
              <w:rPr>
                <w:rFonts w:hint="eastAsia" w:asciiTheme="majorEastAsia" w:hAnsiTheme="majorEastAsia" w:eastAsiaTheme="majorEastAsia" w:cstheme="majorEastAsia"/>
                <w:color w:val="auto"/>
                <w:sz w:val="24"/>
                <w:szCs w:val="24"/>
                <w:highlight w:val="none"/>
                <w:lang w:val="en-US" w:eastAsia="zh-CN"/>
              </w:rPr>
            </w:pPr>
          </w:p>
          <w:p w14:paraId="01E442A6">
            <w:pPr>
              <w:pStyle w:val="7"/>
              <w:spacing w:beforeAutospacing="0" w:afterAutospacing="0" w:line="0" w:lineRule="atLeast"/>
              <w:jc w:val="left"/>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滨海县2026年国土变更调查项目（采购包2  二次）</w:t>
            </w:r>
          </w:p>
          <w:p w14:paraId="0EA847E1">
            <w:pPr>
              <w:pStyle w:val="7"/>
              <w:spacing w:beforeAutospacing="0" w:afterAutospacing="0" w:line="0" w:lineRule="atLeast"/>
              <w:ind w:firstLine="720" w:firstLineChars="300"/>
              <w:jc w:val="left"/>
              <w:rPr>
                <w:rFonts w:hint="eastAsia" w:asciiTheme="majorEastAsia" w:hAnsiTheme="majorEastAsia" w:eastAsiaTheme="majorEastAsia" w:cstheme="majorEastAsia"/>
                <w:color w:val="auto"/>
                <w:sz w:val="24"/>
                <w:szCs w:val="24"/>
                <w:highlight w:val="none"/>
                <w:lang w:val="en-US" w:eastAsia="zh-CN"/>
              </w:rPr>
            </w:pPr>
          </w:p>
        </w:tc>
        <w:tc>
          <w:tcPr>
            <w:tcW w:w="31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A733C0">
            <w:pPr>
              <w:pStyle w:val="7"/>
              <w:spacing w:beforeAutospacing="0" w:afterAutospacing="0" w:line="0" w:lineRule="atLeast"/>
              <w:ind w:firstLine="480" w:firstLineChars="200"/>
              <w:jc w:val="both"/>
              <w:rPr>
                <w:rFonts w:hint="eastAsia" w:asciiTheme="majorEastAsia" w:hAnsiTheme="majorEastAsia" w:eastAsiaTheme="majorEastAsia" w:cstheme="majorEastAsia"/>
                <w:color w:val="auto"/>
                <w:sz w:val="24"/>
                <w:szCs w:val="24"/>
                <w:highlight w:val="none"/>
                <w:lang w:val="en-US" w:eastAsia="zh-CN"/>
              </w:rPr>
            </w:pPr>
            <w:r>
              <w:rPr>
                <w:rFonts w:hint="eastAsia" w:asciiTheme="majorEastAsia" w:hAnsiTheme="majorEastAsia" w:eastAsiaTheme="majorEastAsia" w:cstheme="majorEastAsia"/>
                <w:color w:val="auto"/>
                <w:sz w:val="24"/>
                <w:szCs w:val="24"/>
                <w:highlight w:val="none"/>
                <w:lang w:val="en-US" w:eastAsia="zh-CN"/>
              </w:rPr>
              <w:t>其他未列明行业</w:t>
            </w:r>
          </w:p>
        </w:tc>
      </w:tr>
    </w:tbl>
    <w:p w14:paraId="700CBF83">
      <w:pPr>
        <w:pStyle w:val="7"/>
        <w:spacing w:beforeAutospacing="0" w:afterAutospacing="0" w:line="0" w:lineRule="atLeast"/>
        <w:ind w:firstLine="48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044A8442">
      <w:pPr>
        <w:pStyle w:val="7"/>
        <w:spacing w:beforeAutospacing="0" w:afterAutospacing="0"/>
        <w:ind w:firstLine="602"/>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0ABC767F">
      <w:pPr>
        <w:pStyle w:val="7"/>
        <w:spacing w:beforeAutospacing="0" w:afterAutospacing="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177F3B18">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 </w:t>
      </w:r>
    </w:p>
    <w:p w14:paraId="71C77240">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4D0C5B63">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643D0213">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4376DC55">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114FADF5">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51FE614B">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46FF735E">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262C5A83">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41D8D1BD">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17CA9685">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347960EB">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297782D3">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03F73C85">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18C95E85">
      <w:pPr>
        <w:pStyle w:val="7"/>
        <w:tabs>
          <w:tab w:val="left" w:pos="6205"/>
        </w:tabs>
        <w:spacing w:beforeAutospacing="0" w:afterAutospacing="0"/>
        <w:jc w:val="both"/>
        <w:rPr>
          <w:rFonts w:hint="eastAsia" w:asciiTheme="majorEastAsia" w:hAnsiTheme="majorEastAsia" w:eastAsiaTheme="majorEastAsia" w:cstheme="majorEastAsia"/>
          <w:color w:val="auto"/>
          <w:sz w:val="24"/>
          <w:szCs w:val="24"/>
          <w:highlight w:val="none"/>
        </w:rPr>
      </w:pPr>
    </w:p>
    <w:p w14:paraId="7326DB23">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bookmarkStart w:id="177" w:name="_Toc120614281"/>
      <w:r>
        <w:rPr>
          <w:rFonts w:hint="eastAsia" w:asciiTheme="majorEastAsia" w:hAnsiTheme="majorEastAsia" w:eastAsiaTheme="majorEastAsia" w:cstheme="majorEastAsia"/>
          <w:b/>
          <w:bCs/>
          <w:color w:val="auto"/>
          <w:kern w:val="0"/>
          <w:sz w:val="48"/>
          <w:szCs w:val="48"/>
          <w:highlight w:val="none"/>
          <w:lang w:val="en-US" w:eastAsia="zh-CN" w:bidi="ar-SA"/>
        </w:rPr>
        <w:t>第五章  评标方法与评标标准</w:t>
      </w:r>
    </w:p>
    <w:p w14:paraId="75F01A44">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DA2AEE7">
      <w:pPr>
        <w:keepNext w:val="0"/>
        <w:keepLines w:val="0"/>
        <w:pageBreakBefore w:val="0"/>
        <w:widowControl w:val="0"/>
        <w:kinsoku/>
        <w:wordWrap/>
        <w:overflowPunct/>
        <w:topLinePunct w:val="0"/>
        <w:autoSpaceDE/>
        <w:autoSpaceDN/>
        <w:bidi w:val="0"/>
        <w:snapToGrid w:val="0"/>
        <w:spacing w:line="360" w:lineRule="auto"/>
        <w:ind w:firstLine="482" w:firstLineChars="200"/>
        <w:rPr>
          <w:rFonts w:hint="eastAsia" w:asciiTheme="majorEastAsia" w:hAnsiTheme="majorEastAsia" w:eastAsiaTheme="majorEastAsia" w:cstheme="majorEastAsia"/>
          <w:b/>
          <w:bCs/>
          <w:color w:val="auto"/>
          <w:sz w:val="24"/>
          <w:szCs w:val="24"/>
          <w:highlight w:val="none"/>
        </w:rPr>
      </w:pPr>
      <w:r>
        <w:rPr>
          <w:rFonts w:hint="eastAsia" w:asciiTheme="majorEastAsia" w:hAnsiTheme="majorEastAsia" w:eastAsiaTheme="majorEastAsia" w:cstheme="majorEastAsia"/>
          <w:b/>
          <w:bCs/>
          <w:color w:val="auto"/>
          <w:sz w:val="24"/>
          <w:szCs w:val="24"/>
          <w:highlight w:val="none"/>
        </w:rPr>
        <w:t>一、定标原则</w:t>
      </w:r>
    </w:p>
    <w:p w14:paraId="70945D7B">
      <w:pPr>
        <w:keepNext w:val="0"/>
        <w:keepLines w:val="0"/>
        <w:pageBreakBefore w:val="0"/>
        <w:widowControl w:val="0"/>
        <w:kinsoku/>
        <w:wordWrap/>
        <w:overflowPunct/>
        <w:topLinePunct w:val="0"/>
        <w:autoSpaceDE/>
        <w:autoSpaceDN/>
        <w:bidi w:val="0"/>
        <w:snapToGrid w:val="0"/>
        <w:spacing w:line="360" w:lineRule="auto"/>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bCs/>
          <w:color w:val="auto"/>
          <w:sz w:val="24"/>
          <w:szCs w:val="24"/>
          <w:highlight w:val="none"/>
        </w:rPr>
        <w:t>本项目采用</w:t>
      </w:r>
      <w:r>
        <w:rPr>
          <w:rFonts w:hint="eastAsia" w:asciiTheme="majorEastAsia" w:hAnsiTheme="majorEastAsia" w:eastAsiaTheme="majorEastAsia" w:cstheme="majorEastAsia"/>
          <w:bCs/>
          <w:color w:val="auto"/>
          <w:sz w:val="24"/>
          <w:szCs w:val="24"/>
          <w:highlight w:val="none"/>
          <w:u w:val="single"/>
        </w:rPr>
        <w:t xml:space="preserve"> 综合评分 </w:t>
      </w:r>
      <w:r>
        <w:rPr>
          <w:rFonts w:hint="eastAsia" w:asciiTheme="majorEastAsia" w:hAnsiTheme="majorEastAsia" w:eastAsiaTheme="majorEastAsia" w:cstheme="majorEastAsia"/>
          <w:bCs/>
          <w:color w:val="auto"/>
          <w:sz w:val="24"/>
          <w:szCs w:val="24"/>
          <w:highlight w:val="none"/>
        </w:rPr>
        <w:t>法</w:t>
      </w:r>
      <w:r>
        <w:rPr>
          <w:rFonts w:hint="eastAsia" w:asciiTheme="majorEastAsia" w:hAnsiTheme="majorEastAsia" w:eastAsiaTheme="majorEastAsia" w:cstheme="majorEastAsia"/>
          <w:bCs/>
          <w:color w:val="auto"/>
          <w:sz w:val="24"/>
          <w:szCs w:val="24"/>
          <w:highlight w:val="none"/>
          <w:lang w:eastAsia="zh-CN"/>
        </w:rPr>
        <w:t>，</w:t>
      </w:r>
      <w:r>
        <w:rPr>
          <w:rFonts w:hint="eastAsia" w:asciiTheme="majorEastAsia" w:hAnsiTheme="majorEastAsia" w:eastAsiaTheme="majorEastAsia" w:cstheme="majorEastAsia"/>
          <w:color w:val="auto"/>
          <w:kern w:val="0"/>
          <w:sz w:val="24"/>
          <w:szCs w:val="24"/>
          <w:highlight w:val="none"/>
        </w:rPr>
        <w:t>评标结果按评审后得分由高到低顺序排列。得分相同的，按投标报价由低到高顺序排列。得分且投标报价相同的</w:t>
      </w:r>
      <w:r>
        <w:rPr>
          <w:rFonts w:hint="eastAsia" w:asciiTheme="majorEastAsia" w:hAnsiTheme="majorEastAsia" w:eastAsiaTheme="majorEastAsia" w:cstheme="majorEastAsia"/>
          <w:color w:val="auto"/>
          <w:kern w:val="0"/>
          <w:sz w:val="24"/>
          <w:szCs w:val="24"/>
          <w:highlight w:val="none"/>
          <w:lang w:val="en-US" w:eastAsia="zh-CN"/>
        </w:rPr>
        <w:t>并列</w:t>
      </w:r>
      <w:r>
        <w:rPr>
          <w:rFonts w:hint="eastAsia" w:asciiTheme="majorEastAsia" w:hAnsiTheme="majorEastAsia" w:eastAsiaTheme="majorEastAsia" w:cstheme="majorEastAsia"/>
          <w:color w:val="auto"/>
          <w:kern w:val="0"/>
          <w:sz w:val="24"/>
          <w:szCs w:val="24"/>
          <w:highlight w:val="none"/>
        </w:rPr>
        <w:t>。投标文件满足招标文件全部实质性要求，且按照评审因素的量化指标评审得分最高的投标人为排名第一的中标候选人，本项目</w:t>
      </w:r>
      <w:r>
        <w:rPr>
          <w:rFonts w:hint="eastAsia" w:asciiTheme="majorEastAsia" w:hAnsiTheme="majorEastAsia" w:eastAsiaTheme="majorEastAsia" w:cstheme="majorEastAsia"/>
          <w:color w:val="auto"/>
          <w:kern w:val="0"/>
          <w:sz w:val="24"/>
          <w:szCs w:val="24"/>
          <w:highlight w:val="none"/>
          <w:lang w:val="en-US" w:eastAsia="zh-CN"/>
        </w:rPr>
        <w:t>每包件各</w:t>
      </w:r>
      <w:r>
        <w:rPr>
          <w:rFonts w:hint="eastAsia" w:asciiTheme="majorEastAsia" w:hAnsiTheme="majorEastAsia" w:eastAsiaTheme="majorEastAsia" w:cstheme="majorEastAsia"/>
          <w:color w:val="auto"/>
          <w:kern w:val="0"/>
          <w:sz w:val="24"/>
          <w:szCs w:val="24"/>
          <w:highlight w:val="none"/>
        </w:rPr>
        <w:t>选取1名中标候选人。</w:t>
      </w:r>
    </w:p>
    <w:p w14:paraId="66FEE034">
      <w:pPr>
        <w:keepNext w:val="0"/>
        <w:keepLines w:val="0"/>
        <w:pageBreakBefore w:val="0"/>
        <w:widowControl w:val="0"/>
        <w:kinsoku/>
        <w:wordWrap/>
        <w:overflowPunct/>
        <w:topLinePunct w:val="0"/>
        <w:autoSpaceDE/>
        <w:autoSpaceDN/>
        <w:bidi w:val="0"/>
        <w:snapToGrid w:val="0"/>
        <w:spacing w:line="360" w:lineRule="auto"/>
        <w:ind w:firstLine="480" w:firstLineChars="200"/>
        <w:rPr>
          <w:rFonts w:hint="eastAsia" w:asciiTheme="majorEastAsia" w:hAnsiTheme="majorEastAsia" w:eastAsiaTheme="majorEastAsia" w:cstheme="majorEastAsia"/>
          <w:color w:val="auto"/>
          <w:kern w:val="0"/>
          <w:sz w:val="24"/>
          <w:szCs w:val="24"/>
          <w:highlight w:val="none"/>
        </w:rPr>
      </w:pPr>
    </w:p>
    <w:p w14:paraId="53D5BBC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41"/>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政府采购政策功能落实</w:t>
      </w:r>
    </w:p>
    <w:p w14:paraId="61F50FFF">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1、小微型企业价格扣除</w:t>
      </w:r>
    </w:p>
    <w:p w14:paraId="666F077B">
      <w:pPr>
        <w:pStyle w:val="16"/>
        <w:keepNext w:val="0"/>
        <w:keepLines w:val="0"/>
        <w:pageBreakBefore w:val="0"/>
        <w:widowControl w:val="0"/>
        <w:kinsoku/>
        <w:wordWrap/>
        <w:overflowPunct/>
        <w:topLinePunct w:val="0"/>
        <w:autoSpaceDE/>
        <w:autoSpaceDN/>
        <w:bidi w:val="0"/>
        <w:spacing w:line="360" w:lineRule="auto"/>
        <w:ind w:firstLine="360" w:firstLineChars="15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（1）本项目若不专门面向中小企业采购，对</w:t>
      </w:r>
      <w:r>
        <w:rPr>
          <w:rFonts w:hint="eastAsia" w:asciiTheme="majorEastAsia" w:hAnsiTheme="majorEastAsia" w:eastAsiaTheme="majorEastAsia" w:cstheme="majorEastAsia"/>
          <w:color w:val="auto"/>
          <w:sz w:val="24"/>
          <w:szCs w:val="24"/>
          <w:highlight w:val="none"/>
          <w:lang w:val="en-US" w:eastAsia="zh-CN"/>
        </w:rPr>
        <w:t>符合规定的</w:t>
      </w:r>
      <w:r>
        <w:rPr>
          <w:rFonts w:hint="eastAsia" w:asciiTheme="majorEastAsia" w:hAnsiTheme="majorEastAsia" w:eastAsiaTheme="majorEastAsia" w:cstheme="majorEastAsia"/>
          <w:color w:val="auto"/>
          <w:sz w:val="24"/>
          <w:szCs w:val="24"/>
          <w:highlight w:val="none"/>
        </w:rPr>
        <w:t>小型和微型企业</w:t>
      </w:r>
      <w:r>
        <w:rPr>
          <w:rFonts w:hint="eastAsia" w:asciiTheme="majorEastAsia" w:hAnsiTheme="majorEastAsia" w:eastAsiaTheme="majorEastAsia" w:cstheme="majorEastAsia"/>
          <w:color w:val="auto"/>
          <w:sz w:val="24"/>
          <w:szCs w:val="24"/>
          <w:highlight w:val="none"/>
          <w:lang w:val="en-US" w:eastAsia="zh-CN"/>
        </w:rPr>
        <w:t>报价</w:t>
      </w:r>
      <w:r>
        <w:rPr>
          <w:rFonts w:hint="eastAsia" w:asciiTheme="majorEastAsia" w:hAnsiTheme="majorEastAsia" w:eastAsiaTheme="majorEastAsia" w:cstheme="majorEastAsia"/>
          <w:color w:val="auto"/>
          <w:sz w:val="24"/>
          <w:szCs w:val="24"/>
          <w:highlight w:val="none"/>
        </w:rPr>
        <w:t>给予20%的扣除价格，用扣除后的价格参与评审；若专门面向中小企业采购，不再对小型和微型企业</w:t>
      </w:r>
      <w:r>
        <w:rPr>
          <w:rFonts w:hint="eastAsia" w:asciiTheme="majorEastAsia" w:hAnsiTheme="majorEastAsia" w:eastAsiaTheme="majorEastAsia" w:cstheme="majorEastAsia"/>
          <w:color w:val="auto"/>
          <w:sz w:val="24"/>
          <w:szCs w:val="24"/>
          <w:highlight w:val="none"/>
          <w:lang w:val="en-US" w:eastAsia="zh-CN"/>
        </w:rPr>
        <w:t>报价</w:t>
      </w:r>
      <w:r>
        <w:rPr>
          <w:rFonts w:hint="eastAsia" w:asciiTheme="majorEastAsia" w:hAnsiTheme="majorEastAsia" w:eastAsiaTheme="majorEastAsia" w:cstheme="majorEastAsia"/>
          <w:color w:val="auto"/>
          <w:sz w:val="24"/>
          <w:szCs w:val="24"/>
          <w:highlight w:val="none"/>
        </w:rPr>
        <w:t>给予价格扣除。</w:t>
      </w:r>
    </w:p>
    <w:p w14:paraId="6CFFF15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（2）供应商需按照采购文件的要求提供相应的《</w:t>
      </w:r>
      <w:r>
        <w:rPr>
          <w:rFonts w:hint="eastAsia" w:asciiTheme="majorEastAsia" w:hAnsiTheme="majorEastAsia" w:eastAsiaTheme="majorEastAsia" w:cstheme="majorEastAsia"/>
          <w:color w:val="auto"/>
          <w:sz w:val="24"/>
          <w:szCs w:val="24"/>
          <w:highlight w:val="none"/>
          <w:lang w:val="en-US" w:eastAsia="zh-CN"/>
        </w:rPr>
        <w:t>中小</w:t>
      </w:r>
      <w:r>
        <w:rPr>
          <w:rFonts w:hint="eastAsia" w:asciiTheme="majorEastAsia" w:hAnsiTheme="majorEastAsia" w:eastAsiaTheme="majorEastAsia" w:cstheme="majorEastAsia"/>
          <w:color w:val="auto"/>
          <w:sz w:val="24"/>
          <w:szCs w:val="24"/>
          <w:highlight w:val="none"/>
        </w:rPr>
        <w:t>企业声明函</w:t>
      </w:r>
      <w:r>
        <w:rPr>
          <w:rFonts w:hint="eastAsia" w:asciiTheme="majorEastAsia" w:hAnsiTheme="majorEastAsia" w:eastAsiaTheme="majorEastAsia" w:cstheme="majorEastAsia"/>
          <w:color w:val="auto"/>
          <w:sz w:val="24"/>
          <w:szCs w:val="24"/>
          <w:highlight w:val="none"/>
        </w:rPr>
        <w:t>》。</w:t>
      </w:r>
    </w:p>
    <w:p w14:paraId="4D6A14DA">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36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（3）企业标准请参照《关于印发中小企业划型标准规定的通知》（工信部联企业</w:t>
      </w:r>
      <w:r>
        <w:rPr>
          <w:rFonts w:hint="eastAsia" w:asciiTheme="majorEastAsia" w:hAnsiTheme="majorEastAsia" w:eastAsiaTheme="majorEastAsia" w:cstheme="majorEastAsia"/>
          <w:color w:val="auto"/>
          <w:sz w:val="24"/>
          <w:szCs w:val="24"/>
          <w:highlight w:val="none"/>
          <w:lang w:eastAsia="zh-CN"/>
        </w:rPr>
        <w:t>〔2011〕300号</w:t>
      </w:r>
      <w:r>
        <w:rPr>
          <w:rFonts w:hint="eastAsia" w:asciiTheme="majorEastAsia" w:hAnsiTheme="majorEastAsia" w:eastAsiaTheme="majorEastAsia" w:cstheme="majorEastAsia"/>
          <w:color w:val="auto"/>
          <w:sz w:val="24"/>
          <w:szCs w:val="24"/>
          <w:highlight w:val="none"/>
        </w:rPr>
        <w:t>）文件规定自行填写。</w:t>
      </w:r>
    </w:p>
    <w:p w14:paraId="6DFFA25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2、残疾人福利单位价格扣除</w:t>
      </w:r>
    </w:p>
    <w:p w14:paraId="685F6DC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rPr>
        <w:t>（1）本项目对残疾人福利性单位视同小型、微型企业，给予</w:t>
      </w:r>
      <w:r>
        <w:rPr>
          <w:rFonts w:hint="eastAsia" w:asciiTheme="majorEastAsia" w:hAnsiTheme="majorEastAsia" w:eastAsiaTheme="majorEastAsia" w:cstheme="majorEastAsia"/>
          <w:color w:val="auto"/>
          <w:sz w:val="24"/>
          <w:szCs w:val="24"/>
          <w:highlight w:val="none"/>
          <w:u w:val="single"/>
        </w:rPr>
        <w:t>20%</w:t>
      </w:r>
      <w:r>
        <w:rPr>
          <w:rFonts w:hint="eastAsia" w:asciiTheme="majorEastAsia" w:hAnsiTheme="majorEastAsia" w:eastAsiaTheme="majorEastAsia" w:cstheme="majorEastAsia"/>
          <w:color w:val="auto"/>
          <w:sz w:val="24"/>
          <w:szCs w:val="24"/>
          <w:highlight w:val="none"/>
          <w:u w:val="single"/>
          <w:lang w:eastAsia="zh-CN"/>
        </w:rPr>
        <w:t>的价格扣除。</w:t>
      </w:r>
    </w:p>
    <w:p w14:paraId="77898B1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（2）残疾人福利单位需按照采购文件的要求提供《残疾人福利性单位声明函》。</w:t>
      </w:r>
    </w:p>
    <w:p w14:paraId="0F944751">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（3）残疾人福利单位标准请参照《关于促进残疾人就业政府采购政策的通知》（财库〔2017〕141号）。</w:t>
      </w:r>
    </w:p>
    <w:p w14:paraId="5537155D">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3、监狱和戒毒企业价格扣除</w:t>
      </w:r>
    </w:p>
    <w:p w14:paraId="4C47FCE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auto"/>
          <w:sz w:val="24"/>
          <w:szCs w:val="24"/>
          <w:highlight w:val="none"/>
          <w:u w:val="single"/>
        </w:rPr>
      </w:pPr>
      <w:r>
        <w:rPr>
          <w:rFonts w:hint="eastAsia" w:asciiTheme="majorEastAsia" w:hAnsiTheme="majorEastAsia" w:eastAsiaTheme="majorEastAsia" w:cstheme="majorEastAsia"/>
          <w:color w:val="auto"/>
          <w:sz w:val="24"/>
          <w:szCs w:val="24"/>
          <w:highlight w:val="none"/>
        </w:rPr>
        <w:t>（1）本项目对监狱和戒毒企业（简称监狱企业）视同小型、微型企业，给予</w:t>
      </w:r>
      <w:r>
        <w:rPr>
          <w:rFonts w:hint="eastAsia" w:asciiTheme="majorEastAsia" w:hAnsiTheme="majorEastAsia" w:eastAsiaTheme="majorEastAsia" w:cstheme="majorEastAsia"/>
          <w:color w:val="auto"/>
          <w:sz w:val="24"/>
          <w:szCs w:val="24"/>
          <w:highlight w:val="none"/>
          <w:u w:val="single"/>
        </w:rPr>
        <w:t>20%</w:t>
      </w:r>
      <w:r>
        <w:rPr>
          <w:rFonts w:hint="eastAsia" w:asciiTheme="majorEastAsia" w:hAnsiTheme="majorEastAsia" w:eastAsiaTheme="majorEastAsia" w:cstheme="majorEastAsia"/>
          <w:color w:val="auto"/>
          <w:sz w:val="24"/>
          <w:szCs w:val="24"/>
          <w:highlight w:val="none"/>
          <w:u w:val="single"/>
          <w:lang w:eastAsia="zh-CN"/>
        </w:rPr>
        <w:t>的价格扣除。</w:t>
      </w:r>
    </w:p>
    <w:p w14:paraId="7664212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658AAFB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（3）监狱企业标准请参照《关于政府采购支持监狱企业发展有关问题的通知》（财库</w:t>
      </w:r>
      <w:r>
        <w:rPr>
          <w:rFonts w:hint="eastAsia" w:asciiTheme="majorEastAsia" w:hAnsiTheme="majorEastAsia" w:eastAsiaTheme="majorEastAsia" w:cstheme="majorEastAsia"/>
          <w:color w:val="auto"/>
          <w:sz w:val="24"/>
          <w:szCs w:val="24"/>
          <w:highlight w:val="none"/>
          <w:lang w:eastAsia="zh-CN"/>
        </w:rPr>
        <w:t>〔2014〕68号</w:t>
      </w:r>
      <w:r>
        <w:rPr>
          <w:rFonts w:hint="eastAsia" w:asciiTheme="majorEastAsia" w:hAnsiTheme="majorEastAsia" w:eastAsiaTheme="majorEastAsia" w:cstheme="majorEastAsia"/>
          <w:color w:val="auto"/>
          <w:sz w:val="24"/>
          <w:szCs w:val="24"/>
          <w:highlight w:val="none"/>
        </w:rPr>
        <w:t>）。</w:t>
      </w:r>
    </w:p>
    <w:p w14:paraId="7786AE98">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4、残疾人福利单位、监狱企业属于小型、微型企业的，不重复享受政策。</w:t>
      </w:r>
    </w:p>
    <w:p w14:paraId="34B2C2E4">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0"/>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color w:val="auto"/>
          <w:sz w:val="24"/>
          <w:szCs w:val="24"/>
          <w:highlight w:val="none"/>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heme="majorEastAsia" w:hAnsiTheme="majorEastAsia" w:eastAsiaTheme="majorEastAsia" w:cstheme="majorEastAsia"/>
          <w:color w:val="auto"/>
          <w:sz w:val="24"/>
          <w:szCs w:val="24"/>
          <w:highlight w:val="none"/>
          <w:u w:val="single"/>
        </w:rPr>
        <w:t>6%</w:t>
      </w:r>
      <w:r>
        <w:rPr>
          <w:rFonts w:hint="eastAsia" w:asciiTheme="majorEastAsia" w:hAnsiTheme="majorEastAsia" w:eastAsiaTheme="majorEastAsia" w:cstheme="majorEastAsia"/>
          <w:color w:val="auto"/>
          <w:sz w:val="24"/>
          <w:szCs w:val="24"/>
          <w:highlight w:val="none"/>
        </w:rPr>
        <w:t>的价格扣除，用扣除后的价格参与评审。</w:t>
      </w:r>
    </w:p>
    <w:p w14:paraId="5368FD5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left="120" w:firstLine="360"/>
        <w:rPr>
          <w:rFonts w:hint="eastAsia" w:asciiTheme="majorEastAsia" w:hAnsiTheme="majorEastAsia" w:eastAsiaTheme="majorEastAsia" w:cstheme="majorEastAsia"/>
          <w:color w:val="auto"/>
          <w:sz w:val="24"/>
          <w:szCs w:val="24"/>
          <w:highlight w:val="none"/>
          <w:u w:val="single"/>
          <w:lang w:eastAsia="zh-CN"/>
        </w:rPr>
      </w:pPr>
      <w:r>
        <w:rPr>
          <w:rFonts w:hint="eastAsia" w:asciiTheme="majorEastAsia" w:hAnsiTheme="majorEastAsia" w:eastAsiaTheme="majorEastAsia" w:cstheme="majorEastAsia"/>
          <w:color w:val="auto"/>
          <w:sz w:val="24"/>
          <w:szCs w:val="24"/>
          <w:highlight w:val="none"/>
        </w:rPr>
        <w:t>6、联合体各方均为小型、微型企业（残疾人福利单位、监狱企业）的，联合体享受</w:t>
      </w:r>
      <w:r>
        <w:rPr>
          <w:rFonts w:hint="eastAsia" w:asciiTheme="majorEastAsia" w:hAnsiTheme="majorEastAsia" w:eastAsiaTheme="majorEastAsia" w:cstheme="majorEastAsia"/>
          <w:color w:val="auto"/>
          <w:sz w:val="24"/>
          <w:szCs w:val="24"/>
          <w:highlight w:val="none"/>
          <w:u w:val="single"/>
        </w:rPr>
        <w:t>20%</w:t>
      </w:r>
      <w:r>
        <w:rPr>
          <w:rFonts w:hint="eastAsia" w:asciiTheme="majorEastAsia" w:hAnsiTheme="majorEastAsia" w:eastAsiaTheme="majorEastAsia" w:cstheme="majorEastAsia"/>
          <w:color w:val="auto"/>
          <w:sz w:val="24"/>
          <w:szCs w:val="24"/>
          <w:highlight w:val="none"/>
          <w:u w:val="single"/>
          <w:lang w:eastAsia="zh-CN"/>
        </w:rPr>
        <w:t>的价格扣除。</w:t>
      </w:r>
    </w:p>
    <w:p w14:paraId="5FDBCB1C">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7、采购本国产品的支持政策</w:t>
      </w:r>
    </w:p>
    <w:p w14:paraId="71A9CEC6">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 xml:space="preserve">7.1 本项目政府采购活动中既有本国产品又有非本国产品参与竞争的，依法对本国产品给予价格评审优惠，对本国产品的报价给予 </w:t>
      </w:r>
      <w:r>
        <w:rPr>
          <w:rFonts w:hint="eastAsia" w:asciiTheme="majorEastAsia" w:hAnsiTheme="majorEastAsia" w:eastAsiaTheme="majorEastAsia" w:cstheme="majorEastAsia"/>
          <w:b w:val="0"/>
          <w:bCs w:val="0"/>
          <w:color w:val="auto"/>
          <w:sz w:val="24"/>
          <w:szCs w:val="24"/>
          <w:highlight w:val="none"/>
          <w:u w:val="single"/>
        </w:rPr>
        <w:t>20%</w:t>
      </w:r>
      <w:r>
        <w:rPr>
          <w:rFonts w:hint="eastAsia" w:asciiTheme="majorEastAsia" w:hAnsiTheme="majorEastAsia" w:eastAsiaTheme="majorEastAsia" w:cstheme="majorEastAsia"/>
          <w:b w:val="0"/>
          <w:bCs w:val="0"/>
          <w:color w:val="auto"/>
          <w:sz w:val="24"/>
          <w:szCs w:val="24"/>
          <w:highlight w:val="none"/>
        </w:rPr>
        <w:t>的价格扣除，用扣除后的价格参与评审。</w:t>
      </w:r>
    </w:p>
    <w:p w14:paraId="331F5150">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7.2 当采购项目或者采购包中含有多种产品，供应商为该采购项目或者采购包提供的符合本国产品标准的产品成本之和占该供应商提供的全部产品成本之和的比例达到</w:t>
      </w:r>
      <w:r>
        <w:rPr>
          <w:rFonts w:hint="eastAsia" w:asciiTheme="majorEastAsia" w:hAnsiTheme="majorEastAsia" w:eastAsiaTheme="majorEastAsia" w:cstheme="majorEastAsia"/>
          <w:b w:val="0"/>
          <w:bCs w:val="0"/>
          <w:color w:val="auto"/>
          <w:sz w:val="24"/>
          <w:szCs w:val="24"/>
          <w:highlight w:val="none"/>
          <w:u w:val="single"/>
        </w:rPr>
        <w:t>80%</w:t>
      </w:r>
      <w:r>
        <w:rPr>
          <w:rFonts w:hint="eastAsia" w:asciiTheme="majorEastAsia" w:hAnsiTheme="majorEastAsia" w:eastAsiaTheme="majorEastAsia" w:cstheme="majorEastAsia"/>
          <w:b w:val="0"/>
          <w:bCs w:val="0"/>
          <w:color w:val="auto"/>
          <w:sz w:val="24"/>
          <w:szCs w:val="24"/>
          <w:highlight w:val="none"/>
        </w:rPr>
        <w:t>以上时（供应商需在“第六章 投标文件格式”的“ 投标分项报价表”中填写比例数值），依法对该供应商提供的全部产品给予价格评审优惠，即对该供应商提供的全部产品的总报价给予</w:t>
      </w:r>
      <w:r>
        <w:rPr>
          <w:rFonts w:hint="eastAsia" w:asciiTheme="majorEastAsia" w:hAnsiTheme="majorEastAsia" w:eastAsiaTheme="majorEastAsia" w:cstheme="majorEastAsia"/>
          <w:b w:val="0"/>
          <w:bCs w:val="0"/>
          <w:color w:val="auto"/>
          <w:sz w:val="24"/>
          <w:szCs w:val="24"/>
          <w:highlight w:val="none"/>
          <w:u w:val="single"/>
        </w:rPr>
        <w:t>20%</w:t>
      </w:r>
      <w:r>
        <w:rPr>
          <w:rFonts w:hint="eastAsia" w:asciiTheme="majorEastAsia" w:hAnsiTheme="majorEastAsia" w:eastAsiaTheme="majorEastAsia" w:cstheme="majorEastAsia"/>
          <w:b w:val="0"/>
          <w:bCs w:val="0"/>
          <w:color w:val="auto"/>
          <w:sz w:val="24"/>
          <w:szCs w:val="24"/>
          <w:highlight w:val="none"/>
        </w:rPr>
        <w:t>的价格扣除，用扣除后的价格参与评审。供应商未填写比例数值，或比例数值未达到80%的，将不享受本国产品价格评审优惠。</w:t>
      </w:r>
    </w:p>
    <w:p w14:paraId="6FD5312F">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7.3 供应商需按照招标文件的要求提供《关于符合本国产品标准的声明函》（以下简称《声明函》），如不提供将不享受本国产品价格评审优惠。</w:t>
      </w:r>
    </w:p>
    <w:p w14:paraId="240464F2">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rPr>
      </w:pPr>
      <w:r>
        <w:rPr>
          <w:rFonts w:hint="eastAsia" w:asciiTheme="majorEastAsia" w:hAnsiTheme="majorEastAsia" w:eastAsiaTheme="majorEastAsia" w:cstheme="majorEastAsia"/>
          <w:b w:val="0"/>
          <w:bCs w:val="0"/>
          <w:color w:val="auto"/>
          <w:sz w:val="24"/>
          <w:szCs w:val="24"/>
          <w:highlight w:val="none"/>
        </w:rPr>
        <w:t>7.4 供应商需在《声明函》中逐一、准确填写产品名称、厂名、生产厂址三项信息（《声明函》中用</w:t>
      </w:r>
      <w:r>
        <w:rPr>
          <w:rFonts w:hint="eastAsia" w:asciiTheme="majorEastAsia" w:hAnsiTheme="majorEastAsia" w:eastAsiaTheme="majorEastAsia" w:cstheme="majorEastAsia"/>
          <w:b w:val="0"/>
          <w:bCs w:val="0"/>
          <w:color w:val="auto"/>
          <w:sz w:val="24"/>
          <w:szCs w:val="24"/>
          <w:highlight w:val="none"/>
          <w:lang w:val="en-US" w:eastAsia="zh-CN"/>
        </w:rPr>
        <w:t>横</w:t>
      </w:r>
      <w:r>
        <w:rPr>
          <w:rFonts w:hint="eastAsia" w:asciiTheme="majorEastAsia" w:hAnsiTheme="majorEastAsia" w:eastAsiaTheme="majorEastAsia" w:cstheme="majorEastAsia"/>
          <w:b w:val="0"/>
          <w:bCs w:val="0"/>
          <w:color w:val="auto"/>
          <w:sz w:val="24"/>
          <w:szCs w:val="24"/>
          <w:highlight w:val="none"/>
        </w:rPr>
        <w:t>线划除的地方无需填写），三项信息中任意一项未填写的视为该项产品不符合本国产品标准，不享受本国产品价格评审优惠。</w:t>
      </w:r>
    </w:p>
    <w:p w14:paraId="610CD0D1">
      <w:pPr>
        <w:keepNext w:val="0"/>
        <w:keepLines w:val="0"/>
        <w:pageBreakBefore w:val="0"/>
        <w:widowControl w:val="0"/>
        <w:kinsoku/>
        <w:wordWrap/>
        <w:overflowPunct/>
        <w:topLinePunct w:val="0"/>
        <w:autoSpaceDE/>
        <w:autoSpaceDN/>
        <w:bidi w:val="0"/>
        <w:adjustRightInd w:val="0"/>
        <w:spacing w:line="360" w:lineRule="auto"/>
        <w:ind w:firstLine="480" w:firstLineChars="200"/>
        <w:jc w:val="left"/>
        <w:textAlignment w:val="baseline"/>
        <w:rPr>
          <w:rFonts w:hint="eastAsia" w:asciiTheme="majorEastAsia" w:hAnsiTheme="majorEastAsia" w:eastAsiaTheme="majorEastAsia" w:cstheme="majorEastAsia"/>
          <w:b w:val="0"/>
          <w:bCs w:val="0"/>
          <w:color w:val="auto"/>
          <w:sz w:val="24"/>
          <w:szCs w:val="24"/>
          <w:highlight w:val="none"/>
          <w:u w:val="single"/>
          <w:lang w:eastAsia="zh-CN"/>
        </w:rPr>
      </w:pPr>
      <w:r>
        <w:rPr>
          <w:rFonts w:hint="eastAsia" w:asciiTheme="majorEastAsia" w:hAnsiTheme="majorEastAsia" w:eastAsiaTheme="majorEastAsia" w:cstheme="majorEastAsia"/>
          <w:b w:val="0"/>
          <w:bCs w:val="0"/>
          <w:color w:val="auto"/>
          <w:sz w:val="24"/>
          <w:szCs w:val="24"/>
          <w:highlight w:val="none"/>
        </w:rPr>
        <w:t>7.5 评标过程中，如发现供应商在《声明函》内容含义不明确、同类事项与投标（响应）文件表述不一致或者有明显文字错误等情况的，评标委员会应当</w:t>
      </w:r>
      <w:r>
        <w:rPr>
          <w:rFonts w:hint="eastAsia" w:asciiTheme="majorEastAsia" w:hAnsiTheme="majorEastAsia" w:eastAsiaTheme="majorEastAsia" w:cstheme="majorEastAsia"/>
          <w:b w:val="0"/>
          <w:bCs w:val="0"/>
          <w:color w:val="auto"/>
          <w:sz w:val="24"/>
          <w:szCs w:val="24"/>
          <w:highlight w:val="none"/>
          <w:lang w:val="en-US" w:eastAsia="zh-CN"/>
        </w:rPr>
        <w:t>在苏采云系统</w:t>
      </w:r>
      <w:r>
        <w:rPr>
          <w:rFonts w:hint="eastAsia" w:asciiTheme="majorEastAsia" w:hAnsiTheme="majorEastAsia" w:eastAsiaTheme="majorEastAsia" w:cstheme="majorEastAsia"/>
          <w:b w:val="0"/>
          <w:bCs w:val="0"/>
          <w:color w:val="auto"/>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5E224A92">
      <w:pPr>
        <w:keepNext w:val="0"/>
        <w:keepLines w:val="0"/>
        <w:pageBreakBefore w:val="0"/>
        <w:widowControl w:val="0"/>
        <w:kinsoku/>
        <w:wordWrap/>
        <w:overflowPunct/>
        <w:topLinePunct w:val="0"/>
        <w:autoSpaceDE/>
        <w:autoSpaceDN/>
        <w:bidi w:val="0"/>
        <w:spacing w:line="360" w:lineRule="auto"/>
        <w:ind w:firstLine="480" w:firstLineChars="200"/>
        <w:rPr>
          <w:rFonts w:hint="eastAsia" w:asciiTheme="majorEastAsia" w:hAnsiTheme="majorEastAsia" w:eastAsiaTheme="majorEastAsia" w:cstheme="majorEastAsia"/>
          <w:color w:val="auto"/>
          <w:kern w:val="0"/>
          <w:sz w:val="24"/>
          <w:szCs w:val="24"/>
          <w:highlight w:val="none"/>
        </w:rPr>
      </w:pPr>
      <w:r>
        <w:rPr>
          <w:rFonts w:hint="eastAsia" w:asciiTheme="majorEastAsia" w:hAnsiTheme="majorEastAsia" w:eastAsiaTheme="majorEastAsia" w:cstheme="majorEastAsia"/>
          <w:color w:val="auto"/>
          <w:kern w:val="0"/>
          <w:sz w:val="24"/>
          <w:szCs w:val="24"/>
          <w:highlight w:val="none"/>
          <w:lang w:val="en-US" w:eastAsia="zh-CN"/>
        </w:rPr>
        <w:t>8</w:t>
      </w:r>
      <w:r>
        <w:rPr>
          <w:rFonts w:hint="eastAsia" w:asciiTheme="majorEastAsia" w:hAnsiTheme="majorEastAsia" w:eastAsiaTheme="majorEastAsia" w:cstheme="majorEastAsia"/>
          <w:color w:val="auto"/>
          <w:kern w:val="0"/>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ajorEastAsia" w:hAnsiTheme="majorEastAsia" w:eastAsiaTheme="majorEastAsia" w:cstheme="majorEastAsia"/>
          <w:b/>
          <w:i/>
          <w:color w:val="auto"/>
          <w:kern w:val="0"/>
          <w:sz w:val="24"/>
          <w:szCs w:val="24"/>
          <w:highlight w:val="none"/>
        </w:rPr>
        <w:t>如属政府强制采购产品未提供认证证书的或认证证书提供不全的将视为未实质性响应采购要求</w:t>
      </w:r>
      <w:r>
        <w:rPr>
          <w:rFonts w:hint="eastAsia" w:asciiTheme="majorEastAsia" w:hAnsiTheme="majorEastAsia" w:eastAsiaTheme="majorEastAsia" w:cstheme="majorEastAsia"/>
          <w:i/>
          <w:color w:val="auto"/>
          <w:kern w:val="0"/>
          <w:sz w:val="24"/>
          <w:szCs w:val="24"/>
          <w:highlight w:val="none"/>
        </w:rPr>
        <w:t>。</w:t>
      </w:r>
      <w:r>
        <w:rPr>
          <w:rFonts w:hint="eastAsia" w:asciiTheme="majorEastAsia" w:hAnsiTheme="majorEastAsia" w:eastAsiaTheme="majorEastAsia" w:cstheme="majorEastAsia"/>
          <w:color w:val="auto"/>
          <w:kern w:val="0"/>
          <w:sz w:val="24"/>
          <w:szCs w:val="24"/>
          <w:highlight w:val="none"/>
        </w:rPr>
        <w:t>其他条件相同情况下，应当优先采购节能产品、环境标志产品。</w:t>
      </w:r>
    </w:p>
    <w:p w14:paraId="5264C21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4BA69B01">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74A9EA33">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65661E7F">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1796175A">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3CC83F0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39D4CBF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rPr>
          <w:rFonts w:hint="eastAsia" w:asciiTheme="majorEastAsia" w:hAnsiTheme="majorEastAsia" w:eastAsiaTheme="majorEastAsia" w:cstheme="majorEastAsia"/>
          <w:b/>
          <w:color w:val="auto"/>
          <w:sz w:val="24"/>
          <w:szCs w:val="24"/>
          <w:highlight w:val="none"/>
        </w:rPr>
      </w:pPr>
    </w:p>
    <w:p w14:paraId="17752CEC">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1D28F79B">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3A6A09E9">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50ABA4AD">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5D3236C7">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b/>
          <w:color w:val="auto"/>
          <w:sz w:val="24"/>
          <w:szCs w:val="24"/>
          <w:highlight w:val="none"/>
        </w:rPr>
      </w:pPr>
    </w:p>
    <w:p w14:paraId="2D141BEE">
      <w:pPr>
        <w:pStyle w:val="7"/>
        <w:keepNext w:val="0"/>
        <w:keepLines w:val="0"/>
        <w:pageBreakBefore w:val="0"/>
        <w:widowControl w:val="0"/>
        <w:kinsoku/>
        <w:wordWrap/>
        <w:overflowPunct/>
        <w:topLinePunct w:val="0"/>
        <w:autoSpaceDE/>
        <w:autoSpaceDN/>
        <w:bidi w:val="0"/>
        <w:spacing w:before="120" w:beforeAutospacing="0" w:after="120" w:afterAutospacing="0" w:line="360" w:lineRule="auto"/>
        <w:ind w:firstLine="482"/>
        <w:rPr>
          <w:rFonts w:hint="eastAsia" w:asciiTheme="majorEastAsia" w:hAnsiTheme="majorEastAsia" w:eastAsiaTheme="majorEastAsia" w:cstheme="majorEastAsia"/>
          <w:color w:val="auto"/>
          <w:sz w:val="24"/>
          <w:szCs w:val="24"/>
          <w:highlight w:val="none"/>
        </w:rPr>
      </w:pPr>
      <w:r>
        <w:rPr>
          <w:rFonts w:hint="eastAsia" w:asciiTheme="majorEastAsia" w:hAnsiTheme="majorEastAsia" w:eastAsiaTheme="majorEastAsia" w:cstheme="majorEastAsia"/>
          <w:b/>
          <w:color w:val="auto"/>
          <w:sz w:val="24"/>
          <w:szCs w:val="24"/>
          <w:highlight w:val="none"/>
        </w:rPr>
        <w:t>评标方法与评标标准</w:t>
      </w:r>
    </w:p>
    <w:tbl>
      <w:tblPr>
        <w:tblStyle w:val="8"/>
        <w:tblW w:w="9908" w:type="dxa"/>
        <w:tblInd w:w="-6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5"/>
        <w:gridCol w:w="1426"/>
        <w:gridCol w:w="6263"/>
        <w:gridCol w:w="1064"/>
      </w:tblGrid>
      <w:tr w14:paraId="2E3BB8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2581" w:type="dxa"/>
            <w:gridSpan w:val="2"/>
            <w:tcBorders>
              <w:top w:val="single" w:color="auto" w:sz="4" w:space="0"/>
              <w:left w:val="single" w:color="auto" w:sz="4" w:space="0"/>
              <w:bottom w:val="single" w:color="auto" w:sz="4" w:space="0"/>
              <w:right w:val="single" w:color="auto" w:sz="4" w:space="0"/>
            </w:tcBorders>
            <w:vAlign w:val="center"/>
          </w:tcPr>
          <w:p w14:paraId="34D2A936">
            <w:pPr>
              <w:spacing w:line="420" w:lineRule="exact"/>
              <w:jc w:val="center"/>
              <w:rPr>
                <w:rFonts w:hint="eastAsia" w:asciiTheme="majorEastAsia" w:hAnsiTheme="majorEastAsia" w:eastAsiaTheme="majorEastAsia" w:cstheme="majorEastAsia"/>
                <w:b/>
                <w:color w:val="auto"/>
              </w:rPr>
            </w:pPr>
            <w:r>
              <w:rPr>
                <w:rFonts w:hint="eastAsia" w:asciiTheme="majorEastAsia" w:hAnsiTheme="majorEastAsia" w:eastAsiaTheme="majorEastAsia" w:cstheme="majorEastAsia"/>
                <w:b/>
                <w:color w:val="auto"/>
              </w:rPr>
              <w:t>项目</w:t>
            </w:r>
          </w:p>
        </w:tc>
        <w:tc>
          <w:tcPr>
            <w:tcW w:w="6263" w:type="dxa"/>
            <w:tcBorders>
              <w:top w:val="single" w:color="auto" w:sz="4" w:space="0"/>
              <w:left w:val="single" w:color="auto" w:sz="4" w:space="0"/>
              <w:bottom w:val="single" w:color="auto" w:sz="4" w:space="0"/>
              <w:right w:val="single" w:color="auto" w:sz="4" w:space="0"/>
            </w:tcBorders>
            <w:vAlign w:val="center"/>
          </w:tcPr>
          <w:p w14:paraId="125DF4AA">
            <w:pPr>
              <w:spacing w:line="420" w:lineRule="exact"/>
              <w:jc w:val="center"/>
              <w:rPr>
                <w:rFonts w:hint="eastAsia" w:asciiTheme="majorEastAsia" w:hAnsiTheme="majorEastAsia" w:eastAsiaTheme="majorEastAsia" w:cstheme="majorEastAsia"/>
                <w:b/>
                <w:color w:val="auto"/>
              </w:rPr>
            </w:pPr>
            <w:r>
              <w:rPr>
                <w:rFonts w:hint="eastAsia" w:asciiTheme="majorEastAsia" w:hAnsiTheme="majorEastAsia" w:eastAsiaTheme="majorEastAsia" w:cstheme="majorEastAsia"/>
                <w:b/>
                <w:color w:val="auto"/>
              </w:rPr>
              <w:t>评分内容</w:t>
            </w:r>
          </w:p>
        </w:tc>
        <w:tc>
          <w:tcPr>
            <w:tcW w:w="1064" w:type="dxa"/>
            <w:tcBorders>
              <w:top w:val="single" w:color="auto" w:sz="4" w:space="0"/>
              <w:left w:val="single" w:color="auto" w:sz="4" w:space="0"/>
              <w:bottom w:val="single" w:color="auto" w:sz="4" w:space="0"/>
              <w:right w:val="single" w:color="auto" w:sz="4" w:space="0"/>
            </w:tcBorders>
            <w:vAlign w:val="center"/>
          </w:tcPr>
          <w:p w14:paraId="785B99D2">
            <w:pPr>
              <w:spacing w:line="420" w:lineRule="exact"/>
              <w:jc w:val="center"/>
              <w:rPr>
                <w:rFonts w:hint="eastAsia" w:asciiTheme="majorEastAsia" w:hAnsiTheme="majorEastAsia" w:eastAsiaTheme="majorEastAsia" w:cstheme="majorEastAsia"/>
                <w:b/>
                <w:color w:val="auto"/>
              </w:rPr>
            </w:pPr>
            <w:r>
              <w:rPr>
                <w:rFonts w:hint="eastAsia" w:asciiTheme="majorEastAsia" w:hAnsiTheme="majorEastAsia" w:eastAsiaTheme="majorEastAsia" w:cstheme="majorEastAsia"/>
                <w:b/>
                <w:color w:val="auto"/>
              </w:rPr>
              <w:t>分值</w:t>
            </w:r>
          </w:p>
        </w:tc>
      </w:tr>
      <w:tr w14:paraId="2DEC0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tcBorders>
              <w:top w:val="single" w:color="auto" w:sz="4" w:space="0"/>
              <w:left w:val="single" w:color="auto" w:sz="4" w:space="0"/>
              <w:bottom w:val="single" w:color="auto" w:sz="4" w:space="0"/>
              <w:right w:val="single" w:color="auto" w:sz="4" w:space="0"/>
            </w:tcBorders>
            <w:vAlign w:val="center"/>
          </w:tcPr>
          <w:p w14:paraId="404E6C14">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报价部分（20分）</w:t>
            </w:r>
          </w:p>
        </w:tc>
        <w:tc>
          <w:tcPr>
            <w:tcW w:w="1426" w:type="dxa"/>
            <w:tcBorders>
              <w:top w:val="single" w:color="auto" w:sz="4" w:space="0"/>
              <w:left w:val="single" w:color="auto" w:sz="4" w:space="0"/>
              <w:bottom w:val="single" w:color="auto" w:sz="4" w:space="0"/>
              <w:right w:val="single" w:color="auto" w:sz="4" w:space="0"/>
            </w:tcBorders>
            <w:vAlign w:val="center"/>
          </w:tcPr>
          <w:p w14:paraId="03CEBAF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投标报价</w:t>
            </w:r>
          </w:p>
        </w:tc>
        <w:tc>
          <w:tcPr>
            <w:tcW w:w="6263" w:type="dxa"/>
            <w:tcBorders>
              <w:top w:val="single" w:color="auto" w:sz="4" w:space="0"/>
              <w:left w:val="single" w:color="auto" w:sz="4" w:space="0"/>
              <w:bottom w:val="single" w:color="auto" w:sz="4" w:space="0"/>
              <w:right w:val="single" w:color="auto" w:sz="4" w:space="0"/>
            </w:tcBorders>
            <w:vAlign w:val="center"/>
          </w:tcPr>
          <w:p w14:paraId="711F556B">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投标人价格得分评分方法如下：</w:t>
            </w:r>
          </w:p>
          <w:p w14:paraId="644F2873">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1、评标总价是指通过“投标文件初审”的投标人的经商务性评审（修正、小微企业扣除等）后的总价。</w:t>
            </w:r>
          </w:p>
          <w:p w14:paraId="2B196D00">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2、评标基准价=有效投标报价中的最低投标报价。</w:t>
            </w:r>
          </w:p>
          <w:p w14:paraId="3A6C484C">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3、当投标人的评标总价等于评标基准价的得20分，其他投标人的价格分按照下列公式计算：评标总价得分=（评标基准价/评标总价）×20分（计算结果保留2位小数，第三位四舍五入）。</w:t>
            </w:r>
          </w:p>
        </w:tc>
        <w:tc>
          <w:tcPr>
            <w:tcW w:w="1064" w:type="dxa"/>
            <w:tcBorders>
              <w:top w:val="single" w:color="auto" w:sz="4" w:space="0"/>
              <w:left w:val="single" w:color="auto" w:sz="4" w:space="0"/>
              <w:bottom w:val="single" w:color="auto" w:sz="4" w:space="0"/>
              <w:right w:val="single" w:color="auto" w:sz="4" w:space="0"/>
            </w:tcBorders>
            <w:vAlign w:val="center"/>
          </w:tcPr>
          <w:p w14:paraId="5F472BE4">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20分</w:t>
            </w:r>
          </w:p>
        </w:tc>
      </w:tr>
      <w:tr w14:paraId="731C5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trPr>
        <w:tc>
          <w:tcPr>
            <w:tcW w:w="1155" w:type="dxa"/>
            <w:vMerge w:val="restart"/>
            <w:tcBorders>
              <w:top w:val="single" w:color="auto" w:sz="4" w:space="0"/>
              <w:left w:val="single" w:color="auto" w:sz="4" w:space="0"/>
              <w:right w:val="single" w:color="auto" w:sz="4" w:space="0"/>
            </w:tcBorders>
            <w:vAlign w:val="center"/>
          </w:tcPr>
          <w:p w14:paraId="23973740">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技术部分</w:t>
            </w:r>
          </w:p>
          <w:p w14:paraId="31E64F3C">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w:t>
            </w:r>
            <w:r>
              <w:rPr>
                <w:rFonts w:hint="eastAsia" w:asciiTheme="majorEastAsia" w:hAnsiTheme="majorEastAsia" w:eastAsiaTheme="majorEastAsia" w:cstheme="majorEastAsia"/>
                <w:color w:val="auto"/>
                <w:szCs w:val="21"/>
                <w:lang w:val="en-US" w:eastAsia="zh-CN"/>
              </w:rPr>
              <w:t>51</w:t>
            </w:r>
            <w:r>
              <w:rPr>
                <w:rFonts w:hint="eastAsia" w:asciiTheme="majorEastAsia" w:hAnsiTheme="majorEastAsia" w:eastAsiaTheme="majorEastAsia" w:cstheme="majorEastAsia"/>
                <w:color w:val="auto"/>
                <w:szCs w:val="21"/>
              </w:rPr>
              <w:t>分）</w:t>
            </w:r>
          </w:p>
        </w:tc>
        <w:tc>
          <w:tcPr>
            <w:tcW w:w="1426" w:type="dxa"/>
            <w:tcBorders>
              <w:top w:val="single" w:color="auto" w:sz="4" w:space="0"/>
              <w:left w:val="single" w:color="auto" w:sz="4" w:space="0"/>
              <w:right w:val="single" w:color="auto" w:sz="4" w:space="0"/>
            </w:tcBorders>
            <w:vAlign w:val="center"/>
          </w:tcPr>
          <w:p w14:paraId="0884643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技术方案</w:t>
            </w:r>
          </w:p>
        </w:tc>
        <w:tc>
          <w:tcPr>
            <w:tcW w:w="6263" w:type="dxa"/>
            <w:tcBorders>
              <w:top w:val="single" w:color="auto" w:sz="4" w:space="0"/>
              <w:left w:val="single" w:color="auto" w:sz="4" w:space="0"/>
              <w:right w:val="single" w:color="auto" w:sz="4" w:space="0"/>
            </w:tcBorders>
            <w:vAlign w:val="center"/>
          </w:tcPr>
          <w:p w14:paraId="67005900">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投标人对本项目任务及目标进行解读，如何利用现有成果资料，制定科学的国土变更调查研究机制；精度把握这几个方面综合进行打分：</w:t>
            </w:r>
          </w:p>
          <w:p w14:paraId="7B14CBA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理解全面，内容完整，路线准确，方法得当，精度把握精准，可操作性强的得9分；</w:t>
            </w:r>
          </w:p>
          <w:p w14:paraId="34370BC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理解较为全面，内容较为完整，路线较为准确，方法较为得当，精度把握较为精准，可操作性较强的得6分；</w:t>
            </w:r>
          </w:p>
          <w:p w14:paraId="19803ABC">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理解不够全面，内容不够完整，路线不够准确，方法不够得当，精度把握不够精准，可操作性一般的得3分；</w:t>
            </w:r>
          </w:p>
          <w:p w14:paraId="57CA1A52">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right w:val="single" w:color="auto" w:sz="4" w:space="0"/>
            </w:tcBorders>
            <w:vAlign w:val="center"/>
          </w:tcPr>
          <w:p w14:paraId="5FBAA62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9分</w:t>
            </w:r>
          </w:p>
        </w:tc>
      </w:tr>
      <w:tr w14:paraId="238AF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454A3701">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08B1E4D1">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进度安排</w:t>
            </w:r>
          </w:p>
        </w:tc>
        <w:tc>
          <w:tcPr>
            <w:tcW w:w="6263" w:type="dxa"/>
            <w:tcBorders>
              <w:top w:val="single" w:color="auto" w:sz="4" w:space="0"/>
              <w:left w:val="single" w:color="auto" w:sz="4" w:space="0"/>
              <w:bottom w:val="single" w:color="auto" w:sz="4" w:space="0"/>
              <w:right w:val="single" w:color="auto" w:sz="4" w:space="0"/>
            </w:tcBorders>
            <w:vAlign w:val="center"/>
          </w:tcPr>
          <w:p w14:paraId="5E659E01">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进度安排科学合理，有完善的工期管理措施。根据投标人进度安排措施进行打分：</w:t>
            </w:r>
          </w:p>
          <w:p w14:paraId="70851091">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工期安排计划表清楚详细，工期管理措施科学合理、可行性强的得6分；</w:t>
            </w:r>
          </w:p>
          <w:p w14:paraId="16AA242E">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工期安排计划表基本清楚详细，工期管理措施基本科学合理、基本可行的得3分；</w:t>
            </w:r>
          </w:p>
          <w:p w14:paraId="7A68DD9A">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工期安排计划表不够清楚详细，工期管理措施不够科学合理、可行性一般的得1分；</w:t>
            </w:r>
          </w:p>
          <w:p w14:paraId="711DA4AC">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59EF67C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6分</w:t>
            </w:r>
          </w:p>
        </w:tc>
      </w:tr>
      <w:tr w14:paraId="533EE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0C00DA4A">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1599F2FC">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质量保证措施</w:t>
            </w:r>
          </w:p>
        </w:tc>
        <w:tc>
          <w:tcPr>
            <w:tcW w:w="6263" w:type="dxa"/>
            <w:tcBorders>
              <w:top w:val="single" w:color="auto" w:sz="4" w:space="0"/>
              <w:left w:val="single" w:color="auto" w:sz="4" w:space="0"/>
              <w:bottom w:val="single" w:color="auto" w:sz="4" w:space="0"/>
              <w:right w:val="single" w:color="auto" w:sz="4" w:space="0"/>
            </w:tcBorders>
            <w:vAlign w:val="center"/>
          </w:tcPr>
          <w:p w14:paraId="498E5189">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各级质量管理人员齐全，保证措施合理。根据投标人质量保证措施进行打分：</w:t>
            </w:r>
          </w:p>
          <w:p w14:paraId="4080678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各级质量管理人员齐全，保证措施合理、可行性强的得9分；</w:t>
            </w:r>
          </w:p>
          <w:p w14:paraId="0D94C794">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各级质量管理人员基本齐全，保证措施基本合理、基本可行的得6分；</w:t>
            </w:r>
          </w:p>
          <w:p w14:paraId="2A259E89">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各级质量管理人员不够齐全，保证措施不够合理、可行性一般的得3分；</w:t>
            </w:r>
          </w:p>
          <w:p w14:paraId="53A7975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646F2A7F">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9分</w:t>
            </w:r>
          </w:p>
        </w:tc>
      </w:tr>
      <w:tr w14:paraId="61DAB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5E043B47">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20139BCF">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合理化建议</w:t>
            </w:r>
          </w:p>
        </w:tc>
        <w:tc>
          <w:tcPr>
            <w:tcW w:w="6263" w:type="dxa"/>
            <w:tcBorders>
              <w:top w:val="single" w:color="auto" w:sz="4" w:space="0"/>
              <w:left w:val="single" w:color="auto" w:sz="4" w:space="0"/>
              <w:bottom w:val="single" w:color="auto" w:sz="4" w:space="0"/>
              <w:right w:val="single" w:color="auto" w:sz="4" w:space="0"/>
            </w:tcBorders>
            <w:vAlign w:val="center"/>
          </w:tcPr>
          <w:p w14:paraId="375C43A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对项目实施过程中对专题资料收集、技术路线设置、精度质量保证方面提出合理化建议。根据建议的科学性、合理性、规范性和可操作性进行综合评分。</w:t>
            </w:r>
          </w:p>
          <w:p w14:paraId="62BFC32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建议科学合理、可行性强的得9分；</w:t>
            </w:r>
          </w:p>
          <w:p w14:paraId="463D30EB">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建议基本科学合理、基本可行的得6分；</w:t>
            </w:r>
          </w:p>
          <w:p w14:paraId="120101D4">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建议不够科学合理、可行性一般的得3分；</w:t>
            </w:r>
          </w:p>
          <w:p w14:paraId="05729AEA">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02152059">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9分</w:t>
            </w:r>
          </w:p>
        </w:tc>
      </w:tr>
      <w:tr w14:paraId="7AE3F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55" w:type="dxa"/>
            <w:vMerge w:val="continue"/>
            <w:tcBorders>
              <w:left w:val="single" w:color="auto" w:sz="4" w:space="0"/>
              <w:right w:val="single" w:color="auto" w:sz="4" w:space="0"/>
            </w:tcBorders>
            <w:vAlign w:val="center"/>
          </w:tcPr>
          <w:p w14:paraId="3F5F48FD">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0E113A09">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安全生产措施</w:t>
            </w:r>
          </w:p>
        </w:tc>
        <w:tc>
          <w:tcPr>
            <w:tcW w:w="6263" w:type="dxa"/>
            <w:tcBorders>
              <w:top w:val="single" w:color="auto" w:sz="4" w:space="0"/>
              <w:left w:val="single" w:color="auto" w:sz="4" w:space="0"/>
              <w:bottom w:val="single" w:color="auto" w:sz="4" w:space="0"/>
              <w:right w:val="single" w:color="auto" w:sz="4" w:space="0"/>
            </w:tcBorders>
            <w:vAlign w:val="center"/>
          </w:tcPr>
          <w:p w14:paraId="791B2E6C">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对项目进行安全生产管理管理，根据投标人的安全生产措施进行打分：</w:t>
            </w:r>
          </w:p>
          <w:p w14:paraId="0789F43F">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安全生产到位、措施科学合理、可行性强的得6分；</w:t>
            </w:r>
          </w:p>
          <w:p w14:paraId="579F3A2B">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安全生产到位、措施基本科学合理、基本可行的得3分；</w:t>
            </w:r>
          </w:p>
          <w:p w14:paraId="6EC561D3">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安全生产不够到位、措施不够科学合理、可行性一般的得1分；</w:t>
            </w:r>
          </w:p>
          <w:p w14:paraId="4990880B">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43EFA4CF">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6分</w:t>
            </w:r>
          </w:p>
        </w:tc>
      </w:tr>
      <w:tr w14:paraId="3BA8F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8" w:hRule="atLeast"/>
        </w:trPr>
        <w:tc>
          <w:tcPr>
            <w:tcW w:w="1155" w:type="dxa"/>
            <w:vMerge w:val="continue"/>
            <w:tcBorders>
              <w:left w:val="single" w:color="auto" w:sz="4" w:space="0"/>
              <w:right w:val="single" w:color="auto" w:sz="4" w:space="0"/>
            </w:tcBorders>
            <w:vAlign w:val="center"/>
          </w:tcPr>
          <w:p w14:paraId="5558B627">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2FE5E3C5">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数据安全及保密措施</w:t>
            </w:r>
          </w:p>
        </w:tc>
        <w:tc>
          <w:tcPr>
            <w:tcW w:w="6263" w:type="dxa"/>
            <w:tcBorders>
              <w:top w:val="single" w:color="auto" w:sz="4" w:space="0"/>
              <w:left w:val="single" w:color="auto" w:sz="4" w:space="0"/>
              <w:bottom w:val="single" w:color="auto" w:sz="4" w:space="0"/>
              <w:right w:val="single" w:color="auto" w:sz="4" w:space="0"/>
            </w:tcBorders>
            <w:vAlign w:val="center"/>
          </w:tcPr>
          <w:p w14:paraId="49DE9D6F">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对项目实施中数据安全及保密管理，根据投标人的数据安全及保密管理措施进行打分：</w:t>
            </w:r>
          </w:p>
          <w:p w14:paraId="7772E115">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数据安全及保密方案到位、措施科学合理、可行性强的得6分；</w:t>
            </w:r>
          </w:p>
          <w:p w14:paraId="1FBD3A7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数据安全及保密方案基本到位、措施基本科学合理、基本可行的得3分；</w:t>
            </w:r>
          </w:p>
          <w:p w14:paraId="114FDBBE">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数据安全及保密方案不够到位、措施不够科学合理、可行性一般的得1分；</w:t>
            </w:r>
          </w:p>
          <w:p w14:paraId="6F38A34A">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62DEB60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6分</w:t>
            </w:r>
          </w:p>
        </w:tc>
      </w:tr>
      <w:tr w14:paraId="65525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trPr>
        <w:tc>
          <w:tcPr>
            <w:tcW w:w="1155" w:type="dxa"/>
            <w:vMerge w:val="continue"/>
            <w:tcBorders>
              <w:left w:val="single" w:color="auto" w:sz="4" w:space="0"/>
              <w:right w:val="single" w:color="auto" w:sz="4" w:space="0"/>
            </w:tcBorders>
            <w:vAlign w:val="center"/>
          </w:tcPr>
          <w:p w14:paraId="713759E4">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bottom w:val="single" w:color="auto" w:sz="4" w:space="0"/>
              <w:right w:val="single" w:color="auto" w:sz="4" w:space="0"/>
            </w:tcBorders>
            <w:vAlign w:val="center"/>
          </w:tcPr>
          <w:p w14:paraId="7BBEA603">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售后服务方案</w:t>
            </w:r>
          </w:p>
        </w:tc>
        <w:tc>
          <w:tcPr>
            <w:tcW w:w="6263" w:type="dxa"/>
            <w:tcBorders>
              <w:top w:val="single" w:color="auto" w:sz="4" w:space="0"/>
              <w:left w:val="single" w:color="auto" w:sz="4" w:space="0"/>
              <w:bottom w:val="single" w:color="auto" w:sz="4" w:space="0"/>
              <w:right w:val="single" w:color="auto" w:sz="4" w:space="0"/>
            </w:tcBorders>
            <w:vAlign w:val="center"/>
          </w:tcPr>
          <w:p w14:paraId="2C1B714D">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根据供应商针对本项目的售后服务方案(包括但不限于:售后服务方案、售后服务承诺落实的保障措施、后续技术支持、维护能力情况)进行综合评分。</w:t>
            </w:r>
          </w:p>
          <w:p w14:paraId="1B1600B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方案中有上述内容，方案完整详细、科学合理、内容全面具体、实用性强，符合实际，完全满足采购需求的得</w:t>
            </w:r>
            <w:r>
              <w:rPr>
                <w:rFonts w:hint="eastAsia" w:asciiTheme="majorEastAsia" w:hAnsiTheme="majorEastAsia" w:eastAsiaTheme="majorEastAsia" w:cstheme="majorEastAsia"/>
                <w:color w:val="auto"/>
                <w:szCs w:val="21"/>
                <w:lang w:val="en-US" w:eastAsia="zh-CN"/>
              </w:rPr>
              <w:t>6</w:t>
            </w:r>
            <w:r>
              <w:rPr>
                <w:rFonts w:hint="eastAsia" w:asciiTheme="majorEastAsia" w:hAnsiTheme="majorEastAsia" w:eastAsiaTheme="majorEastAsia" w:cstheme="majorEastAsia"/>
                <w:color w:val="auto"/>
                <w:szCs w:val="21"/>
              </w:rPr>
              <w:t>分;</w:t>
            </w:r>
          </w:p>
          <w:p w14:paraId="76DE934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方案基本完整详细、科学合理、内容基本全面具体、实用性强，基本符合实际，基本满足采购需求的得</w:t>
            </w:r>
            <w:r>
              <w:rPr>
                <w:rFonts w:hint="eastAsia" w:asciiTheme="majorEastAsia" w:hAnsiTheme="majorEastAsia" w:eastAsiaTheme="majorEastAsia" w:cstheme="majorEastAsia"/>
                <w:color w:val="auto"/>
                <w:szCs w:val="21"/>
                <w:lang w:val="en-US" w:eastAsia="zh-CN"/>
              </w:rPr>
              <w:t>3</w:t>
            </w:r>
            <w:r>
              <w:rPr>
                <w:rFonts w:hint="eastAsia" w:asciiTheme="majorEastAsia" w:hAnsiTheme="majorEastAsia" w:eastAsiaTheme="majorEastAsia" w:cstheme="majorEastAsia"/>
                <w:color w:val="auto"/>
                <w:szCs w:val="21"/>
              </w:rPr>
              <w:t>分;</w:t>
            </w:r>
          </w:p>
          <w:p w14:paraId="43D527FA">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方案不够完整详细、内容不够全面具体、实用性一般的得1分;</w:t>
            </w:r>
          </w:p>
          <w:p w14:paraId="02D690A0">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方案编制有重大偏离的或没有内容的不得分。</w:t>
            </w:r>
          </w:p>
        </w:tc>
        <w:tc>
          <w:tcPr>
            <w:tcW w:w="1064" w:type="dxa"/>
            <w:tcBorders>
              <w:top w:val="single" w:color="auto" w:sz="4" w:space="0"/>
              <w:left w:val="single" w:color="auto" w:sz="4" w:space="0"/>
              <w:bottom w:val="single" w:color="auto" w:sz="4" w:space="0"/>
              <w:right w:val="single" w:color="auto" w:sz="4" w:space="0"/>
            </w:tcBorders>
            <w:vAlign w:val="center"/>
          </w:tcPr>
          <w:p w14:paraId="0BEF7570">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6</w:t>
            </w:r>
            <w:r>
              <w:rPr>
                <w:rFonts w:hint="eastAsia" w:asciiTheme="majorEastAsia" w:hAnsiTheme="majorEastAsia" w:eastAsiaTheme="majorEastAsia" w:cstheme="majorEastAsia"/>
                <w:color w:val="auto"/>
                <w:szCs w:val="21"/>
              </w:rPr>
              <w:t>分</w:t>
            </w:r>
          </w:p>
        </w:tc>
      </w:tr>
      <w:tr w14:paraId="21710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0" w:hRule="atLeast"/>
        </w:trPr>
        <w:tc>
          <w:tcPr>
            <w:tcW w:w="1155" w:type="dxa"/>
            <w:vMerge w:val="restart"/>
            <w:tcBorders>
              <w:top w:val="single" w:color="auto" w:sz="4" w:space="0"/>
              <w:left w:val="single" w:color="auto" w:sz="4" w:space="0"/>
              <w:right w:val="single" w:color="auto" w:sz="4" w:space="0"/>
            </w:tcBorders>
            <w:vAlign w:val="center"/>
          </w:tcPr>
          <w:p w14:paraId="68A01FB1">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商务部分（</w:t>
            </w:r>
            <w:r>
              <w:rPr>
                <w:rFonts w:hint="eastAsia" w:asciiTheme="majorEastAsia" w:hAnsiTheme="majorEastAsia" w:eastAsiaTheme="majorEastAsia" w:cstheme="majorEastAsia"/>
                <w:color w:val="auto"/>
                <w:szCs w:val="21"/>
                <w:lang w:val="en-US" w:eastAsia="zh-CN"/>
              </w:rPr>
              <w:t>29</w:t>
            </w:r>
            <w:r>
              <w:rPr>
                <w:rFonts w:hint="eastAsia" w:asciiTheme="majorEastAsia" w:hAnsiTheme="majorEastAsia" w:eastAsiaTheme="majorEastAsia" w:cstheme="majorEastAsia"/>
                <w:color w:val="auto"/>
                <w:szCs w:val="21"/>
              </w:rPr>
              <w:t>分）</w:t>
            </w:r>
          </w:p>
        </w:tc>
        <w:tc>
          <w:tcPr>
            <w:tcW w:w="1426" w:type="dxa"/>
            <w:tcBorders>
              <w:top w:val="single" w:color="auto" w:sz="4" w:space="0"/>
              <w:left w:val="single" w:color="auto" w:sz="4" w:space="0"/>
              <w:right w:val="single" w:color="auto" w:sz="4" w:space="0"/>
            </w:tcBorders>
            <w:vAlign w:val="center"/>
          </w:tcPr>
          <w:p w14:paraId="352D4AAE">
            <w:pPr>
              <w:spacing w:line="400" w:lineRule="exact"/>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拟投入项目</w:t>
            </w:r>
          </w:p>
          <w:p w14:paraId="0702E76C">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人员</w:t>
            </w:r>
          </w:p>
        </w:tc>
        <w:tc>
          <w:tcPr>
            <w:tcW w:w="6263" w:type="dxa"/>
            <w:tcBorders>
              <w:top w:val="single" w:color="auto" w:sz="4" w:space="0"/>
              <w:left w:val="single" w:color="auto" w:sz="4" w:space="0"/>
              <w:right w:val="single" w:color="auto" w:sz="4" w:space="0"/>
            </w:tcBorders>
            <w:vAlign w:val="center"/>
          </w:tcPr>
          <w:p w14:paraId="669E0F26">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1.</w:t>
            </w:r>
            <w:r>
              <w:rPr>
                <w:rFonts w:hint="eastAsia" w:asciiTheme="majorEastAsia" w:hAnsiTheme="majorEastAsia" w:eastAsiaTheme="majorEastAsia" w:cstheme="majorEastAsia"/>
                <w:color w:val="auto"/>
                <w:szCs w:val="21"/>
              </w:rPr>
              <w:t>项目负责人具备测绘类高级及以上工程师资质证书的，得2分；具备测绘类中级工程师资质证书的，得1分；具备注册测绘师资格证书的，得</w:t>
            </w:r>
            <w:r>
              <w:rPr>
                <w:rFonts w:hint="eastAsia" w:asciiTheme="majorEastAsia" w:hAnsiTheme="majorEastAsia" w:eastAsiaTheme="majorEastAsia" w:cstheme="majorEastAsia"/>
                <w:color w:val="auto"/>
                <w:szCs w:val="21"/>
                <w:lang w:val="en-US" w:eastAsia="zh-CN"/>
              </w:rPr>
              <w:t>2</w:t>
            </w:r>
            <w:r>
              <w:rPr>
                <w:rFonts w:hint="eastAsia" w:asciiTheme="majorEastAsia" w:hAnsiTheme="majorEastAsia" w:eastAsiaTheme="majorEastAsia" w:cstheme="majorEastAsia"/>
                <w:color w:val="auto"/>
                <w:szCs w:val="21"/>
              </w:rPr>
              <w:t>分</w:t>
            </w:r>
            <w:r>
              <w:rPr>
                <w:rFonts w:hint="eastAsia" w:asciiTheme="majorEastAsia" w:hAnsiTheme="majorEastAsia" w:eastAsiaTheme="majorEastAsia" w:cstheme="majorEastAsia"/>
                <w:color w:val="auto"/>
                <w:szCs w:val="21"/>
                <w:lang w:eastAsia="zh-CN"/>
              </w:rPr>
              <w:t>，</w:t>
            </w:r>
            <w:r>
              <w:rPr>
                <w:rFonts w:hint="eastAsia" w:asciiTheme="majorEastAsia" w:hAnsiTheme="majorEastAsia" w:eastAsiaTheme="majorEastAsia" w:cstheme="majorEastAsia"/>
                <w:color w:val="auto"/>
                <w:szCs w:val="21"/>
              </w:rPr>
              <w:t>最高得4分</w:t>
            </w:r>
            <w:r>
              <w:rPr>
                <w:rFonts w:hint="eastAsia" w:asciiTheme="majorEastAsia" w:hAnsiTheme="majorEastAsia" w:eastAsiaTheme="majorEastAsia" w:cstheme="majorEastAsia"/>
                <w:color w:val="auto"/>
                <w:szCs w:val="21"/>
                <w:lang w:eastAsia="zh-CN"/>
              </w:rPr>
              <w:t>。</w:t>
            </w:r>
          </w:p>
          <w:p w14:paraId="239D3FD7">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lang w:val="en-US" w:eastAsia="zh-CN"/>
              </w:rPr>
              <w:t>2.技术负责人（除项目负责人）</w:t>
            </w:r>
            <w:r>
              <w:rPr>
                <w:rFonts w:hint="eastAsia" w:asciiTheme="majorEastAsia" w:hAnsiTheme="majorEastAsia" w:eastAsiaTheme="majorEastAsia" w:cstheme="majorEastAsia"/>
                <w:color w:val="auto"/>
                <w:szCs w:val="21"/>
              </w:rPr>
              <w:t>具备测绘类高级及以上工程师资质证书的，得2分；具备测绘类中级工程师资质证书的，得1分；具备注册测绘师资格证书的，得</w:t>
            </w:r>
            <w:r>
              <w:rPr>
                <w:rFonts w:hint="eastAsia" w:asciiTheme="majorEastAsia" w:hAnsiTheme="majorEastAsia" w:eastAsiaTheme="majorEastAsia" w:cstheme="majorEastAsia"/>
                <w:color w:val="auto"/>
                <w:szCs w:val="21"/>
                <w:lang w:val="en-US" w:eastAsia="zh-CN"/>
              </w:rPr>
              <w:t>2</w:t>
            </w:r>
            <w:r>
              <w:rPr>
                <w:rFonts w:hint="eastAsia" w:asciiTheme="majorEastAsia" w:hAnsiTheme="majorEastAsia" w:eastAsiaTheme="majorEastAsia" w:cstheme="majorEastAsia"/>
                <w:color w:val="auto"/>
                <w:szCs w:val="21"/>
              </w:rPr>
              <w:t>分</w:t>
            </w:r>
            <w:r>
              <w:rPr>
                <w:rFonts w:hint="eastAsia" w:asciiTheme="majorEastAsia" w:hAnsiTheme="majorEastAsia" w:eastAsiaTheme="majorEastAsia" w:cstheme="majorEastAsia"/>
                <w:color w:val="auto"/>
                <w:szCs w:val="21"/>
                <w:lang w:eastAsia="zh-CN"/>
              </w:rPr>
              <w:t>，</w:t>
            </w:r>
            <w:r>
              <w:rPr>
                <w:rFonts w:hint="eastAsia" w:asciiTheme="majorEastAsia" w:hAnsiTheme="majorEastAsia" w:eastAsiaTheme="majorEastAsia" w:cstheme="majorEastAsia"/>
                <w:color w:val="auto"/>
                <w:szCs w:val="21"/>
              </w:rPr>
              <w:t>最高得4分</w:t>
            </w:r>
            <w:r>
              <w:rPr>
                <w:rFonts w:hint="eastAsia" w:asciiTheme="majorEastAsia" w:hAnsiTheme="majorEastAsia" w:eastAsiaTheme="majorEastAsia" w:cstheme="majorEastAsia"/>
                <w:color w:val="auto"/>
                <w:szCs w:val="21"/>
                <w:lang w:eastAsia="zh-CN"/>
              </w:rPr>
              <w:t>。</w:t>
            </w:r>
          </w:p>
          <w:p w14:paraId="0F3B79F1">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3.项目组成员中</w:t>
            </w:r>
            <w:r>
              <w:rPr>
                <w:rFonts w:hint="eastAsia" w:asciiTheme="majorEastAsia" w:hAnsiTheme="majorEastAsia" w:eastAsiaTheme="majorEastAsia" w:cstheme="majorEastAsia"/>
                <w:color w:val="auto"/>
                <w:szCs w:val="21"/>
                <w:lang w:eastAsia="zh-CN"/>
              </w:rPr>
              <w:t>（</w:t>
            </w:r>
            <w:r>
              <w:rPr>
                <w:rFonts w:hint="eastAsia" w:asciiTheme="majorEastAsia" w:hAnsiTheme="majorEastAsia" w:eastAsiaTheme="majorEastAsia" w:cstheme="majorEastAsia"/>
                <w:color w:val="auto"/>
                <w:szCs w:val="21"/>
                <w:lang w:val="en-US" w:eastAsia="zh-CN"/>
              </w:rPr>
              <w:t>除项目负责人、技术负责人</w:t>
            </w:r>
            <w:r>
              <w:rPr>
                <w:rFonts w:hint="eastAsia" w:asciiTheme="majorEastAsia" w:hAnsiTheme="majorEastAsia" w:eastAsiaTheme="majorEastAsia" w:cstheme="majorEastAsia"/>
                <w:color w:val="auto"/>
                <w:szCs w:val="21"/>
                <w:lang w:eastAsia="zh-CN"/>
              </w:rPr>
              <w:t>）</w:t>
            </w:r>
            <w:r>
              <w:rPr>
                <w:rFonts w:hint="eastAsia" w:asciiTheme="majorEastAsia" w:hAnsiTheme="majorEastAsia" w:eastAsiaTheme="majorEastAsia" w:cstheme="majorEastAsia"/>
                <w:color w:val="auto"/>
                <w:szCs w:val="21"/>
              </w:rPr>
              <w:t>具备测绘或土地高级工程师5人及以上的，得5分；3—5人的，得</w:t>
            </w:r>
            <w:r>
              <w:rPr>
                <w:rFonts w:hint="eastAsia" w:asciiTheme="majorEastAsia" w:hAnsiTheme="majorEastAsia" w:eastAsiaTheme="majorEastAsia" w:cstheme="majorEastAsia"/>
                <w:color w:val="auto"/>
                <w:szCs w:val="21"/>
                <w:lang w:val="en-US" w:eastAsia="zh-CN"/>
              </w:rPr>
              <w:t>3</w:t>
            </w:r>
            <w:r>
              <w:rPr>
                <w:rFonts w:hint="eastAsia" w:asciiTheme="majorEastAsia" w:hAnsiTheme="majorEastAsia" w:eastAsiaTheme="majorEastAsia" w:cstheme="majorEastAsia"/>
                <w:color w:val="auto"/>
                <w:szCs w:val="21"/>
              </w:rPr>
              <w:t>分；1-2人的，得</w:t>
            </w:r>
            <w:r>
              <w:rPr>
                <w:rFonts w:hint="eastAsia" w:asciiTheme="majorEastAsia" w:hAnsiTheme="majorEastAsia" w:eastAsiaTheme="majorEastAsia" w:cstheme="majorEastAsia"/>
                <w:color w:val="auto"/>
                <w:szCs w:val="21"/>
                <w:lang w:val="en-US" w:eastAsia="zh-CN"/>
              </w:rPr>
              <w:t>2</w:t>
            </w:r>
            <w:r>
              <w:rPr>
                <w:rFonts w:hint="eastAsia" w:asciiTheme="majorEastAsia" w:hAnsiTheme="majorEastAsia" w:eastAsiaTheme="majorEastAsia" w:cstheme="majorEastAsia"/>
                <w:color w:val="auto"/>
                <w:szCs w:val="21"/>
              </w:rPr>
              <w:t>分。</w:t>
            </w:r>
          </w:p>
          <w:p w14:paraId="378CD214">
            <w:pPr>
              <w:spacing w:line="400" w:lineRule="exact"/>
              <w:ind w:firstLine="211" w:firstLineChars="100"/>
              <w:rPr>
                <w:rFonts w:hint="eastAsia" w:asciiTheme="majorEastAsia" w:hAnsiTheme="majorEastAsia" w:eastAsiaTheme="majorEastAsia" w:cstheme="majorEastAsia"/>
                <w:b/>
                <w:bCs/>
                <w:color w:val="auto"/>
                <w:szCs w:val="21"/>
              </w:rPr>
            </w:pPr>
            <w:r>
              <w:rPr>
                <w:rFonts w:hint="eastAsia" w:asciiTheme="majorEastAsia" w:hAnsiTheme="majorEastAsia" w:eastAsiaTheme="majorEastAsia" w:cstheme="majorEastAsia"/>
                <w:b/>
                <w:bCs/>
                <w:color w:val="auto"/>
                <w:szCs w:val="21"/>
              </w:rPr>
              <w:t>以上人员不得重复计分</w:t>
            </w:r>
          </w:p>
          <w:p w14:paraId="5B14614F">
            <w:pPr>
              <w:spacing w:line="400" w:lineRule="exact"/>
              <w:ind w:firstLine="211"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b/>
                <w:bCs/>
                <w:color w:val="auto"/>
                <w:szCs w:val="21"/>
              </w:rPr>
              <w:t>注：项目团队成员需为投标人正式员工，投标时提供证书扫描件及投标人承诺其为本单位正式员工的承诺函（格式自拟），不提供不得分。</w:t>
            </w:r>
          </w:p>
        </w:tc>
        <w:tc>
          <w:tcPr>
            <w:tcW w:w="1064" w:type="dxa"/>
            <w:tcBorders>
              <w:top w:val="single" w:color="auto" w:sz="4" w:space="0"/>
              <w:left w:val="single" w:color="auto" w:sz="4" w:space="0"/>
              <w:bottom w:val="single" w:color="auto" w:sz="4" w:space="0"/>
              <w:right w:val="single" w:color="auto" w:sz="4" w:space="0"/>
            </w:tcBorders>
            <w:vAlign w:val="center"/>
          </w:tcPr>
          <w:p w14:paraId="2D6377C4">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13分</w:t>
            </w:r>
          </w:p>
        </w:tc>
      </w:tr>
      <w:tr w14:paraId="64DB20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0" w:hRule="atLeast"/>
        </w:trPr>
        <w:tc>
          <w:tcPr>
            <w:tcW w:w="1155" w:type="dxa"/>
            <w:vMerge w:val="continue"/>
            <w:tcBorders>
              <w:left w:val="single" w:color="auto" w:sz="4" w:space="0"/>
              <w:right w:val="single" w:color="auto" w:sz="4" w:space="0"/>
            </w:tcBorders>
            <w:vAlign w:val="center"/>
          </w:tcPr>
          <w:p w14:paraId="405832EC">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top w:val="single" w:color="auto" w:sz="4" w:space="0"/>
              <w:left w:val="single" w:color="auto" w:sz="4" w:space="0"/>
              <w:right w:val="single" w:color="auto" w:sz="4" w:space="0"/>
            </w:tcBorders>
            <w:vAlign w:val="center"/>
          </w:tcPr>
          <w:p w14:paraId="31AFDC1F">
            <w:pPr>
              <w:spacing w:line="420" w:lineRule="exact"/>
              <w:jc w:val="center"/>
              <w:rPr>
                <w:rFonts w:hint="eastAsia" w:asciiTheme="majorEastAsia" w:hAnsiTheme="majorEastAsia" w:eastAsiaTheme="majorEastAsia" w:cstheme="majorEastAsia"/>
                <w:color w:val="auto"/>
                <w:szCs w:val="21"/>
              </w:rPr>
            </w:pPr>
            <w:r>
              <w:rPr>
                <w:rFonts w:hint="eastAsia" w:ascii="宋体" w:hAnsi="宋体" w:cs="宋体"/>
                <w:color w:val="auto"/>
              </w:rPr>
              <w:t>获奖状况</w:t>
            </w:r>
          </w:p>
        </w:tc>
        <w:tc>
          <w:tcPr>
            <w:tcW w:w="6263" w:type="dxa"/>
            <w:tcBorders>
              <w:top w:val="single" w:color="auto" w:sz="4" w:space="0"/>
              <w:left w:val="single" w:color="auto" w:sz="4" w:space="0"/>
              <w:bottom w:val="single" w:color="auto" w:sz="4" w:space="0"/>
              <w:right w:val="single" w:color="auto" w:sz="4" w:space="0"/>
            </w:tcBorders>
            <w:vAlign w:val="center"/>
          </w:tcPr>
          <w:p w14:paraId="375DFEAB">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1.投标人获得</w:t>
            </w:r>
            <w:r>
              <w:rPr>
                <w:rFonts w:hint="eastAsia" w:asciiTheme="majorEastAsia" w:hAnsiTheme="majorEastAsia" w:eastAsiaTheme="majorEastAsia" w:cstheme="majorEastAsia"/>
                <w:color w:val="auto"/>
                <w:szCs w:val="21"/>
                <w:lang w:val="en-US" w:eastAsia="zh-CN"/>
              </w:rPr>
              <w:t>过</w:t>
            </w:r>
            <w:r>
              <w:rPr>
                <w:rFonts w:hint="eastAsia" w:asciiTheme="majorEastAsia" w:hAnsiTheme="majorEastAsia" w:eastAsiaTheme="majorEastAsia" w:cstheme="majorEastAsia"/>
                <w:color w:val="auto"/>
                <w:szCs w:val="21"/>
              </w:rPr>
              <w:t>自然资源科学技术奖或地理信息科技进步奖的，有1个得</w:t>
            </w:r>
            <w:r>
              <w:rPr>
                <w:rFonts w:hint="eastAsia" w:asciiTheme="majorEastAsia" w:hAnsiTheme="majorEastAsia" w:eastAsiaTheme="majorEastAsia" w:cstheme="majorEastAsia"/>
                <w:color w:val="auto"/>
                <w:szCs w:val="21"/>
                <w:lang w:val="en-US" w:eastAsia="zh-CN"/>
              </w:rPr>
              <w:t>1</w:t>
            </w:r>
            <w:r>
              <w:rPr>
                <w:rFonts w:hint="eastAsia" w:asciiTheme="majorEastAsia" w:hAnsiTheme="majorEastAsia" w:eastAsiaTheme="majorEastAsia" w:cstheme="majorEastAsia"/>
                <w:color w:val="auto"/>
                <w:szCs w:val="21"/>
              </w:rPr>
              <w:t>分，最高得</w:t>
            </w:r>
            <w:r>
              <w:rPr>
                <w:rFonts w:hint="eastAsia" w:asciiTheme="majorEastAsia" w:hAnsiTheme="majorEastAsia" w:eastAsiaTheme="majorEastAsia" w:cstheme="majorEastAsia"/>
                <w:color w:val="auto"/>
                <w:szCs w:val="21"/>
                <w:lang w:val="en-US" w:eastAsia="zh-CN"/>
              </w:rPr>
              <w:t>2</w:t>
            </w:r>
            <w:r>
              <w:rPr>
                <w:rFonts w:hint="eastAsia" w:asciiTheme="majorEastAsia" w:hAnsiTheme="majorEastAsia" w:eastAsiaTheme="majorEastAsia" w:cstheme="majorEastAsia"/>
                <w:color w:val="auto"/>
                <w:szCs w:val="21"/>
              </w:rPr>
              <w:t>分；没有不得分；</w:t>
            </w:r>
          </w:p>
          <w:p w14:paraId="197237DF">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2.投标人获得</w:t>
            </w:r>
            <w:r>
              <w:rPr>
                <w:rFonts w:hint="eastAsia" w:asciiTheme="majorEastAsia" w:hAnsiTheme="majorEastAsia" w:eastAsiaTheme="majorEastAsia" w:cstheme="majorEastAsia"/>
                <w:color w:val="auto"/>
                <w:szCs w:val="21"/>
                <w:lang w:val="en-US" w:eastAsia="zh-CN"/>
              </w:rPr>
              <w:t>过</w:t>
            </w:r>
            <w:r>
              <w:rPr>
                <w:rFonts w:hint="eastAsia" w:asciiTheme="majorEastAsia" w:hAnsiTheme="majorEastAsia" w:eastAsiaTheme="majorEastAsia" w:cstheme="majorEastAsia"/>
                <w:color w:val="auto"/>
                <w:szCs w:val="21"/>
              </w:rPr>
              <w:t>国家级优秀测绘地理信息工程奖、地理信息产业优秀工程奖的，有1个得</w:t>
            </w:r>
            <w:r>
              <w:rPr>
                <w:rFonts w:hint="eastAsia" w:asciiTheme="majorEastAsia" w:hAnsiTheme="majorEastAsia" w:eastAsiaTheme="majorEastAsia" w:cstheme="majorEastAsia"/>
                <w:color w:val="auto"/>
                <w:szCs w:val="21"/>
                <w:lang w:val="en-US" w:eastAsia="zh-CN"/>
              </w:rPr>
              <w:t>1</w:t>
            </w:r>
            <w:r>
              <w:rPr>
                <w:rFonts w:hint="eastAsia" w:asciiTheme="majorEastAsia" w:hAnsiTheme="majorEastAsia" w:eastAsiaTheme="majorEastAsia" w:cstheme="majorEastAsia"/>
                <w:color w:val="auto"/>
                <w:szCs w:val="21"/>
              </w:rPr>
              <w:t>分，最高得</w:t>
            </w:r>
            <w:r>
              <w:rPr>
                <w:rFonts w:hint="eastAsia" w:asciiTheme="majorEastAsia" w:hAnsiTheme="majorEastAsia" w:eastAsiaTheme="majorEastAsia" w:cstheme="majorEastAsia"/>
                <w:color w:val="auto"/>
                <w:szCs w:val="21"/>
                <w:lang w:val="en-US" w:eastAsia="zh-CN"/>
              </w:rPr>
              <w:t>2</w:t>
            </w:r>
            <w:r>
              <w:rPr>
                <w:rFonts w:hint="eastAsia" w:asciiTheme="majorEastAsia" w:hAnsiTheme="majorEastAsia" w:eastAsiaTheme="majorEastAsia" w:cstheme="majorEastAsia"/>
                <w:color w:val="auto"/>
                <w:szCs w:val="21"/>
              </w:rPr>
              <w:t>分；没有不得分；</w:t>
            </w:r>
          </w:p>
          <w:p w14:paraId="2206BEC8">
            <w:pPr>
              <w:spacing w:line="400" w:lineRule="exact"/>
              <w:ind w:firstLine="210" w:firstLineChars="100"/>
              <w:rPr>
                <w:rFonts w:hint="eastAsia" w:asciiTheme="majorEastAsia" w:hAnsiTheme="majorEastAsia" w:eastAsiaTheme="majorEastAsia" w:cstheme="majorEastAsia"/>
                <w:color w:val="auto"/>
                <w:szCs w:val="21"/>
              </w:rPr>
            </w:pPr>
            <w:r>
              <w:rPr>
                <w:rFonts w:hint="eastAsia" w:asciiTheme="majorEastAsia" w:hAnsiTheme="majorEastAsia" w:eastAsiaTheme="majorEastAsia" w:cstheme="majorEastAsia"/>
                <w:color w:val="auto"/>
                <w:szCs w:val="21"/>
              </w:rPr>
              <w:t>3.投标人获得</w:t>
            </w:r>
            <w:r>
              <w:rPr>
                <w:rFonts w:hint="eastAsia" w:asciiTheme="majorEastAsia" w:hAnsiTheme="majorEastAsia" w:eastAsiaTheme="majorEastAsia" w:cstheme="majorEastAsia"/>
                <w:color w:val="auto"/>
                <w:szCs w:val="21"/>
                <w:lang w:val="en-US" w:eastAsia="zh-CN"/>
              </w:rPr>
              <w:t>过</w:t>
            </w:r>
            <w:r>
              <w:rPr>
                <w:rFonts w:hint="eastAsia" w:asciiTheme="majorEastAsia" w:hAnsiTheme="majorEastAsia" w:eastAsiaTheme="majorEastAsia" w:cstheme="majorEastAsia"/>
                <w:color w:val="auto"/>
                <w:szCs w:val="21"/>
              </w:rPr>
              <w:t>省土地学会科学技术奖的，有1个得</w:t>
            </w:r>
            <w:r>
              <w:rPr>
                <w:rFonts w:hint="eastAsia" w:asciiTheme="majorEastAsia" w:hAnsiTheme="majorEastAsia" w:eastAsiaTheme="majorEastAsia" w:cstheme="majorEastAsia"/>
                <w:color w:val="auto"/>
                <w:szCs w:val="21"/>
                <w:lang w:val="en-US" w:eastAsia="zh-CN"/>
              </w:rPr>
              <w:t>1</w:t>
            </w:r>
            <w:r>
              <w:rPr>
                <w:rFonts w:hint="eastAsia" w:asciiTheme="majorEastAsia" w:hAnsiTheme="majorEastAsia" w:eastAsiaTheme="majorEastAsia" w:cstheme="majorEastAsia"/>
                <w:color w:val="auto"/>
                <w:szCs w:val="21"/>
              </w:rPr>
              <w:t>分，最高得2分。没有不得分；</w:t>
            </w:r>
          </w:p>
          <w:p w14:paraId="093C0165">
            <w:pPr>
              <w:spacing w:line="400" w:lineRule="exact"/>
              <w:ind w:firstLine="211" w:firstLineChars="100"/>
              <w:rPr>
                <w:rFonts w:hint="eastAsia" w:asciiTheme="majorEastAsia" w:hAnsiTheme="majorEastAsia" w:eastAsiaTheme="majorEastAsia" w:cstheme="majorEastAsia"/>
                <w:b/>
                <w:bCs/>
                <w:color w:val="auto"/>
                <w:szCs w:val="21"/>
                <w:lang w:eastAsia="zh-CN"/>
              </w:rPr>
            </w:pPr>
            <w:r>
              <w:rPr>
                <w:rFonts w:hint="eastAsia" w:asciiTheme="majorEastAsia" w:hAnsiTheme="majorEastAsia" w:eastAsiaTheme="majorEastAsia" w:cstheme="majorEastAsia"/>
                <w:b/>
                <w:bCs/>
                <w:color w:val="auto"/>
                <w:szCs w:val="21"/>
              </w:rPr>
              <w:t>注：提供以上所有获奖证书扫描件</w:t>
            </w:r>
            <w:r>
              <w:rPr>
                <w:rFonts w:hint="eastAsia" w:asciiTheme="majorEastAsia" w:hAnsiTheme="majorEastAsia" w:eastAsiaTheme="majorEastAsia" w:cstheme="majorEastAsia"/>
                <w:b/>
                <w:bCs/>
                <w:color w:val="auto"/>
                <w:szCs w:val="21"/>
                <w:lang w:val="en-US" w:eastAsia="zh-CN"/>
              </w:rPr>
              <w:t>并加盖投标人公章，</w:t>
            </w:r>
            <w:r>
              <w:rPr>
                <w:rFonts w:hint="eastAsia" w:asciiTheme="majorEastAsia" w:hAnsiTheme="majorEastAsia" w:eastAsiaTheme="majorEastAsia" w:cstheme="majorEastAsia"/>
                <w:b/>
                <w:bCs/>
                <w:color w:val="auto"/>
                <w:szCs w:val="21"/>
              </w:rPr>
              <w:t>不重复计分。不提供不得分</w:t>
            </w:r>
            <w:r>
              <w:rPr>
                <w:rFonts w:hint="eastAsia" w:asciiTheme="majorEastAsia" w:hAnsiTheme="majorEastAsia" w:eastAsiaTheme="majorEastAsia" w:cstheme="majorEastAsia"/>
                <w:b/>
                <w:bCs/>
                <w:color w:val="auto"/>
                <w:szCs w:val="21"/>
                <w:lang w:eastAsia="zh-CN"/>
              </w:rPr>
              <w:t>。</w:t>
            </w:r>
          </w:p>
        </w:tc>
        <w:tc>
          <w:tcPr>
            <w:tcW w:w="1064" w:type="dxa"/>
            <w:tcBorders>
              <w:top w:val="single" w:color="auto" w:sz="4" w:space="0"/>
              <w:left w:val="single" w:color="auto" w:sz="4" w:space="0"/>
              <w:bottom w:val="single" w:color="auto" w:sz="4" w:space="0"/>
              <w:right w:val="single" w:color="auto" w:sz="4" w:space="0"/>
            </w:tcBorders>
            <w:vAlign w:val="center"/>
          </w:tcPr>
          <w:p w14:paraId="663A6FCA">
            <w:pPr>
              <w:spacing w:line="420" w:lineRule="exact"/>
              <w:jc w:val="center"/>
              <w:rPr>
                <w:rFonts w:hint="eastAsia" w:asciiTheme="majorEastAsia" w:hAnsiTheme="majorEastAsia" w:eastAsiaTheme="majorEastAsia" w:cstheme="majorEastAsia"/>
                <w:color w:val="auto"/>
                <w:szCs w:val="21"/>
                <w:lang w:eastAsia="zh-CN"/>
              </w:rPr>
            </w:pPr>
            <w:r>
              <w:rPr>
                <w:rFonts w:hint="eastAsia" w:ascii="宋体" w:hAnsi="宋体" w:cs="宋体" w:eastAsiaTheme="majorEastAsia"/>
                <w:color w:val="auto"/>
                <w:lang w:val="en-US" w:eastAsia="zh-CN"/>
              </w:rPr>
              <w:t>6</w:t>
            </w:r>
            <w:r>
              <w:rPr>
                <w:rFonts w:hint="eastAsia" w:asciiTheme="majorEastAsia" w:hAnsiTheme="majorEastAsia" w:eastAsiaTheme="majorEastAsia" w:cstheme="majorEastAsia"/>
                <w:color w:val="auto"/>
                <w:szCs w:val="21"/>
              </w:rPr>
              <w:t>分</w:t>
            </w:r>
          </w:p>
        </w:tc>
      </w:tr>
      <w:tr w14:paraId="38AE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2" w:hRule="atLeast"/>
        </w:trPr>
        <w:tc>
          <w:tcPr>
            <w:tcW w:w="1155" w:type="dxa"/>
            <w:vMerge w:val="continue"/>
            <w:tcBorders>
              <w:left w:val="single" w:color="auto" w:sz="4" w:space="0"/>
              <w:right w:val="single" w:color="auto" w:sz="4" w:space="0"/>
            </w:tcBorders>
            <w:vAlign w:val="center"/>
          </w:tcPr>
          <w:p w14:paraId="2F3CEF97">
            <w:pPr>
              <w:spacing w:line="400" w:lineRule="exact"/>
              <w:ind w:firstLine="210" w:firstLineChars="100"/>
              <w:rPr>
                <w:rFonts w:hint="eastAsia" w:asciiTheme="majorEastAsia" w:hAnsiTheme="majorEastAsia" w:eastAsiaTheme="majorEastAsia" w:cstheme="majorEastAsia"/>
                <w:color w:val="auto"/>
                <w:szCs w:val="21"/>
              </w:rPr>
            </w:pPr>
          </w:p>
        </w:tc>
        <w:tc>
          <w:tcPr>
            <w:tcW w:w="1426" w:type="dxa"/>
            <w:tcBorders>
              <w:left w:val="single" w:color="auto" w:sz="4" w:space="0"/>
              <w:right w:val="single" w:color="auto" w:sz="4" w:space="0"/>
            </w:tcBorders>
            <w:vAlign w:val="center"/>
          </w:tcPr>
          <w:p w14:paraId="49CC80A5">
            <w:pPr>
              <w:spacing w:line="400" w:lineRule="exact"/>
              <w:ind w:firstLine="210" w:firstLineChars="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业绩情况</w:t>
            </w:r>
          </w:p>
        </w:tc>
        <w:tc>
          <w:tcPr>
            <w:tcW w:w="6263" w:type="dxa"/>
            <w:tcBorders>
              <w:top w:val="single" w:color="auto" w:sz="4" w:space="0"/>
              <w:left w:val="single" w:color="auto" w:sz="4" w:space="0"/>
              <w:right w:val="single" w:color="auto" w:sz="4" w:space="0"/>
            </w:tcBorders>
            <w:vAlign w:val="center"/>
          </w:tcPr>
          <w:p w14:paraId="14EBA182">
            <w:pPr>
              <w:spacing w:line="400" w:lineRule="exact"/>
              <w:ind w:firstLine="210" w:firstLineChars="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rPr>
              <w:t>投标人承担过</w:t>
            </w:r>
            <w:r>
              <w:rPr>
                <w:rFonts w:hint="eastAsia" w:asciiTheme="majorEastAsia" w:hAnsiTheme="majorEastAsia" w:eastAsiaTheme="majorEastAsia" w:cstheme="majorEastAsia"/>
                <w:color w:val="auto"/>
                <w:szCs w:val="21"/>
                <w:highlight w:val="none"/>
                <w:lang w:val="en-US" w:eastAsia="zh-CN"/>
              </w:rPr>
              <w:t>类似</w:t>
            </w:r>
            <w:r>
              <w:rPr>
                <w:rFonts w:hint="eastAsia" w:asciiTheme="majorEastAsia" w:hAnsiTheme="majorEastAsia" w:eastAsiaTheme="majorEastAsia" w:cstheme="majorEastAsia"/>
                <w:color w:val="auto"/>
                <w:szCs w:val="21"/>
                <w:highlight w:val="none"/>
              </w:rPr>
              <w:t>项目的，有一个得2分，最高得</w:t>
            </w:r>
            <w:r>
              <w:rPr>
                <w:rFonts w:hint="eastAsia" w:asciiTheme="majorEastAsia" w:hAnsiTheme="majorEastAsia" w:eastAsiaTheme="majorEastAsia" w:cstheme="majorEastAsia"/>
                <w:color w:val="auto"/>
                <w:szCs w:val="21"/>
                <w:highlight w:val="none"/>
                <w:lang w:val="en-US" w:eastAsia="zh-CN"/>
              </w:rPr>
              <w:t>10</w:t>
            </w:r>
            <w:r>
              <w:rPr>
                <w:rFonts w:hint="eastAsia" w:asciiTheme="majorEastAsia" w:hAnsiTheme="majorEastAsia" w:eastAsiaTheme="majorEastAsia" w:cstheme="majorEastAsia"/>
                <w:color w:val="auto"/>
                <w:szCs w:val="21"/>
                <w:highlight w:val="none"/>
              </w:rPr>
              <w:t>分。</w:t>
            </w:r>
          </w:p>
          <w:p w14:paraId="3D95D90C">
            <w:pPr>
              <w:spacing w:line="400" w:lineRule="exact"/>
              <w:ind w:firstLine="211" w:firstLineChars="100"/>
              <w:rPr>
                <w:rFonts w:hint="eastAsia" w:asciiTheme="majorEastAsia" w:hAnsiTheme="majorEastAsia" w:eastAsiaTheme="majorEastAsia" w:cstheme="majorEastAsia"/>
                <w:color w:val="auto"/>
                <w:szCs w:val="21"/>
                <w:highlight w:val="none"/>
                <w:lang w:eastAsia="zh-CN"/>
              </w:rPr>
            </w:pPr>
            <w:r>
              <w:rPr>
                <w:rFonts w:hint="eastAsia" w:asciiTheme="majorEastAsia" w:hAnsiTheme="majorEastAsia" w:eastAsiaTheme="majorEastAsia" w:cstheme="majorEastAsia"/>
                <w:b/>
                <w:bCs/>
                <w:color w:val="auto"/>
                <w:szCs w:val="21"/>
                <w:highlight w:val="none"/>
                <w:lang w:val="en-US" w:eastAsia="zh-CN"/>
              </w:rPr>
              <w:t>注：</w:t>
            </w:r>
            <w:r>
              <w:rPr>
                <w:rFonts w:hint="eastAsia" w:asciiTheme="majorEastAsia" w:hAnsiTheme="majorEastAsia" w:eastAsiaTheme="majorEastAsia" w:cstheme="majorEastAsia"/>
                <w:b/>
                <w:bCs/>
                <w:color w:val="auto"/>
                <w:szCs w:val="21"/>
                <w:highlight w:val="none"/>
              </w:rPr>
              <w:t>提供以上业绩合同扫描件并加盖投标人公章，转包、分包合同无效，未按要求提供证明材料的不得分</w:t>
            </w:r>
            <w:r>
              <w:rPr>
                <w:rFonts w:hint="eastAsia" w:asciiTheme="majorEastAsia" w:hAnsiTheme="majorEastAsia" w:eastAsiaTheme="majorEastAsia" w:cstheme="majorEastAsia"/>
                <w:b/>
                <w:bCs/>
                <w:color w:val="auto"/>
                <w:szCs w:val="21"/>
                <w:highlight w:val="none"/>
                <w:lang w:eastAsia="zh-CN"/>
              </w:rPr>
              <w:t>。</w:t>
            </w:r>
          </w:p>
        </w:tc>
        <w:tc>
          <w:tcPr>
            <w:tcW w:w="1064" w:type="dxa"/>
            <w:tcBorders>
              <w:top w:val="single" w:color="auto" w:sz="4" w:space="0"/>
              <w:left w:val="single" w:color="auto" w:sz="4" w:space="0"/>
              <w:right w:val="single" w:color="auto" w:sz="4" w:space="0"/>
            </w:tcBorders>
            <w:vAlign w:val="center"/>
          </w:tcPr>
          <w:p w14:paraId="6AE0B248">
            <w:pPr>
              <w:spacing w:line="400" w:lineRule="exact"/>
              <w:ind w:firstLine="210" w:firstLineChars="100"/>
              <w:rPr>
                <w:rFonts w:hint="eastAsia" w:asciiTheme="majorEastAsia" w:hAnsiTheme="majorEastAsia" w:eastAsiaTheme="majorEastAsia" w:cstheme="majorEastAsia"/>
                <w:color w:val="auto"/>
                <w:szCs w:val="21"/>
                <w:highlight w:val="none"/>
              </w:rPr>
            </w:pPr>
            <w:r>
              <w:rPr>
                <w:rFonts w:hint="eastAsia" w:asciiTheme="majorEastAsia" w:hAnsiTheme="majorEastAsia" w:eastAsiaTheme="majorEastAsia" w:cstheme="majorEastAsia"/>
                <w:color w:val="auto"/>
                <w:szCs w:val="21"/>
                <w:highlight w:val="none"/>
                <w:lang w:val="en-US" w:eastAsia="zh-CN"/>
              </w:rPr>
              <w:t>10</w:t>
            </w:r>
            <w:r>
              <w:rPr>
                <w:rFonts w:hint="eastAsia" w:asciiTheme="majorEastAsia" w:hAnsiTheme="majorEastAsia" w:eastAsiaTheme="majorEastAsia" w:cstheme="majorEastAsia"/>
                <w:color w:val="auto"/>
                <w:szCs w:val="21"/>
                <w:highlight w:val="none"/>
              </w:rPr>
              <w:t>分</w:t>
            </w:r>
          </w:p>
        </w:tc>
      </w:tr>
    </w:tbl>
    <w:p w14:paraId="77B545B4">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p>
    <w:p w14:paraId="191D4616">
      <w:pPr>
        <w:pStyle w:val="7"/>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说明：</w:t>
      </w:r>
    </w:p>
    <w:p w14:paraId="45B4BC49">
      <w:pPr>
        <w:pStyle w:val="7"/>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（1）所有打分项均以投标人所提供的投标文件进行打分，投标文件中未提及的不予认可，投标文件提交截止时间后不得修改或是补充投标文件。</w:t>
      </w:r>
    </w:p>
    <w:p w14:paraId="3E665796">
      <w:pPr>
        <w:pStyle w:val="7"/>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val="en-US" w:eastAsia="zh-CN"/>
        </w:rPr>
        <w:t>（2）</w:t>
      </w:r>
      <w:r>
        <w:rPr>
          <w:rFonts w:hint="eastAsia" w:asciiTheme="majorEastAsia" w:hAnsiTheme="majorEastAsia" w:eastAsiaTheme="majorEastAsia" w:cstheme="majorEastAsia"/>
          <w:color w:val="auto"/>
        </w:rPr>
        <w:t>投标人的最终得分为所有评委打分的平均值，计算结果保留至小数点后两位。</w:t>
      </w:r>
    </w:p>
    <w:p w14:paraId="4EE03FE4">
      <w:pPr>
        <w:pStyle w:val="7"/>
        <w:spacing w:before="120" w:beforeAutospacing="0" w:after="120" w:afterAutospacing="0" w:line="360" w:lineRule="auto"/>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lang w:eastAsia="zh-CN"/>
        </w:rPr>
        <w:t>（</w:t>
      </w:r>
      <w:r>
        <w:rPr>
          <w:rFonts w:hint="eastAsia" w:asciiTheme="majorEastAsia" w:hAnsiTheme="majorEastAsia" w:eastAsiaTheme="majorEastAsia" w:cstheme="majorEastAsia"/>
          <w:color w:val="auto"/>
          <w:lang w:val="en-US" w:eastAsia="zh-CN"/>
        </w:rPr>
        <w:t>3</w:t>
      </w:r>
      <w:r>
        <w:rPr>
          <w:rFonts w:hint="eastAsia" w:asciiTheme="majorEastAsia" w:hAnsiTheme="majorEastAsia" w:eastAsiaTheme="majorEastAsia" w:cstheme="majorEastAsia"/>
          <w:color w:val="auto"/>
          <w:lang w:eastAsia="zh-CN"/>
        </w:rPr>
        <w:t>）</w:t>
      </w:r>
      <w:r>
        <w:rPr>
          <w:rFonts w:hint="eastAsia" w:asciiTheme="majorEastAsia" w:hAnsiTheme="majorEastAsia" w:eastAsiaTheme="majorEastAsia" w:cstheme="majorEastAsia"/>
          <w:color w:val="auto"/>
        </w:rPr>
        <w:t>中标后签订合同前需提供以上人员近三个月以来缴纳社会保障资金的相关材料</w:t>
      </w:r>
      <w:r>
        <w:rPr>
          <w:rFonts w:hint="eastAsia" w:asciiTheme="majorEastAsia" w:hAnsiTheme="majorEastAsia" w:eastAsiaTheme="majorEastAsia" w:cstheme="majorEastAsia"/>
          <w:color w:val="auto"/>
          <w:lang w:val="en-US" w:eastAsia="zh-CN"/>
        </w:rPr>
        <w:t>以备采购人核查</w:t>
      </w:r>
      <w:r>
        <w:rPr>
          <w:rFonts w:hint="eastAsia" w:asciiTheme="majorEastAsia" w:hAnsiTheme="majorEastAsia" w:eastAsiaTheme="majorEastAsia" w:cstheme="majorEastAsia"/>
          <w:color w:val="auto"/>
        </w:rPr>
        <w:t>，如有虚假，取消中标</w:t>
      </w:r>
      <w:r>
        <w:rPr>
          <w:rFonts w:hint="eastAsia" w:asciiTheme="majorEastAsia" w:hAnsiTheme="majorEastAsia" w:eastAsiaTheme="majorEastAsia" w:cstheme="majorEastAsia"/>
          <w:color w:val="auto"/>
          <w:lang w:val="en-US" w:eastAsia="zh-CN"/>
        </w:rPr>
        <w:t>候选人</w:t>
      </w:r>
      <w:r>
        <w:rPr>
          <w:rFonts w:hint="eastAsia" w:asciiTheme="majorEastAsia" w:hAnsiTheme="majorEastAsia" w:eastAsiaTheme="majorEastAsia" w:cstheme="majorEastAsia"/>
          <w:color w:val="auto"/>
        </w:rPr>
        <w:t>资格。</w:t>
      </w:r>
    </w:p>
    <w:p w14:paraId="33864CE0">
      <w:pPr>
        <w:pStyle w:val="7"/>
        <w:keepNext w:val="0"/>
        <w:keepLines w:val="0"/>
        <w:pageBreakBefore w:val="0"/>
        <w:widowControl w:val="0"/>
        <w:kinsoku/>
        <w:wordWrap/>
        <w:overflowPunct/>
        <w:topLinePunct w:val="0"/>
        <w:autoSpaceDE/>
        <w:autoSpaceDN/>
        <w:bidi w:val="0"/>
        <w:spacing w:beforeAutospacing="0" w:afterAutospacing="0" w:line="360" w:lineRule="auto"/>
        <w:jc w:val="both"/>
        <w:rPr>
          <w:rFonts w:hint="eastAsia" w:asciiTheme="majorEastAsia" w:hAnsiTheme="majorEastAsia" w:eastAsiaTheme="majorEastAsia" w:cstheme="majorEastAsia"/>
          <w:color w:val="auto"/>
          <w:sz w:val="24"/>
          <w:szCs w:val="24"/>
          <w:highlight w:val="none"/>
          <w:lang w:val="en-US" w:eastAsia="zh-CN"/>
        </w:rPr>
      </w:pPr>
    </w:p>
    <w:p w14:paraId="67377347">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p>
    <w:p w14:paraId="04590C18">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p>
    <w:p w14:paraId="3D530B0A">
      <w:pPr>
        <w:pStyle w:val="7"/>
        <w:keepNext w:val="0"/>
        <w:keepLines w:val="0"/>
        <w:pageBreakBefore w:val="0"/>
        <w:widowControl w:val="0"/>
        <w:kinsoku/>
        <w:wordWrap/>
        <w:overflowPunct/>
        <w:topLinePunct w:val="0"/>
        <w:autoSpaceDE/>
        <w:autoSpaceDN/>
        <w:bidi w:val="0"/>
        <w:adjustRightInd/>
        <w:snapToGrid/>
        <w:spacing w:before="120" w:beforeAutospacing="0" w:after="120" w:afterAutospacing="0" w:line="360" w:lineRule="auto"/>
        <w:jc w:val="center"/>
        <w:textAlignment w:val="auto"/>
        <w:rPr>
          <w:rFonts w:hint="eastAsia" w:asciiTheme="majorEastAsia" w:hAnsiTheme="majorEastAsia" w:eastAsiaTheme="majorEastAsia" w:cstheme="majorEastAsia"/>
          <w:b/>
          <w:bCs/>
          <w:color w:val="auto"/>
          <w:kern w:val="0"/>
          <w:sz w:val="48"/>
          <w:szCs w:val="48"/>
          <w:highlight w:val="none"/>
          <w:lang w:val="en-US" w:eastAsia="zh-CN" w:bidi="ar-SA"/>
        </w:rPr>
      </w:pPr>
      <w:r>
        <w:rPr>
          <w:rFonts w:hint="eastAsia" w:asciiTheme="majorEastAsia" w:hAnsiTheme="majorEastAsia" w:eastAsiaTheme="majorEastAsia" w:cstheme="majorEastAsia"/>
          <w:b/>
          <w:bCs/>
          <w:color w:val="auto"/>
          <w:kern w:val="0"/>
          <w:sz w:val="48"/>
          <w:szCs w:val="48"/>
          <w:highlight w:val="none"/>
          <w:lang w:val="en-US" w:eastAsia="zh-CN" w:bidi="ar-SA"/>
        </w:rPr>
        <w:t>第六章  投标文件格式</w:t>
      </w:r>
    </w:p>
    <w:p w14:paraId="2DDFA294">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04DEEEAD">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1D975A94">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3A4440B3">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30CE4161">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47846711">
      <w:pPr>
        <w:pStyle w:val="7"/>
        <w:keepNext/>
        <w:spacing w:beforeAutospacing="0" w:afterAutospacing="0"/>
        <w:jc w:val="center"/>
        <w:rPr>
          <w:rFonts w:hint="eastAsia" w:asciiTheme="majorEastAsia" w:hAnsiTheme="majorEastAsia" w:eastAsiaTheme="majorEastAsia" w:cstheme="majorEastAsia"/>
          <w:color w:val="auto"/>
          <w:sz w:val="44"/>
          <w:szCs w:val="44"/>
          <w:highlight w:val="none"/>
        </w:rPr>
      </w:pPr>
    </w:p>
    <w:p w14:paraId="1E2FFBB6">
      <w:pPr>
        <w:pStyle w:val="7"/>
        <w:keepNext/>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44"/>
          <w:szCs w:val="44"/>
          <w:highlight w:val="none"/>
        </w:rPr>
        <w:t xml:space="preserve"> </w:t>
      </w:r>
    </w:p>
    <w:p w14:paraId="179C87C5">
      <w:pPr>
        <w:pStyle w:val="7"/>
        <w:spacing w:beforeAutospacing="0" w:afterAutospacing="0"/>
        <w:jc w:val="center"/>
        <w:rPr>
          <w:rFonts w:hint="eastAsia" w:asciiTheme="majorEastAsia" w:hAnsiTheme="majorEastAsia" w:eastAsiaTheme="majorEastAsia" w:cstheme="majorEastAsia"/>
          <w:color w:val="auto"/>
          <w:highlight w:val="none"/>
        </w:rPr>
      </w:pPr>
      <w:bookmarkStart w:id="178" w:name="_Hlt26671244"/>
      <w:bookmarkEnd w:id="178"/>
      <w:bookmarkStart w:id="179" w:name="_Toc26554094"/>
      <w:bookmarkEnd w:id="179"/>
      <w:bookmarkStart w:id="180" w:name="_Hlt26955039"/>
      <w:bookmarkEnd w:id="180"/>
      <w:bookmarkStart w:id="181" w:name="_Toc49090576"/>
      <w:bookmarkStart w:id="182" w:name="_Toc120614282"/>
      <w:r>
        <w:rPr>
          <w:rFonts w:hint="eastAsia" w:asciiTheme="majorEastAsia" w:hAnsiTheme="majorEastAsia" w:eastAsiaTheme="majorEastAsia" w:cstheme="majorEastAsia"/>
          <w:b/>
          <w:color w:val="auto"/>
          <w:sz w:val="72"/>
          <w:szCs w:val="72"/>
          <w:highlight w:val="none"/>
        </w:rPr>
        <w:t>投  标  文  件</w:t>
      </w:r>
    </w:p>
    <w:p w14:paraId="4EF67EE4">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9BDC7A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14C945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C8AD47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91A555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39BDD9C">
      <w:pPr>
        <w:pStyle w:val="7"/>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名 称：</w:t>
      </w:r>
      <w:r>
        <w:rPr>
          <w:rFonts w:hint="eastAsia" w:asciiTheme="majorEastAsia" w:hAnsiTheme="majorEastAsia" w:eastAsiaTheme="majorEastAsia" w:cstheme="majorEastAsia"/>
          <w:b/>
          <w:color w:val="auto"/>
          <w:sz w:val="36"/>
          <w:szCs w:val="36"/>
          <w:highlight w:val="none"/>
          <w:u w:val="single"/>
        </w:rPr>
        <w:t xml:space="preserve">               </w:t>
      </w:r>
    </w:p>
    <w:p w14:paraId="2EBBA61A">
      <w:pPr>
        <w:pStyle w:val="7"/>
        <w:spacing w:beforeAutospacing="0" w:afterAutospacing="0"/>
        <w:ind w:firstLine="1084"/>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项目 编 号：</w:t>
      </w:r>
      <w:r>
        <w:rPr>
          <w:rFonts w:hint="eastAsia" w:asciiTheme="majorEastAsia" w:hAnsiTheme="majorEastAsia" w:eastAsiaTheme="majorEastAsia" w:cstheme="majorEastAsia"/>
          <w:b/>
          <w:color w:val="auto"/>
          <w:sz w:val="36"/>
          <w:szCs w:val="36"/>
          <w:highlight w:val="none"/>
          <w:u w:val="single"/>
        </w:rPr>
        <w:t xml:space="preserve">               </w:t>
      </w:r>
    </w:p>
    <w:p w14:paraId="0C28DDC0">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投标人名称 ：</w:t>
      </w:r>
      <w:r>
        <w:rPr>
          <w:rFonts w:hint="eastAsia" w:asciiTheme="majorEastAsia" w:hAnsiTheme="majorEastAsia" w:eastAsiaTheme="majorEastAsia" w:cstheme="majorEastAsia"/>
          <w:b/>
          <w:color w:val="auto"/>
          <w:sz w:val="36"/>
          <w:szCs w:val="36"/>
          <w:highlight w:val="none"/>
          <w:u w:val="single"/>
        </w:rPr>
        <w:t xml:space="preserve">（加盖CA电子公章）        </w:t>
      </w:r>
    </w:p>
    <w:p w14:paraId="5FBBD17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6"/>
          <w:szCs w:val="36"/>
          <w:highlight w:val="none"/>
        </w:rPr>
        <w:t>   日   期 ：</w:t>
      </w:r>
      <w:r>
        <w:rPr>
          <w:rFonts w:hint="eastAsia" w:asciiTheme="majorEastAsia" w:hAnsiTheme="majorEastAsia" w:eastAsiaTheme="majorEastAsia" w:cstheme="majorEastAsia"/>
          <w:b/>
          <w:color w:val="auto"/>
          <w:sz w:val="36"/>
          <w:szCs w:val="36"/>
          <w:highlight w:val="none"/>
          <w:u w:val="single"/>
        </w:rPr>
        <w:t>                     </w:t>
      </w:r>
    </w:p>
    <w:p w14:paraId="5B01D5FC">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452DF71">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5487A59">
      <w:pPr>
        <w:pStyle w:val="7"/>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4C8D9F25">
      <w:pPr>
        <w:pStyle w:val="7"/>
        <w:spacing w:beforeAutospacing="0" w:afterAutospacing="0" w:line="0" w:lineRule="atLeast"/>
        <w:jc w:val="center"/>
        <w:rPr>
          <w:rFonts w:hint="eastAsia" w:asciiTheme="majorEastAsia" w:hAnsiTheme="majorEastAsia" w:eastAsiaTheme="majorEastAsia" w:cstheme="majorEastAsia"/>
          <w:b/>
          <w:color w:val="auto"/>
          <w:sz w:val="36"/>
          <w:szCs w:val="36"/>
          <w:highlight w:val="none"/>
          <w:u w:val="single"/>
        </w:rPr>
      </w:pPr>
    </w:p>
    <w:p w14:paraId="19FC3E66">
      <w:pPr>
        <w:pStyle w:val="7"/>
        <w:spacing w:beforeAutospacing="0" w:afterAutospacing="0" w:line="0" w:lineRule="atLeast"/>
        <w:jc w:val="center"/>
        <w:rPr>
          <w:rFonts w:hint="eastAsia" w:asciiTheme="majorEastAsia" w:hAnsiTheme="majorEastAsia" w:eastAsiaTheme="majorEastAsia" w:cstheme="majorEastAsia"/>
          <w:b/>
          <w:color w:val="auto"/>
          <w:sz w:val="32"/>
          <w:szCs w:val="32"/>
          <w:highlight w:val="none"/>
        </w:rPr>
      </w:pPr>
    </w:p>
    <w:p w14:paraId="049D0735">
      <w:pPr>
        <w:pStyle w:val="7"/>
        <w:spacing w:beforeAutospacing="0" w:afterAutospacing="0" w:line="0" w:lineRule="atLeast"/>
        <w:jc w:val="center"/>
        <w:rPr>
          <w:rFonts w:hint="eastAsia" w:asciiTheme="majorEastAsia" w:hAnsiTheme="majorEastAsia" w:eastAsiaTheme="majorEastAsia" w:cstheme="majorEastAsia"/>
          <w:b/>
          <w:color w:val="auto"/>
          <w:sz w:val="32"/>
          <w:szCs w:val="32"/>
          <w:highlight w:val="none"/>
        </w:rPr>
      </w:pPr>
    </w:p>
    <w:p w14:paraId="32EBF199">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32"/>
          <w:szCs w:val="32"/>
          <w:highlight w:val="none"/>
        </w:rPr>
        <w:t>投标文件目录</w:t>
      </w:r>
    </w:p>
    <w:p w14:paraId="223668CB">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8F3FF12">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一、法人或者其他组织的营业执照等证明文件，自然人的身份证明</w:t>
      </w:r>
    </w:p>
    <w:p w14:paraId="5D2C5D6D">
      <w:pPr>
        <w:keepNext w:val="0"/>
        <w:keepLines w:val="0"/>
        <w:pageBreakBefore w:val="0"/>
        <w:tabs>
          <w:tab w:val="left" w:pos="1331"/>
        </w:tabs>
        <w:kinsoku/>
        <w:wordWrap/>
        <w:overflowPunct/>
        <w:topLinePunct w:val="0"/>
        <w:autoSpaceDE/>
        <w:autoSpaceDN/>
        <w:bidi w:val="0"/>
        <w:adjustRightInd/>
        <w:snapToGrid/>
        <w:spacing w:line="360" w:lineRule="auto"/>
        <w:ind w:firstLine="480" w:firstLineChars="200"/>
        <w:jc w:val="left"/>
        <w:textAlignment w:val="auto"/>
        <w:rPr>
          <w:rFonts w:hint="eastAsia" w:asciiTheme="majorEastAsia" w:hAnsiTheme="majorEastAsia" w:eastAsiaTheme="majorEastAsia" w:cstheme="majorEastAsia"/>
          <w:i w:val="0"/>
          <w:iCs/>
          <w:color w:val="auto"/>
          <w:kern w:val="0"/>
          <w:sz w:val="24"/>
          <w:szCs w:val="24"/>
          <w:highlight w:val="none"/>
          <w:u w:val="none"/>
          <w:lang w:val="en-US" w:eastAsia="zh-CN" w:bidi="ar-SA"/>
        </w:rPr>
      </w:pPr>
      <w:r>
        <w:rPr>
          <w:rFonts w:hint="eastAsia" w:asciiTheme="majorEastAsia" w:hAnsiTheme="majorEastAsia" w:eastAsiaTheme="majorEastAsia" w:cstheme="majorEastAsia"/>
          <w:i w:val="0"/>
          <w:iCs/>
          <w:color w:val="auto"/>
          <w:kern w:val="0"/>
          <w:sz w:val="24"/>
          <w:szCs w:val="24"/>
          <w:highlight w:val="none"/>
          <w:u w:val="none"/>
          <w:lang w:val="en-US" w:eastAsia="zh-CN" w:bidi="ar-SA"/>
        </w:rPr>
        <w:t>二、上一年度的财务状况报告（投标人成立不满一年无需提供）</w:t>
      </w:r>
    </w:p>
    <w:p w14:paraId="56439F0D">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lang w:val="en-US" w:eastAsia="zh-CN"/>
        </w:rPr>
        <w:t>三</w:t>
      </w:r>
      <w:r>
        <w:rPr>
          <w:rFonts w:hint="eastAsia" w:asciiTheme="majorEastAsia" w:hAnsiTheme="majorEastAsia" w:eastAsiaTheme="majorEastAsia" w:cstheme="majorEastAsia"/>
          <w:i w:val="0"/>
          <w:iCs/>
          <w:color w:val="auto"/>
          <w:highlight w:val="none"/>
          <w:u w:val="none"/>
        </w:rPr>
        <w:t>、具备履行合同所必需的设备和专业技术能力的书面声明</w:t>
      </w:r>
    </w:p>
    <w:p w14:paraId="11B14D98">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lang w:val="en-US" w:eastAsia="zh-CN"/>
        </w:rPr>
        <w:t>四</w:t>
      </w:r>
      <w:r>
        <w:rPr>
          <w:rFonts w:hint="eastAsia" w:asciiTheme="majorEastAsia" w:hAnsiTheme="majorEastAsia" w:eastAsiaTheme="majorEastAsia" w:cstheme="majorEastAsia"/>
          <w:i w:val="0"/>
          <w:iCs/>
          <w:color w:val="auto"/>
          <w:highlight w:val="none"/>
          <w:u w:val="none"/>
        </w:rPr>
        <w:t>、依法缴纳税收和社会保障资金的相关材料（提供提交投标文件截止时间前一年内至少一个月依法缴纳税收及缴纳社会保障资金的证明材料。投标人依法享受缓缴、免缴税收、社会保障资金的提供证明材料）</w:t>
      </w:r>
    </w:p>
    <w:p w14:paraId="779BBE11">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五、参加政府采购活动前 3 年内在经营活动中没有重大违法记录的书面声明</w:t>
      </w:r>
    </w:p>
    <w:p w14:paraId="18FE5D96">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六、特定资格要求的证明文件（如果本项目设置特定资格要求，则需要提供）</w:t>
      </w:r>
    </w:p>
    <w:p w14:paraId="2DB7CD1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rPr>
      </w:pPr>
      <w:r>
        <w:rPr>
          <w:rFonts w:hint="eastAsia" w:asciiTheme="majorEastAsia" w:hAnsiTheme="majorEastAsia" w:eastAsiaTheme="majorEastAsia" w:cstheme="majorEastAsia"/>
          <w:i w:val="0"/>
          <w:iCs/>
          <w:color w:val="auto"/>
          <w:highlight w:val="none"/>
          <w:u w:val="none"/>
        </w:rPr>
        <w:t>七、法人授权书</w:t>
      </w:r>
    </w:p>
    <w:p w14:paraId="2AD3EC19">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八、投标函</w:t>
      </w:r>
    </w:p>
    <w:p w14:paraId="412519E7">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九、中小企业声明函</w:t>
      </w:r>
    </w:p>
    <w:p w14:paraId="264BF8BC">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十、残疾人福利性单位声明函</w:t>
      </w:r>
    </w:p>
    <w:p w14:paraId="2E7144B3">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十一、关于符合本国产品标准的声明函</w:t>
      </w:r>
    </w:p>
    <w:p w14:paraId="1CBB9D43">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十二、投标分项报价表</w:t>
      </w:r>
    </w:p>
    <w:p w14:paraId="31F68AE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十三、技术要求响应及偏离表</w:t>
      </w:r>
    </w:p>
    <w:p w14:paraId="21AB882C">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十四、商务要求响应及偏离表</w:t>
      </w:r>
    </w:p>
    <w:p w14:paraId="682C4C54">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十五、拟投入项目组人员一览表</w:t>
      </w:r>
    </w:p>
    <w:p w14:paraId="4263BC21">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十六、开标一览表</w:t>
      </w:r>
    </w:p>
    <w:p w14:paraId="10A387C8">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十七、技术方案、服务承诺、培训承诺等</w:t>
      </w:r>
    </w:p>
    <w:p w14:paraId="77AD88AF">
      <w:pPr>
        <w:pStyle w:val="7"/>
        <w:keepNext w:val="0"/>
        <w:keepLines w:val="0"/>
        <w:pageBreakBefore w:val="0"/>
        <w:kinsoku/>
        <w:wordWrap/>
        <w:overflowPunct/>
        <w:topLinePunct w:val="0"/>
        <w:autoSpaceDE/>
        <w:autoSpaceDN/>
        <w:bidi w:val="0"/>
        <w:adjustRightInd/>
        <w:snapToGrid/>
        <w:spacing w:beforeAutospacing="0" w:afterAutospacing="0" w:line="360" w:lineRule="auto"/>
        <w:ind w:left="480"/>
        <w:jc w:val="both"/>
        <w:textAlignment w:val="auto"/>
        <w:rPr>
          <w:rFonts w:hint="eastAsia" w:asciiTheme="majorEastAsia" w:hAnsiTheme="majorEastAsia" w:eastAsiaTheme="majorEastAsia" w:cstheme="majorEastAsia"/>
          <w:i w:val="0"/>
          <w:iCs/>
          <w:color w:val="auto"/>
          <w:highlight w:val="none"/>
          <w:u w:val="none"/>
          <w:lang w:val="en-US" w:eastAsia="zh-CN"/>
        </w:rPr>
      </w:pPr>
      <w:r>
        <w:rPr>
          <w:rFonts w:hint="eastAsia" w:asciiTheme="majorEastAsia" w:hAnsiTheme="majorEastAsia" w:eastAsiaTheme="majorEastAsia" w:cstheme="majorEastAsia"/>
          <w:i w:val="0"/>
          <w:iCs/>
          <w:color w:val="auto"/>
          <w:highlight w:val="none"/>
          <w:u w:val="none"/>
          <w:lang w:val="en-US" w:eastAsia="zh-CN"/>
        </w:rPr>
        <w:t>十八、盐城市政府采购事前信用承诺书</w:t>
      </w:r>
    </w:p>
    <w:p w14:paraId="2ED99F12">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3F181B30">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2EF15417">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322DB74">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9499ED7">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6A9287F">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BE03772">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33667C71">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21A005E8">
      <w:pPr>
        <w:pStyle w:val="7"/>
        <w:spacing w:beforeAutospacing="0" w:afterAutospacing="0" w:line="0" w:lineRule="atLeast"/>
        <w:jc w:val="both"/>
        <w:rPr>
          <w:rFonts w:hint="eastAsia" w:asciiTheme="majorEastAsia" w:hAnsiTheme="majorEastAsia" w:eastAsiaTheme="majorEastAsia" w:cstheme="majorEastAsia"/>
          <w:color w:val="auto"/>
          <w:highlight w:val="none"/>
        </w:rPr>
      </w:pPr>
    </w:p>
    <w:p w14:paraId="22F59E66">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041F564D">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59EE3939">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5E680B58">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4CEFF46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一、法人或者其他组织的营业执照等证明文件，自然人的身份证明</w:t>
      </w:r>
    </w:p>
    <w:p w14:paraId="4AF9A77A">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C207FD6">
      <w:pPr>
        <w:pStyle w:val="7"/>
        <w:spacing w:beforeAutospacing="0" w:afterAutospacing="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i/>
          <w:color w:val="auto"/>
          <w:sz w:val="32"/>
          <w:szCs w:val="32"/>
          <w:highlight w:val="none"/>
          <w:u w:val="single"/>
        </w:rPr>
        <w:t>二、上一年度的财务状况报</w:t>
      </w:r>
      <w:r>
        <w:rPr>
          <w:rFonts w:hint="eastAsia" w:asciiTheme="majorEastAsia" w:hAnsiTheme="majorEastAsia" w:eastAsiaTheme="majorEastAsia" w:cstheme="majorEastAsia"/>
          <w:i/>
          <w:color w:val="auto"/>
          <w:sz w:val="32"/>
          <w:szCs w:val="32"/>
          <w:highlight w:val="none"/>
          <w:u w:val="single"/>
          <w:lang w:val="en-US" w:eastAsia="zh-CN"/>
        </w:rPr>
        <w:t>告</w:t>
      </w:r>
    </w:p>
    <w:p w14:paraId="1794A0F4">
      <w:pPr>
        <w:tabs>
          <w:tab w:val="left" w:pos="1331"/>
        </w:tabs>
        <w:bidi w:val="0"/>
        <w:jc w:val="left"/>
        <w:rPr>
          <w:rFonts w:hint="eastAsia" w:asciiTheme="majorEastAsia" w:hAnsiTheme="majorEastAsia" w:eastAsiaTheme="majorEastAsia" w:cstheme="majorEastAsia"/>
          <w:i w:val="0"/>
          <w:iCs/>
          <w:color w:val="auto"/>
          <w:kern w:val="0"/>
          <w:sz w:val="24"/>
          <w:szCs w:val="24"/>
          <w:highlight w:val="none"/>
          <w:u w:val="none"/>
          <w:lang w:val="en-US" w:eastAsia="zh-CN" w:bidi="ar-SA"/>
        </w:rPr>
      </w:pPr>
      <w:r>
        <w:rPr>
          <w:rFonts w:hint="eastAsia" w:asciiTheme="majorEastAsia" w:hAnsiTheme="majorEastAsia" w:eastAsiaTheme="majorEastAsia" w:cstheme="majorEastAsia"/>
          <w:i w:val="0"/>
          <w:iCs/>
          <w:color w:val="auto"/>
          <w:kern w:val="0"/>
          <w:sz w:val="24"/>
          <w:szCs w:val="24"/>
          <w:highlight w:val="none"/>
          <w:u w:val="none"/>
          <w:lang w:val="en-US" w:eastAsia="zh-CN" w:bidi="ar-SA"/>
        </w:rPr>
        <w:t>（投标人成立不满一年无需提供）</w:t>
      </w:r>
    </w:p>
    <w:p w14:paraId="09A1637B">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p>
    <w:p w14:paraId="45B93C63">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48B0B2B">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2621EF8">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三</w:t>
      </w:r>
      <w:r>
        <w:rPr>
          <w:rFonts w:hint="eastAsia" w:asciiTheme="majorEastAsia" w:hAnsiTheme="majorEastAsia" w:eastAsiaTheme="majorEastAsia" w:cstheme="majorEastAsia"/>
          <w:i/>
          <w:color w:val="auto"/>
          <w:sz w:val="32"/>
          <w:szCs w:val="32"/>
          <w:highlight w:val="none"/>
          <w:u w:val="single"/>
        </w:rPr>
        <w:t>、具备履行合同所必需的设备和专业技术能力的书面声明</w:t>
      </w:r>
    </w:p>
    <w:p w14:paraId="4CEDAEF7">
      <w:pPr>
        <w:pStyle w:val="7"/>
        <w:spacing w:beforeAutospacing="0" w:afterAutospacing="0" w:line="0" w:lineRule="atLeast"/>
        <w:ind w:firstLine="49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我单位郑重声明：我单位具备履行本项采购合同所必需的设备和专业技术能力，为履行本项采购合同我公司具备如下主要设备和主要专业技术能力：</w:t>
      </w:r>
    </w:p>
    <w:p w14:paraId="31D78004">
      <w:pPr>
        <w:pStyle w:val="7"/>
        <w:spacing w:beforeAutospacing="0" w:afterAutospacing="0" w:line="0" w:lineRule="atLeast"/>
        <w:ind w:firstLine="492"/>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主要设备有：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14:paraId="7B89A4BB">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主要专业技术能力有：</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w:t>
      </w:r>
    </w:p>
    <w:p w14:paraId="04D4111E">
      <w:pPr>
        <w:pStyle w:val="7"/>
        <w:spacing w:beforeAutospacing="0" w:afterAutospacing="0"/>
        <w:jc w:val="both"/>
        <w:rPr>
          <w:rFonts w:hint="eastAsia" w:asciiTheme="majorEastAsia" w:hAnsiTheme="majorEastAsia" w:eastAsiaTheme="majorEastAsia" w:cstheme="majorEastAsia"/>
          <w:color w:val="auto"/>
          <w:highlight w:val="none"/>
        </w:rPr>
      </w:pPr>
    </w:p>
    <w:p w14:paraId="01DAAC17">
      <w:pPr>
        <w:pStyle w:val="7"/>
        <w:spacing w:beforeAutospacing="0" w:afterAutospacing="0"/>
        <w:jc w:val="both"/>
        <w:rPr>
          <w:rFonts w:hint="eastAsia" w:asciiTheme="majorEastAsia" w:hAnsiTheme="majorEastAsia" w:eastAsiaTheme="majorEastAsia" w:cstheme="majorEastAsia"/>
          <w:color w:val="auto"/>
          <w:highlight w:val="none"/>
        </w:rPr>
      </w:pPr>
    </w:p>
    <w:p w14:paraId="5C339B2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lang w:val="en-US" w:eastAsia="zh-CN"/>
        </w:rPr>
        <w:t>四</w:t>
      </w:r>
      <w:r>
        <w:rPr>
          <w:rFonts w:hint="eastAsia" w:asciiTheme="majorEastAsia" w:hAnsiTheme="majorEastAsia" w:eastAsiaTheme="majorEastAsia" w:cstheme="majorEastAsia"/>
          <w:i/>
          <w:color w:val="auto"/>
          <w:sz w:val="32"/>
          <w:szCs w:val="32"/>
          <w:highlight w:val="none"/>
          <w:u w:val="single"/>
        </w:rPr>
        <w:t>、依法缴纳税收和社会保障资金的相关材料</w:t>
      </w:r>
    </w:p>
    <w:p w14:paraId="05226E43">
      <w:pPr>
        <w:pStyle w:val="7"/>
        <w:spacing w:beforeAutospacing="0" w:afterAutospacing="0"/>
        <w:ind w:firstLine="480"/>
        <w:jc w:val="both"/>
        <w:rPr>
          <w:rFonts w:hint="eastAsia" w:asciiTheme="majorEastAsia" w:hAnsiTheme="majorEastAsia" w:eastAsiaTheme="majorEastAsia" w:cstheme="majorEastAsia"/>
          <w:color w:val="auto"/>
          <w:highlight w:val="none"/>
        </w:rPr>
      </w:pPr>
      <w:bookmarkStart w:id="183" w:name="_Toc120614284"/>
      <w:r>
        <w:rPr>
          <w:rFonts w:hint="eastAsia" w:asciiTheme="majorEastAsia" w:hAnsiTheme="majorEastAsia" w:eastAsiaTheme="majorEastAsia" w:cstheme="majorEastAsia"/>
          <w:color w:val="auto"/>
          <w:highlight w:val="none"/>
        </w:rPr>
        <w:t>提供提交投标文件截止时间前一年内至少一个月依法缴纳税收及缴纳社会保障资金的证明材料。投标人依法享受缓缴、免缴税收、社会保障资金的提供证明材料。</w:t>
      </w:r>
      <w:bookmarkEnd w:id="183"/>
    </w:p>
    <w:p w14:paraId="0C3C0BAB">
      <w:pPr>
        <w:pStyle w:val="7"/>
        <w:spacing w:beforeAutospacing="0" w:afterAutospacing="0"/>
        <w:ind w:firstLine="480"/>
        <w:jc w:val="both"/>
        <w:rPr>
          <w:rFonts w:hint="eastAsia" w:asciiTheme="majorEastAsia" w:hAnsiTheme="majorEastAsia" w:eastAsiaTheme="majorEastAsia" w:cstheme="majorEastAsia"/>
          <w:color w:val="auto"/>
          <w:highlight w:val="none"/>
        </w:rPr>
      </w:pPr>
    </w:p>
    <w:p w14:paraId="1B14DC9C">
      <w:pPr>
        <w:pStyle w:val="7"/>
        <w:spacing w:beforeAutospacing="0" w:afterAutospacing="0"/>
        <w:ind w:firstLine="480"/>
        <w:jc w:val="both"/>
        <w:rPr>
          <w:rFonts w:hint="eastAsia" w:asciiTheme="majorEastAsia" w:hAnsiTheme="majorEastAsia" w:eastAsiaTheme="majorEastAsia" w:cstheme="majorEastAsia"/>
          <w:color w:val="auto"/>
          <w:highlight w:val="none"/>
        </w:rPr>
      </w:pPr>
    </w:p>
    <w:p w14:paraId="79181C0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五、参加政府采购活动前 3 年内在经营活动中没有重大违法记录的书面声明</w:t>
      </w:r>
    </w:p>
    <w:p w14:paraId="4C4A87B8">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sz w:val="44"/>
          <w:szCs w:val="44"/>
          <w:highlight w:val="none"/>
        </w:rPr>
        <w:t>       声  明</w:t>
      </w:r>
    </w:p>
    <w:p w14:paraId="474AF82D">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 xml:space="preserve">    </w:t>
      </w:r>
      <w:r>
        <w:rPr>
          <w:rFonts w:hint="eastAsia" w:asciiTheme="majorEastAsia" w:hAnsiTheme="majorEastAsia" w:eastAsiaTheme="majorEastAsia" w:cstheme="majorEastAsia"/>
          <w:color w:val="auto"/>
          <w:highlight w:val="none"/>
        </w:rPr>
        <w:t>我单位郑重声明：参加本次政府采购活动前 3 年内，我单位在经营活动中没有因违法经营受到刑事处罚或者责令停产停业、吊销许可证或者执照、较大数额罚款等行政处罚。</w:t>
      </w:r>
    </w:p>
    <w:p w14:paraId="50ECA9EF">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C7FA746">
      <w:pPr>
        <w:pStyle w:val="7"/>
        <w:spacing w:beforeAutospacing="0" w:afterAutospacing="0"/>
        <w:jc w:val="both"/>
        <w:rPr>
          <w:rFonts w:hint="eastAsia" w:asciiTheme="majorEastAsia" w:hAnsiTheme="majorEastAsia" w:eastAsiaTheme="majorEastAsia" w:cstheme="majorEastAsia"/>
          <w:color w:val="auto"/>
          <w:highlight w:val="none"/>
        </w:rPr>
      </w:pPr>
    </w:p>
    <w:p w14:paraId="56D3363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i/>
          <w:color w:val="auto"/>
          <w:sz w:val="32"/>
          <w:szCs w:val="32"/>
          <w:highlight w:val="none"/>
          <w:u w:val="single"/>
        </w:rPr>
        <w:t>六、特定资格要求的证明文件</w:t>
      </w:r>
    </w:p>
    <w:p w14:paraId="0B3E2DEB">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如果本项目申请人的特定资格要求中要求提供的，必须提供。</w:t>
      </w:r>
    </w:p>
    <w:p w14:paraId="01A3B22C">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6A79AAF">
      <w:pPr>
        <w:pStyle w:val="7"/>
        <w:spacing w:beforeAutospacing="0" w:afterAutospacing="0"/>
        <w:jc w:val="center"/>
        <w:rPr>
          <w:rFonts w:hint="eastAsia" w:asciiTheme="majorEastAsia" w:hAnsiTheme="majorEastAsia" w:eastAsiaTheme="majorEastAsia" w:cstheme="majorEastAsia"/>
          <w:i/>
          <w:color w:val="auto"/>
          <w:sz w:val="32"/>
          <w:szCs w:val="32"/>
          <w:highlight w:val="none"/>
          <w:u w:val="single"/>
        </w:rPr>
      </w:pPr>
    </w:p>
    <w:p w14:paraId="4790EA06">
      <w:pPr>
        <w:pStyle w:val="7"/>
        <w:spacing w:beforeAutospacing="0" w:afterAutospacing="0"/>
        <w:jc w:val="center"/>
        <w:rPr>
          <w:rFonts w:hint="eastAsia" w:asciiTheme="majorEastAsia" w:hAnsiTheme="majorEastAsia" w:eastAsiaTheme="majorEastAsia" w:cstheme="majorEastAsia"/>
          <w:b/>
          <w:bCs/>
          <w:i/>
          <w:color w:val="auto"/>
          <w:sz w:val="32"/>
          <w:szCs w:val="32"/>
          <w:highlight w:val="none"/>
          <w:u w:val="single"/>
        </w:rPr>
      </w:pPr>
      <w:r>
        <w:rPr>
          <w:rFonts w:hint="eastAsia" w:asciiTheme="majorEastAsia" w:hAnsiTheme="majorEastAsia" w:eastAsiaTheme="majorEastAsia" w:cstheme="majorEastAsia"/>
          <w:b/>
          <w:bCs/>
          <w:i/>
          <w:color w:val="auto"/>
          <w:sz w:val="32"/>
          <w:szCs w:val="32"/>
          <w:highlight w:val="none"/>
          <w:u w:val="single"/>
        </w:rPr>
        <w:t>七、法人授权书</w:t>
      </w:r>
    </w:p>
    <w:p w14:paraId="5F58EC9A">
      <w:pPr>
        <w:pStyle w:val="7"/>
        <w:spacing w:beforeAutospacing="0" w:afterAutospacing="0"/>
        <w:jc w:val="center"/>
        <w:rPr>
          <w:rFonts w:hint="eastAsia" w:asciiTheme="majorEastAsia" w:hAnsiTheme="majorEastAsia" w:eastAsiaTheme="majorEastAsia" w:cstheme="majorEastAsia"/>
          <w:i/>
          <w:color w:val="auto"/>
          <w:sz w:val="32"/>
          <w:szCs w:val="32"/>
          <w:highlight w:val="none"/>
          <w:u w:val="single"/>
        </w:rPr>
      </w:pPr>
    </w:p>
    <w:p w14:paraId="51B08F89">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本授权书声明：____________（投标人名称）授权________________（被授权人的姓名）为我方就JSZC-</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号项目采购活动的合法代理人，以本单位名义全权处理一切与该项目采购有关的事务。</w:t>
      </w:r>
    </w:p>
    <w:p w14:paraId="03862622">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本授权书于______年____月____日起生效，特此声明。</w:t>
      </w:r>
    </w:p>
    <w:p w14:paraId="140B5A7E">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被授权人身份证号码：</w:t>
      </w:r>
      <w:r>
        <w:rPr>
          <w:rFonts w:hint="eastAsia" w:asciiTheme="majorEastAsia" w:hAnsiTheme="majorEastAsia" w:eastAsiaTheme="majorEastAsia" w:cstheme="majorEastAsia"/>
          <w:color w:val="auto"/>
          <w:highlight w:val="none"/>
          <w:u w:val="single"/>
        </w:rPr>
        <w:t>                   </w:t>
      </w:r>
    </w:p>
    <w:p w14:paraId="241D95B0">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被授权人联系电话：（手机）</w:t>
      </w:r>
      <w:r>
        <w:rPr>
          <w:rFonts w:hint="eastAsia" w:asciiTheme="majorEastAsia" w:hAnsiTheme="majorEastAsia" w:eastAsiaTheme="majorEastAsia" w:cstheme="majorEastAsia"/>
          <w:color w:val="auto"/>
          <w:highlight w:val="none"/>
          <w:u w:val="single"/>
        </w:rPr>
        <w:t>           </w:t>
      </w:r>
    </w:p>
    <w:p w14:paraId="1BCF3DB2">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授权单位名称：</w:t>
      </w:r>
      <w:r>
        <w:rPr>
          <w:rFonts w:hint="eastAsia" w:asciiTheme="majorEastAsia" w:hAnsiTheme="majorEastAsia" w:eastAsiaTheme="majorEastAsia" w:cstheme="majorEastAsia"/>
          <w:color w:val="auto"/>
          <w:highlight w:val="none"/>
          <w:u w:val="single"/>
        </w:rPr>
        <w:t>（加盖CA电子公章）</w:t>
      </w:r>
    </w:p>
    <w:p w14:paraId="446C15FF">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单位地址：</w:t>
      </w:r>
      <w:r>
        <w:rPr>
          <w:rFonts w:hint="eastAsia" w:asciiTheme="majorEastAsia" w:hAnsiTheme="majorEastAsia" w:eastAsiaTheme="majorEastAsia" w:cstheme="majorEastAsia"/>
          <w:color w:val="auto"/>
          <w:highlight w:val="none"/>
          <w:u w:val="single"/>
        </w:rPr>
        <w:t xml:space="preserve">                   </w:t>
      </w:r>
    </w:p>
    <w:p w14:paraId="01A43E7A">
      <w:pPr>
        <w:pStyle w:val="7"/>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480" w:lineRule="auto"/>
        <w:jc w:val="left"/>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日期：</w:t>
      </w:r>
      <w:bookmarkStart w:id="184" w:name="_Hlt26671380"/>
      <w:bookmarkStart w:id="185" w:name="_Hlt26955070"/>
      <w:bookmarkStart w:id="186" w:name="_格式3__银行出具的资信证明"/>
      <w:r>
        <w:rPr>
          <w:rFonts w:hint="eastAsia" w:asciiTheme="majorEastAsia" w:hAnsiTheme="majorEastAsia" w:eastAsiaTheme="majorEastAsia" w:cstheme="majorEastAsia"/>
          <w:color w:val="auto"/>
          <w:highlight w:val="none"/>
          <w:u w:val="single"/>
        </w:rPr>
        <w:t xml:space="preserve">                     </w:t>
      </w:r>
    </w:p>
    <w:p w14:paraId="722D5B25">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2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E6A3BE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7E4B1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9CBB401">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A7243AB">
      <w:pPr>
        <w:pStyle w:val="7"/>
        <w:keepNext/>
        <w:keepLines/>
        <w:spacing w:before="260" w:beforeAutospacing="0" w:after="260" w:afterAutospacing="0" w:line="415" w:lineRule="auto"/>
        <w:ind w:firstLine="339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highlight w:val="none"/>
        </w:rPr>
        <w:br w:type="page"/>
      </w:r>
      <w:r>
        <w:rPr>
          <w:rFonts w:hint="eastAsia" w:asciiTheme="majorEastAsia" w:hAnsiTheme="majorEastAsia" w:eastAsiaTheme="majorEastAsia" w:cstheme="majorEastAsia"/>
          <w:b/>
          <w:color w:val="auto"/>
          <w:sz w:val="32"/>
          <w:szCs w:val="32"/>
          <w:highlight w:val="none"/>
        </w:rPr>
        <w:t>八、投标函</w:t>
      </w:r>
    </w:p>
    <w:p w14:paraId="1CCC6631">
      <w:pPr>
        <w:pStyle w:val="7"/>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致：</w:t>
      </w:r>
      <w:r>
        <w:rPr>
          <w:rFonts w:hint="eastAsia" w:asciiTheme="majorEastAsia" w:hAnsiTheme="majorEastAsia" w:eastAsiaTheme="majorEastAsia" w:cstheme="majorEastAsia"/>
          <w:color w:val="auto"/>
          <w:highlight w:val="none"/>
          <w:u w:val="single"/>
          <w:lang w:val="en-US" w:eastAsia="zh-CN"/>
        </w:rPr>
        <w:t>滨海县自然资源和规划局</w:t>
      </w:r>
    </w:p>
    <w:p w14:paraId="3020D406">
      <w:pPr>
        <w:pStyle w:val="7"/>
        <w:spacing w:beforeAutospacing="0" w:afterAutospacing="0" w:line="0" w:lineRule="atLeast"/>
        <w:ind w:firstLine="480"/>
        <w:rPr>
          <w:rFonts w:hint="eastAsia" w:asciiTheme="majorEastAsia" w:hAnsiTheme="majorEastAsia" w:eastAsiaTheme="majorEastAsia" w:cstheme="majorEastAsia"/>
          <w:color w:val="auto"/>
          <w:highlight w:val="none"/>
        </w:rPr>
      </w:pPr>
    </w:p>
    <w:p w14:paraId="280B30B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根据贵方的</w:t>
      </w:r>
      <w:r>
        <w:rPr>
          <w:rFonts w:hint="eastAsia" w:asciiTheme="majorEastAsia" w:hAnsiTheme="majorEastAsia" w:eastAsiaTheme="majorEastAsia" w:cstheme="majorEastAsia"/>
          <w:color w:val="auto"/>
          <w:highlight w:val="none"/>
          <w:u w:val="single"/>
        </w:rPr>
        <w:t>JSZC-</w:t>
      </w:r>
      <w:r>
        <w:rPr>
          <w:rFonts w:hint="eastAsia" w:asciiTheme="majorEastAsia" w:hAnsiTheme="majorEastAsia" w:eastAsiaTheme="majorEastAsia" w:cstheme="majorEastAsia"/>
          <w:color w:val="auto"/>
          <w:highlight w:val="none"/>
          <w:u w:val="single"/>
          <w:lang w:val="en-US" w:eastAsia="zh-CN"/>
        </w:rPr>
        <w:t>****</w:t>
      </w:r>
      <w:r>
        <w:rPr>
          <w:rFonts w:hint="eastAsia" w:asciiTheme="majorEastAsia" w:hAnsiTheme="majorEastAsia" w:eastAsiaTheme="majorEastAsia" w:cstheme="majorEastAsia"/>
          <w:color w:val="auto"/>
          <w:highlight w:val="none"/>
          <w:u w:val="single"/>
        </w:rPr>
        <w:t>号</w:t>
      </w:r>
      <w:r>
        <w:rPr>
          <w:rFonts w:hint="eastAsia" w:asciiTheme="majorEastAsia" w:hAnsiTheme="majorEastAsia" w:eastAsiaTheme="majorEastAsia" w:cstheme="majorEastAsia"/>
          <w:color w:val="auto"/>
          <w:highlight w:val="none"/>
        </w:rPr>
        <w:t>招标文件，正式授权下述签字人______(姓名)代表我方______________（投标人的名称），全权处理本次项目投标的有关事宜。</w:t>
      </w:r>
    </w:p>
    <w:p w14:paraId="2D49B29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据此函，__________签字人兹宣布同意如下：</w:t>
      </w:r>
    </w:p>
    <w:p w14:paraId="2238D7E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1.按招标文件规定的各项要求，向买方提供所需服务（包含与服务相关的货物）。</w:t>
      </w:r>
    </w:p>
    <w:p w14:paraId="58DD9BC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2.我们完全理解贵方不一定将合同授予最低报价的投标人。</w:t>
      </w:r>
    </w:p>
    <w:p w14:paraId="0B95EA2A">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3.我们已详细审核全部招标文件及其有效补充文件，我们知道必须放弃提出含糊不清或误解问题的权利。</w:t>
      </w:r>
    </w:p>
    <w:p w14:paraId="1ADF11EB">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4.我们同意从规定的开标日期起遵循本投标文件，并在规定的投标有效期期满之前均具有约束力。</w:t>
      </w:r>
    </w:p>
    <w:p w14:paraId="1726D65E">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5.同意向贵方提供贵方可能另外要求的与投标有关的任何证据或资料，并保证我方已提供和将要提供的文件是真实的、准确的。</w:t>
      </w:r>
    </w:p>
    <w:p w14:paraId="0607F20C">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6.一旦我方中标,我方将根据招标文件的规定，严格履行合同的责任和义务,并保证在招标文件规定的时间完成项目，交付买方验收、使用。</w:t>
      </w:r>
    </w:p>
    <w:p w14:paraId="72A2FCE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7.与本投标有关的正式通讯地址为：</w:t>
      </w:r>
    </w:p>
    <w:p w14:paraId="097E92C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地          址：</w:t>
      </w:r>
    </w:p>
    <w:p w14:paraId="2AF42D8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          编：</w:t>
      </w:r>
    </w:p>
    <w:p w14:paraId="5C559549">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电          话：</w:t>
      </w:r>
    </w:p>
    <w:p w14:paraId="29DE603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传          真：</w:t>
      </w:r>
    </w:p>
    <w:p w14:paraId="4684782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投标人开户行：</w:t>
      </w:r>
    </w:p>
    <w:p w14:paraId="4E2FCFE7">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账          号： </w:t>
      </w:r>
    </w:p>
    <w:p w14:paraId="34E2F66F">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期：________年____月____日</w:t>
      </w:r>
    </w:p>
    <w:p w14:paraId="25FBAB44">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73064B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E592736">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E2A3FBD">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240"/>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0407A2D">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b/>
          <w:color w:val="auto"/>
          <w:sz w:val="32"/>
          <w:szCs w:val="32"/>
          <w:highlight w:val="none"/>
        </w:rPr>
        <w:t>九、</w:t>
      </w:r>
      <w:r>
        <w:rPr>
          <w:rFonts w:hint="eastAsia" w:asciiTheme="majorEastAsia" w:hAnsiTheme="majorEastAsia" w:eastAsiaTheme="majorEastAsia" w:cstheme="majorEastAsia"/>
          <w:b/>
          <w:color w:val="auto"/>
          <w:sz w:val="32"/>
          <w:szCs w:val="32"/>
          <w:highlight w:val="none"/>
          <w:lang w:val="en-US" w:eastAsia="zh-CN"/>
        </w:rPr>
        <w:t>中小</w:t>
      </w:r>
      <w:r>
        <w:rPr>
          <w:rFonts w:hint="eastAsia" w:asciiTheme="majorEastAsia" w:hAnsiTheme="majorEastAsia" w:eastAsiaTheme="majorEastAsia" w:cstheme="majorEastAsia"/>
          <w:b/>
          <w:color w:val="auto"/>
          <w:sz w:val="32"/>
          <w:szCs w:val="32"/>
          <w:highlight w:val="none"/>
        </w:rPr>
        <w:t>企业声明函（服务）</w:t>
      </w:r>
    </w:p>
    <w:p w14:paraId="247962E4">
      <w:pPr>
        <w:spacing w:line="500" w:lineRule="exact"/>
        <w:ind w:firstLine="48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本公司（联合体）郑重声明，根据《政府采购促进中小企业发展管理办法》（财库﹝2020﹞46 号）的规定，本公司（联合体）参加盐城市政府</w:t>
      </w:r>
      <w:r>
        <w:rPr>
          <w:rFonts w:hint="eastAsia" w:asciiTheme="majorEastAsia" w:hAnsiTheme="majorEastAsia" w:eastAsiaTheme="majorEastAsia" w:cstheme="majorEastAsia"/>
          <w:color w:val="auto"/>
          <w:sz w:val="24"/>
          <w:highlight w:val="none"/>
          <w:lang w:eastAsia="zh-CN"/>
        </w:rPr>
        <w:t>采购代理机构</w:t>
      </w:r>
      <w:r>
        <w:rPr>
          <w:rFonts w:hint="eastAsia" w:asciiTheme="majorEastAsia" w:hAnsiTheme="majorEastAsia" w:eastAsiaTheme="majorEastAsia" w:cstheme="majorEastAsia"/>
          <w:color w:val="auto"/>
          <w:sz w:val="24"/>
          <w:highlight w:val="none"/>
        </w:rPr>
        <w:t>组织的</w:t>
      </w:r>
      <w:r>
        <w:rPr>
          <w:rFonts w:hint="eastAsia" w:asciiTheme="majorEastAsia" w:hAnsiTheme="majorEastAsia" w:eastAsiaTheme="majorEastAsia" w:cstheme="majorEastAsia"/>
          <w:i/>
          <w:iCs/>
          <w:color w:val="auto"/>
          <w:sz w:val="24"/>
          <w:szCs w:val="24"/>
          <w:highlight w:val="none"/>
          <w:u w:val="single"/>
        </w:rPr>
        <w:t>（单位名称）</w:t>
      </w:r>
      <w:r>
        <w:rPr>
          <w:rFonts w:hint="eastAsia" w:asciiTheme="majorEastAsia" w:hAnsiTheme="majorEastAsia" w:eastAsiaTheme="majorEastAsia" w:cstheme="majorEastAsia"/>
          <w:color w:val="auto"/>
          <w:sz w:val="24"/>
          <w:szCs w:val="20"/>
          <w:highlight w:val="none"/>
        </w:rPr>
        <w:t>，</w:t>
      </w:r>
      <w:r>
        <w:rPr>
          <w:rFonts w:hint="eastAsia" w:asciiTheme="majorEastAsia" w:hAnsiTheme="majorEastAsia" w:eastAsiaTheme="majorEastAsia" w:cstheme="majorEastAsia"/>
          <w:color w:val="auto"/>
          <w:sz w:val="24"/>
          <w:highlight w:val="none"/>
        </w:rPr>
        <w:t>采购编号为</w:t>
      </w:r>
      <w:r>
        <w:rPr>
          <w:rFonts w:hint="eastAsia" w:asciiTheme="majorEastAsia" w:hAnsiTheme="majorEastAsia" w:eastAsiaTheme="majorEastAsia" w:cstheme="majorEastAsia"/>
          <w:i/>
          <w:iCs/>
          <w:color w:val="auto"/>
          <w:sz w:val="24"/>
          <w:highlight w:val="none"/>
          <w:u w:val="single"/>
          <w:lang w:val="en-US" w:eastAsia="zh-CN"/>
        </w:rPr>
        <w:t>（</w:t>
      </w:r>
      <w:r>
        <w:rPr>
          <w:rFonts w:hint="eastAsia" w:asciiTheme="majorEastAsia" w:hAnsiTheme="majorEastAsia" w:eastAsiaTheme="majorEastAsia" w:cstheme="majorEastAsia"/>
          <w:i/>
          <w:iCs/>
          <w:color w:val="auto"/>
          <w:sz w:val="24"/>
          <w:highlight w:val="none"/>
          <w:u w:val="single"/>
        </w:rPr>
        <w:t>采购编号</w:t>
      </w:r>
      <w:r>
        <w:rPr>
          <w:rFonts w:hint="eastAsia" w:asciiTheme="majorEastAsia" w:hAnsiTheme="majorEastAsia" w:eastAsiaTheme="majorEastAsia" w:cstheme="majorEastAsia"/>
          <w:i/>
          <w:iCs/>
          <w:color w:val="auto"/>
          <w:sz w:val="24"/>
          <w:highlight w:val="none"/>
          <w:u w:val="single"/>
          <w:lang w:val="en-US" w:eastAsia="zh-CN"/>
        </w:rPr>
        <w:t>）</w:t>
      </w:r>
      <w:r>
        <w:rPr>
          <w:rFonts w:hint="eastAsia" w:asciiTheme="majorEastAsia" w:hAnsiTheme="majorEastAsia" w:eastAsiaTheme="majorEastAsia" w:cstheme="majorEastAsia"/>
          <w:color w:val="auto"/>
          <w:sz w:val="24"/>
          <w:highlight w:val="none"/>
          <w:lang w:val="en-US" w:eastAsia="zh-CN"/>
        </w:rPr>
        <w:t>的</w:t>
      </w:r>
      <w:r>
        <w:rPr>
          <w:rFonts w:hint="eastAsia" w:asciiTheme="majorEastAsia" w:hAnsiTheme="majorEastAsia" w:eastAsiaTheme="majorEastAsia" w:cstheme="majorEastAsia"/>
          <w:i/>
          <w:iCs/>
          <w:color w:val="auto"/>
          <w:sz w:val="24"/>
          <w:highlight w:val="none"/>
          <w:u w:val="single"/>
        </w:rPr>
        <w:t>（项目名称）</w:t>
      </w:r>
      <w:r>
        <w:rPr>
          <w:rFonts w:hint="eastAsia" w:asciiTheme="majorEastAsia" w:hAnsiTheme="majorEastAsia" w:eastAsiaTheme="majorEastAsia" w:cstheme="majorEastAsia"/>
          <w:color w:val="auto"/>
          <w:sz w:val="24"/>
          <w:highlight w:val="none"/>
        </w:rPr>
        <w:t>的采购活动，服务全部由符合政策要求的中小企业承接。相关企业（含联合体中的中小企业、签订分包意向协议的中小企业）的具体情况如下：</w:t>
      </w:r>
    </w:p>
    <w:p w14:paraId="3C94BEF9">
      <w:pPr>
        <w:numPr>
          <w:ilvl w:val="0"/>
          <w:numId w:val="1"/>
        </w:numPr>
        <w:spacing w:line="500" w:lineRule="exact"/>
        <w:ind w:firstLine="48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；承建（承接）企业为</w:t>
      </w:r>
      <w:r>
        <w:rPr>
          <w:rFonts w:hint="eastAsia" w:asciiTheme="majorEastAsia" w:hAnsiTheme="majorEastAsia" w:eastAsiaTheme="majorEastAsia" w:cstheme="majorEastAsia"/>
          <w:i/>
          <w:iCs/>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万元，属于（</w:t>
      </w:r>
      <w:r>
        <w:rPr>
          <w:rFonts w:hint="eastAsia" w:asciiTheme="majorEastAsia" w:hAnsiTheme="majorEastAsia" w:eastAsiaTheme="majorEastAsia" w:cstheme="majorEastAsia"/>
          <w:i/>
          <w:iCs/>
          <w:color w:val="auto"/>
          <w:sz w:val="24"/>
          <w:highlight w:val="none"/>
          <w:u w:val="single"/>
        </w:rPr>
        <w:t>中型企业、小型企业、微型企业</w:t>
      </w:r>
      <w:r>
        <w:rPr>
          <w:rFonts w:hint="eastAsia" w:asciiTheme="majorEastAsia" w:hAnsiTheme="majorEastAsia" w:eastAsiaTheme="majorEastAsia" w:cstheme="majorEastAsia"/>
          <w:color w:val="auto"/>
          <w:sz w:val="24"/>
          <w:highlight w:val="none"/>
        </w:rPr>
        <w:t>）；</w:t>
      </w:r>
    </w:p>
    <w:p w14:paraId="6E94EDA1">
      <w:pPr>
        <w:numPr>
          <w:ilvl w:val="0"/>
          <w:numId w:val="1"/>
        </w:numPr>
        <w:spacing w:line="500" w:lineRule="exact"/>
        <w:ind w:left="0" w:leftChars="0" w:firstLine="480" w:firstLineChars="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i/>
          <w:iCs/>
          <w:color w:val="auto"/>
          <w:sz w:val="24"/>
          <w:highlight w:val="none"/>
          <w:u w:val="single"/>
        </w:rPr>
        <w:t>（标的名称）</w:t>
      </w:r>
      <w:r>
        <w:rPr>
          <w:rFonts w:hint="eastAsia" w:asciiTheme="majorEastAsia" w:hAnsiTheme="majorEastAsia" w:eastAsiaTheme="majorEastAsia" w:cstheme="majorEastAsia"/>
          <w:color w:val="auto"/>
          <w:sz w:val="24"/>
          <w:highlight w:val="none"/>
        </w:rPr>
        <w:t xml:space="preserve"> ，属于</w:t>
      </w:r>
      <w:r>
        <w:rPr>
          <w:rFonts w:hint="eastAsia" w:asciiTheme="majorEastAsia" w:hAnsiTheme="majorEastAsia" w:eastAsiaTheme="majorEastAsia" w:cstheme="majorEastAsia"/>
          <w:i/>
          <w:iCs/>
          <w:color w:val="auto"/>
          <w:sz w:val="24"/>
          <w:highlight w:val="none"/>
          <w:u w:val="single"/>
        </w:rPr>
        <w:t>（采购文件中明确的所属行业）</w:t>
      </w:r>
      <w:r>
        <w:rPr>
          <w:rFonts w:hint="eastAsia" w:asciiTheme="majorEastAsia" w:hAnsiTheme="majorEastAsia" w:eastAsiaTheme="majorEastAsia" w:cstheme="majorEastAsia"/>
          <w:color w:val="auto"/>
          <w:sz w:val="24"/>
          <w:highlight w:val="none"/>
        </w:rPr>
        <w:t>；承建（承接）企业为</w:t>
      </w:r>
      <w:r>
        <w:rPr>
          <w:rFonts w:hint="eastAsia" w:asciiTheme="majorEastAsia" w:hAnsiTheme="majorEastAsia" w:eastAsiaTheme="majorEastAsia" w:cstheme="majorEastAsia"/>
          <w:i/>
          <w:iCs/>
          <w:color w:val="auto"/>
          <w:sz w:val="24"/>
          <w:highlight w:val="none"/>
          <w:u w:val="single"/>
        </w:rPr>
        <w:t>（企业名称）</w:t>
      </w:r>
      <w:r>
        <w:rPr>
          <w:rFonts w:hint="eastAsia" w:asciiTheme="majorEastAsia" w:hAnsiTheme="majorEastAsia" w:eastAsiaTheme="majorEastAsia" w:cstheme="majorEastAsia"/>
          <w:color w:val="auto"/>
          <w:sz w:val="24"/>
          <w:highlight w:val="none"/>
        </w:rPr>
        <w:t>，从业人员</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人，营业收入为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万元，资产总额为</w:t>
      </w:r>
      <w:r>
        <w:rPr>
          <w:rFonts w:hint="eastAsia" w:asciiTheme="majorEastAsia" w:hAnsiTheme="majorEastAsia" w:eastAsiaTheme="majorEastAsia" w:cstheme="majorEastAsia"/>
          <w:color w:val="auto"/>
          <w:sz w:val="24"/>
          <w:highlight w:val="none"/>
          <w:u w:val="single"/>
          <w:lang w:val="en-US" w:eastAsia="zh-CN"/>
        </w:rPr>
        <w:t xml:space="preserve">    </w:t>
      </w:r>
      <w:r>
        <w:rPr>
          <w:rFonts w:hint="eastAsia" w:asciiTheme="majorEastAsia" w:hAnsiTheme="majorEastAsia" w:eastAsiaTheme="majorEastAsia" w:cstheme="majorEastAsia"/>
          <w:color w:val="auto"/>
          <w:sz w:val="24"/>
          <w:highlight w:val="none"/>
        </w:rPr>
        <w:t>万元，属于</w:t>
      </w:r>
      <w:r>
        <w:rPr>
          <w:rFonts w:hint="eastAsia" w:asciiTheme="majorEastAsia" w:hAnsiTheme="majorEastAsia" w:eastAsiaTheme="majorEastAsia" w:cstheme="majorEastAsia"/>
          <w:i/>
          <w:iCs/>
          <w:color w:val="auto"/>
          <w:sz w:val="24"/>
          <w:highlight w:val="none"/>
          <w:u w:val="single"/>
        </w:rPr>
        <w:t>（中型企业、小型企业、微型企业）</w:t>
      </w:r>
      <w:r>
        <w:rPr>
          <w:rFonts w:hint="eastAsia" w:asciiTheme="majorEastAsia" w:hAnsiTheme="majorEastAsia" w:eastAsiaTheme="majorEastAsia" w:cstheme="majorEastAsia"/>
          <w:color w:val="auto"/>
          <w:sz w:val="24"/>
          <w:highlight w:val="none"/>
        </w:rPr>
        <w:t>；</w:t>
      </w:r>
    </w:p>
    <w:p w14:paraId="09A8C5AB">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w:t>
      </w:r>
    </w:p>
    <w:p w14:paraId="1BB046A9">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以上企业，不属于大企业的分支机构，不存在控股股东为大企业的情形，也不存在与大企业的负责人为同一人的情形。</w:t>
      </w:r>
    </w:p>
    <w:p w14:paraId="61EEB598">
      <w:pPr>
        <w:numPr>
          <w:ilvl w:val="0"/>
          <w:numId w:val="0"/>
        </w:numPr>
        <w:spacing w:line="500" w:lineRule="exact"/>
        <w:ind w:firstLine="480" w:firstLineChars="200"/>
        <w:jc w:val="both"/>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本企业对上述声明内容的真实性负责。如有虚假，将依法承担相应责任。</w:t>
      </w:r>
    </w:p>
    <w:p w14:paraId="4EE1DCE2">
      <w:pPr>
        <w:pStyle w:val="7"/>
        <w:spacing w:beforeAutospacing="0" w:afterAutospacing="0" w:line="0" w:lineRule="atLeast"/>
        <w:ind w:right="72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5690F586">
      <w:pPr>
        <w:pStyle w:val="7"/>
        <w:spacing w:beforeAutospacing="0" w:afterAutospacing="0" w:line="0" w:lineRule="atLeast"/>
        <w:ind w:right="180" w:firstLine="360"/>
        <w:jc w:val="righ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企业名称（加盖CA电子公章）：</w:t>
      </w:r>
    </w:p>
    <w:p w14:paraId="56B442CD">
      <w:pPr>
        <w:pStyle w:val="7"/>
        <w:spacing w:beforeAutospacing="0" w:afterAutospacing="0" w:line="0" w:lineRule="atLeast"/>
        <w:ind w:right="480" w:firstLine="540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日  期：</w:t>
      </w:r>
    </w:p>
    <w:p w14:paraId="2BE374AA">
      <w:pPr>
        <w:pStyle w:val="7"/>
        <w:spacing w:beforeAutospacing="0" w:afterAutospacing="0" w:line="0" w:lineRule="atLeast"/>
        <w:ind w:firstLine="24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A1AE399">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备注1：从业人员、营业收入、资产总额填报上一年度数据，无上一年度数据的新成立企业可不填报。</w:t>
      </w:r>
    </w:p>
    <w:p w14:paraId="23ED5CDA">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备注2：供应商如不提供此声明函，价格将不做相应扣除</w:t>
      </w:r>
      <w:r>
        <w:rPr>
          <w:rFonts w:hint="eastAsia" w:asciiTheme="majorEastAsia" w:hAnsiTheme="majorEastAsia" w:eastAsiaTheme="majorEastAsia" w:cstheme="majorEastAsia"/>
          <w:color w:val="auto"/>
          <w:highlight w:val="none"/>
          <w:lang w:eastAsia="zh-CN"/>
        </w:rPr>
        <w:t>（如项目全面面向中小企业，则资格审查不通过）</w:t>
      </w:r>
      <w:r>
        <w:rPr>
          <w:rFonts w:hint="eastAsia" w:asciiTheme="majorEastAsia" w:hAnsiTheme="majorEastAsia" w:eastAsiaTheme="majorEastAsia" w:cstheme="majorEastAsia"/>
          <w:color w:val="auto"/>
          <w:highlight w:val="none"/>
        </w:rPr>
        <w:t>。</w:t>
      </w:r>
    </w:p>
    <w:p w14:paraId="5F55305A">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br w:type="page"/>
      </w:r>
      <w:r>
        <w:rPr>
          <w:rFonts w:hint="eastAsia" w:asciiTheme="majorEastAsia" w:hAnsiTheme="majorEastAsia" w:eastAsiaTheme="majorEastAsia" w:cstheme="majorEastAsia"/>
          <w:b/>
          <w:color w:val="auto"/>
          <w:sz w:val="32"/>
          <w:szCs w:val="32"/>
          <w:highlight w:val="none"/>
        </w:rPr>
        <w:t>十、残疾人福利性单位声明函</w:t>
      </w:r>
    </w:p>
    <w:p w14:paraId="0E4E367A">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rPr>
      </w:pPr>
    </w:p>
    <w:p w14:paraId="2735D413">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本单位郑重声明，根据《财政部 民政部 中国残疾人联合会关于促进残疾人就业政府采购政策的通知》（财库</w:t>
      </w:r>
      <w:r>
        <w:rPr>
          <w:rFonts w:hint="eastAsia" w:asciiTheme="majorEastAsia" w:hAnsiTheme="majorEastAsia" w:eastAsiaTheme="majorEastAsia" w:cstheme="majorEastAsia"/>
          <w:color w:val="auto"/>
          <w:highlight w:val="none"/>
          <w:lang w:eastAsia="zh-CN"/>
        </w:rPr>
        <w:t>〔2017〕141号</w:t>
      </w:r>
      <w:r>
        <w:rPr>
          <w:rFonts w:hint="eastAsia" w:asciiTheme="majorEastAsia" w:hAnsiTheme="majorEastAsia" w:eastAsiaTheme="majorEastAsia" w:cstheme="majorEastAsia"/>
          <w:color w:val="auto"/>
          <w:highlight w:val="none"/>
        </w:rPr>
        <w:t>）的规定，本单位为符合条件的残疾人福利性单位，且本单位参加______单位的采购文件编号为______的</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项目（分包号：**）采购活动由本单位提供服务。</w:t>
      </w:r>
    </w:p>
    <w:p w14:paraId="27B0E909">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本单位对上述声明的真实性负责。如有虚假，将依法承担相应责任。</w:t>
      </w:r>
    </w:p>
    <w:p w14:paraId="71DE7028">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lang w:eastAsia="zh-CN"/>
        </w:rPr>
      </w:pPr>
      <w:r>
        <w:rPr>
          <w:rFonts w:hint="eastAsia" w:asciiTheme="majorEastAsia" w:hAnsiTheme="majorEastAsia" w:eastAsiaTheme="majorEastAsia" w:cstheme="majorEastAsia"/>
          <w:color w:val="auto"/>
          <w:highlight w:val="none"/>
        </w:rPr>
        <w:t>备注：1、供应商如不提供此声明函，价格将不做相应扣除</w:t>
      </w:r>
      <w:r>
        <w:rPr>
          <w:rFonts w:hint="eastAsia" w:asciiTheme="majorEastAsia" w:hAnsiTheme="majorEastAsia" w:eastAsiaTheme="majorEastAsia" w:cstheme="majorEastAsia"/>
          <w:color w:val="auto"/>
          <w:highlight w:val="none"/>
          <w:lang w:eastAsia="zh-CN"/>
        </w:rPr>
        <w:t>（如项目全面面向中小企业，则资格审查不通过）。</w:t>
      </w:r>
    </w:p>
    <w:p w14:paraId="3C901EC7">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480"/>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2、中标人为残疾人福利单位的，此声明函将随中标结果同时公告，接受社会监督</w:t>
      </w:r>
    </w:p>
    <w:p w14:paraId="2B96354E">
      <w:pPr>
        <w:pStyle w:val="7"/>
        <w:keepNext w:val="0"/>
        <w:keepLines w:val="0"/>
        <w:pageBreakBefore w:val="0"/>
        <w:widowControl w:val="0"/>
        <w:kinsoku/>
        <w:wordWrap/>
        <w:overflowPunct/>
        <w:topLinePunct w:val="0"/>
        <w:autoSpaceDE/>
        <w:autoSpaceDN/>
        <w:bidi w:val="0"/>
        <w:adjustRightInd/>
        <w:snapToGrid/>
        <w:spacing w:beforeAutospacing="0" w:afterAutospacing="0" w:line="480" w:lineRule="auto"/>
        <w:ind w:firstLine="624"/>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7F6A3DA">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624"/>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sz w:val="30"/>
          <w:szCs w:val="30"/>
          <w:highlight w:val="none"/>
        </w:rPr>
        <w:t>       </w:t>
      </w:r>
      <w:r>
        <w:rPr>
          <w:rFonts w:hint="eastAsia" w:asciiTheme="majorEastAsia" w:hAnsiTheme="majorEastAsia" w:eastAsiaTheme="majorEastAsia" w:cstheme="majorEastAsia"/>
          <w:color w:val="auto"/>
          <w:highlight w:val="none"/>
        </w:rPr>
        <w:t> 供应商全称（加盖CA电子公章）：</w:t>
      </w:r>
    </w:p>
    <w:p w14:paraId="62CECBC7">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center"/>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日  期：</w:t>
      </w:r>
    </w:p>
    <w:p w14:paraId="65E4E6E1">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B5A420E">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D2CDF7E">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92D4155">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BE62E42">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2098BC6">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91C1CAF">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6737A82">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D402DD2">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489B29AB">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3E18EEE0">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596572B4">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6915A4B6">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67026847">
      <w:pPr>
        <w:pStyle w:val="7"/>
        <w:keepNext/>
        <w:keepLines/>
        <w:numPr>
          <w:ilvl w:val="0"/>
          <w:numId w:val="0"/>
        </w:numPr>
        <w:spacing w:before="260" w:beforeAutospacing="0" w:after="260" w:afterAutospacing="0" w:line="415" w:lineRule="auto"/>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kern w:val="0"/>
          <w:sz w:val="32"/>
          <w:szCs w:val="32"/>
          <w:lang w:val="en-US" w:eastAsia="zh-CN" w:bidi="ar-SA"/>
        </w:rPr>
        <w:t>十一、</w:t>
      </w:r>
      <w:r>
        <w:rPr>
          <w:rFonts w:hint="eastAsia" w:asciiTheme="majorEastAsia" w:hAnsiTheme="majorEastAsia" w:eastAsiaTheme="majorEastAsia" w:cstheme="majorEastAsia"/>
          <w:b/>
          <w:color w:val="auto"/>
          <w:sz w:val="32"/>
          <w:szCs w:val="32"/>
          <w:highlight w:val="none"/>
        </w:rPr>
        <w:t>关于符合本国产品标准的声明函</w:t>
      </w:r>
    </w:p>
    <w:p w14:paraId="1D2010A1">
      <w:pPr>
        <w:pStyle w:val="7"/>
        <w:keepNext/>
        <w:keepLines/>
        <w:numPr>
          <w:ilvl w:val="0"/>
          <w:numId w:val="0"/>
        </w:numPr>
        <w:spacing w:before="260" w:beforeAutospacing="0" w:after="260" w:afterAutospacing="0" w:line="415" w:lineRule="auto"/>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lang w:val="en-US" w:eastAsia="zh-CN"/>
        </w:rPr>
        <w:t>本项目不涉及</w:t>
      </w:r>
    </w:p>
    <w:p w14:paraId="6DE5E8B5">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Arial" w:hAnsi="Arial" w:cs="Arial"/>
          <w:color w:val="auto"/>
          <w:sz w:val="24"/>
          <w:szCs w:val="24"/>
        </w:rPr>
        <w:t> </w:t>
      </w:r>
    </w:p>
    <w:p w14:paraId="3C35CE99">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b w:val="0"/>
          <w:bCs w:val="0"/>
          <w:color w:val="auto"/>
        </w:rPr>
      </w:pPr>
      <w:r>
        <w:rPr>
          <w:rFonts w:ascii="宋体" w:hAnsi="宋体" w:eastAsia="宋体" w:cs="宋体"/>
          <w:b w:val="0"/>
          <w:bCs w:val="0"/>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2061E07F">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1.</w:t>
      </w:r>
      <w:r>
        <w:rPr>
          <w:rFonts w:ascii="宋体" w:hAnsi="宋体" w:eastAsia="宋体" w:cs="宋体"/>
          <w:b w:val="0"/>
          <w:bCs w:val="0"/>
          <w:color w:val="auto"/>
          <w:sz w:val="24"/>
          <w:szCs w:val="24"/>
          <w:u w:val="single"/>
          <w:shd w:val="clear" w:fill="FFFFFF"/>
        </w:rPr>
        <w:t>（产品名称1）</w:t>
      </w:r>
      <w:r>
        <w:rPr>
          <w:rFonts w:ascii="宋体" w:hAnsi="宋体" w:eastAsia="宋体" w:cs="宋体"/>
          <w:b w:val="0"/>
          <w:bCs w:val="0"/>
          <w:color w:val="auto"/>
          <w:sz w:val="24"/>
          <w:szCs w:val="24"/>
          <w:shd w:val="clear" w:fill="FFFFFF"/>
          <w:vertAlign w:val="superscript"/>
        </w:rPr>
        <w:t>1</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vertAlign w:val="superscript"/>
        </w:rPr>
        <w:t>2</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 （产品名称1）</w:t>
      </w:r>
      <w:r>
        <w:rPr>
          <w:rFonts w:ascii="宋体" w:hAnsi="宋体" w:eastAsia="宋体" w:cs="宋体"/>
          <w:b w:val="0"/>
          <w:bCs w:val="0"/>
          <w:color w:val="auto"/>
          <w:sz w:val="24"/>
          <w:szCs w:val="24"/>
          <w:u w:val="single"/>
          <w:shd w:val="clear" w:fill="FFFFFF"/>
        </w:rPr>
        <w:t> </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strike/>
          <w:dstrike w:val="0"/>
          <w:color w:val="auto"/>
          <w:sz w:val="24"/>
          <w:szCs w:val="24"/>
          <w:shd w:val="clear" w:fill="FFFFFF"/>
          <w:vertAlign w:val="superscript"/>
        </w:rPr>
        <w:t>3</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strike/>
          <w:dstrike w:val="0"/>
          <w:color w:val="auto"/>
          <w:sz w:val="24"/>
          <w:szCs w:val="24"/>
          <w:shd w:val="clear" w:fill="FFFFFF"/>
          <w:vertAlign w:val="superscript"/>
        </w:rPr>
        <w:t>4</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strike/>
          <w:dstrike w:val="0"/>
          <w:color w:val="auto"/>
          <w:sz w:val="24"/>
          <w:szCs w:val="24"/>
          <w:shd w:val="clear" w:fill="FFFFFF"/>
          <w:vertAlign w:val="superscript"/>
        </w:rPr>
        <w:t>5</w:t>
      </w:r>
      <w:r>
        <w:rPr>
          <w:rFonts w:ascii="宋体" w:hAnsi="宋体" w:eastAsia="宋体" w:cs="宋体"/>
          <w:b w:val="0"/>
          <w:bCs w:val="0"/>
          <w:color w:val="auto"/>
          <w:sz w:val="24"/>
          <w:szCs w:val="24"/>
          <w:shd w:val="clear" w:fill="FFFFFF"/>
        </w:rPr>
        <w:t>在中国境内完成。</w:t>
      </w:r>
    </w:p>
    <w:p w14:paraId="03FE9C97">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2.</w:t>
      </w:r>
      <w:r>
        <w:rPr>
          <w:rFonts w:ascii="宋体" w:hAnsi="宋体" w:eastAsia="宋体" w:cs="宋体"/>
          <w:b w:val="0"/>
          <w:bCs w:val="0"/>
          <w:color w:val="auto"/>
          <w:sz w:val="24"/>
          <w:szCs w:val="24"/>
          <w:u w:val="single"/>
          <w:shd w:val="clear" w:fill="FFFFFF"/>
        </w:rPr>
        <w:t>（产品名称2）</w:t>
      </w:r>
      <w:r>
        <w:rPr>
          <w:rFonts w:ascii="宋体" w:hAnsi="宋体" w:eastAsia="宋体" w:cs="宋体"/>
          <w:b w:val="0"/>
          <w:bCs w:val="0"/>
          <w:color w:val="auto"/>
          <w:sz w:val="24"/>
          <w:szCs w:val="24"/>
          <w:shd w:val="clear" w:fill="FFFFFF"/>
        </w:rPr>
        <w:t>，生产厂为</w:t>
      </w:r>
      <w:r>
        <w:rPr>
          <w:rFonts w:ascii="宋体" w:hAnsi="宋体" w:eastAsia="宋体" w:cs="宋体"/>
          <w:b w:val="0"/>
          <w:bCs w:val="0"/>
          <w:color w:val="auto"/>
          <w:sz w:val="24"/>
          <w:szCs w:val="24"/>
          <w:u w:val="single"/>
          <w:shd w:val="clear" w:fill="FFFFFF"/>
        </w:rPr>
        <w:t>（厂名）</w:t>
      </w:r>
      <w:r>
        <w:rPr>
          <w:rFonts w:ascii="宋体" w:hAnsi="宋体" w:eastAsia="宋体" w:cs="宋体"/>
          <w:b w:val="0"/>
          <w:bCs w:val="0"/>
          <w:color w:val="auto"/>
          <w:sz w:val="24"/>
          <w:szCs w:val="24"/>
          <w:shd w:val="clear" w:fill="FFFFFF"/>
        </w:rPr>
        <w:t>，厂址为</w:t>
      </w:r>
      <w:r>
        <w:rPr>
          <w:rFonts w:ascii="宋体" w:hAnsi="宋体" w:eastAsia="宋体" w:cs="宋体"/>
          <w:b w:val="0"/>
          <w:bCs w:val="0"/>
          <w:color w:val="auto"/>
          <w:sz w:val="24"/>
          <w:szCs w:val="24"/>
          <w:u w:val="single"/>
          <w:shd w:val="clear" w:fill="FFFFFF"/>
        </w:rPr>
        <w:t>（生产厂址）</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的中国境内生产的组件成本占比≥</w:t>
      </w:r>
      <w:r>
        <w:rPr>
          <w:rFonts w:ascii="宋体" w:hAnsi="宋体" w:eastAsia="宋体" w:cs="宋体"/>
          <w:b w:val="0"/>
          <w:bCs w:val="0"/>
          <w:strike/>
          <w:dstrike w:val="0"/>
          <w:color w:val="auto"/>
          <w:sz w:val="24"/>
          <w:szCs w:val="24"/>
          <w:u w:val="single"/>
          <w:shd w:val="clear" w:fill="FFFFFF"/>
        </w:rPr>
        <w:t>（规定比例）</w:t>
      </w:r>
      <w:r>
        <w:rPr>
          <w:rFonts w:ascii="宋体" w:hAnsi="宋体" w:eastAsia="宋体" w:cs="宋体"/>
          <w:b w:val="0"/>
          <w:bCs w:val="0"/>
          <w:color w:val="auto"/>
          <w:sz w:val="24"/>
          <w:szCs w:val="24"/>
          <w:shd w:val="clear" w:fill="FFFFFF"/>
        </w:rPr>
        <w:t>。</w:t>
      </w:r>
      <w:r>
        <w:rPr>
          <w:rFonts w:ascii="宋体" w:hAnsi="宋体" w:eastAsia="宋体" w:cs="宋体"/>
          <w:b w:val="0"/>
          <w:bCs w:val="0"/>
          <w:strike/>
          <w:dstrike w:val="0"/>
          <w:color w:val="auto"/>
          <w:sz w:val="24"/>
          <w:szCs w:val="24"/>
          <w:u w:val="single"/>
          <w:shd w:val="clear" w:fill="FFFFFF"/>
        </w:rPr>
        <w:t>（产品名称2）</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（关键组件）</w:t>
      </w:r>
      <w:r>
        <w:rPr>
          <w:rFonts w:ascii="宋体" w:hAnsi="宋体" w:eastAsia="宋体" w:cs="宋体"/>
          <w:b w:val="0"/>
          <w:bCs w:val="0"/>
          <w:color w:val="auto"/>
          <w:sz w:val="24"/>
          <w:szCs w:val="24"/>
          <w:shd w:val="clear" w:fill="FFFFFF"/>
        </w:rPr>
        <w:t>在中国境内生产。</w:t>
      </w:r>
      <w:r>
        <w:rPr>
          <w:rFonts w:ascii="宋体" w:hAnsi="宋体" w:eastAsia="宋体" w:cs="宋体"/>
          <w:b w:val="0"/>
          <w:bCs w:val="0"/>
          <w:strike/>
          <w:dstrike w:val="0"/>
          <w:color w:val="auto"/>
          <w:sz w:val="24"/>
          <w:szCs w:val="24"/>
          <w:u w:val="single"/>
          <w:shd w:val="clear" w:fill="FFFFFF"/>
        </w:rPr>
        <w:t>（产品名称1）</w:t>
      </w:r>
      <w:r>
        <w:rPr>
          <w:rFonts w:ascii="宋体" w:hAnsi="宋体" w:eastAsia="宋体" w:cs="宋体"/>
          <w:b w:val="0"/>
          <w:bCs w:val="0"/>
          <w:color w:val="auto"/>
          <w:sz w:val="24"/>
          <w:szCs w:val="24"/>
          <w:shd w:val="clear" w:fill="FFFFFF"/>
        </w:rPr>
        <w:t>的</w:t>
      </w:r>
      <w:r>
        <w:rPr>
          <w:rFonts w:ascii="宋体" w:hAnsi="宋体" w:eastAsia="宋体" w:cs="宋体"/>
          <w:b w:val="0"/>
          <w:bCs w:val="0"/>
          <w:strike/>
          <w:dstrike w:val="0"/>
          <w:color w:val="auto"/>
          <w:sz w:val="24"/>
          <w:szCs w:val="24"/>
          <w:u w:val="single"/>
          <w:shd w:val="clear" w:fill="FFFFFF"/>
        </w:rPr>
        <w:t>（关键工序）</w:t>
      </w:r>
      <w:r>
        <w:rPr>
          <w:rFonts w:ascii="宋体" w:hAnsi="宋体" w:eastAsia="宋体" w:cs="宋体"/>
          <w:b w:val="0"/>
          <w:bCs w:val="0"/>
          <w:color w:val="auto"/>
          <w:sz w:val="24"/>
          <w:szCs w:val="24"/>
          <w:shd w:val="clear" w:fill="FFFFFF"/>
        </w:rPr>
        <w:t>在中国境内完成。</w:t>
      </w:r>
    </w:p>
    <w:p w14:paraId="292A1018">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w:t>
      </w:r>
    </w:p>
    <w:p w14:paraId="32E0C71D">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b w:val="0"/>
          <w:bCs w:val="0"/>
          <w:color w:val="auto"/>
        </w:rPr>
      </w:pPr>
      <w:r>
        <w:rPr>
          <w:rFonts w:ascii="宋体" w:hAnsi="宋体" w:eastAsia="宋体" w:cs="宋体"/>
          <w:b w:val="0"/>
          <w:bCs w:val="0"/>
          <w:color w:val="auto"/>
          <w:sz w:val="24"/>
          <w:szCs w:val="24"/>
          <w:shd w:val="clear" w:fill="FFFFFF"/>
        </w:rPr>
        <w:t>本公司（单位）对上述声明内容的真实性负责。如有虚假，愿承担相应法律责任。</w:t>
      </w:r>
    </w:p>
    <w:p w14:paraId="3B3155B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rPr>
        <w:t> </w:t>
      </w:r>
    </w:p>
    <w:p w14:paraId="1BEBACC6">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right"/>
        <w:rPr>
          <w:b w:val="0"/>
          <w:bCs w:val="0"/>
          <w:color w:val="auto"/>
        </w:rPr>
      </w:pPr>
      <w:r>
        <w:rPr>
          <w:rFonts w:ascii="宋体" w:hAnsi="宋体" w:eastAsia="宋体" w:cs="宋体"/>
          <w:b w:val="0"/>
          <w:bCs w:val="0"/>
          <w:color w:val="auto"/>
          <w:sz w:val="24"/>
          <w:szCs w:val="24"/>
          <w:shd w:val="clear" w:fill="FFFFFF"/>
        </w:rPr>
        <w:t>公司（单位）名称（盖章）：　</w:t>
      </w:r>
    </w:p>
    <w:p w14:paraId="5162F540">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right"/>
        <w:rPr>
          <w:b w:val="0"/>
          <w:bCs w:val="0"/>
          <w:color w:val="auto"/>
        </w:rPr>
      </w:pPr>
      <w:r>
        <w:rPr>
          <w:rFonts w:ascii="宋体" w:hAnsi="宋体" w:eastAsia="宋体" w:cs="宋体"/>
          <w:b w:val="0"/>
          <w:bCs w:val="0"/>
          <w:color w:val="auto"/>
          <w:sz w:val="24"/>
          <w:szCs w:val="24"/>
          <w:shd w:val="clear" w:fill="FFFFFF"/>
        </w:rPr>
        <w:t>                   日期：　   年　  月　  日         </w:t>
      </w:r>
    </w:p>
    <w:p w14:paraId="78B4FEEF">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1.产品如有型号，请在“产品名称”栏一并填写。</w:t>
      </w:r>
    </w:p>
    <w:p w14:paraId="433D7C3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2.生产厂名与厂址应与生产厂营业执照载明的相关信息保持一致。</w:t>
      </w:r>
    </w:p>
    <w:p w14:paraId="3E2CB1DE">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3.该产品的中国境内生产的组件成本占比相关要求实施前，“规定比例”栏可不填，下同。</w:t>
      </w:r>
    </w:p>
    <w:p w14:paraId="4EE31391">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4.该产品的关键组件要求实施前，“关键组件”栏可不填，下同。</w:t>
      </w:r>
    </w:p>
    <w:p w14:paraId="3CF1DE92">
      <w:pPr>
        <w:pStyle w:val="7"/>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b w:val="0"/>
          <w:bCs w:val="0"/>
          <w:color w:val="auto"/>
        </w:rPr>
      </w:pPr>
      <w:r>
        <w:rPr>
          <w:rFonts w:ascii="宋体" w:hAnsi="宋体" w:eastAsia="宋体" w:cs="宋体"/>
          <w:b w:val="0"/>
          <w:bCs w:val="0"/>
          <w:color w:val="auto"/>
          <w:sz w:val="24"/>
          <w:szCs w:val="24"/>
          <w:shd w:val="clear" w:fill="FFFFFF"/>
        </w:rPr>
        <w:t>5.该产品的关键工序要求实施前，“关键工序”栏可不填，下同。</w:t>
      </w:r>
    </w:p>
    <w:p w14:paraId="2D01E9A1">
      <w:pPr>
        <w:numPr>
          <w:ilvl w:val="0"/>
          <w:numId w:val="0"/>
        </w:numP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sz w:val="24"/>
          <w:szCs w:val="24"/>
          <w:shd w:val="clear" w:fill="FFFFFF"/>
          <w:lang w:val="en-US" w:eastAsia="zh-CN"/>
        </w:rPr>
        <w:t>7</w:t>
      </w:r>
      <w:r>
        <w:rPr>
          <w:rFonts w:hint="eastAsia" w:ascii="宋体" w:hAnsi="宋体" w:eastAsia="宋体" w:cs="宋体"/>
          <w:b w:val="0"/>
          <w:bCs w:val="0"/>
          <w:color w:val="auto"/>
          <w:kern w:val="0"/>
          <w:sz w:val="24"/>
          <w:szCs w:val="24"/>
          <w:highlight w:val="none"/>
          <w:lang w:val="en-US" w:eastAsia="zh-CN" w:bidi="ar-SA"/>
        </w:rPr>
        <w:t>.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p>
    <w:p w14:paraId="2DC3236F">
      <w:pPr>
        <w:pStyle w:val="7"/>
        <w:spacing w:beforeAutospacing="0" w:afterAutospacing="0" w:line="0" w:lineRule="atLeast"/>
        <w:jc w:val="center"/>
        <w:rPr>
          <w:rFonts w:hint="eastAsia" w:asciiTheme="majorEastAsia" w:hAnsiTheme="majorEastAsia" w:eastAsiaTheme="majorEastAsia" w:cstheme="majorEastAsia"/>
          <w:color w:val="auto"/>
          <w:highlight w:val="none"/>
        </w:rPr>
      </w:pPr>
    </w:p>
    <w:p w14:paraId="0622FE8E">
      <w:pPr>
        <w:pStyle w:val="7"/>
        <w:keepNext/>
        <w:keepLines/>
        <w:spacing w:before="260" w:beforeAutospacing="0" w:after="260" w:afterAutospacing="0" w:line="415" w:lineRule="auto"/>
        <w:jc w:val="both"/>
        <w:rPr>
          <w:rFonts w:hint="eastAsia" w:asciiTheme="majorEastAsia" w:hAnsiTheme="majorEastAsia" w:eastAsiaTheme="majorEastAsia" w:cstheme="majorEastAsia"/>
          <w:b/>
          <w:color w:val="auto"/>
          <w:sz w:val="32"/>
          <w:szCs w:val="32"/>
          <w:highlight w:val="none"/>
        </w:rPr>
      </w:pPr>
    </w:p>
    <w:p w14:paraId="24D9F0B5">
      <w:pPr>
        <w:pStyle w:val="7"/>
        <w:keepNext w:val="0"/>
        <w:keepLines w:val="0"/>
        <w:pageBreakBefore w:val="0"/>
        <w:widowControl w:val="0"/>
        <w:kinsoku w:val="0"/>
        <w:wordWrap/>
        <w:overflowPunct w:val="0"/>
        <w:topLinePunct w:val="0"/>
        <w:autoSpaceDE w:val="0"/>
        <w:autoSpaceDN w:val="0"/>
        <w:bidi w:val="0"/>
        <w:adjustRightInd/>
        <w:snapToGrid/>
        <w:spacing w:before="260" w:beforeAutospacing="0" w:after="260" w:afterAutospacing="0" w:line="416" w:lineRule="auto"/>
        <w:jc w:val="both"/>
        <w:textAlignment w:val="auto"/>
        <w:rPr>
          <w:rFonts w:hint="eastAsia" w:asciiTheme="majorEastAsia" w:hAnsiTheme="majorEastAsia" w:eastAsiaTheme="majorEastAsia" w:cstheme="majorEastAsia"/>
          <w:b/>
          <w:color w:val="auto"/>
          <w:sz w:val="32"/>
          <w:szCs w:val="32"/>
          <w:highlight w:val="none"/>
        </w:rPr>
      </w:pPr>
    </w:p>
    <w:p w14:paraId="412D223C">
      <w:pPr>
        <w:pStyle w:val="7"/>
        <w:keepNext/>
        <w:keepLines/>
        <w:spacing w:before="260" w:beforeAutospacing="0" w:after="260" w:afterAutospacing="0" w:line="415" w:lineRule="auto"/>
        <w:ind w:firstLine="2249" w:firstLineChars="70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十</w:t>
      </w:r>
      <w:r>
        <w:rPr>
          <w:rFonts w:hint="eastAsia" w:asciiTheme="majorEastAsia" w:hAnsiTheme="majorEastAsia" w:eastAsiaTheme="majorEastAsia" w:cstheme="majorEastAsia"/>
          <w:b/>
          <w:color w:val="auto"/>
          <w:sz w:val="32"/>
          <w:szCs w:val="32"/>
          <w:highlight w:val="none"/>
          <w:lang w:val="en-US" w:eastAsia="zh-CN"/>
        </w:rPr>
        <w:t>二</w:t>
      </w:r>
      <w:r>
        <w:rPr>
          <w:rFonts w:hint="eastAsia" w:asciiTheme="majorEastAsia" w:hAnsiTheme="majorEastAsia" w:eastAsiaTheme="majorEastAsia" w:cstheme="majorEastAsia"/>
          <w:b/>
          <w:color w:val="auto"/>
          <w:sz w:val="32"/>
          <w:szCs w:val="32"/>
          <w:highlight w:val="none"/>
        </w:rPr>
        <w:t>、投标分项报价表</w:t>
      </w:r>
    </w:p>
    <w:tbl>
      <w:tblPr>
        <w:tblStyle w:val="8"/>
        <w:tblW w:w="8518" w:type="dxa"/>
        <w:tblCellSpacing w:w="0" w:type="dxa"/>
        <w:tblInd w:w="10" w:type="dxa"/>
        <w:tblLayout w:type="fixed"/>
        <w:tblCellMar>
          <w:top w:w="0" w:type="dxa"/>
          <w:left w:w="108" w:type="dxa"/>
          <w:bottom w:w="0" w:type="dxa"/>
          <w:right w:w="108" w:type="dxa"/>
        </w:tblCellMar>
      </w:tblPr>
      <w:tblGrid>
        <w:gridCol w:w="924"/>
        <w:gridCol w:w="1217"/>
        <w:gridCol w:w="1205"/>
        <w:gridCol w:w="878"/>
        <w:gridCol w:w="1129"/>
        <w:gridCol w:w="1502"/>
        <w:gridCol w:w="1663"/>
      </w:tblGrid>
      <w:tr w14:paraId="4CC6AFCE">
        <w:tblPrEx>
          <w:tblCellMar>
            <w:top w:w="0" w:type="dxa"/>
            <w:left w:w="108" w:type="dxa"/>
            <w:bottom w:w="0" w:type="dxa"/>
            <w:right w:w="108" w:type="dxa"/>
          </w:tblCellMar>
        </w:tblPrEx>
        <w:trPr>
          <w:trHeight w:val="544" w:hRule="atLeast"/>
          <w:tblCellSpacing w:w="0" w:type="dxa"/>
        </w:trPr>
        <w:tc>
          <w:tcPr>
            <w:tcW w:w="92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83AB177">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序号</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2D4EB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1</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794DA">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2</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0EE0">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3</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D12B03">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4</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C7B238">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5</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3D121C">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6</w:t>
            </w:r>
          </w:p>
        </w:tc>
      </w:tr>
      <w:tr w14:paraId="3E73B3DB">
        <w:tblPrEx>
          <w:tblCellMar>
            <w:top w:w="0" w:type="dxa"/>
            <w:left w:w="108" w:type="dxa"/>
            <w:bottom w:w="0" w:type="dxa"/>
            <w:right w:w="108" w:type="dxa"/>
          </w:tblCellMar>
        </w:tblPrEx>
        <w:trPr>
          <w:trHeight w:val="294" w:hRule="atLeast"/>
          <w:tblCellSpacing w:w="0" w:type="dxa"/>
        </w:trPr>
        <w:tc>
          <w:tcPr>
            <w:tcW w:w="92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B8EE4F5">
            <w:pPr>
              <w:rPr>
                <w:rFonts w:hint="eastAsia" w:asciiTheme="majorEastAsia" w:hAnsiTheme="majorEastAsia" w:eastAsiaTheme="majorEastAsia" w:cstheme="majorEastAsia"/>
                <w:color w:val="auto"/>
                <w:sz w:val="24"/>
              </w:rPr>
            </w:pP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5C3869">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分项服务名称</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3DB68D">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交付期</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5742E7">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分项单位</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692BE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数量</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BD7BC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分项</w:t>
            </w:r>
          </w:p>
          <w:p w14:paraId="3E31F702">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单价</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513A98">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分项</w:t>
            </w:r>
          </w:p>
          <w:p w14:paraId="43668EEA">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总价</w:t>
            </w:r>
          </w:p>
        </w:tc>
      </w:tr>
      <w:tr w14:paraId="7808243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B2429">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1</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D4CEF3">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EEA36">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19531">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FF242E">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93A71">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A0EEE7">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r>
      <w:tr w14:paraId="15DDBEEC">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CE4280">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607464">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CF24A5">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E5516">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1FB620">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9F2DD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EEF97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r>
      <w:tr w14:paraId="3E7E4927">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DB94D5">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3</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1BC96">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F13D8">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591A75">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50EE7C">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A2FB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92573D">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r>
      <w:tr w14:paraId="0D51A245">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CE5C41">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E1ADAB">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w:t>
            </w:r>
          </w:p>
        </w:tc>
        <w:tc>
          <w:tcPr>
            <w:tcW w:w="1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A7328F">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07A1D">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12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570F51">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5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2B3C42">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98ABE">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r>
      <w:tr w14:paraId="70C4CF05">
        <w:tblPrEx>
          <w:tblCellMar>
            <w:top w:w="0" w:type="dxa"/>
            <w:left w:w="108" w:type="dxa"/>
            <w:bottom w:w="0" w:type="dxa"/>
            <w:right w:w="108" w:type="dxa"/>
          </w:tblCellMar>
        </w:tblPrEx>
        <w:trPr>
          <w:trHeight w:val="487" w:hRule="atLeast"/>
          <w:tblCellSpacing w:w="0" w:type="dxa"/>
        </w:trPr>
        <w:tc>
          <w:tcPr>
            <w:tcW w:w="6855"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5FD4A3B9">
            <w:pPr>
              <w:pStyle w:val="7"/>
              <w:spacing w:beforeAutospacing="0" w:afterAutospacing="0" w:line="0" w:lineRule="atLeast"/>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总报价（人民币：元）</w:t>
            </w:r>
          </w:p>
        </w:tc>
        <w:tc>
          <w:tcPr>
            <w:tcW w:w="16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FA6B6F">
            <w:pPr>
              <w:pStyle w:val="7"/>
              <w:spacing w:beforeAutospacing="0" w:afterAutospacing="0" w:line="0" w:lineRule="atLeast"/>
              <w:jc w:val="both"/>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 </w:t>
            </w:r>
          </w:p>
        </w:tc>
      </w:tr>
    </w:tbl>
    <w:p w14:paraId="5B754E6A">
      <w:pPr>
        <w:pStyle w:val="7"/>
        <w:spacing w:beforeAutospacing="0" w:afterAutospacing="0" w:line="0" w:lineRule="atLeast"/>
        <w:ind w:firstLine="480"/>
        <w:jc w:val="both"/>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 </w:t>
      </w:r>
    </w:p>
    <w:p w14:paraId="21B7EE4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70D2C77">
      <w:pPr>
        <w:pStyle w:val="7"/>
        <w:spacing w:beforeAutospacing="0" w:afterAutospacing="0"/>
        <w:jc w:val="both"/>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备注： 报价采用总承包方式，投标人的“总报价”应包括采购人需求的服务（包含与服务相关的产品）价格、质量保证费用、培训费用及售后服务费用，项目在指定地点、环境交付、安装、调试、验收所需费用和所有相关税金费用及为完成整个项目所产生的其他所有费用。</w:t>
      </w:r>
    </w:p>
    <w:p w14:paraId="5918655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263C6F6">
      <w:pPr>
        <w:pStyle w:val="7"/>
        <w:spacing w:beforeAutospacing="0" w:afterAutospacing="0"/>
        <w:jc w:val="center"/>
        <w:rPr>
          <w:rFonts w:hint="eastAsia" w:asciiTheme="majorEastAsia" w:hAnsiTheme="majorEastAsia" w:eastAsiaTheme="majorEastAsia" w:cstheme="majorEastAsia"/>
          <w:color w:val="auto"/>
          <w:highlight w:val="none"/>
        </w:rPr>
      </w:pPr>
    </w:p>
    <w:p w14:paraId="5D2C9749">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jc w:val="right"/>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供应商全称（加盖CA电子公章）：</w:t>
      </w:r>
    </w:p>
    <w:p w14:paraId="6BAA9837">
      <w:pPr>
        <w:pStyle w:val="7"/>
        <w:keepNext w:val="0"/>
        <w:keepLines w:val="0"/>
        <w:pageBreakBefore w:val="0"/>
        <w:widowControl w:val="0"/>
        <w:tabs>
          <w:tab w:val="left" w:pos="4864"/>
        </w:tabs>
        <w:kinsoku/>
        <w:wordWrap/>
        <w:overflowPunct/>
        <w:topLinePunct w:val="0"/>
        <w:autoSpaceDE/>
        <w:autoSpaceDN/>
        <w:bidi w:val="0"/>
        <w:adjustRightInd/>
        <w:snapToGrid/>
        <w:spacing w:beforeAutospacing="0" w:afterAutospacing="0" w:line="480" w:lineRule="auto"/>
        <w:ind w:right="1560" w:firstLine="480"/>
        <w:jc w:val="right"/>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日  期：</w:t>
      </w:r>
    </w:p>
    <w:p w14:paraId="239FFD3B">
      <w:pPr>
        <w:rPr>
          <w:rFonts w:hint="eastAsia" w:asciiTheme="majorEastAsia" w:hAnsiTheme="majorEastAsia" w:eastAsiaTheme="majorEastAsia" w:cstheme="majorEastAsia"/>
          <w:b/>
          <w:color w:val="auto"/>
          <w:sz w:val="32"/>
          <w:szCs w:val="32"/>
          <w:highlight w:val="none"/>
        </w:rPr>
      </w:pPr>
    </w:p>
    <w:p w14:paraId="08314B66">
      <w:pPr>
        <w:pStyle w:val="12"/>
        <w:rPr>
          <w:rFonts w:hint="eastAsia" w:asciiTheme="majorEastAsia" w:hAnsiTheme="majorEastAsia" w:eastAsiaTheme="majorEastAsia" w:cstheme="majorEastAsia"/>
          <w:b/>
          <w:color w:val="auto"/>
          <w:sz w:val="32"/>
          <w:szCs w:val="32"/>
          <w:highlight w:val="none"/>
        </w:rPr>
      </w:pPr>
    </w:p>
    <w:p w14:paraId="562ACBCF">
      <w:pPr>
        <w:pStyle w:val="12"/>
        <w:rPr>
          <w:rFonts w:hint="eastAsia" w:asciiTheme="majorEastAsia" w:hAnsiTheme="majorEastAsia" w:eastAsiaTheme="majorEastAsia" w:cstheme="majorEastAsia"/>
          <w:b/>
          <w:color w:val="auto"/>
          <w:sz w:val="32"/>
          <w:szCs w:val="32"/>
          <w:highlight w:val="none"/>
        </w:rPr>
      </w:pPr>
    </w:p>
    <w:p w14:paraId="32746073">
      <w:pPr>
        <w:pStyle w:val="12"/>
        <w:rPr>
          <w:rFonts w:hint="eastAsia" w:asciiTheme="majorEastAsia" w:hAnsiTheme="majorEastAsia" w:eastAsiaTheme="majorEastAsia" w:cstheme="majorEastAsia"/>
          <w:b/>
          <w:color w:val="auto"/>
          <w:sz w:val="32"/>
          <w:szCs w:val="32"/>
          <w:highlight w:val="none"/>
        </w:rPr>
      </w:pPr>
    </w:p>
    <w:p w14:paraId="3D7FF3B5">
      <w:pPr>
        <w:pStyle w:val="12"/>
        <w:rPr>
          <w:rFonts w:hint="eastAsia" w:asciiTheme="majorEastAsia" w:hAnsiTheme="majorEastAsia" w:eastAsiaTheme="majorEastAsia" w:cstheme="majorEastAsia"/>
          <w:b/>
          <w:color w:val="auto"/>
          <w:sz w:val="32"/>
          <w:szCs w:val="32"/>
          <w:highlight w:val="none"/>
        </w:rPr>
      </w:pPr>
    </w:p>
    <w:p w14:paraId="35D4A384">
      <w:pPr>
        <w:pStyle w:val="12"/>
        <w:rPr>
          <w:rFonts w:hint="eastAsia" w:asciiTheme="majorEastAsia" w:hAnsiTheme="majorEastAsia" w:eastAsiaTheme="majorEastAsia" w:cstheme="majorEastAsia"/>
          <w:b/>
          <w:color w:val="auto"/>
          <w:sz w:val="32"/>
          <w:szCs w:val="32"/>
          <w:highlight w:val="none"/>
        </w:rPr>
      </w:pPr>
    </w:p>
    <w:p w14:paraId="54DEE291">
      <w:pPr>
        <w:pStyle w:val="12"/>
        <w:rPr>
          <w:rFonts w:hint="eastAsia" w:asciiTheme="majorEastAsia" w:hAnsiTheme="majorEastAsia" w:eastAsiaTheme="majorEastAsia" w:cstheme="majorEastAsia"/>
          <w:b/>
          <w:color w:val="auto"/>
          <w:sz w:val="32"/>
          <w:szCs w:val="32"/>
          <w:highlight w:val="none"/>
        </w:rPr>
      </w:pPr>
    </w:p>
    <w:p w14:paraId="5141F054">
      <w:pPr>
        <w:pStyle w:val="7"/>
        <w:keepNext/>
        <w:keepLines/>
        <w:spacing w:before="260" w:beforeAutospacing="0" w:after="260" w:afterAutospacing="0" w:line="415" w:lineRule="auto"/>
        <w:ind w:firstLine="1928" w:firstLineChars="60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十</w:t>
      </w:r>
      <w:r>
        <w:rPr>
          <w:rFonts w:hint="eastAsia" w:asciiTheme="majorEastAsia" w:hAnsiTheme="majorEastAsia" w:eastAsiaTheme="majorEastAsia" w:cstheme="majorEastAsia"/>
          <w:b/>
          <w:color w:val="auto"/>
          <w:sz w:val="32"/>
          <w:szCs w:val="32"/>
          <w:highlight w:val="none"/>
          <w:lang w:val="en-US" w:eastAsia="zh-CN"/>
        </w:rPr>
        <w:t>三</w:t>
      </w:r>
      <w:r>
        <w:rPr>
          <w:rFonts w:hint="eastAsia" w:asciiTheme="majorEastAsia" w:hAnsiTheme="majorEastAsia" w:eastAsiaTheme="majorEastAsia" w:cstheme="majorEastAsia"/>
          <w:b/>
          <w:color w:val="auto"/>
          <w:sz w:val="32"/>
          <w:szCs w:val="32"/>
          <w:highlight w:val="none"/>
        </w:rPr>
        <w:t>、技术要求响应及偏离表</w:t>
      </w:r>
    </w:p>
    <w:tbl>
      <w:tblPr>
        <w:tblStyle w:val="8"/>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236BF08D">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C5392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2E0F0F">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F14D1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7AFF8">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52EC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证明</w:t>
            </w:r>
          </w:p>
          <w:p w14:paraId="2897B26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材料</w:t>
            </w:r>
          </w:p>
        </w:tc>
      </w:tr>
      <w:tr w14:paraId="0502108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006DB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5E813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E63DB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79B5A5">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EEFB6F">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4E2776D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9C7C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52FEF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D981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955372">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F26B4">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1759175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7515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3D168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A7D78C">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5D6B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A93DC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7EE79DAE">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FEC5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57C9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B29091">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FA97E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22B2EF">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74B519A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B088F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317A68">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E41705">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AE4CB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C3CBD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5F7D801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AE514">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52CF34">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81525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D10FD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EC21CE">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097B04D4">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AD439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9F311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7832E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B8F85E">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C008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6711EAE3">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C61D4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4C1F3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C26B8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713F2">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6CEFF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14:paraId="3C27A6F9">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 行数不够，可自行添加。</w:t>
      </w:r>
    </w:p>
    <w:p w14:paraId="0D86774F">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ACEAA2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FE5212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5C3237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11352AC">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2AA628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269C3491">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E866F95">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7C75E89D">
      <w:pPr>
        <w:pStyle w:val="7"/>
        <w:spacing w:beforeAutospacing="0" w:afterAutospacing="0"/>
        <w:jc w:val="both"/>
        <w:rPr>
          <w:rFonts w:hint="eastAsia" w:asciiTheme="majorEastAsia" w:hAnsiTheme="majorEastAsia" w:eastAsiaTheme="majorEastAsia" w:cstheme="majorEastAsia"/>
          <w:color w:val="auto"/>
          <w:highlight w:val="none"/>
        </w:rPr>
      </w:pPr>
    </w:p>
    <w:p w14:paraId="59FC74A0">
      <w:pPr>
        <w:pStyle w:val="7"/>
        <w:spacing w:beforeAutospacing="0" w:afterAutospacing="0"/>
        <w:jc w:val="both"/>
        <w:rPr>
          <w:rFonts w:hint="eastAsia" w:asciiTheme="majorEastAsia" w:hAnsiTheme="majorEastAsia" w:eastAsiaTheme="majorEastAsia" w:cstheme="majorEastAsia"/>
          <w:color w:val="auto"/>
          <w:highlight w:val="none"/>
        </w:rPr>
      </w:pPr>
    </w:p>
    <w:p w14:paraId="57D94F4F">
      <w:pPr>
        <w:pStyle w:val="7"/>
        <w:spacing w:beforeAutospacing="0" w:afterAutospacing="0"/>
        <w:jc w:val="both"/>
        <w:rPr>
          <w:rFonts w:hint="eastAsia" w:asciiTheme="majorEastAsia" w:hAnsiTheme="majorEastAsia" w:eastAsiaTheme="majorEastAsia" w:cstheme="majorEastAsia"/>
          <w:color w:val="auto"/>
          <w:highlight w:val="none"/>
        </w:rPr>
      </w:pPr>
    </w:p>
    <w:p w14:paraId="48DF9441">
      <w:pPr>
        <w:pStyle w:val="7"/>
        <w:spacing w:beforeAutospacing="0" w:afterAutospacing="0"/>
        <w:jc w:val="both"/>
        <w:rPr>
          <w:rFonts w:hint="eastAsia" w:asciiTheme="majorEastAsia" w:hAnsiTheme="majorEastAsia" w:eastAsiaTheme="majorEastAsia" w:cstheme="majorEastAsia"/>
          <w:color w:val="auto"/>
          <w:highlight w:val="none"/>
        </w:rPr>
      </w:pPr>
    </w:p>
    <w:p w14:paraId="551D5252">
      <w:pPr>
        <w:pStyle w:val="7"/>
        <w:spacing w:beforeAutospacing="0" w:afterAutospacing="0"/>
        <w:jc w:val="both"/>
        <w:rPr>
          <w:rFonts w:hint="eastAsia" w:asciiTheme="majorEastAsia" w:hAnsiTheme="majorEastAsia" w:eastAsiaTheme="majorEastAsia" w:cstheme="majorEastAsia"/>
          <w:color w:val="auto"/>
          <w:highlight w:val="none"/>
        </w:rPr>
      </w:pPr>
    </w:p>
    <w:p w14:paraId="2E74F40B">
      <w:pPr>
        <w:pStyle w:val="7"/>
        <w:spacing w:beforeAutospacing="0" w:afterAutospacing="0"/>
        <w:jc w:val="both"/>
        <w:rPr>
          <w:rFonts w:hint="eastAsia" w:asciiTheme="majorEastAsia" w:hAnsiTheme="majorEastAsia" w:eastAsiaTheme="majorEastAsia" w:cstheme="majorEastAsia"/>
          <w:color w:val="auto"/>
          <w:highlight w:val="none"/>
        </w:rPr>
      </w:pPr>
    </w:p>
    <w:p w14:paraId="3E6C70E6">
      <w:pPr>
        <w:pStyle w:val="7"/>
        <w:spacing w:beforeAutospacing="0" w:afterAutospacing="0"/>
        <w:jc w:val="both"/>
        <w:rPr>
          <w:rFonts w:hint="eastAsia" w:asciiTheme="majorEastAsia" w:hAnsiTheme="majorEastAsia" w:eastAsiaTheme="majorEastAsia" w:cstheme="majorEastAsia"/>
          <w:color w:val="auto"/>
          <w:highlight w:val="none"/>
        </w:rPr>
      </w:pPr>
    </w:p>
    <w:p w14:paraId="0D9F746D">
      <w:pPr>
        <w:pStyle w:val="7"/>
        <w:spacing w:beforeAutospacing="0" w:afterAutospacing="0"/>
        <w:jc w:val="both"/>
        <w:rPr>
          <w:rFonts w:hint="eastAsia" w:asciiTheme="majorEastAsia" w:hAnsiTheme="majorEastAsia" w:eastAsiaTheme="majorEastAsia" w:cstheme="majorEastAsia"/>
          <w:color w:val="auto"/>
          <w:highlight w:val="none"/>
        </w:rPr>
      </w:pPr>
    </w:p>
    <w:p w14:paraId="1863A0BD">
      <w:pPr>
        <w:pStyle w:val="7"/>
        <w:spacing w:beforeAutospacing="0" w:afterAutospacing="0"/>
        <w:jc w:val="both"/>
        <w:rPr>
          <w:rFonts w:hint="eastAsia" w:asciiTheme="majorEastAsia" w:hAnsiTheme="majorEastAsia" w:eastAsiaTheme="majorEastAsia" w:cstheme="majorEastAsia"/>
          <w:color w:val="auto"/>
          <w:highlight w:val="none"/>
        </w:rPr>
      </w:pPr>
    </w:p>
    <w:p w14:paraId="2FB0CC53">
      <w:pPr>
        <w:pStyle w:val="7"/>
        <w:spacing w:beforeAutospacing="0" w:afterAutospacing="0"/>
        <w:jc w:val="both"/>
        <w:rPr>
          <w:rFonts w:hint="eastAsia" w:asciiTheme="majorEastAsia" w:hAnsiTheme="majorEastAsia" w:eastAsiaTheme="majorEastAsia" w:cstheme="majorEastAsia"/>
          <w:color w:val="auto"/>
          <w:highlight w:val="none"/>
        </w:rPr>
      </w:pPr>
    </w:p>
    <w:p w14:paraId="78E77655">
      <w:pPr>
        <w:pStyle w:val="7"/>
        <w:spacing w:beforeAutospacing="0" w:afterAutospacing="0"/>
        <w:jc w:val="both"/>
        <w:rPr>
          <w:rFonts w:hint="eastAsia" w:asciiTheme="majorEastAsia" w:hAnsiTheme="majorEastAsia" w:eastAsiaTheme="majorEastAsia" w:cstheme="majorEastAsia"/>
          <w:color w:val="auto"/>
          <w:highlight w:val="none"/>
        </w:rPr>
      </w:pPr>
    </w:p>
    <w:p w14:paraId="6B20DC14">
      <w:pPr>
        <w:pStyle w:val="7"/>
        <w:keepNext/>
        <w:keepLines/>
        <w:spacing w:before="260" w:beforeAutospacing="0" w:after="260" w:afterAutospacing="0" w:line="415" w:lineRule="auto"/>
        <w:ind w:firstLine="1928" w:firstLineChars="600"/>
        <w:jc w:val="both"/>
        <w:rPr>
          <w:rFonts w:hint="eastAsia" w:asciiTheme="majorEastAsia" w:hAnsiTheme="majorEastAsia" w:eastAsiaTheme="majorEastAsia" w:cstheme="majorEastAsia"/>
          <w:b/>
          <w:color w:val="auto"/>
          <w:sz w:val="32"/>
          <w:szCs w:val="32"/>
          <w:highlight w:val="none"/>
        </w:rPr>
      </w:pPr>
      <w:bookmarkStart w:id="187" w:name="_Hlt26955054"/>
      <w:r>
        <w:rPr>
          <w:rFonts w:hint="eastAsia" w:asciiTheme="majorEastAsia" w:hAnsiTheme="majorEastAsia" w:eastAsiaTheme="majorEastAsia" w:cstheme="majorEastAsia"/>
          <w:b/>
          <w:color w:val="auto"/>
          <w:sz w:val="32"/>
          <w:szCs w:val="32"/>
          <w:highlight w:val="none"/>
          <w:lang w:val="en-US" w:eastAsia="zh-CN"/>
        </w:rPr>
        <w:t>十四</w:t>
      </w:r>
      <w:r>
        <w:rPr>
          <w:rFonts w:hint="eastAsia" w:asciiTheme="majorEastAsia" w:hAnsiTheme="majorEastAsia" w:eastAsiaTheme="majorEastAsia" w:cstheme="majorEastAsia"/>
          <w:b/>
          <w:color w:val="auto"/>
          <w:sz w:val="32"/>
          <w:szCs w:val="32"/>
          <w:highlight w:val="none"/>
        </w:rPr>
        <w:t>、商务要求响应及偏离表</w:t>
      </w:r>
    </w:p>
    <w:tbl>
      <w:tblPr>
        <w:tblStyle w:val="8"/>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468F6A9E">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FA609">
            <w:pPr>
              <w:pStyle w:val="7"/>
              <w:spacing w:beforeAutospacing="0" w:afterAutospacing="0"/>
              <w:jc w:val="center"/>
              <w:rPr>
                <w:rFonts w:hint="eastAsia" w:asciiTheme="majorEastAsia" w:hAnsiTheme="majorEastAsia" w:eastAsiaTheme="majorEastAsia" w:cstheme="majorEastAsia"/>
                <w:color w:val="auto"/>
                <w:highlight w:val="none"/>
              </w:rPr>
            </w:pPr>
            <w:bookmarkStart w:id="188" w:name="_Hlt26671372"/>
            <w:bookmarkStart w:id="189" w:name="_Hlt26671343"/>
            <w:bookmarkStart w:id="190" w:name="_Hlt26782999"/>
            <w:bookmarkStart w:id="191" w:name="_Hlt26609391"/>
            <w:bookmarkStart w:id="192" w:name="_Hlt26955064"/>
            <w:bookmarkStart w:id="193" w:name="_Hlt24879081"/>
            <w:bookmarkStart w:id="194" w:name="_Hlt26580838"/>
            <w:bookmarkStart w:id="195" w:name="_Hlt26955056"/>
            <w:r>
              <w:rPr>
                <w:rFonts w:hint="eastAsia" w:asciiTheme="majorEastAsia" w:hAnsiTheme="majorEastAsia" w:eastAsiaTheme="majorEastAsia" w:cstheme="majorEastAsia"/>
                <w:color w:val="auto"/>
                <w:highlight w:val="none"/>
              </w:rPr>
              <w:t>序号</w:t>
            </w:r>
          </w:p>
          <w:bookmarkEnd w:id="188"/>
          <w:bookmarkEnd w:id="189"/>
          <w:bookmarkEnd w:id="190"/>
          <w:bookmarkEnd w:id="191"/>
          <w:bookmarkEnd w:id="192"/>
          <w:bookmarkEnd w:id="193"/>
          <w:bookmarkEnd w:id="194"/>
          <w:bookmarkEnd w:id="195"/>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4E7CCC">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0729D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15ED5">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85858">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证明</w:t>
            </w:r>
          </w:p>
          <w:p w14:paraId="2529592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材料</w:t>
            </w:r>
          </w:p>
        </w:tc>
      </w:tr>
      <w:tr w14:paraId="0AC942F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1F0E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B2F26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FFCCAC">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5C8C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66AF9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6921775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6372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C9605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3A85F">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6445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36C7C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428EDFB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2AEF8B">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B3315C">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A483D5">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1C0B92">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6349A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16102155">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B469BE">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ADA9E">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4381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3B624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67A50">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3744AE2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DDDCD1">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8AF3B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183FE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AF241">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D03AA">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51FA657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E008B1">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DCFCE4">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89A8C3">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AD387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B4C5E2">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1EC37756">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1168A9">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CA69FD">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40D2F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63E6DE">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FB77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r w14:paraId="1F49D35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194AD6">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9D4985">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C82FAC">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040A1">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3FA837">
            <w:pPr>
              <w:pStyle w:val="7"/>
              <w:spacing w:beforeAutospacing="0" w:afterAutospacing="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tc>
      </w:tr>
    </w:tbl>
    <w:p w14:paraId="682195F2">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注： 行数不够，可自行添加。</w:t>
      </w:r>
    </w:p>
    <w:p w14:paraId="6F70EB87">
      <w:pPr>
        <w:pStyle w:val="7"/>
        <w:spacing w:beforeAutospacing="0" w:afterAutospacing="0" w:line="48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60939A0">
      <w:pPr>
        <w:pStyle w:val="7"/>
        <w:spacing w:beforeAutospacing="0" w:afterAutospacing="0" w:line="48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49E25FF8">
      <w:pPr>
        <w:pStyle w:val="7"/>
        <w:spacing w:beforeAutospacing="0" w:afterAutospacing="0"/>
        <w:jc w:val="center"/>
        <w:rPr>
          <w:rFonts w:hint="eastAsia" w:asciiTheme="majorEastAsia" w:hAnsiTheme="majorEastAsia" w:eastAsiaTheme="majorEastAsia" w:cstheme="majorEastAsia"/>
          <w:color w:val="auto"/>
          <w:highlight w:val="none"/>
        </w:rPr>
      </w:pPr>
      <w:bookmarkStart w:id="196" w:name="_Hlt26609389"/>
      <w:bookmarkStart w:id="197" w:name="_Hlt26671374"/>
      <w:bookmarkStart w:id="198" w:name="_Toc462564146"/>
      <w:bookmarkStart w:id="199" w:name="_格式2__法定代表人授权书"/>
      <w:bookmarkStart w:id="200" w:name="_Hlt26955066"/>
      <w:r>
        <w:rPr>
          <w:rFonts w:hint="eastAsia" w:asciiTheme="majorEastAsia" w:hAnsiTheme="majorEastAsia" w:eastAsiaTheme="majorEastAsia" w:cstheme="majorEastAsia"/>
          <w:color w:val="auto"/>
          <w:highlight w:val="none"/>
        </w:rPr>
        <w:t> </w:t>
      </w:r>
    </w:p>
    <w:p w14:paraId="3BC35D0F">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375D2A0B">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4A647F3">
      <w:pPr>
        <w:pStyle w:val="7"/>
        <w:spacing w:beforeAutospacing="0" w:afterAutospacing="0"/>
        <w:jc w:val="both"/>
        <w:rPr>
          <w:rFonts w:hint="eastAsia" w:asciiTheme="majorEastAsia" w:hAnsiTheme="majorEastAsia" w:eastAsiaTheme="majorEastAsia" w:cstheme="majorEastAsia"/>
          <w:color w:val="auto"/>
          <w:highlight w:val="none"/>
        </w:rPr>
      </w:pPr>
    </w:p>
    <w:p w14:paraId="70F63D70">
      <w:pPr>
        <w:pStyle w:val="7"/>
        <w:spacing w:beforeAutospacing="0" w:afterAutospacing="0"/>
        <w:jc w:val="both"/>
        <w:rPr>
          <w:rFonts w:hint="eastAsia" w:asciiTheme="majorEastAsia" w:hAnsiTheme="majorEastAsia" w:eastAsiaTheme="majorEastAsia" w:cstheme="majorEastAsia"/>
          <w:color w:val="auto"/>
          <w:highlight w:val="none"/>
        </w:rPr>
      </w:pPr>
    </w:p>
    <w:p w14:paraId="1C02F44B">
      <w:pPr>
        <w:pStyle w:val="7"/>
        <w:spacing w:beforeAutospacing="0" w:afterAutospacing="0"/>
        <w:jc w:val="both"/>
        <w:rPr>
          <w:rFonts w:hint="eastAsia" w:asciiTheme="majorEastAsia" w:hAnsiTheme="majorEastAsia" w:eastAsiaTheme="majorEastAsia" w:cstheme="majorEastAsia"/>
          <w:color w:val="auto"/>
          <w:highlight w:val="none"/>
        </w:rPr>
      </w:pPr>
    </w:p>
    <w:p w14:paraId="110AF0D1">
      <w:pPr>
        <w:pStyle w:val="7"/>
        <w:spacing w:beforeAutospacing="0" w:afterAutospacing="0"/>
        <w:jc w:val="both"/>
        <w:rPr>
          <w:rFonts w:hint="eastAsia" w:asciiTheme="majorEastAsia" w:hAnsiTheme="majorEastAsia" w:eastAsiaTheme="majorEastAsia" w:cstheme="majorEastAsia"/>
          <w:color w:val="auto"/>
          <w:highlight w:val="none"/>
        </w:rPr>
      </w:pPr>
    </w:p>
    <w:p w14:paraId="0B0B4EE2">
      <w:pPr>
        <w:pStyle w:val="7"/>
        <w:spacing w:beforeAutospacing="0" w:afterAutospacing="0"/>
        <w:jc w:val="both"/>
        <w:rPr>
          <w:rFonts w:hint="eastAsia" w:asciiTheme="majorEastAsia" w:hAnsiTheme="majorEastAsia" w:eastAsiaTheme="majorEastAsia" w:cstheme="majorEastAsia"/>
          <w:color w:val="auto"/>
          <w:highlight w:val="none"/>
        </w:rPr>
      </w:pPr>
    </w:p>
    <w:p w14:paraId="0AEAE846">
      <w:pPr>
        <w:pStyle w:val="7"/>
        <w:spacing w:beforeAutospacing="0" w:afterAutospacing="0"/>
        <w:jc w:val="both"/>
        <w:rPr>
          <w:rFonts w:hint="eastAsia" w:asciiTheme="majorEastAsia" w:hAnsiTheme="majorEastAsia" w:eastAsiaTheme="majorEastAsia" w:cstheme="majorEastAsia"/>
          <w:color w:val="auto"/>
          <w:highlight w:val="none"/>
        </w:rPr>
      </w:pPr>
    </w:p>
    <w:p w14:paraId="380A40F0">
      <w:pPr>
        <w:pStyle w:val="7"/>
        <w:spacing w:beforeAutospacing="0" w:afterAutospacing="0"/>
        <w:jc w:val="both"/>
        <w:rPr>
          <w:rFonts w:hint="eastAsia" w:asciiTheme="majorEastAsia" w:hAnsiTheme="majorEastAsia" w:eastAsiaTheme="majorEastAsia" w:cstheme="majorEastAsia"/>
          <w:color w:val="auto"/>
          <w:highlight w:val="none"/>
        </w:rPr>
      </w:pPr>
    </w:p>
    <w:p w14:paraId="30AF8157">
      <w:pPr>
        <w:pStyle w:val="7"/>
        <w:spacing w:beforeAutospacing="0" w:afterAutospacing="0"/>
        <w:jc w:val="both"/>
        <w:rPr>
          <w:rFonts w:hint="eastAsia" w:asciiTheme="majorEastAsia" w:hAnsiTheme="majorEastAsia" w:eastAsiaTheme="majorEastAsia" w:cstheme="majorEastAsia"/>
          <w:color w:val="auto"/>
          <w:highlight w:val="none"/>
        </w:rPr>
      </w:pPr>
    </w:p>
    <w:p w14:paraId="4D9230EC">
      <w:pPr>
        <w:pStyle w:val="7"/>
        <w:spacing w:beforeAutospacing="0" w:afterAutospacing="0"/>
        <w:jc w:val="both"/>
        <w:rPr>
          <w:rFonts w:hint="eastAsia" w:asciiTheme="majorEastAsia" w:hAnsiTheme="majorEastAsia" w:eastAsiaTheme="majorEastAsia" w:cstheme="majorEastAsia"/>
          <w:color w:val="auto"/>
          <w:highlight w:val="none"/>
        </w:rPr>
      </w:pPr>
    </w:p>
    <w:p w14:paraId="5A438B1F">
      <w:pPr>
        <w:pStyle w:val="7"/>
        <w:spacing w:beforeAutospacing="0" w:afterAutospacing="0"/>
        <w:jc w:val="both"/>
        <w:rPr>
          <w:rFonts w:hint="eastAsia" w:asciiTheme="majorEastAsia" w:hAnsiTheme="majorEastAsia" w:eastAsiaTheme="majorEastAsia" w:cstheme="majorEastAsia"/>
          <w:color w:val="auto"/>
          <w:highlight w:val="none"/>
        </w:rPr>
      </w:pPr>
    </w:p>
    <w:p w14:paraId="048B749D">
      <w:pPr>
        <w:pStyle w:val="7"/>
        <w:spacing w:beforeAutospacing="0" w:afterAutospacing="0"/>
        <w:jc w:val="both"/>
        <w:rPr>
          <w:rFonts w:hint="eastAsia" w:asciiTheme="majorEastAsia" w:hAnsiTheme="majorEastAsia" w:eastAsiaTheme="majorEastAsia" w:cstheme="majorEastAsia"/>
          <w:color w:val="auto"/>
          <w:highlight w:val="none"/>
        </w:rPr>
      </w:pPr>
    </w:p>
    <w:p w14:paraId="12411404">
      <w:pPr>
        <w:pStyle w:val="7"/>
        <w:keepNext/>
        <w:keepLines/>
        <w:spacing w:before="260" w:beforeAutospacing="0" w:after="260" w:afterAutospacing="0" w:line="415" w:lineRule="auto"/>
        <w:ind w:firstLine="1606" w:firstLineChars="50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十</w:t>
      </w:r>
      <w:r>
        <w:rPr>
          <w:rFonts w:hint="eastAsia" w:asciiTheme="majorEastAsia" w:hAnsiTheme="majorEastAsia" w:eastAsiaTheme="majorEastAsia" w:cstheme="majorEastAsia"/>
          <w:b/>
          <w:color w:val="auto"/>
          <w:sz w:val="32"/>
          <w:szCs w:val="32"/>
          <w:highlight w:val="none"/>
          <w:lang w:val="en-US" w:eastAsia="zh-CN"/>
        </w:rPr>
        <w:t>五</w:t>
      </w:r>
      <w:r>
        <w:rPr>
          <w:rFonts w:hint="eastAsia" w:asciiTheme="majorEastAsia" w:hAnsiTheme="majorEastAsia" w:eastAsiaTheme="majorEastAsia" w:cstheme="majorEastAsia"/>
          <w:b/>
          <w:color w:val="auto"/>
          <w:sz w:val="32"/>
          <w:szCs w:val="32"/>
          <w:highlight w:val="none"/>
        </w:rPr>
        <w:t>、拟投入项目</w:t>
      </w:r>
      <w:r>
        <w:rPr>
          <w:rFonts w:hint="eastAsia" w:asciiTheme="majorEastAsia" w:hAnsiTheme="majorEastAsia" w:eastAsiaTheme="majorEastAsia" w:cstheme="majorEastAsia"/>
          <w:b/>
          <w:color w:val="auto"/>
          <w:sz w:val="32"/>
          <w:szCs w:val="32"/>
          <w:highlight w:val="none"/>
          <w:lang w:val="en-US" w:eastAsia="zh-CN"/>
        </w:rPr>
        <w:t>组</w:t>
      </w:r>
      <w:r>
        <w:rPr>
          <w:rFonts w:hint="eastAsia" w:asciiTheme="majorEastAsia" w:hAnsiTheme="majorEastAsia" w:eastAsiaTheme="majorEastAsia" w:cstheme="majorEastAsia"/>
          <w:b/>
          <w:color w:val="auto"/>
          <w:sz w:val="32"/>
          <w:szCs w:val="32"/>
          <w:highlight w:val="none"/>
        </w:rPr>
        <w:t>人员一览表</w:t>
      </w:r>
    </w:p>
    <w:p w14:paraId="07A5A965">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投标人全称（加盖公章）：</w:t>
      </w:r>
    </w:p>
    <w:p w14:paraId="0725F4D8">
      <w:pP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 xml:space="preserve">       </w:t>
      </w:r>
    </w:p>
    <w:tbl>
      <w:tblPr>
        <w:tblStyle w:val="8"/>
        <w:tblW w:w="8890" w:type="dxa"/>
        <w:tblInd w:w="12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8"/>
        <w:gridCol w:w="1080"/>
        <w:gridCol w:w="1589"/>
        <w:gridCol w:w="950"/>
        <w:gridCol w:w="1217"/>
        <w:gridCol w:w="948"/>
        <w:gridCol w:w="2358"/>
      </w:tblGrid>
      <w:tr w14:paraId="07656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10FB0547">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序号</w:t>
            </w:r>
          </w:p>
        </w:tc>
        <w:tc>
          <w:tcPr>
            <w:tcW w:w="1080" w:type="dxa"/>
            <w:noWrap/>
            <w:vAlign w:val="center"/>
          </w:tcPr>
          <w:p w14:paraId="1AEE146B">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姓名</w:t>
            </w:r>
          </w:p>
        </w:tc>
        <w:tc>
          <w:tcPr>
            <w:tcW w:w="1589" w:type="dxa"/>
            <w:noWrap/>
            <w:vAlign w:val="center"/>
          </w:tcPr>
          <w:p w14:paraId="6AD066C1">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技术职称</w:t>
            </w:r>
          </w:p>
        </w:tc>
        <w:tc>
          <w:tcPr>
            <w:tcW w:w="950" w:type="dxa"/>
            <w:noWrap/>
            <w:vAlign w:val="center"/>
          </w:tcPr>
          <w:p w14:paraId="092F15A4">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证书</w:t>
            </w:r>
          </w:p>
        </w:tc>
        <w:tc>
          <w:tcPr>
            <w:tcW w:w="1217" w:type="dxa"/>
            <w:noWrap/>
            <w:vAlign w:val="center"/>
          </w:tcPr>
          <w:p w14:paraId="62FA9375">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专业</w:t>
            </w:r>
          </w:p>
        </w:tc>
        <w:tc>
          <w:tcPr>
            <w:tcW w:w="948" w:type="dxa"/>
            <w:noWrap/>
            <w:vAlign w:val="center"/>
          </w:tcPr>
          <w:p w14:paraId="05DB0544">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学历</w:t>
            </w:r>
          </w:p>
        </w:tc>
        <w:tc>
          <w:tcPr>
            <w:tcW w:w="2358" w:type="dxa"/>
            <w:noWrap/>
            <w:vAlign w:val="center"/>
          </w:tcPr>
          <w:p w14:paraId="534C081C">
            <w:pPr>
              <w:jc w:val="center"/>
              <w:rPr>
                <w:rFonts w:hint="eastAsia" w:asciiTheme="majorEastAsia" w:hAnsiTheme="majorEastAsia" w:eastAsiaTheme="majorEastAsia" w:cstheme="majorEastAsia"/>
                <w:color w:val="auto"/>
                <w:sz w:val="24"/>
              </w:rPr>
            </w:pPr>
            <w:r>
              <w:rPr>
                <w:rFonts w:hint="eastAsia" w:asciiTheme="majorEastAsia" w:hAnsiTheme="majorEastAsia" w:eastAsiaTheme="majorEastAsia" w:cstheme="majorEastAsia"/>
                <w:color w:val="auto"/>
                <w:sz w:val="24"/>
              </w:rPr>
              <w:t>在本项目拟任职务</w:t>
            </w:r>
          </w:p>
        </w:tc>
      </w:tr>
      <w:tr w14:paraId="51A6F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59FD3B76">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1</w:t>
            </w:r>
          </w:p>
        </w:tc>
        <w:tc>
          <w:tcPr>
            <w:tcW w:w="1080" w:type="dxa"/>
            <w:noWrap/>
            <w:vAlign w:val="center"/>
          </w:tcPr>
          <w:p w14:paraId="1B3C463F">
            <w:pPr>
              <w:jc w:val="center"/>
              <w:rPr>
                <w:rFonts w:hint="eastAsia" w:asciiTheme="majorEastAsia" w:hAnsiTheme="majorEastAsia" w:eastAsiaTheme="majorEastAsia" w:cstheme="majorEastAsia"/>
                <w:color w:val="auto"/>
              </w:rPr>
            </w:pPr>
          </w:p>
        </w:tc>
        <w:tc>
          <w:tcPr>
            <w:tcW w:w="1589" w:type="dxa"/>
            <w:noWrap/>
            <w:vAlign w:val="center"/>
          </w:tcPr>
          <w:p w14:paraId="43D4E81A">
            <w:pPr>
              <w:jc w:val="center"/>
              <w:rPr>
                <w:rFonts w:hint="eastAsia" w:asciiTheme="majorEastAsia" w:hAnsiTheme="majorEastAsia" w:eastAsiaTheme="majorEastAsia" w:cstheme="majorEastAsia"/>
                <w:color w:val="auto"/>
              </w:rPr>
            </w:pPr>
          </w:p>
        </w:tc>
        <w:tc>
          <w:tcPr>
            <w:tcW w:w="950" w:type="dxa"/>
            <w:noWrap/>
            <w:vAlign w:val="center"/>
          </w:tcPr>
          <w:p w14:paraId="57BB55F7">
            <w:pPr>
              <w:jc w:val="center"/>
              <w:rPr>
                <w:rFonts w:hint="eastAsia" w:asciiTheme="majorEastAsia" w:hAnsiTheme="majorEastAsia" w:eastAsiaTheme="majorEastAsia" w:cstheme="majorEastAsia"/>
                <w:color w:val="auto"/>
              </w:rPr>
            </w:pPr>
          </w:p>
        </w:tc>
        <w:tc>
          <w:tcPr>
            <w:tcW w:w="1217" w:type="dxa"/>
            <w:noWrap/>
            <w:vAlign w:val="center"/>
          </w:tcPr>
          <w:p w14:paraId="73CF9582">
            <w:pPr>
              <w:jc w:val="center"/>
              <w:rPr>
                <w:rFonts w:hint="eastAsia" w:asciiTheme="majorEastAsia" w:hAnsiTheme="majorEastAsia" w:eastAsiaTheme="majorEastAsia" w:cstheme="majorEastAsia"/>
                <w:color w:val="auto"/>
              </w:rPr>
            </w:pPr>
          </w:p>
        </w:tc>
        <w:tc>
          <w:tcPr>
            <w:tcW w:w="948" w:type="dxa"/>
            <w:noWrap/>
            <w:vAlign w:val="center"/>
          </w:tcPr>
          <w:p w14:paraId="6463EE61">
            <w:pPr>
              <w:jc w:val="center"/>
              <w:rPr>
                <w:rFonts w:hint="eastAsia" w:asciiTheme="majorEastAsia" w:hAnsiTheme="majorEastAsia" w:eastAsiaTheme="majorEastAsia" w:cstheme="majorEastAsia"/>
                <w:color w:val="auto"/>
              </w:rPr>
            </w:pPr>
          </w:p>
        </w:tc>
        <w:tc>
          <w:tcPr>
            <w:tcW w:w="2358" w:type="dxa"/>
            <w:noWrap/>
            <w:vAlign w:val="center"/>
          </w:tcPr>
          <w:p w14:paraId="0D13B0FA">
            <w:pPr>
              <w:jc w:val="center"/>
              <w:rPr>
                <w:rFonts w:hint="eastAsia" w:asciiTheme="majorEastAsia" w:hAnsiTheme="majorEastAsia" w:eastAsiaTheme="majorEastAsia" w:cstheme="majorEastAsia"/>
                <w:color w:val="auto"/>
              </w:rPr>
            </w:pPr>
          </w:p>
        </w:tc>
      </w:tr>
      <w:tr w14:paraId="6BE9A4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9F596F3">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2</w:t>
            </w:r>
          </w:p>
        </w:tc>
        <w:tc>
          <w:tcPr>
            <w:tcW w:w="1080" w:type="dxa"/>
            <w:noWrap/>
            <w:vAlign w:val="center"/>
          </w:tcPr>
          <w:p w14:paraId="4BB9C6AE">
            <w:pPr>
              <w:jc w:val="center"/>
              <w:rPr>
                <w:rFonts w:hint="eastAsia" w:asciiTheme="majorEastAsia" w:hAnsiTheme="majorEastAsia" w:eastAsiaTheme="majorEastAsia" w:cstheme="majorEastAsia"/>
                <w:color w:val="auto"/>
              </w:rPr>
            </w:pPr>
          </w:p>
        </w:tc>
        <w:tc>
          <w:tcPr>
            <w:tcW w:w="1589" w:type="dxa"/>
            <w:noWrap/>
            <w:vAlign w:val="center"/>
          </w:tcPr>
          <w:p w14:paraId="3FCFEEB0">
            <w:pPr>
              <w:jc w:val="center"/>
              <w:rPr>
                <w:rFonts w:hint="eastAsia" w:asciiTheme="majorEastAsia" w:hAnsiTheme="majorEastAsia" w:eastAsiaTheme="majorEastAsia" w:cstheme="majorEastAsia"/>
                <w:color w:val="auto"/>
              </w:rPr>
            </w:pPr>
          </w:p>
        </w:tc>
        <w:tc>
          <w:tcPr>
            <w:tcW w:w="950" w:type="dxa"/>
            <w:noWrap/>
            <w:vAlign w:val="center"/>
          </w:tcPr>
          <w:p w14:paraId="5299214E">
            <w:pPr>
              <w:jc w:val="center"/>
              <w:rPr>
                <w:rFonts w:hint="eastAsia" w:asciiTheme="majorEastAsia" w:hAnsiTheme="majorEastAsia" w:eastAsiaTheme="majorEastAsia" w:cstheme="majorEastAsia"/>
                <w:color w:val="auto"/>
              </w:rPr>
            </w:pPr>
          </w:p>
        </w:tc>
        <w:tc>
          <w:tcPr>
            <w:tcW w:w="1217" w:type="dxa"/>
            <w:noWrap/>
            <w:vAlign w:val="center"/>
          </w:tcPr>
          <w:p w14:paraId="27406642">
            <w:pPr>
              <w:jc w:val="center"/>
              <w:rPr>
                <w:rFonts w:hint="eastAsia" w:asciiTheme="majorEastAsia" w:hAnsiTheme="majorEastAsia" w:eastAsiaTheme="majorEastAsia" w:cstheme="majorEastAsia"/>
                <w:color w:val="auto"/>
              </w:rPr>
            </w:pPr>
          </w:p>
        </w:tc>
        <w:tc>
          <w:tcPr>
            <w:tcW w:w="948" w:type="dxa"/>
            <w:noWrap/>
            <w:vAlign w:val="center"/>
          </w:tcPr>
          <w:p w14:paraId="0436FDAE">
            <w:pPr>
              <w:jc w:val="center"/>
              <w:rPr>
                <w:rFonts w:hint="eastAsia" w:asciiTheme="majorEastAsia" w:hAnsiTheme="majorEastAsia" w:eastAsiaTheme="majorEastAsia" w:cstheme="majorEastAsia"/>
                <w:color w:val="auto"/>
              </w:rPr>
            </w:pPr>
          </w:p>
        </w:tc>
        <w:tc>
          <w:tcPr>
            <w:tcW w:w="2358" w:type="dxa"/>
            <w:noWrap/>
            <w:vAlign w:val="center"/>
          </w:tcPr>
          <w:p w14:paraId="1C8BC814">
            <w:pPr>
              <w:jc w:val="left"/>
              <w:rPr>
                <w:rFonts w:hint="eastAsia" w:asciiTheme="majorEastAsia" w:hAnsiTheme="majorEastAsia" w:eastAsiaTheme="majorEastAsia" w:cstheme="majorEastAsia"/>
                <w:color w:val="auto"/>
              </w:rPr>
            </w:pPr>
          </w:p>
        </w:tc>
      </w:tr>
      <w:tr w14:paraId="73F89D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487F740F">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w:t>
            </w:r>
          </w:p>
        </w:tc>
        <w:tc>
          <w:tcPr>
            <w:tcW w:w="1080" w:type="dxa"/>
            <w:noWrap/>
            <w:vAlign w:val="center"/>
          </w:tcPr>
          <w:p w14:paraId="73BCED0D">
            <w:pPr>
              <w:jc w:val="center"/>
              <w:rPr>
                <w:rFonts w:hint="eastAsia" w:asciiTheme="majorEastAsia" w:hAnsiTheme="majorEastAsia" w:eastAsiaTheme="majorEastAsia" w:cstheme="majorEastAsia"/>
                <w:color w:val="auto"/>
              </w:rPr>
            </w:pPr>
          </w:p>
        </w:tc>
        <w:tc>
          <w:tcPr>
            <w:tcW w:w="1589" w:type="dxa"/>
            <w:noWrap/>
            <w:vAlign w:val="center"/>
          </w:tcPr>
          <w:p w14:paraId="24022FA5">
            <w:pPr>
              <w:jc w:val="center"/>
              <w:rPr>
                <w:rFonts w:hint="eastAsia" w:asciiTheme="majorEastAsia" w:hAnsiTheme="majorEastAsia" w:eastAsiaTheme="majorEastAsia" w:cstheme="majorEastAsia"/>
                <w:color w:val="auto"/>
              </w:rPr>
            </w:pPr>
          </w:p>
        </w:tc>
        <w:tc>
          <w:tcPr>
            <w:tcW w:w="950" w:type="dxa"/>
            <w:noWrap/>
            <w:vAlign w:val="center"/>
          </w:tcPr>
          <w:p w14:paraId="50C4851D">
            <w:pPr>
              <w:jc w:val="center"/>
              <w:rPr>
                <w:rFonts w:hint="eastAsia" w:asciiTheme="majorEastAsia" w:hAnsiTheme="majorEastAsia" w:eastAsiaTheme="majorEastAsia" w:cstheme="majorEastAsia"/>
                <w:color w:val="auto"/>
              </w:rPr>
            </w:pPr>
          </w:p>
        </w:tc>
        <w:tc>
          <w:tcPr>
            <w:tcW w:w="1217" w:type="dxa"/>
            <w:noWrap/>
            <w:vAlign w:val="center"/>
          </w:tcPr>
          <w:p w14:paraId="3C21606A">
            <w:pPr>
              <w:jc w:val="center"/>
              <w:rPr>
                <w:rFonts w:hint="eastAsia" w:asciiTheme="majorEastAsia" w:hAnsiTheme="majorEastAsia" w:eastAsiaTheme="majorEastAsia" w:cstheme="majorEastAsia"/>
                <w:color w:val="auto"/>
              </w:rPr>
            </w:pPr>
          </w:p>
        </w:tc>
        <w:tc>
          <w:tcPr>
            <w:tcW w:w="948" w:type="dxa"/>
            <w:noWrap/>
            <w:vAlign w:val="center"/>
          </w:tcPr>
          <w:p w14:paraId="02C64EAE">
            <w:pPr>
              <w:jc w:val="center"/>
              <w:rPr>
                <w:rFonts w:hint="eastAsia" w:asciiTheme="majorEastAsia" w:hAnsiTheme="majorEastAsia" w:eastAsiaTheme="majorEastAsia" w:cstheme="majorEastAsia"/>
                <w:color w:val="auto"/>
              </w:rPr>
            </w:pPr>
          </w:p>
        </w:tc>
        <w:tc>
          <w:tcPr>
            <w:tcW w:w="2358" w:type="dxa"/>
            <w:noWrap/>
            <w:vAlign w:val="center"/>
          </w:tcPr>
          <w:p w14:paraId="3B5834A6">
            <w:pPr>
              <w:jc w:val="center"/>
              <w:rPr>
                <w:rFonts w:hint="eastAsia" w:asciiTheme="majorEastAsia" w:hAnsiTheme="majorEastAsia" w:eastAsiaTheme="majorEastAsia" w:cstheme="majorEastAsia"/>
                <w:color w:val="auto"/>
              </w:rPr>
            </w:pPr>
            <w:r>
              <w:rPr>
                <w:rFonts w:hint="eastAsia" w:asciiTheme="majorEastAsia" w:hAnsiTheme="majorEastAsia" w:eastAsiaTheme="majorEastAsia" w:cstheme="majorEastAsia"/>
                <w:color w:val="auto"/>
              </w:rPr>
              <w:t>…</w:t>
            </w:r>
          </w:p>
        </w:tc>
      </w:tr>
      <w:tr w14:paraId="6C4AD6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212904A5">
            <w:pPr>
              <w:jc w:val="center"/>
              <w:rPr>
                <w:rFonts w:hint="eastAsia" w:asciiTheme="majorEastAsia" w:hAnsiTheme="majorEastAsia" w:eastAsiaTheme="majorEastAsia" w:cstheme="majorEastAsia"/>
                <w:color w:val="auto"/>
              </w:rPr>
            </w:pPr>
          </w:p>
        </w:tc>
        <w:tc>
          <w:tcPr>
            <w:tcW w:w="1080" w:type="dxa"/>
            <w:noWrap/>
            <w:vAlign w:val="center"/>
          </w:tcPr>
          <w:p w14:paraId="7D294F38">
            <w:pPr>
              <w:jc w:val="center"/>
              <w:rPr>
                <w:rFonts w:hint="eastAsia" w:asciiTheme="majorEastAsia" w:hAnsiTheme="majorEastAsia" w:eastAsiaTheme="majorEastAsia" w:cstheme="majorEastAsia"/>
                <w:color w:val="auto"/>
              </w:rPr>
            </w:pPr>
          </w:p>
        </w:tc>
        <w:tc>
          <w:tcPr>
            <w:tcW w:w="1589" w:type="dxa"/>
            <w:noWrap/>
            <w:vAlign w:val="center"/>
          </w:tcPr>
          <w:p w14:paraId="4AA450AD">
            <w:pPr>
              <w:jc w:val="center"/>
              <w:rPr>
                <w:rFonts w:hint="eastAsia" w:asciiTheme="majorEastAsia" w:hAnsiTheme="majorEastAsia" w:eastAsiaTheme="majorEastAsia" w:cstheme="majorEastAsia"/>
                <w:color w:val="auto"/>
              </w:rPr>
            </w:pPr>
          </w:p>
        </w:tc>
        <w:tc>
          <w:tcPr>
            <w:tcW w:w="950" w:type="dxa"/>
            <w:noWrap/>
            <w:vAlign w:val="center"/>
          </w:tcPr>
          <w:p w14:paraId="6F4D7345">
            <w:pPr>
              <w:jc w:val="center"/>
              <w:rPr>
                <w:rFonts w:hint="eastAsia" w:asciiTheme="majorEastAsia" w:hAnsiTheme="majorEastAsia" w:eastAsiaTheme="majorEastAsia" w:cstheme="majorEastAsia"/>
                <w:color w:val="auto"/>
              </w:rPr>
            </w:pPr>
          </w:p>
        </w:tc>
        <w:tc>
          <w:tcPr>
            <w:tcW w:w="1217" w:type="dxa"/>
            <w:noWrap/>
            <w:vAlign w:val="center"/>
          </w:tcPr>
          <w:p w14:paraId="3C52103F">
            <w:pPr>
              <w:jc w:val="center"/>
              <w:rPr>
                <w:rFonts w:hint="eastAsia" w:asciiTheme="majorEastAsia" w:hAnsiTheme="majorEastAsia" w:eastAsiaTheme="majorEastAsia" w:cstheme="majorEastAsia"/>
                <w:color w:val="auto"/>
              </w:rPr>
            </w:pPr>
          </w:p>
        </w:tc>
        <w:tc>
          <w:tcPr>
            <w:tcW w:w="948" w:type="dxa"/>
            <w:noWrap/>
            <w:vAlign w:val="center"/>
          </w:tcPr>
          <w:p w14:paraId="07EAF8BF">
            <w:pPr>
              <w:jc w:val="center"/>
              <w:rPr>
                <w:rFonts w:hint="eastAsia" w:asciiTheme="majorEastAsia" w:hAnsiTheme="majorEastAsia" w:eastAsiaTheme="majorEastAsia" w:cstheme="majorEastAsia"/>
                <w:color w:val="auto"/>
              </w:rPr>
            </w:pPr>
          </w:p>
        </w:tc>
        <w:tc>
          <w:tcPr>
            <w:tcW w:w="2358" w:type="dxa"/>
            <w:noWrap/>
            <w:vAlign w:val="center"/>
          </w:tcPr>
          <w:p w14:paraId="045486E5">
            <w:pPr>
              <w:jc w:val="center"/>
              <w:rPr>
                <w:rFonts w:hint="eastAsia" w:asciiTheme="majorEastAsia" w:hAnsiTheme="majorEastAsia" w:eastAsiaTheme="majorEastAsia" w:cstheme="majorEastAsia"/>
                <w:color w:val="auto"/>
              </w:rPr>
            </w:pPr>
          </w:p>
        </w:tc>
      </w:tr>
      <w:tr w14:paraId="07E21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7DB995F">
            <w:pPr>
              <w:jc w:val="center"/>
              <w:rPr>
                <w:rFonts w:hint="eastAsia" w:asciiTheme="majorEastAsia" w:hAnsiTheme="majorEastAsia" w:eastAsiaTheme="majorEastAsia" w:cstheme="majorEastAsia"/>
                <w:color w:val="auto"/>
              </w:rPr>
            </w:pPr>
          </w:p>
        </w:tc>
        <w:tc>
          <w:tcPr>
            <w:tcW w:w="1080" w:type="dxa"/>
            <w:noWrap/>
            <w:vAlign w:val="center"/>
          </w:tcPr>
          <w:p w14:paraId="1ED9CDF1">
            <w:pPr>
              <w:spacing w:line="580" w:lineRule="exact"/>
              <w:jc w:val="center"/>
              <w:rPr>
                <w:rFonts w:hint="eastAsia" w:asciiTheme="majorEastAsia" w:hAnsiTheme="majorEastAsia" w:eastAsiaTheme="majorEastAsia" w:cstheme="majorEastAsia"/>
                <w:color w:val="auto"/>
              </w:rPr>
            </w:pPr>
          </w:p>
        </w:tc>
        <w:tc>
          <w:tcPr>
            <w:tcW w:w="1589" w:type="dxa"/>
            <w:noWrap/>
            <w:vAlign w:val="center"/>
          </w:tcPr>
          <w:p w14:paraId="0F7339CB">
            <w:pPr>
              <w:jc w:val="center"/>
              <w:rPr>
                <w:rFonts w:hint="eastAsia" w:asciiTheme="majorEastAsia" w:hAnsiTheme="majorEastAsia" w:eastAsiaTheme="majorEastAsia" w:cstheme="majorEastAsia"/>
                <w:color w:val="auto"/>
              </w:rPr>
            </w:pPr>
          </w:p>
        </w:tc>
        <w:tc>
          <w:tcPr>
            <w:tcW w:w="950" w:type="dxa"/>
            <w:noWrap/>
            <w:vAlign w:val="center"/>
          </w:tcPr>
          <w:p w14:paraId="782FEF4B">
            <w:pPr>
              <w:jc w:val="center"/>
              <w:rPr>
                <w:rFonts w:hint="eastAsia" w:asciiTheme="majorEastAsia" w:hAnsiTheme="majorEastAsia" w:eastAsiaTheme="majorEastAsia" w:cstheme="majorEastAsia"/>
                <w:color w:val="auto"/>
              </w:rPr>
            </w:pPr>
          </w:p>
        </w:tc>
        <w:tc>
          <w:tcPr>
            <w:tcW w:w="1217" w:type="dxa"/>
            <w:noWrap/>
            <w:vAlign w:val="center"/>
          </w:tcPr>
          <w:p w14:paraId="226AF097">
            <w:pPr>
              <w:jc w:val="center"/>
              <w:rPr>
                <w:rFonts w:hint="eastAsia" w:asciiTheme="majorEastAsia" w:hAnsiTheme="majorEastAsia" w:eastAsiaTheme="majorEastAsia" w:cstheme="majorEastAsia"/>
                <w:color w:val="auto"/>
              </w:rPr>
            </w:pPr>
          </w:p>
        </w:tc>
        <w:tc>
          <w:tcPr>
            <w:tcW w:w="948" w:type="dxa"/>
            <w:noWrap/>
            <w:vAlign w:val="center"/>
          </w:tcPr>
          <w:p w14:paraId="0FA3181B">
            <w:pPr>
              <w:jc w:val="center"/>
              <w:rPr>
                <w:rFonts w:hint="eastAsia" w:asciiTheme="majorEastAsia" w:hAnsiTheme="majorEastAsia" w:eastAsiaTheme="majorEastAsia" w:cstheme="majorEastAsia"/>
                <w:color w:val="auto"/>
              </w:rPr>
            </w:pPr>
          </w:p>
        </w:tc>
        <w:tc>
          <w:tcPr>
            <w:tcW w:w="2358" w:type="dxa"/>
            <w:noWrap/>
            <w:vAlign w:val="center"/>
          </w:tcPr>
          <w:p w14:paraId="7AA53E22">
            <w:pPr>
              <w:jc w:val="center"/>
              <w:rPr>
                <w:rFonts w:hint="eastAsia" w:asciiTheme="majorEastAsia" w:hAnsiTheme="majorEastAsia" w:eastAsiaTheme="majorEastAsia" w:cstheme="majorEastAsia"/>
                <w:color w:val="auto"/>
              </w:rPr>
            </w:pPr>
          </w:p>
        </w:tc>
      </w:tr>
      <w:tr w14:paraId="138DA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27A436DC">
            <w:pPr>
              <w:jc w:val="center"/>
              <w:rPr>
                <w:rFonts w:hint="eastAsia" w:asciiTheme="majorEastAsia" w:hAnsiTheme="majorEastAsia" w:eastAsiaTheme="majorEastAsia" w:cstheme="majorEastAsia"/>
                <w:color w:val="auto"/>
              </w:rPr>
            </w:pPr>
          </w:p>
        </w:tc>
        <w:tc>
          <w:tcPr>
            <w:tcW w:w="1080" w:type="dxa"/>
            <w:noWrap/>
            <w:vAlign w:val="center"/>
          </w:tcPr>
          <w:p w14:paraId="10E86C11">
            <w:pPr>
              <w:jc w:val="center"/>
              <w:rPr>
                <w:rFonts w:hint="eastAsia" w:asciiTheme="majorEastAsia" w:hAnsiTheme="majorEastAsia" w:eastAsiaTheme="majorEastAsia" w:cstheme="majorEastAsia"/>
                <w:color w:val="auto"/>
              </w:rPr>
            </w:pPr>
          </w:p>
        </w:tc>
        <w:tc>
          <w:tcPr>
            <w:tcW w:w="1589" w:type="dxa"/>
            <w:noWrap/>
            <w:vAlign w:val="center"/>
          </w:tcPr>
          <w:p w14:paraId="0606D225">
            <w:pPr>
              <w:jc w:val="center"/>
              <w:rPr>
                <w:rFonts w:hint="eastAsia" w:asciiTheme="majorEastAsia" w:hAnsiTheme="majorEastAsia" w:eastAsiaTheme="majorEastAsia" w:cstheme="majorEastAsia"/>
                <w:color w:val="auto"/>
              </w:rPr>
            </w:pPr>
          </w:p>
        </w:tc>
        <w:tc>
          <w:tcPr>
            <w:tcW w:w="950" w:type="dxa"/>
            <w:noWrap/>
            <w:vAlign w:val="center"/>
          </w:tcPr>
          <w:p w14:paraId="4E9CCD1C">
            <w:pPr>
              <w:jc w:val="center"/>
              <w:rPr>
                <w:rFonts w:hint="eastAsia" w:asciiTheme="majorEastAsia" w:hAnsiTheme="majorEastAsia" w:eastAsiaTheme="majorEastAsia" w:cstheme="majorEastAsia"/>
                <w:color w:val="auto"/>
              </w:rPr>
            </w:pPr>
          </w:p>
        </w:tc>
        <w:tc>
          <w:tcPr>
            <w:tcW w:w="1217" w:type="dxa"/>
            <w:noWrap/>
            <w:vAlign w:val="center"/>
          </w:tcPr>
          <w:p w14:paraId="69FA6D86">
            <w:pPr>
              <w:jc w:val="center"/>
              <w:rPr>
                <w:rFonts w:hint="eastAsia" w:asciiTheme="majorEastAsia" w:hAnsiTheme="majorEastAsia" w:eastAsiaTheme="majorEastAsia" w:cstheme="majorEastAsia"/>
                <w:color w:val="auto"/>
              </w:rPr>
            </w:pPr>
          </w:p>
        </w:tc>
        <w:tc>
          <w:tcPr>
            <w:tcW w:w="948" w:type="dxa"/>
            <w:noWrap/>
            <w:vAlign w:val="center"/>
          </w:tcPr>
          <w:p w14:paraId="03A6EE5A">
            <w:pPr>
              <w:jc w:val="center"/>
              <w:rPr>
                <w:rFonts w:hint="eastAsia" w:asciiTheme="majorEastAsia" w:hAnsiTheme="majorEastAsia" w:eastAsiaTheme="majorEastAsia" w:cstheme="majorEastAsia"/>
                <w:color w:val="auto"/>
              </w:rPr>
            </w:pPr>
          </w:p>
        </w:tc>
        <w:tc>
          <w:tcPr>
            <w:tcW w:w="2358" w:type="dxa"/>
            <w:noWrap/>
            <w:vAlign w:val="center"/>
          </w:tcPr>
          <w:p w14:paraId="7CAB598E">
            <w:pPr>
              <w:jc w:val="center"/>
              <w:rPr>
                <w:rFonts w:hint="eastAsia" w:asciiTheme="majorEastAsia" w:hAnsiTheme="majorEastAsia" w:eastAsiaTheme="majorEastAsia" w:cstheme="majorEastAsia"/>
                <w:color w:val="auto"/>
              </w:rPr>
            </w:pPr>
          </w:p>
        </w:tc>
      </w:tr>
      <w:tr w14:paraId="641A41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748" w:type="dxa"/>
            <w:noWrap/>
            <w:vAlign w:val="center"/>
          </w:tcPr>
          <w:p w14:paraId="31590FD0">
            <w:pPr>
              <w:jc w:val="center"/>
              <w:rPr>
                <w:rFonts w:hint="eastAsia" w:asciiTheme="majorEastAsia" w:hAnsiTheme="majorEastAsia" w:eastAsiaTheme="majorEastAsia" w:cstheme="majorEastAsia"/>
                <w:color w:val="auto"/>
              </w:rPr>
            </w:pPr>
          </w:p>
        </w:tc>
        <w:tc>
          <w:tcPr>
            <w:tcW w:w="1080" w:type="dxa"/>
            <w:noWrap/>
            <w:vAlign w:val="center"/>
          </w:tcPr>
          <w:p w14:paraId="77DD9521">
            <w:pPr>
              <w:jc w:val="center"/>
              <w:rPr>
                <w:rFonts w:hint="eastAsia" w:asciiTheme="majorEastAsia" w:hAnsiTheme="majorEastAsia" w:eastAsiaTheme="majorEastAsia" w:cstheme="majorEastAsia"/>
                <w:color w:val="auto"/>
              </w:rPr>
            </w:pPr>
          </w:p>
        </w:tc>
        <w:tc>
          <w:tcPr>
            <w:tcW w:w="1589" w:type="dxa"/>
            <w:noWrap/>
            <w:vAlign w:val="center"/>
          </w:tcPr>
          <w:p w14:paraId="777A6740">
            <w:pPr>
              <w:jc w:val="center"/>
              <w:rPr>
                <w:rFonts w:hint="eastAsia" w:asciiTheme="majorEastAsia" w:hAnsiTheme="majorEastAsia" w:eastAsiaTheme="majorEastAsia" w:cstheme="majorEastAsia"/>
                <w:color w:val="auto"/>
              </w:rPr>
            </w:pPr>
          </w:p>
        </w:tc>
        <w:tc>
          <w:tcPr>
            <w:tcW w:w="950" w:type="dxa"/>
            <w:noWrap/>
            <w:vAlign w:val="center"/>
          </w:tcPr>
          <w:p w14:paraId="4AD96AB7">
            <w:pPr>
              <w:jc w:val="center"/>
              <w:rPr>
                <w:rFonts w:hint="eastAsia" w:asciiTheme="majorEastAsia" w:hAnsiTheme="majorEastAsia" w:eastAsiaTheme="majorEastAsia" w:cstheme="majorEastAsia"/>
                <w:color w:val="auto"/>
              </w:rPr>
            </w:pPr>
          </w:p>
        </w:tc>
        <w:tc>
          <w:tcPr>
            <w:tcW w:w="1217" w:type="dxa"/>
            <w:noWrap/>
            <w:vAlign w:val="center"/>
          </w:tcPr>
          <w:p w14:paraId="029A4213">
            <w:pPr>
              <w:jc w:val="center"/>
              <w:rPr>
                <w:rFonts w:hint="eastAsia" w:asciiTheme="majorEastAsia" w:hAnsiTheme="majorEastAsia" w:eastAsiaTheme="majorEastAsia" w:cstheme="majorEastAsia"/>
                <w:color w:val="auto"/>
              </w:rPr>
            </w:pPr>
          </w:p>
        </w:tc>
        <w:tc>
          <w:tcPr>
            <w:tcW w:w="948" w:type="dxa"/>
            <w:noWrap/>
            <w:vAlign w:val="center"/>
          </w:tcPr>
          <w:p w14:paraId="1362B64C">
            <w:pPr>
              <w:jc w:val="center"/>
              <w:rPr>
                <w:rFonts w:hint="eastAsia" w:asciiTheme="majorEastAsia" w:hAnsiTheme="majorEastAsia" w:eastAsiaTheme="majorEastAsia" w:cstheme="majorEastAsia"/>
                <w:color w:val="auto"/>
              </w:rPr>
            </w:pPr>
          </w:p>
        </w:tc>
        <w:tc>
          <w:tcPr>
            <w:tcW w:w="2358" w:type="dxa"/>
            <w:noWrap/>
            <w:vAlign w:val="center"/>
          </w:tcPr>
          <w:p w14:paraId="5037D8FB">
            <w:pPr>
              <w:jc w:val="center"/>
              <w:rPr>
                <w:rFonts w:hint="eastAsia" w:asciiTheme="majorEastAsia" w:hAnsiTheme="majorEastAsia" w:eastAsiaTheme="majorEastAsia" w:cstheme="majorEastAsia"/>
                <w:color w:val="auto"/>
              </w:rPr>
            </w:pPr>
          </w:p>
        </w:tc>
      </w:tr>
    </w:tbl>
    <w:p w14:paraId="2C2DD786">
      <w:pPr>
        <w:ind w:firstLine="4320"/>
        <w:rPr>
          <w:rFonts w:hint="eastAsia" w:asciiTheme="majorEastAsia" w:hAnsiTheme="majorEastAsia" w:eastAsiaTheme="majorEastAsia" w:cstheme="majorEastAsia"/>
          <w:color w:val="auto"/>
          <w:sz w:val="24"/>
        </w:rPr>
      </w:pPr>
    </w:p>
    <w:p w14:paraId="152AFF18">
      <w:pPr>
        <w:ind w:firstLine="4320"/>
        <w:rPr>
          <w:rFonts w:hint="eastAsia" w:asciiTheme="majorEastAsia" w:hAnsiTheme="majorEastAsia" w:eastAsiaTheme="majorEastAsia" w:cstheme="majorEastAsia"/>
          <w:color w:val="auto"/>
          <w:sz w:val="24"/>
        </w:rPr>
      </w:pPr>
    </w:p>
    <w:p w14:paraId="1E0EBF4D">
      <w:pPr>
        <w:ind w:firstLine="4320"/>
        <w:rPr>
          <w:rFonts w:hint="eastAsia" w:asciiTheme="majorEastAsia" w:hAnsiTheme="majorEastAsia" w:eastAsiaTheme="majorEastAsia" w:cstheme="majorEastAsia"/>
          <w:color w:val="auto"/>
          <w:sz w:val="24"/>
          <w:u w:val="single"/>
          <w:lang w:val="en-US" w:eastAsia="zh-CN"/>
        </w:rPr>
      </w:pPr>
      <w:r>
        <w:rPr>
          <w:rFonts w:hint="eastAsia" w:asciiTheme="majorEastAsia" w:hAnsiTheme="majorEastAsia" w:eastAsiaTheme="majorEastAsia" w:cstheme="majorEastAsia"/>
          <w:color w:val="auto"/>
          <w:sz w:val="24"/>
        </w:rPr>
        <w:t>法定代表人或授权代表签字：</w:t>
      </w:r>
      <w:r>
        <w:rPr>
          <w:rFonts w:hint="eastAsia" w:asciiTheme="majorEastAsia" w:hAnsiTheme="majorEastAsia" w:eastAsiaTheme="majorEastAsia" w:cstheme="majorEastAsia"/>
          <w:color w:val="auto"/>
          <w:sz w:val="24"/>
          <w:u w:val="single"/>
          <w:lang w:val="en-US" w:eastAsia="zh-CN"/>
        </w:rPr>
        <w:t xml:space="preserve">         </w:t>
      </w:r>
    </w:p>
    <w:p w14:paraId="464BD1EF">
      <w:pPr>
        <w:ind w:firstLine="4320"/>
        <w:jc w:val="right"/>
        <w:rPr>
          <w:rFonts w:hint="eastAsia" w:asciiTheme="majorEastAsia" w:hAnsiTheme="majorEastAsia" w:eastAsiaTheme="majorEastAsia" w:cstheme="majorEastAsia"/>
          <w:color w:val="auto"/>
          <w:sz w:val="24"/>
        </w:rPr>
      </w:pPr>
    </w:p>
    <w:p w14:paraId="1E321996">
      <w:pPr>
        <w:pStyle w:val="7"/>
        <w:spacing w:beforeAutospacing="0" w:afterAutospacing="0"/>
        <w:ind w:firstLine="480"/>
        <w:jc w:val="righ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085BCB29">
      <w:pPr>
        <w:pStyle w:val="7"/>
        <w:spacing w:beforeAutospacing="0" w:afterAutospacing="0"/>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65974F6A">
      <w:pPr>
        <w:ind w:firstLine="4320"/>
        <w:rPr>
          <w:rFonts w:hint="eastAsia" w:asciiTheme="majorEastAsia" w:hAnsiTheme="majorEastAsia" w:eastAsiaTheme="majorEastAsia" w:cstheme="majorEastAsia"/>
          <w:color w:val="auto"/>
          <w:sz w:val="24"/>
        </w:rPr>
      </w:pPr>
    </w:p>
    <w:p w14:paraId="55B356A3">
      <w:pPr>
        <w:rPr>
          <w:rFonts w:hint="eastAsia" w:asciiTheme="majorEastAsia" w:hAnsiTheme="majorEastAsia" w:eastAsiaTheme="majorEastAsia" w:cstheme="majorEastAsia"/>
          <w:color w:val="auto"/>
          <w:sz w:val="24"/>
        </w:rPr>
      </w:pPr>
    </w:p>
    <w:p w14:paraId="22DE55C6">
      <w:pPr>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注：</w:t>
      </w:r>
    </w:p>
    <w:p w14:paraId="7AA58FAE">
      <w:pPr>
        <w:numPr>
          <w:ilvl w:val="0"/>
          <w:numId w:val="0"/>
        </w:numPr>
        <w:tabs>
          <w:tab w:val="left" w:pos="840"/>
        </w:tabs>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1.行数不够，可自行添加。</w:t>
      </w:r>
    </w:p>
    <w:p w14:paraId="0A56BE0F">
      <w:pPr>
        <w:numPr>
          <w:ilvl w:val="0"/>
          <w:numId w:val="0"/>
        </w:numPr>
        <w:tabs>
          <w:tab w:val="left" w:pos="840"/>
        </w:tabs>
        <w:rPr>
          <w:rFonts w:hint="eastAsia" w:asciiTheme="majorEastAsia" w:hAnsiTheme="majorEastAsia" w:eastAsiaTheme="majorEastAsia" w:cstheme="majorEastAsia"/>
          <w:color w:val="auto"/>
          <w:kern w:val="0"/>
          <w:sz w:val="24"/>
          <w:szCs w:val="24"/>
          <w:lang w:val="en-US" w:eastAsia="zh-CN" w:bidi="ar-SA"/>
        </w:rPr>
      </w:pPr>
      <w:r>
        <w:rPr>
          <w:rFonts w:hint="eastAsia" w:asciiTheme="majorEastAsia" w:hAnsiTheme="majorEastAsia" w:eastAsiaTheme="majorEastAsia" w:cstheme="majorEastAsia"/>
          <w:color w:val="auto"/>
          <w:kern w:val="0"/>
          <w:sz w:val="24"/>
          <w:szCs w:val="24"/>
          <w:lang w:val="en-US" w:eastAsia="zh-CN" w:bidi="ar-SA"/>
        </w:rPr>
        <w:t>2.中标后签订合同前需提供以上人员近三个月以来缴纳社会保障资金的相关材料以备采购人核查，如有虚假，取消中标候选人资格。</w:t>
      </w:r>
    </w:p>
    <w:p w14:paraId="15A09FD7">
      <w:pPr>
        <w:pStyle w:val="7"/>
        <w:spacing w:beforeAutospacing="0" w:afterAutospacing="0"/>
        <w:ind w:firstLine="2891" w:firstLineChars="900"/>
        <w:jc w:val="both"/>
        <w:rPr>
          <w:rFonts w:hint="eastAsia" w:asciiTheme="majorEastAsia" w:hAnsiTheme="majorEastAsia" w:eastAsiaTheme="majorEastAsia" w:cstheme="majorEastAsia"/>
          <w:b/>
          <w:i/>
          <w:color w:val="auto"/>
          <w:sz w:val="32"/>
          <w:szCs w:val="32"/>
          <w:highlight w:val="none"/>
          <w:u w:val="single"/>
        </w:rPr>
      </w:pPr>
    </w:p>
    <w:p w14:paraId="2E299743">
      <w:pPr>
        <w:pStyle w:val="7"/>
        <w:keepNext/>
        <w:keepLines/>
        <w:spacing w:before="260" w:beforeAutospacing="0" w:after="260" w:afterAutospacing="0" w:line="415" w:lineRule="auto"/>
        <w:ind w:firstLine="2570" w:firstLineChars="800"/>
        <w:jc w:val="both"/>
        <w:rPr>
          <w:rFonts w:hint="eastAsia" w:asciiTheme="majorEastAsia" w:hAnsiTheme="majorEastAsia" w:eastAsiaTheme="majorEastAsia" w:cstheme="majorEastAsia"/>
          <w:b/>
          <w:i/>
          <w:iCs/>
          <w:color w:val="auto"/>
          <w:sz w:val="32"/>
          <w:szCs w:val="32"/>
          <w:highlight w:val="none"/>
          <w:u w:val="single"/>
        </w:rPr>
      </w:pPr>
      <w:r>
        <w:rPr>
          <w:rFonts w:hint="eastAsia" w:asciiTheme="majorEastAsia" w:hAnsiTheme="majorEastAsia" w:eastAsiaTheme="majorEastAsia" w:cstheme="majorEastAsia"/>
          <w:b/>
          <w:i/>
          <w:iCs/>
          <w:color w:val="auto"/>
          <w:sz w:val="32"/>
          <w:szCs w:val="32"/>
          <w:highlight w:val="none"/>
          <w:u w:val="single"/>
        </w:rPr>
        <w:t>十</w:t>
      </w:r>
      <w:r>
        <w:rPr>
          <w:rFonts w:hint="eastAsia" w:asciiTheme="majorEastAsia" w:hAnsiTheme="majorEastAsia" w:eastAsiaTheme="majorEastAsia" w:cstheme="majorEastAsia"/>
          <w:b/>
          <w:i/>
          <w:iCs/>
          <w:color w:val="auto"/>
          <w:sz w:val="32"/>
          <w:szCs w:val="32"/>
          <w:highlight w:val="none"/>
          <w:u w:val="single"/>
          <w:lang w:val="en-US" w:eastAsia="zh-CN"/>
        </w:rPr>
        <w:t>六</w:t>
      </w:r>
      <w:r>
        <w:rPr>
          <w:rFonts w:hint="eastAsia" w:asciiTheme="majorEastAsia" w:hAnsiTheme="majorEastAsia" w:eastAsiaTheme="majorEastAsia" w:cstheme="majorEastAsia"/>
          <w:b/>
          <w:i/>
          <w:iCs/>
          <w:color w:val="auto"/>
          <w:sz w:val="32"/>
          <w:szCs w:val="32"/>
          <w:highlight w:val="none"/>
          <w:u w:val="single"/>
        </w:rPr>
        <w:t>、开标一览表</w:t>
      </w:r>
    </w:p>
    <w:p w14:paraId="18B6E65E">
      <w:pPr>
        <w:pStyle w:val="7"/>
        <w:spacing w:beforeAutospacing="0" w:afterAutospacing="0"/>
        <w:ind w:firstLine="2891" w:firstLineChars="900"/>
        <w:jc w:val="both"/>
        <w:rPr>
          <w:rFonts w:hint="eastAsia" w:asciiTheme="majorEastAsia" w:hAnsiTheme="majorEastAsia" w:eastAsiaTheme="majorEastAsia" w:cstheme="majorEastAsia"/>
          <w:b/>
          <w:i/>
          <w:color w:val="auto"/>
          <w:sz w:val="32"/>
          <w:szCs w:val="32"/>
          <w:highlight w:val="none"/>
          <w:u w:val="single"/>
        </w:rPr>
      </w:pPr>
    </w:p>
    <w:p w14:paraId="31E56311">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投标人全称（加盖CA电子签章）：</w:t>
      </w:r>
    </w:p>
    <w:p w14:paraId="2E85D4B0">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项目名称：</w:t>
      </w:r>
    </w:p>
    <w:p w14:paraId="5D2E3742">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lang w:val="en-US" w:eastAsia="zh-CN"/>
        </w:rPr>
        <w:t>项目</w:t>
      </w:r>
      <w:r>
        <w:rPr>
          <w:rFonts w:hint="eastAsia" w:asciiTheme="majorEastAsia" w:hAnsiTheme="majorEastAsia" w:eastAsiaTheme="majorEastAsia" w:cstheme="majorEastAsia"/>
          <w:color w:val="auto"/>
          <w:highlight w:val="none"/>
        </w:rPr>
        <w:t>编号：</w:t>
      </w:r>
    </w:p>
    <w:p w14:paraId="10398865">
      <w:pPr>
        <w:pStyle w:val="7"/>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2"/>
        <w:jc w:val="both"/>
        <w:textAlignment w:val="auto"/>
        <w:rPr>
          <w:rFonts w:hint="eastAsia" w:asciiTheme="majorEastAsia" w:hAnsiTheme="majorEastAsia" w:eastAsiaTheme="majorEastAsia" w:cstheme="majorEastAsia"/>
          <w:color w:val="auto"/>
          <w:highlight w:val="none"/>
        </w:rPr>
      </w:pPr>
    </w:p>
    <w:tbl>
      <w:tblPr>
        <w:tblStyle w:val="8"/>
        <w:tblW w:w="8206" w:type="dxa"/>
        <w:tblCellSpacing w:w="0" w:type="dxa"/>
        <w:tblInd w:w="118" w:type="dxa"/>
        <w:tblLayout w:type="fixed"/>
        <w:tblCellMar>
          <w:top w:w="0" w:type="dxa"/>
          <w:left w:w="108" w:type="dxa"/>
          <w:bottom w:w="0" w:type="dxa"/>
          <w:right w:w="108" w:type="dxa"/>
        </w:tblCellMar>
      </w:tblPr>
      <w:tblGrid>
        <w:gridCol w:w="8206"/>
      </w:tblGrid>
      <w:tr w14:paraId="5F45B361">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774ED5">
            <w:pPr>
              <w:pStyle w:val="7"/>
              <w:spacing w:beforeAutospacing="0" w:afterAutospacing="0"/>
              <w:jc w:val="center"/>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rPr>
              <w:t>投标</w:t>
            </w:r>
            <w:r>
              <w:rPr>
                <w:rFonts w:hint="eastAsia" w:asciiTheme="majorEastAsia" w:hAnsiTheme="majorEastAsia" w:eastAsiaTheme="majorEastAsia" w:cstheme="majorEastAsia"/>
                <w:color w:val="auto"/>
                <w:highlight w:val="none"/>
                <w:lang w:val="en-US" w:eastAsia="zh-CN"/>
              </w:rPr>
              <w:t>总</w:t>
            </w:r>
            <w:r>
              <w:rPr>
                <w:rFonts w:hint="eastAsia" w:asciiTheme="majorEastAsia" w:hAnsiTheme="majorEastAsia" w:eastAsiaTheme="majorEastAsia" w:cstheme="majorEastAsia"/>
                <w:color w:val="auto"/>
                <w:highlight w:val="none"/>
              </w:rPr>
              <w:t>报价</w:t>
            </w:r>
          </w:p>
        </w:tc>
      </w:tr>
      <w:tr w14:paraId="4E884AA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80744">
            <w:pPr>
              <w:pStyle w:val="7"/>
              <w:spacing w:beforeAutospacing="0" w:afterAutospacing="0" w:line="0" w:lineRule="atLeast"/>
              <w:rPr>
                <w:rFonts w:hint="eastAsia" w:asciiTheme="majorEastAsia" w:hAnsiTheme="majorEastAsia" w:eastAsiaTheme="majorEastAsia" w:cstheme="majorEastAsia"/>
                <w:color w:val="auto"/>
                <w:highlight w:val="none"/>
                <w:lang w:val="en-US" w:eastAsia="zh-CN"/>
              </w:rPr>
            </w:pPr>
            <w:r>
              <w:rPr>
                <w:rFonts w:hint="eastAsia" w:asciiTheme="majorEastAsia" w:hAnsiTheme="majorEastAsia" w:eastAsiaTheme="majorEastAsia" w:cstheme="majorEastAsia"/>
                <w:color w:val="auto"/>
                <w:highlight w:val="none"/>
                <w:lang w:val="en-US" w:eastAsia="zh-CN"/>
              </w:rPr>
              <w:t>大写：</w:t>
            </w:r>
          </w:p>
        </w:tc>
      </w:tr>
      <w:tr w14:paraId="0C386A45">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886813">
            <w:pPr>
              <w:pStyle w:val="7"/>
              <w:spacing w:beforeAutospacing="0" w:afterAutospacing="0" w:line="0" w:lineRule="atLeast"/>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小写：                        （人民币：元）</w:t>
            </w:r>
          </w:p>
        </w:tc>
      </w:tr>
    </w:tbl>
    <w:p w14:paraId="6D0FC4AB">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1951B097">
      <w:pPr>
        <w:pStyle w:val="7"/>
        <w:spacing w:beforeAutospacing="0" w:afterAutospacing="0"/>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                                              日期：  </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年</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月</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rPr>
        <w:t>日</w:t>
      </w:r>
    </w:p>
    <w:p w14:paraId="59A88A4A">
      <w:pPr>
        <w:pStyle w:val="7"/>
        <w:spacing w:beforeAutospacing="0" w:afterAutospacing="0"/>
        <w:ind w:firstLine="48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w:t>
      </w:r>
    </w:p>
    <w:p w14:paraId="056F4F41">
      <w:pPr>
        <w:widowControl/>
        <w:spacing w:before="50" w:after="50"/>
        <w:jc w:val="center"/>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ab/>
      </w:r>
    </w:p>
    <w:p w14:paraId="3D06C1B1">
      <w:pPr>
        <w:widowControl/>
        <w:spacing w:before="50" w:after="50"/>
        <w:jc w:val="center"/>
        <w:rPr>
          <w:rFonts w:hint="eastAsia" w:asciiTheme="majorEastAsia" w:hAnsiTheme="majorEastAsia" w:eastAsiaTheme="majorEastAsia" w:cstheme="majorEastAsia"/>
          <w:color w:val="auto"/>
          <w:highlight w:val="none"/>
        </w:rPr>
      </w:pPr>
    </w:p>
    <w:p w14:paraId="0C80F997">
      <w:pPr>
        <w:widowControl/>
        <w:spacing w:before="50" w:after="50"/>
        <w:jc w:val="center"/>
        <w:rPr>
          <w:rFonts w:hint="eastAsia" w:asciiTheme="majorEastAsia" w:hAnsiTheme="majorEastAsia" w:eastAsiaTheme="majorEastAsia" w:cstheme="majorEastAsia"/>
          <w:color w:val="auto"/>
          <w:highlight w:val="none"/>
        </w:rPr>
      </w:pPr>
    </w:p>
    <w:p w14:paraId="7CC566B7">
      <w:pPr>
        <w:widowControl/>
        <w:spacing w:before="50" w:after="50"/>
        <w:jc w:val="center"/>
        <w:rPr>
          <w:rFonts w:hint="eastAsia" w:asciiTheme="majorEastAsia" w:hAnsiTheme="majorEastAsia" w:eastAsiaTheme="majorEastAsia" w:cstheme="majorEastAsia"/>
          <w:color w:val="auto"/>
          <w:highlight w:val="none"/>
        </w:rPr>
      </w:pPr>
    </w:p>
    <w:p w14:paraId="796D5555">
      <w:pPr>
        <w:pStyle w:val="13"/>
        <w:rPr>
          <w:rFonts w:hint="eastAsia" w:asciiTheme="majorEastAsia" w:hAnsiTheme="majorEastAsia" w:eastAsiaTheme="majorEastAsia" w:cstheme="majorEastAsia"/>
          <w:color w:val="auto"/>
          <w:highlight w:val="none"/>
        </w:rPr>
      </w:pPr>
    </w:p>
    <w:p w14:paraId="61583183">
      <w:pPr>
        <w:pStyle w:val="13"/>
        <w:rPr>
          <w:rFonts w:hint="eastAsia" w:asciiTheme="majorEastAsia" w:hAnsiTheme="majorEastAsia" w:eastAsiaTheme="majorEastAsia" w:cstheme="majorEastAsia"/>
          <w:color w:val="auto"/>
          <w:highlight w:val="none"/>
        </w:rPr>
      </w:pPr>
    </w:p>
    <w:p w14:paraId="36CAC75B">
      <w:pPr>
        <w:pStyle w:val="13"/>
        <w:rPr>
          <w:rFonts w:hint="eastAsia" w:asciiTheme="majorEastAsia" w:hAnsiTheme="majorEastAsia" w:eastAsiaTheme="majorEastAsia" w:cstheme="majorEastAsia"/>
          <w:color w:val="auto"/>
          <w:highlight w:val="none"/>
        </w:rPr>
      </w:pPr>
    </w:p>
    <w:p w14:paraId="7AA698FA">
      <w:pPr>
        <w:widowControl/>
        <w:spacing w:before="50" w:after="50"/>
        <w:jc w:val="center"/>
        <w:rPr>
          <w:rFonts w:hint="eastAsia" w:asciiTheme="majorEastAsia" w:hAnsiTheme="majorEastAsia" w:eastAsiaTheme="majorEastAsia" w:cstheme="majorEastAsia"/>
          <w:color w:val="auto"/>
          <w:highlight w:val="none"/>
        </w:rPr>
      </w:pPr>
    </w:p>
    <w:p w14:paraId="4F2AA9D1">
      <w:pPr>
        <w:widowControl/>
        <w:spacing w:before="50" w:after="50"/>
        <w:jc w:val="center"/>
        <w:rPr>
          <w:rFonts w:hint="eastAsia" w:asciiTheme="majorEastAsia" w:hAnsiTheme="majorEastAsia" w:eastAsiaTheme="majorEastAsia" w:cstheme="majorEastAsia"/>
          <w:color w:val="auto"/>
          <w:highlight w:val="none"/>
        </w:rPr>
      </w:pPr>
    </w:p>
    <w:p w14:paraId="6C645F61">
      <w:pPr>
        <w:widowControl/>
        <w:spacing w:before="50" w:after="50"/>
        <w:jc w:val="center"/>
        <w:rPr>
          <w:rFonts w:hint="eastAsia" w:asciiTheme="majorEastAsia" w:hAnsiTheme="majorEastAsia" w:eastAsiaTheme="majorEastAsia" w:cstheme="majorEastAsia"/>
          <w:color w:val="auto"/>
          <w:highlight w:val="none"/>
        </w:rPr>
      </w:pPr>
    </w:p>
    <w:p w14:paraId="39AC1EAB">
      <w:pPr>
        <w:widowControl/>
        <w:spacing w:before="50" w:after="50"/>
        <w:jc w:val="center"/>
        <w:rPr>
          <w:rFonts w:hint="eastAsia" w:asciiTheme="majorEastAsia" w:hAnsiTheme="majorEastAsia" w:eastAsiaTheme="majorEastAsia" w:cstheme="majorEastAsia"/>
          <w:color w:val="auto"/>
          <w:highlight w:val="none"/>
        </w:rPr>
      </w:pPr>
    </w:p>
    <w:p w14:paraId="61BCF57D">
      <w:pPr>
        <w:widowControl/>
        <w:spacing w:before="50" w:after="50"/>
        <w:jc w:val="center"/>
        <w:rPr>
          <w:rFonts w:hint="eastAsia" w:asciiTheme="majorEastAsia" w:hAnsiTheme="majorEastAsia" w:eastAsiaTheme="majorEastAsia" w:cstheme="majorEastAsia"/>
          <w:color w:val="auto"/>
          <w:highlight w:val="none"/>
        </w:rPr>
      </w:pPr>
    </w:p>
    <w:p w14:paraId="7FFF2D20">
      <w:pPr>
        <w:widowControl/>
        <w:spacing w:before="50" w:after="50"/>
        <w:jc w:val="center"/>
        <w:rPr>
          <w:rFonts w:hint="eastAsia" w:asciiTheme="majorEastAsia" w:hAnsiTheme="majorEastAsia" w:eastAsiaTheme="majorEastAsia" w:cstheme="majorEastAsia"/>
          <w:color w:val="auto"/>
          <w:highlight w:val="none"/>
        </w:rPr>
      </w:pPr>
    </w:p>
    <w:p w14:paraId="26BB77B0">
      <w:pPr>
        <w:widowControl/>
        <w:spacing w:before="50" w:after="50"/>
        <w:jc w:val="center"/>
        <w:rPr>
          <w:rFonts w:hint="eastAsia" w:asciiTheme="majorEastAsia" w:hAnsiTheme="majorEastAsia" w:eastAsiaTheme="majorEastAsia" w:cstheme="majorEastAsia"/>
          <w:color w:val="auto"/>
          <w:highlight w:val="none"/>
        </w:rPr>
      </w:pPr>
    </w:p>
    <w:p w14:paraId="3B92817A">
      <w:pPr>
        <w:widowControl/>
        <w:spacing w:before="50" w:after="50"/>
        <w:jc w:val="center"/>
        <w:rPr>
          <w:rFonts w:hint="eastAsia" w:asciiTheme="majorEastAsia" w:hAnsiTheme="majorEastAsia" w:eastAsiaTheme="majorEastAsia" w:cstheme="majorEastAsia"/>
          <w:color w:val="auto"/>
          <w:highlight w:val="none"/>
        </w:rPr>
      </w:pPr>
    </w:p>
    <w:p w14:paraId="2BEF4759">
      <w:pPr>
        <w:widowControl/>
        <w:spacing w:before="50" w:after="50"/>
        <w:jc w:val="center"/>
        <w:rPr>
          <w:rFonts w:hint="eastAsia" w:asciiTheme="majorEastAsia" w:hAnsiTheme="majorEastAsia" w:eastAsiaTheme="majorEastAsia" w:cstheme="majorEastAsia"/>
          <w:color w:val="auto"/>
          <w:highlight w:val="none"/>
        </w:rPr>
      </w:pPr>
    </w:p>
    <w:p w14:paraId="63B1528B">
      <w:pPr>
        <w:widowControl/>
        <w:spacing w:before="50" w:after="50"/>
        <w:jc w:val="center"/>
        <w:rPr>
          <w:rFonts w:hint="eastAsia" w:asciiTheme="majorEastAsia" w:hAnsiTheme="majorEastAsia" w:eastAsiaTheme="majorEastAsia" w:cstheme="majorEastAsia"/>
          <w:color w:val="auto"/>
          <w:highlight w:val="none"/>
        </w:rPr>
      </w:pPr>
    </w:p>
    <w:p w14:paraId="03CB55B2">
      <w:pPr>
        <w:widowControl/>
        <w:spacing w:before="50" w:after="50"/>
        <w:jc w:val="center"/>
        <w:rPr>
          <w:rFonts w:hint="eastAsia" w:asciiTheme="majorEastAsia" w:hAnsiTheme="majorEastAsia" w:eastAsiaTheme="majorEastAsia" w:cstheme="majorEastAsia"/>
          <w:color w:val="auto"/>
          <w:highlight w:val="none"/>
        </w:rPr>
      </w:pPr>
    </w:p>
    <w:p w14:paraId="2DF6F548">
      <w:pPr>
        <w:widowControl/>
        <w:spacing w:before="50" w:after="50"/>
        <w:jc w:val="center"/>
        <w:rPr>
          <w:rFonts w:hint="eastAsia" w:asciiTheme="majorEastAsia" w:hAnsiTheme="majorEastAsia" w:eastAsiaTheme="majorEastAsia" w:cstheme="majorEastAsia"/>
          <w:color w:val="auto"/>
          <w:highlight w:val="none"/>
        </w:rPr>
      </w:pPr>
    </w:p>
    <w:p w14:paraId="351A94C2">
      <w:pPr>
        <w:pStyle w:val="7"/>
        <w:keepNext/>
        <w:keepLines/>
        <w:spacing w:before="260" w:beforeAutospacing="0" w:after="260" w:afterAutospacing="0" w:line="415" w:lineRule="auto"/>
        <w:ind w:firstLine="1285" w:firstLineChars="400"/>
        <w:jc w:val="both"/>
        <w:rPr>
          <w:rFonts w:hint="eastAsia" w:asciiTheme="majorEastAsia" w:hAnsiTheme="majorEastAsia" w:eastAsiaTheme="majorEastAsia" w:cstheme="majorEastAsia"/>
          <w:b/>
          <w:color w:val="auto"/>
          <w:sz w:val="32"/>
          <w:szCs w:val="32"/>
          <w:highlight w:val="none"/>
        </w:rPr>
      </w:pPr>
      <w:r>
        <w:rPr>
          <w:rFonts w:hint="eastAsia" w:asciiTheme="majorEastAsia" w:hAnsiTheme="majorEastAsia" w:eastAsiaTheme="majorEastAsia" w:cstheme="majorEastAsia"/>
          <w:b/>
          <w:color w:val="auto"/>
          <w:sz w:val="32"/>
          <w:szCs w:val="32"/>
          <w:highlight w:val="none"/>
        </w:rPr>
        <w:t>十</w:t>
      </w:r>
      <w:r>
        <w:rPr>
          <w:rFonts w:hint="eastAsia" w:asciiTheme="majorEastAsia" w:hAnsiTheme="majorEastAsia" w:eastAsiaTheme="majorEastAsia" w:cstheme="majorEastAsia"/>
          <w:b/>
          <w:color w:val="auto"/>
          <w:sz w:val="32"/>
          <w:szCs w:val="32"/>
          <w:highlight w:val="none"/>
          <w:lang w:val="en-US" w:eastAsia="zh-CN"/>
        </w:rPr>
        <w:t>七</w:t>
      </w:r>
      <w:r>
        <w:rPr>
          <w:rFonts w:hint="eastAsia" w:asciiTheme="majorEastAsia" w:hAnsiTheme="majorEastAsia" w:eastAsiaTheme="majorEastAsia" w:cstheme="majorEastAsia"/>
          <w:b/>
          <w:color w:val="auto"/>
          <w:sz w:val="32"/>
          <w:szCs w:val="32"/>
          <w:highlight w:val="none"/>
        </w:rPr>
        <w:t>、技术方案、服务承诺、培训承诺等</w:t>
      </w:r>
    </w:p>
    <w:p w14:paraId="70619827">
      <w:pPr>
        <w:pStyle w:val="7"/>
        <w:tabs>
          <w:tab w:val="left" w:pos="2160"/>
        </w:tabs>
        <w:spacing w:beforeAutospacing="0" w:afterAutospacing="0"/>
        <w:jc w:val="both"/>
        <w:rPr>
          <w:rFonts w:hint="eastAsia" w:asciiTheme="majorEastAsia" w:hAnsiTheme="majorEastAsia" w:eastAsiaTheme="majorEastAsia" w:cstheme="majorEastAsia"/>
          <w:color w:val="auto"/>
          <w:highlight w:val="none"/>
        </w:rPr>
      </w:pPr>
    </w:p>
    <w:p w14:paraId="2217C0AE">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7FF45566">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169BC216">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4A23AA1A">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6CDCA510">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095F5EB6">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5D114E6C">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58D54700">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01F094C8">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67E5519E">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4883E5FA">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69D5BBE1">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25A8F72B">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46A9495A">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63EE6D59">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728B90B1">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4AD89A48">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3BAC5026">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043D4026">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03F2ED34">
      <w:pPr>
        <w:widowControl/>
        <w:spacing w:line="499" w:lineRule="atLeast"/>
        <w:ind w:firstLine="1600"/>
        <w:rPr>
          <w:rFonts w:hint="eastAsia" w:asciiTheme="majorEastAsia" w:hAnsiTheme="majorEastAsia" w:eastAsiaTheme="majorEastAsia" w:cstheme="majorEastAsia"/>
          <w:color w:val="auto"/>
          <w:sz w:val="32"/>
          <w:szCs w:val="32"/>
          <w:highlight w:val="none"/>
        </w:rPr>
      </w:pPr>
    </w:p>
    <w:p w14:paraId="3CD2362E">
      <w:pPr>
        <w:widowControl/>
        <w:spacing w:line="499" w:lineRule="atLeast"/>
        <w:ind w:firstLine="1600"/>
        <w:rPr>
          <w:rFonts w:hint="eastAsia" w:asciiTheme="majorEastAsia" w:hAnsiTheme="majorEastAsia" w:eastAsiaTheme="majorEastAsia" w:cstheme="majorEastAsia"/>
          <w:b/>
          <w:color w:val="auto"/>
          <w:kern w:val="0"/>
          <w:sz w:val="32"/>
          <w:szCs w:val="32"/>
          <w:highlight w:val="none"/>
          <w:lang w:val="en-US" w:eastAsia="zh-CN" w:bidi="ar-SA"/>
        </w:rPr>
      </w:pPr>
      <w:r>
        <w:rPr>
          <w:rFonts w:hint="eastAsia" w:asciiTheme="majorEastAsia" w:hAnsiTheme="majorEastAsia" w:eastAsiaTheme="majorEastAsia" w:cstheme="majorEastAsia"/>
          <w:b/>
          <w:color w:val="auto"/>
          <w:kern w:val="0"/>
          <w:sz w:val="32"/>
          <w:szCs w:val="32"/>
          <w:highlight w:val="none"/>
          <w:lang w:val="en-US" w:eastAsia="zh-CN" w:bidi="ar-SA"/>
        </w:rPr>
        <w:t>十八、盐城市政府采购事前信用承诺书</w:t>
      </w:r>
    </w:p>
    <w:p w14:paraId="2DE198D2">
      <w:pPr>
        <w:widowControl/>
        <w:spacing w:line="499" w:lineRule="atLeast"/>
        <w:ind w:firstLine="640"/>
        <w:jc w:val="left"/>
        <w:rPr>
          <w:rFonts w:hint="eastAsia" w:asciiTheme="majorEastAsia" w:hAnsiTheme="majorEastAsia" w:eastAsiaTheme="majorEastAsia" w:cstheme="majorEastAsia"/>
          <w:color w:val="auto"/>
          <w:sz w:val="24"/>
          <w:highlight w:val="none"/>
        </w:rPr>
      </w:pPr>
    </w:p>
    <w:p w14:paraId="1B91B55D">
      <w:pPr>
        <w:widowControl/>
        <w:spacing w:line="499" w:lineRule="atLeast"/>
        <w:ind w:firstLine="48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为营造我市公开、公平、公正、诚实守信的政府采购交易环境，树立诚信守法的投标人形象，本人代表本单位作出以下承诺：</w:t>
      </w:r>
    </w:p>
    <w:p w14:paraId="28ACAF24">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Theme="majorEastAsia" w:hAnsiTheme="majorEastAsia" w:eastAsiaTheme="majorEastAsia" w:cstheme="majorEastAsia"/>
          <w:color w:val="auto"/>
          <w:sz w:val="24"/>
          <w:highlight w:val="none"/>
          <w:lang w:eastAsia="zh-CN"/>
        </w:rPr>
        <w:t>虚假成分</w:t>
      </w:r>
      <w:r>
        <w:rPr>
          <w:rFonts w:hint="eastAsia" w:asciiTheme="majorEastAsia" w:hAnsiTheme="majorEastAsia" w:eastAsiaTheme="majorEastAsia" w:cstheme="majorEastAsia"/>
          <w:color w:val="auto"/>
          <w:sz w:val="24"/>
          <w:highlight w:val="none"/>
        </w:rPr>
        <w:t>，并对所提供资料的真实性负责；</w:t>
      </w:r>
    </w:p>
    <w:p w14:paraId="507FF9A1">
      <w:pPr>
        <w:widowControl/>
        <w:spacing w:line="499" w:lineRule="atLeast"/>
        <w:ind w:firstLine="48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014EF970">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xml:space="preserve">  （三）严格依照国家和省、市关于政府采购的法律、法规、规章、规范性文件，参加政府采购投标活动；积极履行社会责任，促进廉政建设； </w:t>
      </w:r>
    </w:p>
    <w:p w14:paraId="2F718FF8">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（四）严格遵守即时信息公示规定，及时</w:t>
      </w:r>
      <w:r>
        <w:rPr>
          <w:rFonts w:hint="eastAsia" w:asciiTheme="majorEastAsia" w:hAnsiTheme="majorEastAsia" w:eastAsiaTheme="majorEastAsia" w:cstheme="majorEastAsia"/>
          <w:color w:val="auto"/>
          <w:sz w:val="24"/>
          <w:highlight w:val="none"/>
          <w:lang w:eastAsia="zh-CN"/>
        </w:rPr>
        <w:t>维护和更新</w:t>
      </w:r>
      <w:r>
        <w:rPr>
          <w:rFonts w:hint="eastAsia" w:asciiTheme="majorEastAsia" w:hAnsiTheme="majorEastAsia" w:eastAsiaTheme="majorEastAsia" w:cstheme="majorEastAsia"/>
          <w:color w:val="auto"/>
          <w:sz w:val="24"/>
          <w:highlight w:val="none"/>
        </w:rPr>
        <w:t>盐城市政府采购网中与本单位相关的信息；</w:t>
      </w:r>
    </w:p>
    <w:p w14:paraId="09B61203">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00562F9B">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（六）自觉接受政府、行业组织、社会公众、新闻舆论的监督；</w:t>
      </w:r>
    </w:p>
    <w:p w14:paraId="14BC7AF7">
      <w:pPr>
        <w:widowControl/>
        <w:spacing w:line="499" w:lineRule="atLeast"/>
        <w:ind w:firstLine="480"/>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7EA4315D">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（八）本人已认真阅读了上述承诺，并向本单位员工作了宣传教育。</w:t>
      </w:r>
    </w:p>
    <w:p w14:paraId="4C171B0D">
      <w:pPr>
        <w:widowControl/>
        <w:spacing w:line="499" w:lineRule="atLeast"/>
        <w:jc w:val="left"/>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w:t>
      </w:r>
      <w:r>
        <w:rPr>
          <w:rFonts w:hint="eastAsia" w:asciiTheme="majorEastAsia" w:hAnsiTheme="majorEastAsia" w:eastAsiaTheme="majorEastAsia" w:cstheme="majorEastAsia"/>
          <w:color w:val="auto"/>
          <w:sz w:val="24"/>
          <w:highlight w:val="none"/>
          <w:lang w:val="en-US" w:eastAsia="zh-CN"/>
        </w:rPr>
        <w:t xml:space="preserve">         </w:t>
      </w:r>
      <w:r>
        <w:rPr>
          <w:rFonts w:hint="eastAsia" w:asciiTheme="majorEastAsia" w:hAnsiTheme="majorEastAsia" w:eastAsiaTheme="majorEastAsia" w:cstheme="majorEastAsia"/>
          <w:color w:val="auto"/>
          <w:sz w:val="24"/>
          <w:highlight w:val="none"/>
        </w:rPr>
        <w:t> 法定代表人签名：</w:t>
      </w:r>
    </w:p>
    <w:p w14:paraId="52CDA1AB">
      <w:pPr>
        <w:widowControl/>
        <w:spacing w:line="499" w:lineRule="atLeast"/>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单位名称（盖章）：</w:t>
      </w:r>
    </w:p>
    <w:p w14:paraId="3FC84908">
      <w:pPr>
        <w:widowControl/>
        <w:spacing w:line="499" w:lineRule="atLeast"/>
        <w:jc w:val="center"/>
        <w:rPr>
          <w:rFonts w:hint="eastAsia" w:asciiTheme="majorEastAsia" w:hAnsiTheme="majorEastAsia" w:eastAsiaTheme="majorEastAsia" w:cstheme="majorEastAsia"/>
          <w:color w:val="auto"/>
          <w:sz w:val="24"/>
          <w:highlight w:val="none"/>
        </w:rPr>
      </w:pPr>
      <w:r>
        <w:rPr>
          <w:rFonts w:hint="eastAsia" w:asciiTheme="majorEastAsia" w:hAnsiTheme="majorEastAsia" w:eastAsiaTheme="majorEastAsia" w:cstheme="majorEastAsia"/>
          <w:color w:val="auto"/>
          <w:sz w:val="24"/>
          <w:highlight w:val="none"/>
        </w:rPr>
        <w:t>                      年月日</w:t>
      </w:r>
    </w:p>
    <w:p w14:paraId="0BB3AFA8">
      <w:pPr>
        <w:pStyle w:val="7"/>
        <w:spacing w:beforeAutospacing="0" w:afterAutospacing="0"/>
        <w:jc w:val="center"/>
        <w:rPr>
          <w:rFonts w:hint="eastAsia" w:asciiTheme="majorEastAsia" w:hAnsiTheme="majorEastAsia" w:eastAsiaTheme="majorEastAsia" w:cstheme="majorEastAsia"/>
          <w:color w:val="auto"/>
          <w:highlight w:val="none"/>
        </w:rPr>
      </w:pP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4"/>
    <w:bookmarkEnd w:id="177"/>
    <w:bookmarkEnd w:id="181"/>
    <w:bookmarkEnd w:id="182"/>
    <w:bookmarkEnd w:id="184"/>
    <w:bookmarkEnd w:id="185"/>
    <w:bookmarkEnd w:id="186"/>
    <w:bookmarkEnd w:id="187"/>
    <w:bookmarkEnd w:id="196"/>
    <w:bookmarkEnd w:id="197"/>
    <w:bookmarkEnd w:id="198"/>
    <w:bookmarkEnd w:id="199"/>
    <w:bookmarkEnd w:id="200"/>
    <w:p w14:paraId="379F9E50">
      <w:pPr>
        <w:rPr>
          <w:rFonts w:hint="eastAsia" w:asciiTheme="majorEastAsia" w:hAnsiTheme="majorEastAsia" w:eastAsiaTheme="majorEastAsia" w:cstheme="majorEastAsia"/>
          <w:color w:val="auto"/>
          <w:highlight w:val="none"/>
        </w:rPr>
      </w:pPr>
    </w:p>
    <w:p w14:paraId="6087FF17">
      <w:pPr>
        <w:widowControl/>
        <w:spacing w:line="499" w:lineRule="atLeast"/>
        <w:ind w:firstLine="3405" w:firstLineChars="1060"/>
        <w:rPr>
          <w:rFonts w:hint="eastAsia" w:asciiTheme="majorEastAsia" w:hAnsiTheme="majorEastAsia" w:eastAsiaTheme="majorEastAsia" w:cstheme="majorEastAsia"/>
          <w:b/>
          <w:color w:val="auto"/>
          <w:kern w:val="0"/>
          <w:sz w:val="32"/>
          <w:szCs w:val="32"/>
          <w:highlight w:val="none"/>
          <w:lang w:val="en-US" w:eastAsia="zh-CN" w:bidi="ar-SA"/>
        </w:rPr>
      </w:pPr>
      <w:r>
        <w:rPr>
          <w:rFonts w:hint="eastAsia" w:asciiTheme="majorEastAsia" w:hAnsiTheme="majorEastAsia" w:eastAsiaTheme="majorEastAsia" w:cstheme="majorEastAsia"/>
          <w:b/>
          <w:color w:val="auto"/>
          <w:kern w:val="0"/>
          <w:sz w:val="32"/>
          <w:szCs w:val="32"/>
          <w:highlight w:val="none"/>
          <w:lang w:val="en-US" w:eastAsia="zh-CN" w:bidi="ar-SA"/>
        </w:rPr>
        <w:t>质疑函范本</w:t>
      </w:r>
    </w:p>
    <w:p w14:paraId="3F4F9569">
      <w:pPr>
        <w:pStyle w:val="7"/>
        <w:spacing w:before="290"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一、质疑供应商基本信息</w:t>
      </w:r>
    </w:p>
    <w:p w14:paraId="3BE2B8E5">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质疑供应商：</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0DA1C8D0">
      <w:pPr>
        <w:pStyle w:val="7"/>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w:t>
      </w:r>
    </w:p>
    <w:p w14:paraId="5ABEC6F6">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7F616D1D">
      <w:pPr>
        <w:pStyle w:val="7"/>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联系人：</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64A5941A">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xml:space="preserve">                                           </w:t>
      </w:r>
    </w:p>
    <w:p w14:paraId="082E975A">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授权代表：</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1912A880">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联系电话：</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668F5623">
      <w:pPr>
        <w:pStyle w:val="7"/>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地址： </w:t>
      </w:r>
      <w:r>
        <w:rPr>
          <w:rFonts w:hint="eastAsia" w:asciiTheme="majorEastAsia" w:hAnsiTheme="majorEastAsia" w:eastAsiaTheme="majorEastAsia" w:cstheme="majorEastAsia"/>
          <w:color w:val="auto"/>
          <w:highlight w:val="none"/>
          <w:u w:val="single"/>
        </w:rPr>
        <w:t>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6C040328">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邮编：</w:t>
      </w:r>
      <w:r>
        <w:rPr>
          <w:rFonts w:hint="eastAsia" w:asciiTheme="majorEastAsia" w:hAnsiTheme="majorEastAsia" w:eastAsiaTheme="majorEastAsia" w:cstheme="majorEastAsia"/>
          <w:color w:val="auto"/>
          <w:highlight w:val="none"/>
          <w:u w:val="single"/>
        </w:rPr>
        <w:t xml:space="preserve">                                </w:t>
      </w:r>
    </w:p>
    <w:p w14:paraId="4C52AF88">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二、质疑项目基本情况</w:t>
      </w:r>
    </w:p>
    <w:p w14:paraId="60929EA8">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质疑项目的名称：</w:t>
      </w:r>
      <w:r>
        <w:rPr>
          <w:rFonts w:hint="eastAsia" w:asciiTheme="majorEastAsia" w:hAnsiTheme="majorEastAsia" w:eastAsiaTheme="majorEastAsia" w:cstheme="majorEastAsia"/>
          <w:color w:val="auto"/>
          <w:highlight w:val="none"/>
          <w:u w:val="single"/>
        </w:rPr>
        <w:t xml:space="preserve">                            </w:t>
      </w:r>
    </w:p>
    <w:p w14:paraId="00D57F9A">
      <w:pPr>
        <w:pStyle w:val="7"/>
        <w:spacing w:beforeAutospacing="0" w:afterAutospacing="0" w:line="360" w:lineRule="auto"/>
        <w:jc w:val="both"/>
        <w:rPr>
          <w:rFonts w:hint="eastAsia" w:asciiTheme="majorEastAsia" w:hAnsiTheme="majorEastAsia" w:eastAsiaTheme="majorEastAsia" w:cstheme="majorEastAsia"/>
          <w:color w:val="auto"/>
          <w:highlight w:val="none"/>
          <w:u w:val="single"/>
        </w:rPr>
      </w:pPr>
      <w:r>
        <w:rPr>
          <w:rFonts w:hint="eastAsia" w:asciiTheme="majorEastAsia" w:hAnsiTheme="majorEastAsia" w:eastAsiaTheme="majorEastAsia" w:cstheme="majorEastAsia"/>
          <w:color w:val="auto"/>
          <w:highlight w:val="none"/>
        </w:rPr>
        <w:t>质疑项目的编号：</w:t>
      </w:r>
      <w:r>
        <w:rPr>
          <w:rFonts w:hint="eastAsia" w:asciiTheme="majorEastAsia" w:hAnsiTheme="majorEastAsia" w:eastAsiaTheme="majorEastAsia" w:cstheme="majorEastAsia"/>
          <w:color w:val="auto"/>
          <w:highlight w:val="none"/>
          <w:u w:val="single"/>
        </w:rPr>
        <w:t xml:space="preserve">                          </w:t>
      </w:r>
    </w:p>
    <w:p w14:paraId="1D8189FB">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包号：</w:t>
      </w:r>
      <w:r>
        <w:rPr>
          <w:rFonts w:hint="eastAsia" w:asciiTheme="majorEastAsia" w:hAnsiTheme="majorEastAsia" w:eastAsiaTheme="majorEastAsia" w:cstheme="majorEastAsia"/>
          <w:color w:val="auto"/>
          <w:highlight w:val="none"/>
          <w:u w:val="single"/>
        </w:rPr>
        <w:t xml:space="preserve">                       </w:t>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ab/>
      </w:r>
      <w:r>
        <w:rPr>
          <w:rFonts w:hint="eastAsia" w:asciiTheme="majorEastAsia" w:hAnsiTheme="majorEastAsia" w:eastAsiaTheme="majorEastAsia" w:cstheme="majorEastAsia"/>
          <w:color w:val="auto"/>
          <w:highlight w:val="none"/>
          <w:u w:val="single"/>
        </w:rPr>
        <w:t xml:space="preserve">    </w:t>
      </w:r>
    </w:p>
    <w:p w14:paraId="04979C9F">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采购人名称：</w:t>
      </w:r>
      <w:r>
        <w:rPr>
          <w:rFonts w:hint="eastAsia" w:asciiTheme="majorEastAsia" w:hAnsiTheme="majorEastAsia" w:eastAsiaTheme="majorEastAsia" w:cstheme="majorEastAsia"/>
          <w:color w:val="auto"/>
          <w:highlight w:val="none"/>
          <w:u w:val="single"/>
        </w:rPr>
        <w:t xml:space="preserve">                            </w:t>
      </w:r>
    </w:p>
    <w:p w14:paraId="6E7E87FE">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采购文件获取日期：</w:t>
      </w:r>
      <w:r>
        <w:rPr>
          <w:rFonts w:hint="eastAsia" w:asciiTheme="majorEastAsia" w:hAnsiTheme="majorEastAsia" w:eastAsiaTheme="majorEastAsia" w:cstheme="majorEastAsia"/>
          <w:color w:val="auto"/>
          <w:highlight w:val="none"/>
          <w:u w:val="single"/>
        </w:rPr>
        <w:t xml:space="preserve">                             </w:t>
      </w:r>
    </w:p>
    <w:p w14:paraId="48F5176C">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三、质疑事项具体内容</w:t>
      </w:r>
    </w:p>
    <w:p w14:paraId="4889D87D">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质疑事项1：</w:t>
      </w:r>
      <w:r>
        <w:rPr>
          <w:rFonts w:hint="eastAsia" w:asciiTheme="majorEastAsia" w:hAnsiTheme="majorEastAsia" w:eastAsiaTheme="majorEastAsia" w:cstheme="majorEastAsia"/>
          <w:color w:val="auto"/>
          <w:highlight w:val="none"/>
          <w:u w:val="single"/>
        </w:rPr>
        <w:t xml:space="preserve">                             </w:t>
      </w:r>
    </w:p>
    <w:p w14:paraId="7732F199">
      <w:pPr>
        <w:pStyle w:val="7"/>
        <w:spacing w:beforeAutospacing="0" w:afterAutospacing="0" w:line="360" w:lineRule="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事实依据：</w:t>
      </w:r>
      <w:r>
        <w:rPr>
          <w:rFonts w:hint="eastAsia" w:asciiTheme="majorEastAsia" w:hAnsiTheme="majorEastAsia" w:eastAsiaTheme="majorEastAsia" w:cstheme="majorEastAsia"/>
          <w:color w:val="auto"/>
          <w:highlight w:val="none"/>
          <w:u w:val="single"/>
        </w:rPr>
        <w:t xml:space="preserve">                                                   </w:t>
      </w:r>
    </w:p>
    <w:p w14:paraId="2779CC46">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法律依据：</w:t>
      </w:r>
      <w:r>
        <w:rPr>
          <w:rFonts w:hint="eastAsia" w:asciiTheme="majorEastAsia" w:hAnsiTheme="majorEastAsia" w:eastAsiaTheme="majorEastAsia" w:cstheme="majorEastAsia"/>
          <w:color w:val="auto"/>
          <w:highlight w:val="none"/>
          <w:u w:val="single"/>
        </w:rPr>
        <w:t xml:space="preserve">                                                    </w:t>
      </w:r>
    </w:p>
    <w:p w14:paraId="0E44BC02">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质疑事项2</w:t>
      </w:r>
    </w:p>
    <w:p w14:paraId="159B4837">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w:t>
      </w:r>
    </w:p>
    <w:p w14:paraId="60BECFA8">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四、与质疑事项相关的质疑请求</w:t>
      </w:r>
    </w:p>
    <w:p w14:paraId="07ACB61A">
      <w:pPr>
        <w:pStyle w:val="7"/>
        <w:spacing w:beforeAutospacing="0" w:afterAutospacing="0" w:line="360" w:lineRule="auto"/>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请求：</w:t>
      </w:r>
      <w:r>
        <w:rPr>
          <w:rFonts w:hint="eastAsia" w:asciiTheme="majorEastAsia" w:hAnsiTheme="majorEastAsia" w:eastAsiaTheme="majorEastAsia" w:cstheme="majorEastAsia"/>
          <w:color w:val="auto"/>
          <w:highlight w:val="none"/>
          <w:u w:val="single"/>
        </w:rPr>
        <w:t xml:space="preserve">                                                          </w:t>
      </w:r>
    </w:p>
    <w:p w14:paraId="1C496DF2">
      <w:pPr>
        <w:pStyle w:val="7"/>
        <w:spacing w:beforeAutospacing="0" w:afterAutospacing="0"/>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 xml:space="preserve">签字(签章)：                 公章：               日期：    </w:t>
      </w:r>
    </w:p>
    <w:p w14:paraId="029859E9">
      <w:pPr>
        <w:pStyle w:val="7"/>
        <w:spacing w:beforeAutospacing="0" w:afterAutospacing="0" w:line="0" w:lineRule="atLeast"/>
        <w:jc w:val="both"/>
        <w:rPr>
          <w:rFonts w:hint="eastAsia" w:asciiTheme="majorEastAsia" w:hAnsiTheme="majorEastAsia" w:eastAsiaTheme="majorEastAsia" w:cstheme="majorEastAsia"/>
          <w:b/>
          <w:color w:val="auto"/>
          <w:highlight w:val="none"/>
        </w:rPr>
      </w:pPr>
    </w:p>
    <w:p w14:paraId="7459AEAF">
      <w:pPr>
        <w:pStyle w:val="7"/>
        <w:spacing w:beforeAutospacing="0" w:afterAutospacing="0" w:line="0" w:lineRule="atLeast"/>
        <w:jc w:val="both"/>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b/>
          <w:color w:val="auto"/>
          <w:highlight w:val="none"/>
        </w:rPr>
        <w:t>质疑函制作说明：</w:t>
      </w:r>
    </w:p>
    <w:p w14:paraId="696BFA6A">
      <w:pPr>
        <w:pStyle w:val="7"/>
        <w:widowControl/>
        <w:spacing w:beforeAutospacing="0" w:afterAutospacing="0" w:line="0" w:lineRule="atLeast"/>
        <w:ind w:firstLine="480"/>
        <w:rPr>
          <w:rFonts w:hint="eastAsia" w:asciiTheme="majorEastAsia" w:hAnsiTheme="majorEastAsia" w:eastAsiaTheme="majorEastAsia" w:cstheme="majorEastAsia"/>
          <w:color w:val="auto"/>
          <w:highlight w:val="none"/>
        </w:rPr>
      </w:pPr>
    </w:p>
    <w:p w14:paraId="2393E7C0">
      <w:pPr>
        <w:pStyle w:val="7"/>
        <w:widowControl/>
        <w:spacing w:beforeAutospacing="0" w:afterAutospacing="0" w:line="0" w:lineRule="atLeast"/>
        <w:ind w:firstLine="480"/>
        <w:rPr>
          <w:rFonts w:hint="eastAsia" w:asciiTheme="majorEastAsia" w:hAnsiTheme="majorEastAsia" w:eastAsiaTheme="majorEastAsia" w:cstheme="majorEastAsia"/>
          <w:color w:val="auto"/>
          <w:highlight w:val="none"/>
        </w:rPr>
      </w:pPr>
    </w:p>
    <w:p w14:paraId="6C094F8A">
      <w:pPr>
        <w:pStyle w:val="7"/>
        <w:widowControl/>
        <w:spacing w:beforeAutospacing="0" w:afterAutospacing="0" w:line="0" w:lineRule="atLeast"/>
        <w:ind w:firstLine="480"/>
        <w:rPr>
          <w:rFonts w:hint="eastAsia" w:asciiTheme="majorEastAsia" w:hAnsiTheme="majorEastAsia" w:eastAsiaTheme="majorEastAsia" w:cstheme="majorEastAsia"/>
          <w:color w:val="auto"/>
          <w:highlight w:val="none"/>
        </w:rPr>
      </w:pPr>
    </w:p>
    <w:p w14:paraId="51DD5864">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highlight w:val="none"/>
        </w:rPr>
      </w:pPr>
      <w:r>
        <w:rPr>
          <w:rFonts w:hint="eastAsia" w:asciiTheme="majorEastAsia" w:hAnsiTheme="majorEastAsia" w:eastAsiaTheme="majorEastAsia" w:cstheme="majorEastAsia"/>
          <w:color w:val="auto"/>
          <w:highlight w:val="none"/>
        </w:rPr>
        <w:t>1.供应商提出质疑时，应提交质疑函和必要的证明材料。</w:t>
      </w:r>
    </w:p>
    <w:p w14:paraId="057C986F">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3919E8E">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3.质疑供应商若对项目的某一分包进行质疑，质疑函中应列明具体分包号。</w:t>
      </w:r>
    </w:p>
    <w:p w14:paraId="6ACDFD13">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4.质疑函的质疑事项应具体、明确，并有必要的事实依据和法律依据。</w:t>
      </w:r>
    </w:p>
    <w:p w14:paraId="66588AE5">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5.质疑函的质疑请求应与质疑事项相关。</w:t>
      </w:r>
    </w:p>
    <w:p w14:paraId="24FF9CAD">
      <w:pPr>
        <w:pStyle w:val="7"/>
        <w:keepNext w:val="0"/>
        <w:keepLines w:val="0"/>
        <w:pageBreakBefore w:val="0"/>
        <w:widowControl/>
        <w:kinsoku/>
        <w:wordWrap/>
        <w:overflowPunct/>
        <w:topLinePunct w:val="0"/>
        <w:autoSpaceDE/>
        <w:autoSpaceDN/>
        <w:bidi w:val="0"/>
        <w:adjustRightInd/>
        <w:snapToGrid/>
        <w:spacing w:beforeAutospacing="0" w:afterAutospacing="0" w:line="360" w:lineRule="auto"/>
        <w:ind w:firstLine="480"/>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6.质疑供应商为自然人的，质疑函应由本人签字；质疑供应商为法人或者其他组织的，质疑函应由法定代表人、主要负责人，或者其授权代表签字或者盖章，并加盖公章。</w:t>
      </w:r>
    </w:p>
    <w:p w14:paraId="64647FBD">
      <w:pPr>
        <w:pStyle w:val="7"/>
        <w:keepNext w:val="0"/>
        <w:keepLines w:val="0"/>
        <w:pageBreakBefore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Theme="majorEastAsia" w:hAnsiTheme="majorEastAsia" w:eastAsiaTheme="majorEastAsia" w:cstheme="majorEastAsia"/>
          <w:color w:val="auto"/>
          <w:kern w:val="2"/>
          <w:sz w:val="24"/>
          <w:szCs w:val="24"/>
          <w:highlight w:val="none"/>
          <w:lang w:val="en-US" w:eastAsia="zh-CN" w:bidi="ar-SA"/>
        </w:rPr>
      </w:pPr>
      <w:r>
        <w:rPr>
          <w:rFonts w:hint="eastAsia" w:asciiTheme="majorEastAsia" w:hAnsiTheme="majorEastAsia" w:eastAsiaTheme="majorEastAsia" w:cstheme="majorEastAsia"/>
          <w:color w:val="auto"/>
          <w:kern w:val="2"/>
          <w:sz w:val="24"/>
          <w:szCs w:val="24"/>
          <w:highlight w:val="none"/>
          <w:lang w:val="en-US" w:eastAsia="zh-CN" w:bidi="ar-SA"/>
        </w:rPr>
        <w:t> </w:t>
      </w:r>
    </w:p>
    <w:p w14:paraId="076FF269">
      <w:pPr>
        <w:rPr>
          <w:rFonts w:hint="eastAsia" w:asciiTheme="majorEastAsia" w:hAnsiTheme="majorEastAsia" w:eastAsiaTheme="majorEastAsia" w:cstheme="majorEastAsia"/>
          <w:color w:val="auto"/>
          <w:kern w:val="2"/>
          <w:sz w:val="24"/>
          <w:szCs w:val="24"/>
          <w:highlight w:val="none"/>
          <w:lang w:val="en-US" w:eastAsia="zh-CN" w:bidi="ar-SA"/>
        </w:rPr>
      </w:pPr>
    </w:p>
    <w:sectPr>
      <w:pgSz w:w="11906" w:h="16838"/>
      <w:pgMar w:top="1440" w:right="1701"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6EBBEA5"/>
    <w:multiLevelType w:val="singleLevel"/>
    <w:tmpl w:val="C6EBBEA5"/>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RmZmQ1MDBlYWYxODY5M2IyZTdmMGQ3YzdhMmFhMzUifQ=="/>
  </w:docVars>
  <w:rsids>
    <w:rsidRoot w:val="00172A27"/>
    <w:rsid w:val="00075369"/>
    <w:rsid w:val="00077137"/>
    <w:rsid w:val="00093DD2"/>
    <w:rsid w:val="00100CC0"/>
    <w:rsid w:val="00131CB1"/>
    <w:rsid w:val="00172A27"/>
    <w:rsid w:val="00177F0B"/>
    <w:rsid w:val="001A3225"/>
    <w:rsid w:val="001F4115"/>
    <w:rsid w:val="00215AA4"/>
    <w:rsid w:val="00251125"/>
    <w:rsid w:val="002E61F3"/>
    <w:rsid w:val="002F12F8"/>
    <w:rsid w:val="003C1A89"/>
    <w:rsid w:val="003C6894"/>
    <w:rsid w:val="0043276E"/>
    <w:rsid w:val="004529E6"/>
    <w:rsid w:val="00455E51"/>
    <w:rsid w:val="004670D5"/>
    <w:rsid w:val="00474047"/>
    <w:rsid w:val="00491F6E"/>
    <w:rsid w:val="004D3110"/>
    <w:rsid w:val="00502ACB"/>
    <w:rsid w:val="00520AC5"/>
    <w:rsid w:val="00552DFB"/>
    <w:rsid w:val="005E57E9"/>
    <w:rsid w:val="006932C0"/>
    <w:rsid w:val="006B6F15"/>
    <w:rsid w:val="007871B9"/>
    <w:rsid w:val="007A220C"/>
    <w:rsid w:val="007A7B98"/>
    <w:rsid w:val="007B1CF4"/>
    <w:rsid w:val="00817A96"/>
    <w:rsid w:val="0088127E"/>
    <w:rsid w:val="008B090D"/>
    <w:rsid w:val="008E4636"/>
    <w:rsid w:val="00935693"/>
    <w:rsid w:val="00A4304F"/>
    <w:rsid w:val="00A62079"/>
    <w:rsid w:val="00A70028"/>
    <w:rsid w:val="00A80AB0"/>
    <w:rsid w:val="00AA2A8E"/>
    <w:rsid w:val="00B07FD4"/>
    <w:rsid w:val="00B454C4"/>
    <w:rsid w:val="00BE692E"/>
    <w:rsid w:val="00BE787D"/>
    <w:rsid w:val="00C30C78"/>
    <w:rsid w:val="00C36D58"/>
    <w:rsid w:val="00C83D22"/>
    <w:rsid w:val="00C86C58"/>
    <w:rsid w:val="00CB578B"/>
    <w:rsid w:val="00D1282F"/>
    <w:rsid w:val="00D550E3"/>
    <w:rsid w:val="00D63F4B"/>
    <w:rsid w:val="00D93FCD"/>
    <w:rsid w:val="00E57898"/>
    <w:rsid w:val="00E6087B"/>
    <w:rsid w:val="00F130C8"/>
    <w:rsid w:val="00F264FD"/>
    <w:rsid w:val="00F33192"/>
    <w:rsid w:val="00F50207"/>
    <w:rsid w:val="00F8669E"/>
    <w:rsid w:val="00F957B2"/>
    <w:rsid w:val="00FC6132"/>
    <w:rsid w:val="00FE3C91"/>
    <w:rsid w:val="01023131"/>
    <w:rsid w:val="014036E0"/>
    <w:rsid w:val="01416DF2"/>
    <w:rsid w:val="015C3D17"/>
    <w:rsid w:val="015D1EF7"/>
    <w:rsid w:val="01C209CB"/>
    <w:rsid w:val="02357688"/>
    <w:rsid w:val="02851591"/>
    <w:rsid w:val="02BD5381"/>
    <w:rsid w:val="02D505AD"/>
    <w:rsid w:val="03365B5E"/>
    <w:rsid w:val="034E4AD1"/>
    <w:rsid w:val="03793D19"/>
    <w:rsid w:val="037E0789"/>
    <w:rsid w:val="03913FFC"/>
    <w:rsid w:val="045B70AB"/>
    <w:rsid w:val="04CF1FA6"/>
    <w:rsid w:val="04FE63B4"/>
    <w:rsid w:val="05445D91"/>
    <w:rsid w:val="056E5657"/>
    <w:rsid w:val="05AD05DE"/>
    <w:rsid w:val="05BD3D79"/>
    <w:rsid w:val="05D1541D"/>
    <w:rsid w:val="0621639E"/>
    <w:rsid w:val="062C42CE"/>
    <w:rsid w:val="06764670"/>
    <w:rsid w:val="06867FD2"/>
    <w:rsid w:val="068A6E34"/>
    <w:rsid w:val="06B12B65"/>
    <w:rsid w:val="06BD3726"/>
    <w:rsid w:val="071D689A"/>
    <w:rsid w:val="07887E6F"/>
    <w:rsid w:val="07994E3B"/>
    <w:rsid w:val="07A02A3F"/>
    <w:rsid w:val="07A40F48"/>
    <w:rsid w:val="07B74F40"/>
    <w:rsid w:val="07F651C7"/>
    <w:rsid w:val="080A468F"/>
    <w:rsid w:val="0854758E"/>
    <w:rsid w:val="08992D34"/>
    <w:rsid w:val="08C031CE"/>
    <w:rsid w:val="08C86899"/>
    <w:rsid w:val="09132265"/>
    <w:rsid w:val="09D92A42"/>
    <w:rsid w:val="09FE79EC"/>
    <w:rsid w:val="0AB319EF"/>
    <w:rsid w:val="0ABC363A"/>
    <w:rsid w:val="0AD8294B"/>
    <w:rsid w:val="0B4B3B00"/>
    <w:rsid w:val="0B8A23C1"/>
    <w:rsid w:val="0BA111B6"/>
    <w:rsid w:val="0BAE3813"/>
    <w:rsid w:val="0BFF003E"/>
    <w:rsid w:val="0C9413AC"/>
    <w:rsid w:val="0CFF0F1B"/>
    <w:rsid w:val="0D4D2FC1"/>
    <w:rsid w:val="0DBA4E3E"/>
    <w:rsid w:val="0E0362D5"/>
    <w:rsid w:val="0E966A8C"/>
    <w:rsid w:val="0E9C279A"/>
    <w:rsid w:val="0EB36461"/>
    <w:rsid w:val="0EE61CD2"/>
    <w:rsid w:val="0F0A004B"/>
    <w:rsid w:val="0F655282"/>
    <w:rsid w:val="0F6D24BC"/>
    <w:rsid w:val="0F7D537E"/>
    <w:rsid w:val="0FBC4A1F"/>
    <w:rsid w:val="0FC41FA8"/>
    <w:rsid w:val="0FDA7A1E"/>
    <w:rsid w:val="0FE97C61"/>
    <w:rsid w:val="0FFE19AD"/>
    <w:rsid w:val="10007707"/>
    <w:rsid w:val="10B2533E"/>
    <w:rsid w:val="10FA6CD5"/>
    <w:rsid w:val="11072A94"/>
    <w:rsid w:val="11661028"/>
    <w:rsid w:val="11847C41"/>
    <w:rsid w:val="11AB711C"/>
    <w:rsid w:val="11EA7B3B"/>
    <w:rsid w:val="11EB7CC0"/>
    <w:rsid w:val="1202396B"/>
    <w:rsid w:val="120977E7"/>
    <w:rsid w:val="12A21019"/>
    <w:rsid w:val="12D9220E"/>
    <w:rsid w:val="12F015A0"/>
    <w:rsid w:val="132711CC"/>
    <w:rsid w:val="13D157F4"/>
    <w:rsid w:val="143E4A1F"/>
    <w:rsid w:val="14477BA7"/>
    <w:rsid w:val="14712BD2"/>
    <w:rsid w:val="15141207"/>
    <w:rsid w:val="157923E7"/>
    <w:rsid w:val="16094541"/>
    <w:rsid w:val="162C6AF9"/>
    <w:rsid w:val="163E3563"/>
    <w:rsid w:val="169263C8"/>
    <w:rsid w:val="16A61788"/>
    <w:rsid w:val="16AF4856"/>
    <w:rsid w:val="16FC471D"/>
    <w:rsid w:val="16FC64CC"/>
    <w:rsid w:val="170045BA"/>
    <w:rsid w:val="174D6D27"/>
    <w:rsid w:val="174D7871"/>
    <w:rsid w:val="17666D47"/>
    <w:rsid w:val="176F0FD8"/>
    <w:rsid w:val="17732C32"/>
    <w:rsid w:val="178521C3"/>
    <w:rsid w:val="17884203"/>
    <w:rsid w:val="18184940"/>
    <w:rsid w:val="18BC4109"/>
    <w:rsid w:val="18D23988"/>
    <w:rsid w:val="191B532F"/>
    <w:rsid w:val="193260E4"/>
    <w:rsid w:val="195E16BF"/>
    <w:rsid w:val="19835197"/>
    <w:rsid w:val="19A11C2E"/>
    <w:rsid w:val="1A1C3150"/>
    <w:rsid w:val="1A4F2C83"/>
    <w:rsid w:val="1A9D6217"/>
    <w:rsid w:val="1AA839EE"/>
    <w:rsid w:val="1AD2708F"/>
    <w:rsid w:val="1AD75285"/>
    <w:rsid w:val="1AE6196C"/>
    <w:rsid w:val="1B193AF0"/>
    <w:rsid w:val="1B5508A0"/>
    <w:rsid w:val="1B5F5046"/>
    <w:rsid w:val="1B9509DF"/>
    <w:rsid w:val="1BA002D8"/>
    <w:rsid w:val="1BA54093"/>
    <w:rsid w:val="1C493F61"/>
    <w:rsid w:val="1C775AC9"/>
    <w:rsid w:val="1CAC4347"/>
    <w:rsid w:val="1CF739BD"/>
    <w:rsid w:val="1D1C1092"/>
    <w:rsid w:val="1D605A5A"/>
    <w:rsid w:val="1D812873"/>
    <w:rsid w:val="1DDF4451"/>
    <w:rsid w:val="1DE2466D"/>
    <w:rsid w:val="1DFD1285"/>
    <w:rsid w:val="1E0E1807"/>
    <w:rsid w:val="1E4E1D03"/>
    <w:rsid w:val="1EC70509"/>
    <w:rsid w:val="1EE6018D"/>
    <w:rsid w:val="1F2E0209"/>
    <w:rsid w:val="1F2F40F4"/>
    <w:rsid w:val="1F4A0271"/>
    <w:rsid w:val="1FA5245A"/>
    <w:rsid w:val="1FC7762D"/>
    <w:rsid w:val="2000702C"/>
    <w:rsid w:val="203719E5"/>
    <w:rsid w:val="205C376D"/>
    <w:rsid w:val="20607ACB"/>
    <w:rsid w:val="20677E3C"/>
    <w:rsid w:val="206E2D53"/>
    <w:rsid w:val="20733730"/>
    <w:rsid w:val="20933EB2"/>
    <w:rsid w:val="209429D0"/>
    <w:rsid w:val="20A83FAF"/>
    <w:rsid w:val="20CE42A1"/>
    <w:rsid w:val="20D06A4B"/>
    <w:rsid w:val="215025DE"/>
    <w:rsid w:val="215F4227"/>
    <w:rsid w:val="21827A71"/>
    <w:rsid w:val="21CC717D"/>
    <w:rsid w:val="21D25274"/>
    <w:rsid w:val="22424AA4"/>
    <w:rsid w:val="2288080F"/>
    <w:rsid w:val="228C104B"/>
    <w:rsid w:val="22934188"/>
    <w:rsid w:val="22B22846"/>
    <w:rsid w:val="22F62B8A"/>
    <w:rsid w:val="23151041"/>
    <w:rsid w:val="23244DE0"/>
    <w:rsid w:val="23254D08"/>
    <w:rsid w:val="23534E2B"/>
    <w:rsid w:val="242C02D7"/>
    <w:rsid w:val="24533DC2"/>
    <w:rsid w:val="24BE643D"/>
    <w:rsid w:val="24E32A79"/>
    <w:rsid w:val="2532334D"/>
    <w:rsid w:val="253B0B07"/>
    <w:rsid w:val="2560231B"/>
    <w:rsid w:val="25675458"/>
    <w:rsid w:val="259B3353"/>
    <w:rsid w:val="26236308"/>
    <w:rsid w:val="26750FF7"/>
    <w:rsid w:val="26E74AA2"/>
    <w:rsid w:val="27194423"/>
    <w:rsid w:val="27206206"/>
    <w:rsid w:val="27290FC5"/>
    <w:rsid w:val="27532326"/>
    <w:rsid w:val="280F2F92"/>
    <w:rsid w:val="28A71A17"/>
    <w:rsid w:val="28BC3D0D"/>
    <w:rsid w:val="28FE41FC"/>
    <w:rsid w:val="29345C52"/>
    <w:rsid w:val="298B0E4D"/>
    <w:rsid w:val="2996274E"/>
    <w:rsid w:val="29BD7D3C"/>
    <w:rsid w:val="2A4648B7"/>
    <w:rsid w:val="2A7D74CC"/>
    <w:rsid w:val="2A9A62D0"/>
    <w:rsid w:val="2B005440"/>
    <w:rsid w:val="2B473D61"/>
    <w:rsid w:val="2BCA6741"/>
    <w:rsid w:val="2C03574A"/>
    <w:rsid w:val="2C0A4EA8"/>
    <w:rsid w:val="2C1125C1"/>
    <w:rsid w:val="2C7B3B05"/>
    <w:rsid w:val="2C8D3BC3"/>
    <w:rsid w:val="2CC277F5"/>
    <w:rsid w:val="2CEA709A"/>
    <w:rsid w:val="2D200D0E"/>
    <w:rsid w:val="2D39592C"/>
    <w:rsid w:val="2D6C3F53"/>
    <w:rsid w:val="2D746964"/>
    <w:rsid w:val="2E0C4DEE"/>
    <w:rsid w:val="2E0F48DF"/>
    <w:rsid w:val="2E5E7AF7"/>
    <w:rsid w:val="2E9F2106"/>
    <w:rsid w:val="2EE73822"/>
    <w:rsid w:val="2FA80D19"/>
    <w:rsid w:val="2FAD4FD9"/>
    <w:rsid w:val="2FB346FB"/>
    <w:rsid w:val="2FB716BC"/>
    <w:rsid w:val="2FFA5778"/>
    <w:rsid w:val="3049057C"/>
    <w:rsid w:val="30495C84"/>
    <w:rsid w:val="30556F21"/>
    <w:rsid w:val="30650005"/>
    <w:rsid w:val="310333AD"/>
    <w:rsid w:val="3126266B"/>
    <w:rsid w:val="31522189"/>
    <w:rsid w:val="317F3B29"/>
    <w:rsid w:val="31853836"/>
    <w:rsid w:val="318E0F10"/>
    <w:rsid w:val="31DB0550"/>
    <w:rsid w:val="32531113"/>
    <w:rsid w:val="329E6CD8"/>
    <w:rsid w:val="329F4483"/>
    <w:rsid w:val="32AE0B6A"/>
    <w:rsid w:val="32E77BD8"/>
    <w:rsid w:val="33440753"/>
    <w:rsid w:val="334B4AB3"/>
    <w:rsid w:val="33773E42"/>
    <w:rsid w:val="340C6244"/>
    <w:rsid w:val="34367069"/>
    <w:rsid w:val="34A2025B"/>
    <w:rsid w:val="34E14EA2"/>
    <w:rsid w:val="34E346A0"/>
    <w:rsid w:val="359B1151"/>
    <w:rsid w:val="35A41DB0"/>
    <w:rsid w:val="35AD49A2"/>
    <w:rsid w:val="35BC534C"/>
    <w:rsid w:val="361132AD"/>
    <w:rsid w:val="36172BC3"/>
    <w:rsid w:val="36721EAF"/>
    <w:rsid w:val="368C11C2"/>
    <w:rsid w:val="36CC7C95"/>
    <w:rsid w:val="36E076F0"/>
    <w:rsid w:val="36EB650A"/>
    <w:rsid w:val="375B1FDF"/>
    <w:rsid w:val="378133A9"/>
    <w:rsid w:val="37A4078E"/>
    <w:rsid w:val="380B4369"/>
    <w:rsid w:val="383A233E"/>
    <w:rsid w:val="38CC1D4A"/>
    <w:rsid w:val="39101F1B"/>
    <w:rsid w:val="391A0D07"/>
    <w:rsid w:val="392B4CC2"/>
    <w:rsid w:val="392D7EB3"/>
    <w:rsid w:val="39643D30"/>
    <w:rsid w:val="39720FC7"/>
    <w:rsid w:val="39987E7E"/>
    <w:rsid w:val="39A84137"/>
    <w:rsid w:val="39CD52E9"/>
    <w:rsid w:val="39F74BA5"/>
    <w:rsid w:val="3A150D76"/>
    <w:rsid w:val="3A1C0AAF"/>
    <w:rsid w:val="3A575643"/>
    <w:rsid w:val="3A64388F"/>
    <w:rsid w:val="3AB02FA5"/>
    <w:rsid w:val="3B0B043D"/>
    <w:rsid w:val="3B702E61"/>
    <w:rsid w:val="3B970B74"/>
    <w:rsid w:val="3B9710EF"/>
    <w:rsid w:val="3BDF2457"/>
    <w:rsid w:val="3BDF7FE6"/>
    <w:rsid w:val="3BF27D19"/>
    <w:rsid w:val="3C756255"/>
    <w:rsid w:val="3CA56B3A"/>
    <w:rsid w:val="3CC36DCD"/>
    <w:rsid w:val="3D23372C"/>
    <w:rsid w:val="3D2823FA"/>
    <w:rsid w:val="3D581DFE"/>
    <w:rsid w:val="3D6A4AAA"/>
    <w:rsid w:val="3D6B054C"/>
    <w:rsid w:val="3DF80C94"/>
    <w:rsid w:val="3DFD4754"/>
    <w:rsid w:val="3E064F5A"/>
    <w:rsid w:val="3E161B6B"/>
    <w:rsid w:val="3E496B6B"/>
    <w:rsid w:val="3E7F5998"/>
    <w:rsid w:val="3EED6576"/>
    <w:rsid w:val="3F0056DB"/>
    <w:rsid w:val="3F0156C1"/>
    <w:rsid w:val="3F1A3023"/>
    <w:rsid w:val="3F23614E"/>
    <w:rsid w:val="3F243A9D"/>
    <w:rsid w:val="3FA219FA"/>
    <w:rsid w:val="3FC26720"/>
    <w:rsid w:val="401F09B1"/>
    <w:rsid w:val="40240DD7"/>
    <w:rsid w:val="40260F22"/>
    <w:rsid w:val="402B33C8"/>
    <w:rsid w:val="40350295"/>
    <w:rsid w:val="4061721C"/>
    <w:rsid w:val="406E1D8D"/>
    <w:rsid w:val="42053C57"/>
    <w:rsid w:val="42214BD9"/>
    <w:rsid w:val="42324DFA"/>
    <w:rsid w:val="42AF59D8"/>
    <w:rsid w:val="430B5192"/>
    <w:rsid w:val="431353F3"/>
    <w:rsid w:val="43144A19"/>
    <w:rsid w:val="43322182"/>
    <w:rsid w:val="43455446"/>
    <w:rsid w:val="4450382F"/>
    <w:rsid w:val="44A138C6"/>
    <w:rsid w:val="44DA072F"/>
    <w:rsid w:val="451E0CB6"/>
    <w:rsid w:val="454D0F8E"/>
    <w:rsid w:val="45A51597"/>
    <w:rsid w:val="45FC0A54"/>
    <w:rsid w:val="461D469A"/>
    <w:rsid w:val="46552741"/>
    <w:rsid w:val="466976E6"/>
    <w:rsid w:val="46A26D6F"/>
    <w:rsid w:val="46D32596"/>
    <w:rsid w:val="46EA0CE7"/>
    <w:rsid w:val="470D4256"/>
    <w:rsid w:val="472208AE"/>
    <w:rsid w:val="47704C41"/>
    <w:rsid w:val="47755C7D"/>
    <w:rsid w:val="477F6C5D"/>
    <w:rsid w:val="47B925F3"/>
    <w:rsid w:val="47C3256A"/>
    <w:rsid w:val="47CD5197"/>
    <w:rsid w:val="4800731A"/>
    <w:rsid w:val="480F755D"/>
    <w:rsid w:val="48771F96"/>
    <w:rsid w:val="48910AEC"/>
    <w:rsid w:val="48913E27"/>
    <w:rsid w:val="489B41A5"/>
    <w:rsid w:val="489D725F"/>
    <w:rsid w:val="48B3170D"/>
    <w:rsid w:val="493C7DE9"/>
    <w:rsid w:val="49634005"/>
    <w:rsid w:val="49D62B33"/>
    <w:rsid w:val="4A1E13B4"/>
    <w:rsid w:val="4A2C49B0"/>
    <w:rsid w:val="4A7D1B0F"/>
    <w:rsid w:val="4AAC50D1"/>
    <w:rsid w:val="4AF64A04"/>
    <w:rsid w:val="4AFA44F5"/>
    <w:rsid w:val="4B0C37B9"/>
    <w:rsid w:val="4B1B4B68"/>
    <w:rsid w:val="4B663938"/>
    <w:rsid w:val="4B944949"/>
    <w:rsid w:val="4BC33B49"/>
    <w:rsid w:val="4BD12EAB"/>
    <w:rsid w:val="4C0C6ECB"/>
    <w:rsid w:val="4C5A2B74"/>
    <w:rsid w:val="4CE92A73"/>
    <w:rsid w:val="4D2D20D9"/>
    <w:rsid w:val="4D317F76"/>
    <w:rsid w:val="4D3C69F8"/>
    <w:rsid w:val="4D5313C2"/>
    <w:rsid w:val="4D784E5B"/>
    <w:rsid w:val="4D7D31BB"/>
    <w:rsid w:val="4DA074F7"/>
    <w:rsid w:val="4DA33F07"/>
    <w:rsid w:val="4DDE52C0"/>
    <w:rsid w:val="4E670CC9"/>
    <w:rsid w:val="4EDD03B5"/>
    <w:rsid w:val="4F337FD5"/>
    <w:rsid w:val="4F526BF1"/>
    <w:rsid w:val="4F6F0016"/>
    <w:rsid w:val="4FC2427A"/>
    <w:rsid w:val="507707C3"/>
    <w:rsid w:val="50A0169A"/>
    <w:rsid w:val="50A1397F"/>
    <w:rsid w:val="510A099B"/>
    <w:rsid w:val="51711289"/>
    <w:rsid w:val="518A5306"/>
    <w:rsid w:val="51C75DFE"/>
    <w:rsid w:val="51D23006"/>
    <w:rsid w:val="520D408B"/>
    <w:rsid w:val="526112FD"/>
    <w:rsid w:val="52741FCB"/>
    <w:rsid w:val="52CA1464"/>
    <w:rsid w:val="52D06B10"/>
    <w:rsid w:val="52D52291"/>
    <w:rsid w:val="53112879"/>
    <w:rsid w:val="53114AD1"/>
    <w:rsid w:val="533D58C6"/>
    <w:rsid w:val="53536515"/>
    <w:rsid w:val="536B21BA"/>
    <w:rsid w:val="53A862CC"/>
    <w:rsid w:val="53BD6398"/>
    <w:rsid w:val="5402441A"/>
    <w:rsid w:val="542645AC"/>
    <w:rsid w:val="542A0FDA"/>
    <w:rsid w:val="54370568"/>
    <w:rsid w:val="545729B8"/>
    <w:rsid w:val="546C11F4"/>
    <w:rsid w:val="546E1AAF"/>
    <w:rsid w:val="54857525"/>
    <w:rsid w:val="54ED53D0"/>
    <w:rsid w:val="55091CCC"/>
    <w:rsid w:val="555869E7"/>
    <w:rsid w:val="55A220DF"/>
    <w:rsid w:val="55C67DF5"/>
    <w:rsid w:val="55FA184D"/>
    <w:rsid w:val="56307253"/>
    <w:rsid w:val="56453199"/>
    <w:rsid w:val="564F2794"/>
    <w:rsid w:val="579B2BBB"/>
    <w:rsid w:val="582F6DAB"/>
    <w:rsid w:val="58366D88"/>
    <w:rsid w:val="588910E4"/>
    <w:rsid w:val="58977827"/>
    <w:rsid w:val="58AD45AF"/>
    <w:rsid w:val="58D4718C"/>
    <w:rsid w:val="59274DA4"/>
    <w:rsid w:val="597131E7"/>
    <w:rsid w:val="599211F9"/>
    <w:rsid w:val="59A82CA5"/>
    <w:rsid w:val="59B47FDA"/>
    <w:rsid w:val="5A366193"/>
    <w:rsid w:val="5AA4622B"/>
    <w:rsid w:val="5ABD109B"/>
    <w:rsid w:val="5AD514E8"/>
    <w:rsid w:val="5AD536B4"/>
    <w:rsid w:val="5AEA4CCC"/>
    <w:rsid w:val="5B031B11"/>
    <w:rsid w:val="5B2C4517"/>
    <w:rsid w:val="5B96574B"/>
    <w:rsid w:val="5BE2480A"/>
    <w:rsid w:val="5BF154A0"/>
    <w:rsid w:val="5C2A4141"/>
    <w:rsid w:val="5C2C64D8"/>
    <w:rsid w:val="5C5A652B"/>
    <w:rsid w:val="5C82545B"/>
    <w:rsid w:val="5CE305DA"/>
    <w:rsid w:val="5D3E5EBD"/>
    <w:rsid w:val="5DDD75C3"/>
    <w:rsid w:val="5DE138D8"/>
    <w:rsid w:val="5E1921ED"/>
    <w:rsid w:val="5EF07A1A"/>
    <w:rsid w:val="5F7D5E8E"/>
    <w:rsid w:val="5F7F522A"/>
    <w:rsid w:val="5F93061C"/>
    <w:rsid w:val="5FD72BFF"/>
    <w:rsid w:val="5FDC5406"/>
    <w:rsid w:val="5FFC4413"/>
    <w:rsid w:val="601337BB"/>
    <w:rsid w:val="605528AA"/>
    <w:rsid w:val="606D70BF"/>
    <w:rsid w:val="60762DC3"/>
    <w:rsid w:val="60D51B2B"/>
    <w:rsid w:val="60EC6236"/>
    <w:rsid w:val="617F2D1C"/>
    <w:rsid w:val="61891CD7"/>
    <w:rsid w:val="62312A9A"/>
    <w:rsid w:val="626B7FC9"/>
    <w:rsid w:val="6283706E"/>
    <w:rsid w:val="62922E0D"/>
    <w:rsid w:val="62A87E16"/>
    <w:rsid w:val="62C43294"/>
    <w:rsid w:val="62CA561A"/>
    <w:rsid w:val="6313315F"/>
    <w:rsid w:val="637172BE"/>
    <w:rsid w:val="63CD6C1F"/>
    <w:rsid w:val="63F0428F"/>
    <w:rsid w:val="64262A99"/>
    <w:rsid w:val="643F0D73"/>
    <w:rsid w:val="64813139"/>
    <w:rsid w:val="64A56430"/>
    <w:rsid w:val="65BA6903"/>
    <w:rsid w:val="65BB2793"/>
    <w:rsid w:val="65DD5A8E"/>
    <w:rsid w:val="65FB46E7"/>
    <w:rsid w:val="667027CF"/>
    <w:rsid w:val="6688694C"/>
    <w:rsid w:val="66B22301"/>
    <w:rsid w:val="66D41C46"/>
    <w:rsid w:val="670D4A21"/>
    <w:rsid w:val="67B6759E"/>
    <w:rsid w:val="67C021CA"/>
    <w:rsid w:val="68076E78"/>
    <w:rsid w:val="68245589"/>
    <w:rsid w:val="68777DD2"/>
    <w:rsid w:val="68CF442F"/>
    <w:rsid w:val="69605A13"/>
    <w:rsid w:val="69833F84"/>
    <w:rsid w:val="69983CE0"/>
    <w:rsid w:val="6A1C1694"/>
    <w:rsid w:val="6A5437CA"/>
    <w:rsid w:val="6A751DB0"/>
    <w:rsid w:val="6AB95533"/>
    <w:rsid w:val="6ADF0BB9"/>
    <w:rsid w:val="6B037E0E"/>
    <w:rsid w:val="6B803F19"/>
    <w:rsid w:val="6BDD2B0A"/>
    <w:rsid w:val="6BDE41BB"/>
    <w:rsid w:val="6BDF21E0"/>
    <w:rsid w:val="6BF40AC7"/>
    <w:rsid w:val="6C5462A8"/>
    <w:rsid w:val="6C7041BF"/>
    <w:rsid w:val="6C917FD7"/>
    <w:rsid w:val="6C975BF0"/>
    <w:rsid w:val="6CD01102"/>
    <w:rsid w:val="6CF22E26"/>
    <w:rsid w:val="6DEE183F"/>
    <w:rsid w:val="6E401402"/>
    <w:rsid w:val="6E641B01"/>
    <w:rsid w:val="6F35349E"/>
    <w:rsid w:val="6F3574FF"/>
    <w:rsid w:val="6F6F7A6D"/>
    <w:rsid w:val="6F711F0A"/>
    <w:rsid w:val="6FBB0862"/>
    <w:rsid w:val="6FDE3B35"/>
    <w:rsid w:val="7007308C"/>
    <w:rsid w:val="70106954"/>
    <w:rsid w:val="70470A22"/>
    <w:rsid w:val="704C6439"/>
    <w:rsid w:val="706F1783"/>
    <w:rsid w:val="70AF76B1"/>
    <w:rsid w:val="71BB7860"/>
    <w:rsid w:val="71C1726B"/>
    <w:rsid w:val="72440385"/>
    <w:rsid w:val="726C5429"/>
    <w:rsid w:val="72BA2638"/>
    <w:rsid w:val="72CC236B"/>
    <w:rsid w:val="730E64E0"/>
    <w:rsid w:val="73761484"/>
    <w:rsid w:val="73EA0CFB"/>
    <w:rsid w:val="743F3C99"/>
    <w:rsid w:val="74835482"/>
    <w:rsid w:val="74877DC7"/>
    <w:rsid w:val="74DB35C2"/>
    <w:rsid w:val="75890D8F"/>
    <w:rsid w:val="75B043EA"/>
    <w:rsid w:val="76AF5490"/>
    <w:rsid w:val="76D90F68"/>
    <w:rsid w:val="77280C7C"/>
    <w:rsid w:val="77660E93"/>
    <w:rsid w:val="77A613DD"/>
    <w:rsid w:val="77BB58EB"/>
    <w:rsid w:val="77C1540B"/>
    <w:rsid w:val="783E7320"/>
    <w:rsid w:val="78C43643"/>
    <w:rsid w:val="78CB19C0"/>
    <w:rsid w:val="78D14237"/>
    <w:rsid w:val="78F35EFE"/>
    <w:rsid w:val="78FF5669"/>
    <w:rsid w:val="7924080B"/>
    <w:rsid w:val="793275BA"/>
    <w:rsid w:val="797C13C9"/>
    <w:rsid w:val="79863274"/>
    <w:rsid w:val="79A724F1"/>
    <w:rsid w:val="79B53B59"/>
    <w:rsid w:val="79C1605A"/>
    <w:rsid w:val="7A4B7878"/>
    <w:rsid w:val="7A6D100D"/>
    <w:rsid w:val="7B4231CA"/>
    <w:rsid w:val="7B780211"/>
    <w:rsid w:val="7B8732D3"/>
    <w:rsid w:val="7B946370"/>
    <w:rsid w:val="7C3F1529"/>
    <w:rsid w:val="7C5F16F8"/>
    <w:rsid w:val="7C6929D9"/>
    <w:rsid w:val="7C9D3E10"/>
    <w:rsid w:val="7CA82FB1"/>
    <w:rsid w:val="7CAF2E48"/>
    <w:rsid w:val="7CB122FF"/>
    <w:rsid w:val="7D4551F4"/>
    <w:rsid w:val="7DA05FAF"/>
    <w:rsid w:val="7DBA67DE"/>
    <w:rsid w:val="7DF53ACA"/>
    <w:rsid w:val="7DF7159A"/>
    <w:rsid w:val="7E6671D0"/>
    <w:rsid w:val="7E7C50A3"/>
    <w:rsid w:val="7EFE0269"/>
    <w:rsid w:val="7F0E4C61"/>
    <w:rsid w:val="7F7F4C0B"/>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w:basedOn w:val="1"/>
    <w:semiHidden/>
    <w:qFormat/>
    <w:uiPriority w:val="0"/>
    <w:rPr>
      <w:rFonts w:ascii="仿宋" w:hAnsi="仿宋" w:eastAsia="仿宋" w:cs="仿宋"/>
      <w:sz w:val="31"/>
      <w:szCs w:val="31"/>
      <w:lang w:val="en-US" w:eastAsia="en-US" w:bidi="ar-SA"/>
    </w:rPr>
  </w:style>
  <w:style w:type="paragraph" w:styleId="5">
    <w:name w:val="footer"/>
    <w:basedOn w:val="1"/>
    <w:link w:val="15"/>
    <w:qFormat/>
    <w:uiPriority w:val="0"/>
    <w:pPr>
      <w:tabs>
        <w:tab w:val="center" w:pos="4153"/>
        <w:tab w:val="right" w:pos="8306"/>
      </w:tabs>
      <w:snapToGrid w:val="0"/>
      <w:jc w:val="left"/>
    </w:pPr>
    <w:rPr>
      <w:sz w:val="18"/>
      <w:szCs w:val="18"/>
    </w:rPr>
  </w:style>
  <w:style w:type="paragraph" w:styleId="6">
    <w:name w:val="header"/>
    <w:basedOn w:val="1"/>
    <w:link w:val="14"/>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spacing w:beforeAutospacing="1" w:afterAutospacing="1"/>
      <w:jc w:val="left"/>
    </w:pPr>
    <w:rPr>
      <w:rFonts w:cs="Times New Roman"/>
      <w:kern w:val="0"/>
      <w:sz w:val="24"/>
    </w:rPr>
  </w:style>
  <w:style w:type="character" w:styleId="10">
    <w:name w:val="Strong"/>
    <w:basedOn w:val="9"/>
    <w:qFormat/>
    <w:uiPriority w:val="0"/>
    <w:rPr>
      <w:b/>
    </w:rPr>
  </w:style>
  <w:style w:type="character" w:styleId="11">
    <w:name w:val="Emphasis"/>
    <w:qFormat/>
    <w:uiPriority w:val="0"/>
    <w:rPr>
      <w:i/>
    </w:rPr>
  </w:style>
  <w:style w:type="paragraph" w:customStyle="1" w:styleId="12">
    <w:name w:val="首行缩进"/>
    <w:basedOn w:val="1"/>
    <w:qFormat/>
    <w:uiPriority w:val="0"/>
    <w:pPr>
      <w:spacing w:line="360" w:lineRule="auto"/>
      <w:ind w:firstLine="480"/>
      <w:jc w:val="left"/>
    </w:pPr>
    <w:rPr>
      <w:rFonts w:ascii="宋体" w:hAnsi="宋体"/>
      <w:sz w:val="24"/>
    </w:rPr>
  </w:style>
  <w:style w:type="paragraph" w:customStyle="1" w:styleId="13">
    <w:name w:val="Default"/>
    <w:basedOn w:val="1"/>
    <w:semiHidden/>
    <w:qFormat/>
    <w:uiPriority w:val="0"/>
    <w:pPr>
      <w:autoSpaceDE w:val="0"/>
      <w:autoSpaceDN w:val="0"/>
      <w:adjustRightInd w:val="0"/>
      <w:jc w:val="left"/>
    </w:pPr>
    <w:rPr>
      <w:rFonts w:ascii="宋体" w:hAnsi="Calibri" w:cs="宋体"/>
      <w:color w:val="000000"/>
      <w:kern w:val="0"/>
      <w:sz w:val="24"/>
    </w:rPr>
  </w:style>
  <w:style w:type="character" w:customStyle="1" w:styleId="14">
    <w:name w:val="页眉 Char"/>
    <w:basedOn w:val="9"/>
    <w:link w:val="6"/>
    <w:qFormat/>
    <w:uiPriority w:val="0"/>
    <w:rPr>
      <w:rFonts w:asciiTheme="minorHAnsi" w:hAnsiTheme="minorHAnsi" w:eastAsiaTheme="minorEastAsia" w:cstheme="minorBidi"/>
      <w:kern w:val="2"/>
      <w:sz w:val="18"/>
      <w:szCs w:val="18"/>
    </w:rPr>
  </w:style>
  <w:style w:type="character" w:customStyle="1" w:styleId="15">
    <w:name w:val="页脚 Char"/>
    <w:basedOn w:val="9"/>
    <w:link w:val="5"/>
    <w:qFormat/>
    <w:uiPriority w:val="0"/>
    <w:rPr>
      <w:rFonts w:asciiTheme="minorHAnsi" w:hAnsiTheme="minorHAnsi" w:eastAsiaTheme="minorEastAsia" w:cstheme="minorBidi"/>
      <w:kern w:val="2"/>
      <w:sz w:val="18"/>
      <w:szCs w:val="18"/>
    </w:rPr>
  </w:style>
  <w:style w:type="paragraph" w:customStyle="1" w:styleId="16">
    <w:name w:val="普通正文"/>
    <w:basedOn w:val="1"/>
    <w:qFormat/>
    <w:uiPriority w:val="0"/>
    <w:pPr>
      <w:adjustRightInd w:val="0"/>
      <w:spacing w:before="120" w:after="120" w:line="360" w:lineRule="auto"/>
      <w:ind w:firstLine="480"/>
      <w:jc w:val="left"/>
    </w:pPr>
    <w:rPr>
      <w:rFonts w:ascii="Arial" w:hAnsi="Arial" w:eastAsia="等线" w:cs="Arial"/>
      <w:sz w:val="24"/>
      <w:szCs w:val="24"/>
    </w:rPr>
  </w:style>
  <w:style w:type="paragraph" w:customStyle="1" w:styleId="17">
    <w:name w:val="正文首行缩进 21"/>
    <w:basedOn w:val="18"/>
    <w:qFormat/>
    <w:uiPriority w:val="0"/>
    <w:pPr>
      <w:ind w:firstLine="420"/>
    </w:pPr>
  </w:style>
  <w:style w:type="paragraph" w:customStyle="1" w:styleId="18">
    <w:name w:val="正文文本缩进1"/>
    <w:basedOn w:val="1"/>
    <w:qFormat/>
    <w:uiPriority w:val="0"/>
    <w:pPr>
      <w:spacing w:after="120"/>
      <w:ind w:left="420"/>
    </w:pPr>
  </w:style>
  <w:style w:type="table" w:customStyle="1" w:styleId="19">
    <w:name w:val="Table Normal"/>
    <w:semiHidden/>
    <w:unhideWhenUsed/>
    <w:qFormat/>
    <w:uiPriority w:val="0"/>
    <w:tblPr>
      <w:tblCellMar>
        <w:top w:w="0" w:type="dxa"/>
        <w:left w:w="0" w:type="dxa"/>
        <w:bottom w:w="0" w:type="dxa"/>
        <w:right w:w="0" w:type="dxa"/>
      </w:tblCellMar>
    </w:tblPr>
  </w:style>
  <w:style w:type="paragraph" w:customStyle="1" w:styleId="20">
    <w:name w:val="Table Text"/>
    <w:basedOn w:val="1"/>
    <w:semiHidden/>
    <w:qFormat/>
    <w:uiPriority w:val="0"/>
    <w:rPr>
      <w:rFonts w:ascii="宋体" w:hAnsi="宋体" w:eastAsia="宋体" w:cs="宋体"/>
      <w:sz w:val="22"/>
      <w:szCs w:val="22"/>
      <w:lang w:eastAsia="en-US"/>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Kingsoft</Company>
  <Pages>54</Pages>
  <Words>26648</Words>
  <Characters>28059</Characters>
  <Lines>167</Lines>
  <Paragraphs>47</Paragraphs>
  <TotalTime>136</TotalTime>
  <ScaleCrop>false</ScaleCrop>
  <LinksUpToDate>false</LinksUpToDate>
  <CharactersWithSpaces>29834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WPS_1756426018</cp:lastModifiedBy>
  <cp:lastPrinted>2026-07-13T00:32:00Z</cp:lastPrinted>
  <dcterms:modified xsi:type="dcterms:W3CDTF">2026-07-20T08:03:01Z</dcterms:modified>
  <cp:revision>272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A2AE93153BFF4574AC2F1D1B3753A405_13</vt:lpwstr>
  </property>
  <property fmtid="{D5CDD505-2E9C-101B-9397-08002B2CF9AE}" pid="4" name="KSOTemplateDocerSaveRecord">
    <vt:lpwstr>eyJoZGlkIjoiOTViOTc1ZDBiMGY3YjA3MTIyZTBmM2I3YWJlZWY1YzEiLCJ1c2VySWQiOiIxNzM0NDM5ODczIn0=</vt:lpwstr>
  </property>
</Properties>
</file>