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right"/>
        <w:rPr>
          <w:rFonts w:ascii="宋体" w:hAnsi="宋体"/>
          <w:color w:val="000000"/>
          <w:sz w:val="36"/>
          <w:highlight w:val="none"/>
        </w:rPr>
      </w:pPr>
      <w:r/>
      <w:bookmarkStart w:id="0" w:name="_Toc55204177"/>
      <w:r/>
      <w:bookmarkStart w:id="1" w:name="_Toc55204181"/>
      <w:r/>
      <w:bookmarkStart w:id="2" w:name="_Toc55204178"/>
      <w:r/>
      <w:bookmarkStart w:id="3" w:name="_Toc55204179"/>
      <w:r>
        <w:rPr>
          <w:rFonts w:ascii="宋体" w:hAnsi="宋体"/>
          <w:color w:val="000000"/>
          <w:sz w:val="36"/>
          <w:highlight w:val="none"/>
        </w:rPr>
      </w:r>
      <w:r/>
    </w:p>
    <w:p>
      <w:pPr>
        <w:pStyle w:val="893"/>
        <w:jc w:val="right"/>
        <w:rPr>
          <w:rFonts w:hint="eastAsia" w:ascii="宋体" w:hAnsi="宋体"/>
          <w:color w:val="000000"/>
          <w:sz w:val="36"/>
          <w:highlight w:val="none"/>
          <w:lang w:eastAsia="zh-CN"/>
        </w:rPr>
      </w:pPr>
      <w:r>
        <w:rPr>
          <w:rFonts w:hint="eastAsia" w:ascii="宋体" w:hAnsi="宋体"/>
          <w:color w:val="000000"/>
          <w:sz w:val="36"/>
          <w:highlight w:val="none"/>
        </w:rPr>
        <w:t xml:space="preserve">编号：</w:t>
      </w:r>
      <w:r>
        <w:rPr>
          <w:rFonts w:hint="eastAsia" w:ascii="宋体" w:hAnsi="宋体"/>
          <w:color w:val="000000"/>
          <w:sz w:val="36"/>
          <w:highlight w:val="none"/>
          <w:lang w:eastAsia="zh-CN"/>
        </w:rPr>
        <w:t xml:space="preserve">JSZC-321000-SDTZ-G2026-0007</w:t>
      </w:r>
      <w:r>
        <w:rPr>
          <w:rFonts w:hint="eastAsia" w:ascii="宋体" w:hAnsi="宋体"/>
          <w:color w:val="000000"/>
          <w:sz w:val="36"/>
          <w:highlight w:val="none"/>
          <w:lang w:eastAsia="zh-CN"/>
        </w:rPr>
      </w:r>
      <w:r/>
    </w:p>
    <w:p>
      <w:pPr>
        <w:pStyle w:val="893"/>
        <w:jc w:val="right"/>
        <w:rPr>
          <w:rFonts w:hint="eastAsia" w:ascii="宋体" w:hAnsi="宋体"/>
          <w:color w:val="000000"/>
          <w:sz w:val="36"/>
          <w:highlight w:val="none"/>
          <w:lang w:eastAsia="zh-CN"/>
        </w:rPr>
      </w:pPr>
      <w:r>
        <w:rPr>
          <w:rFonts w:hint="eastAsia" w:ascii="宋体" w:hAnsi="宋体"/>
          <w:color w:val="000000"/>
          <w:sz w:val="36"/>
          <w:highlight w:val="none"/>
          <w:lang w:eastAsia="zh-CN"/>
        </w:rPr>
      </w:r>
      <w:r/>
    </w:p>
    <w:p>
      <w:pPr>
        <w:pStyle w:val="893"/>
        <w:jc w:val="center"/>
        <w:rPr>
          <w:rFonts w:hint="eastAsia" w:ascii="宋体" w:hAnsi="宋体"/>
          <w:color w:val="000000"/>
          <w:sz w:val="36"/>
          <w:highlight w:val="none"/>
        </w:rPr>
      </w:pPr>
      <w:r>
        <w:rPr>
          <w:rFonts w:hint="eastAsia" w:ascii="宋体" w:hAnsi="宋体"/>
          <w:color w:val="000000"/>
          <w:sz w:val="36"/>
          <w:highlight w:val="none"/>
          <w:lang w:eastAsia="zh-CN"/>
        </w:rPr>
        <w:t xml:space="preserve">扬州市保障性住房发展中心公租房运营管理服务项目</w:t>
      </w:r>
      <w:r>
        <w:rPr>
          <w:rFonts w:hint="eastAsia" w:ascii="宋体" w:hAnsi="宋体"/>
          <w:color w:val="000000"/>
          <w:sz w:val="36"/>
          <w:highlight w:val="none"/>
        </w:rPr>
        <w:t xml:space="preserve">招标文件</w:t>
      </w:r>
      <w:r>
        <w:rPr>
          <w:rFonts w:hint="eastAsia" w:ascii="宋体" w:hAnsi="宋体"/>
          <w:color w:val="000000"/>
          <w:sz w:val="36"/>
          <w:highlight w:val="none"/>
        </w:rPr>
      </w:r>
      <w:r/>
    </w:p>
    <w:p>
      <w:pPr>
        <w:pStyle w:val="893"/>
        <w:jc w:val="center"/>
        <w:rPr>
          <w:rFonts w:hint="eastAsia" w:ascii="宋体" w:hAnsi="宋体"/>
          <w:color w:val="000000"/>
          <w:sz w:val="36"/>
          <w:highlight w:val="none"/>
        </w:rPr>
      </w:pPr>
      <w:r>
        <w:rPr>
          <w:rFonts w:hint="eastAsia" w:ascii="宋体" w:hAnsi="宋体"/>
          <w:color w:val="000000"/>
          <w:sz w:val="36"/>
          <w:highlight w:val="none"/>
        </w:rPr>
      </w:r>
      <w:r/>
    </w:p>
    <w:p>
      <w:pPr>
        <w:pStyle w:val="893"/>
        <w:jc w:val="center"/>
        <w:rPr>
          <w:rFonts w:hint="eastAsia" w:ascii="宋体" w:hAnsi="宋体"/>
          <w:color w:val="000000"/>
          <w:sz w:val="36"/>
          <w:highlight w:val="none"/>
        </w:rPr>
      </w:pPr>
      <w:r>
        <w:rPr>
          <w:rFonts w:hint="eastAsia" w:ascii="宋体" w:hAnsi="宋体" w:cs="宋体"/>
          <w:color w:val="000000"/>
          <w:sz w:val="36"/>
          <w:highlight w:val="none"/>
        </w:rPr>
        <mc:AlternateContent>
          <mc:Choice Requires="wpg">
            <w:drawing>
              <wp:inline xmlns:wp="http://schemas.openxmlformats.org/drawingml/2006/wordprocessingDrawing" distT="0" distB="0" distL="0" distR="0">
                <wp:extent cx="5096421" cy="380876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096421" cy="3808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1.3pt;height:299.9pt;mso-wrap-distance-left:0.0pt;mso-wrap-distance-top:0.0pt;mso-wrap-distance-right:0.0pt;mso-wrap-distance-bottom:0.0pt;" stroked="f">
                <v:path textboxrect="0,0,0,0"/>
                <v:imagedata r:id="rId13" o:title=""/>
              </v:shape>
            </w:pict>
          </mc:Fallback>
        </mc:AlternateContent>
      </w:r>
      <w:r>
        <w:rPr>
          <w:rFonts w:hint="eastAsia" w:ascii="宋体" w:hAnsi="宋体"/>
          <w:color w:val="000000"/>
          <w:sz w:val="36"/>
          <w:highlight w:val="none"/>
        </w:rPr>
      </w:r>
      <w:r/>
    </w:p>
    <w:p>
      <w:pPr>
        <w:pStyle w:val="893"/>
        <w:jc w:val="center"/>
        <w:rPr>
          <w:rFonts w:hint="eastAsia" w:ascii="宋体" w:hAnsi="宋体"/>
          <w:color w:val="000000"/>
          <w:sz w:val="36"/>
          <w:highlight w:val="none"/>
        </w:rPr>
      </w:pPr>
      <w:r>
        <w:rPr>
          <w:rFonts w:hint="eastAsia" w:ascii="宋体" w:hAnsi="宋体"/>
          <w:color w:val="000000"/>
          <w:sz w:val="36"/>
          <w:highlight w:val="none"/>
        </w:rPr>
      </w:r>
      <w:r/>
    </w:p>
    <w:p>
      <w:pPr>
        <w:pStyle w:val="893"/>
        <w:jc w:val="center"/>
        <w:rPr>
          <w:rFonts w:hint="eastAsia" w:ascii="宋体" w:hAnsi="宋体"/>
          <w:color w:val="000000"/>
          <w:sz w:val="36"/>
          <w:highlight w:val="none"/>
        </w:rPr>
      </w:pPr>
      <w:r>
        <w:rPr>
          <w:rFonts w:hint="eastAsia" w:ascii="宋体" w:hAnsi="宋体"/>
          <w:color w:val="000000"/>
          <w:sz w:val="36"/>
          <w:highlight w:val="none"/>
        </w:rPr>
      </w:r>
      <w:r/>
    </w:p>
    <w:p>
      <w:pPr>
        <w:pStyle w:val="893"/>
        <w:ind w:firstLine="0"/>
        <w:jc w:val="left"/>
        <w:keepLines w:val="0"/>
        <w:keepNext w:val="0"/>
        <w:pageBreakBefore w:val="0"/>
        <w:widowControl w:val="off"/>
        <w:rPr>
          <w:rFonts w:hint="eastAsia" w:ascii="黑体" w:hAnsi="黑体" w:eastAsia="黑体"/>
          <w:color w:val="000000"/>
          <w:sz w:val="28"/>
          <w:szCs w:val="28"/>
          <w:highlight w:val="none"/>
          <w:u w:val="single"/>
        </w:rPr>
      </w:pPr>
      <w:r>
        <w:rPr>
          <w:rFonts w:hint="eastAsia" w:ascii="宋体" w:hAnsi="宋体"/>
          <w:b/>
          <w:bCs/>
          <w:color w:val="000000"/>
          <w:sz w:val="32"/>
          <w:szCs w:val="32"/>
          <w:highlight w:val="none"/>
        </w:rPr>
        <w:t xml:space="preserve">采</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购</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人：</w:t>
      </w:r>
      <w:r>
        <w:rPr>
          <w:rFonts w:hint="eastAsia" w:ascii="宋体" w:hAnsi="宋体"/>
          <w:b/>
          <w:bCs/>
          <w:color w:val="000000"/>
          <w:sz w:val="32"/>
          <w:szCs w:val="32"/>
          <w:highlight w:val="none"/>
          <w:lang w:eastAsia="zh-CN"/>
        </w:rPr>
        <w:t xml:space="preserve">扬州市保障性住房发展中心</w:t>
      </w:r>
      <w:r>
        <w:rPr>
          <w:rFonts w:hint="eastAsia" w:ascii="黑体" w:hAnsi="黑体" w:eastAsia="黑体"/>
          <w:color w:val="000000"/>
          <w:sz w:val="28"/>
          <w:szCs w:val="28"/>
          <w:highlight w:val="none"/>
          <w:u w:val="single"/>
        </w:rPr>
      </w:r>
      <w:r/>
    </w:p>
    <w:p>
      <w:pPr>
        <w:pStyle w:val="893"/>
        <w:ind w:firstLine="0"/>
        <w:jc w:val="left"/>
        <w:keepLines w:val="0"/>
        <w:keepNext w:val="0"/>
        <w:pageBreakBefore w:val="0"/>
        <w:widowControl w:val="off"/>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采购代理机构：江苏时代投资咨询有限公司</w:t>
      </w:r>
      <w:r>
        <w:rPr>
          <w:rFonts w:hint="eastAsia" w:ascii="宋体" w:hAnsi="宋体"/>
          <w:b/>
          <w:bCs/>
          <w:color w:val="000000"/>
          <w:sz w:val="32"/>
          <w:szCs w:val="32"/>
          <w:highlight w:val="none"/>
        </w:rPr>
      </w:r>
      <w:r/>
    </w:p>
    <w:p>
      <w:pPr>
        <w:pStyle w:val="893"/>
        <w:ind w:firstLine="0"/>
        <w:jc w:val="left"/>
        <w:keepLines w:val="0"/>
        <w:keepNext w:val="0"/>
        <w:pageBreakBefore w:val="0"/>
        <w:widowControl w:val="off"/>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发</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放</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日</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期：</w:t>
      </w:r>
      <w:r>
        <w:rPr>
          <w:rFonts w:hint="eastAsia" w:ascii="宋体" w:hAnsi="宋体"/>
          <w:b/>
          <w:bCs/>
          <w:color w:val="000000"/>
          <w:sz w:val="32"/>
          <w:szCs w:val="32"/>
          <w:highlight w:val="none"/>
          <w:lang w:eastAsia="zh-CN"/>
        </w:rPr>
        <w:t xml:space="preserve">2026年</w:t>
      </w:r>
      <w:r>
        <w:rPr>
          <w:rFonts w:hint="eastAsia" w:ascii="宋体" w:hAnsi="宋体"/>
          <w:b/>
          <w:bCs/>
          <w:color w:val="000000"/>
          <w:sz w:val="32"/>
          <w:szCs w:val="32"/>
          <w:highlight w:val="none"/>
          <w:lang w:val="en-US" w:eastAsia="zh-CN"/>
        </w:rPr>
        <w:t xml:space="preserve">7</w:t>
      </w:r>
      <w:r>
        <w:rPr>
          <w:rFonts w:hint="eastAsia" w:ascii="宋体" w:hAnsi="宋体"/>
          <w:b/>
          <w:bCs/>
          <w:color w:val="000000"/>
          <w:sz w:val="32"/>
          <w:szCs w:val="32"/>
          <w:highlight w:val="none"/>
          <w:lang w:eastAsia="zh-CN"/>
        </w:rPr>
        <w:t xml:space="preserve">月</w:t>
      </w:r>
      <w:r>
        <w:rPr>
          <w:rFonts w:hint="eastAsia" w:ascii="宋体" w:hAnsi="宋体"/>
          <w:b/>
          <w:bCs/>
          <w:color w:val="000000"/>
          <w:sz w:val="32"/>
          <w:szCs w:val="32"/>
          <w:highlight w:val="none"/>
          <w:lang w:val="en-US" w:eastAsia="zh-CN"/>
        </w:rPr>
        <w:t xml:space="preserve">23</w:t>
      </w:r>
      <w:r>
        <w:rPr>
          <w:rFonts w:hint="eastAsia" w:ascii="宋体" w:hAnsi="宋体"/>
          <w:b/>
          <w:bCs/>
          <w:color w:val="000000"/>
          <w:sz w:val="32"/>
          <w:szCs w:val="32"/>
          <w:highlight w:val="none"/>
          <w:lang w:eastAsia="zh-CN"/>
        </w:rPr>
        <w:t xml:space="preserve">日</w:t>
      </w:r>
      <w:r>
        <w:rPr>
          <w:rFonts w:hint="eastAsia" w:ascii="宋体" w:hAnsi="宋体" w:eastAsia="宋体"/>
          <w:b/>
          <w:bCs/>
          <w:color w:val="000000"/>
          <w:sz w:val="32"/>
          <w:szCs w:val="32"/>
          <w:highlight w:val="none"/>
          <w:lang w:eastAsia="zh-CN"/>
        </w:rPr>
      </w:r>
      <w:r/>
    </w:p>
    <w:p>
      <w:pPr>
        <w:pStyle w:val="893"/>
        <w:rPr>
          <w:color w:val="000000"/>
          <w:highlight w:val="none"/>
        </w:rPr>
      </w:pPr>
      <w:r>
        <w:rPr>
          <w:color w:val="000000"/>
          <w:highlight w:val="none"/>
        </w:rPr>
      </w:r>
      <w:r/>
    </w:p>
    <w:p>
      <w:pPr>
        <w:pStyle w:val="893"/>
        <w:rPr>
          <w:color w:val="00000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93"/>
        <w:rPr>
          <w:color w:val="000000"/>
          <w:highlight w:val="none"/>
        </w:rPr>
      </w:pPr>
      <w:r>
        <w:rPr>
          <w:color w:val="000000"/>
          <w:highlight w:val="none"/>
        </w:rPr>
      </w:r>
      <w:r/>
    </w:p>
    <w:p>
      <w:pPr>
        <w:pStyle w:val="893"/>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录</w:t>
      </w:r>
      <w:r>
        <w:rPr>
          <w:rFonts w:hint="eastAsia" w:ascii="宋体" w:hAnsi="宋体" w:eastAsia="宋体" w:cs="宋体"/>
          <w:color w:val="000000"/>
          <w:sz w:val="24"/>
          <w:szCs w:val="24"/>
          <w:highlight w:val="none"/>
        </w:rPr>
      </w:r>
      <w:r/>
    </w:p>
    <w:p>
      <w:pPr>
        <w:pStyle w:val="917"/>
        <w:tabs>
          <w:tab w:val="right" w:pos="8306" w:leader="dot"/>
        </w:tabs>
        <w:rPr>
          <w:color w:val="000000"/>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TOC \o "1-1" \h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_Toc7777 </w:instrText>
      </w:r>
      <w:r>
        <w:rPr>
          <w:rFonts w:hint="eastAsia" w:ascii="宋体" w:hAnsi="宋体" w:eastAsia="宋体" w:cs="宋体"/>
          <w:color w:val="000000"/>
          <w:szCs w:val="24"/>
          <w:highlight w:val="none"/>
        </w:rPr>
        <w:fldChar w:fldCharType="separate"/>
      </w:r>
      <w:r>
        <w:rPr>
          <w:rFonts w:hint="eastAsia" w:ascii="宋体" w:hAnsi="宋体"/>
          <w:bCs/>
          <w:color w:val="000000"/>
          <w:szCs w:val="44"/>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_Toc7777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917"/>
        <w:tabs>
          <w:tab w:val="right" w:pos="8306"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_Toc31422 </w:instrText>
      </w:r>
      <w:r>
        <w:rPr>
          <w:rFonts w:hint="eastAsia" w:ascii="宋体" w:hAnsi="宋体" w:eastAsia="宋体" w:cs="宋体"/>
          <w:color w:val="000000"/>
          <w:szCs w:val="24"/>
          <w:highlight w:val="none"/>
        </w:rPr>
        <w:fldChar w:fldCharType="separate"/>
      </w:r>
      <w:r>
        <w:rPr>
          <w:rFonts w:hint="eastAsia" w:ascii="宋体" w:hAnsi="宋体" w:eastAsia="宋体" w:cs="Times New Roman"/>
          <w:bCs/>
          <w:color w:val="000000"/>
          <w:szCs w:val="44"/>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_Toc31422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917"/>
        <w:tabs>
          <w:tab w:val="right" w:pos="8306"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_Toc20200 </w:instrText>
      </w:r>
      <w:r>
        <w:rPr>
          <w:rFonts w:hint="eastAsia" w:ascii="宋体" w:hAnsi="宋体" w:eastAsia="宋体" w:cs="宋体"/>
          <w:color w:val="000000"/>
          <w:szCs w:val="24"/>
          <w:highlight w:val="none"/>
        </w:rPr>
        <w:fldChar w:fldCharType="separate"/>
      </w:r>
      <w:r>
        <w:rPr>
          <w:rFonts w:hint="eastAsia" w:ascii="宋体" w:hAnsi="宋体" w:eastAsia="宋体" w:cs="Times New Roman"/>
          <w:bCs/>
          <w:color w:val="000000"/>
          <w:szCs w:val="44"/>
          <w:highlight w:val="none"/>
        </w:rPr>
        <w:t xml:space="preserve">第三章 合同</w:t>
      </w:r>
      <w:r>
        <w:rPr>
          <w:rFonts w:hint="eastAsia" w:ascii="宋体" w:hAnsi="宋体" w:eastAsia="宋体" w:cs="Times New Roman"/>
          <w:bCs/>
          <w:color w:val="000000"/>
          <w:szCs w:val="44"/>
          <w:highlight w:val="none"/>
          <w:lang w:val="en-US" w:eastAsia="zh-CN"/>
        </w:rPr>
        <w:t xml:space="preserve">文本</w:t>
      </w:r>
      <w:r>
        <w:rPr>
          <w:color w:val="000000"/>
          <w:highlight w:val="none"/>
        </w:rPr>
        <w:tab/>
      </w:r>
      <w:r>
        <w:rPr>
          <w:color w:val="000000"/>
          <w:highlight w:val="none"/>
        </w:rPr>
        <w:fldChar w:fldCharType="begin"/>
      </w:r>
      <w:r>
        <w:rPr>
          <w:color w:val="000000"/>
          <w:highlight w:val="none"/>
        </w:rPr>
        <w:instrText xml:space="preserve"> PAGEREF _Toc20200 \h </w:instrText>
      </w:r>
      <w:r>
        <w:rPr>
          <w:color w:val="000000"/>
          <w:highlight w:val="none"/>
        </w:rPr>
        <w:fldChar w:fldCharType="separate"/>
      </w:r>
      <w:r>
        <w:rPr>
          <w:color w:val="000000"/>
          <w:highlight w:val="none"/>
        </w:rPr>
        <w:t xml:space="preserve">17</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917"/>
        <w:tabs>
          <w:tab w:val="right" w:pos="8306"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_Toc31196 </w:instrText>
      </w:r>
      <w:r>
        <w:rPr>
          <w:rFonts w:hint="eastAsia" w:ascii="宋体" w:hAnsi="宋体" w:eastAsia="宋体" w:cs="宋体"/>
          <w:color w:val="000000"/>
          <w:szCs w:val="24"/>
          <w:highlight w:val="none"/>
        </w:rPr>
        <w:fldChar w:fldCharType="separate"/>
      </w:r>
      <w:r>
        <w:rPr>
          <w:rFonts w:hint="eastAsia" w:ascii="宋体" w:hAnsi="宋体" w:eastAsia="宋体" w:cs="Times New Roman"/>
          <w:bCs/>
          <w:color w:val="000000"/>
          <w:szCs w:val="44"/>
          <w:highlight w:val="none"/>
        </w:rPr>
        <w:t xml:space="preserve">第四章 </w:t>
      </w:r>
      <w:r>
        <w:rPr>
          <w:rFonts w:hint="eastAsia" w:ascii="宋体" w:hAnsi="宋体" w:eastAsia="宋体" w:cs="Times New Roman"/>
          <w:bCs/>
          <w:color w:val="000000"/>
          <w:szCs w:val="44"/>
          <w:highlight w:val="none"/>
          <w:lang w:val="en-US" w:eastAsia="zh-CN"/>
        </w:rPr>
        <w:t xml:space="preserve">采购</w:t>
      </w:r>
      <w:r>
        <w:rPr>
          <w:rFonts w:hint="eastAsia" w:ascii="宋体" w:hAnsi="宋体" w:eastAsia="宋体" w:cs="Times New Roman"/>
          <w:bCs/>
          <w:color w:val="000000"/>
          <w:szCs w:val="44"/>
          <w:highlight w:val="none"/>
        </w:rPr>
        <w:t xml:space="preserve">需求</w:t>
      </w:r>
      <w:r>
        <w:rPr>
          <w:color w:val="000000"/>
          <w:highlight w:val="none"/>
        </w:rPr>
        <w:tab/>
      </w:r>
      <w:r>
        <w:rPr>
          <w:color w:val="000000"/>
          <w:highlight w:val="none"/>
        </w:rPr>
        <w:fldChar w:fldCharType="begin"/>
      </w:r>
      <w:r>
        <w:rPr>
          <w:color w:val="000000"/>
          <w:highlight w:val="none"/>
        </w:rPr>
        <w:instrText xml:space="preserve"> PAGEREF _Toc31196 \h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917"/>
        <w:tabs>
          <w:tab w:val="right" w:pos="8306"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_Toc6423 </w:instrText>
      </w:r>
      <w:r>
        <w:rPr>
          <w:rFonts w:hint="eastAsia" w:ascii="宋体" w:hAnsi="宋体" w:eastAsia="宋体" w:cs="宋体"/>
          <w:color w:val="000000"/>
          <w:szCs w:val="24"/>
          <w:highlight w:val="none"/>
        </w:rPr>
        <w:fldChar w:fldCharType="separate"/>
      </w:r>
      <w:r>
        <w:rPr>
          <w:rFonts w:hint="eastAsia" w:ascii="宋体" w:hAnsi="宋体" w:eastAsia="宋体" w:cs="Times New Roman"/>
          <w:bCs/>
          <w:color w:val="000000"/>
          <w:szCs w:val="44"/>
          <w:highlight w:val="none"/>
        </w:rPr>
        <w:t xml:space="preserve">第五章 评标方法</w:t>
      </w:r>
      <w:r>
        <w:rPr>
          <w:rFonts w:hint="eastAsia" w:ascii="宋体" w:hAnsi="宋体" w:eastAsia="宋体" w:cs="Times New Roman"/>
          <w:bCs/>
          <w:color w:val="000000"/>
          <w:szCs w:val="44"/>
          <w:highlight w:val="none"/>
          <w:lang w:val="en-US" w:eastAsia="zh-CN"/>
        </w:rPr>
        <w:t xml:space="preserve">与</w:t>
      </w:r>
      <w:r>
        <w:rPr>
          <w:rFonts w:hint="eastAsia" w:ascii="宋体" w:hAnsi="宋体" w:eastAsia="宋体" w:cs="Times New Roman"/>
          <w:bCs/>
          <w:color w:val="000000"/>
          <w:szCs w:val="44"/>
          <w:highlight w:val="none"/>
        </w:rPr>
        <w:t xml:space="preserve">评标标准</w:t>
      </w:r>
      <w:r>
        <w:rPr>
          <w:color w:val="000000"/>
          <w:highlight w:val="none"/>
        </w:rPr>
        <w:tab/>
      </w:r>
      <w:r>
        <w:rPr>
          <w:color w:val="000000"/>
          <w:highlight w:val="none"/>
        </w:rPr>
        <w:fldChar w:fldCharType="begin"/>
      </w:r>
      <w:r>
        <w:rPr>
          <w:color w:val="000000"/>
          <w:highlight w:val="none"/>
        </w:rPr>
        <w:instrText xml:space="preserve"> PAGEREF _Toc6423 \h </w:instrText>
      </w:r>
      <w:r>
        <w:rPr>
          <w:color w:val="000000"/>
          <w:highlight w:val="none"/>
        </w:rPr>
        <w:fldChar w:fldCharType="separate"/>
      </w:r>
      <w:r>
        <w:rPr>
          <w:color w:val="000000"/>
          <w:highlight w:val="none"/>
        </w:rPr>
        <w:t xml:space="preserve">31</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917"/>
        <w:tabs>
          <w:tab w:val="right" w:pos="8306" w:leader="dot"/>
        </w:tabs>
        <w:rPr>
          <w:color w:val="000000"/>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\l _Toc22482 </w:instrText>
      </w:r>
      <w:r>
        <w:rPr>
          <w:rFonts w:hint="eastAsia" w:ascii="宋体" w:hAnsi="宋体" w:eastAsia="宋体" w:cs="宋体"/>
          <w:color w:val="000000"/>
          <w:szCs w:val="24"/>
          <w:highlight w:val="none"/>
        </w:rPr>
        <w:fldChar w:fldCharType="separate"/>
      </w:r>
      <w:r>
        <w:rPr>
          <w:rFonts w:hint="eastAsia" w:ascii="宋体" w:hAnsi="宋体" w:eastAsia="宋体" w:cs="Times New Roman"/>
          <w:bCs/>
          <w:color w:val="000000"/>
          <w:szCs w:val="44"/>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_Toc22482 \h </w:instrText>
      </w:r>
      <w:r>
        <w:rPr>
          <w:color w:val="000000"/>
          <w:highlight w:val="none"/>
        </w:rPr>
        <w:fldChar w:fldCharType="separate"/>
      </w:r>
      <w:r>
        <w:rPr>
          <w:color w:val="000000"/>
          <w:highlight w:val="none"/>
        </w:rPr>
        <w:t xml:space="preserve">35</w:t>
      </w:r>
      <w:r>
        <w:rPr>
          <w:color w:val="000000"/>
          <w:highlight w:val="none"/>
        </w:rPr>
        <w:fldChar w:fldCharType="end"/>
      </w:r>
      <w:r>
        <w:rPr>
          <w:rFonts w:hint="eastAsia" w:ascii="宋体" w:hAnsi="宋体" w:eastAsia="宋体" w:cs="宋体"/>
          <w:color w:val="000000"/>
          <w:szCs w:val="24"/>
          <w:highlight w:val="none"/>
        </w:rPr>
        <w:fldChar w:fldCharType="end"/>
      </w:r>
      <w:r>
        <w:rPr>
          <w:color w:val="000000"/>
          <w:highlight w:val="none"/>
        </w:rPr>
      </w:r>
      <w:r/>
    </w:p>
    <w:p>
      <w:pPr>
        <w:pStyle w:val="893"/>
        <w:jc w:val="center"/>
        <w:keepLines w:val="0"/>
        <w:keepNext w:val="0"/>
        <w:pageBreakBefore w:val="0"/>
        <w:spacing w:before="157" w:after="157" w:line="360" w:lineRule="auto"/>
        <w:widowControl w:val="off"/>
        <w:rPr>
          <w:rFonts w:ascii="宋体" w:hAnsi="宋体"/>
          <w:color w:val="000000"/>
          <w:highlight w:val="none"/>
        </w:rPr>
        <w:outlineLvl w:val="9"/>
      </w:pPr>
      <w:r>
        <w:rPr>
          <w:rFonts w:hint="eastAsia" w:ascii="宋体" w:hAnsi="宋体" w:eastAsia="宋体" w:cs="宋体"/>
          <w:color w:val="000000"/>
          <w:sz w:val="24"/>
          <w:szCs w:val="24"/>
          <w:highlight w:val="none"/>
        </w:rPr>
        <w:fldChar w:fldCharType="end"/>
      </w:r>
      <w:r>
        <w:rPr>
          <w:rFonts w:ascii="宋体" w:hAnsi="宋体"/>
          <w:color w:val="000000"/>
          <w:highlight w:val="none"/>
        </w:rPr>
      </w:r>
      <w:r/>
    </w:p>
    <w:p>
      <w:pPr>
        <w:pStyle w:val="893"/>
        <w:jc w:val="center"/>
        <w:rPr>
          <w:rFonts w:ascii="宋体" w:hAnsi="宋体"/>
          <w:color w:val="000000"/>
          <w:highlight w:val="none"/>
        </w:rPr>
        <w:outlineLvl w:val="9"/>
      </w:pPr>
      <w:r>
        <w:rPr>
          <w:rFonts w:ascii="宋体" w:hAnsi="宋体"/>
          <w:color w:val="000000"/>
          <w:highlight w:val="none"/>
        </w:rPr>
      </w:r>
      <w:r/>
    </w:p>
    <w:p>
      <w:pPr>
        <w:pStyle w:val="893"/>
        <w:jc w:val="center"/>
        <w:rPr>
          <w:rFonts w:ascii="宋体" w:hAnsi="宋体"/>
          <w:color w:val="000000"/>
          <w:sz w:val="28"/>
          <w:highlight w:val="none"/>
        </w:rPr>
        <w:outlineLvl w:val="9"/>
      </w:pPr>
      <w:r>
        <w:rPr>
          <w:rFonts w:ascii="宋体" w:hAnsi="宋体"/>
          <w:color w:val="000000"/>
          <w:sz w:val="28"/>
          <w:highlight w:val="none"/>
        </w:rPr>
      </w:r>
      <w:r/>
    </w:p>
    <w:p>
      <w:pPr>
        <w:pStyle w:val="893"/>
        <w:jc w:val="center"/>
        <w:rPr>
          <w:rFonts w:hint="eastAsia" w:ascii="宋体" w:hAnsi="宋体"/>
          <w:b/>
          <w:bCs/>
          <w:color w:val="000000"/>
          <w:sz w:val="44"/>
          <w:szCs w:val="44"/>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宋体" w:hAnsi="宋体"/>
          <w:b/>
          <w:bCs/>
          <w:color w:val="000000"/>
          <w:sz w:val="44"/>
          <w:szCs w:val="44"/>
          <w:highlight w:val="none"/>
        </w:rPr>
      </w:r>
      <w:r/>
    </w:p>
    <w:p>
      <w:pPr>
        <w:pStyle w:val="893"/>
        <w:jc w:val="center"/>
        <w:rPr>
          <w:rFonts w:ascii="宋体" w:hAnsi="宋体"/>
          <w:color w:val="000000"/>
          <w:sz w:val="36"/>
          <w:szCs w:val="36"/>
          <w:highlight w:val="none"/>
        </w:rPr>
        <w:outlineLvl w:val="0"/>
      </w:pPr>
      <w:r/>
      <w:bookmarkEnd w:id="0"/>
      <w:r/>
      <w:bookmarkStart w:id="4" w:name="_Toc7777"/>
      <w:r/>
      <w:bookmarkStart w:id="5" w:name="_Toc20897"/>
      <w:r>
        <w:rPr>
          <w:rFonts w:hint="eastAsia" w:ascii="宋体" w:hAnsi="宋体"/>
          <w:b/>
          <w:bCs/>
          <w:color w:val="000000"/>
          <w:sz w:val="44"/>
          <w:szCs w:val="44"/>
          <w:highlight w:val="none"/>
        </w:rPr>
        <w:t xml:space="preserve">第一章 招标公告</w:t>
      </w:r>
      <w:bookmarkEnd w:id="4"/>
      <w:r/>
      <w:bookmarkEnd w:id="5"/>
      <w:r>
        <w:rPr>
          <w:rFonts w:ascii="宋体" w:hAnsi="宋体"/>
          <w:color w:val="000000"/>
          <w:sz w:val="36"/>
          <w:szCs w:val="36"/>
          <w:highlight w:val="none"/>
        </w:rPr>
      </w:r>
      <w:r/>
    </w:p>
    <w:p>
      <w:pPr>
        <w:pStyle w:val="893"/>
        <w:ind w:firstLine="420"/>
        <w:spacing w:line="360" w:lineRule="auto"/>
        <w:tabs>
          <w:tab w:val="left" w:pos="266" w:leader="none"/>
        </w:tabs>
        <w:rPr>
          <w:rFonts w:hint="eastAsia" w:ascii="宋体" w:hAnsi="宋体" w:cs="宋体"/>
          <w:color w:val="000000"/>
          <w:szCs w:val="21"/>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扬州市保障性住房发展中心</w:t>
      </w:r>
      <w:r>
        <w:rPr>
          <w:rFonts w:hint="eastAsia" w:ascii="宋体" w:hAnsi="宋体" w:cs="宋体"/>
          <w:color w:val="000000"/>
          <w:highlight w:val="none"/>
        </w:rPr>
        <w:t xml:space="preserve">的委托，</w:t>
      </w:r>
      <w:r>
        <w:rPr>
          <w:rFonts w:hint="eastAsia" w:ascii="宋体" w:hAnsi="宋体" w:cs="宋体"/>
          <w:color w:val="000000"/>
          <w:highlight w:val="none"/>
          <w:lang w:eastAsia="zh-CN"/>
        </w:rPr>
        <w:t xml:space="preserve">江苏时代投资咨询有限公司</w:t>
      </w:r>
      <w:r>
        <w:rPr>
          <w:rFonts w:hint="eastAsia" w:ascii="宋体" w:hAnsi="宋体" w:cs="宋体"/>
          <w:color w:val="000000"/>
          <w:highlight w:val="none"/>
        </w:rPr>
        <w:t xml:space="preserve">就</w:t>
      </w:r>
      <w:r>
        <w:rPr>
          <w:rFonts w:hint="eastAsia" w:ascii="宋体" w:hAnsi="宋体" w:cs="宋体"/>
          <w:color w:val="000000"/>
          <w:highlight w:val="none"/>
          <w:lang w:eastAsia="zh-CN"/>
        </w:rPr>
        <w:t xml:space="preserve">扬州市保障性住房发展中心公租房运营管理服务项目</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JSZC-321000-SDTZ-G2026-0007</w:t>
      </w:r>
      <w:r>
        <w:rPr>
          <w:rFonts w:hint="eastAsia" w:ascii="宋体" w:hAnsi="宋体" w:cs="宋体"/>
          <w:color w:val="000000"/>
          <w:highlight w:val="none"/>
        </w:rPr>
        <w:t xml:space="preserve">)项目进行</w:t>
      </w:r>
      <w:r>
        <w:rPr>
          <w:rFonts w:hint="eastAsia" w:ascii="宋体" w:hAnsi="宋体" w:cs="宋体"/>
          <w:color w:val="000000"/>
          <w:highlight w:val="none"/>
          <w:lang w:val="en-US" w:eastAsia="zh-CN"/>
        </w:rPr>
        <w:t xml:space="preserve">公开</w:t>
      </w:r>
      <w:r>
        <w:rPr>
          <w:rFonts w:hint="eastAsia" w:ascii="宋体" w:hAnsi="宋体" w:cs="宋体"/>
          <w:color w:val="000000"/>
          <w:highlight w:val="none"/>
        </w:rPr>
        <w:t xml:space="preserve">招标采购，欢迎符合条件的供应商投标。</w:t>
      </w:r>
      <w:r>
        <w:rPr>
          <w:rFonts w:hint="eastAsia" w:ascii="宋体" w:hAnsi="宋体" w:cs="宋体"/>
          <w:color w:val="000000"/>
          <w:szCs w:val="21"/>
          <w:highlight w:val="none"/>
        </w:rPr>
      </w:r>
      <w:r/>
    </w:p>
    <w:p>
      <w:pPr>
        <w:pStyle w:val="893"/>
        <w:ind w:firstLine="422"/>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hint="eastAsia" w:ascii="宋体" w:hAnsi="宋体" w:cs="宋体"/>
          <w:color w:val="000000"/>
          <w:highlight w:val="none"/>
        </w:rPr>
      </w:r>
      <w:r/>
    </w:p>
    <w:p>
      <w:pPr>
        <w:pStyle w:val="893"/>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扬州市保障性住房发展中心公租房运营管理服务项目</w:t>
      </w:r>
      <w:r>
        <w:rPr>
          <w:rFonts w:hint="eastAsia" w:ascii="宋体" w:hAnsi="宋体" w:cs="宋体"/>
          <w:color w:val="000000"/>
          <w:highlight w:val="none"/>
        </w:rPr>
        <w:t xml:space="preserve">招标项目的潜在投标人可在</w:t>
      </w:r>
      <w:r>
        <w:rPr>
          <w:rFonts w:hint="eastAsia" w:ascii="宋体" w:hAnsi="宋体" w:cs="宋体"/>
          <w:color w:val="000000"/>
          <w:highlight w:val="none"/>
          <w:u w:val="single"/>
        </w:rPr>
        <w:t xml:space="preserve">“扬州市政府采购网”、“江苏省政府采购网”、“</w:t>
      </w:r>
      <w:r>
        <w:rPr>
          <w:rFonts w:hint="eastAsia" w:ascii="宋体" w:hAnsi="宋体" w:cs="宋体"/>
          <w:color w:val="000000"/>
          <w:highlight w:val="none"/>
          <w:u w:val="single"/>
          <w:lang w:val="en-US" w:eastAsia="zh-CN"/>
        </w:rPr>
        <w:t xml:space="preserve">中国政府采购网</w:t>
      </w:r>
      <w:r>
        <w:rPr>
          <w:rFonts w:hint="eastAsia" w:ascii="宋体" w:hAnsi="宋体" w:cs="宋体"/>
          <w:color w:val="000000"/>
          <w:highlight w:val="none"/>
          <w:u w:val="single"/>
        </w:rPr>
        <w:t xml:space="preserve">”自行免费下载</w:t>
      </w:r>
      <w:r>
        <w:rPr>
          <w:rFonts w:hint="eastAsia" w:ascii="宋体" w:hAnsi="宋体" w:cs="宋体"/>
          <w:color w:val="000000"/>
          <w:highlight w:val="none"/>
        </w:rPr>
        <w:t xml:space="preserve">招标文件，并于</w:t>
      </w:r>
      <w:bookmarkStart w:id="6" w:name="XMTBJSR_1"/>
      <w:r>
        <w:rPr>
          <w:rFonts w:hint="eastAsia" w:ascii="宋体" w:hAnsi="宋体" w:cs="宋体"/>
          <w:bCs/>
          <w:color w:val="000000"/>
          <w:highlight w:val="none"/>
          <w:u w:val="single"/>
          <w:lang w:eastAsia="zh-CN"/>
        </w:rPr>
        <w:t xml:space="preserve">2026年</w:t>
      </w:r>
      <w:r>
        <w:rPr>
          <w:rFonts w:hint="eastAsia" w:ascii="宋体" w:hAnsi="宋体" w:cs="宋体"/>
          <w:bCs/>
          <w:color w:val="000000"/>
          <w:highlight w:val="none"/>
          <w:u w:val="single"/>
          <w:lang w:val="en-US" w:eastAsia="zh-CN"/>
        </w:rPr>
        <w:t xml:space="preserve">8</w:t>
      </w:r>
      <w:r>
        <w:rPr>
          <w:rFonts w:ascii="宋体" w:hAnsi="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13</w:t>
      </w:r>
      <w:r>
        <w:rPr>
          <w:rFonts w:ascii="宋体" w:hAnsi="宋体" w:cs="宋体"/>
          <w:bCs/>
          <w:color w:val="000000"/>
          <w:highlight w:val="none"/>
          <w:u w:val="single"/>
        </w:rPr>
        <w:t xml:space="preserve">日9点30分</w:t>
      </w:r>
      <w:bookmarkEnd w:id="6"/>
      <w:r>
        <w:rPr>
          <w:rFonts w:hint="eastAsia" w:ascii="宋体" w:hAnsi="宋体" w:cs="宋体"/>
          <w:bCs/>
          <w:color w:val="000000"/>
          <w:highlight w:val="none"/>
          <w:u w:val="single"/>
        </w:rPr>
        <w:t xml:space="preserve">（</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hint="eastAsia" w:ascii="宋体" w:hAnsi="宋体" w:cs="宋体"/>
          <w:color w:val="000000"/>
          <w:highlight w:val="none"/>
        </w:rPr>
      </w:r>
      <w:r/>
    </w:p>
    <w:p>
      <w:pPr>
        <w:pStyle w:val="893"/>
        <w:spacing w:line="360" w:lineRule="auto"/>
        <w:tabs>
          <w:tab w:val="left" w:pos="266" w:leader="none"/>
        </w:tabs>
        <w:rPr>
          <w:rFonts w:hint="eastAsia" w:ascii="宋体" w:hAnsi="宋体" w:cs="宋体"/>
          <w:b/>
          <w:bCs/>
          <w:color w:val="000000"/>
          <w:highlight w:val="none"/>
        </w:rPr>
      </w:pPr>
      <w:r/>
      <w:bookmarkStart w:id="7" w:name="_Toc38985263"/>
      <w:r/>
      <w:bookmarkStart w:id="8" w:name="_Toc28359079"/>
      <w:r/>
      <w:bookmarkStart w:id="9" w:name="_Toc35393621"/>
      <w:r/>
      <w:bookmarkStart w:id="10" w:name="_Toc35393790"/>
      <w:r/>
      <w:bookmarkStart w:id="11" w:name="_Hlk24379207"/>
      <w:r/>
      <w:bookmarkStart w:id="12" w:name="_Toc28359002"/>
      <w:r>
        <w:rPr>
          <w:rFonts w:hint="eastAsia" w:ascii="宋体" w:hAnsi="宋体" w:cs="宋体"/>
          <w:b/>
          <w:bCs/>
          <w:color w:val="000000"/>
          <w:highlight w:val="none"/>
        </w:rPr>
        <w:t xml:space="preserve">一、项目基本情况</w:t>
      </w:r>
      <w:bookmarkEnd w:id="7"/>
      <w:r/>
      <w:bookmarkEnd w:id="8"/>
      <w:r/>
      <w:bookmarkEnd w:id="9"/>
      <w:r/>
      <w:bookmarkEnd w:id="10"/>
      <w:r/>
      <w:bookmarkEnd w:id="12"/>
      <w:r>
        <w:rPr>
          <w:rFonts w:hint="eastAsia" w:ascii="宋体" w:hAnsi="宋体" w:cs="宋体"/>
          <w:b/>
          <w:bCs/>
          <w:color w:val="000000"/>
          <w:highlight w:val="none"/>
        </w:rPr>
      </w:r>
      <w:r/>
    </w:p>
    <w:p>
      <w:pPr>
        <w:pStyle w:val="89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JSZC-321000-SDTZ-G2026-0007</w:t>
      </w:r>
      <w:r>
        <w:rPr>
          <w:rFonts w:hint="eastAsia" w:ascii="宋体" w:hAnsi="宋体" w:eastAsia="宋体" w:cs="宋体"/>
          <w:color w:val="000000"/>
          <w:szCs w:val="21"/>
          <w:highlight w:val="none"/>
          <w:lang w:eastAsia="zh-CN"/>
        </w:rPr>
      </w:r>
      <w:r/>
    </w:p>
    <w:p>
      <w:pPr>
        <w:pStyle w:val="893"/>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扬州市保障性住房发展中心公租房运营管理服务项目</w:t>
      </w:r>
      <w:r>
        <w:rPr>
          <w:rFonts w:hint="eastAsia" w:ascii="宋体" w:hAnsi="宋体" w:eastAsia="宋体" w:cs="宋体"/>
          <w:color w:val="000000"/>
          <w:highlight w:val="none"/>
          <w:lang w:eastAsia="zh-CN"/>
        </w:rPr>
      </w:r>
      <w:r/>
    </w:p>
    <w:p>
      <w:pPr>
        <w:pStyle w:val="893"/>
        <w:ind w:firstLine="420"/>
        <w:spacing w:line="360" w:lineRule="auto"/>
        <w:rPr>
          <w:rFonts w:hint="eastAsia" w:ascii="宋体" w:hAnsi="宋体" w:cs="宋体"/>
          <w:color w:val="000000"/>
          <w:szCs w:val="21"/>
          <w:highlight w:val="none"/>
        </w:rPr>
      </w:pPr>
      <w:r/>
      <w:bookmarkEnd w:id="11"/>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.预算金额：</w:t>
      </w:r>
      <w:r>
        <w:rPr>
          <w:rFonts w:hint="eastAsia" w:ascii="宋体" w:hAnsi="宋体" w:eastAsia="宋体" w:cs="宋体"/>
          <w:color w:val="000000"/>
          <w:sz w:val="21"/>
          <w:szCs w:val="21"/>
          <w:highlight w:val="none"/>
          <w:lang w:val="en-US" w:eastAsia="zh-CN"/>
        </w:rPr>
        <w:t xml:space="preserve">150万元（</w:t>
      </w:r>
      <w:r>
        <w:rPr>
          <w:rFonts w:hint="eastAsia" w:ascii="宋体" w:hAnsi="宋体" w:eastAsia="宋体" w:cs="宋体"/>
          <w:b w:val="0"/>
          <w:bCs w:val="0"/>
          <w:color w:val="000000"/>
          <w:sz w:val="21"/>
          <w:szCs w:val="21"/>
          <w:highlight w:val="none"/>
          <w:lang w:val="en-US" w:eastAsia="zh-CN"/>
        </w:rPr>
        <w:t xml:space="preserve">包一：</w:t>
      </w:r>
      <w:r>
        <w:rPr>
          <w:rFonts w:hint="eastAsia" w:ascii="宋体" w:hAnsi="宋体" w:eastAsia="宋体" w:cs="宋体"/>
          <w:b w:val="0"/>
          <w:bCs w:val="0"/>
          <w:color w:val="000000"/>
          <w:sz w:val="21"/>
          <w:szCs w:val="21"/>
          <w:highlight w:val="none"/>
          <w:u w:val="none"/>
          <w:lang w:val="en-US" w:eastAsia="zh-CN"/>
        </w:rPr>
        <w:t xml:space="preserve">90</w:t>
      </w:r>
      <w:r>
        <w:rPr>
          <w:rFonts w:hint="eastAsia" w:ascii="宋体" w:hAnsi="宋体" w:eastAsia="宋体" w:cs="宋体"/>
          <w:b w:val="0"/>
          <w:bCs w:val="0"/>
          <w:color w:val="000000"/>
          <w:sz w:val="21"/>
          <w:szCs w:val="21"/>
          <w:highlight w:val="none"/>
          <w:u w:val="none"/>
        </w:rPr>
        <w:t xml:space="preserve">万元；包二：</w:t>
      </w:r>
      <w:r>
        <w:rPr>
          <w:rFonts w:hint="eastAsia" w:ascii="宋体" w:hAnsi="宋体" w:eastAsia="宋体" w:cs="宋体"/>
          <w:b w:val="0"/>
          <w:bCs w:val="0"/>
          <w:color w:val="000000"/>
          <w:sz w:val="21"/>
          <w:szCs w:val="21"/>
          <w:highlight w:val="none"/>
          <w:u w:val="none"/>
          <w:lang w:val="en-US" w:eastAsia="zh-CN"/>
        </w:rPr>
        <w:t xml:space="preserve">34</w:t>
      </w:r>
      <w:r>
        <w:rPr>
          <w:rFonts w:hint="eastAsia" w:ascii="宋体" w:hAnsi="宋体" w:eastAsia="宋体" w:cs="宋体"/>
          <w:b w:val="0"/>
          <w:bCs w:val="0"/>
          <w:color w:val="000000"/>
          <w:sz w:val="21"/>
          <w:szCs w:val="21"/>
          <w:highlight w:val="none"/>
          <w:u w:val="none"/>
        </w:rPr>
        <w:t xml:space="preserve">万元；包三：</w:t>
      </w:r>
      <w:r>
        <w:rPr>
          <w:rFonts w:hint="eastAsia" w:ascii="宋体" w:hAnsi="宋体" w:eastAsia="宋体" w:cs="宋体"/>
          <w:b w:val="0"/>
          <w:bCs w:val="0"/>
          <w:color w:val="000000"/>
          <w:sz w:val="21"/>
          <w:szCs w:val="21"/>
          <w:highlight w:val="none"/>
          <w:u w:val="none"/>
          <w:lang w:val="en-US" w:eastAsia="zh-CN"/>
        </w:rPr>
        <w:t xml:space="preserve">26</w:t>
      </w:r>
      <w:r>
        <w:rPr>
          <w:rFonts w:hint="eastAsia" w:ascii="宋体" w:hAnsi="宋体" w:eastAsia="宋体" w:cs="宋体"/>
          <w:b w:val="0"/>
          <w:bCs w:val="0"/>
          <w:color w:val="000000"/>
          <w:sz w:val="21"/>
          <w:szCs w:val="21"/>
          <w:highlight w:val="none"/>
          <w:u w:val="none"/>
        </w:rPr>
        <w:t xml:space="preserve">万元</w:t>
      </w:r>
      <w:r>
        <w:rPr>
          <w:rFonts w:hint="eastAsia" w:ascii="宋体" w:hAnsi="宋体" w:eastAsia="宋体" w:cs="宋体"/>
          <w:b w:val="0"/>
          <w:bCs w:val="0"/>
          <w:color w:val="000000"/>
          <w:sz w:val="21"/>
          <w:szCs w:val="21"/>
          <w:highlight w:val="none"/>
          <w:u w:val="none"/>
          <w:lang w:val="en-US"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93"/>
        <w:ind w:firstLine="420"/>
        <w:spacing w:line="360" w:lineRule="auto"/>
        <w:rPr>
          <w:rFonts w:hint="eastAsia" w:ascii="宋体" w:hAnsi="宋体" w:cs="宋体"/>
          <w:color w:val="000000"/>
          <w:szCs w:val="21"/>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最高限价：本项目设置最高限价为</w:t>
      </w:r>
      <w:r>
        <w:rPr>
          <w:rFonts w:hint="eastAsia" w:ascii="宋体" w:hAnsi="宋体" w:eastAsia="宋体" w:cs="宋体"/>
          <w:b w:val="0"/>
          <w:bCs w:val="0"/>
          <w:color w:val="000000"/>
          <w:sz w:val="21"/>
          <w:szCs w:val="21"/>
          <w:highlight w:val="none"/>
          <w:lang w:val="en-US" w:eastAsia="zh-CN"/>
        </w:rPr>
        <w:t xml:space="preserve">包一：</w:t>
      </w:r>
      <w:r>
        <w:rPr>
          <w:rFonts w:hint="eastAsia" w:ascii="宋体" w:hAnsi="宋体" w:eastAsia="宋体" w:cs="宋体"/>
          <w:b w:val="0"/>
          <w:bCs w:val="0"/>
          <w:color w:val="000000"/>
          <w:sz w:val="21"/>
          <w:szCs w:val="21"/>
          <w:highlight w:val="none"/>
          <w:u w:val="none"/>
          <w:lang w:val="en-US" w:eastAsia="zh-CN"/>
        </w:rPr>
        <w:t xml:space="preserve">不可收租率9%</w:t>
      </w:r>
      <w:r>
        <w:rPr>
          <w:rFonts w:hint="eastAsia" w:ascii="宋体" w:hAnsi="宋体" w:eastAsia="宋体" w:cs="宋体"/>
          <w:b w:val="0"/>
          <w:bCs w:val="0"/>
          <w:color w:val="000000"/>
          <w:sz w:val="21"/>
          <w:szCs w:val="21"/>
          <w:highlight w:val="none"/>
          <w:u w:val="none"/>
        </w:rPr>
        <w:t xml:space="preserve">；包二：</w:t>
      </w:r>
      <w:r>
        <w:rPr>
          <w:rFonts w:hint="eastAsia" w:ascii="宋体" w:hAnsi="宋体" w:eastAsia="宋体" w:cs="宋体"/>
          <w:b w:val="0"/>
          <w:bCs w:val="0"/>
          <w:color w:val="000000"/>
          <w:sz w:val="21"/>
          <w:szCs w:val="21"/>
          <w:highlight w:val="none"/>
          <w:u w:val="none"/>
          <w:lang w:val="en-US" w:eastAsia="zh-CN"/>
        </w:rPr>
        <w:t xml:space="preserve">不可收租率9%</w:t>
      </w:r>
      <w:r>
        <w:rPr>
          <w:rFonts w:hint="eastAsia" w:ascii="宋体" w:hAnsi="宋体" w:eastAsia="宋体" w:cs="宋体"/>
          <w:b w:val="0"/>
          <w:bCs w:val="0"/>
          <w:color w:val="000000"/>
          <w:sz w:val="21"/>
          <w:szCs w:val="21"/>
          <w:highlight w:val="none"/>
          <w:u w:val="none"/>
        </w:rPr>
        <w:t xml:space="preserve">；包三：</w:t>
      </w:r>
      <w:r>
        <w:rPr>
          <w:rFonts w:hint="eastAsia" w:ascii="宋体" w:hAnsi="宋体" w:eastAsia="宋体" w:cs="宋体"/>
          <w:b w:val="0"/>
          <w:bCs w:val="0"/>
          <w:color w:val="000000"/>
          <w:sz w:val="21"/>
          <w:szCs w:val="21"/>
          <w:highlight w:val="none"/>
          <w:u w:val="none"/>
          <w:lang w:val="en-US" w:eastAsia="zh-CN"/>
        </w:rPr>
        <w:t xml:space="preserve">不可收租率5%</w:t>
      </w:r>
      <w:r>
        <w:rPr>
          <w:rFonts w:hint="eastAsia" w:ascii="宋体" w:hAnsi="宋体" w:cs="宋体"/>
          <w:color w:val="000000"/>
          <w:highlight w:val="none"/>
          <w:lang w:val="en-US" w:eastAsia="zh-CN"/>
        </w:rPr>
        <w:t xml:space="preserve">，超过最高限价的均为无效报价，按照无效响应处理。</w:t>
      </w:r>
      <w:r>
        <w:rPr>
          <w:rFonts w:hint="eastAsia" w:ascii="宋体" w:hAnsi="宋体" w:cs="宋体"/>
          <w:color w:val="000000"/>
          <w:szCs w:val="21"/>
          <w:highlight w:val="none"/>
        </w:rPr>
        <w:t xml:space="preserve">本项目可兼投但不兼中，评标顺序为包一至包三。投标按</w:t>
      </w:r>
      <w:r>
        <w:rPr>
          <w:rFonts w:hint="eastAsia" w:ascii="宋体" w:hAnsi="宋体" w:cs="宋体"/>
          <w:color w:val="000000"/>
          <w:highlight w:val="none"/>
          <w:lang w:val="en-US" w:eastAsia="zh-CN"/>
        </w:rPr>
        <w:t xml:space="preserve">不可收租率</w:t>
      </w:r>
      <w:r>
        <w:rPr>
          <w:rFonts w:hint="eastAsia" w:ascii="宋体" w:hAnsi="宋体" w:cs="宋体"/>
          <w:color w:val="000000"/>
          <w:szCs w:val="21"/>
          <w:highlight w:val="none"/>
        </w:rPr>
        <w:t xml:space="preserve">填写。</w:t>
      </w:r>
      <w:r>
        <w:rPr>
          <w:rFonts w:hint="eastAsia" w:ascii="宋体" w:hAnsi="宋体" w:cs="宋体"/>
          <w:color w:val="000000"/>
          <w:szCs w:val="21"/>
          <w:highlight w:val="none"/>
        </w:rPr>
      </w:r>
      <w:r/>
    </w:p>
    <w:p>
      <w:pPr>
        <w:pStyle w:val="893"/>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.采购需求：</w:t>
      </w:r>
      <w:r>
        <w:rPr>
          <w:rFonts w:hint="eastAsia" w:ascii="宋体" w:hAnsi="宋体" w:cs="宋体"/>
          <w:color w:val="000000"/>
          <w:highlight w:val="none"/>
          <w:lang w:val="en-US" w:eastAsia="zh-CN"/>
        </w:rPr>
        <w:t xml:space="preserve">具体内容详</w:t>
      </w:r>
      <w:r>
        <w:rPr>
          <w:rFonts w:hint="eastAsia" w:ascii="宋体" w:hAnsi="宋体" w:cs="宋体"/>
          <w:color w:val="000000"/>
          <w:highlight w:val="none"/>
        </w:rPr>
        <w:t xml:space="preserve">见招标文件</w:t>
      </w:r>
      <w:r>
        <w:rPr>
          <w:rFonts w:hint="eastAsia" w:ascii="宋体" w:hAnsi="宋体" w:cs="宋体"/>
          <w:color w:val="000000"/>
          <w:highlight w:val="none"/>
          <w:lang w:val="en-US" w:eastAsia="zh-CN"/>
        </w:rPr>
        <w:t xml:space="preserve">第四章采购需求。</w:t>
      </w:r>
      <w:r>
        <w:rPr>
          <w:rFonts w:ascii="宋体" w:hAnsi="宋体" w:eastAsia="宋体" w:cs="宋体"/>
          <w:color w:val="000000"/>
          <w:highlight w:val="none"/>
          <w:u w:val="single"/>
          <w:lang w:val="en-US" w:eastAsia="zh-CN"/>
        </w:rPr>
      </w:r>
      <w:r/>
    </w:p>
    <w:p>
      <w:pPr>
        <w:pStyle w:val="893"/>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.合同履行期限</w:t>
      </w:r>
      <w:r>
        <w:rPr>
          <w:rFonts w:hint="eastAsia" w:ascii="宋体" w:hAnsi="宋体" w:cs="宋体"/>
          <w:i w:val="0"/>
          <w:iCs w:val="0"/>
          <w:color w:val="000000"/>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1年</w:t>
      </w:r>
      <w:r>
        <w:rPr>
          <w:rFonts w:hint="eastAsia" w:ascii="宋体" w:hAnsi="宋体" w:eastAsia="宋体" w:cs="宋体"/>
          <w:b/>
          <w:bCs/>
          <w:i w:val="0"/>
          <w:iCs w:val="0"/>
          <w:color w:val="000000"/>
          <w:sz w:val="21"/>
          <w:szCs w:val="21"/>
          <w:highlight w:val="none"/>
          <w:u w:val="none"/>
          <w:lang w:val="en-US" w:eastAsia="zh-CN"/>
        </w:rPr>
        <w:t xml:space="preserve">。</w:t>
      </w:r>
      <w:r>
        <w:rPr>
          <w:rFonts w:ascii="宋体" w:hAnsi="宋体" w:eastAsia="宋体" w:cs="宋体"/>
          <w:color w:val="000000"/>
          <w:highlight w:val="none"/>
          <w:u w:val="single"/>
          <w:lang w:val="en-US" w:eastAsia="zh-CN"/>
        </w:rPr>
      </w:r>
      <w:r/>
    </w:p>
    <w:p>
      <w:pPr>
        <w:pStyle w:val="893"/>
        <w:ind w:firstLine="420"/>
        <w:spacing w:line="360" w:lineRule="auto"/>
        <w:rPr>
          <w:rFonts w:ascii="宋体" w:hAnsi="宋体" w:cs="宋体"/>
          <w:color w:val="000000"/>
          <w:highlight w:val="none"/>
        </w:rPr>
      </w:pPr>
      <w:r/>
      <w:bookmarkStart w:id="13" w:name="_Toc28359003"/>
      <w:r/>
      <w:bookmarkStart w:id="14" w:name="_Toc28359080"/>
      <w:r/>
      <w:bookmarkStart w:id="15" w:name="_Toc35393791"/>
      <w:r/>
      <w:bookmarkStart w:id="16" w:name="_Toc38985264"/>
      <w:r/>
      <w:bookmarkStart w:id="17" w:name="_Toc35393622"/>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联合体投标</w:t>
      </w:r>
      <w:r>
        <w:rPr>
          <w:rFonts w:ascii="宋体" w:hAnsi="宋体" w:cs="宋体"/>
          <w:color w:val="000000"/>
          <w:highlight w:val="none"/>
        </w:rPr>
      </w:r>
      <w:r/>
    </w:p>
    <w:p>
      <w:pPr>
        <w:pStyle w:val="893"/>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二、申请人的资格要求：</w:t>
      </w:r>
      <w:bookmarkEnd w:id="13"/>
      <w:r/>
      <w:bookmarkEnd w:id="14"/>
      <w:r/>
      <w:bookmarkEnd w:id="15"/>
      <w:r/>
      <w:bookmarkEnd w:id="16"/>
      <w:r/>
      <w:bookmarkEnd w:id="17"/>
      <w:r>
        <w:rPr>
          <w:rFonts w:hint="eastAsia" w:ascii="宋体" w:hAnsi="宋体" w:cs="宋体"/>
          <w:b/>
          <w:bCs/>
          <w:color w:val="000000"/>
          <w:highlight w:val="none"/>
        </w:rPr>
      </w:r>
      <w:r/>
    </w:p>
    <w:p>
      <w:pPr>
        <w:pStyle w:val="893"/>
        <w:ind w:firstLine="420"/>
        <w:spacing w:line="360" w:lineRule="auto"/>
        <w:rPr>
          <w:rFonts w:ascii="宋体" w:hAnsi="宋体" w:cs="宋体"/>
          <w:color w:val="000000"/>
          <w:szCs w:val="21"/>
          <w:highlight w:val="none"/>
        </w:rPr>
      </w:pPr>
      <w:r/>
      <w:bookmarkStart w:id="18" w:name="_Toc28359081"/>
      <w:r/>
      <w:bookmarkStart w:id="19" w:name="_Toc35393623"/>
      <w:r/>
      <w:bookmarkStart w:id="20" w:name="_Toc28359004"/>
      <w:r/>
      <w:bookmarkStart w:id="21" w:name="_Toc35393792"/>
      <w:r/>
      <w:bookmarkStart w:id="22" w:name="_Toc38985265"/>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893"/>
        <w:ind w:firstLine="420"/>
        <w:keepLines w:val="0"/>
        <w:keepNext w:val="0"/>
        <w:pageBreakBefore w:val="0"/>
        <w:spacing w:line="360" w:lineRule="auto"/>
        <w:widowControl w:val="off"/>
        <w:rPr>
          <w:rFonts w:ascii="宋体" w:hAnsi="宋体"/>
          <w:i/>
          <w:iCs/>
          <w:color w:val="000000"/>
          <w:sz w:val="21"/>
          <w:szCs w:val="21"/>
          <w:highlight w:val="none"/>
          <w:u w:val="single"/>
        </w:rPr>
      </w:pPr>
      <w:r>
        <w:rPr>
          <w:rFonts w:hint="eastAsia" w:ascii="宋体" w:hAnsi="宋体"/>
          <w:i/>
          <w:iCs/>
          <w:color w:val="000000"/>
          <w:sz w:val="21"/>
          <w:szCs w:val="21"/>
          <w:highlight w:val="none"/>
          <w:u w:val="single"/>
        </w:rPr>
        <w:t xml:space="preserve">1.1法人或者其他组织的营业执照等证明文件，自然人的身份证明；</w:t>
      </w:r>
      <w:r>
        <w:rPr>
          <w:rFonts w:ascii="宋体" w:hAnsi="宋体"/>
          <w:i/>
          <w:iCs/>
          <w:color w:val="000000"/>
          <w:sz w:val="21"/>
          <w:szCs w:val="21"/>
          <w:highlight w:val="none"/>
          <w:u w:val="single"/>
        </w:rPr>
      </w:r>
      <w:r/>
    </w:p>
    <w:p>
      <w:pPr>
        <w:pStyle w:val="893"/>
        <w:ind w:firstLine="420"/>
        <w:keepLines w:val="0"/>
        <w:keepNext w:val="0"/>
        <w:pageBreakBefore w:val="0"/>
        <w:spacing w:line="360" w:lineRule="auto"/>
        <w:widowControl w:val="off"/>
        <w:rPr>
          <w:rFonts w:ascii="宋体" w:hAnsi="宋体"/>
          <w:i/>
          <w:iCs/>
          <w:color w:val="000000"/>
          <w:sz w:val="21"/>
          <w:szCs w:val="21"/>
          <w:highlight w:val="none"/>
          <w:u w:val="single"/>
        </w:rPr>
      </w:pPr>
      <w:r>
        <w:rPr>
          <w:rFonts w:hint="eastAsia" w:ascii="宋体" w:hAnsi="宋体"/>
          <w:i/>
          <w:iCs/>
          <w:color w:val="000000"/>
          <w:sz w:val="21"/>
          <w:szCs w:val="21"/>
          <w:highlight w:val="none"/>
          <w:u w:val="single"/>
        </w:rPr>
        <w:t xml:space="preserve">1.2上一年度的财务状况报告（成立不满一年无需提供）；</w:t>
      </w:r>
      <w:r>
        <w:rPr>
          <w:rFonts w:ascii="宋体" w:hAnsi="宋体"/>
          <w:i/>
          <w:iCs/>
          <w:color w:val="000000"/>
          <w:sz w:val="21"/>
          <w:szCs w:val="21"/>
          <w:highlight w:val="none"/>
          <w:u w:val="single"/>
        </w:rPr>
      </w:r>
      <w:r/>
    </w:p>
    <w:p>
      <w:pPr>
        <w:pStyle w:val="893"/>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rPr>
      </w:pPr>
      <w:r>
        <w:rPr>
          <w:rFonts w:hint="eastAsia" w:ascii="宋体" w:hAnsi="宋体"/>
          <w:i/>
          <w:iCs/>
          <w:color w:val="000000"/>
          <w:sz w:val="21"/>
          <w:szCs w:val="21"/>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Times New Roman"/>
          <w:i/>
          <w:iCs/>
          <w:color w:val="000000"/>
          <w:sz w:val="21"/>
          <w:szCs w:val="21"/>
          <w:highlight w:val="none"/>
          <w:u w:val="single"/>
        </w:rPr>
        <w:t xml:space="preserve">；</w:t>
      </w:r>
      <w:r>
        <w:rPr>
          <w:rFonts w:hint="eastAsia" w:ascii="宋体" w:hAnsi="宋体" w:eastAsia="宋体" w:cs="Times New Roman"/>
          <w:i/>
          <w:iCs/>
          <w:color w:val="000000"/>
          <w:sz w:val="21"/>
          <w:szCs w:val="21"/>
          <w:highlight w:val="none"/>
          <w:u w:val="single"/>
        </w:rPr>
      </w:r>
      <w:r/>
    </w:p>
    <w:p>
      <w:pPr>
        <w:pStyle w:val="893"/>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rPr>
      </w:pPr>
      <w:r>
        <w:rPr>
          <w:rFonts w:hint="eastAsia" w:ascii="宋体" w:hAnsi="宋体" w:eastAsia="宋体" w:cs="Times New Roman"/>
          <w:i/>
          <w:iCs/>
          <w:color w:val="000000"/>
          <w:sz w:val="21"/>
          <w:szCs w:val="21"/>
          <w:highlight w:val="none"/>
          <w:u w:val="single"/>
        </w:rPr>
        <w:t xml:space="preserve">1.4具备履行合同所必需的设备和专业技术能力的书面声明；</w:t>
      </w:r>
      <w:r>
        <w:rPr>
          <w:rFonts w:hint="eastAsia" w:ascii="宋体" w:hAnsi="宋体" w:eastAsia="宋体" w:cs="Times New Roman"/>
          <w:i/>
          <w:iCs/>
          <w:color w:val="000000"/>
          <w:sz w:val="21"/>
          <w:szCs w:val="21"/>
          <w:highlight w:val="none"/>
          <w:u w:val="single"/>
        </w:rPr>
      </w:r>
      <w:r/>
    </w:p>
    <w:p>
      <w:pPr>
        <w:pStyle w:val="893"/>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lang w:eastAsia="zh-CN"/>
        </w:rPr>
      </w:pPr>
      <w:r>
        <w:rPr>
          <w:rFonts w:hint="eastAsia" w:ascii="宋体" w:hAnsi="宋体" w:eastAsia="宋体" w:cs="Times New Roman"/>
          <w:i/>
          <w:iCs/>
          <w:color w:val="000000"/>
          <w:sz w:val="21"/>
          <w:szCs w:val="21"/>
          <w:highlight w:val="none"/>
          <w:u w:val="single"/>
        </w:rPr>
        <w:t xml:space="preserve">1.5参加政府采购活动前3年内在经营活动中没有重大违法记录的书面声明</w:t>
      </w:r>
      <w:r>
        <w:rPr>
          <w:rFonts w:hint="eastAsia" w:ascii="宋体" w:hAnsi="宋体" w:cs="Times New Roman"/>
          <w:i/>
          <w:iCs/>
          <w:color w:val="000000"/>
          <w:sz w:val="21"/>
          <w:szCs w:val="21"/>
          <w:highlight w:val="none"/>
          <w:u w:val="single"/>
          <w:lang w:eastAsia="zh-CN"/>
        </w:rPr>
        <w:t xml:space="preserve">；</w:t>
      </w:r>
      <w:r>
        <w:rPr>
          <w:rFonts w:hint="eastAsia" w:ascii="宋体" w:hAnsi="宋体" w:eastAsia="宋体" w:cs="Times New Roman"/>
          <w:i/>
          <w:iCs/>
          <w:color w:val="000000"/>
          <w:sz w:val="21"/>
          <w:szCs w:val="21"/>
          <w:highlight w:val="none"/>
          <w:u w:val="single"/>
          <w:lang w:eastAsia="zh-CN"/>
        </w:rPr>
      </w:r>
      <w:r/>
    </w:p>
    <w:p>
      <w:pPr>
        <w:pStyle w:val="893"/>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rPr>
      </w:pPr>
      <w:r>
        <w:rPr>
          <w:rFonts w:hint="eastAsia" w:ascii="宋体" w:hAnsi="宋体" w:eastAsia="宋体" w:cs="Times New Roman"/>
          <w:i/>
          <w:iCs/>
          <w:color w:val="000000"/>
          <w:sz w:val="21"/>
          <w:szCs w:val="21"/>
          <w:highlight w:val="none"/>
          <w:u w:val="single"/>
        </w:rPr>
        <w:t xml:space="preserve">1.6供应商信用承诺函；</w:t>
      </w:r>
      <w:r>
        <w:rPr>
          <w:rFonts w:hint="eastAsia" w:ascii="宋体" w:hAnsi="宋体" w:eastAsia="宋体" w:cs="Times New Roman"/>
          <w:i/>
          <w:iCs/>
          <w:color w:val="000000"/>
          <w:sz w:val="21"/>
          <w:szCs w:val="21"/>
          <w:highlight w:val="none"/>
          <w:u w:val="single"/>
        </w:rPr>
      </w:r>
      <w:r/>
    </w:p>
    <w:p>
      <w:pPr>
        <w:pStyle w:val="893"/>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lang w:eastAsia="zh-CN"/>
        </w:rPr>
      </w:pPr>
      <w:r>
        <w:rPr>
          <w:rFonts w:hint="eastAsia" w:ascii="宋体" w:hAnsi="宋体" w:eastAsia="宋体" w:cs="Times New Roman"/>
          <w:i/>
          <w:iCs/>
          <w:color w:val="000000"/>
          <w:sz w:val="21"/>
          <w:szCs w:val="21"/>
          <w:highlight w:val="none"/>
          <w:u w:val="single"/>
        </w:rPr>
        <w:t xml:space="preserve">1.7</w:t>
      </w:r>
      <w:r>
        <w:rPr>
          <w:rFonts w:hint="eastAsia" w:ascii="宋体" w:hAnsi="宋体" w:eastAsia="宋体" w:cs="Times New Roman"/>
          <w:i/>
          <w:iCs/>
          <w:color w:val="000000"/>
          <w:sz w:val="21"/>
          <w:szCs w:val="21"/>
          <w:highlight w:val="none"/>
          <w:u w:val="single"/>
          <w:lang w:val="en-US" w:eastAsia="zh-CN"/>
        </w:rPr>
        <w:t xml:space="preserve">投标</w:t>
      </w:r>
      <w:r>
        <w:rPr>
          <w:rFonts w:hint="eastAsia" w:ascii="宋体" w:hAnsi="宋体" w:eastAsia="宋体" w:cs="Times New Roman"/>
          <w:i/>
          <w:iCs/>
          <w:color w:val="000000"/>
          <w:sz w:val="21"/>
          <w:szCs w:val="21"/>
          <w:highlight w:val="none"/>
          <w:u w:val="single"/>
        </w:rPr>
        <w:t xml:space="preserve">函</w:t>
      </w:r>
      <w:r>
        <w:rPr>
          <w:rFonts w:hint="eastAsia" w:ascii="宋体" w:hAnsi="宋体" w:cs="Times New Roman"/>
          <w:i/>
          <w:iCs/>
          <w:color w:val="000000"/>
          <w:sz w:val="21"/>
          <w:szCs w:val="21"/>
          <w:highlight w:val="none"/>
          <w:u w:val="single"/>
          <w:lang w:eastAsia="zh-CN"/>
        </w:rPr>
        <w:t xml:space="preserve">；</w:t>
      </w:r>
      <w:r>
        <w:rPr>
          <w:rFonts w:hint="eastAsia" w:ascii="宋体" w:hAnsi="宋体" w:eastAsia="宋体" w:cs="Times New Roman"/>
          <w:i/>
          <w:iCs/>
          <w:color w:val="000000"/>
          <w:sz w:val="21"/>
          <w:szCs w:val="21"/>
          <w:highlight w:val="none"/>
          <w:u w:val="single"/>
          <w:lang w:eastAsia="zh-CN"/>
        </w:rPr>
      </w:r>
      <w:r/>
    </w:p>
    <w:p>
      <w:pPr>
        <w:pStyle w:val="893"/>
        <w:ind w:firstLine="420"/>
        <w:keepLines w:val="0"/>
        <w:keepNext w:val="0"/>
        <w:pageBreakBefore w:val="0"/>
        <w:spacing w:line="360" w:lineRule="auto"/>
        <w:widowControl w:val="off"/>
        <w:rPr>
          <w:rFonts w:hint="eastAsia" w:ascii="宋体" w:hAnsi="宋体" w:eastAsia="宋体" w:cs="Times New Roman"/>
          <w:i/>
          <w:iCs/>
          <w:color w:val="000000"/>
          <w:sz w:val="21"/>
          <w:szCs w:val="21"/>
          <w:highlight w:val="none"/>
          <w:u w:val="single"/>
          <w:lang w:eastAsia="zh-CN"/>
        </w:rPr>
      </w:pPr>
      <w:r>
        <w:rPr>
          <w:rFonts w:hint="eastAsia" w:ascii="宋体" w:hAnsi="宋体" w:cs="Times New Roman"/>
          <w:i/>
          <w:iCs/>
          <w:color w:val="000000"/>
          <w:sz w:val="21"/>
          <w:szCs w:val="21"/>
          <w:highlight w:val="none"/>
          <w:u w:val="single"/>
          <w:lang w:val="en-US" w:eastAsia="zh-CN"/>
        </w:rPr>
        <w:t xml:space="preserve">1.8</w:t>
      </w:r>
      <w:r>
        <w:rPr>
          <w:rFonts w:hint="eastAsia" w:ascii="宋体" w:hAnsi="宋体" w:eastAsia="宋体" w:cs="Times New Roman"/>
          <w:i/>
          <w:iCs/>
          <w:color w:val="000000"/>
          <w:sz w:val="21"/>
          <w:szCs w:val="21"/>
          <w:highlight w:val="none"/>
          <w:u w:val="single"/>
        </w:rPr>
        <w:t xml:space="preserve">法人授权书</w:t>
      </w:r>
      <w:r>
        <w:rPr>
          <w:rFonts w:hint="eastAsia" w:ascii="宋体" w:hAnsi="宋体" w:eastAsia="宋体" w:cs="Times New Roman"/>
          <w:i/>
          <w:iCs/>
          <w:color w:val="000000"/>
          <w:sz w:val="21"/>
          <w:szCs w:val="21"/>
          <w:highlight w:val="none"/>
          <w:u w:val="single"/>
          <w:lang w:eastAsia="zh-CN"/>
        </w:rPr>
        <w:t xml:space="preserve">；</w:t>
      </w:r>
      <w:r>
        <w:rPr>
          <w:rFonts w:hint="eastAsia" w:ascii="宋体" w:hAnsi="宋体" w:eastAsia="宋体" w:cs="Times New Roman"/>
          <w:i/>
          <w:iCs/>
          <w:color w:val="000000"/>
          <w:sz w:val="21"/>
          <w:szCs w:val="21"/>
          <w:highlight w:val="none"/>
          <w:u w:val="single"/>
          <w:lang w:eastAsia="zh-CN"/>
        </w:rPr>
      </w:r>
      <w:r/>
    </w:p>
    <w:p>
      <w:pPr>
        <w:pStyle w:val="893"/>
        <w:numPr>
          <w:ilvl w:val="0"/>
          <w:numId w:val="0"/>
        </w:numPr>
        <w:ind w:firstLine="420"/>
        <w:keepLines w:val="0"/>
        <w:keepNext w:val="0"/>
        <w:pageBreakBefore w:val="0"/>
        <w:spacing w:line="360" w:lineRule="auto"/>
        <w:widowControl w:val="off"/>
        <w:rPr>
          <w:rFonts w:hint="eastAsia" w:ascii="宋体" w:hAnsi="宋体"/>
          <w:i/>
          <w:iCs/>
          <w:color w:val="000000"/>
          <w:sz w:val="21"/>
          <w:szCs w:val="21"/>
          <w:highlight w:val="none"/>
          <w:u w:val="single"/>
        </w:rPr>
      </w:pPr>
      <w:r>
        <w:rPr>
          <w:rFonts w:hint="eastAsia" w:ascii="宋体" w:hAnsi="宋体" w:eastAsia="宋体" w:cs="Times New Roman"/>
          <w:i/>
          <w:iCs/>
          <w:color w:val="000000"/>
          <w:sz w:val="21"/>
          <w:szCs w:val="21"/>
          <w:highlight w:val="none"/>
          <w:u w:val="single"/>
          <w:lang w:val="en-US" w:eastAsia="zh-CN"/>
        </w:rPr>
        <w:t xml:space="preserve">1.9</w:t>
      </w:r>
      <w:r>
        <w:rPr>
          <w:rFonts w:hint="eastAsia" w:ascii="宋体" w:hAnsi="宋体" w:eastAsia="宋体" w:cs="Times New Roman"/>
          <w:i/>
          <w:iCs/>
          <w:color w:val="000000"/>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i/>
          <w:iCs/>
          <w:color w:val="000000"/>
          <w:sz w:val="21"/>
          <w:szCs w:val="21"/>
          <w:highlight w:val="none"/>
          <w:u w:val="single"/>
        </w:rPr>
        <w:t xml:space="preserve">。</w:t>
      </w:r>
      <w:r>
        <w:rPr>
          <w:rFonts w:hint="eastAsia" w:ascii="宋体" w:hAnsi="宋体"/>
          <w:i/>
          <w:iCs/>
          <w:color w:val="000000"/>
          <w:sz w:val="21"/>
          <w:szCs w:val="21"/>
          <w:highlight w:val="none"/>
          <w:u w:val="single"/>
        </w:rPr>
      </w:r>
      <w:r/>
    </w:p>
    <w:p>
      <w:pPr>
        <w:pStyle w:val="893"/>
        <w:ind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.落实政府采购政策需满足的资格要求：</w:t>
      </w:r>
      <w:r>
        <w:rPr>
          <w:rFonts w:hint="eastAsia" w:ascii="宋体" w:hAnsi="宋体"/>
          <w:i/>
          <w:iCs/>
          <w:color w:val="000000"/>
          <w:sz w:val="21"/>
          <w:szCs w:val="21"/>
          <w:highlight w:val="none"/>
          <w:u w:val="single"/>
        </w:rPr>
        <w:t xml:space="preserve">根据《政府采购促进中小企业发展管理办法》规定，本项目专门面向中小企业采购，投标人应在投标文件中按要求提供《中小企业声明函》，《中小企业声明函》不符合要求或未提供的，投标文件无效。</w:t>
      </w:r>
      <w:r>
        <w:rPr>
          <w:rFonts w:hint="eastAsia" w:ascii="宋体" w:hAnsi="宋体"/>
          <w:color w:val="000000"/>
          <w:sz w:val="21"/>
          <w:szCs w:val="21"/>
          <w:highlight w:val="none"/>
        </w:rPr>
      </w:r>
      <w:r/>
    </w:p>
    <w:p>
      <w:pPr>
        <w:pStyle w:val="893"/>
        <w:ind w:firstLine="396"/>
        <w:jc w:val="left"/>
        <w:spacing w:line="360" w:lineRule="auto"/>
        <w:rPr>
          <w:rFonts w:hint="eastAsia" w:ascii="宋体" w:hAnsi="宋体" w:eastAsia="宋体" w:cs="宋体"/>
          <w:i/>
          <w:iCs/>
          <w:color w:val="000000"/>
          <w:szCs w:val="21"/>
          <w:highlight w:val="none"/>
          <w:u w:val="single"/>
          <w:lang w:eastAsia="zh-CN"/>
        </w:rPr>
      </w:pPr>
      <w:r>
        <w:rPr>
          <w:rFonts w:hint="eastAsia" w:ascii="宋体" w:hAnsi="宋体"/>
          <w:i/>
          <w:iCs/>
          <w:color w:val="000000"/>
          <w:sz w:val="21"/>
          <w:szCs w:val="21"/>
          <w:highlight w:val="none"/>
          <w:u w:val="single"/>
          <w:lang w:val="en-US" w:eastAsia="zh-CN"/>
        </w:rPr>
        <w:t xml:space="preserve">3</w:t>
      </w:r>
      <w:r>
        <w:rPr>
          <w:rFonts w:hint="eastAsia" w:ascii="宋体" w:hAnsi="宋体"/>
          <w:i/>
          <w:iCs/>
          <w:color w:val="000000"/>
          <w:sz w:val="21"/>
          <w:szCs w:val="21"/>
          <w:highlight w:val="none"/>
          <w:u w:val="single"/>
        </w:rPr>
        <w:t xml:space="preserve">.</w:t>
      </w:r>
      <w:r>
        <w:rPr>
          <w:rFonts w:hint="eastAsia" w:ascii="宋体" w:hAnsi="宋体" w:cs="宋体"/>
          <w:i/>
          <w:iCs/>
          <w:color w:val="000000"/>
          <w:spacing w:val="-6"/>
          <w:szCs w:val="21"/>
          <w:highlight w:val="none"/>
          <w:u w:val="single"/>
        </w:rPr>
        <w:t xml:space="preserve">本项目的特定资格要求：</w:t>
      </w:r>
      <w:r>
        <w:rPr>
          <w:rFonts w:hint="eastAsia" w:ascii="宋体" w:hAnsi="宋体" w:cs="宋体"/>
          <w:i/>
          <w:iCs/>
          <w:color w:val="000000"/>
          <w:spacing w:val="-6"/>
          <w:szCs w:val="21"/>
          <w:highlight w:val="none"/>
          <w:u w:val="single"/>
          <w:lang w:val="en-US" w:eastAsia="zh-CN"/>
        </w:rPr>
        <w:t xml:space="preserve">投标人具有</w:t>
      </w:r>
      <w:r>
        <w:rPr>
          <w:rFonts w:hint="eastAsia" w:ascii="宋体" w:hAnsi="宋体" w:cs="宋体"/>
          <w:i/>
          <w:iCs/>
          <w:color w:val="000000"/>
          <w:szCs w:val="21"/>
          <w:highlight w:val="none"/>
          <w:u w:val="single"/>
        </w:rPr>
        <w:t xml:space="preserve">类似公租房运营管理或保障房管理服务业绩</w:t>
      </w: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rPr>
        <w:t xml:space="preserve">提供合同</w:t>
      </w:r>
      <w:r>
        <w:rPr>
          <w:rFonts w:hint="eastAsia" w:ascii="宋体" w:hAnsi="宋体" w:cs="宋体"/>
          <w:i/>
          <w:iCs/>
          <w:color w:val="000000"/>
          <w:szCs w:val="21"/>
          <w:highlight w:val="none"/>
          <w:u w:val="single"/>
          <w:lang w:val="en-US" w:eastAsia="zh-CN"/>
        </w:rPr>
        <w:t xml:space="preserve">原件</w:t>
      </w:r>
      <w:r>
        <w:rPr>
          <w:rFonts w:hint="eastAsia" w:ascii="宋体" w:hAnsi="宋体" w:cs="宋体"/>
          <w:i/>
          <w:iCs/>
          <w:color w:val="000000"/>
          <w:szCs w:val="21"/>
          <w:highlight w:val="none"/>
          <w:u w:val="single"/>
        </w:rPr>
        <w:t xml:space="preserve">扫描上传</w:t>
      </w:r>
      <w:r>
        <w:rPr>
          <w:rFonts w:hint="eastAsia" w:ascii="宋体" w:hAnsi="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eastAsia="zh-CN"/>
        </w:rPr>
      </w:r>
      <w:r/>
    </w:p>
    <w:p>
      <w:pPr>
        <w:pStyle w:val="893"/>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三、获取招标文件</w:t>
      </w:r>
      <w:bookmarkEnd w:id="18"/>
      <w:r/>
      <w:bookmarkEnd w:id="19"/>
      <w:r/>
      <w:bookmarkEnd w:id="20"/>
      <w:r/>
      <w:bookmarkEnd w:id="21"/>
      <w:r/>
      <w:bookmarkEnd w:id="22"/>
      <w:r>
        <w:rPr>
          <w:rFonts w:hint="eastAsia" w:ascii="宋体" w:hAnsi="宋体" w:cs="宋体"/>
          <w:b/>
          <w:bCs/>
          <w:color w:val="000000"/>
          <w:highlight w:val="none"/>
        </w:rPr>
      </w:r>
      <w:r/>
    </w:p>
    <w:p>
      <w:pPr>
        <w:pStyle w:val="893"/>
        <w:ind w:firstLine="420"/>
        <w:spacing w:line="360" w:lineRule="auto"/>
        <w:rPr>
          <w:rFonts w:hint="eastAsia" w:ascii="宋体" w:hAnsi="宋体" w:eastAsia="宋体" w:cs="宋体"/>
          <w:color w:val="000000"/>
          <w:highlight w:val="none"/>
        </w:rPr>
      </w:pPr>
      <w:r/>
      <w:bookmarkStart w:id="23" w:name="_Toc28359082"/>
      <w:r/>
      <w:bookmarkStart w:id="24" w:name="_Toc28359005"/>
      <w:r/>
      <w:bookmarkStart w:id="25" w:name="_Toc38985266"/>
      <w:r/>
      <w:bookmarkStart w:id="26" w:name="_Toc35393624"/>
      <w:r/>
      <w:bookmarkStart w:id="27" w:name="_Toc35393793"/>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时间：自招标文件公告发布之日起5个工作日。5个工作日后仍可下载招标文件，但不作为供应商权益受到损害的证明材料和依据。</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方式：“扬州市政府采购网”、“江苏省政府采购网”、“中国政府采购网”自行免费下载</w:t>
      </w:r>
      <w:r>
        <w:rPr>
          <w:rFonts w:hint="eastAsia" w:ascii="宋体" w:hAnsi="宋体" w:eastAsia="宋体" w:cs="宋体"/>
          <w:color w:val="000000"/>
          <w:sz w:val="21"/>
          <w:szCs w:val="21"/>
          <w:highlight w:val="none"/>
        </w:rPr>
      </w:r>
      <w:r/>
    </w:p>
    <w:p>
      <w:pPr>
        <w:pStyle w:val="893"/>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四、提交投标文件</w:t>
      </w:r>
      <w:bookmarkEnd w:id="23"/>
      <w:r/>
      <w:bookmarkEnd w:id="24"/>
      <w:r>
        <w:rPr>
          <w:rFonts w:hint="eastAsia" w:ascii="宋体" w:hAnsi="宋体" w:cs="宋体"/>
          <w:b/>
          <w:bCs/>
          <w:color w:val="000000"/>
          <w:highlight w:val="none"/>
        </w:rPr>
        <w:t xml:space="preserve">截止时间、开标时间和地点</w:t>
      </w:r>
      <w:bookmarkEnd w:id="25"/>
      <w:r/>
      <w:bookmarkEnd w:id="26"/>
      <w:r/>
      <w:bookmarkEnd w:id="27"/>
      <w:r>
        <w:rPr>
          <w:rFonts w:hint="eastAsia" w:ascii="宋体" w:hAnsi="宋体" w:cs="宋体"/>
          <w:b/>
          <w:bCs/>
          <w:color w:val="000000"/>
          <w:highlight w:val="none"/>
        </w:rPr>
      </w:r>
      <w:r/>
    </w:p>
    <w:p>
      <w:pPr>
        <w:pStyle w:val="893"/>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时间：</w:t>
      </w:r>
      <w:bookmarkStart w:id="28" w:name="XMTBJSR_2"/>
      <w:r>
        <w:rPr>
          <w:rFonts w:hint="eastAsia" w:ascii="宋体" w:hAnsi="宋体" w:cs="宋体"/>
          <w:bCs/>
          <w:color w:val="000000"/>
          <w:highlight w:val="none"/>
          <w:u w:val="none"/>
          <w:lang w:eastAsia="zh-CN"/>
        </w:rPr>
        <w:t xml:space="preserve">2026年</w:t>
      </w:r>
      <w:r>
        <w:rPr>
          <w:rFonts w:hint="eastAsia" w:ascii="宋体" w:hAnsi="宋体" w:cs="宋体"/>
          <w:bCs/>
          <w:color w:val="000000"/>
          <w:highlight w:val="none"/>
          <w:u w:val="none"/>
          <w:lang w:val="en-US" w:eastAsia="zh-CN"/>
        </w:rPr>
        <w:t xml:space="preserve">8</w:t>
      </w:r>
      <w:r>
        <w:rPr>
          <w:rFonts w:ascii="宋体" w:hAnsi="宋体" w:cs="宋体"/>
          <w:bCs/>
          <w:color w:val="000000"/>
          <w:highlight w:val="none"/>
          <w:u w:val="none"/>
        </w:rPr>
        <w:t xml:space="preserve">月</w:t>
      </w:r>
      <w:r>
        <w:rPr>
          <w:rFonts w:hint="eastAsia" w:ascii="宋体" w:hAnsi="宋体" w:cs="宋体"/>
          <w:bCs/>
          <w:color w:val="000000"/>
          <w:highlight w:val="none"/>
          <w:u w:val="none"/>
          <w:lang w:val="en-US" w:eastAsia="zh-CN"/>
        </w:rPr>
        <w:t xml:space="preserve">13</w:t>
      </w:r>
      <w:r>
        <w:rPr>
          <w:rFonts w:ascii="宋体" w:hAnsi="宋体" w:cs="宋体"/>
          <w:bCs/>
          <w:color w:val="000000"/>
          <w:highlight w:val="none"/>
          <w:u w:val="none"/>
        </w:rPr>
        <w:t xml:space="preserve">日9点30分</w:t>
      </w:r>
      <w:bookmarkEnd w:id="28"/>
      <w:r>
        <w:rPr>
          <w:rFonts w:hint="eastAsia" w:ascii="宋体" w:hAnsi="宋体" w:cs="宋体"/>
          <w:bCs/>
          <w:color w:val="000000"/>
          <w:highlight w:val="none"/>
        </w:rPr>
        <w:t xml:space="preserve">（北京时间）</w:t>
      </w:r>
      <w:r>
        <w:rPr>
          <w:rFonts w:ascii="宋体" w:hAnsi="宋体" w:cs="宋体"/>
          <w:bCs/>
          <w:color w:val="000000"/>
          <w:szCs w:val="21"/>
          <w:highlight w:val="none"/>
          <w:u w:val="single"/>
        </w:rPr>
      </w:r>
      <w:r/>
    </w:p>
    <w:p>
      <w:pPr>
        <w:pStyle w:val="893"/>
        <w:ind w:firstLine="420"/>
        <w:spacing w:line="360" w:lineRule="auto"/>
        <w:tabs>
          <w:tab w:val="left" w:pos="266" w:leader="none"/>
        </w:tabs>
        <w:rPr>
          <w:rFonts w:hint="eastAsia" w:ascii="宋体" w:hAnsi="宋体" w:cs="宋体"/>
          <w:color w:val="000000"/>
          <w:highlight w:val="none"/>
        </w:rPr>
      </w:pPr>
      <w:r/>
      <w:bookmarkStart w:id="29" w:name="_Toc35393625"/>
      <w:r/>
      <w:bookmarkStart w:id="30" w:name="_Toc35393794"/>
      <w:r/>
      <w:bookmarkStart w:id="31" w:name="_Toc28359007"/>
      <w:r/>
      <w:bookmarkStart w:id="32" w:name="_Toc28359084"/>
      <w:r/>
      <w:bookmarkStart w:id="33" w:name="_Toc38985267"/>
      <w:r>
        <w:rPr>
          <w:rFonts w:hint="eastAsia" w:ascii="宋体" w:hAnsi="宋体" w:cs="宋体"/>
          <w:color w:val="000000"/>
          <w:highlight w:val="none"/>
          <w:lang w:val="en-US" w:eastAsia="zh-CN"/>
        </w:rPr>
        <w:t xml:space="preserve">2.地点：“苏采云”政府采购交易系统。</w:t>
      </w:r>
      <w:r>
        <w:rPr>
          <w:rFonts w:hint="eastAsia" w:ascii="宋体" w:hAnsi="宋体" w:cs="宋体"/>
          <w:color w:val="000000"/>
          <w:highlight w:val="none"/>
        </w:rPr>
      </w:r>
      <w:r/>
    </w:p>
    <w:p>
      <w:pPr>
        <w:pStyle w:val="893"/>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五、公告期限</w:t>
      </w:r>
      <w:bookmarkEnd w:id="29"/>
      <w:r/>
      <w:bookmarkEnd w:id="30"/>
      <w:r/>
      <w:bookmarkEnd w:id="31"/>
      <w:r/>
      <w:bookmarkEnd w:id="32"/>
      <w:r/>
      <w:bookmarkEnd w:id="33"/>
      <w:r>
        <w:rPr>
          <w:rFonts w:hint="eastAsia" w:ascii="宋体" w:hAnsi="宋体" w:cs="宋体"/>
          <w:b/>
          <w:bCs/>
          <w:color w:val="000000"/>
          <w:highlight w:val="none"/>
        </w:rPr>
      </w:r>
      <w:r/>
    </w:p>
    <w:p>
      <w:pPr>
        <w:pStyle w:val="893"/>
        <w:ind w:firstLine="420"/>
        <w:spacing w:line="360" w:lineRule="auto"/>
        <w:rPr>
          <w:rFonts w:ascii="宋体" w:hAnsi="宋体" w:cs="宋体"/>
          <w:color w:val="000000"/>
          <w:highlight w:val="none"/>
        </w:rPr>
      </w:pPr>
      <w:r/>
      <w:bookmarkStart w:id="34" w:name="_Toc35393626"/>
      <w:r/>
      <w:bookmarkStart w:id="35" w:name="_Toc38985268"/>
      <w:r/>
      <w:bookmarkStart w:id="36" w:name="_Toc35393795"/>
      <w:r>
        <w:rPr>
          <w:rFonts w:hint="eastAsia" w:ascii="宋体" w:hAnsi="宋体" w:cs="宋体"/>
          <w:color w:val="000000"/>
          <w:highlight w:val="none"/>
        </w:rPr>
        <w:t xml:space="preserve">自本公告发布之日起5个工作日。</w:t>
      </w:r>
      <w:r>
        <w:rPr>
          <w:rFonts w:ascii="宋体" w:hAnsi="宋体" w:cs="宋体"/>
          <w:color w:val="000000"/>
          <w:highlight w:val="none"/>
        </w:rPr>
      </w:r>
      <w:r/>
    </w:p>
    <w:p>
      <w:pPr>
        <w:pStyle w:val="893"/>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六、其他补充事宜</w:t>
      </w:r>
      <w:bookmarkEnd w:id="34"/>
      <w:r/>
      <w:bookmarkEnd w:id="35"/>
      <w:r/>
      <w:bookmarkEnd w:id="36"/>
      <w:r>
        <w:rPr>
          <w:rFonts w:hint="eastAsia" w:ascii="宋体" w:hAnsi="宋体" w:cs="宋体"/>
          <w:b/>
          <w:bCs/>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潜在供应商访问政府采购管理交易系统（苏采云）的网络地址和方法：</w:t>
      </w:r>
      <w:r>
        <w:rPr>
          <w:rFonts w:hint="eastAsia" w:ascii="宋体" w:hAnsi="宋体" w:eastAsia="宋体" w:cs="宋体"/>
          <w:color w:val="000000"/>
          <w:sz w:val="21"/>
          <w:szCs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1"/>
          <w:szCs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000000"/>
          <w:sz w:val="21"/>
          <w:szCs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（3）“CA数字证书”的办理材料以及供应商操作手册详见：http://zfcg.yangzhou.gov.cn/zfcg/xzzx/202309/4d7de1f7865f4a2894fc22bc452f94d8.shtml。</w:t>
      </w:r>
      <w:r>
        <w:rPr>
          <w:rFonts w:hint="eastAsia" w:ascii="宋体" w:hAnsi="宋体" w:eastAsia="宋体" w:cs="宋体"/>
          <w:color w:val="000000"/>
          <w:sz w:val="21"/>
          <w:szCs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（4）潜在供应商访问“苏采云”系统的网络地址和方法：“苏采云”系统的网址：http://jszfcg.jsczt.cn/。</w:t>
      </w:r>
      <w:r>
        <w:rPr>
          <w:rFonts w:hint="eastAsia" w:ascii="宋体" w:hAnsi="宋体" w:eastAsia="宋体" w:cs="宋体"/>
          <w:color w:val="000000"/>
          <w:sz w:val="21"/>
          <w:szCs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1"/>
          <w:szCs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（6）招标代理机构（采购代理机构）将数据电文形式的采购文件加载至“苏采云”系统，供潜在供应商下载或者查阅。</w:t>
      </w:r>
      <w:r>
        <w:rPr>
          <w:rFonts w:hint="eastAsia" w:ascii="宋体" w:hAnsi="宋体" w:eastAsia="宋体" w:cs="宋体"/>
          <w:color w:val="000000"/>
          <w:sz w:val="21"/>
          <w:szCs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（7）苏采云系统使用谷歌浏览器参与不见面开标。</w:t>
      </w:r>
      <w:r>
        <w:rPr>
          <w:rFonts w:hint="eastAsia" w:ascii="宋体" w:hAnsi="宋体" w:eastAsia="宋体" w:cs="宋体"/>
          <w:color w:val="000000"/>
          <w:sz w:val="21"/>
          <w:szCs w:val="21"/>
          <w:highlight w:val="none"/>
        </w:rPr>
      </w:r>
      <w:r/>
    </w:p>
    <w:p>
      <w:pPr>
        <w:pStyle w:val="893"/>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.本次采购采用“政府采购管理交易系统（苏采云）”，招标、投标、评标和中标</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成交</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
          <w:bCs/>
          <w:color w:val="000000"/>
          <w:szCs w:val="21"/>
          <w:highlight w:val="none"/>
        </w:rPr>
      </w:r>
      <w:r/>
    </w:p>
    <w:p>
      <w:pPr>
        <w:pStyle w:val="893"/>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.供应商如确定参加</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，可自行下载采购文件及有关资料，按照《操作手册》进行注册，领取CA和办理电子签章，并按《操作手册》要求制作、上传电子投标文件，技术支持联系方式：13813140731。</w:t>
      </w:r>
      <w:r>
        <w:rPr>
          <w:rFonts w:hint="eastAsia" w:ascii="宋体" w:hAnsi="宋体" w:cs="宋体"/>
          <w:b/>
          <w:bCs/>
          <w:color w:val="000000"/>
          <w:szCs w:val="21"/>
          <w:highlight w:val="none"/>
        </w:rPr>
      </w:r>
      <w:r/>
    </w:p>
    <w:p>
      <w:pPr>
        <w:pStyle w:val="893"/>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.潜在供应商对采购文件</w:t>
      </w:r>
      <w:r>
        <w:rPr>
          <w:rFonts w:hint="eastAsia" w:ascii="宋体" w:hAnsi="宋体" w:cs="宋体"/>
          <w:b/>
          <w:color w:val="000000"/>
          <w:szCs w:val="21"/>
          <w:highlight w:val="none"/>
          <w:lang w:eastAsia="zh-CN"/>
        </w:rPr>
        <w:t xml:space="preserve">采购需求</w:t>
      </w:r>
      <w:r>
        <w:rPr>
          <w:rFonts w:hint="eastAsia" w:ascii="宋体" w:hAnsi="宋体" w:cs="宋体"/>
          <w:b/>
          <w:color w:val="000000"/>
          <w:szCs w:val="21"/>
          <w:highlight w:val="none"/>
        </w:rPr>
        <w:t xml:space="preserve">部分的询问、质疑请向采购人提出，由采购人负责答复。</w:t>
      </w:r>
      <w:r>
        <w:rPr>
          <w:rFonts w:hint="eastAsia" w:ascii="宋体" w:hAnsi="宋体" w:cs="宋体"/>
          <w:b/>
          <w:color w:val="000000"/>
          <w:szCs w:val="21"/>
          <w:highlight w:val="none"/>
        </w:rPr>
      </w:r>
      <w:r/>
    </w:p>
    <w:p>
      <w:pPr>
        <w:pStyle w:val="89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本次</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不收取保证金。</w:t>
      </w:r>
      <w:r>
        <w:rPr>
          <w:rFonts w:hint="eastAsia" w:ascii="宋体" w:hAnsi="宋体" w:cs="宋体"/>
          <w:bCs/>
          <w:color w:val="000000"/>
          <w:szCs w:val="21"/>
          <w:highlight w:val="none"/>
        </w:rPr>
      </w:r>
      <w:r/>
    </w:p>
    <w:p>
      <w:pPr>
        <w:pStyle w:val="893"/>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有关本次采购的事项若存在变动或修改，敬请及时关注“扬州市政府采购网”、“江苏省政府采购网”和“中国政府采购网”发布的信息。</w:t>
      </w:r>
      <w:r>
        <w:rPr>
          <w:rFonts w:hint="eastAsia" w:ascii="宋体" w:hAnsi="宋体" w:cs="宋体"/>
          <w:bCs/>
          <w:color w:val="000000"/>
          <w:szCs w:val="21"/>
          <w:highlight w:val="none"/>
        </w:rPr>
      </w:r>
      <w:r/>
    </w:p>
    <w:p>
      <w:pPr>
        <w:pStyle w:val="893"/>
        <w:ind w:firstLine="422"/>
        <w:spacing w:line="360" w:lineRule="auto"/>
        <w:rPr>
          <w:rFonts w:hint="eastAsia" w:ascii="宋体" w:hAnsi="宋体" w:cs="宋体"/>
          <w:bCs/>
          <w:color w:val="000000"/>
          <w:szCs w:val="21"/>
          <w:highlight w:val="none"/>
        </w:rPr>
      </w:pPr>
      <w:r>
        <w:rPr>
          <w:rFonts w:hint="eastAsia" w:ascii="宋体" w:hAnsi="宋体" w:cs="宋体"/>
          <w:b/>
          <w:i/>
          <w:iCs/>
          <w:color w:val="000000"/>
          <w:szCs w:val="21"/>
          <w:highlight w:val="none"/>
          <w:u w:val="single"/>
          <w:lang w:val="en-US" w:eastAsia="zh-CN"/>
        </w:rPr>
        <w:t xml:space="preserve">7.</w:t>
      </w:r>
      <w:r>
        <w:rPr>
          <w:rFonts w:hint="eastAsia" w:ascii="宋体" w:hAnsi="宋体" w:cs="宋体"/>
          <w:b/>
          <w:i/>
          <w:iCs/>
          <w:color w:val="000000"/>
          <w:szCs w:val="21"/>
          <w:highlight w:val="none"/>
          <w:u w:val="single"/>
        </w:rPr>
        <w:t xml:space="preserve">本项目</w:t>
      </w:r>
      <w:r>
        <w:rPr>
          <w:rFonts w:hint="eastAsia" w:ascii="宋体" w:hAnsi="宋体" w:cs="宋体"/>
          <w:b/>
          <w:i/>
          <w:iCs/>
          <w:color w:val="000000"/>
          <w:szCs w:val="21"/>
          <w:highlight w:val="none"/>
          <w:u w:val="single"/>
          <w:lang w:val="en-US" w:eastAsia="zh-CN"/>
        </w:rPr>
        <w:t xml:space="preserve">采购</w:t>
      </w:r>
      <w:r>
        <w:rPr>
          <w:rFonts w:hint="eastAsia" w:ascii="宋体" w:hAnsi="宋体" w:cs="宋体"/>
          <w:b/>
          <w:i/>
          <w:iCs/>
          <w:color w:val="000000"/>
          <w:szCs w:val="21"/>
          <w:highlight w:val="none"/>
          <w:u w:val="single"/>
        </w:rPr>
        <w:t xml:space="preserve">文件中所有斜体下划线部分为实质性条款，如不满足，则为无效</w:t>
      </w:r>
      <w:r>
        <w:rPr>
          <w:rFonts w:hint="eastAsia" w:ascii="宋体" w:hAnsi="宋体" w:cs="宋体"/>
          <w:b/>
          <w:i/>
          <w:iCs/>
          <w:color w:val="000000"/>
          <w:szCs w:val="21"/>
          <w:highlight w:val="none"/>
          <w:u w:val="single"/>
          <w:lang w:val="en-US" w:eastAsia="zh-CN"/>
        </w:rPr>
        <w:t xml:space="preserve">投标</w:t>
      </w:r>
      <w:r>
        <w:rPr>
          <w:rFonts w:hint="eastAsia" w:ascii="宋体" w:hAnsi="宋体" w:cs="宋体"/>
          <w:b/>
          <w:i/>
          <w:iCs/>
          <w:color w:val="000000"/>
          <w:szCs w:val="21"/>
          <w:highlight w:val="none"/>
          <w:u w:val="single"/>
        </w:rPr>
        <w:t xml:space="preserve">。</w:t>
      </w:r>
      <w:r>
        <w:rPr>
          <w:rFonts w:hint="eastAsia" w:ascii="宋体" w:hAnsi="宋体" w:cs="宋体"/>
          <w:bCs/>
          <w:color w:val="000000"/>
          <w:szCs w:val="21"/>
          <w:highlight w:val="none"/>
        </w:rPr>
      </w:r>
      <w:r/>
    </w:p>
    <w:p>
      <w:pPr>
        <w:pStyle w:val="893"/>
        <w:ind w:firstLine="420"/>
        <w:spacing w:line="360" w:lineRule="auto"/>
        <w:rPr>
          <w:rFonts w:hint="eastAsia" w:ascii="宋体" w:hAnsi="宋体" w:cs="宋体"/>
          <w:bCs/>
          <w:i/>
          <w:iCs/>
          <w:color w:val="000000"/>
          <w:szCs w:val="21"/>
          <w:highlight w:val="none"/>
          <w:u w:val="single"/>
        </w:rPr>
      </w:pPr>
      <w:r>
        <w:rPr>
          <w:rFonts w:hint="eastAsia" w:ascii="宋体" w:hAnsi="宋体" w:cs="宋体"/>
          <w:bCs/>
          <w:i/>
          <w:iCs/>
          <w:color w:val="000000"/>
          <w:szCs w:val="21"/>
          <w:highlight w:val="none"/>
          <w:u w:val="single"/>
          <w:lang w:val="en-US" w:eastAsia="zh-CN"/>
        </w:rPr>
        <w:t xml:space="preserve">8</w:t>
      </w:r>
      <w:r>
        <w:rPr>
          <w:rFonts w:hint="eastAsia" w:ascii="宋体" w:hAnsi="宋体" w:cs="宋体"/>
          <w:bCs/>
          <w:i/>
          <w:iCs/>
          <w:color w:val="000000"/>
          <w:szCs w:val="21"/>
          <w:highlight w:val="none"/>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rPr>
          <w:rFonts w:hint="eastAsia" w:ascii="宋体" w:hAnsi="宋体" w:cs="宋体"/>
          <w:bCs/>
          <w:i/>
          <w:iCs/>
          <w:color w:val="000000"/>
          <w:szCs w:val="21"/>
          <w:highlight w:val="none"/>
          <w:u w:val="single"/>
        </w:rPr>
      </w:r>
      <w:r/>
    </w:p>
    <w:p>
      <w:pPr>
        <w:pStyle w:val="893"/>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9</w:t>
      </w:r>
      <w:r>
        <w:rPr>
          <w:rFonts w:hint="eastAsia" w:ascii="宋体" w:hAnsi="宋体" w:eastAsia="宋体" w:cs="宋体"/>
          <w:bCs/>
          <w:color w:val="000000"/>
          <w:highlight w:val="none"/>
        </w:rPr>
        <w:t xml:space="preserve">.为落实好政府采购履约资金扶持政策，中标/成交供应商可凭政府采购合同办理融资贷款，详见江苏政府采购网“政采贷”专栏。</w:t>
      </w:r>
      <w:r>
        <w:rPr>
          <w:rFonts w:hint="eastAsia" w:ascii="宋体" w:hAnsi="宋体" w:eastAsia="宋体" w:cs="宋体"/>
          <w:bCs/>
          <w:color w:val="000000"/>
          <w:highlight w:val="none"/>
        </w:rPr>
      </w:r>
      <w:r/>
    </w:p>
    <w:p>
      <w:pPr>
        <w:pStyle w:val="893"/>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10</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hint="eastAsia" w:ascii="宋体" w:hAnsi="宋体" w:eastAsia="宋体" w:cs="宋体"/>
          <w:bCs/>
          <w:color w:val="000000"/>
          <w:highlight w:val="none"/>
          <w:lang w:val="en-US" w:eastAsia="zh-CN"/>
        </w:rPr>
        <w:t xml:space="preserve">应当</w:t>
      </w:r>
      <w:r>
        <w:rPr>
          <w:rFonts w:hint="eastAsia" w:ascii="宋体" w:hAnsi="宋体" w:eastAsia="宋体" w:cs="宋体"/>
          <w:bCs/>
          <w:color w:val="000000"/>
          <w:highlight w:val="none"/>
        </w:rPr>
        <w:t xml:space="preserve">优先采购节能产品、环境标志产品。</w:t>
      </w:r>
      <w:r>
        <w:rPr>
          <w:rFonts w:hint="eastAsia" w:ascii="宋体" w:hAnsi="宋体" w:eastAsia="宋体" w:cs="宋体"/>
          <w:bCs/>
          <w:color w:val="000000"/>
          <w:highlight w:val="none"/>
        </w:rPr>
      </w:r>
      <w:r/>
    </w:p>
    <w:p>
      <w:pPr>
        <w:pStyle w:val="893"/>
        <w:ind w:firstLine="525"/>
        <w:spacing w:line="360" w:lineRule="auto"/>
        <w:rPr>
          <w:rFonts w:ascii="宋体" w:hAnsi="宋体" w:cs="宋体"/>
          <w:color w:val="000000"/>
          <w:szCs w:val="21"/>
          <w:highlight w:val="none"/>
        </w:rPr>
      </w:pPr>
      <w:r>
        <w:rPr>
          <w:rFonts w:hint="eastAsia" w:ascii="宋体" w:hAnsi="宋体" w:eastAsia="宋体" w:cs="宋体"/>
          <w:bCs/>
          <w:color w:val="000000"/>
          <w:highlight w:val="none"/>
          <w:lang w:val="en-US" w:eastAsia="zh-CN"/>
        </w:rPr>
        <w:t xml:space="preserve">11</w:t>
      </w:r>
      <w:r>
        <w:rPr>
          <w:rFonts w:hint="eastAsia" w:ascii="宋体" w:hAnsi="宋体" w:eastAsia="宋体" w:cs="宋体"/>
          <w:bCs/>
          <w:color w:val="000000"/>
          <w:highlight w:val="none"/>
        </w:rPr>
        <w:t xml:space="preserve">.供应商对于所投产品的包装应按照“财办库〔2020〕123号《关于印发《商品包装政府采购需求标准（试行）》、《快递包装政府采购需求标准（试行）》的通知》”执行。</w:t>
      </w:r>
      <w:r>
        <w:rPr>
          <w:rFonts w:ascii="宋体" w:hAnsi="宋体" w:cs="宋体"/>
          <w:color w:val="000000"/>
          <w:szCs w:val="21"/>
          <w:highlight w:val="none"/>
        </w:rPr>
      </w:r>
      <w:r/>
    </w:p>
    <w:p>
      <w:pPr>
        <w:pStyle w:val="893"/>
        <w:spacing w:line="360" w:lineRule="auto"/>
        <w:tabs>
          <w:tab w:val="left" w:pos="266" w:leader="none"/>
        </w:tabs>
        <w:rPr>
          <w:rFonts w:hint="eastAsia" w:ascii="宋体" w:hAnsi="宋体" w:cs="宋体"/>
          <w:b/>
          <w:bCs/>
          <w:color w:val="000000"/>
          <w:highlight w:val="none"/>
        </w:rPr>
      </w:pPr>
      <w:r/>
      <w:bookmarkStart w:id="37" w:name="_Toc28359008"/>
      <w:r/>
      <w:bookmarkStart w:id="38" w:name="_Toc35393627"/>
      <w:r/>
      <w:bookmarkStart w:id="39" w:name="_Toc38985269"/>
      <w:r/>
      <w:bookmarkStart w:id="40" w:name="_Toc35393796"/>
      <w:r/>
      <w:bookmarkStart w:id="41" w:name="_Toc28359085"/>
      <w:r>
        <w:rPr>
          <w:rFonts w:hint="eastAsia" w:ascii="宋体" w:hAnsi="宋体" w:cs="宋体"/>
          <w:b/>
          <w:bCs/>
          <w:color w:val="000000"/>
          <w:highlight w:val="none"/>
        </w:rPr>
        <w:t xml:space="preserve">七、本次招标联系方式</w:t>
      </w:r>
      <w:bookmarkEnd w:id="37"/>
      <w:r/>
      <w:bookmarkEnd w:id="38"/>
      <w:r/>
      <w:bookmarkEnd w:id="39"/>
      <w:r/>
      <w:bookmarkEnd w:id="40"/>
      <w:r/>
      <w:bookmarkEnd w:id="41"/>
      <w:r>
        <w:rPr>
          <w:rFonts w:hint="eastAsia" w:ascii="宋体" w:hAnsi="宋体" w:cs="宋体"/>
          <w:b/>
          <w:bCs/>
          <w:color w:val="000000"/>
          <w:highlight w:val="none"/>
        </w:rPr>
      </w:r>
      <w:r/>
    </w:p>
    <w:p>
      <w:pPr>
        <w:pStyle w:val="893"/>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893"/>
        <w:ind w:firstLine="420"/>
        <w:jc w:val="left"/>
        <w:spacing w:line="360" w:lineRule="auto"/>
        <w:rPr>
          <w:rFonts w:hint="eastAsia" w:ascii="宋体" w:hAnsi="宋体" w:eastAsia="宋体" w:cs="宋体"/>
          <w:color w:val="000000"/>
          <w:highlight w:val="none"/>
          <w:u w:val="none"/>
          <w:lang w:eastAsia="zh-CN"/>
        </w:rPr>
      </w:pPr>
      <w:r>
        <w:rPr>
          <w:rFonts w:hint="eastAsia" w:ascii="宋体" w:hAnsi="宋体" w:cs="宋体"/>
          <w:color w:val="000000"/>
          <w:highlight w:val="none"/>
          <w:u w:val="none"/>
        </w:rPr>
        <w:t xml:space="preserve">名 称：</w:t>
      </w:r>
      <w:r>
        <w:rPr>
          <w:rFonts w:hint="eastAsia" w:ascii="宋体" w:hAnsi="宋体" w:cs="宋体"/>
          <w:color w:val="000000"/>
          <w:highlight w:val="none"/>
          <w:u w:val="none"/>
          <w:lang w:eastAsia="zh-CN"/>
        </w:rPr>
        <w:t xml:space="preserve">扬州市保障性住房发展中心</w:t>
      </w:r>
      <w:r>
        <w:rPr>
          <w:rFonts w:hint="eastAsia" w:ascii="宋体" w:hAnsi="宋体" w:eastAsia="宋体" w:cs="宋体"/>
          <w:color w:val="000000"/>
          <w:highlight w:val="none"/>
          <w:u w:val="none"/>
          <w:lang w:eastAsia="zh-CN"/>
        </w:rPr>
      </w:r>
      <w:r/>
    </w:p>
    <w:p>
      <w:pPr>
        <w:pStyle w:val="893"/>
        <w:ind w:firstLine="420"/>
        <w:jc w:val="left"/>
        <w:spacing w:line="360" w:lineRule="auto"/>
        <w:rPr>
          <w:rFonts w:hint="eastAsia" w:ascii="宋体" w:hAnsi="宋体" w:cs="宋体"/>
          <w:color w:val="000000"/>
          <w:highlight w:val="none"/>
          <w:u w:val="none"/>
        </w:rPr>
      </w:pPr>
      <w:r>
        <w:rPr>
          <w:rFonts w:hint="eastAsia" w:ascii="宋体" w:hAnsi="宋体" w:cs="宋体"/>
          <w:color w:val="000000"/>
          <w:highlight w:val="none"/>
          <w:u w:val="none"/>
        </w:rPr>
        <w:t xml:space="preserve">地 址：观潮路</w:t>
      </w:r>
      <w:r>
        <w:rPr>
          <w:rFonts w:ascii="宋体" w:hAnsi="宋体" w:cs="宋体"/>
          <w:color w:val="000000"/>
          <w:highlight w:val="none"/>
          <w:u w:val="none"/>
        </w:rPr>
        <w:t xml:space="preserve">719号</w:t>
      </w:r>
      <w:r>
        <w:rPr>
          <w:rFonts w:hint="eastAsia" w:ascii="宋体" w:hAnsi="宋体" w:cs="宋体"/>
          <w:color w:val="000000"/>
          <w:highlight w:val="none"/>
          <w:u w:val="none"/>
        </w:rPr>
      </w:r>
      <w:r/>
    </w:p>
    <w:p>
      <w:pPr>
        <w:pStyle w:val="893"/>
        <w:ind w:firstLine="420"/>
        <w:jc w:val="left"/>
        <w:spacing w:line="360" w:lineRule="auto"/>
        <w:rPr>
          <w:rFonts w:hint="eastAsia" w:ascii="宋体" w:hAnsi="宋体" w:cs="宋体"/>
          <w:color w:val="000000"/>
          <w:highlight w:val="none"/>
          <w:u w:val="none"/>
        </w:rPr>
      </w:pPr>
      <w:r>
        <w:rPr>
          <w:rFonts w:hint="eastAsia" w:ascii="宋体" w:hAnsi="宋体" w:cs="宋体"/>
          <w:color w:val="000000"/>
          <w:highlight w:val="none"/>
          <w:u w:val="none"/>
        </w:rPr>
        <w:t xml:space="preserve">联系人：</w:t>
      </w:r>
      <w:r>
        <w:rPr>
          <w:rFonts w:hint="eastAsia" w:ascii="宋体" w:hAnsi="宋体" w:cs="宋体"/>
          <w:color w:val="000000"/>
          <w:highlight w:val="none"/>
          <w:u w:val="none"/>
          <w:lang w:val="en-US" w:eastAsia="zh-CN"/>
        </w:rPr>
        <w:t xml:space="preserve"> 曹学峰  </w:t>
      </w:r>
      <w:r>
        <w:rPr>
          <w:rFonts w:hint="eastAsia" w:ascii="宋体" w:hAnsi="宋体" w:cs="宋体"/>
          <w:color w:val="000000"/>
          <w:highlight w:val="none"/>
          <w:u w:val="none"/>
        </w:rPr>
        <w:t xml:space="preserve">陈娟</w:t>
      </w:r>
      <w:r>
        <w:rPr>
          <w:rFonts w:hint="eastAsia" w:ascii="宋体" w:hAnsi="宋体" w:cs="宋体"/>
          <w:color w:val="000000"/>
          <w:highlight w:val="none"/>
          <w:u w:val="none"/>
        </w:rPr>
      </w:r>
      <w:r/>
    </w:p>
    <w:p>
      <w:pPr>
        <w:pStyle w:val="893"/>
        <w:ind w:firstLine="420"/>
        <w:jc w:val="left"/>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联系方式：</w:t>
      </w:r>
      <w:bookmarkStart w:id="42" w:name="_Toc28359086"/>
      <w:r/>
      <w:bookmarkStart w:id="43" w:name="_Toc28359009"/>
      <w:r>
        <w:rPr>
          <w:rFonts w:hint="eastAsia" w:ascii="宋体" w:hAnsi="宋体" w:cs="宋体"/>
          <w:color w:val="000000"/>
          <w:highlight w:val="none"/>
          <w:u w:val="none"/>
          <w:lang w:val="en-US" w:eastAsia="zh-CN"/>
        </w:rPr>
        <w:t xml:space="preserve">0514-</w:t>
      </w:r>
      <w:r>
        <w:rPr>
          <w:rFonts w:ascii="宋体" w:hAnsi="宋体" w:cs="宋体"/>
          <w:color w:val="000000"/>
          <w:highlight w:val="none"/>
          <w:u w:val="none"/>
        </w:rPr>
        <w:t xml:space="preserve">87219095</w:t>
      </w:r>
      <w:r>
        <w:rPr>
          <w:rFonts w:hint="eastAsia" w:ascii="宋体" w:hAnsi="宋体" w:cs="宋体"/>
          <w:color w:val="000000"/>
          <w:highlight w:val="none"/>
          <w:u w:val="singl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bookmarkEnd w:id="42"/>
      <w:r/>
      <w:bookmarkEnd w:id="43"/>
      <w:r/>
      <w:bookmarkStart w:id="44" w:name="_Toc28359010"/>
      <w:r/>
      <w:bookmarkStart w:id="45" w:name="_Toc28359087"/>
      <w:r>
        <w:rPr>
          <w:rFonts w:hint="eastAsia" w:ascii="宋体" w:hAnsi="宋体" w:eastAsia="宋体" w:cs="宋体"/>
          <w:color w:val="000000"/>
          <w:highlight w:val="none"/>
        </w:rPr>
        <w:t xml:space="preserve">2、采购代理机构信息</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名 称：江苏时代投资咨询有限公司</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szCs w:val="21"/>
          <w:highlight w:val="none"/>
          <w:u w:val="none"/>
        </w:rPr>
      </w:pPr>
      <w:r>
        <w:rPr>
          <w:rFonts w:hint="eastAsia" w:ascii="宋体" w:hAnsi="宋体" w:eastAsia="宋体" w:cs="宋体"/>
          <w:color w:val="000000"/>
          <w:highlight w:val="none"/>
          <w:u w:val="none"/>
        </w:rPr>
        <w:t xml:space="preserve">地</w:t>
      </w:r>
      <w:r>
        <w:rPr>
          <w:rFonts w:hint="eastAsia" w:ascii="宋体" w:hAnsi="宋体" w:eastAsia="宋体" w:cs="宋体"/>
          <w:color w:val="000000"/>
          <w:highlight w:val="none"/>
          <w:u w:val="none"/>
          <w:lang w:val="en-US" w:eastAsia="zh-CN"/>
        </w:rPr>
        <w:t xml:space="preserve"> </w:t>
      </w:r>
      <w:r>
        <w:rPr>
          <w:rFonts w:hint="eastAsia" w:ascii="宋体" w:hAnsi="宋体" w:eastAsia="宋体" w:cs="宋体"/>
          <w:color w:val="000000"/>
          <w:highlight w:val="none"/>
          <w:u w:val="none"/>
        </w:rPr>
        <w:t xml:space="preserve">址：扬州市</w:t>
      </w:r>
      <w:r>
        <w:rPr>
          <w:rFonts w:hint="eastAsia" w:ascii="宋体" w:hAnsi="宋体" w:cs="宋体"/>
          <w:color w:val="000000"/>
          <w:highlight w:val="none"/>
          <w:u w:val="none"/>
          <w:lang w:val="en-US" w:eastAsia="zh-CN"/>
        </w:rPr>
        <w:t xml:space="preserve">广陵区</w:t>
      </w:r>
      <w:r>
        <w:rPr>
          <w:rFonts w:hint="eastAsia" w:ascii="宋体" w:hAnsi="宋体" w:eastAsia="宋体" w:cs="宋体"/>
          <w:color w:val="000000"/>
          <w:highlight w:val="none"/>
          <w:u w:val="none"/>
        </w:rPr>
        <w:t xml:space="preserve">汶河</w:t>
      </w:r>
      <w:r>
        <w:rPr>
          <w:rFonts w:hint="eastAsia" w:ascii="宋体" w:hAnsi="宋体" w:eastAsia="宋体" w:cs="宋体"/>
          <w:color w:val="000000"/>
          <w:szCs w:val="21"/>
          <w:highlight w:val="none"/>
          <w:u w:val="none"/>
        </w:rPr>
        <w:t xml:space="preserve">北路65号</w:t>
      </w:r>
      <w:r>
        <w:rPr>
          <w:rFonts w:hint="eastAsia" w:ascii="宋体" w:hAnsi="宋体" w:cs="宋体"/>
          <w:color w:val="000000"/>
          <w:szCs w:val="21"/>
          <w:highlight w:val="none"/>
          <w:u w:val="none"/>
          <w:lang w:val="en-US" w:eastAsia="zh-CN"/>
        </w:rPr>
        <w:t xml:space="preserve">二</w:t>
      </w:r>
      <w:r>
        <w:rPr>
          <w:rFonts w:hint="eastAsia" w:ascii="宋体" w:hAnsi="宋体" w:eastAsia="宋体" w:cs="宋体"/>
          <w:color w:val="000000"/>
          <w:szCs w:val="21"/>
          <w:highlight w:val="none"/>
          <w:u w:val="none"/>
        </w:rPr>
        <w:t xml:space="preserve">楼</w:t>
      </w:r>
      <w:r>
        <w:rPr>
          <w:rFonts w:hint="eastAsia" w:ascii="宋体" w:hAnsi="宋体" w:eastAsia="宋体" w:cs="宋体"/>
          <w:color w:val="000000"/>
          <w:szCs w:val="21"/>
          <w:highlight w:val="none"/>
          <w:u w:val="none"/>
        </w:rPr>
      </w:r>
      <w:r/>
    </w:p>
    <w:p>
      <w:pPr>
        <w:pStyle w:val="893"/>
        <w:ind w:firstLine="420"/>
        <w:keepLines w:val="0"/>
        <w:keepNext w:val="0"/>
        <w:pageBreakBefore w:val="0"/>
        <w:spacing w:line="360" w:lineRule="auto"/>
        <w:widowControl w:val="off"/>
        <w:rPr>
          <w:rFonts w:hint="eastAsia" w:ascii="宋体" w:hAnsi="宋体" w:eastAsia="宋体" w:cs="宋体"/>
          <w:color w:val="000000"/>
          <w:szCs w:val="21"/>
          <w:highlight w:val="none"/>
          <w:u w:val="none"/>
        </w:rPr>
      </w:pPr>
      <w:r/>
      <w:bookmarkStart w:id="46" w:name="_Toc35393639"/>
      <w:r/>
      <w:bookmarkStart w:id="47" w:name="_Toc35393808"/>
      <w:r/>
      <w:bookmarkStart w:id="48" w:name="_Toc28359021"/>
      <w:r/>
      <w:bookmarkStart w:id="49" w:name="_Toc28359098"/>
      <w:r>
        <w:rPr>
          <w:rFonts w:hint="eastAsia" w:ascii="宋体" w:hAnsi="宋体" w:eastAsia="宋体" w:cs="宋体"/>
          <w:color w:val="000000"/>
          <w:szCs w:val="21"/>
          <w:highlight w:val="none"/>
          <w:u w:val="none"/>
        </w:rPr>
        <w:t xml:space="preserve">联系人：林露</w:t>
      </w:r>
      <w:r>
        <w:rPr>
          <w:rFonts w:hint="eastAsia" w:ascii="宋体" w:hAnsi="宋体" w:cs="宋体"/>
          <w:color w:val="000000"/>
          <w:szCs w:val="21"/>
          <w:highlight w:val="none"/>
          <w:u w:val="none"/>
          <w:lang w:eastAsia="zh-CN"/>
        </w:rPr>
        <w:t xml:space="preserve">、</w:t>
      </w:r>
      <w:r>
        <w:rPr>
          <w:rFonts w:hint="eastAsia" w:ascii="宋体" w:hAnsi="宋体" w:eastAsia="宋体" w:cs="宋体"/>
          <w:color w:val="000000"/>
          <w:szCs w:val="21"/>
          <w:highlight w:val="none"/>
          <w:u w:val="none"/>
        </w:rPr>
        <w:t xml:space="preserve">杨小新</w:t>
      </w:r>
      <w:r>
        <w:rPr>
          <w:rFonts w:hint="eastAsia" w:ascii="宋体" w:hAnsi="宋体" w:eastAsia="宋体" w:cs="宋体"/>
          <w:color w:val="000000"/>
          <w:szCs w:val="21"/>
          <w:highlight w:val="none"/>
          <w:u w:val="none"/>
        </w:rPr>
      </w:r>
      <w:r/>
    </w:p>
    <w:p>
      <w:pPr>
        <w:pStyle w:val="893"/>
        <w:ind w:firstLine="420"/>
        <w:keepLines w:val="0"/>
        <w:keepNext w:val="0"/>
        <w:pageBreakBefore w:val="0"/>
        <w:spacing w:line="360" w:lineRule="auto"/>
        <w:widowControl w:val="off"/>
        <w:rPr>
          <w:rFonts w:hint="eastAsia" w:ascii="宋体" w:hAnsi="宋体" w:eastAsia="宋体" w:cs="宋体"/>
          <w:color w:val="000000"/>
          <w:szCs w:val="21"/>
          <w:highlight w:val="none"/>
          <w:u w:val="none"/>
        </w:rPr>
      </w:pPr>
      <w:r>
        <w:rPr>
          <w:rFonts w:hint="eastAsia" w:ascii="宋体" w:hAnsi="宋体" w:eastAsia="宋体" w:cs="宋体"/>
          <w:color w:val="000000"/>
          <w:szCs w:val="21"/>
          <w:highlight w:val="none"/>
          <w:u w:val="none"/>
        </w:rPr>
        <w:t xml:space="preserve">联系方式：18652792880</w:t>
      </w:r>
      <w:r>
        <w:rPr>
          <w:rFonts w:hint="eastAsia" w:ascii="宋体" w:hAnsi="宋体" w:cs="宋体"/>
          <w:color w:val="000000"/>
          <w:szCs w:val="21"/>
          <w:highlight w:val="none"/>
          <w:u w:val="none"/>
          <w:lang w:eastAsia="zh-CN"/>
        </w:rPr>
        <w:t xml:space="preserve">、</w:t>
      </w:r>
      <w:r>
        <w:rPr>
          <w:rFonts w:hint="eastAsia" w:ascii="宋体" w:hAnsi="宋体" w:eastAsia="宋体" w:cs="宋体"/>
          <w:color w:val="000000"/>
          <w:szCs w:val="21"/>
          <w:highlight w:val="none"/>
          <w:u w:val="none"/>
        </w:rPr>
        <w:t xml:space="preserve">18652798268</w:t>
      </w:r>
      <w:bookmarkEnd w:id="44"/>
      <w:r/>
      <w:bookmarkEnd w:id="45"/>
      <w:r/>
      <w:bookmarkEnd w:id="46"/>
      <w:r/>
      <w:bookmarkEnd w:id="47"/>
      <w:r/>
      <w:bookmarkEnd w:id="48"/>
      <w:r/>
      <w:bookmarkEnd w:id="49"/>
      <w:r>
        <w:rPr>
          <w:rFonts w:hint="eastAsia" w:ascii="宋体" w:hAnsi="宋体" w:eastAsia="宋体" w:cs="宋体"/>
          <w:color w:val="000000"/>
          <w:szCs w:val="21"/>
          <w:highlight w:val="none"/>
          <w:u w:val="none"/>
        </w:rPr>
      </w:r>
      <w:r/>
    </w:p>
    <w:p>
      <w:pPr>
        <w:pStyle w:val="893"/>
        <w:ind w:firstLine="420"/>
        <w:keepLines w:val="0"/>
        <w:keepNext w:val="0"/>
        <w:pageBreakBefore w:val="0"/>
        <w:spacing w:line="360" w:lineRule="auto"/>
        <w:widowControl w:val="off"/>
        <w:rPr>
          <w:color w:val="000000"/>
          <w:highlight w:val="none"/>
        </w:rPr>
      </w:pPr>
      <w:r>
        <w:rPr>
          <w:color w:val="000000"/>
          <w:highlight w:val="none"/>
        </w:rPr>
        <w:br w:type="page" w:clear="all"/>
      </w:r>
      <w:r>
        <w:rPr>
          <w:color w:val="000000"/>
          <w:highlight w:val="none"/>
        </w:rPr>
      </w:r>
      <w:r/>
    </w:p>
    <w:p>
      <w:pPr>
        <w:pStyle w:val="893"/>
        <w:jc w:val="center"/>
        <w:rPr>
          <w:rFonts w:hint="eastAsia" w:ascii="宋体" w:hAnsi="宋体" w:eastAsia="宋体" w:cs="Times New Roman"/>
          <w:b/>
          <w:bCs/>
          <w:color w:val="000000"/>
          <w:sz w:val="44"/>
          <w:szCs w:val="44"/>
          <w:highlight w:val="none"/>
        </w:rPr>
        <w:outlineLvl w:val="0"/>
      </w:pPr>
      <w:r/>
      <w:bookmarkStart w:id="50" w:name="_Toc28806"/>
      <w:r/>
      <w:bookmarkStart w:id="51" w:name="_Toc31422"/>
      <w:r>
        <w:rPr>
          <w:rFonts w:hint="eastAsia" w:ascii="宋体" w:hAnsi="宋体" w:eastAsia="宋体" w:cs="Times New Roman"/>
          <w:b/>
          <w:bCs/>
          <w:color w:val="000000"/>
          <w:sz w:val="44"/>
          <w:szCs w:val="44"/>
          <w:highlight w:val="none"/>
        </w:rPr>
        <w:t xml:space="preserve">第二章 投标人须知</w:t>
      </w:r>
      <w:bookmarkEnd w:id="2"/>
      <w:r/>
      <w:bookmarkEnd w:id="50"/>
      <w:r/>
      <w:bookmarkEnd w:id="51"/>
      <w:r>
        <w:rPr>
          <w:rFonts w:hint="eastAsia" w:ascii="宋体" w:hAnsi="宋体" w:eastAsia="宋体" w:cs="Times New Roman"/>
          <w:b/>
          <w:bCs/>
          <w:color w:val="000000"/>
          <w:sz w:val="44"/>
          <w:szCs w:val="44"/>
          <w:highlight w:val="none"/>
        </w:rPr>
      </w:r>
      <w:r/>
    </w:p>
    <w:p>
      <w:pPr>
        <w:pStyle w:val="933"/>
        <w:ind w:firstLine="422"/>
        <w:spacing w:before="0" w:after="0" w:line="360" w:lineRule="auto"/>
        <w:rPr>
          <w:rFonts w:ascii="宋体" w:hAnsi="宋体" w:eastAsia="宋体"/>
          <w:bCs w:val="0"/>
          <w:color w:val="000000"/>
          <w:sz w:val="21"/>
          <w:szCs w:val="21"/>
          <w:highlight w:val="none"/>
        </w:rPr>
        <w:outlineLvl w:val="9"/>
      </w:pPr>
      <w:r/>
      <w:bookmarkStart w:id="52" w:name="_Toc458694821"/>
      <w:r/>
      <w:bookmarkStart w:id="53" w:name="_Toc513029204"/>
      <w:r/>
      <w:bookmarkStart w:id="54" w:name="_Toc20823276"/>
      <w:r/>
      <w:bookmarkStart w:id="55" w:name="_Toc16938520"/>
      <w:r>
        <w:rPr>
          <w:rFonts w:ascii="宋体" w:hAnsi="宋体" w:eastAsia="宋体"/>
          <w:bCs w:val="0"/>
          <w:color w:val="000000"/>
          <w:sz w:val="21"/>
          <w:szCs w:val="21"/>
          <w:highlight w:val="none"/>
        </w:rPr>
        <w:t xml:space="preserve">1</w:t>
      </w:r>
      <w:bookmarkEnd w:id="52"/>
      <w:r>
        <w:rPr>
          <w:rFonts w:hint="eastAsia" w:ascii="宋体" w:hAnsi="宋体" w:eastAsia="宋体"/>
          <w:bCs w:val="0"/>
          <w:color w:val="000000"/>
          <w:sz w:val="21"/>
          <w:szCs w:val="21"/>
          <w:highlight w:val="none"/>
        </w:rPr>
        <w:t xml:space="preserve">、招标方式</w:t>
      </w:r>
      <w:bookmarkEnd w:id="53"/>
      <w:r/>
      <w:bookmarkEnd w:id="54"/>
      <w:r/>
      <w:bookmarkEnd w:id="55"/>
      <w:r>
        <w:rPr>
          <w:rFonts w:ascii="宋体" w:hAnsi="宋体" w:eastAsia="宋体"/>
          <w:bCs w:val="0"/>
          <w:color w:val="000000"/>
          <w:sz w:val="21"/>
          <w:szCs w:val="21"/>
          <w:highlight w:val="none"/>
        </w:rPr>
      </w:r>
      <w:r/>
    </w:p>
    <w:p>
      <w:pPr>
        <w:pStyle w:val="893"/>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1.1 本次招标采取公开招标方式，本招标文件仅适用于</w:t>
      </w:r>
      <w:r>
        <w:rPr>
          <w:rFonts w:hint="eastAsia" w:ascii="宋体" w:hAnsi="宋体"/>
          <w:color w:val="000000"/>
          <w:szCs w:val="21"/>
          <w:highlight w:val="none"/>
          <w:lang w:val="en-US" w:eastAsia="zh-CN"/>
        </w:rPr>
        <w:t xml:space="preserve">招标公告中所述项目</w:t>
      </w:r>
      <w:r>
        <w:rPr>
          <w:rFonts w:hint="eastAsia" w:ascii="宋体" w:hAnsi="宋体"/>
          <w:color w:val="000000"/>
          <w:szCs w:val="21"/>
          <w:highlight w:val="none"/>
        </w:rPr>
        <w:t xml:space="preserve">。</w:t>
      </w:r>
      <w:r>
        <w:rPr>
          <w:rFonts w:ascii="宋体" w:hAnsi="宋体"/>
          <w:color w:val="000000"/>
          <w:szCs w:val="21"/>
          <w:highlight w:val="none"/>
        </w:rPr>
      </w:r>
      <w:r/>
    </w:p>
    <w:p>
      <w:pPr>
        <w:pStyle w:val="933"/>
        <w:ind w:firstLine="422"/>
        <w:spacing w:before="0" w:after="0" w:line="360" w:lineRule="auto"/>
        <w:rPr>
          <w:rFonts w:hint="eastAsia" w:ascii="宋体" w:hAnsi="宋体" w:eastAsia="宋体"/>
          <w:bCs w:val="0"/>
          <w:color w:val="000000"/>
          <w:sz w:val="21"/>
          <w:szCs w:val="21"/>
          <w:highlight w:val="none"/>
        </w:rPr>
        <w:outlineLvl w:val="9"/>
      </w:pPr>
      <w:r/>
      <w:bookmarkStart w:id="56" w:name="_Toc513029205"/>
      <w:r/>
      <w:bookmarkStart w:id="57" w:name="_Toc16938521"/>
      <w:r/>
      <w:bookmarkStart w:id="58" w:name="_Toc20823277"/>
      <w:r>
        <w:rPr>
          <w:rFonts w:ascii="宋体" w:hAnsi="宋体" w:eastAsia="宋体"/>
          <w:bCs w:val="0"/>
          <w:color w:val="000000"/>
          <w:sz w:val="21"/>
          <w:szCs w:val="21"/>
          <w:highlight w:val="none"/>
        </w:rPr>
        <w:t xml:space="preserve">2</w:t>
      </w:r>
      <w:r>
        <w:rPr>
          <w:rFonts w:hint="eastAsia" w:ascii="宋体" w:hAnsi="宋体" w:eastAsia="宋体"/>
          <w:bCs w:val="0"/>
          <w:color w:val="000000"/>
          <w:sz w:val="21"/>
          <w:szCs w:val="21"/>
          <w:highlight w:val="none"/>
        </w:rPr>
        <w:t xml:space="preserve">、投标人</w:t>
      </w:r>
      <w:r>
        <w:rPr>
          <w:rFonts w:hint="eastAsia" w:ascii="宋体" w:hAnsi="宋体" w:eastAsia="宋体"/>
          <w:bCs w:val="0"/>
          <w:color w:val="000000"/>
          <w:sz w:val="21"/>
          <w:szCs w:val="21"/>
          <w:highlight w:val="none"/>
        </w:rPr>
      </w:r>
      <w:r/>
    </w:p>
    <w:p>
      <w:pPr>
        <w:pStyle w:val="893"/>
        <w:ind w:firstLine="420"/>
        <w:spacing w:before="0" w:after="0" w:line="360" w:lineRule="auto"/>
        <w:rPr>
          <w:rFonts w:hint="eastAsia" w:ascii="宋体" w:hAnsi="宋体" w:eastAsia="宋体"/>
          <w:b w:val="0"/>
          <w:bCs w:val="0"/>
          <w:color w:val="000000"/>
          <w:sz w:val="21"/>
          <w:szCs w:val="21"/>
          <w:highlight w:val="none"/>
        </w:rPr>
        <w:outlineLvl w:val="9"/>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893"/>
        <w:ind w:firstLine="420"/>
        <w:spacing w:before="0" w:after="0" w:line="360" w:lineRule="auto"/>
        <w:rPr>
          <w:rFonts w:hint="eastAsia" w:ascii="宋体" w:hAnsi="宋体" w:eastAsia="宋体"/>
          <w:b w:val="0"/>
          <w:bCs w:val="0"/>
          <w:color w:val="000000"/>
          <w:sz w:val="21"/>
          <w:szCs w:val="21"/>
          <w:highlight w:val="none"/>
        </w:rPr>
        <w:outlineLvl w:val="9"/>
      </w:pPr>
      <w:r>
        <w:rPr>
          <w:rFonts w:hint="eastAsia" w:ascii="宋体" w:hAnsi="宋体" w:eastAsia="宋体"/>
          <w:b w:val="0"/>
          <w:bCs w:val="0"/>
          <w:color w:val="000000"/>
          <w:sz w:val="21"/>
          <w:szCs w:val="21"/>
          <w:highlight w:val="none"/>
        </w:rPr>
        <w:t xml:space="preserve">2.2合格的投标人</w:t>
      </w:r>
      <w:bookmarkEnd w:id="56"/>
      <w:r/>
      <w:bookmarkEnd w:id="57"/>
      <w:r/>
      <w:bookmarkEnd w:id="58"/>
      <w:r>
        <w:rPr>
          <w:rFonts w:hint="eastAsia" w:ascii="宋体" w:hAnsi="宋体" w:eastAsia="宋体"/>
          <w:b w:val="0"/>
          <w:bCs w:val="0"/>
          <w:color w:val="000000"/>
          <w:sz w:val="21"/>
          <w:szCs w:val="21"/>
          <w:highlight w:val="none"/>
        </w:rPr>
      </w:r>
      <w:r/>
    </w:p>
    <w:p>
      <w:pPr>
        <w:pStyle w:val="893"/>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2.2.1 满足</w:t>
      </w:r>
      <w:r>
        <w:rPr>
          <w:rFonts w:hint="eastAsia" w:ascii="宋体" w:hAnsi="宋体"/>
          <w:color w:val="000000"/>
          <w:szCs w:val="21"/>
          <w:highlight w:val="none"/>
          <w:lang w:eastAsia="zh-CN"/>
        </w:rPr>
        <w:t xml:space="preserve">招标公告</w:t>
      </w:r>
      <w:r>
        <w:rPr>
          <w:rFonts w:hint="eastAsia" w:ascii="宋体" w:hAnsi="宋体"/>
          <w:color w:val="000000"/>
          <w:szCs w:val="21"/>
          <w:highlight w:val="none"/>
        </w:rPr>
        <w:t xml:space="preserve">中供应商的资格条件要求的规定。</w:t>
      </w:r>
      <w:r>
        <w:rPr>
          <w:rFonts w:ascii="宋体" w:hAnsi="宋体"/>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2.2.2 满足本文件实质性条款的规定。</w:t>
      </w:r>
      <w:r>
        <w:rPr>
          <w:rFonts w:hint="eastAsia" w:ascii="宋体" w:hAnsi="宋体"/>
          <w:color w:val="000000"/>
          <w:szCs w:val="21"/>
          <w:highlight w:val="none"/>
        </w:rPr>
      </w:r>
      <w:r/>
    </w:p>
    <w:p>
      <w:pPr>
        <w:pStyle w:val="933"/>
        <w:ind w:firstLine="422"/>
        <w:spacing w:before="0" w:after="0" w:line="360" w:lineRule="auto"/>
        <w:rPr>
          <w:rFonts w:hint="eastAsia" w:ascii="宋体" w:hAnsi="宋体" w:eastAsia="宋体"/>
          <w:bCs w:val="0"/>
          <w:color w:val="000000"/>
          <w:sz w:val="21"/>
          <w:szCs w:val="21"/>
          <w:highlight w:val="none"/>
        </w:rPr>
        <w:outlineLvl w:val="9"/>
      </w:pPr>
      <w:r/>
      <w:bookmarkStart w:id="59" w:name="_Toc16938522"/>
      <w:r/>
      <w:bookmarkStart w:id="60" w:name="_Toc513029206"/>
      <w:r/>
      <w:bookmarkStart w:id="61" w:name="_Toc20823278"/>
      <w:r>
        <w:rPr>
          <w:rFonts w:ascii="宋体" w:hAnsi="宋体" w:eastAsia="宋体"/>
          <w:bCs w:val="0"/>
          <w:color w:val="000000"/>
          <w:sz w:val="21"/>
          <w:szCs w:val="21"/>
          <w:highlight w:val="none"/>
        </w:rPr>
        <w:t xml:space="preserve">3</w:t>
      </w:r>
      <w:r>
        <w:rPr>
          <w:rFonts w:hint="eastAsia" w:ascii="宋体" w:hAnsi="宋体" w:eastAsia="宋体"/>
          <w:bCs w:val="0"/>
          <w:color w:val="000000"/>
          <w:sz w:val="21"/>
          <w:szCs w:val="21"/>
          <w:highlight w:val="none"/>
        </w:rPr>
        <w:t xml:space="preserve">、适用法律</w:t>
      </w:r>
      <w:bookmarkEnd w:id="59"/>
      <w:r/>
      <w:bookmarkEnd w:id="60"/>
      <w:r/>
      <w:bookmarkEnd w:id="61"/>
      <w:r>
        <w:rPr>
          <w:rFonts w:hint="eastAsia" w:ascii="宋体" w:hAnsi="宋体" w:eastAsia="宋体"/>
          <w:bCs w:val="0"/>
          <w:color w:val="000000"/>
          <w:sz w:val="21"/>
          <w:szCs w:val="21"/>
          <w:highlight w:val="none"/>
        </w:rPr>
      </w:r>
      <w:r/>
    </w:p>
    <w:p>
      <w:pPr>
        <w:pStyle w:val="893"/>
        <w:ind w:firstLine="420"/>
        <w:spacing w:before="0" w:after="0" w:line="360" w:lineRule="auto"/>
        <w:rPr>
          <w:rFonts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3.1 本次招标及由此产生的合同受中华人民共和国有关的法律法规制约和保护。</w:t>
      </w:r>
      <w:r>
        <w:rPr>
          <w:rFonts w:ascii="宋体" w:hAnsi="宋体" w:eastAsia="宋体"/>
          <w:b w:val="0"/>
          <w:bCs/>
          <w:color w:val="000000"/>
          <w:sz w:val="21"/>
          <w:szCs w:val="21"/>
          <w:highlight w:val="none"/>
        </w:rPr>
      </w:r>
      <w:r/>
    </w:p>
    <w:p>
      <w:pPr>
        <w:pStyle w:val="893"/>
        <w:ind w:firstLine="422"/>
        <w:spacing w:line="360" w:lineRule="auto"/>
        <w:rPr>
          <w:rFonts w:hint="eastAsia" w:ascii="宋体" w:hAnsi="宋体"/>
          <w:b/>
          <w:color w:val="000000"/>
          <w:szCs w:val="21"/>
          <w:highlight w:val="none"/>
        </w:rPr>
        <w:outlineLvl w:val="9"/>
      </w:pPr>
      <w:r>
        <w:rPr>
          <w:rFonts w:hint="eastAsia" w:ascii="宋体" w:hAnsi="宋体"/>
          <w:b/>
          <w:color w:val="000000"/>
          <w:szCs w:val="21"/>
          <w:highlight w:val="none"/>
        </w:rPr>
        <w:t xml:space="preserve">4、投标费用</w:t>
      </w:r>
      <w:r>
        <w:rPr>
          <w:rFonts w:hint="eastAsia" w:ascii="宋体" w:hAnsi="宋体"/>
          <w:b/>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4.1</w:t>
      </w:r>
      <w:r>
        <w:rPr>
          <w:rFonts w:hint="eastAsia" w:ascii="宋体" w:hAnsi="宋体"/>
          <w:color w:val="000000"/>
          <w:szCs w:val="21"/>
          <w:highlight w:val="none"/>
        </w:rPr>
        <w:t xml:space="preserve"> 投标人应自行承担所有与参加投标有关的费用，无论投标过程中的做法和结果如何，代理机构在任何情况下均无义务和责任承担这些费用。</w:t>
      </w:r>
      <w:r>
        <w:rPr>
          <w:rFonts w:hint="eastAsia" w:ascii="宋体" w:hAnsi="宋体"/>
          <w:color w:val="000000"/>
          <w:szCs w:val="21"/>
          <w:highlight w:val="none"/>
        </w:rPr>
      </w:r>
      <w:r/>
    </w:p>
    <w:p>
      <w:pPr>
        <w:pStyle w:val="893"/>
        <w:numPr>
          <w:ilvl w:val="0"/>
          <w:numId w:val="1"/>
        </w:numPr>
        <w:ind w:firstLine="422"/>
        <w:jc w:val="left"/>
        <w:spacing w:line="360" w:lineRule="auto"/>
        <w:rPr>
          <w:rFonts w:hint="eastAsia" w:ascii="宋体" w:hAnsi="宋体"/>
          <w:color w:val="000000"/>
          <w:szCs w:val="21"/>
          <w:highlight w:val="none"/>
        </w:rPr>
        <w:outlineLvl w:val="9"/>
      </w:pPr>
      <w:r>
        <w:rPr>
          <w:rFonts w:hint="eastAsia" w:ascii="宋体" w:hAnsi="宋体"/>
          <w:b/>
          <w:bCs/>
          <w:color w:val="000000"/>
          <w:szCs w:val="21"/>
          <w:highlight w:val="none"/>
        </w:rPr>
        <w:t xml:space="preserve">项目招标完成后</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由采购人一次性支付给代理机构代理服务费</w:t>
      </w:r>
      <w:r>
        <w:rPr>
          <w:rFonts w:hint="eastAsia" w:ascii="宋体" w:hAnsi="宋体"/>
          <w:b/>
          <w:bCs/>
          <w:color w:val="000000"/>
          <w:szCs w:val="21"/>
          <w:highlight w:val="none"/>
          <w:lang w:val="en-US" w:eastAsia="zh-CN"/>
        </w:rPr>
        <w:t xml:space="preserve">3000元</w:t>
      </w:r>
      <w:r>
        <w:rPr>
          <w:rFonts w:hint="eastAsia" w:ascii="宋体" w:hAnsi="宋体"/>
          <w:b/>
          <w:bCs/>
          <w:color w:val="000000"/>
          <w:szCs w:val="21"/>
          <w:highlight w:val="none"/>
        </w:rPr>
        <w:t xml:space="preserve">。</w:t>
      </w:r>
      <w:r>
        <w:rPr>
          <w:rFonts w:hint="eastAsia" w:ascii="宋体" w:hAnsi="宋体"/>
          <w:color w:val="000000"/>
          <w:szCs w:val="21"/>
          <w:highlight w:val="none"/>
        </w:rPr>
      </w:r>
      <w:r/>
    </w:p>
    <w:p>
      <w:pPr>
        <w:pStyle w:val="893"/>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    （2）代理服务费以人民币支付；</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（3）代理服务费支付方式：一次性以电汇、转账、支票、现金等形式支付</w:t>
      </w:r>
      <w:r>
        <w:rPr>
          <w:rFonts w:hint="eastAsia" w:ascii="宋体" w:hAnsi="宋体"/>
          <w:bCs/>
          <w:color w:val="000000"/>
          <w:szCs w:val="21"/>
          <w:highlight w:val="none"/>
        </w:rPr>
        <w:t xml:space="preserve">；</w:t>
      </w:r>
      <w:r>
        <w:rPr>
          <w:rFonts w:hint="eastAsia" w:ascii="宋体" w:hAnsi="宋体"/>
          <w:color w:val="000000"/>
          <w:szCs w:val="21"/>
          <w:highlight w:val="none"/>
        </w:rPr>
      </w:r>
      <w:r/>
    </w:p>
    <w:p>
      <w:pPr>
        <w:pStyle w:val="927"/>
        <w:ind w:firstLine="420"/>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4.2</w:t>
      </w:r>
      <w:r>
        <w:rPr>
          <w:rFonts w:hint="eastAsia" w:ascii="宋体" w:hAnsi="宋体" w:eastAsia="宋体" w:cs="Times New Roman"/>
          <w:color w:val="000000"/>
          <w:sz w:val="21"/>
          <w:szCs w:val="21"/>
          <w:highlight w:val="none"/>
          <w:lang w:val="en-US" w:eastAsia="zh-CN" w:bidi="ar-SA"/>
        </w:rPr>
        <w:t xml:space="preserve">专家评审费按《扬州市财政局关于进一步规范扬州市政府采购专家评审费标准的通知》（扬财购〔2020〕40号）执行。</w:t>
      </w:r>
      <w:r>
        <w:rPr>
          <w:rFonts w:hint="eastAsia" w:ascii="宋体" w:hAnsi="宋体" w:eastAsia="宋体"/>
          <w:color w:val="000000"/>
          <w:sz w:val="21"/>
          <w:szCs w:val="21"/>
          <w:highlight w:val="none"/>
        </w:rPr>
      </w:r>
      <w:r/>
    </w:p>
    <w:p>
      <w:pPr>
        <w:pStyle w:val="933"/>
        <w:ind w:firstLine="422"/>
        <w:spacing w:before="0" w:after="0" w:line="360" w:lineRule="auto"/>
        <w:rPr>
          <w:rFonts w:hint="eastAsia" w:ascii="宋体" w:hAnsi="宋体" w:eastAsia="宋体"/>
          <w:bCs w:val="0"/>
          <w:color w:val="000000"/>
          <w:sz w:val="21"/>
          <w:szCs w:val="21"/>
          <w:highlight w:val="none"/>
        </w:rPr>
        <w:outlineLvl w:val="9"/>
      </w:pPr>
      <w:r>
        <w:rPr>
          <w:rFonts w:hint="eastAsia" w:ascii="宋体" w:hAnsi="宋体" w:eastAsia="宋体"/>
          <w:color w:val="000000"/>
          <w:sz w:val="21"/>
          <w:szCs w:val="21"/>
          <w:highlight w:val="none"/>
        </w:rPr>
        <w:t xml:space="preserve">5、</w:t>
      </w:r>
      <w:r>
        <w:rPr>
          <w:rFonts w:hint="eastAsia" w:ascii="宋体" w:hAnsi="宋体" w:eastAsia="宋体"/>
          <w:bCs w:val="0"/>
          <w:color w:val="000000"/>
          <w:sz w:val="21"/>
          <w:szCs w:val="21"/>
          <w:highlight w:val="none"/>
        </w:rPr>
        <w:t xml:space="preserve">招标文件的约束力</w:t>
      </w:r>
      <w:r>
        <w:rPr>
          <w:rFonts w:hint="eastAsia" w:ascii="宋体" w:hAnsi="宋体" w:eastAsia="宋体"/>
          <w:bCs w:val="0"/>
          <w:color w:val="000000"/>
          <w:sz w:val="21"/>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5.1</w:t>
      </w:r>
      <w:r>
        <w:rPr>
          <w:rFonts w:hint="eastAsia" w:ascii="宋体" w:hAnsi="宋体"/>
          <w:color w:val="000000"/>
          <w:szCs w:val="21"/>
          <w:highlight w:val="none"/>
        </w:rPr>
        <w:t xml:space="preserve"> 投标人一旦参加本项目采购活动，即被认为接受了本招标文件的规定和约束。</w:t>
      </w:r>
      <w:r>
        <w:rPr>
          <w:rFonts w:hint="eastAsia" w:ascii="宋体" w:hAnsi="宋体"/>
          <w:bCs/>
          <w:color w:val="000000"/>
          <w:szCs w:val="21"/>
          <w:highlight w:val="none"/>
        </w:rPr>
      </w:r>
      <w:r/>
    </w:p>
    <w:p>
      <w:pPr>
        <w:pStyle w:val="933"/>
        <w:ind w:firstLine="422"/>
        <w:spacing w:before="0" w:after="0" w:line="360" w:lineRule="auto"/>
        <w:rPr>
          <w:rFonts w:hint="eastAsia" w:ascii="宋体" w:hAnsi="宋体" w:eastAsia="宋体"/>
          <w:bCs w:val="0"/>
          <w:color w:val="000000"/>
          <w:sz w:val="21"/>
          <w:szCs w:val="21"/>
          <w:highlight w:val="none"/>
        </w:rPr>
        <w:outlineLvl w:val="9"/>
      </w:pPr>
      <w:r/>
      <w:bookmarkStart w:id="62" w:name="_Toc20823282"/>
      <w:r/>
      <w:bookmarkStart w:id="63" w:name="_Toc16938526"/>
      <w:r/>
      <w:bookmarkStart w:id="64" w:name="_Toc513029210"/>
      <w:r>
        <w:rPr>
          <w:rFonts w:ascii="宋体" w:hAnsi="宋体" w:eastAsia="宋体"/>
          <w:bCs w:val="0"/>
          <w:color w:val="000000"/>
          <w:sz w:val="21"/>
          <w:szCs w:val="21"/>
          <w:highlight w:val="none"/>
        </w:rPr>
        <w:t xml:space="preserve">6</w:t>
      </w:r>
      <w:r>
        <w:rPr>
          <w:rFonts w:hint="eastAsia" w:ascii="宋体" w:hAnsi="宋体" w:eastAsia="宋体"/>
          <w:bCs w:val="0"/>
          <w:color w:val="000000"/>
          <w:sz w:val="21"/>
          <w:szCs w:val="21"/>
          <w:highlight w:val="none"/>
        </w:rPr>
        <w:t xml:space="preserve">、招标文件构成</w:t>
      </w:r>
      <w:bookmarkEnd w:id="62"/>
      <w:r/>
      <w:bookmarkEnd w:id="63"/>
      <w:r/>
      <w:bookmarkEnd w:id="64"/>
      <w:r>
        <w:rPr>
          <w:rFonts w:hint="eastAsia" w:ascii="宋体" w:hAnsi="宋体" w:eastAsia="宋体"/>
          <w:bCs w:val="0"/>
          <w:color w:val="000000"/>
          <w:sz w:val="21"/>
          <w:szCs w:val="21"/>
          <w:highlight w:val="none"/>
        </w:rPr>
      </w:r>
      <w:r/>
    </w:p>
    <w:p>
      <w:pPr>
        <w:pStyle w:val="893"/>
        <w:ind w:firstLine="420"/>
        <w:spacing w:line="360" w:lineRule="auto"/>
        <w:rPr>
          <w:rFonts w:ascii="宋体" w:hAnsi="宋体"/>
          <w:color w:val="000000"/>
          <w:szCs w:val="21"/>
          <w:highlight w:val="none"/>
        </w:rPr>
        <w:outlineLvl w:val="9"/>
      </w:pPr>
      <w:r>
        <w:rPr>
          <w:rFonts w:hint="eastAsia" w:ascii="宋体" w:hAnsi="宋体"/>
          <w:bCs/>
          <w:color w:val="000000"/>
          <w:szCs w:val="21"/>
          <w:highlight w:val="none"/>
        </w:rPr>
        <w:t xml:space="preserve">6.1</w:t>
      </w:r>
      <w:r>
        <w:rPr>
          <w:rFonts w:hint="eastAsia" w:ascii="宋体" w:hAnsi="宋体"/>
          <w:color w:val="000000"/>
          <w:szCs w:val="21"/>
          <w:highlight w:val="none"/>
        </w:rPr>
        <w:t xml:space="preserve"> 招标文件有以下部分组成：</w:t>
      </w:r>
      <w:r>
        <w:rPr>
          <w:rFonts w:ascii="宋体" w:hAnsi="宋体"/>
          <w:color w:val="000000"/>
          <w:szCs w:val="21"/>
          <w:highlight w:val="none"/>
        </w:rPr>
      </w:r>
      <w:r/>
    </w:p>
    <w:p>
      <w:pPr>
        <w:pStyle w:val="893"/>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（1）招标公告</w:t>
      </w:r>
      <w:r>
        <w:rPr>
          <w:rFonts w:hint="eastAsia" w:ascii="宋体" w:hAnsi="宋体"/>
          <w:color w:val="000000"/>
          <w:szCs w:val="21"/>
          <w:highlight w:val="none"/>
        </w:rPr>
      </w:r>
      <w:r/>
    </w:p>
    <w:p>
      <w:pPr>
        <w:pStyle w:val="893"/>
        <w:ind w:firstLine="315"/>
        <w:spacing w:line="360" w:lineRule="auto"/>
        <w:tabs>
          <w:tab w:val="left" w:pos="2580" w:leader="none"/>
        </w:tabs>
        <w:rPr>
          <w:rFonts w:hint="eastAsia" w:ascii="宋体" w:hAnsi="宋体"/>
          <w:color w:val="000000"/>
          <w:szCs w:val="21"/>
          <w:highlight w:val="none"/>
        </w:rPr>
        <w:outlineLvl w:val="9"/>
      </w:pPr>
      <w:r>
        <w:rPr>
          <w:rFonts w:hint="eastAsia" w:ascii="宋体" w:hAnsi="宋体"/>
          <w:color w:val="000000"/>
          <w:szCs w:val="21"/>
          <w:highlight w:val="none"/>
        </w:rPr>
        <w:t xml:space="preserve">（2）投标人须知</w:t>
      </w:r>
      <w:r>
        <w:rPr>
          <w:rFonts w:hint="eastAsia" w:ascii="宋体" w:hAnsi="宋体"/>
          <w:color w:val="000000"/>
          <w:szCs w:val="21"/>
          <w:highlight w:val="none"/>
        </w:rPr>
      </w:r>
      <w:r/>
    </w:p>
    <w:p>
      <w:pPr>
        <w:pStyle w:val="893"/>
        <w:ind w:firstLine="315"/>
        <w:spacing w:line="360" w:lineRule="auto"/>
        <w:rPr>
          <w:rFonts w:hint="eastAsia" w:ascii="宋体" w:hAnsi="宋体" w:eastAsia="宋体"/>
          <w:color w:val="000000"/>
          <w:szCs w:val="21"/>
          <w:highlight w:val="none"/>
          <w:lang w:eastAsia="zh-CN"/>
        </w:rPr>
        <w:outlineLvl w:val="9"/>
      </w:pPr>
      <w:r>
        <w:rPr>
          <w:rFonts w:hint="eastAsia" w:ascii="宋体" w:hAnsi="宋体"/>
          <w:color w:val="000000"/>
          <w:szCs w:val="21"/>
          <w:highlight w:val="none"/>
        </w:rPr>
        <w:t xml:space="preserve">（3）合同</w:t>
      </w:r>
      <w:r>
        <w:rPr>
          <w:rFonts w:hint="eastAsia" w:ascii="宋体" w:hAnsi="宋体"/>
          <w:color w:val="000000"/>
          <w:szCs w:val="21"/>
          <w:highlight w:val="none"/>
          <w:lang w:val="en-US" w:eastAsia="zh-CN"/>
        </w:rPr>
        <w:t xml:space="preserve">文本</w:t>
      </w:r>
      <w:r>
        <w:rPr>
          <w:rFonts w:hint="eastAsia" w:ascii="宋体" w:hAnsi="宋体" w:eastAsia="宋体"/>
          <w:color w:val="000000"/>
          <w:szCs w:val="21"/>
          <w:highlight w:val="none"/>
          <w:lang w:eastAsia="zh-CN"/>
        </w:rPr>
      </w:r>
      <w:r/>
    </w:p>
    <w:p>
      <w:pPr>
        <w:pStyle w:val="893"/>
        <w:ind w:firstLine="315"/>
        <w:spacing w:line="360" w:lineRule="auto"/>
        <w:rPr>
          <w:rFonts w:ascii="宋体" w:hAnsi="宋体" w:eastAsia="宋体"/>
          <w:color w:val="000000"/>
          <w:szCs w:val="21"/>
          <w:highlight w:val="none"/>
          <w:lang w:val="en-US" w:eastAsia="zh-CN"/>
        </w:rPr>
        <w:outlineLvl w:val="9"/>
      </w:pPr>
      <w:r>
        <w:rPr>
          <w:rFonts w:hint="eastAsia" w:ascii="宋体" w:hAnsi="宋体"/>
          <w:color w:val="000000"/>
          <w:szCs w:val="21"/>
          <w:highlight w:val="none"/>
        </w:rPr>
        <w:t xml:space="preserve">（4）</w:t>
      </w:r>
      <w:r>
        <w:rPr>
          <w:rFonts w:hint="eastAsia" w:ascii="宋体" w:hAnsi="宋体"/>
          <w:color w:val="000000"/>
          <w:szCs w:val="21"/>
          <w:highlight w:val="none"/>
          <w:lang w:val="en-US" w:eastAsia="zh-CN"/>
        </w:rPr>
        <w:t xml:space="preserve">采购需求</w:t>
      </w:r>
      <w:r>
        <w:rPr>
          <w:rFonts w:ascii="宋体" w:hAnsi="宋体" w:eastAsia="宋体"/>
          <w:color w:val="000000"/>
          <w:szCs w:val="21"/>
          <w:highlight w:val="none"/>
          <w:lang w:val="en-US" w:eastAsia="zh-CN"/>
        </w:rPr>
      </w:r>
      <w:r/>
    </w:p>
    <w:p>
      <w:pPr>
        <w:pStyle w:val="893"/>
        <w:ind w:firstLine="315"/>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（5）评标方法与评标标准</w:t>
      </w:r>
      <w:r>
        <w:rPr>
          <w:rFonts w:hint="eastAsia" w:ascii="宋体" w:hAnsi="宋体"/>
          <w:color w:val="000000"/>
          <w:szCs w:val="21"/>
          <w:highlight w:val="none"/>
        </w:rPr>
      </w:r>
      <w:r/>
    </w:p>
    <w:p>
      <w:pPr>
        <w:pStyle w:val="893"/>
        <w:ind w:firstLine="315"/>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（6）投标文件格式</w:t>
      </w:r>
      <w:r>
        <w:rPr>
          <w:rFonts w:ascii="宋体" w:hAnsi="宋体"/>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请仔细检查招标文件是否齐全，如有缺漏请立即与代理机构联系解决。</w:t>
      </w:r>
      <w:r>
        <w:rPr>
          <w:rFonts w:hint="eastAsia" w:ascii="宋体" w:hAnsi="宋体"/>
          <w:color w:val="000000"/>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bCs/>
          <w:color w:val="000000"/>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hint="eastAsia" w:ascii="宋体" w:hAnsi="宋体"/>
          <w:bCs/>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6.4</w:t>
      </w:r>
      <w:r>
        <w:rPr>
          <w:rFonts w:hint="eastAsia" w:ascii="宋体" w:hAnsi="宋体"/>
          <w:color w:val="000000"/>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Cs w:val="21"/>
          <w:highlight w:val="none"/>
        </w:rPr>
      </w:r>
      <w:r/>
    </w:p>
    <w:p>
      <w:pPr>
        <w:pStyle w:val="933"/>
        <w:ind w:firstLine="422"/>
        <w:spacing w:before="0" w:after="0" w:line="360" w:lineRule="auto"/>
        <w:rPr>
          <w:rFonts w:hint="eastAsia" w:ascii="宋体" w:hAnsi="宋体" w:eastAsia="宋体"/>
          <w:b w:val="0"/>
          <w:bCs w:val="0"/>
          <w:color w:val="000000"/>
          <w:sz w:val="21"/>
          <w:szCs w:val="21"/>
          <w:highlight w:val="none"/>
        </w:rPr>
        <w:outlineLvl w:val="9"/>
      </w:pPr>
      <w:r/>
      <w:bookmarkStart w:id="65" w:name="_Toc20823283"/>
      <w:r/>
      <w:bookmarkStart w:id="66" w:name="_Toc462564070"/>
      <w:r/>
      <w:bookmarkStart w:id="67" w:name="_Toc16938527"/>
      <w:r/>
      <w:bookmarkStart w:id="68" w:name="_Toc513029211"/>
      <w:r>
        <w:rPr>
          <w:rFonts w:ascii="宋体" w:hAnsi="宋体" w:eastAsia="宋体"/>
          <w:bCs w:val="0"/>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bCs w:val="0"/>
          <w:color w:val="000000"/>
          <w:sz w:val="21"/>
          <w:szCs w:val="21"/>
          <w:highlight w:val="none"/>
        </w:rPr>
        <w:t xml:space="preserve">招标文件的</w:t>
      </w:r>
      <w:bookmarkEnd w:id="65"/>
      <w:r/>
      <w:bookmarkEnd w:id="66"/>
      <w:r/>
      <w:bookmarkEnd w:id="67"/>
      <w:r/>
      <w:bookmarkEnd w:id="68"/>
      <w:r>
        <w:rPr>
          <w:rFonts w:hint="eastAsia" w:ascii="宋体" w:hAnsi="宋体" w:eastAsia="宋体"/>
          <w:bCs w:val="0"/>
          <w:color w:val="000000"/>
          <w:sz w:val="21"/>
          <w:szCs w:val="21"/>
          <w:highlight w:val="none"/>
        </w:rPr>
        <w:t xml:space="preserve">澄清</w:t>
      </w:r>
      <w:r>
        <w:rPr>
          <w:rFonts w:hint="eastAsia" w:ascii="宋体" w:hAnsi="宋体" w:eastAsia="宋体"/>
          <w:b w:val="0"/>
          <w:bCs w:val="0"/>
          <w:color w:val="000000"/>
          <w:sz w:val="21"/>
          <w:szCs w:val="21"/>
          <w:highlight w:val="none"/>
        </w:rPr>
      </w:r>
      <w:r/>
    </w:p>
    <w:p>
      <w:pPr>
        <w:pStyle w:val="893"/>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7.1 任何要求对招标文件进行澄清的投标人，应在投标截止日期的十日前按</w:t>
      </w:r>
      <w:r>
        <w:rPr>
          <w:rFonts w:hint="eastAsia" w:ascii="宋体" w:hAnsi="宋体"/>
          <w:color w:val="000000"/>
          <w:szCs w:val="21"/>
          <w:highlight w:val="none"/>
          <w:lang w:eastAsia="zh-CN"/>
        </w:rPr>
        <w:t xml:space="preserve">招标公告</w:t>
      </w:r>
      <w:r>
        <w:rPr>
          <w:rFonts w:hint="eastAsia" w:ascii="宋体" w:hAnsi="宋体"/>
          <w:color w:val="000000"/>
          <w:szCs w:val="21"/>
          <w:highlight w:val="none"/>
        </w:rPr>
        <w:t xml:space="preserve">中的通讯地址，以书面形式通知代理机构。</w:t>
      </w:r>
      <w:r>
        <w:rPr>
          <w:rFonts w:ascii="宋体" w:hAnsi="宋体"/>
          <w:color w:val="000000"/>
          <w:szCs w:val="21"/>
          <w:highlight w:val="none"/>
        </w:rPr>
      </w:r>
      <w:r/>
    </w:p>
    <w:p>
      <w:pPr>
        <w:pStyle w:val="933"/>
        <w:ind w:firstLine="422"/>
        <w:spacing w:before="0" w:after="0" w:line="360" w:lineRule="auto"/>
        <w:rPr>
          <w:rFonts w:hint="eastAsia" w:ascii="宋体" w:hAnsi="宋体" w:eastAsia="宋体"/>
          <w:b w:val="0"/>
          <w:bCs w:val="0"/>
          <w:color w:val="000000"/>
          <w:sz w:val="21"/>
          <w:szCs w:val="21"/>
          <w:highlight w:val="none"/>
        </w:rPr>
        <w:outlineLvl w:val="9"/>
      </w:pPr>
      <w:r/>
      <w:bookmarkStart w:id="69" w:name="_Toc16938528"/>
      <w:r/>
      <w:bookmarkStart w:id="70" w:name="_Toc20823284"/>
      <w:r/>
      <w:bookmarkStart w:id="71" w:name="_Toc462564071"/>
      <w:r/>
      <w:bookmarkStart w:id="72" w:name="_Toc513029212"/>
      <w:r>
        <w:rPr>
          <w:rFonts w:hint="eastAsia" w:ascii="宋体" w:hAnsi="宋体" w:eastAsia="宋体"/>
          <w:bCs w:val="0"/>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bCs w:val="0"/>
          <w:color w:val="000000"/>
          <w:sz w:val="21"/>
          <w:szCs w:val="21"/>
          <w:highlight w:val="none"/>
        </w:rPr>
        <w:t xml:space="preserve">招标文件的修改</w:t>
      </w:r>
      <w:bookmarkEnd w:id="69"/>
      <w:r/>
      <w:bookmarkEnd w:id="70"/>
      <w:r/>
      <w:bookmarkEnd w:id="71"/>
      <w:r/>
      <w:bookmarkEnd w:id="72"/>
      <w:r>
        <w:rPr>
          <w:rFonts w:hint="eastAsia" w:ascii="宋体" w:hAnsi="宋体" w:eastAsia="宋体"/>
          <w:b w:val="0"/>
          <w:bCs w:val="0"/>
          <w:color w:val="000000"/>
          <w:sz w:val="21"/>
          <w:szCs w:val="21"/>
          <w:highlight w:val="none"/>
        </w:rPr>
      </w:r>
      <w:r/>
    </w:p>
    <w:p>
      <w:pPr>
        <w:pStyle w:val="893"/>
        <w:ind w:firstLine="420"/>
        <w:spacing w:line="360" w:lineRule="auto"/>
        <w:rPr>
          <w:rFonts w:ascii="宋体" w:hAnsi="宋体"/>
          <w:color w:val="000000"/>
          <w:szCs w:val="21"/>
          <w:highlight w:val="none"/>
        </w:rPr>
        <w:outlineLvl w:val="9"/>
      </w:pPr>
      <w:r>
        <w:rPr>
          <w:rFonts w:hint="eastAsia" w:ascii="宋体" w:hAnsi="宋体"/>
          <w:bCs/>
          <w:color w:val="000000"/>
          <w:szCs w:val="21"/>
          <w:highlight w:val="none"/>
        </w:rPr>
        <w:t xml:space="preserve">8.1</w:t>
      </w:r>
      <w:r>
        <w:rPr>
          <w:rFonts w:hint="eastAsia" w:ascii="宋体" w:hAnsi="宋体"/>
          <w:color w:val="000000"/>
          <w:szCs w:val="21"/>
          <w:highlight w:val="none"/>
        </w:rPr>
        <w:t xml:space="preserve"> 在投标截止时间前，代理机构可以对招标文件进行修改。</w:t>
      </w:r>
      <w:r>
        <w:rPr>
          <w:rFonts w:ascii="宋体" w:hAnsi="宋体"/>
          <w:color w:val="000000"/>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8.2代理机构在招标文件要求提交投标文件截止时间前，有权决定延长投标截止时间和开标时间，并在原采购信息发布媒体上发布变更公告。</w:t>
      </w:r>
      <w:r>
        <w:rPr>
          <w:rFonts w:hint="eastAsia" w:ascii="宋体" w:hAnsi="宋体"/>
          <w:bCs/>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8.3</w:t>
      </w:r>
      <w:r>
        <w:rPr>
          <w:rFonts w:hint="eastAsia" w:ascii="宋体" w:hAnsi="宋体"/>
          <w:color w:val="000000"/>
          <w:szCs w:val="21"/>
          <w:highlight w:val="none"/>
        </w:rPr>
        <w:t xml:space="preserve">招标文件的修改将在</w:t>
      </w:r>
      <w:r>
        <w:rPr>
          <w:rFonts w:hint="eastAsia" w:ascii="宋体" w:hAnsi="宋体"/>
          <w:color w:val="000000"/>
          <w:szCs w:val="21"/>
          <w:highlight w:val="none"/>
          <w:lang w:eastAsia="zh-CN"/>
        </w:rPr>
        <w:t xml:space="preserve">“扬州市政府采购网”、“江苏省政府采购网”和“中国政府采购网”</w:t>
      </w:r>
      <w:r>
        <w:rPr>
          <w:rFonts w:hint="eastAsia" w:ascii="宋体" w:hAnsi="宋体"/>
          <w:color w:val="000000"/>
          <w:szCs w:val="21"/>
          <w:highlight w:val="none"/>
        </w:rPr>
        <w:t xml:space="preserve">公布，补充文件将作为招标文件的组成部分，并对投标人具有约束力。</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8.4投标人应在投标截止时间前关注原采购信息发布媒体上有关本招标项目有无变更公告。</w:t>
      </w:r>
      <w:r>
        <w:rPr>
          <w:rFonts w:hint="eastAsia" w:ascii="宋体" w:hAnsi="宋体"/>
          <w:color w:val="000000"/>
          <w:szCs w:val="21"/>
          <w:highlight w:val="none"/>
        </w:rPr>
      </w:r>
      <w:r/>
    </w:p>
    <w:p>
      <w:pPr>
        <w:pStyle w:val="933"/>
        <w:ind w:firstLine="422"/>
        <w:spacing w:before="0" w:after="0" w:line="360" w:lineRule="auto"/>
        <w:rPr>
          <w:rFonts w:hint="eastAsia" w:ascii="宋体" w:hAnsi="宋体" w:eastAsia="宋体"/>
          <w:bCs w:val="0"/>
          <w:color w:val="000000"/>
          <w:sz w:val="21"/>
          <w:szCs w:val="21"/>
          <w:highlight w:val="none"/>
        </w:rPr>
        <w:outlineLvl w:val="9"/>
      </w:pPr>
      <w:r/>
      <w:bookmarkStart w:id="73" w:name="_Toc513029214"/>
      <w:r/>
      <w:bookmarkStart w:id="74" w:name="_Toc16938530"/>
      <w:r/>
      <w:bookmarkStart w:id="75" w:name="_Toc462564073"/>
      <w:r/>
      <w:bookmarkStart w:id="76" w:name="_Toc20823286"/>
      <w:r>
        <w:rPr>
          <w:rFonts w:ascii="宋体" w:hAnsi="宋体" w:eastAsia="宋体"/>
          <w:bCs w:val="0"/>
          <w:color w:val="000000"/>
          <w:sz w:val="21"/>
          <w:szCs w:val="21"/>
          <w:highlight w:val="none"/>
        </w:rPr>
        <w:t xml:space="preserve">9</w:t>
      </w:r>
      <w:r>
        <w:rPr>
          <w:rFonts w:hint="eastAsia" w:ascii="宋体" w:hAnsi="宋体" w:eastAsia="宋体"/>
          <w:bCs w:val="0"/>
          <w:color w:val="000000"/>
          <w:sz w:val="21"/>
          <w:szCs w:val="21"/>
          <w:highlight w:val="none"/>
        </w:rPr>
        <w:t xml:space="preserve">、投标文件的语言、度量衡单位</w:t>
      </w:r>
      <w:bookmarkEnd w:id="73"/>
      <w:r/>
      <w:bookmarkEnd w:id="74"/>
      <w:r/>
      <w:bookmarkEnd w:id="75"/>
      <w:r/>
      <w:bookmarkEnd w:id="76"/>
      <w:r>
        <w:rPr>
          <w:rFonts w:hint="eastAsia" w:ascii="宋体" w:hAnsi="宋体" w:eastAsia="宋体"/>
          <w:bCs w:val="0"/>
          <w:color w:val="000000"/>
          <w:sz w:val="21"/>
          <w:szCs w:val="21"/>
          <w:highlight w:val="none"/>
        </w:rPr>
        <w:t xml:space="preserve">、货币和编制</w:t>
      </w:r>
      <w:r>
        <w:rPr>
          <w:rFonts w:hint="eastAsia" w:ascii="宋体" w:hAnsi="宋体" w:eastAsia="宋体"/>
          <w:bCs w:val="0"/>
          <w:color w:val="000000"/>
          <w:sz w:val="21"/>
          <w:szCs w:val="21"/>
          <w:highlight w:val="none"/>
        </w:rPr>
      </w:r>
      <w:r/>
    </w:p>
    <w:p>
      <w:pPr>
        <w:pStyle w:val="893"/>
        <w:ind w:firstLine="420"/>
        <w:spacing w:line="360" w:lineRule="auto"/>
        <w:rPr>
          <w:rFonts w:ascii="宋体" w:hAnsi="宋体"/>
          <w:color w:val="000000"/>
          <w:szCs w:val="21"/>
          <w:highlight w:val="none"/>
        </w:rPr>
        <w:outlineLvl w:val="9"/>
      </w:pPr>
      <w:r>
        <w:rPr>
          <w:rFonts w:hint="eastAsia" w:ascii="宋体" w:hAnsi="宋体"/>
          <w:bCs/>
          <w:color w:val="000000"/>
          <w:szCs w:val="21"/>
          <w:highlight w:val="none"/>
        </w:rPr>
        <w:t xml:space="preserve">9.1</w:t>
      </w:r>
      <w:r>
        <w:rPr>
          <w:rFonts w:hint="eastAsia" w:ascii="宋体" w:hAnsi="宋体"/>
          <w:color w:val="000000"/>
          <w:szCs w:val="21"/>
          <w:highlight w:val="none"/>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rPr>
          <w:rFonts w:ascii="宋体" w:hAnsi="宋体"/>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bCs/>
          <w:color w:val="000000"/>
          <w:szCs w:val="21"/>
          <w:highlight w:val="none"/>
        </w:rPr>
        <w:t xml:space="preserve">9.2</w:t>
      </w:r>
      <w:r>
        <w:rPr>
          <w:rFonts w:hint="eastAsia" w:ascii="宋体" w:hAnsi="宋体"/>
          <w:color w:val="000000"/>
          <w:szCs w:val="21"/>
          <w:highlight w:val="none"/>
        </w:rPr>
        <w:t xml:space="preserve"> 除技术性能另有规定外，投标文件所使用的度量衡单位，均须采用国家法定计量单位。</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9.3投标人应使用人民币报价。</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9.4投标文件应字迹清楚、内容齐全、不得涂改。如有修改，修改处须有投标人加盖公章和法定代表人或其授权代表签字。</w:t>
      </w:r>
      <w:r>
        <w:rPr>
          <w:rFonts w:hint="eastAsia" w:ascii="宋体" w:hAnsi="宋体"/>
          <w:color w:val="000000"/>
          <w:szCs w:val="21"/>
          <w:highlight w:val="none"/>
        </w:rPr>
      </w:r>
      <w:r/>
    </w:p>
    <w:p>
      <w:pPr>
        <w:pStyle w:val="933"/>
        <w:ind w:firstLine="422"/>
        <w:spacing w:before="0" w:after="0" w:line="360" w:lineRule="auto"/>
        <w:rPr>
          <w:rFonts w:hint="eastAsia" w:ascii="宋体" w:hAnsi="宋体" w:eastAsia="宋体"/>
          <w:bCs w:val="0"/>
          <w:color w:val="000000"/>
          <w:sz w:val="21"/>
          <w:szCs w:val="21"/>
          <w:highlight w:val="none"/>
        </w:rPr>
        <w:outlineLvl w:val="9"/>
      </w:pPr>
      <w:r/>
      <w:bookmarkStart w:id="77" w:name="_Toc20823287"/>
      <w:r/>
      <w:bookmarkStart w:id="78" w:name="_Toc462564074"/>
      <w:r/>
      <w:bookmarkStart w:id="79" w:name="_Toc513029215"/>
      <w:r/>
      <w:bookmarkStart w:id="80" w:name="_Toc16938531"/>
      <w:r>
        <w:rPr>
          <w:rFonts w:ascii="宋体" w:hAnsi="宋体" w:eastAsia="宋体"/>
          <w:bCs w:val="0"/>
          <w:color w:val="000000"/>
          <w:sz w:val="21"/>
          <w:szCs w:val="21"/>
          <w:highlight w:val="none"/>
        </w:rPr>
        <w:t xml:space="preserve">10</w:t>
      </w:r>
      <w:r>
        <w:rPr>
          <w:rFonts w:hint="eastAsia" w:ascii="宋体" w:hAnsi="宋体" w:eastAsia="宋体"/>
          <w:bCs w:val="0"/>
          <w:color w:val="000000"/>
          <w:sz w:val="21"/>
          <w:szCs w:val="21"/>
          <w:highlight w:val="none"/>
        </w:rPr>
        <w:t xml:space="preserve">、投标文件构成</w:t>
      </w:r>
      <w:bookmarkEnd w:id="77"/>
      <w:r/>
      <w:bookmarkEnd w:id="78"/>
      <w:r/>
      <w:bookmarkEnd w:id="79"/>
      <w:r/>
      <w:bookmarkEnd w:id="80"/>
      <w:r>
        <w:rPr>
          <w:rFonts w:hint="eastAsia" w:ascii="宋体" w:hAnsi="宋体" w:eastAsia="宋体"/>
          <w:bCs w:val="0"/>
          <w:color w:val="000000"/>
          <w:sz w:val="21"/>
          <w:szCs w:val="21"/>
          <w:highlight w:val="none"/>
        </w:rPr>
      </w:r>
      <w:r/>
    </w:p>
    <w:p>
      <w:pPr>
        <w:pStyle w:val="893"/>
        <w:ind w:firstLine="420"/>
        <w:spacing w:line="360" w:lineRule="auto"/>
        <w:rPr>
          <w:rFonts w:hint="eastAsia" w:ascii="宋体" w:hAnsi="宋体" w:eastAsia="宋体"/>
          <w:color w:val="000000"/>
          <w:szCs w:val="21"/>
          <w:highlight w:val="none"/>
          <w:lang w:eastAsia="zh-CN"/>
        </w:rPr>
        <w:outlineLvl w:val="9"/>
      </w:pPr>
      <w:r>
        <w:rPr>
          <w:rFonts w:hint="eastAsia" w:ascii="宋体" w:hAnsi="宋体"/>
          <w:bCs/>
          <w:color w:val="000000"/>
          <w:szCs w:val="21"/>
          <w:highlight w:val="none"/>
        </w:rPr>
        <w:t xml:space="preserve">10.1</w:t>
      </w:r>
      <w:r>
        <w:rPr>
          <w:rFonts w:hint="eastAsia" w:ascii="宋体" w:hAnsi="宋体"/>
          <w:color w:val="000000"/>
          <w:szCs w:val="21"/>
          <w:highlight w:val="none"/>
        </w:rPr>
        <w:t xml:space="preserve"> 投标人编写的投标文件应包括：资信证明文件、技术参数响应及偏离表、商务条款响应及偏离表、技术及售后服务承诺书、开标一览表等部分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93"/>
        <w:ind w:firstLine="420"/>
        <w:spacing w:before="0" w:after="0" w:line="360" w:lineRule="auto"/>
        <w:rPr>
          <w:rFonts w:hint="eastAsia" w:ascii="宋体" w:hAnsi="宋体" w:eastAsia="宋体"/>
          <w:b w:val="0"/>
          <w:bCs w:val="0"/>
          <w:color w:val="000000"/>
          <w:sz w:val="21"/>
          <w:szCs w:val="21"/>
          <w:highlight w:val="none"/>
        </w:rPr>
        <w:outlineLvl w:val="9"/>
      </w:pPr>
      <w:r/>
      <w:bookmarkStart w:id="81" w:name="_Toc513029219"/>
      <w:r/>
      <w:bookmarkStart w:id="82" w:name="_Toc49090509"/>
      <w:r/>
      <w:bookmarkStart w:id="83" w:name="_Toc14577357"/>
      <w:r/>
      <w:bookmarkStart w:id="84" w:name="_Toc14577354"/>
      <w:r/>
      <w:bookmarkStart w:id="85" w:name="_Toc513029216"/>
      <w:r/>
      <w:bookmarkStart w:id="86" w:name="_Toc49090507"/>
      <w:r>
        <w:rPr>
          <w:rFonts w:hint="eastAsia" w:ascii="宋体" w:hAnsi="宋体" w:eastAsia="宋体"/>
          <w:b w:val="0"/>
          <w:bCs w:val="0"/>
          <w:color w:val="000000"/>
          <w:sz w:val="21"/>
          <w:szCs w:val="21"/>
          <w:highlight w:val="none"/>
        </w:rPr>
        <w:t xml:space="preserve">10.2 如标书制作工具中格式和内容与“江苏政府采购网、扬州市政府采购网”发布的招标文件不一致，请以“江苏政府采购网、扬州市政府采购网”发布的招标文件为准。</w:t>
      </w:r>
      <w:r>
        <w:rPr>
          <w:rFonts w:hint="eastAsia" w:ascii="宋体" w:hAnsi="宋体" w:eastAsia="宋体"/>
          <w:b w:val="0"/>
          <w:bCs w:val="0"/>
          <w:color w:val="000000"/>
          <w:sz w:val="21"/>
          <w:szCs w:val="21"/>
          <w:highlight w:val="none"/>
        </w:rPr>
      </w:r>
      <w:r/>
    </w:p>
    <w:p>
      <w:pPr>
        <w:pStyle w:val="893"/>
        <w:ind w:firstLine="420"/>
        <w:spacing w:before="0" w:after="0" w:line="360" w:lineRule="auto"/>
        <w:rPr>
          <w:rFonts w:hint="eastAsia" w:ascii="宋体" w:hAnsi="宋体" w:eastAsia="宋体"/>
          <w:b w:val="0"/>
          <w:bCs w:val="0"/>
          <w:color w:val="000000"/>
          <w:sz w:val="21"/>
          <w:szCs w:val="21"/>
          <w:highlight w:val="none"/>
        </w:rPr>
        <w:outlineLvl w:val="9"/>
      </w:pPr>
      <w:r>
        <w:rPr>
          <w:rFonts w:hint="eastAsia" w:ascii="宋体" w:hAnsi="宋体" w:eastAsia="宋体"/>
          <w:b w:val="0"/>
          <w:bCs w:val="0"/>
          <w:color w:val="000000"/>
          <w:sz w:val="21"/>
          <w:szCs w:val="21"/>
          <w:highlight w:val="none"/>
        </w:rPr>
        <w:t xml:space="preserve">10.3 投标人应当根据招标文件要求编制投标文件，投标文件应对招标文件提出的要求和条件作出实质性响应，并在相应的投标文件中逐条标明满足与否。</w:t>
      </w:r>
      <w:r>
        <w:rPr>
          <w:rFonts w:hint="eastAsia" w:ascii="宋体" w:hAnsi="宋体" w:eastAsia="宋体"/>
          <w:b w:val="0"/>
          <w:bCs w:val="0"/>
          <w:color w:val="000000"/>
          <w:sz w:val="21"/>
          <w:szCs w:val="21"/>
          <w:highlight w:val="none"/>
        </w:rPr>
      </w:r>
      <w:r/>
    </w:p>
    <w:p>
      <w:pPr>
        <w:pStyle w:val="933"/>
        <w:ind w:firstLine="422"/>
        <w:spacing w:before="0" w:after="0" w:line="360" w:lineRule="auto"/>
        <w:rPr>
          <w:rFonts w:hint="eastAsia" w:ascii="宋体" w:hAnsi="宋体" w:eastAsia="宋体"/>
          <w:b w:val="0"/>
          <w:bCs w:val="0"/>
          <w:color w:val="000000"/>
          <w:sz w:val="21"/>
          <w:szCs w:val="21"/>
          <w:highlight w:val="none"/>
        </w:rPr>
        <w:outlineLvl w:val="9"/>
      </w:pPr>
      <w:r>
        <w:rPr>
          <w:rFonts w:ascii="宋体" w:hAnsi="宋体" w:eastAsia="宋体"/>
          <w:bCs w:val="0"/>
          <w:color w:val="000000"/>
          <w:sz w:val="21"/>
          <w:szCs w:val="21"/>
          <w:highlight w:val="none"/>
        </w:rPr>
        <w:t xml:space="preserve">11</w:t>
      </w:r>
      <w:r>
        <w:rPr>
          <w:rFonts w:hint="eastAsia" w:ascii="宋体" w:hAnsi="宋体" w:eastAsia="宋体"/>
          <w:bCs w:val="0"/>
          <w:color w:val="000000"/>
          <w:sz w:val="21"/>
          <w:szCs w:val="21"/>
          <w:highlight w:val="none"/>
        </w:rPr>
        <w:t xml:space="preserve">、证明投标人资格及符合招标文件规定的文件</w:t>
      </w:r>
      <w:bookmarkEnd w:id="81"/>
      <w:r/>
      <w:bookmarkEnd w:id="82"/>
      <w:r/>
      <w:bookmarkEnd w:id="83"/>
      <w:r>
        <w:rPr>
          <w:rFonts w:hint="eastAsia" w:ascii="宋体" w:hAnsi="宋体" w:eastAsia="宋体"/>
          <w:b w:val="0"/>
          <w:bCs w:val="0"/>
          <w:color w:val="000000"/>
          <w:sz w:val="21"/>
          <w:szCs w:val="21"/>
          <w:highlight w:val="none"/>
        </w:rPr>
      </w:r>
      <w:r/>
    </w:p>
    <w:p>
      <w:pPr>
        <w:pStyle w:val="893"/>
        <w:ind w:firstLine="420"/>
        <w:spacing w:line="360" w:lineRule="auto"/>
        <w:rPr>
          <w:rFonts w:ascii="宋体" w:hAnsi="宋体"/>
          <w:color w:val="000000"/>
          <w:szCs w:val="21"/>
          <w:highlight w:val="none"/>
        </w:rPr>
        <w:outlineLvl w:val="9"/>
      </w:pPr>
      <w:r>
        <w:rPr>
          <w:rFonts w:hint="eastAsia" w:ascii="宋体" w:hAnsi="宋体"/>
          <w:color w:val="000000"/>
          <w:szCs w:val="21"/>
          <w:highlight w:val="none"/>
        </w:rPr>
        <w:t xml:space="preserve">11.1投标人应按要求提交资信证明文件及符合招标文件规定的文件。</w:t>
      </w:r>
      <w:r>
        <w:rPr>
          <w:rFonts w:ascii="宋体" w:hAnsi="宋体"/>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11.2投标人应提交证明其有资格参加投标和中标后有能力独立履行合同的文件。</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11.3投标人除必须具有履行合同所需提供的货物以及服务的能力外，还必须具备相应的财务、技术方面的能力。</w:t>
      </w:r>
      <w:r>
        <w:rPr>
          <w:rFonts w:hint="eastAsia" w:ascii="宋体" w:hAnsi="宋体"/>
          <w:color w:val="000000"/>
          <w:szCs w:val="21"/>
          <w:highlight w:val="none"/>
        </w:rPr>
      </w:r>
      <w:r/>
    </w:p>
    <w:p>
      <w:pPr>
        <w:pStyle w:val="893"/>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    11.4投标人应提交根据合同要求提供的证明产品质量合格以及符合招标文件规定的证明文件。</w:t>
      </w:r>
      <w:r>
        <w:rPr>
          <w:rFonts w:hint="eastAsia" w:ascii="宋体" w:hAnsi="宋体"/>
          <w:color w:val="000000"/>
          <w:szCs w:val="21"/>
          <w:highlight w:val="none"/>
        </w:rPr>
      </w:r>
      <w:r/>
    </w:p>
    <w:p>
      <w:pPr>
        <w:pStyle w:val="893"/>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    11.5证明投标人所提供货物与招标文件的要求相一致的文件可以是手册、图纸、文字资料和数据</w:t>
      </w:r>
      <w:r>
        <w:rPr>
          <w:rFonts w:hint="eastAsia" w:ascii="宋体" w:hAnsi="宋体"/>
          <w:bCs/>
          <w:color w:val="000000"/>
          <w:szCs w:val="21"/>
          <w:highlight w:val="none"/>
        </w:rPr>
        <w:t xml:space="preserve">。</w:t>
      </w:r>
      <w:r>
        <w:rPr>
          <w:rFonts w:hint="eastAsia" w:ascii="宋体" w:hAnsi="宋体"/>
          <w:color w:val="000000"/>
          <w:szCs w:val="21"/>
          <w:highlight w:val="none"/>
        </w:rPr>
      </w:r>
      <w:r/>
    </w:p>
    <w:p>
      <w:pPr>
        <w:pStyle w:val="893"/>
        <w:ind w:firstLine="422"/>
        <w:spacing w:line="440" w:lineRule="exact"/>
        <w:rPr>
          <w:rFonts w:ascii="宋体" w:hAnsi="宋体"/>
          <w:b/>
          <w:color w:val="000000"/>
          <w:szCs w:val="21"/>
          <w:highlight w:val="none"/>
        </w:rPr>
        <w:outlineLvl w:val="9"/>
      </w:pPr>
      <w:r/>
      <w:bookmarkEnd w:id="84"/>
      <w:r/>
      <w:bookmarkEnd w:id="85"/>
      <w:r/>
      <w:bookmarkEnd w:id="86"/>
      <w:r>
        <w:rPr>
          <w:rFonts w:hint="eastAsia" w:ascii="宋体" w:hAnsi="宋体"/>
          <w:b/>
          <w:color w:val="000000"/>
          <w:szCs w:val="21"/>
          <w:highlight w:val="none"/>
        </w:rPr>
        <w:t xml:space="preserve">12、投标配置与分项报价表</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12.3有关费用处理</w:t>
      </w:r>
      <w:r>
        <w:rPr>
          <w:rFonts w:ascii="宋体" w:hAnsi="宋体"/>
          <w:bCs/>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招标报价采用总承包方式，投标人的报价应包括为完成本项目发生的所有费用，招标文件中另有规定的除外。</w:t>
      </w:r>
      <w:r>
        <w:rPr>
          <w:rFonts w:hint="eastAsia"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12.4其它费用处理</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招标文件未列明，而投标人认为必需的费用也需列入报价。</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12.5投标货币</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投标文件中的服务单价和总价无特殊规定的采用人民币报价，以元为单位标注。招标文件中另有规定的按规定执行。</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13、技术参数响应及偏离表、商务条款响应及偏离表</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13.2 投标人需按照招标文件要求，在投标文件中提供与技术要求和商务要求相关的证明材料。</w:t>
      </w:r>
      <w:r>
        <w:rPr>
          <w:rFonts w:hint="eastAsia"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893"/>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bookmarkStart w:id="87" w:name="_Toc513029225"/>
      <w:r/>
      <w:bookmarkStart w:id="88" w:name="_Toc20823297"/>
      <w:r/>
      <w:bookmarkStart w:id="89" w:name="_Toc16938541"/>
      <w:r/>
      <w:bookmarkStart w:id="90" w:name="_Toc462564084"/>
      <w:r>
        <w:rPr>
          <w:rFonts w:hint="eastAsia" w:ascii="宋体" w:hAnsi="宋体"/>
          <w:b/>
          <w:color w:val="000000"/>
          <w:szCs w:val="21"/>
          <w:highlight w:val="none"/>
        </w:rPr>
        <w:t xml:space="preserve">17、投标文件</w:t>
      </w:r>
      <w:bookmarkEnd w:id="87"/>
      <w:r/>
      <w:bookmarkEnd w:id="88"/>
      <w:r/>
      <w:bookmarkEnd w:id="89"/>
      <w:r/>
      <w:bookmarkEnd w:id="90"/>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91" w:name="_Toc513029226"/>
      <w:r/>
      <w:bookmarkStart w:id="92" w:name="_Toc16938542"/>
      <w:r/>
      <w:bookmarkStart w:id="93" w:name="_Toc20823298"/>
      <w:r>
        <w:rPr>
          <w:rFonts w:hint="eastAsia" w:ascii="宋体" w:hAnsi="宋体"/>
          <w:bCs/>
          <w:color w:val="000000"/>
          <w:szCs w:val="21"/>
          <w:highlight w:val="none"/>
        </w:rPr>
      </w:r>
      <w:r/>
    </w:p>
    <w:p>
      <w:pPr>
        <w:pStyle w:val="893"/>
        <w:ind w:firstLine="422"/>
        <w:spacing w:line="440" w:lineRule="exact"/>
        <w:rPr>
          <w:rFonts w:hint="eastAsia" w:ascii="宋体" w:hAnsi="宋体"/>
          <w:b/>
          <w:color w:val="000000"/>
          <w:szCs w:val="21"/>
          <w:highlight w:val="none"/>
        </w:rPr>
        <w:outlineLvl w:val="9"/>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hint="eastAsia" w:ascii="宋体" w:hAnsi="宋体"/>
          <w:b/>
          <w:color w:val="000000"/>
          <w:szCs w:val="21"/>
          <w:highlight w:val="none"/>
        </w:rPr>
      </w:r>
      <w:r/>
    </w:p>
    <w:p>
      <w:pPr>
        <w:pStyle w:val="893"/>
        <w:ind w:firstLine="422"/>
        <w:spacing w:line="440" w:lineRule="exact"/>
        <w:rPr>
          <w:rFonts w:hint="eastAsia" w:ascii="宋体" w:hAnsi="宋体"/>
          <w:b/>
          <w:color w:val="000000"/>
          <w:szCs w:val="21"/>
          <w:highlight w:val="none"/>
        </w:rPr>
        <w:outlineLvl w:val="9"/>
      </w:pPr>
      <w:r>
        <w:rPr>
          <w:rFonts w:hint="eastAsia" w:ascii="宋体" w:hAnsi="宋体"/>
          <w:b/>
          <w:color w:val="000000"/>
          <w:szCs w:val="21"/>
          <w:highlight w:val="none"/>
        </w:rPr>
        <w:t xml:space="preserve">17.3投标人应对 CA 证书妥善保管，如被他人盗用投标，因此带来的结果均由投标人自行承担。</w:t>
      </w:r>
      <w:r>
        <w:rPr>
          <w:rFonts w:hint="eastAsia" w:ascii="宋体" w:hAnsi="宋体"/>
          <w:b/>
          <w:color w:val="000000"/>
          <w:szCs w:val="21"/>
          <w:highlight w:val="none"/>
        </w:rPr>
      </w:r>
      <w:r/>
    </w:p>
    <w:p>
      <w:pPr>
        <w:pStyle w:val="893"/>
        <w:ind w:firstLine="422"/>
        <w:spacing w:line="440" w:lineRule="exact"/>
        <w:rPr>
          <w:rFonts w:hint="eastAsia" w:ascii="宋体" w:hAnsi="宋体"/>
          <w:b/>
          <w:color w:val="000000"/>
          <w:szCs w:val="21"/>
          <w:highlight w:val="none"/>
        </w:rPr>
        <w:outlineLvl w:val="9"/>
      </w:pPr>
      <w:r>
        <w:rPr>
          <w:rFonts w:hint="eastAsia" w:ascii="宋体" w:hAnsi="宋体"/>
          <w:b/>
          <w:color w:val="000000"/>
          <w:szCs w:val="21"/>
          <w:highlight w:val="none"/>
        </w:rPr>
        <w:t xml:space="preserve">17.4投标人应当对招标文件提出的要求和条件作出实质性响应，并在电子投标系统逐条应答。</w:t>
      </w:r>
      <w:r>
        <w:rPr>
          <w:rFonts w:hint="eastAsia" w:ascii="宋体" w:hAnsi="宋体"/>
          <w:b/>
          <w:color w:val="000000"/>
          <w:szCs w:val="21"/>
          <w:highlight w:val="none"/>
        </w:rPr>
      </w:r>
      <w:r/>
    </w:p>
    <w:p>
      <w:pPr>
        <w:pStyle w:val="893"/>
        <w:ind w:firstLine="422"/>
        <w:spacing w:line="440" w:lineRule="exact"/>
        <w:rPr>
          <w:rFonts w:hint="eastAsia" w:ascii="宋体" w:hAnsi="宋体"/>
          <w:b/>
          <w:color w:val="000000"/>
          <w:szCs w:val="21"/>
          <w:highlight w:val="none"/>
        </w:rPr>
        <w:outlineLvl w:val="9"/>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893"/>
        <w:ind w:firstLine="422"/>
        <w:spacing w:line="440" w:lineRule="exact"/>
        <w:rPr>
          <w:rFonts w:hint="eastAsia" w:ascii="宋体" w:hAnsi="宋体"/>
          <w:b/>
          <w:color w:val="000000"/>
          <w:szCs w:val="21"/>
          <w:highlight w:val="none"/>
        </w:rPr>
        <w:outlineLvl w:val="9"/>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hint="eastAsia" w:ascii="宋体" w:hAnsi="宋体"/>
          <w:b/>
          <w:color w:val="000000"/>
          <w:szCs w:val="21"/>
          <w:highlight w:val="none"/>
        </w:rPr>
      </w:r>
      <w:r/>
    </w:p>
    <w:p>
      <w:pPr>
        <w:pStyle w:val="893"/>
        <w:ind w:firstLine="422"/>
        <w:spacing w:line="440" w:lineRule="exact"/>
        <w:rPr>
          <w:color w:val="000000"/>
          <w:highlight w:val="none"/>
        </w:rPr>
        <w:outlineLvl w:val="9"/>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18、投标截止日期</w:t>
      </w:r>
      <w:bookmarkEnd w:id="91"/>
      <w:r/>
      <w:bookmarkEnd w:id="92"/>
      <w:r/>
      <w:bookmarkEnd w:id="93"/>
      <w:r>
        <w:rPr>
          <w:rFonts w:ascii="宋体" w:hAnsi="宋体"/>
          <w:b/>
          <w:color w:val="000000"/>
          <w:szCs w:val="21"/>
          <w:highlight w:val="none"/>
        </w:rPr>
      </w:r>
      <w:r/>
    </w:p>
    <w:p>
      <w:pPr>
        <w:pStyle w:val="893"/>
        <w:ind w:firstLine="420"/>
        <w:spacing w:line="440" w:lineRule="exact"/>
        <w:rPr>
          <w:rFonts w:ascii="宋体" w:hAnsi="宋体"/>
          <w:bCs/>
          <w:i/>
          <w:iCs/>
          <w:color w:val="000000"/>
          <w:szCs w:val="21"/>
          <w:highlight w:val="none"/>
          <w:u w:val="single"/>
        </w:rPr>
        <w:outlineLvl w:val="9"/>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bookmarkStart w:id="94" w:name="_Toc20823299"/>
      <w:r/>
      <w:bookmarkStart w:id="95" w:name="_Toc16938543"/>
      <w:r/>
      <w:bookmarkStart w:id="96" w:name="_Toc513029227"/>
      <w:r>
        <w:rPr>
          <w:rFonts w:hint="eastAsia" w:ascii="宋体" w:hAnsi="宋体"/>
          <w:b/>
          <w:color w:val="000000"/>
          <w:szCs w:val="21"/>
          <w:highlight w:val="none"/>
        </w:rPr>
        <w:t xml:space="preserve">19、投标文件</w:t>
      </w:r>
      <w:bookmarkEnd w:id="94"/>
      <w:r/>
      <w:bookmarkEnd w:id="95"/>
      <w:r/>
      <w:bookmarkEnd w:id="96"/>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bookmarkStart w:id="97" w:name="_Toc513029228"/>
      <w:r/>
      <w:bookmarkStart w:id="98" w:name="_Toc20823300"/>
      <w:r/>
      <w:bookmarkStart w:id="99" w:name="_Toc16938544"/>
      <w:r>
        <w:rPr>
          <w:rFonts w:hint="eastAsia" w:ascii="宋体" w:hAnsi="宋体"/>
          <w:b/>
          <w:color w:val="000000"/>
          <w:szCs w:val="21"/>
          <w:highlight w:val="none"/>
        </w:rPr>
        <w:t xml:space="preserve">20、投标文件的撤回和修改</w:t>
      </w:r>
      <w:bookmarkEnd w:id="97"/>
      <w:r/>
      <w:bookmarkEnd w:id="98"/>
      <w:r/>
      <w:bookmarkEnd w:id="99"/>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hint="eastAsia" w:ascii="宋体" w:hAnsi="宋体"/>
          <w:bCs/>
          <w:color w:val="000000"/>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21.2开标仪式由代理机构组织。“政府采购管理交易系统（苏采云）”将自动对项目进行开标，并宣读各投标人的《开标一览表》。</w:t>
      </w:r>
      <w:r>
        <w:rPr>
          <w:rFonts w:hint="eastAsia" w:ascii="宋体" w:hAnsi="宋体"/>
          <w:bCs/>
          <w:color w:val="000000"/>
          <w:szCs w:val="21"/>
          <w:highlight w:val="none"/>
        </w:rPr>
      </w:r>
      <w:r/>
    </w:p>
    <w:p>
      <w:pPr>
        <w:pStyle w:val="893"/>
        <w:ind w:firstLine="420"/>
        <w:spacing w:line="360" w:lineRule="auto"/>
        <w:rPr>
          <w:rFonts w:ascii="宋体" w:hAnsi="宋体"/>
          <w:bCs/>
          <w:color w:val="000000"/>
          <w:szCs w:val="21"/>
          <w:highlight w:val="none"/>
        </w:rPr>
        <w:outlineLvl w:val="9"/>
      </w:pPr>
      <w:r>
        <w:rPr>
          <w:rFonts w:hint="eastAsia" w:ascii="宋体" w:hAnsi="宋体"/>
          <w:bCs/>
          <w:color w:val="000000"/>
          <w:szCs w:val="21"/>
          <w:highlight w:val="none"/>
        </w:rPr>
        <w:t xml:space="preserve">21.3投标人在开标过程中涉及到的投标文件解密、开标结果确认等工作，应按照《操作手册》规定执行。</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893"/>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893"/>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893"/>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lang w:val="en-US" w:eastAsia="zh-CN"/>
        </w:rPr>
        <w:t xml:space="preserve">24.1</w:t>
      </w:r>
      <w:r>
        <w:rPr>
          <w:rFonts w:hint="eastAsia" w:ascii="宋体" w:hAnsi="宋体"/>
          <w:bCs/>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bCs/>
          <w:color w:val="000000"/>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投标人的澄清、说明或者补正不得超出投标文件的范围或者改变投标文件的实质性内容。</w:t>
      </w:r>
      <w:r>
        <w:rPr>
          <w:rFonts w:hint="eastAsia" w:ascii="宋体" w:hAnsi="宋体"/>
          <w:bCs/>
          <w:color w:val="000000"/>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rPr>
        <w:t xml:space="preserve">评委会并非对每个投标人都做澄清要求。</w:t>
      </w:r>
      <w:r>
        <w:rPr>
          <w:rFonts w:hint="eastAsia" w:ascii="宋体" w:hAnsi="宋体"/>
          <w:bCs/>
          <w:color w:val="000000"/>
          <w:szCs w:val="21"/>
          <w:highlight w:val="none"/>
        </w:rPr>
      </w:r>
      <w:r/>
    </w:p>
    <w:p>
      <w:pPr>
        <w:pStyle w:val="893"/>
        <w:ind w:firstLine="420"/>
        <w:spacing w:line="360" w:lineRule="auto"/>
        <w:rPr>
          <w:rFonts w:hint="eastAsia" w:ascii="宋体" w:hAnsi="宋体"/>
          <w:bCs/>
          <w:color w:val="000000"/>
          <w:szCs w:val="21"/>
          <w:highlight w:val="none"/>
        </w:rPr>
        <w:outlineLvl w:val="9"/>
      </w:pPr>
      <w:r>
        <w:rPr>
          <w:rFonts w:hint="eastAsia" w:ascii="宋体" w:hAnsi="宋体"/>
          <w:bCs/>
          <w:color w:val="000000"/>
          <w:szCs w:val="21"/>
          <w:highlight w:val="none"/>
          <w:lang w:val="en-US" w:eastAsia="zh-CN"/>
        </w:rPr>
        <w:t xml:space="preserve">24.2</w:t>
      </w:r>
      <w:r>
        <w:rPr>
          <w:rFonts w:hint="eastAsia" w:ascii="宋体" w:hAnsi="宋体"/>
          <w:bCs/>
          <w:color w:val="000000"/>
          <w:szCs w:val="21"/>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000000"/>
          <w:szCs w:val="21"/>
          <w:highlight w:val="none"/>
        </w:rPr>
      </w:r>
      <w:r/>
    </w:p>
    <w:p>
      <w:pPr>
        <w:pStyle w:val="893"/>
        <w:ind w:firstLine="420"/>
        <w:spacing w:line="360" w:lineRule="auto"/>
        <w:rPr>
          <w:rFonts w:ascii="宋体" w:hAnsi="宋体"/>
          <w:bCs/>
          <w:color w:val="000000"/>
          <w:szCs w:val="21"/>
          <w:highlight w:val="none"/>
        </w:rPr>
        <w:outlineLvl w:val="9"/>
      </w:pPr>
      <w:r>
        <w:rPr>
          <w:rFonts w:hint="eastAsia" w:ascii="宋体" w:hAnsi="宋体"/>
          <w:bCs/>
          <w:color w:val="000000"/>
          <w:szCs w:val="21"/>
          <w:highlight w:val="none"/>
          <w:lang w:val="en-US" w:eastAsia="zh-CN"/>
        </w:rPr>
        <w:t xml:space="preserve">24.3</w:t>
      </w:r>
      <w:r>
        <w:rPr>
          <w:rFonts w:hint="eastAsia" w:ascii="宋体" w:hAnsi="宋体"/>
          <w:bCs/>
          <w:color w:val="000000"/>
          <w:szCs w:val="21"/>
          <w:highlight w:val="none"/>
        </w:rPr>
        <w:t xml:space="preserve">接到评委会澄清、说明和补正要求的投标人如未按规定做出澄清、说明和补正，其风险由投标人自行承担。</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25.1.1资格审查：依据法律法规和招标文件的规定，</w:t>
      </w:r>
      <w:r>
        <w:rPr>
          <w:rFonts w:hint="eastAsia" w:ascii="宋体" w:hAnsi="宋体"/>
          <w:bCs/>
          <w:color w:val="000000"/>
          <w:szCs w:val="21"/>
          <w:highlight w:val="none"/>
          <w:lang w:val="en-US" w:eastAsia="zh-CN"/>
        </w:rPr>
        <w:t xml:space="preserve">由采购人</w:t>
      </w:r>
      <w:r>
        <w:rPr>
          <w:rFonts w:hint="eastAsia" w:ascii="宋体" w:hAnsi="宋体"/>
          <w:bCs/>
          <w:color w:val="000000"/>
          <w:szCs w:val="21"/>
          <w:highlight w:val="none"/>
        </w:rPr>
        <w:t xml:space="preserve">对投标文件中的资格证明文件进行审查。并将审查结论以书面形式向评委会反馈。</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24"/>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投标人在开、评标全过程中应保持通讯畅通，及时登录苏采云系统查阅</w:t>
      </w:r>
      <w:r>
        <w:rPr>
          <w:rFonts w:ascii="宋体" w:hAnsi="宋体"/>
          <w:color w:val="000000"/>
          <w:sz w:val="21"/>
          <w:szCs w:val="21"/>
          <w:highlight w:val="none"/>
        </w:rPr>
        <w:t xml:space="preserve">、答复相关</w:t>
      </w:r>
      <w:r>
        <w:rPr>
          <w:rFonts w:hint="eastAsia" w:ascii="宋体" w:hAnsi="宋体"/>
          <w:color w:val="000000"/>
          <w:sz w:val="21"/>
          <w:szCs w:val="21"/>
          <w:highlight w:val="none"/>
        </w:rPr>
        <w:t xml:space="preserve">信息</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并安排专人与代理机构及评标委员会联系。</w:t>
      </w:r>
      <w:r>
        <w:rPr>
          <w:rFonts w:hint="eastAsia" w:ascii="宋体" w:hAnsi="宋体"/>
          <w:color w:val="000000"/>
          <w:sz w:val="21"/>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26.1.8投标人被 “信用中国”网站（www.creditchina.gov.cn）、“中国政府采购网"(www.ccgp.gov.cn)列入失信被执行人或重大税收违法案件当事人名单或政府采购严重失信行为记录名单。</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26.1.9投标文件含有采购人不能接受的附加条件的。</w:t>
      </w:r>
      <w:r>
        <w:rPr>
          <w:rFonts w:ascii="宋体" w:hAnsi="宋体"/>
          <w:bCs/>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0</w:t>
      </w:r>
      <w:r>
        <w:rPr>
          <w:rFonts w:hint="eastAsia" w:ascii="宋体" w:hAnsi="宋体"/>
          <w:bCs/>
          <w:color w:val="000000"/>
          <w:szCs w:val="21"/>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bCs/>
          <w:color w:val="000000"/>
          <w:szCs w:val="21"/>
          <w:highlight w:val="none"/>
        </w:rPr>
      </w:r>
      <w:r/>
    </w:p>
    <w:p>
      <w:pPr>
        <w:pStyle w:val="89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政府采购评审中出现下列情形之一的，评审委员会应当启动异常低价投标审查程序：</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（1）投标报价低于全部通过符合性审查供应商投标报价平均值50%的，即投标报价&lt;全部通过符合性审查供应商投标报价平均值×50%；</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（2）投标报价低于通过符合性审查的次低报价供应商投标报价50%的，即投标报价&lt;通过符合性审查的次低报价供应商投标报价×50%；</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（3）投标报价低于采购项目最高限价45%的，即投标报价&lt;采购项目最高限价×45%；</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（4）评审委员会基于专业判断，认为供应商报价过低，有可能影响产品质量或者不能诚信履约的其他情形。</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rPr>
          <w:rFonts w:hint="eastAsia" w:ascii="宋体" w:hAnsi="宋体"/>
          <w:color w:val="000000"/>
          <w:szCs w:val="21"/>
          <w:highlight w:val="none"/>
        </w:rPr>
      </w:r>
      <w:r/>
    </w:p>
    <w:p>
      <w:pPr>
        <w:pStyle w:val="89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26.1.11本项目采购产品被财政部、国家发改委、生态环境部等列入“节能产品品目清单”、“环境标志产品品目清单”强制采购范围，而投标人所投标产品不在强制采购范围内的。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893"/>
        <w:ind w:left="420" w:firstLine="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893"/>
        <w:ind w:left="420" w:firstLine="0"/>
        <w:spacing w:line="440" w:lineRule="exact"/>
        <w:rPr>
          <w:rFonts w:hint="eastAsia" w:ascii="宋体" w:hAnsi="宋体" w:eastAsia="宋体" w:cs="Times New Roman"/>
          <w:bCs/>
          <w:color w:val="000000"/>
          <w:szCs w:val="21"/>
          <w:highlight w:val="none"/>
        </w:rPr>
        <w:outlineLvl w:val="9"/>
      </w:pPr>
      <w:r>
        <w:rPr>
          <w:rFonts w:hint="eastAsia" w:ascii="宋体" w:hAnsi="宋体" w:eastAsia="宋体" w:cs="Times New Roman"/>
          <w:bCs/>
          <w:color w:val="000000"/>
          <w:szCs w:val="21"/>
          <w:highlight w:val="none"/>
        </w:rPr>
        <w:t xml:space="preserve">26.2.3因重大变故，采购任务取消的。</w:t>
      </w:r>
      <w:r>
        <w:rPr>
          <w:rFonts w:hint="eastAsia" w:ascii="宋体" w:hAnsi="宋体" w:eastAsia="宋体" w:cs="Times New Roman"/>
          <w:bCs/>
          <w:color w:val="000000"/>
          <w:szCs w:val="21"/>
          <w:highlight w:val="none"/>
        </w:rPr>
      </w:r>
      <w:r/>
    </w:p>
    <w:p>
      <w:pPr>
        <w:pStyle w:val="893"/>
        <w:ind w:left="420" w:firstLine="0"/>
        <w:spacing w:line="440" w:lineRule="exact"/>
        <w:rPr>
          <w:rFonts w:hint="eastAsia" w:ascii="宋体" w:hAnsi="宋体" w:eastAsia="宋体" w:cs="Times New Roman"/>
          <w:bCs/>
          <w:color w:val="000000"/>
          <w:szCs w:val="21"/>
          <w:highlight w:val="none"/>
        </w:rPr>
        <w:outlineLvl w:val="9"/>
      </w:pPr>
      <w:r>
        <w:rPr>
          <w:rFonts w:hint="eastAsia" w:ascii="宋体" w:hAnsi="宋体" w:eastAsia="宋体" w:cs="Times New Roman"/>
          <w:bCs/>
          <w:color w:val="000000"/>
          <w:szCs w:val="21"/>
          <w:highlight w:val="none"/>
        </w:rPr>
        <w:t xml:space="preserve">26.2.4评委会认定招标文件存在歧义、重大缺陷导致评审工作无法进行。</w:t>
      </w:r>
      <w:r>
        <w:rPr>
          <w:rFonts w:hint="eastAsia" w:ascii="宋体" w:hAnsi="宋体" w:eastAsia="宋体" w:cs="Times New Roman"/>
          <w:bCs/>
          <w:color w:val="000000"/>
          <w:szCs w:val="21"/>
          <w:highlight w:val="none"/>
        </w:rPr>
      </w:r>
      <w:r/>
    </w:p>
    <w:p>
      <w:pPr>
        <w:pStyle w:val="893"/>
        <w:ind w:left="420" w:right="0" w:firstLine="0"/>
        <w:jc w:val="left"/>
        <w:spacing w:before="0" w:after="0" w:line="440" w:lineRule="exact"/>
        <w:rPr>
          <w:rFonts w:hint="eastAsia" w:ascii="宋体" w:hAnsi="宋体" w:eastAsia="宋体" w:cs="Times New Roman"/>
          <w:bCs/>
          <w:color w:val="000000"/>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Times New Roman"/>
          <w:bCs/>
          <w:color w:val="000000"/>
          <w:sz w:val="21"/>
          <w:szCs w:val="21"/>
          <w:highlight w:val="none"/>
        </w:rPr>
        <w:t xml:space="preserve">2</w:t>
      </w:r>
      <w:r>
        <w:rPr>
          <w:rFonts w:hint="eastAsia" w:ascii="宋体" w:hAnsi="宋体" w:eastAsia="宋体" w:cs="Times New Roman"/>
          <w:bCs/>
          <w:color w:val="000000"/>
          <w:sz w:val="21"/>
          <w:szCs w:val="21"/>
          <w:highlight w:val="none"/>
          <w:lang w:eastAsia="zh-CN"/>
        </w:rPr>
        <w:t xml:space="preserve">6</w:t>
      </w:r>
      <w:r>
        <w:rPr>
          <w:rFonts w:hint="eastAsia" w:ascii="宋体" w:hAnsi="宋体" w:eastAsia="宋体" w:cs="Times New Roman"/>
          <w:bCs/>
          <w:color w:val="000000"/>
          <w:sz w:val="21"/>
          <w:szCs w:val="21"/>
          <w:highlight w:val="none"/>
        </w:rPr>
        <w:t xml:space="preserve">.2.5因苏采云系统系统故障原因造成开标不成功的。</w:t>
      </w:r>
      <w:r>
        <w:rPr>
          <w:rFonts w:hint="eastAsia" w:ascii="宋体" w:hAnsi="宋体" w:eastAsia="宋体" w:cs="Times New Roman"/>
          <w:bCs/>
          <w:color w:val="000000"/>
          <w:szCs w:val="21"/>
          <w:highlight w:val="none"/>
        </w:rPr>
      </w:r>
      <w:r/>
    </w:p>
    <w:p>
      <w:pPr>
        <w:pStyle w:val="893"/>
        <w:ind w:left="420" w:firstLine="0"/>
        <w:spacing w:line="440" w:lineRule="exact"/>
        <w:rPr>
          <w:rFonts w:hint="eastAsia" w:ascii="宋体" w:hAnsi="宋体" w:eastAsia="宋体" w:cs="Times New Roman"/>
          <w:bCs/>
          <w:color w:val="000000"/>
          <w:szCs w:val="21"/>
          <w:highlight w:val="none"/>
        </w:rPr>
        <w:outlineLvl w:val="9"/>
      </w:pPr>
      <w:r>
        <w:rPr>
          <w:rFonts w:hint="eastAsia" w:ascii="宋体" w:hAnsi="宋体" w:eastAsia="宋体" w:cs="Times New Roman"/>
          <w:bCs/>
          <w:color w:val="000000"/>
          <w:szCs w:val="21"/>
          <w:highlight w:val="none"/>
        </w:rPr>
        <w:t xml:space="preserve">26.3 投标截止时间结束后参加投标的供应商不足三家的处理：</w:t>
      </w:r>
      <w:r>
        <w:rPr>
          <w:rFonts w:hint="eastAsia" w:ascii="宋体" w:hAnsi="宋体" w:eastAsia="宋体" w:cs="Times New Roman"/>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27.1中标候选人的选取原则和数量见招标文件第五章规定。</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27.3代理机构将在“扬州市政府采购网”、“江苏省政府采购网”和“中国政府采购网”发布中标公告，公告期限为1个工作日。</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27.4.</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属于本文件规定的无效条件，但在评标过程中又未被评委会发现的；</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27.4.</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与采购人或者其他投标人恶意串通的；</w:t>
      </w:r>
      <w:r>
        <w:rPr>
          <w:rFonts w:ascii="宋体" w:hAnsi="宋体"/>
          <w:bCs/>
          <w:color w:val="000000"/>
          <w:szCs w:val="21"/>
          <w:highlight w:val="none"/>
        </w:rPr>
      </w:r>
      <w:r/>
    </w:p>
    <w:p>
      <w:pPr>
        <w:pStyle w:val="893"/>
        <w:ind w:firstLine="420"/>
        <w:spacing w:line="440" w:lineRule="exact"/>
        <w:rPr>
          <w:rFonts w:hint="eastAsia" w:ascii="宋体" w:hAnsi="宋体" w:eastAsia="宋体"/>
          <w:bCs/>
          <w:color w:val="000000"/>
          <w:szCs w:val="21"/>
          <w:highlight w:val="none"/>
          <w:lang w:eastAsia="zh-CN"/>
        </w:rPr>
        <w:outlineLvl w:val="9"/>
      </w:pPr>
      <w:r>
        <w:rPr>
          <w:rFonts w:hint="eastAsia" w:ascii="宋体" w:hAnsi="宋体"/>
          <w:bCs/>
          <w:color w:val="000000"/>
          <w:szCs w:val="21"/>
          <w:highlight w:val="none"/>
        </w:rPr>
        <w:t xml:space="preserve">27.4.</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采取不正当手段诋毁、排挤其他供应商的</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28.2投标人认为采购文件、采购过程和中标或成交结果使自己的权益受到损害的，可以在知道或应知其权益受到损害之日起7个工作日内，以书面形式根据下述2</w:t>
      </w:r>
      <w:r>
        <w:rPr>
          <w:rFonts w:hint="eastAsia" w:ascii="宋体" w:hAnsi="宋体"/>
          <w:bCs/>
          <w:color w:val="000000"/>
          <w:szCs w:val="21"/>
          <w:highlight w:val="none"/>
          <w:lang w:val="en-US" w:eastAsia="zh-CN"/>
        </w:rPr>
        <w:t xml:space="preserve">8</w:t>
      </w:r>
      <w:r>
        <w:rPr>
          <w:rFonts w:hint="eastAsia" w:ascii="宋体" w:hAnsi="宋体"/>
          <w:bCs/>
          <w:color w:val="000000"/>
          <w:szCs w:val="21"/>
          <w:highlight w:val="none"/>
        </w:rPr>
        <w:t xml:space="preserve">.4条款的规定向代理机构或采购人提出质疑。上述应知其权益受到损害之日，是指：</w:t>
      </w:r>
      <w:r>
        <w:rPr>
          <w:rFonts w:ascii="宋体" w:hAnsi="宋体"/>
          <w:bCs/>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8</w:t>
      </w:r>
      <w:r>
        <w:rPr>
          <w:rFonts w:hint="eastAsia" w:ascii="宋体" w:hAnsi="宋体"/>
          <w:bCs/>
          <w:color w:val="000000"/>
          <w:szCs w:val="21"/>
          <w:highlight w:val="none"/>
        </w:rPr>
        <w:t xml:space="preserve">.2.1对可以质疑的采购文件提出质疑的，为收到采购文件之日或者采购文件公告期限届满之日；</w:t>
      </w:r>
      <w:r>
        <w:rPr>
          <w:rFonts w:hint="eastAsia" w:ascii="宋体" w:hAnsi="宋体"/>
          <w:bCs/>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8</w:t>
      </w:r>
      <w:r>
        <w:rPr>
          <w:rFonts w:hint="eastAsia" w:ascii="宋体" w:hAnsi="宋体"/>
          <w:bCs/>
          <w:color w:val="000000"/>
          <w:szCs w:val="21"/>
          <w:highlight w:val="none"/>
        </w:rPr>
        <w:t xml:space="preserve">.2.2对采购过程提出质疑的，为各采购程序环节结束之日；</w:t>
      </w:r>
      <w:r>
        <w:rPr>
          <w:rFonts w:hint="eastAsia" w:ascii="宋体" w:hAnsi="宋体"/>
          <w:bCs/>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8</w:t>
      </w:r>
      <w:r>
        <w:rPr>
          <w:rFonts w:hint="eastAsia" w:ascii="宋体" w:hAnsi="宋体"/>
          <w:bCs/>
          <w:color w:val="000000"/>
          <w:szCs w:val="21"/>
          <w:highlight w:val="none"/>
        </w:rPr>
        <w:t xml:space="preserve">.2.3对中标或者成交结果提出质疑的，为中标或者成交结果公告期限届满之日。</w:t>
      </w:r>
      <w:r>
        <w:rPr>
          <w:rFonts w:hint="eastAsia"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hint="eastAsia" w:ascii="宋体" w:hAnsi="宋体"/>
          <w:bCs/>
          <w:color w:val="000000"/>
          <w:szCs w:val="21"/>
          <w:highlight w:val="none"/>
        </w:rPr>
      </w:r>
      <w:r/>
    </w:p>
    <w:p>
      <w:pPr>
        <w:pStyle w:val="893"/>
        <w:ind w:firstLine="420"/>
        <w:spacing w:line="440" w:lineRule="exact"/>
        <w:rPr>
          <w:rFonts w:ascii="宋体" w:hAnsi="宋体" w:eastAsia="宋体"/>
          <w:bCs/>
          <w:color w:val="000000"/>
          <w:szCs w:val="21"/>
          <w:highlight w:val="none"/>
          <w:lang w:val="en-US" w:eastAsia="zh-CN"/>
        </w:rPr>
        <w:outlineLvl w:val="9"/>
      </w:pPr>
      <w:r>
        <w:rPr>
          <w:rFonts w:hint="eastAsia" w:ascii="宋体" w:hAnsi="宋体"/>
          <w:bCs/>
          <w:color w:val="000000"/>
          <w:szCs w:val="21"/>
          <w:highlight w:val="none"/>
          <w:lang w:val="en-US" w:eastAsia="zh-CN"/>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rPr>
          <w:rFonts w:ascii="宋体" w:hAnsi="宋体" w:eastAsia="宋体"/>
          <w:bCs/>
          <w:color w:val="000000"/>
          <w:szCs w:val="21"/>
          <w:highlight w:val="none"/>
          <w:lang w:val="en-US" w:eastAsia="zh-CN"/>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28.5 代理机构及采购人只接收以纸质原件形式送达的质疑。</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893"/>
        <w:ind w:firstLine="422"/>
        <w:spacing w:line="440" w:lineRule="exact"/>
        <w:rPr>
          <w:rFonts w:ascii="宋体" w:hAnsi="宋体"/>
          <w:b/>
          <w:color w:val="000000"/>
          <w:szCs w:val="21"/>
          <w:highlight w:val="none"/>
        </w:rPr>
        <w:outlineLvl w:val="9"/>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893"/>
        <w:ind w:firstLine="420"/>
        <w:spacing w:line="440" w:lineRule="exact"/>
        <w:rPr>
          <w:rFonts w:ascii="宋体" w:hAnsi="宋体"/>
          <w:bCs/>
          <w:color w:val="000000"/>
          <w:szCs w:val="21"/>
          <w:highlight w:val="none"/>
        </w:rPr>
        <w:outlineLvl w:val="9"/>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转包或分包造成采购人损失的，中标人应承担赔偿责任。</w:t>
      </w:r>
      <w:r>
        <w:rPr>
          <w:rFonts w:ascii="宋体" w:hAnsi="宋体"/>
          <w:bCs/>
          <w:color w:val="000000"/>
          <w:szCs w:val="21"/>
          <w:highlight w:val="none"/>
        </w:rPr>
      </w:r>
      <w:r/>
    </w:p>
    <w:p>
      <w:pPr>
        <w:pStyle w:val="893"/>
        <w:ind w:firstLine="420"/>
        <w:spacing w:line="440" w:lineRule="exact"/>
        <w:rPr>
          <w:rFonts w:hint="eastAsia" w:ascii="宋体" w:hAnsi="宋体"/>
          <w:bCs/>
          <w:color w:val="000000"/>
          <w:szCs w:val="21"/>
          <w:highlight w:val="none"/>
        </w:rPr>
        <w:outlineLvl w:val="9"/>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bCs/>
          <w:color w:val="000000"/>
          <w:szCs w:val="21"/>
          <w:highlight w:val="none"/>
        </w:rPr>
      </w:r>
      <w:r/>
    </w:p>
    <w:p>
      <w:pPr>
        <w:pStyle w:val="893"/>
        <w:ind w:firstLine="422"/>
        <w:spacing w:line="440" w:lineRule="exact"/>
        <w:rPr>
          <w:rFonts w:hint="eastAsia" w:ascii="宋体" w:hAnsi="宋体"/>
          <w:b/>
          <w:color w:val="000000"/>
          <w:szCs w:val="21"/>
          <w:highlight w:val="none"/>
        </w:rPr>
        <w:outlineLvl w:val="9"/>
      </w:pPr>
      <w:r>
        <w:rPr>
          <w:rFonts w:hint="eastAsia" w:ascii="宋体" w:hAnsi="宋体"/>
          <w:b/>
          <w:color w:val="000000"/>
          <w:szCs w:val="21"/>
          <w:highlight w:val="none"/>
        </w:rPr>
        <w:t xml:space="preserve">3</w:t>
      </w:r>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rPr>
        <w:t xml:space="preserve">、政府采购履约资金扶持政策</w:t>
      </w:r>
      <w:r>
        <w:rPr>
          <w:rFonts w:hint="eastAsia" w:ascii="宋体" w:hAnsi="宋体"/>
          <w:b/>
          <w:color w:val="000000"/>
          <w:szCs w:val="21"/>
          <w:highlight w:val="none"/>
        </w:rPr>
      </w:r>
      <w:r/>
    </w:p>
    <w:p>
      <w:pPr>
        <w:pStyle w:val="893"/>
        <w:ind w:firstLine="420"/>
        <w:spacing w:line="440" w:lineRule="exact"/>
        <w:rPr>
          <w:rFonts w:hint="eastAsia" w:ascii="宋体" w:hAnsi="宋体" w:cs="宋体"/>
          <w:b/>
          <w:color w:val="000000"/>
          <w:szCs w:val="21"/>
          <w:highlight w:val="none"/>
        </w:rPr>
        <w:outlineLvl w:val="9"/>
      </w:pPr>
      <w:r>
        <w:rPr>
          <w:rFonts w:hint="eastAsia" w:ascii="宋体" w:hAnsi="宋体"/>
          <w:b w:val="0"/>
          <w:bCs/>
          <w:color w:val="000000"/>
          <w:szCs w:val="21"/>
          <w:highlight w:val="none"/>
        </w:rPr>
        <w:t xml:space="preserve">中标供应商可凭政府采购合同办理融资贷款，详情请见江苏政府采购网“政采贷”专栏。</w:t>
      </w:r>
      <w:r>
        <w:rPr>
          <w:rFonts w:hint="eastAsia" w:ascii="宋体" w:hAnsi="宋体" w:cs="宋体"/>
          <w:b/>
          <w:color w:val="000000"/>
          <w:szCs w:val="21"/>
          <w:highlight w:val="none"/>
        </w:rPr>
      </w:r>
      <w:r/>
    </w:p>
    <w:p>
      <w:pPr>
        <w:pStyle w:val="893"/>
        <w:rPr>
          <w:color w:val="000000"/>
          <w:highlight w:val="none"/>
        </w:rPr>
      </w:pPr>
      <w:r>
        <w:rPr>
          <w:color w:val="000000"/>
          <w:highlight w:val="none"/>
        </w:rPr>
        <w:br w:type="page" w:clear="all"/>
      </w:r>
      <w:r>
        <w:rPr>
          <w:color w:val="000000"/>
          <w:highlight w:val="none"/>
        </w:rPr>
      </w:r>
      <w:r/>
    </w:p>
    <w:p>
      <w:pPr>
        <w:pStyle w:val="893"/>
        <w:jc w:val="center"/>
        <w:rPr>
          <w:rFonts w:hint="eastAsia" w:ascii="宋体" w:hAnsi="宋体" w:eastAsia="宋体" w:cs="Times New Roman"/>
          <w:b/>
          <w:bCs/>
          <w:color w:val="000000"/>
          <w:sz w:val="44"/>
          <w:szCs w:val="44"/>
          <w:highlight w:val="none"/>
        </w:rPr>
        <w:outlineLvl w:val="0"/>
      </w:pPr>
      <w:r/>
      <w:bookmarkStart w:id="100" w:name="_Toc20200"/>
      <w:r/>
      <w:bookmarkStart w:id="101" w:name="_Toc26311"/>
      <w:r>
        <w:rPr>
          <w:rFonts w:hint="eastAsia" w:ascii="宋体" w:hAnsi="宋体" w:eastAsia="宋体" w:cs="Times New Roman"/>
          <w:b/>
          <w:bCs/>
          <w:color w:val="000000"/>
          <w:sz w:val="44"/>
          <w:szCs w:val="44"/>
          <w:highlight w:val="none"/>
        </w:rPr>
        <w:t xml:space="preserve">第三章 合同</w:t>
      </w:r>
      <w:r>
        <w:rPr>
          <w:rFonts w:hint="eastAsia" w:ascii="宋体" w:hAnsi="宋体" w:eastAsia="宋体" w:cs="Times New Roman"/>
          <w:b/>
          <w:bCs/>
          <w:color w:val="000000"/>
          <w:sz w:val="44"/>
          <w:szCs w:val="44"/>
          <w:highlight w:val="none"/>
          <w:lang w:val="en-US" w:eastAsia="zh-CN"/>
        </w:rPr>
        <w:t xml:space="preserve">文本</w:t>
      </w:r>
      <w:bookmarkEnd w:id="3"/>
      <w:r/>
      <w:bookmarkEnd w:id="100"/>
      <w:r/>
      <w:bookmarkEnd w:id="101"/>
      <w:r>
        <w:rPr>
          <w:rFonts w:hint="eastAsia" w:ascii="宋体" w:hAnsi="宋体" w:eastAsia="宋体" w:cs="Times New Roman"/>
          <w:b/>
          <w:bCs/>
          <w:color w:val="000000"/>
          <w:sz w:val="44"/>
          <w:szCs w:val="44"/>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以下为中标后签定本项目合同的通用条款，中标人不得提出实质性的修改，关于专用条款将由采购人与中标人结合本项目具体情况协商后签订。</w:t>
      </w:r>
      <w:r>
        <w:rPr>
          <w:rFonts w:hint="eastAsia" w:ascii="宋体" w:hAnsi="宋体" w:eastAsia="宋体" w:cs="宋体"/>
          <w:color w:val="000000"/>
          <w:highlight w:val="none"/>
        </w:rPr>
      </w:r>
      <w:r/>
    </w:p>
    <w:p>
      <w:pPr>
        <w:pStyle w:val="911"/>
        <w:ind w:firstLine="422"/>
        <w:jc w:val="center"/>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政府采购合同（服务）</w:t>
      </w:r>
      <w:r>
        <w:rPr>
          <w:rFonts w:hint="eastAsia" w:hAnsi="宋体"/>
          <w:b/>
          <w:bCs/>
          <w:color w:val="000000"/>
          <w:sz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扬州市保障性住房发展中心公租房运营管理服务项目</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eastAsia="zh-CN"/>
        </w:rPr>
        <w:t xml:space="preserve">JSZC-321000-SDTZ-G2026-0007</w:t>
      </w:r>
      <w:r>
        <w:rPr>
          <w:rFonts w:hint="eastAsia" w:ascii="宋体" w:hAnsi="宋体" w:eastAsia="宋体" w:cs="宋体"/>
          <w:color w:val="000000"/>
          <w:highlight w:val="none"/>
          <w:lang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包号：</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甲方：（买方）</w:t>
      </w:r>
      <w:r>
        <w:rPr>
          <w:rFonts w:hint="eastAsia" w:ascii="宋体" w:hAnsi="宋体" w:eastAsia="宋体" w:cs="宋体"/>
          <w:color w:val="000000"/>
          <w:highlight w:val="none"/>
          <w:lang w:eastAsia="zh-CN"/>
        </w:rPr>
        <w:t xml:space="preserve">扬州市保障性住房发展中心</w:t>
      </w:r>
      <w:r>
        <w:rPr>
          <w:rFonts w:hint="eastAsia" w:ascii="宋体" w:hAnsi="宋体" w:eastAsia="宋体" w:cs="宋体"/>
          <w:color w:val="000000"/>
          <w:highlight w:val="none"/>
          <w:lang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乙方：（卖方）_________</w:t>
      </w:r>
      <w:r>
        <w:rPr>
          <w:rFonts w:hint="eastAsia" w:ascii="宋体" w:hAnsi="宋体" w:eastAsia="宋体" w:cs="宋体"/>
          <w:color w:val="000000"/>
          <w:highlight w:val="none"/>
        </w:rPr>
      </w:r>
      <w:r/>
    </w:p>
    <w:p>
      <w:pPr>
        <w:pStyle w:val="893"/>
        <w:numPr>
          <w:ilvl w:val="0"/>
          <w:numId w:val="0"/>
        </w:num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为认真贯彻落实住房保障政策，关注民生、改善民生，切实解决市区低收入家庭住房困难，提高市区公(廉)租住房管理和服务水平，甲方现委托乙方对扬州市区公(廉)租住房具体实施运营管理和服务，双方签订协议如下:</w:t>
      </w:r>
      <w:r>
        <w:rPr>
          <w:rFonts w:hint="eastAsia" w:ascii="宋体" w:hAnsi="宋体" w:eastAsia="宋体" w:cs="宋体"/>
          <w:color w:val="000000"/>
          <w:highlight w:val="none"/>
        </w:rPr>
      </w:r>
      <w:r/>
    </w:p>
    <w:p>
      <w:pPr>
        <w:pStyle w:val="911"/>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一、项目范围及服务费计算方法</w:t>
      </w:r>
      <w:r>
        <w:rPr>
          <w:rFonts w:hint="eastAsia" w:hAnsi="宋体"/>
          <w:b/>
          <w:bCs/>
          <w:color w:val="000000"/>
          <w:sz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项目服务内容：市本级公共租赁住房的运营和维护管理，按照《公共租赁住房管理办法》《江苏省公共租赁住房管理办法》《扬州市市区公共租赁住房保障实施办法》《关于加强市级公租房动态管理的通知》《扬州市区公共租赁住房运营管理服务绩效考核表》（2026）等文件要求完成采购文件项目需求中明确的工作事项。</w:t>
      </w:r>
      <w:r>
        <w:rPr>
          <w:rFonts w:hint="eastAsia" w:ascii="宋体" w:hAnsi="宋体" w:eastAsia="宋体" w:cs="宋体"/>
          <w:color w:val="000000"/>
          <w:highlight w:val="none"/>
          <w:lang w:val="en-US" w:eastAsia="zh-CN"/>
        </w:rPr>
        <w:t xml:space="preserve">具体内容详见招标文件采购需求。</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2、托管服务计算方法详见下表：</w:t>
      </w:r>
      <w:r>
        <w:rPr>
          <w:rFonts w:ascii="宋体" w:hAnsi="宋体" w:eastAsia="宋体" w:cs="宋体"/>
          <w:color w:val="000000"/>
          <w:highlight w:val="none"/>
          <w:lang w:val="en-US" w:eastAsia="zh-CN"/>
        </w:rPr>
      </w:r>
      <w:r/>
    </w:p>
    <w:tbl>
      <w:tblPr>
        <w:tblW w:w="507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53"/>
        <w:gridCol w:w="1782"/>
        <w:gridCol w:w="1188"/>
        <w:gridCol w:w="2265"/>
        <w:gridCol w:w="1748"/>
      </w:tblGrid>
      <w:tr>
        <w:trPr>
          <w:trHeight w:val="482"/>
          <w:tblHeader/>
        </w:trPr>
        <w:tc>
          <w:tcPr>
            <w:tcW w:w="861"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类别</w:t>
            </w:r>
            <w:r>
              <w:rPr>
                <w:rFonts w:hint="eastAsia" w:ascii="宋体" w:hAnsi="宋体" w:eastAsia="宋体" w:cs="宋体"/>
                <w:b/>
                <w:color w:val="000000"/>
                <w:sz w:val="21"/>
                <w:szCs w:val="21"/>
                <w:highlight w:val="none"/>
              </w:rPr>
            </w:r>
            <w:r/>
          </w:p>
        </w:tc>
        <w:tc>
          <w:tcPr>
            <w:tcW w:w="1056"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租金标准</w:t>
            </w:r>
            <w:r>
              <w:rPr>
                <w:rFonts w:hint="eastAsia" w:ascii="宋体" w:hAnsi="宋体" w:eastAsia="宋体" w:cs="宋体"/>
                <w:b/>
                <w:color w:val="000000"/>
                <w:sz w:val="21"/>
                <w:szCs w:val="21"/>
                <w:highlight w:val="none"/>
                <w:lang w:val="en-US" w:eastAsia="zh-CN"/>
              </w:rPr>
            </w:r>
            <w:r/>
          </w:p>
        </w:tc>
        <w:tc>
          <w:tcPr>
            <w:gridSpan w:val="3"/>
            <w:tcW w:w="5201"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运营管理费=实际收租额×对应结算比例（分段计算）</w:t>
            </w:r>
            <w:r>
              <w:rPr>
                <w:rFonts w:hint="eastAsia" w:ascii="宋体" w:hAnsi="宋体" w:eastAsia="宋体" w:cs="宋体"/>
                <w:b/>
                <w:color w:val="000000"/>
                <w:sz w:val="21"/>
                <w:szCs w:val="21"/>
                <w:highlight w:val="none"/>
              </w:rPr>
            </w:r>
            <w:r/>
          </w:p>
        </w:tc>
      </w:tr>
      <w:tr>
        <w:trPr>
          <w:trHeight w:val="763"/>
          <w:tblHeader/>
        </w:trPr>
        <w:tc>
          <w:tcPr>
            <w:tcW w:w="861"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056"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704" w:type="dxa"/>
            <w:vAlign w:val="center"/>
            <w:textDirection w:val="lrTb"/>
            <w:noWrap w:val="false"/>
          </w:tcPr>
          <w:p>
            <w:pPr>
              <w:pStyle w:val="893"/>
              <w:ind w:left="0" w:right="0" w:firstLine="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0-85%（含）</w:t>
            </w:r>
            <w:r>
              <w:rPr>
                <w:rFonts w:hint="eastAsia" w:ascii="宋体" w:hAnsi="宋体" w:eastAsia="宋体" w:cs="宋体"/>
                <w:b/>
                <w:color w:val="000000"/>
                <w:sz w:val="21"/>
                <w:szCs w:val="21"/>
                <w:highlight w:val="none"/>
              </w:rPr>
            </w:r>
            <w:r/>
          </w:p>
        </w:tc>
        <w:tc>
          <w:tcPr>
            <w:tcW w:w="1342" w:type="dxa"/>
            <w:vAlign w:val="center"/>
            <w:textDirection w:val="lrTb"/>
            <w:noWrap w:val="false"/>
          </w:tcPr>
          <w:p>
            <w:pPr>
              <w:pStyle w:val="893"/>
              <w:ind w:left="0" w:right="0" w:firstLine="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85%（不含）-95%（含）</w:t>
            </w:r>
            <w:r>
              <w:rPr>
                <w:rFonts w:hint="eastAsia" w:ascii="宋体" w:hAnsi="宋体" w:eastAsia="宋体" w:cs="宋体"/>
                <w:b/>
                <w:color w:val="000000"/>
                <w:sz w:val="21"/>
                <w:szCs w:val="21"/>
                <w:highlight w:val="none"/>
              </w:rPr>
            </w:r>
            <w:r/>
          </w:p>
        </w:tc>
        <w:tc>
          <w:tcPr>
            <w:tcW w:w="1035" w:type="dxa"/>
            <w:vAlign w:val="center"/>
            <w:textDirection w:val="lrTb"/>
            <w:noWrap w:val="false"/>
          </w:tcPr>
          <w:p>
            <w:pPr>
              <w:pStyle w:val="893"/>
              <w:ind w:left="0" w:right="0" w:firstLine="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95%（不含）-100%</w:t>
            </w:r>
            <w:r>
              <w:rPr>
                <w:rFonts w:hint="eastAsia" w:ascii="宋体" w:hAnsi="宋体" w:eastAsia="宋体" w:cs="宋体"/>
                <w:b/>
                <w:color w:val="000000"/>
                <w:sz w:val="21"/>
                <w:szCs w:val="21"/>
                <w:highlight w:val="none"/>
              </w:rPr>
            </w:r>
            <w:r/>
          </w:p>
        </w:tc>
      </w:tr>
      <w:tr>
        <w:trPr/>
        <w:tc>
          <w:tcPr>
            <w:tcW w:w="861"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保障期/搬迁期</w:t>
            </w:r>
            <w:r>
              <w:rPr>
                <w:rFonts w:hint="eastAsia" w:ascii="宋体" w:hAnsi="宋体" w:eastAsia="宋体" w:cs="宋体"/>
                <w:color w:val="000000"/>
                <w:sz w:val="21"/>
                <w:szCs w:val="21"/>
                <w:highlight w:val="none"/>
                <w:lang w:val="en-US" w:eastAsia="zh-CN"/>
              </w:rPr>
            </w:r>
            <w:r/>
          </w:p>
        </w:tc>
        <w:tc>
          <w:tcPr>
            <w:tcW w:w="1056"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0.75元/平方米/月</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lang w:val="en-US" w:eastAsia="zh-CN" w:bidi="ar-SA"/>
              </w:rPr>
            </w:r>
            <w:r/>
          </w:p>
        </w:tc>
        <w:tc>
          <w:tcPr>
            <w:tcW w:w="1342"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lang w:val="en-US" w:eastAsia="zh-CN" w:bidi="ar-SA"/>
              </w:rPr>
            </w:r>
            <w:r/>
          </w:p>
        </w:tc>
        <w:tc>
          <w:tcPr>
            <w:tcW w:w="1035"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66%</w:t>
            </w:r>
            <w:r>
              <w:rPr>
                <w:rFonts w:hint="eastAsia" w:ascii="宋体" w:hAnsi="宋体" w:eastAsia="宋体" w:cs="宋体"/>
                <w:color w:val="000000"/>
                <w:sz w:val="21"/>
                <w:szCs w:val="21"/>
                <w:highlight w:val="none"/>
                <w:lang w:val="en-US" w:eastAsia="zh-CN" w:bidi="ar-SA"/>
              </w:rPr>
            </w:r>
            <w:r/>
          </w:p>
        </w:tc>
      </w:tr>
      <w:tr>
        <w:trPr/>
        <w:tc>
          <w:tcPr>
            <w:tcW w:w="861"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056"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1342"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bidi="ar-SA"/>
              </w:rPr>
            </w:r>
            <w:r/>
          </w:p>
        </w:tc>
        <w:tc>
          <w:tcPr>
            <w:tcW w:w="1035"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16.6%</w:t>
            </w:r>
            <w:r>
              <w:rPr>
                <w:rFonts w:hint="eastAsia" w:ascii="宋体" w:hAnsi="宋体" w:eastAsia="宋体" w:cs="宋体"/>
                <w:color w:val="000000"/>
                <w:sz w:val="21"/>
                <w:szCs w:val="21"/>
                <w:highlight w:val="none"/>
                <w:lang w:val="en-US" w:eastAsia="zh-CN" w:bidi="ar-SA"/>
              </w:rPr>
            </w:r>
            <w:r/>
          </w:p>
        </w:tc>
      </w:tr>
      <w:tr>
        <w:trPr/>
        <w:tc>
          <w:tcPr>
            <w:tcW w:w="861"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过渡期</w:t>
            </w:r>
            <w:r>
              <w:rPr>
                <w:rFonts w:hint="eastAsia" w:ascii="宋体" w:hAnsi="宋体" w:eastAsia="宋体" w:cs="宋体"/>
                <w:color w:val="000000"/>
                <w:sz w:val="21"/>
                <w:szCs w:val="21"/>
                <w:highlight w:val="none"/>
                <w:lang w:val="en-US" w:eastAsia="zh-CN"/>
              </w:rPr>
            </w:r>
            <w:r/>
          </w:p>
        </w:tc>
        <w:tc>
          <w:tcPr>
            <w:tcW w:w="1056"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rPr>
            </w:r>
            <w:r/>
          </w:p>
        </w:tc>
        <w:tc>
          <w:tcPr>
            <w:gridSpan w:val="3"/>
            <w:tcW w:w="5201"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val="en-US" w:eastAsia="zh-CN"/>
              </w:rPr>
            </w:r>
            <w:r/>
          </w:p>
        </w:tc>
      </w:tr>
      <w:tr>
        <w:trPr/>
        <w:tc>
          <w:tcPr>
            <w:tcW w:w="861"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056"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lang w:val="en-US" w:eastAsia="zh-CN"/>
              </w:rPr>
            </w:r>
            <w:r/>
          </w:p>
        </w:tc>
        <w:tc>
          <w:tcPr>
            <w:gridSpan w:val="3"/>
            <w:tcW w:w="5201"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r>
      <w:tr>
        <w:trPr/>
        <w:tc>
          <w:tcPr>
            <w:tcW w:w="861"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市场租金期</w:t>
            </w:r>
            <w:r>
              <w:rPr>
                <w:rFonts w:hint="eastAsia" w:ascii="宋体" w:hAnsi="宋体" w:eastAsia="宋体" w:cs="宋体"/>
                <w:color w:val="000000"/>
                <w:sz w:val="21"/>
                <w:szCs w:val="21"/>
                <w:highlight w:val="none"/>
                <w:lang w:val="en-US" w:eastAsia="zh-CN"/>
              </w:rPr>
            </w:r>
            <w:r/>
          </w:p>
        </w:tc>
        <w:tc>
          <w:tcPr>
            <w:tcW w:w="1056"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lang w:val="en-US" w:eastAsia="zh-CN"/>
              </w:rPr>
            </w:r>
            <w:r/>
          </w:p>
        </w:tc>
        <w:tc>
          <w:tcPr>
            <w:gridSpan w:val="3"/>
            <w:tcW w:w="5201"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bidi="ar-SA"/>
              </w:rPr>
            </w:r>
            <w:r/>
          </w:p>
        </w:tc>
      </w:tr>
      <w:tr>
        <w:trPr/>
        <w:tc>
          <w:tcPr>
            <w:tcW w:w="861"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2年以内往欠</w:t>
            </w:r>
            <w:r>
              <w:rPr>
                <w:rFonts w:hint="eastAsia" w:ascii="宋体" w:hAnsi="宋体" w:eastAsia="宋体" w:cs="宋体"/>
                <w:color w:val="000000"/>
                <w:sz w:val="21"/>
                <w:szCs w:val="21"/>
                <w:highlight w:val="none"/>
                <w:lang w:val="en-US" w:eastAsia="zh-CN"/>
              </w:rPr>
            </w:r>
            <w:r/>
          </w:p>
        </w:tc>
        <w:tc>
          <w:tcPr>
            <w:tcW w:w="1056"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0.75元/平方米/月</w:t>
            </w:r>
            <w:r>
              <w:rPr>
                <w:rFonts w:hint="eastAsia" w:ascii="宋体" w:hAnsi="宋体" w:eastAsia="宋体" w:cs="宋体"/>
                <w:color w:val="000000"/>
                <w:sz w:val="21"/>
                <w:szCs w:val="21"/>
                <w:highlight w:val="none"/>
                <w:lang w:val="en-US" w:eastAsia="zh-CN" w:bidi="ar-SA"/>
              </w:rPr>
            </w:r>
            <w:r/>
          </w:p>
        </w:tc>
        <w:tc>
          <w:tcPr>
            <w:gridSpan w:val="3"/>
            <w:tcW w:w="5201"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lang w:val="en-US" w:eastAsia="zh-CN"/>
              </w:rPr>
            </w:r>
            <w:r/>
          </w:p>
        </w:tc>
      </w:tr>
      <w:tr>
        <w:trPr/>
        <w:tc>
          <w:tcPr>
            <w:tcW w:w="861"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056"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lang w:val="en-US" w:eastAsia="zh-CN" w:bidi="ar-SA"/>
              </w:rPr>
            </w:r>
            <w:r/>
          </w:p>
        </w:tc>
        <w:tc>
          <w:tcPr>
            <w:gridSpan w:val="3"/>
            <w:tcW w:w="5201"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r>
      <w:tr>
        <w:trPr/>
        <w:tc>
          <w:tcPr>
            <w:tcW w:w="861"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2年以上往欠</w:t>
            </w:r>
            <w:r>
              <w:rPr>
                <w:rFonts w:hint="eastAsia" w:ascii="宋体" w:hAnsi="宋体" w:eastAsia="宋体" w:cs="宋体"/>
                <w:color w:val="000000"/>
                <w:sz w:val="21"/>
                <w:szCs w:val="21"/>
                <w:highlight w:val="none"/>
                <w:lang w:val="en-US" w:eastAsia="zh-CN"/>
              </w:rPr>
            </w:r>
            <w:r/>
          </w:p>
        </w:tc>
        <w:tc>
          <w:tcPr>
            <w:tcW w:w="1056"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0.75元/平方米/月</w:t>
            </w:r>
            <w:r>
              <w:rPr>
                <w:rFonts w:hint="eastAsia" w:ascii="宋体" w:hAnsi="宋体" w:eastAsia="宋体" w:cs="宋体"/>
                <w:color w:val="000000"/>
                <w:sz w:val="21"/>
                <w:szCs w:val="21"/>
                <w:highlight w:val="none"/>
                <w:lang w:val="en-US" w:eastAsia="zh-CN" w:bidi="ar-SA"/>
              </w:rPr>
            </w:r>
            <w:r/>
          </w:p>
        </w:tc>
        <w:tc>
          <w:tcPr>
            <w:gridSpan w:val="3"/>
            <w:tcW w:w="5201"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66%</w:t>
            </w:r>
            <w:r>
              <w:rPr>
                <w:rFonts w:hint="eastAsia" w:ascii="宋体" w:hAnsi="宋体" w:eastAsia="宋体" w:cs="宋体"/>
                <w:color w:val="000000"/>
                <w:sz w:val="21"/>
                <w:szCs w:val="21"/>
                <w:highlight w:val="none"/>
                <w:lang w:val="en-US" w:eastAsia="zh-CN"/>
              </w:rPr>
            </w:r>
            <w:r/>
          </w:p>
        </w:tc>
      </w:tr>
      <w:tr>
        <w:trPr/>
        <w:tc>
          <w:tcPr>
            <w:tcW w:w="861"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056"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lang w:val="en-US" w:eastAsia="zh-CN" w:bidi="ar-SA"/>
              </w:rPr>
            </w:r>
            <w:r/>
          </w:p>
        </w:tc>
        <w:tc>
          <w:tcPr>
            <w:gridSpan w:val="3"/>
            <w:tcW w:w="5201"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16.6%</w:t>
            </w:r>
            <w:r>
              <w:rPr>
                <w:rFonts w:hint="eastAsia" w:ascii="宋体" w:hAnsi="宋体" w:eastAsia="宋体" w:cs="宋体"/>
                <w:color w:val="000000"/>
                <w:sz w:val="21"/>
                <w:szCs w:val="21"/>
                <w:highlight w:val="none"/>
                <w:lang w:val="en-US" w:eastAsia="zh-CN"/>
              </w:rPr>
            </w:r>
            <w:r/>
          </w:p>
        </w:tc>
      </w:tr>
    </w:tbl>
    <w:p>
      <w:pPr>
        <w:pStyle w:val="893"/>
        <w:ind w:firstLine="420"/>
        <w:spacing w:line="360" w:lineRule="auto"/>
        <w:rPr>
          <w:rFonts w:hint="eastAsia"/>
          <w:color w:val="000000"/>
          <w:highlight w:val="none"/>
        </w:rPr>
      </w:pPr>
      <w:r>
        <w:rPr>
          <w:rFonts w:hint="eastAsia"/>
          <w:color w:val="000000"/>
          <w:highlight w:val="none"/>
        </w:rPr>
        <w:t xml:space="preserve">本协议的托管服务费最终以实际收取的金额为基数进行相应计算，且计得的托管服务费已含税且系乙方</w:t>
      </w:r>
      <w:r>
        <w:rPr>
          <w:rFonts w:hint="eastAsia"/>
          <w:color w:val="000000"/>
          <w:highlight w:val="none"/>
          <w:lang w:val="en-US" w:eastAsia="zh-CN"/>
        </w:rPr>
        <w:t xml:space="preserve">履</w:t>
      </w:r>
      <w:r>
        <w:rPr>
          <w:rFonts w:hint="eastAsia"/>
          <w:color w:val="000000"/>
          <w:highlight w:val="none"/>
        </w:rPr>
        <w:t xml:space="preserve">行合同义务而需甲方支付的全部对价，除本合同另有明确约定外，甲方无需向乙方或第三方支付其他任何费用。乙方开票税费由乙方承担，甲方付款均以乙方提供足额有效的增值税发票为前提，否则，甲方有权暂停付款且不承担任何责任。</w:t>
      </w:r>
      <w:r>
        <w:rPr>
          <w:rFonts w:hint="eastAsia"/>
          <w:color w:val="000000"/>
          <w:highlight w:val="none"/>
        </w:rPr>
      </w:r>
      <w:r/>
    </w:p>
    <w:p>
      <w:pPr>
        <w:pStyle w:val="893"/>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市本级公共租赁住房的运营和维护管理，按照《公共租赁住房管理办法》《江苏省公共租赁住房管理办法》《扬州市市区公共租赁住房保障实施办法》《关于加强市级公租房动态管理的通知》《扬州市区公共租赁住房运营管理服务绩效考核表》（2026）等文件要求完成采购文件项目需求中明确的工作事项。</w:t>
      </w:r>
      <w:r>
        <w:rPr>
          <w:rFonts w:hint="eastAsia" w:ascii="Times New Roman" w:hAnsi="Times New Roman" w:eastAsia="宋体" w:cs="Times New Roman"/>
          <w:color w:val="000000"/>
          <w:highlight w:val="none"/>
          <w:lang w:val="en-US" w:eastAsia="zh-CN"/>
        </w:rPr>
      </w:r>
      <w:r/>
    </w:p>
    <w:p>
      <w:pPr>
        <w:pStyle w:val="911"/>
        <w:ind w:firstLine="422"/>
        <w:spacing w:before="120" w:after="120" w:line="360" w:lineRule="auto"/>
        <w:rPr>
          <w:rFonts w:hAnsi="宋体" w:eastAsia="宋体"/>
          <w:b/>
          <w:bCs/>
          <w:color w:val="000000"/>
          <w:sz w:val="21"/>
          <w:highlight w:val="none"/>
          <w:lang w:val="en-US" w:eastAsia="zh-CN"/>
        </w:rPr>
      </w:pPr>
      <w:r>
        <w:rPr>
          <w:rFonts w:hint="eastAsia" w:hAnsi="宋体"/>
          <w:b/>
          <w:bCs/>
          <w:color w:val="000000"/>
          <w:sz w:val="21"/>
          <w:highlight w:val="none"/>
          <w:lang w:val="en-US" w:eastAsia="zh-CN"/>
        </w:rPr>
        <w:t xml:space="preserve">二</w:t>
      </w:r>
      <w:r>
        <w:rPr>
          <w:rFonts w:hint="eastAsia" w:hAnsi="宋体"/>
          <w:b/>
          <w:bCs/>
          <w:color w:val="000000"/>
          <w:sz w:val="21"/>
          <w:highlight w:val="none"/>
        </w:rPr>
        <w:t xml:space="preserve">、</w:t>
      </w:r>
      <w:r>
        <w:rPr>
          <w:rFonts w:hint="eastAsia" w:hAnsi="宋体"/>
          <w:b/>
          <w:bCs/>
          <w:color w:val="000000"/>
          <w:sz w:val="21"/>
          <w:highlight w:val="none"/>
          <w:lang w:val="en-US" w:eastAsia="zh-CN"/>
        </w:rPr>
        <w:t xml:space="preserve">托管</w:t>
      </w:r>
      <w:r>
        <w:rPr>
          <w:rFonts w:hint="eastAsia" w:hAnsi="宋体"/>
          <w:b/>
          <w:bCs/>
          <w:color w:val="000000"/>
          <w:sz w:val="21"/>
          <w:highlight w:val="none"/>
          <w:lang w:val="en-US" w:eastAsia="zh-CN"/>
        </w:rPr>
        <w:t xml:space="preserve">服务费支付方式</w:t>
      </w:r>
      <w:r>
        <w:rPr>
          <w:rFonts w:hAnsi="宋体" w:eastAsia="宋体"/>
          <w:b/>
          <w:bCs/>
          <w:color w:val="000000"/>
          <w:sz w:val="21"/>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1、当月在规定的期限内办理完租金收缴结帐手续后，按每季度实际收到的租金以最低档服务费计算标准</w:t>
      </w:r>
      <w:r>
        <w:rPr>
          <w:rFonts w:hint="eastAsia" w:ascii="宋体" w:hAnsi="宋体" w:eastAsia="宋体" w:cs="宋体"/>
          <w:color w:val="000000"/>
          <w:highlight w:val="none"/>
          <w:lang w:val="en-US" w:eastAsia="zh-CN"/>
        </w:rPr>
        <w:t xml:space="preserve">支</w:t>
      </w:r>
      <w:r>
        <w:rPr>
          <w:rFonts w:hint="eastAsia" w:ascii="宋体" w:hAnsi="宋体" w:eastAsia="宋体" w:cs="宋体"/>
          <w:color w:val="000000"/>
          <w:highlight w:val="none"/>
        </w:rPr>
        <w:t xml:space="preserve">付给乙方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2、年末按全年实际收到的租金以本协议托管服务费计算方法(分段计算)计算</w:t>
      </w:r>
      <w:r>
        <w:rPr>
          <w:rFonts w:hint="eastAsia" w:ascii="宋体" w:hAnsi="宋体" w:eastAsia="宋体" w:cs="宋体"/>
          <w:color w:val="000000"/>
          <w:highlight w:val="none"/>
          <w:lang w:val="en-US" w:eastAsia="zh-CN"/>
        </w:rPr>
        <w:t xml:space="preserve">支</w:t>
      </w:r>
      <w:r>
        <w:rPr>
          <w:rFonts w:hint="eastAsia" w:ascii="宋体" w:hAnsi="宋体" w:eastAsia="宋体" w:cs="宋体"/>
          <w:color w:val="000000"/>
          <w:highlight w:val="none"/>
        </w:rPr>
        <w:t xml:space="preserve">付剩余托管服务费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3、年度考核按照《扬州市区公共租赁住房运营管理服务绩效考核表》</w:t>
      </w:r>
      <w:r>
        <w:rPr>
          <w:rFonts w:hint="eastAsia" w:ascii="宋体" w:hAnsi="宋体" w:eastAsia="宋体" w:cs="宋体"/>
          <w:color w:val="000000"/>
          <w:highlight w:val="none"/>
        </w:rPr>
        <w:t xml:space="preserve">（2026）</w:t>
      </w:r>
      <w:r>
        <w:rPr>
          <w:rFonts w:hint="eastAsia" w:ascii="宋体" w:hAnsi="宋体" w:eastAsia="宋体" w:cs="宋体"/>
          <w:color w:val="000000"/>
          <w:highlight w:val="none"/>
        </w:rPr>
        <w:t xml:space="preserve">执行</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详见合同附件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4、根据年度考核情况按甲方奖惩措施规定进行奖惩</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11"/>
        <w:ind w:firstLine="422"/>
        <w:spacing w:before="120" w:after="120" w:line="360" w:lineRule="auto"/>
        <w:rPr>
          <w:rFonts w:hAnsi="宋体"/>
          <w:b/>
          <w:bCs/>
          <w:color w:val="000000"/>
          <w:sz w:val="21"/>
          <w:highlight w:val="none"/>
          <w:lang w:val="en-US" w:eastAsia="zh-CN"/>
        </w:rPr>
      </w:pPr>
      <w:r>
        <w:rPr>
          <w:rFonts w:hint="eastAsia" w:hAnsi="宋体"/>
          <w:b/>
          <w:bCs/>
          <w:color w:val="000000"/>
          <w:sz w:val="21"/>
          <w:highlight w:val="none"/>
          <w:lang w:val="en-US" w:eastAsia="zh-CN"/>
        </w:rPr>
        <w:t xml:space="preserve">三、维修流程</w:t>
      </w:r>
      <w:r>
        <w:rPr>
          <w:rFonts w:hAnsi="宋体"/>
          <w:b/>
          <w:bCs/>
          <w:color w:val="000000"/>
          <w:sz w:val="21"/>
          <w:highlight w:val="none"/>
          <w:lang w:val="en-US" w:eastAsia="zh-CN"/>
        </w:rPr>
      </w:r>
      <w:r/>
    </w:p>
    <w:p>
      <w:pPr>
        <w:pStyle w:val="911"/>
        <w:ind w:firstLine="420"/>
        <w:spacing w:before="120" w:after="120" w:line="360" w:lineRule="auto"/>
        <w:rPr>
          <w:rFonts w:hint="eastAsia" w:hAnsi="宋体"/>
          <w:b w:val="0"/>
          <w:bCs w:val="0"/>
          <w:color w:val="000000"/>
          <w:sz w:val="21"/>
          <w:highlight w:val="none"/>
          <w:lang w:val="en-US" w:eastAsia="zh-CN"/>
        </w:rPr>
      </w:pPr>
      <w:r>
        <w:rPr>
          <w:rFonts w:hint="eastAsia" w:hAnsi="宋体"/>
          <w:b w:val="0"/>
          <w:bCs w:val="0"/>
          <w:color w:val="000000"/>
          <w:sz w:val="21"/>
          <w:highlight w:val="none"/>
          <w:lang w:val="en-US" w:eastAsia="zh-CN"/>
        </w:rPr>
        <w:t xml:space="preserve">1、维修流程及报支限额：乙方应及时做好公(廉)租房的维修养护工作，以提高市区公(廉)租住房管理和服务水平、提高老百姓满意度为原则做到应修尽修。</w:t>
      </w:r>
      <w:r>
        <w:rPr>
          <w:rFonts w:hint="eastAsia" w:hAnsi="宋体"/>
          <w:b w:val="0"/>
          <w:bCs w:val="0"/>
          <w:color w:val="000000"/>
          <w:sz w:val="21"/>
          <w:highlight w:val="none"/>
          <w:lang w:val="en-US" w:eastAsia="zh-CN"/>
        </w:rPr>
      </w:r>
      <w:r/>
    </w:p>
    <w:p>
      <w:pPr>
        <w:pStyle w:val="911"/>
        <w:ind w:firstLine="420"/>
        <w:spacing w:before="120" w:after="120" w:line="360" w:lineRule="auto"/>
        <w:rPr>
          <w:rFonts w:hint="eastAsia" w:hAnsi="宋体"/>
          <w:b w:val="0"/>
          <w:bCs w:val="0"/>
          <w:color w:val="000000"/>
          <w:sz w:val="21"/>
          <w:highlight w:val="none"/>
          <w:lang w:val="en-US" w:eastAsia="zh-CN"/>
        </w:rPr>
      </w:pPr>
      <w:r>
        <w:rPr>
          <w:rFonts w:hint="eastAsia" w:hAnsi="宋体"/>
          <w:b w:val="0"/>
          <w:bCs w:val="0"/>
          <w:color w:val="000000"/>
          <w:sz w:val="21"/>
          <w:highlight w:val="none"/>
          <w:lang w:val="en-US" w:eastAsia="zh-CN"/>
        </w:rPr>
        <w:t xml:space="preserve">2、业务流程为：乙方受理-甲乙双方共同查勘-确定是否维修-甲方确定维修方案-乙方编写造价预算-甲方审批-乙方按核准的方案实施维修-竣工验收-乙方报审-按审计确定金额支付费用。</w:t>
      </w:r>
      <w:r>
        <w:rPr>
          <w:rFonts w:hint="eastAsia" w:hAnsi="宋体"/>
          <w:b w:val="0"/>
          <w:bCs w:val="0"/>
          <w:color w:val="000000"/>
          <w:sz w:val="21"/>
          <w:highlight w:val="none"/>
          <w:lang w:val="en-US" w:eastAsia="zh-CN"/>
        </w:rPr>
      </w:r>
      <w:r/>
    </w:p>
    <w:p>
      <w:pPr>
        <w:pStyle w:val="893"/>
        <w:ind w:firstLine="420"/>
        <w:rPr>
          <w:rFonts w:hAnsi="宋体"/>
          <w:b/>
          <w:bCs/>
          <w:color w:val="000000"/>
          <w:sz w:val="21"/>
          <w:highlight w:val="none"/>
          <w:lang w:val="en-US"/>
        </w:rPr>
      </w:pPr>
      <w:r>
        <w:rPr>
          <w:rFonts w:hint="eastAsia" w:hAnsi="宋体"/>
          <w:b/>
          <w:bCs/>
          <w:color w:val="000000"/>
          <w:sz w:val="21"/>
          <w:highlight w:val="none"/>
          <w:lang w:val="en-US" w:eastAsia="zh-CN"/>
        </w:rPr>
        <w:t xml:space="preserve">四</w:t>
      </w:r>
      <w:r>
        <w:rPr>
          <w:rFonts w:hint="eastAsia" w:hAnsi="宋体"/>
          <w:b/>
          <w:bCs/>
          <w:color w:val="000000"/>
          <w:sz w:val="21"/>
          <w:highlight w:val="none"/>
        </w:rPr>
        <w:t xml:space="preserve">、</w:t>
      </w:r>
      <w:r>
        <w:rPr>
          <w:rFonts w:hint="eastAsia" w:hAnsi="宋体"/>
          <w:b/>
          <w:bCs/>
          <w:color w:val="000000"/>
          <w:sz w:val="21"/>
          <w:highlight w:val="none"/>
          <w:lang w:val="en-US" w:eastAsia="zh-CN"/>
        </w:rPr>
        <w:t xml:space="preserve">双方</w:t>
      </w:r>
      <w:r>
        <w:rPr>
          <w:rFonts w:hint="eastAsia" w:hAnsi="宋体"/>
          <w:b/>
          <w:bCs/>
          <w:color w:val="000000"/>
          <w:sz w:val="21"/>
          <w:highlight w:val="none"/>
          <w:lang w:val="en-US" w:eastAsia="zh-CN"/>
        </w:rPr>
        <w:t xml:space="preserve">权利</w:t>
      </w:r>
      <w:r>
        <w:rPr>
          <w:rFonts w:hAnsi="宋体"/>
          <w:b/>
          <w:bCs/>
          <w:color w:val="000000"/>
          <w:sz w:val="21"/>
          <w:highlight w:val="none"/>
          <w:lang w:val="en-US"/>
        </w:rPr>
      </w:r>
      <w:r/>
    </w:p>
    <w:p>
      <w:pPr>
        <w:pStyle w:val="893"/>
        <w:ind w:firstLine="422"/>
        <w:keepLines w:val="0"/>
        <w:keepNext w:val="0"/>
        <w:pageBreakBefore w:val="0"/>
        <w:spacing w:line="360" w:lineRule="auto"/>
        <w:widowControl w:val="off"/>
        <w:rPr>
          <w:rFonts w:hint="eastAsia"/>
          <w:b/>
          <w:bCs/>
          <w:color w:val="000000"/>
          <w:highlight w:val="none"/>
        </w:rPr>
      </w:pPr>
      <w:r>
        <w:rPr>
          <w:rFonts w:hint="eastAsia"/>
          <w:b/>
          <w:bCs/>
          <w:color w:val="000000"/>
          <w:highlight w:val="none"/>
          <w:lang w:eastAsia="zh-CN"/>
        </w:rPr>
        <w:t xml:space="preserve">（</w:t>
      </w:r>
      <w:r>
        <w:rPr>
          <w:rFonts w:hint="eastAsia"/>
          <w:b/>
          <w:bCs/>
          <w:color w:val="000000"/>
          <w:highlight w:val="none"/>
          <w:lang w:val="en-US" w:eastAsia="zh-CN"/>
        </w:rPr>
        <w:t xml:space="preserve">一</w:t>
      </w:r>
      <w:r>
        <w:rPr>
          <w:rFonts w:hint="eastAsia"/>
          <w:b/>
          <w:bCs/>
          <w:color w:val="000000"/>
          <w:highlight w:val="none"/>
          <w:lang w:eastAsia="zh-CN"/>
        </w:rPr>
        <w:t xml:space="preserve">）</w:t>
      </w:r>
      <w:r>
        <w:rPr>
          <w:rFonts w:hint="eastAsia"/>
          <w:b/>
          <w:bCs/>
          <w:color w:val="000000"/>
          <w:highlight w:val="none"/>
        </w:rPr>
        <w:t xml:space="preserve">甲方的权利</w:t>
      </w:r>
      <w:r>
        <w:rPr>
          <w:rFonts w:hint="eastAsia"/>
          <w:b/>
          <w:bCs/>
          <w:color w:val="000000"/>
          <w:highlight w:val="none"/>
        </w:rPr>
      </w:r>
      <w:r/>
    </w:p>
    <w:p>
      <w:pPr>
        <w:pStyle w:val="893"/>
        <w:ind w:firstLine="420"/>
        <w:keepLines w:val="0"/>
        <w:keepNext w:val="0"/>
        <w:pageBreakBefore w:val="0"/>
        <w:spacing w:line="360" w:lineRule="auto"/>
        <w:widowControl w:val="off"/>
        <w:rPr>
          <w:rFonts w:hint="eastAsia" w:eastAsia="宋体"/>
          <w:color w:val="000000"/>
          <w:highlight w:val="none"/>
          <w:lang w:eastAsia="zh-CN"/>
        </w:rPr>
      </w:pPr>
      <w:r>
        <w:rPr>
          <w:rFonts w:hint="eastAsia"/>
          <w:color w:val="000000"/>
          <w:highlight w:val="none"/>
        </w:rPr>
        <w:t xml:space="preserve">1、甲方有权对乙方房屋租金收缴情况检查监督</w:t>
      </w:r>
      <w:r>
        <w:rPr>
          <w:rFonts w:hint="eastAsia"/>
          <w:color w:val="000000"/>
          <w:highlight w:val="none"/>
          <w:lang w:eastAsia="zh-CN"/>
        </w:rPr>
        <w:t xml:space="preserve">。</w:t>
      </w:r>
      <w:r>
        <w:rPr>
          <w:rFonts w:hint="eastAsia" w:eastAsia="宋体"/>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2、甲方有权对乙方报送的维修方案进行审核，对乙方实施的维修工程质量进行检查。</w:t>
      </w:r>
      <w:r>
        <w:rPr>
          <w:rFonts w:hint="eastAsia"/>
          <w:color w:val="000000"/>
          <w:highlight w:val="none"/>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3、甲方有权对乙方合同档案进行检查。</w:t>
      </w:r>
      <w:r>
        <w:rPr>
          <w:rFonts w:hint="eastAsia"/>
          <w:color w:val="000000"/>
          <w:highlight w:val="none"/>
        </w:rPr>
      </w:r>
      <w:r/>
    </w:p>
    <w:p>
      <w:pPr>
        <w:pStyle w:val="893"/>
        <w:ind w:firstLine="420"/>
        <w:keepLines w:val="0"/>
        <w:keepNext w:val="0"/>
        <w:pageBreakBefore w:val="0"/>
        <w:spacing w:line="360" w:lineRule="auto"/>
        <w:widowControl w:val="off"/>
        <w:rPr>
          <w:rFonts w:hint="eastAsia" w:eastAsia="宋体"/>
          <w:color w:val="000000"/>
          <w:highlight w:val="none"/>
          <w:lang w:eastAsia="zh-CN"/>
        </w:rPr>
      </w:pPr>
      <w:r>
        <w:rPr>
          <w:rFonts w:hint="eastAsia"/>
          <w:color w:val="000000"/>
          <w:highlight w:val="none"/>
        </w:rPr>
        <w:t xml:space="preserve">4、甲方有权对乙方提供的所有服务事项进行指导和监督</w:t>
      </w:r>
      <w:r>
        <w:rPr>
          <w:rFonts w:hint="eastAsia"/>
          <w:color w:val="000000"/>
          <w:highlight w:val="none"/>
          <w:lang w:eastAsia="zh-CN"/>
        </w:rPr>
        <w:t xml:space="preserve">。</w:t>
      </w:r>
      <w:r>
        <w:rPr>
          <w:rFonts w:hint="eastAsia" w:eastAsia="宋体"/>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5、甲方有权对乙方服务水平进行考核评价。</w:t>
      </w:r>
      <w:r>
        <w:rPr>
          <w:rFonts w:hint="eastAsia"/>
          <w:color w:val="000000"/>
          <w:highlight w:val="none"/>
        </w:rPr>
      </w:r>
      <w:r/>
    </w:p>
    <w:p>
      <w:pPr>
        <w:pStyle w:val="893"/>
        <w:ind w:firstLine="42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6、甲方有权</w:t>
      </w:r>
      <w:r>
        <w:rPr>
          <w:rFonts w:hint="eastAsia" w:ascii="Times New Roman" w:hAnsi="Times New Roman" w:eastAsia="宋体" w:cs="Times New Roman"/>
          <w:color w:val="000000"/>
          <w:highlight w:val="none"/>
        </w:rPr>
        <w:t xml:space="preserve">组织审计单位审定维修费用</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893"/>
        <w:ind w:firstLine="422"/>
        <w:keepLines w:val="0"/>
        <w:keepNext w:val="0"/>
        <w:pageBreakBefore w:val="0"/>
        <w:spacing w:line="360" w:lineRule="auto"/>
        <w:widowControl w:val="off"/>
        <w:rPr>
          <w:rFonts w:hint="eastAsia"/>
          <w:b/>
          <w:bCs/>
          <w:color w:val="000000"/>
          <w:highlight w:val="none"/>
        </w:rPr>
      </w:pPr>
      <w:r>
        <w:rPr>
          <w:rFonts w:hint="eastAsia"/>
          <w:b/>
          <w:bCs/>
          <w:color w:val="000000"/>
          <w:highlight w:val="none"/>
          <w:lang w:eastAsia="zh-CN"/>
        </w:rPr>
        <w:t xml:space="preserve">（</w:t>
      </w:r>
      <w:r>
        <w:rPr>
          <w:rFonts w:hint="eastAsia"/>
          <w:b/>
          <w:bCs/>
          <w:color w:val="000000"/>
          <w:highlight w:val="none"/>
          <w:lang w:val="en-US" w:eastAsia="zh-CN"/>
        </w:rPr>
        <w:t xml:space="preserve">二</w:t>
      </w:r>
      <w:r>
        <w:rPr>
          <w:rFonts w:hint="eastAsia"/>
          <w:b/>
          <w:bCs/>
          <w:color w:val="000000"/>
          <w:highlight w:val="none"/>
          <w:lang w:eastAsia="zh-CN"/>
        </w:rPr>
        <w:t xml:space="preserve">）</w:t>
      </w:r>
      <w:r>
        <w:rPr>
          <w:rFonts w:hint="eastAsia"/>
          <w:b/>
          <w:bCs/>
          <w:color w:val="000000"/>
          <w:highlight w:val="none"/>
        </w:rPr>
        <w:t xml:space="preserve">乙方的权利</w:t>
      </w:r>
      <w:r>
        <w:rPr>
          <w:rFonts w:hint="eastAsia"/>
          <w:b/>
          <w:bCs/>
          <w:color w:val="000000"/>
          <w:highlight w:val="none"/>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1、乙方有权按照协议约定收取托管服务费。</w:t>
      </w:r>
      <w:r>
        <w:rPr>
          <w:rFonts w:hint="eastAsia"/>
          <w:color w:val="000000"/>
          <w:highlight w:val="none"/>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2、乙方有权对提供的经甲方确认的维修服务收取相应费用。</w:t>
      </w:r>
      <w:r>
        <w:rPr>
          <w:rFonts w:hint="eastAsia"/>
          <w:color w:val="000000"/>
          <w:highlight w:val="none"/>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3、提请甲方及时批准维修方案。</w:t>
      </w:r>
      <w:r>
        <w:rPr>
          <w:rFonts w:hint="eastAsia"/>
          <w:color w:val="000000"/>
          <w:highlight w:val="none"/>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4、提请甲方及时下达各类服务内容任务工单。</w:t>
      </w:r>
      <w:r>
        <w:rPr>
          <w:rFonts w:hint="eastAsia"/>
          <w:color w:val="000000"/>
          <w:highlight w:val="none"/>
        </w:rPr>
      </w:r>
      <w:r/>
    </w:p>
    <w:p>
      <w:pPr>
        <w:pStyle w:val="893"/>
        <w:ind w:firstLine="422"/>
        <w:keepLines w:val="0"/>
        <w:keepNext w:val="0"/>
        <w:pageBreakBefore w:val="0"/>
        <w:spacing w:line="360" w:lineRule="auto"/>
        <w:widowControl w:val="off"/>
        <w:rPr>
          <w:b/>
          <w:bCs/>
          <w:color w:val="000000"/>
          <w:highlight w:val="none"/>
          <w:lang w:val="en-US" w:eastAsia="zh-CN"/>
        </w:rPr>
      </w:pPr>
      <w:r>
        <w:rPr>
          <w:rFonts w:hint="eastAsia"/>
          <w:b/>
          <w:bCs/>
          <w:color w:val="000000"/>
          <w:highlight w:val="none"/>
          <w:lang w:val="en-US" w:eastAsia="zh-CN"/>
        </w:rPr>
        <w:t xml:space="preserve">五、双方义务</w:t>
      </w:r>
      <w:r>
        <w:rPr>
          <w:b/>
          <w:bCs/>
          <w:color w:val="000000"/>
          <w:highlight w:val="none"/>
          <w:lang w:val="en-US" w:eastAsia="zh-CN"/>
        </w:rPr>
      </w:r>
      <w:r/>
    </w:p>
    <w:p>
      <w:pPr>
        <w:pStyle w:val="893"/>
        <w:ind w:firstLine="422"/>
        <w:keepLines w:val="0"/>
        <w:keepNext w:val="0"/>
        <w:pageBreakBefore w:val="0"/>
        <w:spacing w:line="360" w:lineRule="auto"/>
        <w:widowControl w:val="off"/>
        <w:rPr>
          <w:rFonts w:hint="eastAsia"/>
          <w:b/>
          <w:bCs/>
          <w:color w:val="000000"/>
          <w:highlight w:val="none"/>
        </w:rPr>
      </w:pPr>
      <w:r>
        <w:rPr>
          <w:rFonts w:hint="eastAsia"/>
          <w:b/>
          <w:bCs/>
          <w:color w:val="000000"/>
          <w:highlight w:val="none"/>
          <w:lang w:eastAsia="zh-CN"/>
        </w:rPr>
        <w:t xml:space="preserve">（</w:t>
      </w:r>
      <w:r>
        <w:rPr>
          <w:rFonts w:hint="eastAsia"/>
          <w:b/>
          <w:bCs/>
          <w:color w:val="000000"/>
          <w:highlight w:val="none"/>
          <w:lang w:val="en-US" w:eastAsia="zh-CN"/>
        </w:rPr>
        <w:t xml:space="preserve">一</w:t>
      </w:r>
      <w:r>
        <w:rPr>
          <w:rFonts w:hint="eastAsia"/>
          <w:b/>
          <w:bCs/>
          <w:color w:val="000000"/>
          <w:highlight w:val="none"/>
          <w:lang w:eastAsia="zh-CN"/>
        </w:rPr>
        <w:t xml:space="preserve">）</w:t>
      </w:r>
      <w:r>
        <w:rPr>
          <w:rFonts w:hint="eastAsia"/>
          <w:b/>
          <w:bCs/>
          <w:color w:val="000000"/>
          <w:highlight w:val="none"/>
        </w:rPr>
        <w:t xml:space="preserve">甲方的义务</w:t>
      </w:r>
      <w:r>
        <w:rPr>
          <w:rFonts w:hint="eastAsia"/>
          <w:b/>
          <w:bCs/>
          <w:color w:val="000000"/>
          <w:highlight w:val="none"/>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1、甲方应组织乙方工作人员对保障房政策、法规的教育培训及行风作风廉政教育。</w:t>
      </w:r>
      <w:r>
        <w:rPr>
          <w:rFonts w:hint="eastAsia"/>
          <w:color w:val="000000"/>
          <w:highlight w:val="none"/>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2、甲方应按协议约定按期</w:t>
      </w:r>
      <w:r>
        <w:rPr>
          <w:rFonts w:hint="eastAsia"/>
          <w:color w:val="000000"/>
          <w:highlight w:val="none"/>
          <w:lang w:val="en-US" w:eastAsia="zh-CN"/>
        </w:rPr>
        <w:t xml:space="preserve">支</w:t>
      </w:r>
      <w:r>
        <w:rPr>
          <w:rFonts w:hint="eastAsia"/>
          <w:color w:val="000000"/>
          <w:highlight w:val="none"/>
        </w:rPr>
        <w:t xml:space="preserve">付托管服务费。</w:t>
      </w:r>
      <w:r>
        <w:rPr>
          <w:rFonts w:hint="eastAsia"/>
          <w:color w:val="000000"/>
          <w:highlight w:val="none"/>
        </w:rPr>
      </w:r>
      <w:r/>
    </w:p>
    <w:p>
      <w:pPr>
        <w:pStyle w:val="893"/>
        <w:ind w:firstLine="420"/>
        <w:keepLines w:val="0"/>
        <w:keepNext w:val="0"/>
        <w:pageBreakBefore w:val="0"/>
        <w:spacing w:line="360" w:lineRule="auto"/>
        <w:widowControl w:val="off"/>
        <w:rPr>
          <w:rFonts w:hint="eastAsia" w:eastAsia="宋体"/>
          <w:color w:val="000000"/>
          <w:highlight w:val="none"/>
          <w:lang w:eastAsia="zh-CN"/>
        </w:rPr>
      </w:pPr>
      <w:r>
        <w:rPr>
          <w:rFonts w:hint="eastAsia"/>
          <w:color w:val="000000"/>
          <w:highlight w:val="none"/>
        </w:rPr>
        <w:t xml:space="preserve">3、按乙方实际提供的经甲方确认的维修服务支付维修费用</w:t>
      </w:r>
      <w:r>
        <w:rPr>
          <w:rFonts w:hint="eastAsia"/>
          <w:color w:val="000000"/>
          <w:highlight w:val="none"/>
          <w:lang w:eastAsia="zh-CN"/>
        </w:rPr>
        <w:t xml:space="preserve">。</w:t>
      </w:r>
      <w:r>
        <w:rPr>
          <w:rFonts w:hint="eastAsia" w:eastAsia="宋体"/>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4、及时下达服务业务任务工单，以便乙方组织实施。</w:t>
      </w:r>
      <w:r>
        <w:rPr>
          <w:rFonts w:hint="eastAsia"/>
          <w:color w:val="000000"/>
          <w:highlight w:val="none"/>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rPr>
        <w:t xml:space="preserve">5、及时组织年度考评，按考评结果进行奖惩</w:t>
      </w:r>
      <w:r>
        <w:rPr>
          <w:rFonts w:hint="eastAsia"/>
          <w:color w:val="000000"/>
          <w:highlight w:val="none"/>
          <w:lang w:eastAsia="zh-CN"/>
        </w:rPr>
        <w:t xml:space="preserve">。</w:t>
      </w:r>
      <w:r>
        <w:rPr>
          <w:rFonts w:hint="eastAsia"/>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t xml:space="preserve">6、因</w:t>
      </w:r>
      <w:r>
        <w:rPr>
          <w:rFonts w:hint="eastAsia"/>
          <w:color w:val="000000"/>
          <w:highlight w:val="none"/>
          <w:lang w:val="en-US" w:eastAsia="zh-CN"/>
        </w:rPr>
        <w:t xml:space="preserve">审核单位</w:t>
      </w:r>
      <w:r>
        <w:rPr>
          <w:rFonts w:hint="eastAsia"/>
          <w:color w:val="000000"/>
          <w:highlight w:val="none"/>
          <w:lang w:eastAsia="zh-CN"/>
        </w:rPr>
        <w:t xml:space="preserve">进行保障对象资格年审，所有到期住户不能及时续签租赁合同而导致乙方租金收取困难的因素，甲方在考核时予以适当认可。</w:t>
      </w:r>
      <w:r>
        <w:rPr>
          <w:rFonts w:hint="eastAsia"/>
          <w:color w:val="000000"/>
          <w:highlight w:val="none"/>
          <w:lang w:eastAsia="zh-CN"/>
        </w:rPr>
      </w:r>
      <w:r/>
    </w:p>
    <w:p>
      <w:pPr>
        <w:pStyle w:val="893"/>
        <w:ind w:firstLine="422"/>
        <w:keepLines w:val="0"/>
        <w:keepNext w:val="0"/>
        <w:pageBreakBefore w:val="0"/>
        <w:spacing w:line="360" w:lineRule="auto"/>
        <w:widowControl w:val="off"/>
        <w:rPr>
          <w:rFonts w:hint="eastAsia"/>
          <w:b/>
          <w:bCs/>
          <w:color w:val="000000"/>
          <w:highlight w:val="none"/>
          <w:lang w:eastAsia="zh-CN"/>
        </w:rPr>
      </w:pPr>
      <w:r>
        <w:rPr>
          <w:rFonts w:hint="eastAsia"/>
          <w:b/>
          <w:bCs/>
          <w:color w:val="000000"/>
          <w:highlight w:val="none"/>
          <w:lang w:eastAsia="zh-CN"/>
        </w:rPr>
        <w:t xml:space="preserve">（</w:t>
      </w:r>
      <w:r>
        <w:rPr>
          <w:rFonts w:hint="eastAsia"/>
          <w:b/>
          <w:bCs/>
          <w:color w:val="000000"/>
          <w:highlight w:val="none"/>
          <w:lang w:val="en-US" w:eastAsia="zh-CN"/>
        </w:rPr>
        <w:t xml:space="preserve">二</w:t>
      </w:r>
      <w:r>
        <w:rPr>
          <w:rFonts w:hint="eastAsia"/>
          <w:b/>
          <w:bCs/>
          <w:color w:val="000000"/>
          <w:highlight w:val="none"/>
          <w:lang w:eastAsia="zh-CN"/>
        </w:rPr>
        <w:t xml:space="preserve">）乙方的义务</w:t>
      </w:r>
      <w:r>
        <w:rPr>
          <w:rFonts w:hint="eastAsia"/>
          <w:b/>
          <w:bCs/>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t xml:space="preserve">1、乙方应按住房保障的方针、政策和法规，坚持依法管理公(廉)租住房。</w:t>
      </w:r>
      <w:r>
        <w:rPr>
          <w:rFonts w:hint="eastAsia"/>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t xml:space="preserve">2、乙方应全面掌握已交付和已配租的公(廉)租住房面积、租金等情况，做好租金及房产统计报表及财务相关工作。</w:t>
      </w:r>
      <w:r>
        <w:rPr>
          <w:rFonts w:hint="eastAsia"/>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t xml:space="preserve">3、乙方应协助甲方做好本年度公(廉)租房申请户实物配租的登记、摇号抽签、调换、签约及入住等相关工作。</w:t>
      </w:r>
      <w:r>
        <w:rPr>
          <w:rFonts w:hint="eastAsia"/>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t xml:space="preserve">4、乙方应及时向甲方指定的审计单位提供维修业务的相关资料。</w:t>
      </w:r>
      <w:r>
        <w:rPr>
          <w:rFonts w:hint="eastAsia"/>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t xml:space="preserve">5、乙方应定期走访住户，进行安全检查,及时了解和全面掌握公(廉)租户住户居住情况及房屋状况，督促住户按照《扬州市区公共租赁住房租赁合同》的要求合法居住使用。</w:t>
      </w:r>
      <w:r>
        <w:rPr>
          <w:rFonts w:hint="eastAsia"/>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t xml:space="preserve">6、乙方须及时做好</w:t>
      </w:r>
      <w:r>
        <w:rPr>
          <w:rFonts w:hint="eastAsia"/>
          <w:color w:val="000000"/>
          <w:highlight w:val="none"/>
          <w:lang w:val="en-US" w:eastAsia="zh-CN"/>
        </w:rPr>
        <w:t xml:space="preserve">经审核单位</w:t>
      </w:r>
      <w:r>
        <w:rPr>
          <w:rFonts w:hint="eastAsia"/>
          <w:color w:val="000000"/>
          <w:highlight w:val="none"/>
          <w:lang w:eastAsia="zh-CN"/>
        </w:rPr>
        <w:t xml:space="preserve">审核后符合条件的公(廉)租户租赁合同的续签及退租工作。</w:t>
      </w:r>
      <w:r>
        <w:rPr>
          <w:rFonts w:hint="eastAsia"/>
          <w:color w:val="000000"/>
          <w:highlight w:val="none"/>
          <w:lang w:eastAsia="zh-CN"/>
        </w:rPr>
      </w:r>
      <w:r/>
    </w:p>
    <w:p>
      <w:pPr>
        <w:pStyle w:val="893"/>
        <w:ind w:firstLine="420"/>
        <w:keepLines w:val="0"/>
        <w:keepNext w:val="0"/>
        <w:pageBreakBefore w:val="0"/>
        <w:spacing w:line="360" w:lineRule="auto"/>
        <w:widowControl w:val="off"/>
        <w:rPr>
          <w:color w:val="000000"/>
          <w:highlight w:val="none"/>
          <w:lang w:val="en-US" w:eastAsia="zh-CN"/>
        </w:rPr>
      </w:pPr>
      <w:r>
        <w:rPr>
          <w:rFonts w:hint="eastAsia"/>
          <w:color w:val="000000"/>
          <w:highlight w:val="none"/>
          <w:lang w:val="en-US" w:eastAsia="zh-CN"/>
        </w:rPr>
        <w:t xml:space="preserve">7、乙方须采取有效措施，加强租金收缴、往欠租金追缴及应退房屋腾退力度。</w:t>
      </w:r>
      <w:r>
        <w:rPr>
          <w:color w:val="000000"/>
          <w:highlight w:val="none"/>
          <w:lang w:val="en-US"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val="en-US" w:eastAsia="zh-CN"/>
        </w:rPr>
        <w:t xml:space="preserve">8</w:t>
      </w:r>
      <w:r>
        <w:rPr>
          <w:rFonts w:hint="eastAsia"/>
          <w:color w:val="000000"/>
          <w:highlight w:val="none"/>
          <w:lang w:eastAsia="zh-CN"/>
        </w:rPr>
        <w:t xml:space="preserve">、乙方须积极配合甲方及市</w:t>
      </w:r>
      <w:r>
        <w:rPr>
          <w:rFonts w:hint="eastAsia"/>
          <w:color w:val="000000"/>
          <w:highlight w:val="none"/>
          <w:lang w:val="en-US" w:eastAsia="zh-CN"/>
        </w:rPr>
        <w:t xml:space="preserve">保征</w:t>
      </w:r>
      <w:r>
        <w:rPr>
          <w:rFonts w:hint="eastAsia"/>
          <w:color w:val="000000"/>
          <w:highlight w:val="none"/>
          <w:lang w:eastAsia="zh-CN"/>
        </w:rPr>
        <w:t xml:space="preserve">中心做好信访投诉的核查、</w:t>
      </w:r>
      <w:r>
        <w:rPr>
          <w:rFonts w:hint="eastAsia"/>
          <w:color w:val="000000"/>
          <w:highlight w:val="none"/>
          <w:lang w:val="en-US" w:eastAsia="zh-CN"/>
        </w:rPr>
        <w:t xml:space="preserve">答</w:t>
      </w:r>
      <w:r>
        <w:rPr>
          <w:rFonts w:hint="eastAsia"/>
          <w:color w:val="000000"/>
          <w:highlight w:val="none"/>
          <w:lang w:eastAsia="zh-CN"/>
        </w:rPr>
        <w:t xml:space="preserve">复及资格年审、退出等相关工作。</w:t>
      </w:r>
      <w:r>
        <w:rPr>
          <w:rFonts w:hint="eastAsia"/>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val="en-US" w:eastAsia="zh-CN"/>
        </w:rPr>
        <w:t xml:space="preserve">9</w:t>
      </w:r>
      <w:r>
        <w:rPr>
          <w:rFonts w:hint="eastAsia"/>
          <w:color w:val="000000"/>
          <w:highlight w:val="none"/>
          <w:lang w:eastAsia="zh-CN"/>
        </w:rPr>
        <w:t xml:space="preserve">、加强行风和廉政建设，热情周到服务，积极宣传保障政策，及时配合住户做好房屋维修工作，杜绝发生“吃、拿、卡、要”等违规现象。</w:t>
      </w:r>
      <w:r>
        <w:rPr>
          <w:rFonts w:hint="eastAsia"/>
          <w:color w:val="000000"/>
          <w:highlight w:val="none"/>
          <w:lang w:eastAsia="zh-CN"/>
        </w:rPr>
      </w:r>
      <w:r/>
    </w:p>
    <w:p>
      <w:pPr>
        <w:pStyle w:val="893"/>
        <w:ind w:firstLine="42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val="en-US" w:eastAsia="zh-CN"/>
        </w:rPr>
        <w:t xml:space="preserve">10</w:t>
      </w:r>
      <w:r>
        <w:rPr>
          <w:rFonts w:hint="eastAsia"/>
          <w:color w:val="000000"/>
          <w:highlight w:val="none"/>
          <w:lang w:eastAsia="zh-CN"/>
        </w:rPr>
        <w:t xml:space="preserve">、加强公(廉)租房租赁管理人员的业务理论学习，积极参与甲方组织的保障房政策、法规的教育培训，提高工作人员的管理水平和业务素养。</w:t>
      </w:r>
      <w:r>
        <w:rPr>
          <w:rFonts w:hint="eastAsia"/>
          <w:color w:val="000000"/>
          <w:highlight w:val="none"/>
          <w:lang w:eastAsia="zh-CN"/>
        </w:rPr>
      </w:r>
      <w:r/>
    </w:p>
    <w:p>
      <w:pPr>
        <w:pStyle w:val="893"/>
        <w:ind w:firstLine="420"/>
        <w:keepLines w:val="0"/>
        <w:keepNext w:val="0"/>
        <w:pageBreakBefore w:val="0"/>
        <w:spacing w:line="360" w:lineRule="auto"/>
        <w:widowControl w:val="off"/>
        <w:rPr>
          <w:rFonts w:ascii="Times New Roman" w:hAnsi="Times New Roman" w:eastAsia="宋体" w:cs="Times New Roman"/>
          <w:color w:val="000000"/>
          <w:highlight w:val="none"/>
          <w:lang w:val="en-US" w:eastAsia="zh-CN"/>
        </w:rPr>
      </w:pPr>
      <w:r>
        <w:rPr>
          <w:rFonts w:hint="eastAsia"/>
          <w:color w:val="000000"/>
          <w:highlight w:val="none"/>
          <w:lang w:eastAsia="zh-CN"/>
        </w:rPr>
        <w:t xml:space="preserve">1</w:t>
      </w:r>
      <w:r>
        <w:rPr>
          <w:rFonts w:hint="eastAsia"/>
          <w:color w:val="000000"/>
          <w:highlight w:val="none"/>
          <w:lang w:val="en-US" w:eastAsia="zh-CN"/>
        </w:rPr>
        <w:t xml:space="preserve">1</w:t>
      </w:r>
      <w:r>
        <w:rPr>
          <w:rFonts w:hint="eastAsia"/>
          <w:color w:val="000000"/>
          <w:highlight w:val="none"/>
          <w:lang w:eastAsia="zh-CN"/>
        </w:rPr>
        <w:t xml:space="preserve">、认</w:t>
      </w:r>
      <w:r>
        <w:rPr>
          <w:rFonts w:hint="eastAsia" w:ascii="Times New Roman" w:hAnsi="Times New Roman" w:eastAsia="宋体" w:cs="Times New Roman"/>
          <w:color w:val="000000"/>
          <w:highlight w:val="none"/>
          <w:lang w:eastAsia="zh-CN"/>
        </w:rPr>
        <w:t xml:space="preserve">真做好公(廉)租住房资料归集、整理和租赁档案管理等</w:t>
      </w:r>
      <w:r>
        <w:rPr>
          <w:rFonts w:hint="eastAsia" w:ascii="Times New Roman" w:hAnsi="Times New Roman" w:eastAsia="宋体" w:cs="Times New Roman"/>
          <w:color w:val="000000"/>
          <w:highlight w:val="none"/>
          <w:lang w:val="en-US" w:eastAsia="zh-CN"/>
        </w:rPr>
        <w:t xml:space="preserve">工作。</w:t>
      </w:r>
      <w:r>
        <w:rPr>
          <w:rFonts w:ascii="Times New Roman" w:hAnsi="Times New Roman" w:eastAsia="宋体" w:cs="Times New Roman"/>
          <w:color w:val="000000"/>
          <w:highlight w:val="none"/>
          <w:lang w:val="en-US" w:eastAsia="zh-CN"/>
        </w:rPr>
      </w:r>
      <w:r/>
    </w:p>
    <w:p>
      <w:pPr>
        <w:pStyle w:val="893"/>
        <w:ind w:firstLine="420"/>
        <w:keepLines w:val="0"/>
        <w:keepNext w:val="0"/>
        <w:pageBreakBefore w:val="0"/>
        <w:spacing w:line="360" w:lineRule="auto"/>
        <w:widowControl w:val="off"/>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1</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、负责做好甲方交办的其他工作。</w:t>
      </w:r>
      <w:r>
        <w:rPr>
          <w:rFonts w:hint="eastAsia" w:ascii="Times New Roman" w:hAnsi="Times New Roman" w:eastAsia="宋体" w:cs="Times New Roman"/>
          <w:color w:val="000000"/>
          <w:highlight w:val="none"/>
          <w:lang w:eastAsia="zh-CN"/>
        </w:rPr>
      </w:r>
      <w:r/>
    </w:p>
    <w:p>
      <w:pPr>
        <w:pStyle w:val="893"/>
        <w:ind w:firstLine="422"/>
        <w:keepLines w:val="0"/>
        <w:keepNext w:val="0"/>
        <w:pageBreakBefore w:val="0"/>
        <w:spacing w:line="360"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六、服务</w:t>
      </w:r>
      <w:r>
        <w:rPr>
          <w:rFonts w:hint="eastAsia" w:ascii="Times New Roman" w:hAnsi="Times New Roman" w:eastAsia="宋体" w:cs="Times New Roman"/>
          <w:b/>
          <w:bCs/>
          <w:color w:val="000000"/>
          <w:highlight w:val="none"/>
          <w:lang w:eastAsia="zh-CN"/>
        </w:rPr>
        <w:t xml:space="preserve">期</w:t>
      </w:r>
      <w:r>
        <w:rPr>
          <w:rFonts w:hint="eastAsia" w:ascii="Times New Roman" w:hAnsi="Times New Roman" w:eastAsia="宋体" w:cs="Times New Roman"/>
          <w:color w:val="000000"/>
          <w:highlight w:val="none"/>
          <w:u w:val="single"/>
          <w:lang w:eastAsia="zh-CN"/>
        </w:rPr>
        <w:t xml:space="preserve">  </w:t>
      </w:r>
      <w:r>
        <w:rPr>
          <w:rFonts w:hint="eastAsia" w:ascii="Times New Roman" w:hAnsi="Times New Roman" w:eastAsia="宋体" w:cs="Times New Roman"/>
          <w:color w:val="000000"/>
          <w:highlight w:val="none"/>
          <w:u w:val="single"/>
          <w:lang w:val="en-US" w:eastAsia="zh-CN"/>
        </w:rPr>
        <w:t xml:space="preserve">1</w:t>
      </w:r>
      <w:r>
        <w:rPr>
          <w:rFonts w:hint="eastAsia" w:ascii="Times New Roman" w:hAnsi="Times New Roman" w:eastAsia="宋体" w:cs="Times New Roman"/>
          <w:color w:val="000000"/>
          <w:highlight w:val="none"/>
          <w:u w:val="single"/>
          <w:lang w:eastAsia="zh-CN"/>
        </w:rPr>
        <w:t xml:space="preserve">  </w:t>
      </w:r>
      <w:r>
        <w:rPr>
          <w:rFonts w:hint="eastAsia" w:ascii="Times New Roman" w:hAnsi="Times New Roman" w:eastAsia="宋体" w:cs="Times New Roman"/>
          <w:color w:val="000000"/>
          <w:highlight w:val="none"/>
          <w:lang w:eastAsia="zh-CN"/>
        </w:rPr>
        <w:t xml:space="preserve">年。</w:t>
      </w:r>
      <w:r>
        <w:rPr>
          <w:rFonts w:hint="eastAsia" w:ascii="Times New Roman" w:hAnsi="Times New Roman" w:eastAsia="宋体" w:cs="Times New Roman"/>
          <w:color w:val="000000"/>
          <w:highlight w:val="none"/>
          <w:lang w:val="en-US" w:eastAsia="zh-CN"/>
        </w:rPr>
      </w:r>
      <w:r/>
    </w:p>
    <w:p>
      <w:pPr>
        <w:pStyle w:val="893"/>
        <w:ind w:firstLine="420"/>
        <w:rPr>
          <w:rFonts w:hint="eastAsia" w:hAnsi="宋体"/>
          <w:b/>
          <w:bCs/>
          <w:color w:val="000000"/>
          <w:sz w:val="21"/>
          <w:highlight w:val="none"/>
        </w:rPr>
      </w:pPr>
      <w:r>
        <w:rPr>
          <w:rFonts w:hint="eastAsia" w:hAnsi="宋体"/>
          <w:b/>
          <w:bCs/>
          <w:color w:val="000000"/>
          <w:sz w:val="21"/>
          <w:highlight w:val="none"/>
          <w:lang w:val="en-US" w:eastAsia="zh-CN"/>
        </w:rPr>
        <w:t xml:space="preserve">七</w:t>
      </w:r>
      <w:r>
        <w:rPr>
          <w:rFonts w:hint="eastAsia" w:hAnsi="宋体"/>
          <w:b/>
          <w:bCs/>
          <w:color w:val="000000"/>
          <w:sz w:val="21"/>
          <w:highlight w:val="none"/>
        </w:rPr>
        <w:t xml:space="preserve">、违约责任</w:t>
      </w:r>
      <w:r>
        <w:rPr>
          <w:rFonts w:hint="eastAsia" w:hAnsi="宋体"/>
          <w:b/>
          <w:bCs/>
          <w:color w:val="000000"/>
          <w:sz w:val="21"/>
          <w:highlight w:val="none"/>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（一）甲方违约责任</w:t>
      </w:r>
      <w:r>
        <w:rPr>
          <w:rFonts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甲方无故未按协议约定按期</w:t>
      </w:r>
      <w:r>
        <w:rPr>
          <w:rFonts w:hint="eastAsia" w:ascii="宋体" w:hAnsi="宋体" w:eastAsia="宋体" w:cs="宋体"/>
          <w:color w:val="000000"/>
          <w:highlight w:val="none"/>
          <w:lang w:val="en-US" w:eastAsia="zh-CN"/>
        </w:rPr>
        <w:t xml:space="preserve">支</w:t>
      </w:r>
      <w:r>
        <w:rPr>
          <w:rFonts w:hint="eastAsia" w:ascii="宋体" w:hAnsi="宋体" w:eastAsia="宋体" w:cs="宋体"/>
          <w:color w:val="000000"/>
          <w:highlight w:val="none"/>
        </w:rPr>
        <w:t xml:space="preserve">付托管服务费，应按逾期付款金额每日万分之五向乙方支付违约金。</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2、甲方应及时组织审计单位对发生的维修业务进行审计，按审定金额支付维修费用，如不及时支付维修费用，应按逾期付款金额每日万分之五向乙方支付违约金。</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（二）乙方违约责任</w:t>
      </w:r>
      <w:r>
        <w:rPr>
          <w:rFonts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如乙方提供的服务不能满足招标文件明确的委托管理服务内容要求，造成合同无法继续履行的，乙方应向甲方支付不少于乙方已收托管服务费10%的违约金并赔偿甲方所遭受的一切损失。</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2、乙方应当确保租户将租金均支付至甲方指定账户，乙方不得直接收取租户的租金，否则，乙方应按违约收取租金的30%向甲方支付违约金。</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3、如因乙方工作推诿或延误，导致住户对信访投诉结果不满意，乙方应承担相应责任，并接受甲方考评扣罚。</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4、如受托的公共租赁住房发生责任性安全事故，由乙方承担全部法律责任；如造成甲方先行赔偿的，甲方有权向乙方追偿并解除本协议。</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5、除本合同另有明确约定外，乙方发生违约，在消除违约情形前，应按应收托管服务费的万分之五向甲方支付违约金并赔偿甲方所遭受的一切损失。</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lang w:val="en-US" w:eastAsia="zh-CN"/>
        </w:rPr>
        <w:t xml:space="preserve">乙方发生违约，经甲方催告后仍未履行或改进的，同时甲方还有权解除合同。因乙方违约而致甲方解除合同的，乙方还应按应收托管服务费总额的25%向甲方支付违约金。</w:t>
      </w:r>
      <w:r>
        <w:rPr>
          <w:rFonts w:ascii="宋体" w:hAnsi="宋体" w:eastAsia="宋体" w:cs="宋体"/>
          <w:color w:val="000000"/>
          <w:highlight w:val="none"/>
          <w:lang w:val="en-US" w:eastAsia="zh-CN"/>
        </w:rPr>
      </w:r>
      <w:r/>
    </w:p>
    <w:p>
      <w:pPr>
        <w:pStyle w:val="911"/>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lang w:val="en-US" w:eastAsia="zh-CN"/>
        </w:rPr>
        <w:t xml:space="preserve">八</w:t>
      </w:r>
      <w:r>
        <w:rPr>
          <w:rFonts w:hint="eastAsia" w:hAnsi="宋体"/>
          <w:b/>
          <w:bCs/>
          <w:color w:val="000000"/>
          <w:sz w:val="21"/>
          <w:highlight w:val="none"/>
        </w:rPr>
        <w:t xml:space="preserve">、不可抗力事件处理</w:t>
      </w:r>
      <w:r>
        <w:rPr>
          <w:rFonts w:hint="eastAsia" w:hAnsi="宋体"/>
          <w:b/>
          <w:bCs/>
          <w:color w:val="000000"/>
          <w:sz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在合同有效期内，任何一方因不可抗力事件导致不能履行合同，则合同履行期可延长，其延长期与不可抗力影响期相同。</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不可抗力事件发生后，应立即通知对方，并寄送有关权威机构出具的证明。</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不可抗力事件延续120天以上，双方应通过友好协商，确定是否继续履行合同。</w:t>
      </w:r>
      <w:r>
        <w:rPr>
          <w:rFonts w:hint="eastAsia" w:ascii="宋体" w:hAnsi="宋体" w:eastAsia="宋体" w:cs="宋体"/>
          <w:color w:val="000000"/>
          <w:highlight w:val="none"/>
        </w:rPr>
      </w:r>
      <w:r/>
    </w:p>
    <w:p>
      <w:pPr>
        <w:pStyle w:val="911"/>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lang w:val="en-US" w:eastAsia="zh-CN"/>
        </w:rPr>
        <w:t xml:space="preserve">九</w:t>
      </w:r>
      <w:r>
        <w:rPr>
          <w:rFonts w:hint="eastAsia" w:hAnsi="宋体"/>
          <w:b/>
          <w:bCs/>
          <w:color w:val="000000"/>
          <w:sz w:val="21"/>
          <w:highlight w:val="none"/>
        </w:rPr>
        <w:t xml:space="preserve">、诉讼</w:t>
      </w:r>
      <w:r>
        <w:rPr>
          <w:rFonts w:hint="eastAsia" w:hAnsi="宋体"/>
          <w:b/>
          <w:bCs/>
          <w:color w:val="000000"/>
          <w:sz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双方在执行合同中所发生的一切争议，应通过协商解决。如协商不成，可向合同签订地法院起诉，合同签订地在此约定为扬州市。</w:t>
      </w:r>
      <w:r>
        <w:rPr>
          <w:rFonts w:hint="eastAsia" w:ascii="宋体" w:hAnsi="宋体" w:eastAsia="宋体" w:cs="宋体"/>
          <w:color w:val="000000"/>
          <w:highlight w:val="none"/>
        </w:rPr>
      </w:r>
      <w:r/>
    </w:p>
    <w:p>
      <w:pPr>
        <w:pStyle w:val="911"/>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lang w:val="en-US" w:eastAsia="zh-CN"/>
        </w:rPr>
        <w:t xml:space="preserve">十</w:t>
      </w:r>
      <w:r>
        <w:rPr>
          <w:rFonts w:hint="eastAsia" w:hAnsi="宋体"/>
          <w:b/>
          <w:bCs/>
          <w:color w:val="000000"/>
          <w:sz w:val="21"/>
          <w:highlight w:val="none"/>
        </w:rPr>
        <w:t xml:space="preserve">、合同生效及其它</w:t>
      </w:r>
      <w:r>
        <w:rPr>
          <w:rFonts w:hint="eastAsia" w:hAnsi="宋体"/>
          <w:b/>
          <w:bCs/>
          <w:color w:val="000000"/>
          <w:sz w:val="21"/>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合同经双方法定代表人或授权代表签字并加盖单位公章，并经</w:t>
      </w:r>
      <w:r>
        <w:rPr>
          <w:rFonts w:hint="eastAsia" w:ascii="宋体" w:hAnsi="宋体" w:eastAsia="宋体" w:cs="宋体"/>
          <w:color w:val="000000"/>
          <w:highlight w:val="none"/>
          <w:lang w:eastAsia="zh-CN"/>
        </w:rPr>
        <w:t xml:space="preserve">江苏时代投资咨询有限公司</w:t>
      </w:r>
      <w:r>
        <w:rPr>
          <w:rFonts w:hint="eastAsia" w:ascii="宋体" w:hAnsi="宋体" w:eastAsia="宋体" w:cs="宋体"/>
          <w:color w:val="000000"/>
          <w:highlight w:val="none"/>
        </w:rPr>
        <w:t xml:space="preserve">见证盖章后生效。</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本合同未尽事宜，遵照《</w:t>
      </w:r>
      <w:r>
        <w:rPr>
          <w:rFonts w:hint="eastAsia" w:ascii="宋体" w:hAnsi="宋体" w:eastAsia="宋体" w:cs="宋体"/>
          <w:color w:val="000000"/>
          <w:highlight w:val="none"/>
          <w:lang w:val="en-US" w:eastAsia="zh-CN"/>
        </w:rPr>
        <w:t xml:space="preserve">中华人民共和国</w:t>
      </w:r>
      <w:r>
        <w:rPr>
          <w:rFonts w:hint="eastAsia" w:ascii="宋体" w:hAnsi="宋体" w:eastAsia="宋体" w:cs="宋体"/>
          <w:color w:val="000000"/>
          <w:highlight w:val="none"/>
        </w:rPr>
        <w:t xml:space="preserve">民法典》有关条文执行。</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hAnsi="宋体"/>
          <w:color w:val="000000"/>
          <w:sz w:val="21"/>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本合同正本一式</w:t>
      </w:r>
      <w:r>
        <w:rPr>
          <w:rFonts w:hint="eastAsia" w:ascii="宋体" w:hAnsi="宋体" w:eastAsia="宋体" w:cs="宋体"/>
          <w:color w:val="000000"/>
          <w:highlight w:val="none"/>
          <w:lang w:val="en-US" w:eastAsia="zh-CN"/>
        </w:rPr>
        <w:t xml:space="preserve">伍</w:t>
      </w:r>
      <w:r>
        <w:rPr>
          <w:rFonts w:hint="eastAsia" w:ascii="宋体" w:hAnsi="宋体" w:eastAsia="宋体" w:cs="宋体"/>
          <w:color w:val="000000"/>
          <w:highlight w:val="none"/>
        </w:rPr>
        <w:t xml:space="preserve">份，具有同等法律效力，甲方</w:t>
      </w:r>
      <w:r>
        <w:rPr>
          <w:rFonts w:hint="eastAsia" w:ascii="宋体" w:hAnsi="宋体" w:eastAsia="宋体" w:cs="宋体"/>
          <w:color w:val="000000"/>
          <w:highlight w:val="none"/>
          <w:lang w:val="en-US" w:eastAsia="zh-CN"/>
        </w:rPr>
        <w:t xml:space="preserve">二份</w:t>
      </w:r>
      <w:r>
        <w:rPr>
          <w:rFonts w:hint="eastAsia" w:ascii="宋体" w:hAnsi="宋体" w:eastAsia="宋体" w:cs="宋体"/>
          <w:color w:val="000000"/>
          <w:highlight w:val="none"/>
        </w:rPr>
        <w:t xml:space="preserve">、乙方</w:t>
      </w:r>
      <w:r>
        <w:rPr>
          <w:rFonts w:hint="eastAsia" w:ascii="宋体" w:hAnsi="宋体" w:eastAsia="宋体" w:cs="宋体"/>
          <w:color w:val="000000"/>
          <w:highlight w:val="none"/>
          <w:lang w:val="en-US" w:eastAsia="zh-CN"/>
        </w:rPr>
        <w:t xml:space="preserve">二份</w:t>
      </w:r>
      <w:r>
        <w:rPr>
          <w:rFonts w:hint="eastAsia" w:ascii="宋体" w:hAnsi="宋体" w:eastAsia="宋体" w:cs="宋体"/>
          <w:color w:val="000000"/>
          <w:highlight w:val="none"/>
        </w:rPr>
        <w:t xml:space="preserve">、见证方一份。</w:t>
      </w:r>
      <w:r>
        <w:rPr>
          <w:rFonts w:hint="eastAsia" w:hAnsi="宋体"/>
          <w:color w:val="000000"/>
          <w:sz w:val="21"/>
          <w:highlight w:val="none"/>
        </w:rPr>
        <w:t xml:space="preserve"> </w:t>
      </w:r>
      <w:r>
        <w:rPr>
          <w:rFonts w:hint="eastAsia" w:hAnsi="宋体"/>
          <w:color w:val="000000"/>
          <w:sz w:val="21"/>
          <w:highlight w:val="none"/>
        </w:rPr>
      </w:r>
      <w:r/>
    </w:p>
    <w:p>
      <w:pPr>
        <w:pStyle w:val="893"/>
        <w:ind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11"/>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eastAsia="zh-CN"/>
              </w:rPr>
              <w:t xml:space="preserve">扬州市保障性住房发展中心</w:t>
            </w:r>
            <w:r>
              <w:rPr>
                <w:rFonts w:hint="eastAsia" w:hAnsi="宋体" w:eastAsia="宋体"/>
                <w:color w:val="000000"/>
                <w:sz w:val="21"/>
                <w:highlight w:val="none"/>
                <w:lang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11"/>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11"/>
              <w:spacing w:before="120" w:after="120" w:line="360" w:lineRule="auto"/>
              <w:rPr>
                <w:rFonts w:hAnsi="宋体"/>
                <w:color w:val="000000"/>
                <w:sz w:val="21"/>
                <w:highlight w:val="none"/>
              </w:rPr>
            </w:pPr>
            <w:r>
              <w:rPr>
                <w:rFonts w:hint="eastAsia" w:hAnsi="宋体"/>
                <w:color w:val="000000"/>
                <w:sz w:val="21"/>
                <w:highlight w:val="none"/>
              </w:rPr>
              <w:t xml:space="preserve">地址：观潮路</w:t>
            </w:r>
            <w:r>
              <w:rPr>
                <w:rFonts w:hAnsi="宋体"/>
                <w:color w:val="000000"/>
                <w:sz w:val="21"/>
                <w:highlight w:val="none"/>
              </w:rPr>
              <w:t xml:space="preserve">719号</w:t>
            </w:r>
            <w:r>
              <w:rPr>
                <w:rFonts w:hAnsi="宋体"/>
                <w:color w:val="000000"/>
                <w:sz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11"/>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11"/>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11"/>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11"/>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11"/>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11"/>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11"/>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bl>
    <w:p>
      <w:pPr>
        <w:pStyle w:val="911"/>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911"/>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911"/>
        <w:spacing w:before="120" w:after="120" w:line="360" w:lineRule="auto"/>
        <w:rPr>
          <w:rFonts w:hint="eastAsia" w:hAnsi="宋体" w:eastAsia="宋体"/>
          <w:color w:val="000000"/>
          <w:sz w:val="21"/>
          <w:highlight w:val="none"/>
          <w:lang w:eastAsia="zh-CN"/>
        </w:rPr>
      </w:pPr>
      <w:r>
        <w:rPr>
          <w:rFonts w:hint="eastAsia" w:hAnsi="宋体"/>
          <w:color w:val="000000"/>
          <w:highlight w:val="none"/>
        </w:rPr>
        <w:t xml:space="preserve"> </w:t>
      </w:r>
      <w:r>
        <w:rPr>
          <w:rFonts w:hint="eastAsia" w:hAnsi="宋体"/>
          <w:color w:val="000000"/>
          <w:sz w:val="21"/>
          <w:highlight w:val="none"/>
        </w:rPr>
        <w:t xml:space="preserve">见证方：</w:t>
      </w:r>
      <w:r>
        <w:rPr>
          <w:rFonts w:hint="eastAsia" w:hAnsi="宋体"/>
          <w:color w:val="000000"/>
          <w:sz w:val="21"/>
          <w:highlight w:val="none"/>
          <w:lang w:eastAsia="zh-CN"/>
        </w:rPr>
        <w:t xml:space="preserve">江苏时代投资咨询有限公司</w:t>
      </w:r>
      <w:r>
        <w:rPr>
          <w:rFonts w:hint="eastAsia" w:hAnsi="宋体" w:eastAsia="宋体"/>
          <w:color w:val="000000"/>
          <w:sz w:val="21"/>
          <w:highlight w:val="none"/>
          <w:lang w:eastAsia="zh-CN"/>
        </w:rPr>
      </w:r>
      <w:r/>
    </w:p>
    <w:p>
      <w:pPr>
        <w:pStyle w:val="911"/>
        <w:ind w:firstLine="210"/>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w:t>
      </w:r>
      <w:r>
        <w:rPr>
          <w:rFonts w:hint="eastAsia" w:hAnsi="宋体"/>
          <w:color w:val="000000"/>
          <w:sz w:val="21"/>
          <w:highlight w:val="none"/>
        </w:rPr>
      </w:r>
      <w:r/>
    </w:p>
    <w:p>
      <w:pPr>
        <w:pStyle w:val="893"/>
        <w:jc w:val="center"/>
        <w:spacing w:line="500" w:lineRule="exact"/>
        <w:rPr>
          <w:rFonts w:hint="eastAsia" w:ascii="宋体" w:hAnsi="宋体" w:cs="宋体"/>
          <w:b/>
          <w:color w:val="000000"/>
          <w:szCs w:val="21"/>
          <w:highlight w:val="none"/>
        </w:rPr>
      </w:pPr>
      <w:r>
        <w:rPr>
          <w:color w:val="000000"/>
          <w:highlight w:val="none"/>
        </w:rPr>
        <w:br w:type="page" w:clear="all"/>
      </w:r>
      <w:r>
        <w:rPr>
          <w:rFonts w:hint="eastAsia"/>
          <w:b/>
          <w:bCs/>
          <w:color w:val="000000"/>
          <w:highlight w:val="none"/>
          <w:lang w:val="en-US" w:eastAsia="zh-CN"/>
        </w:rPr>
        <w:t xml:space="preserve">附件：</w:t>
      </w:r>
      <w:r>
        <w:rPr>
          <w:rFonts w:hint="eastAsia" w:ascii="宋体" w:hAnsi="宋体" w:cs="宋体"/>
          <w:b/>
          <w:bCs/>
          <w:color w:val="000000"/>
          <w:szCs w:val="21"/>
          <w:highlight w:val="none"/>
        </w:rPr>
        <w:t xml:space="preserve">奖惩考核措施</w:t>
      </w:r>
      <w:r>
        <w:rPr>
          <w:rFonts w:hint="eastAsia" w:ascii="宋体" w:hAnsi="宋体" w:cs="宋体"/>
          <w:b/>
          <w:color w:val="000000"/>
          <w:szCs w:val="21"/>
          <w:highlight w:val="none"/>
        </w:rPr>
      </w:r>
      <w:r/>
    </w:p>
    <w:p>
      <w:pPr>
        <w:pStyle w:val="893"/>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甲方需对乙方的工作完成情况考核，甲方成立考核验收小组，根据采购合同和扬州市区公共租赁住房运营管理服务绩效考核表对履约情况进行考核验收，对考核结果有分歧的，甲方通过业务办公会研究确定。根据考核结果按比例支付托管经费和奖励扣罚金额。</w:t>
      </w:r>
      <w:r>
        <w:rPr>
          <w:rFonts w:hint="eastAsia" w:ascii="宋体" w:hAnsi="宋体" w:eastAsia="宋体" w:cs="宋体"/>
          <w:color w:val="000000"/>
          <w:szCs w:val="21"/>
          <w:highlight w:val="none"/>
          <w:lang w:val="en-US" w:eastAsia="zh-CN"/>
        </w:rPr>
      </w:r>
      <w:r/>
    </w:p>
    <w:p>
      <w:pPr>
        <w:pStyle w:val="893"/>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1、考核得分达85分及以上为考核合格，低于85分，扣罚20000元。</w:t>
      </w:r>
      <w:r>
        <w:rPr>
          <w:rFonts w:hint="eastAsia" w:ascii="宋体" w:hAnsi="宋体" w:eastAsia="宋体" w:cs="宋体"/>
          <w:color w:val="000000"/>
          <w:szCs w:val="21"/>
          <w:highlight w:val="none"/>
          <w:lang w:val="en-US" w:eastAsia="zh-CN"/>
        </w:rPr>
      </w:r>
      <w:r/>
    </w:p>
    <w:p>
      <w:pPr>
        <w:pStyle w:val="893"/>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2、乙方应确保受托管理的房屋全年无责任性安全事故发生。乙方未尽义务的或所受托的公共租赁住房发生责任性安全事故，由乙方承担全部法律责任；如因此导致甲方先行赔偿的，甲方有权就全部</w:t>
      </w:r>
      <w:r>
        <w:rPr>
          <w:rFonts w:hint="eastAsia" w:ascii="宋体" w:hAnsi="宋体" w:eastAsia="宋体" w:cs="宋体"/>
          <w:color w:val="000000"/>
          <w:szCs w:val="21"/>
          <w:highlight w:val="none"/>
          <w:lang w:val="en-US" w:eastAsia="zh-CN"/>
        </w:rPr>
        <w:t xml:space="preserve">损失</w:t>
      </w:r>
      <w:r>
        <w:rPr>
          <w:rFonts w:hint="eastAsia" w:ascii="宋体" w:hAnsi="宋体" w:eastAsia="宋体" w:cs="宋体"/>
          <w:color w:val="000000"/>
          <w:szCs w:val="21"/>
          <w:highlight w:val="none"/>
          <w:lang w:val="en-US" w:eastAsia="zh-CN"/>
        </w:rPr>
        <w:t xml:space="preserve">向投标人追偿，同时甲方有权解除委托管理合同。</w:t>
      </w:r>
      <w:r>
        <w:rPr>
          <w:rFonts w:hint="eastAsia" w:ascii="宋体" w:hAnsi="宋体" w:eastAsia="宋体" w:cs="宋体"/>
          <w:color w:val="000000"/>
          <w:szCs w:val="21"/>
          <w:highlight w:val="none"/>
          <w:lang w:val="en-US" w:eastAsia="zh-CN"/>
        </w:rPr>
      </w:r>
      <w:r/>
    </w:p>
    <w:p>
      <w:pPr>
        <w:pStyle w:val="893"/>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3、未及时</w:t>
      </w:r>
      <w:r>
        <w:rPr>
          <w:rFonts w:hint="eastAsia" w:ascii="宋体" w:hAnsi="宋体" w:eastAsia="宋体" w:cs="宋体"/>
          <w:color w:val="000000"/>
          <w:szCs w:val="21"/>
          <w:highlight w:val="none"/>
          <w:lang w:val="en-US" w:eastAsia="zh-CN"/>
        </w:rPr>
        <w:t xml:space="preserve">妥善处理或未反馈，推诿、上交矛盾，每发生一起扣罚1000元。处理不当导致媒体曝光、群众上访或群访事件扣罚5000元。</w:t>
      </w:r>
      <w:r>
        <w:rPr>
          <w:rFonts w:hint="eastAsia" w:ascii="宋体" w:hAnsi="宋体" w:eastAsia="宋体" w:cs="宋体"/>
          <w:color w:val="000000"/>
          <w:szCs w:val="21"/>
          <w:highlight w:val="none"/>
          <w:lang w:val="en-US" w:eastAsia="zh-CN"/>
        </w:rPr>
      </w:r>
      <w:r/>
    </w:p>
    <w:p>
      <w:pPr>
        <w:pStyle w:val="893"/>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4、乙方应采取积极有效的措施加大追欠工作力度。对无理由拖欠租金的行为，及时依据公共租赁住房有关政策进行处置。</w:t>
      </w:r>
      <w:r>
        <w:rPr>
          <w:rFonts w:hint="eastAsia" w:ascii="宋体" w:hAnsi="宋体" w:eastAsia="宋体" w:cs="宋体"/>
          <w:color w:val="000000"/>
          <w:szCs w:val="21"/>
          <w:highlight w:val="none"/>
          <w:lang w:val="en-US" w:eastAsia="zh-CN"/>
        </w:rPr>
      </w:r>
      <w:r/>
    </w:p>
    <w:p>
      <w:pPr>
        <w:pStyle w:val="893"/>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5、乙方应采取积极有效的措施加大续租（动态）审核不符合家庭的房屋腾退工作力度。及时规范开展房源腾退工作，对腾退困难家庭应采取多时段、多频次、多手段方式实施腾退。按要求配合相关司法工作。</w:t>
      </w:r>
      <w:r>
        <w:rPr>
          <w:rFonts w:hint="eastAsia" w:ascii="宋体" w:hAnsi="宋体" w:eastAsia="宋体" w:cs="宋体"/>
          <w:color w:val="000000"/>
          <w:szCs w:val="21"/>
          <w:highlight w:val="none"/>
          <w:lang w:val="en-US" w:eastAsia="zh-CN"/>
        </w:rPr>
      </w:r>
      <w:r/>
    </w:p>
    <w:tbl>
      <w:tblPr>
        <w:tblW w:w="8755"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1200"/>
        <w:gridCol w:w="1676"/>
        <w:gridCol w:w="724"/>
        <w:gridCol w:w="4454"/>
      </w:tblGrid>
      <w:tr>
        <w:trPr>
          <w:trHeight w:val="465"/>
        </w:trPr>
        <w:tc>
          <w:tcPr>
            <w:gridSpan w:val="5"/>
            <w:tcW w:w="8755" w:type="dxa"/>
            <w:vAlign w:val="center"/>
            <w:textDirection w:val="lrTb"/>
            <w:noWrap/>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941"/>
                <w:rFonts w:hint="eastAsia" w:ascii="宋体" w:hAnsi="宋体" w:eastAsia="宋体" w:cs="宋体"/>
                <w:b/>
                <w:bCs/>
                <w:color w:val="000000"/>
                <w:sz w:val="21"/>
                <w:szCs w:val="21"/>
                <w:highlight w:val="none"/>
                <w:lang w:val="en-US" w:eastAsia="zh-CN" w:bidi="ar"/>
              </w:rPr>
              <w:t xml:space="preserve">扬州市区公共租赁住房运营管理服务绩效考核表（</w:t>
            </w:r>
            <w:r>
              <w:rPr>
                <w:rFonts w:hint="eastAsia" w:ascii="宋体" w:hAnsi="宋体" w:eastAsia="宋体" w:cs="宋体"/>
                <w:b/>
                <w:bCs/>
                <w:i w:val="0"/>
                <w:iCs w:val="0"/>
                <w:color w:val="000000"/>
                <w:sz w:val="21"/>
                <w:szCs w:val="21"/>
                <w:highlight w:val="none"/>
                <w:u w:val="none"/>
                <w:lang w:val="en-US" w:eastAsia="zh-CN" w:bidi="ar"/>
              </w:rPr>
              <w:t xml:space="preserve">2026</w:t>
            </w:r>
            <w:r>
              <w:rPr>
                <w:rStyle w:val="941"/>
                <w:rFonts w:hint="eastAsia" w:ascii="宋体" w:hAnsi="宋体" w:eastAsia="宋体" w:cs="宋体"/>
                <w:b/>
                <w:bCs/>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540"/>
        </w:trPr>
        <w:tc>
          <w:tcPr>
            <w:tcW w:w="701"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考评指标</w:t>
            </w: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考评内容</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考评分值</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评价说明</w:t>
            </w:r>
            <w:r>
              <w:rPr>
                <w:rFonts w:hint="eastAsia" w:ascii="宋体" w:hAnsi="宋体" w:eastAsia="宋体" w:cs="宋体"/>
                <w:i w:val="0"/>
                <w:iCs w:val="0"/>
                <w:color w:val="000000"/>
                <w:sz w:val="21"/>
                <w:szCs w:val="21"/>
                <w:highlight w:val="none"/>
                <w:u w:val="none"/>
              </w:rPr>
            </w:r>
            <w:r/>
          </w:p>
        </w:tc>
      </w:tr>
      <w:tr>
        <w:trPr>
          <w:trHeight w:val="270"/>
        </w:trPr>
        <w:tc>
          <w:tcPr>
            <w:tcW w:w="701"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00"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场所、制度、人员配置</w:t>
            </w: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部室场所设置</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有专人接待、受理窗口，咨询、缴费、报修场所设置齐全得1分，每缺一项扣0.2分。</w:t>
            </w:r>
            <w:r>
              <w:rPr>
                <w:rFonts w:hint="eastAsia" w:ascii="宋体" w:hAnsi="宋体" w:eastAsia="宋体" w:cs="宋体"/>
                <w:i w:val="0"/>
                <w:iCs w:val="0"/>
                <w:color w:val="000000"/>
                <w:sz w:val="21"/>
                <w:szCs w:val="21"/>
                <w:highlight w:val="none"/>
                <w:u w:val="none"/>
              </w:rPr>
            </w:r>
            <w:r/>
          </w:p>
        </w:tc>
      </w:tr>
      <w:tr>
        <w:trPr>
          <w:trHeight w:val="34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服务制度和业务流程</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服务制度健全业务流程完整并上墙公示得1分，每缺一项扣0.5分。</w:t>
            </w:r>
            <w:r>
              <w:rPr>
                <w:rFonts w:hint="eastAsia" w:ascii="宋体" w:hAnsi="宋体" w:eastAsia="宋体" w:cs="宋体"/>
                <w:i w:val="0"/>
                <w:iCs w:val="0"/>
                <w:color w:val="000000"/>
                <w:sz w:val="21"/>
                <w:szCs w:val="21"/>
                <w:highlight w:val="none"/>
                <w:u w:val="none"/>
              </w:rPr>
            </w:r>
            <w:r/>
          </w:p>
        </w:tc>
      </w:tr>
      <w:tr>
        <w:trPr>
          <w:trHeight w:val="34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人员配置</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按服务规范相应人员全部配置到位得1分，每缺一项扣0.5分。</w:t>
            </w:r>
            <w:r>
              <w:rPr>
                <w:rFonts w:hint="eastAsia" w:ascii="宋体" w:hAnsi="宋体" w:eastAsia="宋体" w:cs="宋体"/>
                <w:i w:val="0"/>
                <w:iCs w:val="0"/>
                <w:color w:val="000000"/>
                <w:sz w:val="21"/>
                <w:szCs w:val="21"/>
                <w:highlight w:val="none"/>
                <w:u w:val="none"/>
              </w:rPr>
            </w:r>
            <w:r/>
          </w:p>
        </w:tc>
      </w:tr>
      <w:tr>
        <w:trPr>
          <w:trHeight w:val="880"/>
        </w:trPr>
        <w:tc>
          <w:tcPr>
            <w:tcW w:w="701"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00"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租金管理</w:t>
            </w:r>
            <w:r>
              <w:rPr>
                <w:rFonts w:hint="eastAsia" w:ascii="宋体" w:hAnsi="宋体" w:eastAsia="宋体" w:cs="宋体"/>
                <w:i w:val="0"/>
                <w:iCs w:val="0"/>
                <w:color w:val="000000"/>
                <w:sz w:val="21"/>
                <w:szCs w:val="21"/>
                <w:highlight w:val="none"/>
                <w:u w:val="none"/>
              </w:rPr>
            </w:r>
            <w:r/>
          </w:p>
        </w:tc>
        <w:tc>
          <w:tcPr>
            <w:tcW w:w="1676"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租金收缴、租收率完成情况</w:t>
            </w:r>
            <w:r>
              <w:rPr>
                <w:rFonts w:hint="eastAsia" w:ascii="宋体" w:hAnsi="宋体" w:eastAsia="宋体" w:cs="宋体"/>
                <w:i w:val="0"/>
                <w:iCs w:val="0"/>
                <w:color w:val="000000"/>
                <w:sz w:val="21"/>
                <w:szCs w:val="21"/>
                <w:highlight w:val="none"/>
                <w:u w:val="none"/>
              </w:rPr>
            </w:r>
            <w:r/>
          </w:p>
        </w:tc>
        <w:tc>
          <w:tcPr>
            <w:tcW w:w="724"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完成年度租金收缴率达到乙方投标报价(即:1-不可收租率计算)及以上得25分，年度租金收缴率每低一个百分点，则分值扣减1分，未满一个百分点的，按一个百分点计算。年度租金收缴率低于80%不得分。收取的租金及时足额存入市财政账户，发生占用、挪用的直接认定为考评不合格。</w:t>
            </w:r>
            <w:r>
              <w:rPr>
                <w:rFonts w:hint="eastAsia" w:ascii="宋体" w:hAnsi="宋体" w:eastAsia="宋体" w:cs="宋体"/>
                <w:i w:val="0"/>
                <w:iCs w:val="0"/>
                <w:color w:val="000000"/>
                <w:sz w:val="21"/>
                <w:szCs w:val="21"/>
                <w:highlight w:val="none"/>
                <w:u w:val="none"/>
              </w:rPr>
            </w:r>
            <w:r/>
          </w:p>
        </w:tc>
      </w:tr>
      <w:tr>
        <w:trPr>
          <w:trHeight w:val="40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2、制作租金台账，帐（台帐）账（收缴金额）相符，每发现一户不相符扣0.5分。</w:t>
            </w:r>
            <w:r>
              <w:rPr>
                <w:rFonts w:hint="eastAsia" w:ascii="宋体" w:hAnsi="宋体" w:eastAsia="宋体" w:cs="宋体"/>
                <w:i w:val="0"/>
                <w:iCs w:val="0"/>
                <w:color w:val="000000"/>
                <w:sz w:val="21"/>
                <w:szCs w:val="21"/>
                <w:highlight w:val="none"/>
                <w:u w:val="none"/>
              </w:rPr>
            </w:r>
            <w:r/>
          </w:p>
        </w:tc>
      </w:tr>
      <w:tr>
        <w:trPr>
          <w:trHeight w:val="62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往欠租金追缴完成情况</w:t>
            </w:r>
            <w:r>
              <w:rPr>
                <w:rFonts w:hint="eastAsia" w:ascii="宋体" w:hAnsi="宋体" w:eastAsia="宋体" w:cs="宋体"/>
                <w:i w:val="0"/>
                <w:iCs w:val="0"/>
                <w:color w:val="000000"/>
                <w:sz w:val="21"/>
                <w:szCs w:val="21"/>
                <w:highlight w:val="none"/>
                <w:u w:val="none"/>
              </w:rPr>
            </w:r>
            <w:r/>
          </w:p>
        </w:tc>
        <w:tc>
          <w:tcPr>
            <w:tcW w:w="724"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942"/>
                <w:color w:val="000000"/>
                <w:sz w:val="21"/>
                <w:szCs w:val="21"/>
                <w:highlight w:val="none"/>
                <w:lang w:val="en-US" w:eastAsia="zh-CN" w:bidi="ar"/>
              </w:rPr>
              <w:t xml:space="preserve">1、开展往欠租金追缴工作，往欠年度目标任务</w:t>
            </w:r>
            <w:r>
              <w:rPr>
                <w:rFonts w:hint="eastAsia" w:ascii="宋体" w:hAnsi="宋体" w:eastAsia="宋体" w:cs="宋体"/>
                <w:b/>
                <w:bCs/>
                <w:i w:val="0"/>
                <w:iCs w:val="0"/>
                <w:color w:val="000000"/>
                <w:sz w:val="21"/>
                <w:szCs w:val="21"/>
                <w:highlight w:val="none"/>
                <w:u w:val="single"/>
                <w:lang w:val="en-US" w:eastAsia="zh-CN" w:bidi="ar"/>
              </w:rPr>
              <w:t xml:space="preserve">（包一：47万元，包二：14万元，包三：2.5万元）</w:t>
            </w:r>
            <w:r>
              <w:rPr>
                <w:rStyle w:val="942"/>
                <w:color w:val="000000"/>
                <w:sz w:val="21"/>
                <w:szCs w:val="21"/>
                <w:highlight w:val="none"/>
                <w:lang w:val="en-US" w:eastAsia="zh-CN" w:bidi="ar"/>
              </w:rPr>
              <w:t xml:space="preserve">完成年度目标任务的95%（含）以上得8分，90%（含）-95%得7分，85%（含）-90%得6分，80%（含）-85%得5分,80%以下不得分。</w:t>
            </w:r>
            <w:r>
              <w:rPr>
                <w:rFonts w:hint="eastAsia" w:ascii="宋体" w:hAnsi="宋体" w:eastAsia="宋体" w:cs="宋体"/>
                <w:i w:val="0"/>
                <w:iCs w:val="0"/>
                <w:color w:val="000000"/>
                <w:sz w:val="21"/>
                <w:szCs w:val="21"/>
                <w:highlight w:val="none"/>
                <w:u w:val="none"/>
              </w:rPr>
            </w:r>
            <w:r/>
          </w:p>
        </w:tc>
      </w:tr>
      <w:tr>
        <w:trPr>
          <w:trHeight w:val="60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每季度末要对租金滞缴情况进行分析，采取灵活多样的方式督促承租人补缴租金。建立欠租家庭台账，包含欠租基本信息、家庭情况、欠租原因、追缴措施、工作跟进记录及处置建议等，未履行责任一次扣0.5分。</w:t>
            </w:r>
            <w:r>
              <w:rPr>
                <w:rFonts w:hint="eastAsia" w:ascii="宋体" w:hAnsi="宋体" w:eastAsia="宋体" w:cs="宋体"/>
                <w:i w:val="0"/>
                <w:iCs w:val="0"/>
                <w:color w:val="000000"/>
                <w:sz w:val="21"/>
                <w:szCs w:val="21"/>
                <w:highlight w:val="none"/>
                <w:u w:val="none"/>
              </w:rPr>
            </w:r>
            <w:r/>
          </w:p>
        </w:tc>
      </w:tr>
      <w:tr>
        <w:trPr>
          <w:trHeight w:val="42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财务管理情况</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按财务规定做好租金收取、退还等工作，不得使用财政部门之外的票据。</w:t>
            </w:r>
            <w:r>
              <w:rPr>
                <w:rFonts w:hint="eastAsia" w:ascii="宋体" w:hAnsi="宋体" w:eastAsia="宋体" w:cs="宋体"/>
                <w:i w:val="0"/>
                <w:iCs w:val="0"/>
                <w:color w:val="000000"/>
                <w:sz w:val="21"/>
                <w:szCs w:val="21"/>
                <w:highlight w:val="none"/>
                <w:u w:val="none"/>
              </w:rPr>
            </w:r>
            <w:r/>
          </w:p>
        </w:tc>
      </w:tr>
      <w:tr>
        <w:trPr>
          <w:trHeight w:val="480"/>
        </w:trPr>
        <w:tc>
          <w:tcPr>
            <w:tcW w:w="701"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00"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租赁管理</w:t>
            </w:r>
            <w:r>
              <w:rPr>
                <w:rFonts w:hint="eastAsia" w:ascii="宋体" w:hAnsi="宋体" w:eastAsia="宋体" w:cs="宋体"/>
                <w:i w:val="0"/>
                <w:iCs w:val="0"/>
                <w:color w:val="000000"/>
                <w:sz w:val="21"/>
                <w:szCs w:val="21"/>
                <w:highlight w:val="none"/>
                <w:u w:val="none"/>
              </w:rPr>
            </w:r>
            <w:r/>
          </w:p>
        </w:tc>
        <w:tc>
          <w:tcPr>
            <w:tcW w:w="1676"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签订合同情况</w:t>
            </w:r>
            <w:r>
              <w:rPr>
                <w:rFonts w:hint="eastAsia" w:ascii="宋体" w:hAnsi="宋体" w:eastAsia="宋体" w:cs="宋体"/>
                <w:i w:val="0"/>
                <w:iCs w:val="0"/>
                <w:color w:val="000000"/>
                <w:sz w:val="21"/>
                <w:szCs w:val="21"/>
                <w:highlight w:val="none"/>
                <w:u w:val="none"/>
              </w:rPr>
            </w:r>
            <w:r/>
          </w:p>
        </w:tc>
        <w:tc>
          <w:tcPr>
            <w:tcW w:w="724"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1、在住房保障部门规定时限内完成签约入住，符合条件家庭合同续签率90%（含）以上得3分，85%（含）-90%得2分，80%（含）-85%得1分，80%以下不得分。</w:t>
            </w:r>
            <w:r>
              <w:rPr>
                <w:rFonts w:hint="eastAsia" w:ascii="宋体" w:hAnsi="宋体" w:eastAsia="宋体" w:cs="宋体"/>
                <w:i w:val="0"/>
                <w:iCs w:val="0"/>
                <w:color w:val="000000"/>
                <w:sz w:val="21"/>
                <w:szCs w:val="21"/>
                <w:highlight w:val="none"/>
                <w:u w:val="none"/>
              </w:rPr>
            </w:r>
            <w:r/>
          </w:p>
        </w:tc>
      </w:tr>
      <w:tr>
        <w:trPr>
          <w:trHeight w:val="36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2、合同签订错误扣罚1000元。虚假签订合同扣罚2000元，造成信访、投诉或产生不利影响的扣罚5000元。</w:t>
            </w:r>
            <w:r>
              <w:rPr>
                <w:rFonts w:hint="eastAsia" w:ascii="宋体" w:hAnsi="宋体" w:eastAsia="宋体" w:cs="宋体"/>
                <w:i w:val="0"/>
                <w:iCs w:val="0"/>
                <w:color w:val="000000"/>
                <w:sz w:val="21"/>
                <w:szCs w:val="21"/>
                <w:highlight w:val="none"/>
                <w:u w:val="none"/>
              </w:rPr>
            </w:r>
            <w:r/>
          </w:p>
        </w:tc>
      </w:tr>
      <w:tr>
        <w:trPr>
          <w:trHeight w:val="110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退租、腾让房屋情况</w:t>
            </w:r>
            <w:r>
              <w:rPr>
                <w:rFonts w:hint="eastAsia" w:ascii="宋体" w:hAnsi="宋体" w:eastAsia="宋体" w:cs="宋体"/>
                <w:i w:val="0"/>
                <w:iCs w:val="0"/>
                <w:color w:val="000000"/>
                <w:sz w:val="21"/>
                <w:szCs w:val="21"/>
                <w:highlight w:val="none"/>
                <w:u w:val="none"/>
              </w:rPr>
            </w:r>
            <w:r/>
          </w:p>
        </w:tc>
        <w:tc>
          <w:tcPr>
            <w:tcW w:w="724"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对不符合条件家庭及时组织退出，采取多时段、多频次、多方式实施腾退，每套应退房源建立相应台账，详细记录腾退告知书送达情况、催退时间方式、应退家庭情况等信息，每月跟踪进展直至退房。不符合条件家庭进行腾退或提起诉讼并受理视为已退出。退出套数达年度清退目标任务及以上得8分，达年度清退目标任务90%（含）以上得6分，达年度清退目标任务80%（含）以上得4分，达年度清退目标任务70%（含）以上得2分，否则不得分。</w:t>
            </w:r>
            <w:r>
              <w:rPr>
                <w:rFonts w:hint="eastAsia" w:ascii="宋体" w:hAnsi="宋体" w:eastAsia="宋体" w:cs="宋体"/>
                <w:i w:val="0"/>
                <w:iCs w:val="0"/>
                <w:color w:val="000000"/>
                <w:sz w:val="21"/>
                <w:szCs w:val="21"/>
                <w:highlight w:val="none"/>
                <w:u w:val="none"/>
              </w:rPr>
            </w:r>
            <w:r/>
          </w:p>
        </w:tc>
      </w:tr>
      <w:tr>
        <w:trPr>
          <w:trHeight w:val="60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942"/>
                <w:color w:val="000000"/>
                <w:sz w:val="21"/>
                <w:szCs w:val="21"/>
                <w:highlight w:val="none"/>
                <w:lang w:val="en-US" w:eastAsia="zh-CN" w:bidi="ar"/>
              </w:rPr>
              <w:t xml:space="preserve">2、未完成年度清退目标</w:t>
            </w:r>
            <w:r>
              <w:rPr>
                <w:rFonts w:hint="eastAsia" w:ascii="宋体" w:hAnsi="宋体" w:eastAsia="宋体" w:cs="宋体"/>
                <w:b/>
                <w:bCs/>
                <w:i w:val="0"/>
                <w:iCs w:val="0"/>
                <w:color w:val="000000"/>
                <w:sz w:val="21"/>
                <w:szCs w:val="21"/>
                <w:highlight w:val="none"/>
                <w:u w:val="single"/>
                <w:lang w:val="en-US" w:eastAsia="zh-CN" w:bidi="ar"/>
              </w:rPr>
              <w:t xml:space="preserve">（包一：12套、包二：7套、包三：11套）</w:t>
            </w:r>
            <w:r>
              <w:rPr>
                <w:rStyle w:val="943"/>
                <w:color w:val="000000"/>
                <w:sz w:val="21"/>
                <w:szCs w:val="21"/>
                <w:highlight w:val="none"/>
                <w:lang w:val="en-US" w:eastAsia="zh-CN" w:bidi="ar"/>
              </w:rPr>
              <w:t xml:space="preserve">每少一套在托管经费中扣除2000元，超额完成年度清退目标每增加一套奖励2000元。</w:t>
            </w:r>
            <w:r>
              <w:rPr>
                <w:rFonts w:hint="eastAsia" w:ascii="宋体" w:hAnsi="宋体" w:eastAsia="宋体" w:cs="宋体"/>
                <w:i w:val="0"/>
                <w:iCs w:val="0"/>
                <w:color w:val="000000"/>
                <w:sz w:val="21"/>
                <w:szCs w:val="21"/>
                <w:highlight w:val="none"/>
                <w:u w:val="none"/>
              </w:rPr>
            </w:r>
            <w:r/>
          </w:p>
        </w:tc>
      </w:tr>
      <w:tr>
        <w:trPr>
          <w:trHeight w:val="46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3、退租台账资料完整，查验退租承租户费用结清情况和房屋设施设备情况，接收移交资料并建档，未履行责任一次扣0.5分。</w:t>
            </w:r>
            <w:r>
              <w:rPr>
                <w:rFonts w:hint="eastAsia" w:ascii="宋体" w:hAnsi="宋体" w:eastAsia="宋体" w:cs="宋体"/>
                <w:i w:val="0"/>
                <w:iCs w:val="0"/>
                <w:color w:val="000000"/>
                <w:sz w:val="21"/>
                <w:szCs w:val="21"/>
                <w:highlight w:val="none"/>
                <w:u w:val="none"/>
              </w:rPr>
            </w:r>
            <w:r/>
          </w:p>
        </w:tc>
      </w:tr>
      <w:tr>
        <w:trPr>
          <w:trHeight w:val="40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续租审核情况</w:t>
            </w:r>
            <w:r>
              <w:rPr>
                <w:rFonts w:hint="eastAsia" w:ascii="宋体" w:hAnsi="宋体" w:eastAsia="宋体" w:cs="宋体"/>
                <w:i w:val="0"/>
                <w:iCs w:val="0"/>
                <w:color w:val="000000"/>
                <w:sz w:val="21"/>
                <w:szCs w:val="21"/>
                <w:highlight w:val="none"/>
                <w:u w:val="none"/>
              </w:rPr>
            </w:r>
            <w:r/>
          </w:p>
        </w:tc>
        <w:tc>
          <w:tcPr>
            <w:tcW w:w="724"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1、按要求在每年1月、7月前报送当年6月底前、12月底前合同到期承租人信息，未履行责任一次扣1分。</w:t>
            </w:r>
            <w:r>
              <w:rPr>
                <w:rFonts w:hint="eastAsia" w:ascii="宋体" w:hAnsi="宋体" w:eastAsia="宋体" w:cs="宋体"/>
                <w:i w:val="0"/>
                <w:iCs w:val="0"/>
                <w:color w:val="000000"/>
                <w:sz w:val="21"/>
                <w:szCs w:val="21"/>
                <w:highlight w:val="none"/>
                <w:u w:val="none"/>
              </w:rPr>
            </w:r>
            <w:r/>
          </w:p>
        </w:tc>
      </w:tr>
      <w:tr>
        <w:trPr>
          <w:trHeight w:val="56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2、配合审核单位督促承租人按规定参加年审或续租审核工作，送达《住房保障续租审核提醒通知书》《住房保障资格拟取消告知书》等材料，未履行责任一次扣0.5分。</w:t>
            </w:r>
            <w:r>
              <w:rPr>
                <w:rFonts w:hint="eastAsia" w:ascii="宋体" w:hAnsi="宋体" w:eastAsia="宋体" w:cs="宋体"/>
                <w:i w:val="0"/>
                <w:iCs w:val="0"/>
                <w:color w:val="000000"/>
                <w:sz w:val="21"/>
                <w:szCs w:val="21"/>
                <w:highlight w:val="none"/>
                <w:u w:val="none"/>
              </w:rPr>
            </w:r>
            <w:r/>
          </w:p>
        </w:tc>
      </w:tr>
      <w:tr>
        <w:trPr>
          <w:trHeight w:val="27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查验收房及移交</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房屋查验详细，问题及时发现，不存在漏项等情况得2分，每发现一项问题扣0.5分。</w:t>
            </w:r>
            <w:r>
              <w:rPr>
                <w:rFonts w:hint="eastAsia" w:ascii="宋体" w:hAnsi="宋体" w:eastAsia="宋体" w:cs="宋体"/>
                <w:i w:val="0"/>
                <w:iCs w:val="0"/>
                <w:color w:val="000000"/>
                <w:sz w:val="21"/>
                <w:szCs w:val="21"/>
                <w:highlight w:val="none"/>
                <w:u w:val="none"/>
              </w:rPr>
            </w:r>
            <w:r/>
          </w:p>
        </w:tc>
      </w:tr>
      <w:tr>
        <w:trPr>
          <w:trHeight w:val="270"/>
        </w:trPr>
        <w:tc>
          <w:tcPr>
            <w:tcW w:w="701"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00"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维修管理</w:t>
            </w: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报修受理</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所有报修事项做到首报受理得2分，出现首报未受理的情况一次扣0.5分，扣完为止。</w:t>
            </w:r>
            <w:r>
              <w:rPr>
                <w:rFonts w:hint="eastAsia" w:ascii="宋体" w:hAnsi="宋体" w:eastAsia="宋体" w:cs="宋体"/>
                <w:i w:val="0"/>
                <w:iCs w:val="0"/>
                <w:color w:val="000000"/>
                <w:sz w:val="21"/>
                <w:szCs w:val="21"/>
                <w:highlight w:val="none"/>
                <w:u w:val="none"/>
              </w:rPr>
            </w:r>
            <w:r/>
          </w:p>
        </w:tc>
      </w:tr>
      <w:tr>
        <w:trPr>
          <w:trHeight w:val="27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维修业务流程执行</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严格执行维修业务流程得2分，出现未执行流程的一次扣0.5分，扣完为止。</w:t>
            </w:r>
            <w:r>
              <w:rPr>
                <w:rFonts w:hint="eastAsia" w:ascii="宋体" w:hAnsi="宋体" w:eastAsia="宋体" w:cs="宋体"/>
                <w:i w:val="0"/>
                <w:iCs w:val="0"/>
                <w:color w:val="000000"/>
                <w:sz w:val="21"/>
                <w:szCs w:val="21"/>
                <w:highlight w:val="none"/>
                <w:u w:val="none"/>
              </w:rPr>
            </w:r>
            <w:r/>
          </w:p>
        </w:tc>
      </w:tr>
      <w:tr>
        <w:trPr>
          <w:trHeight w:val="27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维修任务完成情况</w:t>
            </w:r>
            <w:r>
              <w:rPr>
                <w:rFonts w:hint="eastAsia" w:ascii="宋体" w:hAnsi="宋体" w:eastAsia="宋体" w:cs="宋体"/>
                <w:i w:val="0"/>
                <w:iCs w:val="0"/>
                <w:color w:val="000000"/>
                <w:sz w:val="21"/>
                <w:szCs w:val="21"/>
                <w:highlight w:val="none"/>
                <w:u w:val="none"/>
              </w:rPr>
            </w:r>
            <w:r/>
          </w:p>
        </w:tc>
        <w:tc>
          <w:tcPr>
            <w:tcW w:w="724"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1、及时维修，竣工验收合格得3分，出现不及时或不合格的一次扣0.5分，扣完为止。</w:t>
            </w:r>
            <w:r>
              <w:rPr>
                <w:rFonts w:hint="eastAsia" w:ascii="宋体" w:hAnsi="宋体" w:eastAsia="宋体" w:cs="宋体"/>
                <w:i w:val="0"/>
                <w:iCs w:val="0"/>
                <w:color w:val="000000"/>
                <w:sz w:val="21"/>
                <w:szCs w:val="21"/>
                <w:highlight w:val="none"/>
                <w:u w:val="none"/>
              </w:rPr>
            </w:r>
            <w:r/>
          </w:p>
        </w:tc>
      </w:tr>
      <w:tr>
        <w:trPr>
          <w:trHeight w:val="27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2、日常维修如发生同一维修事项返修或多次报修，发生一起扣罚500元。</w:t>
            </w:r>
            <w:r>
              <w:rPr>
                <w:rFonts w:hint="eastAsia" w:ascii="宋体" w:hAnsi="宋体" w:eastAsia="宋体" w:cs="宋体"/>
                <w:i w:val="0"/>
                <w:iCs w:val="0"/>
                <w:color w:val="000000"/>
                <w:sz w:val="21"/>
                <w:szCs w:val="21"/>
                <w:highlight w:val="none"/>
                <w:u w:val="none"/>
              </w:rPr>
            </w:r>
            <w:r/>
          </w:p>
        </w:tc>
      </w:tr>
      <w:tr>
        <w:trPr>
          <w:trHeight w:val="44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维修资金使用情况</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tcPr>
          <w:p>
            <w:pPr>
              <w:pStyle w:val="89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维修资金需专款专用，不得发生挪用或支付给非维修委托单位，发生挪用的直接认定为考评不合格。</w:t>
            </w:r>
            <w:r>
              <w:rPr>
                <w:rFonts w:hint="eastAsia" w:ascii="宋体" w:hAnsi="宋体" w:eastAsia="宋体" w:cs="宋体"/>
                <w:i w:val="0"/>
                <w:iCs w:val="0"/>
                <w:color w:val="000000"/>
                <w:sz w:val="21"/>
                <w:szCs w:val="21"/>
                <w:highlight w:val="none"/>
                <w:u w:val="none"/>
              </w:rPr>
            </w:r>
            <w:r/>
          </w:p>
        </w:tc>
      </w:tr>
      <w:tr>
        <w:trPr>
          <w:trHeight w:val="720"/>
        </w:trPr>
        <w:tc>
          <w:tcPr>
            <w:tcW w:w="701"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00"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巡查管理</w:t>
            </w: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房屋巡查</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Style w:val="942"/>
                <w:color w:val="000000"/>
                <w:sz w:val="21"/>
                <w:szCs w:val="21"/>
                <w:highlight w:val="none"/>
                <w:lang w:val="en-US" w:eastAsia="zh-CN" w:bidi="ar"/>
              </w:rPr>
              <w:t xml:space="preserve">每</w:t>
            </w:r>
            <w:r>
              <w:rPr>
                <w:rStyle w:val="943"/>
                <w:color w:val="000000"/>
                <w:sz w:val="21"/>
                <w:szCs w:val="21"/>
                <w:highlight w:val="none"/>
                <w:lang w:val="en-US" w:eastAsia="zh-CN" w:bidi="ar"/>
              </w:rPr>
              <w:t xml:space="preserve">半年</w:t>
            </w:r>
            <w:r>
              <w:rPr>
                <w:rStyle w:val="942"/>
                <w:color w:val="000000"/>
                <w:sz w:val="21"/>
                <w:szCs w:val="21"/>
                <w:highlight w:val="none"/>
                <w:lang w:val="en-US" w:eastAsia="zh-CN" w:bidi="ar"/>
              </w:rPr>
              <w:t xml:space="preserve">应进行1次入户巡查，不定期开展巡查工作，相关记录完善，发现问题及时处置得3分。抽查发现未入户检查、未巡查或出现问题巡查未发现，每发现一起扣1分。因违规转租转借问题被举报或曝光后未能及时处置，每发生一起扣1分。</w:t>
            </w:r>
            <w:r>
              <w:rPr>
                <w:rFonts w:hint="eastAsia" w:ascii="宋体" w:hAnsi="宋体" w:eastAsia="宋体" w:cs="宋体"/>
                <w:i w:val="0"/>
                <w:iCs w:val="0"/>
                <w:color w:val="000000"/>
                <w:sz w:val="21"/>
                <w:szCs w:val="21"/>
                <w:highlight w:val="none"/>
                <w:u w:val="none"/>
              </w:rPr>
            </w:r>
            <w:r/>
          </w:p>
        </w:tc>
      </w:tr>
      <w:tr>
        <w:trPr>
          <w:trHeight w:val="56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违规行为处置</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定期进行检查，发现或受理投诉公租房承租人违规装修、改变房屋使用性质等违规行为，及时上门核实情况，情况属实的会同物业管理单位制止并书面通知限期恢复原状，拒不执行的上报行政执法部门申请强制执行。未履行责任一次扣1分，累计扣3分。</w:t>
            </w:r>
            <w:r>
              <w:rPr>
                <w:rFonts w:hint="eastAsia" w:ascii="宋体" w:hAnsi="宋体" w:eastAsia="宋体" w:cs="宋体"/>
                <w:i w:val="0"/>
                <w:iCs w:val="0"/>
                <w:color w:val="000000"/>
                <w:sz w:val="21"/>
                <w:szCs w:val="21"/>
                <w:highlight w:val="none"/>
                <w:u w:val="none"/>
              </w:rPr>
            </w:r>
            <w:r/>
          </w:p>
        </w:tc>
      </w:tr>
      <w:tr>
        <w:trPr>
          <w:trHeight w:val="380"/>
        </w:trPr>
        <w:tc>
          <w:tcPr>
            <w:tcW w:w="701"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00"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安全生产</w:t>
            </w: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安全知识宣传</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安全知识宣传每年不少于3次，完成得2分，少一次扣0.5分。</w:t>
            </w:r>
            <w:r>
              <w:rPr>
                <w:rFonts w:hint="eastAsia" w:ascii="宋体" w:hAnsi="宋体" w:eastAsia="宋体" w:cs="宋体"/>
                <w:i w:val="0"/>
                <w:iCs w:val="0"/>
                <w:color w:val="000000"/>
                <w:sz w:val="21"/>
                <w:szCs w:val="21"/>
                <w:highlight w:val="none"/>
                <w:u w:val="none"/>
              </w:rPr>
            </w:r>
            <w:r/>
          </w:p>
        </w:tc>
      </w:tr>
      <w:tr>
        <w:trPr>
          <w:trHeight w:val="58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安全检查</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不定期进行安全专项检查，全年不少于4次，隐患问题逐一建立档案得2分，对存在的隐患问题未及时发现，被其他单位或群众发现的每发生一起扣1分。</w:t>
            </w:r>
            <w:r>
              <w:rPr>
                <w:rFonts w:hint="eastAsia" w:ascii="宋体" w:hAnsi="宋体" w:eastAsia="宋体" w:cs="宋体"/>
                <w:i w:val="0"/>
                <w:iCs w:val="0"/>
                <w:color w:val="000000"/>
                <w:sz w:val="21"/>
                <w:szCs w:val="21"/>
                <w:highlight w:val="none"/>
                <w:u w:val="none"/>
              </w:rPr>
            </w:r>
            <w:r/>
          </w:p>
        </w:tc>
      </w:tr>
      <w:tr>
        <w:trPr>
          <w:trHeight w:val="84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安全隐患排除</w:t>
            </w:r>
            <w:r>
              <w:rPr>
                <w:rFonts w:hint="eastAsia" w:ascii="宋体" w:hAnsi="宋体" w:eastAsia="宋体" w:cs="宋体"/>
                <w:i w:val="0"/>
                <w:iCs w:val="0"/>
                <w:color w:val="000000"/>
                <w:sz w:val="21"/>
                <w:szCs w:val="21"/>
                <w:highlight w:val="none"/>
                <w:u w:val="none"/>
              </w:rPr>
            </w:r>
            <w:r/>
          </w:p>
        </w:tc>
        <w:tc>
          <w:tcPr>
            <w:tcW w:w="724"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对检查发现的安全隐患及时进行处置解决，对不能解决的问题及时报送相关职能部门、相关报送资料建档留存的得4分。对检查发现的问题不采取措施积极解决或不上报相关职能部门的，每发生一起扣2分，对存在的安全隐患未及时发现或发现未及时采取处置措施发生安全事故的，每发生一起扣2分，发生人员伤亡事故的，直接认定为考评不合格。</w:t>
            </w:r>
            <w:r>
              <w:rPr>
                <w:rFonts w:hint="eastAsia" w:ascii="宋体" w:hAnsi="宋体" w:eastAsia="宋体" w:cs="宋体"/>
                <w:i w:val="0"/>
                <w:iCs w:val="0"/>
                <w:color w:val="000000"/>
                <w:sz w:val="21"/>
                <w:szCs w:val="21"/>
                <w:highlight w:val="none"/>
                <w:u w:val="none"/>
              </w:rPr>
            </w:r>
            <w:r/>
          </w:p>
        </w:tc>
      </w:tr>
      <w:tr>
        <w:trPr>
          <w:trHeight w:val="36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2、乙方应确保受托管理的房屋全年无责任性安全事故发生。因管理不到位发生责任性安全事故，承担全部法律责任和造成的经济损失。</w:t>
            </w:r>
            <w:r>
              <w:rPr>
                <w:rFonts w:hint="eastAsia" w:ascii="宋体" w:hAnsi="宋体" w:eastAsia="宋体" w:cs="宋体"/>
                <w:i w:val="0"/>
                <w:iCs w:val="0"/>
                <w:color w:val="000000"/>
                <w:sz w:val="21"/>
                <w:szCs w:val="21"/>
                <w:highlight w:val="none"/>
                <w:u w:val="none"/>
              </w:rPr>
            </w:r>
            <w:r/>
          </w:p>
        </w:tc>
      </w:tr>
      <w:tr>
        <w:trPr>
          <w:trHeight w:val="46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突发事件处置情况</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突发事件处置及时得当得3分，处置不及时造成影响或损失的，每发生一起扣1分，后果严重的认定为考评不合格。</w:t>
            </w:r>
            <w:r>
              <w:rPr>
                <w:rFonts w:hint="eastAsia" w:ascii="宋体" w:hAnsi="宋体" w:eastAsia="宋体" w:cs="宋体"/>
                <w:i w:val="0"/>
                <w:iCs w:val="0"/>
                <w:color w:val="000000"/>
                <w:sz w:val="21"/>
                <w:szCs w:val="21"/>
                <w:highlight w:val="none"/>
                <w:u w:val="none"/>
              </w:rPr>
            </w:r>
            <w:r/>
          </w:p>
        </w:tc>
      </w:tr>
      <w:tr>
        <w:trPr>
          <w:trHeight w:val="420"/>
        </w:trPr>
        <w:tc>
          <w:tcPr>
            <w:tcW w:w="701"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00"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业务衔接</w:t>
            </w: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业务移交情况</w:t>
            </w:r>
            <w:r>
              <w:rPr>
                <w:rFonts w:hint="eastAsia" w:ascii="宋体" w:hAnsi="宋体" w:eastAsia="宋体" w:cs="宋体"/>
                <w:b w:val="0"/>
                <w:bCs w:val="0"/>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积极配合物业单位或其他机构做好业务移交工作，同时不定期组织相关单位召开业务交流会，提出合理化建议，发现不配合情况一次扣1分。</w:t>
            </w:r>
            <w:r>
              <w:rPr>
                <w:rFonts w:hint="eastAsia" w:ascii="宋体" w:hAnsi="宋体" w:eastAsia="宋体" w:cs="宋体"/>
                <w:b w:val="0"/>
                <w:bCs w:val="0"/>
                <w:i w:val="0"/>
                <w:iCs w:val="0"/>
                <w:color w:val="000000"/>
                <w:sz w:val="21"/>
                <w:szCs w:val="21"/>
                <w:highlight w:val="none"/>
                <w:u w:val="none"/>
              </w:rPr>
            </w:r>
            <w:r/>
          </w:p>
        </w:tc>
      </w:tr>
      <w:tr>
        <w:trPr>
          <w:trHeight w:val="36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信息化管理情况</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配合做好信息化系统建设相关工作，结合业务实际需求，提出合理化建议，做好信息录入、维护等工作。若不配合则考核不合格。</w:t>
            </w:r>
            <w:r>
              <w:rPr>
                <w:rFonts w:ascii="宋体" w:hAnsi="宋体" w:eastAsia="宋体" w:cs="宋体"/>
                <w:i w:val="0"/>
                <w:iCs w:val="0"/>
                <w:color w:val="000000"/>
                <w:sz w:val="21"/>
                <w:szCs w:val="21"/>
                <w:highlight w:val="none"/>
                <w:u w:val="none"/>
                <w:lang w:val="en-US"/>
              </w:rPr>
            </w:r>
            <w:r/>
          </w:p>
        </w:tc>
      </w:tr>
      <w:tr>
        <w:trPr>
          <w:trHeight w:val="270"/>
        </w:trPr>
        <w:tc>
          <w:tcPr>
            <w:tcW w:w="701"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00"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档案管理</w:t>
            </w: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收集、整理资料情况</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收集整理租户相关资料信息并建立完善档案资料得2分，经检查发现资料不全未在规定时限内整改的每发生一起扣0.5分，扣完为止。</w:t>
            </w:r>
            <w:r>
              <w:rPr>
                <w:rFonts w:hint="eastAsia" w:ascii="宋体" w:hAnsi="宋体" w:eastAsia="宋体" w:cs="宋体"/>
                <w:i w:val="0"/>
                <w:iCs w:val="0"/>
                <w:color w:val="000000"/>
                <w:sz w:val="21"/>
                <w:szCs w:val="21"/>
                <w:highlight w:val="none"/>
                <w:u w:val="none"/>
              </w:rPr>
            </w:r>
            <w:r/>
          </w:p>
        </w:tc>
      </w:tr>
      <w:tr>
        <w:trPr>
          <w:trHeight w:val="32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档案移交存档</w:t>
            </w:r>
            <w:r>
              <w:rPr>
                <w:rFonts w:hint="eastAsia" w:ascii="宋体" w:hAnsi="宋体" w:eastAsia="宋体" w:cs="宋体"/>
                <w:i w:val="0"/>
                <w:iCs w:val="0"/>
                <w:color w:val="000000"/>
                <w:sz w:val="21"/>
                <w:szCs w:val="21"/>
                <w:highlight w:val="none"/>
                <w:u w:val="none"/>
              </w:rPr>
            </w:r>
            <w:r/>
          </w:p>
        </w:tc>
        <w:tc>
          <w:tcPr>
            <w:tcW w:w="724"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1、按时移交档案资料得2分，不按规定时间移交资料发生一次扣0.5分，扣完为止。</w:t>
            </w:r>
            <w:r>
              <w:rPr>
                <w:rFonts w:hint="eastAsia" w:ascii="宋体" w:hAnsi="宋体" w:eastAsia="宋体" w:cs="宋体"/>
                <w:i w:val="0"/>
                <w:iCs w:val="0"/>
                <w:color w:val="000000"/>
                <w:sz w:val="21"/>
                <w:szCs w:val="21"/>
                <w:highlight w:val="none"/>
                <w:u w:val="none"/>
              </w:rPr>
            </w:r>
            <w:r/>
          </w:p>
        </w:tc>
      </w:tr>
      <w:tr>
        <w:trPr>
          <w:trHeight w:val="32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2、档案资料不齐全、不完善或移交不及时，发生一次扣罚500元。</w:t>
            </w:r>
            <w:r>
              <w:rPr>
                <w:rFonts w:hint="eastAsia" w:ascii="宋体" w:hAnsi="宋体" w:eastAsia="宋体" w:cs="宋体"/>
                <w:i w:val="0"/>
                <w:iCs w:val="0"/>
                <w:color w:val="000000"/>
                <w:sz w:val="21"/>
                <w:szCs w:val="21"/>
                <w:highlight w:val="none"/>
                <w:u w:val="none"/>
              </w:rPr>
            </w:r>
            <w:r/>
          </w:p>
        </w:tc>
      </w:tr>
      <w:tr>
        <w:trPr>
          <w:trHeight w:val="44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内部档案建档存档</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tcPr>
          <w:p>
            <w:pPr>
              <w:pStyle w:val="89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对照公租房运营管理制度建立运营管理服务专项档案台账，资料完整得2分。</w:t>
            </w:r>
            <w:r>
              <w:rPr>
                <w:rFonts w:hint="eastAsia" w:ascii="宋体" w:hAnsi="宋体" w:eastAsia="宋体" w:cs="宋体"/>
                <w:i w:val="0"/>
                <w:iCs w:val="0"/>
                <w:color w:val="000000"/>
                <w:sz w:val="21"/>
                <w:szCs w:val="21"/>
                <w:highlight w:val="none"/>
                <w:u w:val="none"/>
              </w:rPr>
            </w:r>
            <w:r/>
          </w:p>
        </w:tc>
      </w:tr>
      <w:tr>
        <w:trPr>
          <w:trHeight w:val="380"/>
        </w:trPr>
        <w:tc>
          <w:tcPr>
            <w:tcW w:w="701"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00"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其他业务</w:t>
            </w: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配合政策宣传</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通过宣传栏、告示牌、发放张贴宣传资料等方式，及时做好政策宣传工作得2分。</w:t>
            </w:r>
            <w:r>
              <w:rPr>
                <w:rFonts w:hint="eastAsia" w:ascii="宋体" w:hAnsi="宋体" w:eastAsia="宋体" w:cs="宋体"/>
                <w:i w:val="0"/>
                <w:iCs w:val="0"/>
                <w:color w:val="000000"/>
                <w:sz w:val="21"/>
                <w:szCs w:val="21"/>
                <w:highlight w:val="none"/>
                <w:u w:val="none"/>
              </w:rPr>
            </w:r>
            <w:r/>
          </w:p>
        </w:tc>
      </w:tr>
      <w:tr>
        <w:trPr>
          <w:trHeight w:val="32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业务投诉</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因工作不到位不负责任，发生有效投诉一次扣1分，累计不超过2分。</w:t>
            </w:r>
            <w:r>
              <w:rPr>
                <w:rFonts w:hint="eastAsia" w:ascii="宋体" w:hAnsi="宋体" w:eastAsia="宋体" w:cs="宋体"/>
                <w:i w:val="0"/>
                <w:iCs w:val="0"/>
                <w:color w:val="000000"/>
                <w:sz w:val="21"/>
                <w:szCs w:val="21"/>
                <w:highlight w:val="none"/>
                <w:u w:val="none"/>
              </w:rPr>
            </w:r>
            <w:r/>
          </w:p>
        </w:tc>
      </w:tr>
      <w:tr>
        <w:trPr>
          <w:trHeight w:val="32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配合信访接待</w:t>
            </w:r>
            <w:r>
              <w:rPr>
                <w:rFonts w:hint="eastAsia" w:ascii="宋体" w:hAnsi="宋体" w:eastAsia="宋体" w:cs="宋体"/>
                <w:i w:val="0"/>
                <w:iCs w:val="0"/>
                <w:color w:val="000000"/>
                <w:sz w:val="21"/>
                <w:szCs w:val="21"/>
                <w:highlight w:val="none"/>
                <w:u w:val="none"/>
              </w:rPr>
            </w:r>
            <w:r/>
          </w:p>
        </w:tc>
        <w:tc>
          <w:tcPr>
            <w:tcW w:w="724" w:type="dxa"/>
            <w:vAlign w:val="center"/>
            <w:vMerge w:val="restart"/>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1、积极配合处理有关公租房的信访投诉得2分。因配合处置不当造成不良影响，每发生一起扣1分，扣完为止。</w:t>
            </w:r>
            <w:r>
              <w:rPr>
                <w:rFonts w:hint="eastAsia" w:ascii="宋体" w:hAnsi="宋体" w:eastAsia="宋体" w:cs="宋体"/>
                <w:i w:val="0"/>
                <w:iCs w:val="0"/>
                <w:color w:val="000000"/>
                <w:sz w:val="21"/>
                <w:szCs w:val="21"/>
                <w:highlight w:val="none"/>
                <w:u w:val="none"/>
              </w:rPr>
            </w:r>
            <w:r/>
          </w:p>
        </w:tc>
      </w:tr>
      <w:tr>
        <w:trPr>
          <w:trHeight w:val="27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2、未及时妥善处理或未反馈，推诿、上交矛盾，每发生一起扣罚1000元。处理不当导致媒体曝光、群众上访或群访事件扣罚5000元。</w:t>
            </w:r>
            <w:r>
              <w:rPr>
                <w:rFonts w:hint="eastAsia" w:ascii="宋体" w:hAnsi="宋体" w:eastAsia="宋体" w:cs="宋体"/>
                <w:i w:val="0"/>
                <w:iCs w:val="0"/>
                <w:color w:val="000000"/>
                <w:sz w:val="21"/>
                <w:szCs w:val="21"/>
                <w:highlight w:val="none"/>
                <w:u w:val="none"/>
              </w:rPr>
            </w:r>
            <w:r/>
          </w:p>
        </w:tc>
      </w:tr>
      <w:tr>
        <w:trPr>
          <w:trHeight w:val="32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配合诉讼案件</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积极配合完成诉讼得2分。因配合不到位造成不良后果，每发生一次扣1分，扣完为止。</w:t>
            </w:r>
            <w:r>
              <w:rPr>
                <w:rFonts w:hint="eastAsia" w:ascii="宋体" w:hAnsi="宋体" w:eastAsia="宋体" w:cs="宋体"/>
                <w:i w:val="0"/>
                <w:iCs w:val="0"/>
                <w:color w:val="000000"/>
                <w:sz w:val="21"/>
                <w:szCs w:val="21"/>
                <w:highlight w:val="none"/>
                <w:u w:val="none"/>
              </w:rPr>
            </w:r>
            <w:r/>
          </w:p>
        </w:tc>
      </w:tr>
      <w:tr>
        <w:trPr>
          <w:trHeight w:val="42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数据分析、建言献策</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科学合理的数据分析，提出合理化的建议得1分。</w:t>
            </w:r>
            <w:r>
              <w:rPr>
                <w:rFonts w:hint="eastAsia" w:ascii="宋体" w:hAnsi="宋体" w:eastAsia="宋体" w:cs="宋体"/>
                <w:i w:val="0"/>
                <w:iCs w:val="0"/>
                <w:color w:val="000000"/>
                <w:sz w:val="21"/>
                <w:szCs w:val="21"/>
                <w:highlight w:val="none"/>
                <w:u w:val="none"/>
              </w:rPr>
            </w:r>
            <w:r/>
          </w:p>
        </w:tc>
      </w:tr>
      <w:tr>
        <w:trPr>
          <w:trHeight w:val="460"/>
        </w:trPr>
        <w:tc>
          <w:tcPr>
            <w:tcW w:w="701"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00" w:type="dxa"/>
            <w:vAlign w:val="center"/>
            <w:vMerge w:val="continue"/>
            <w:textDirection w:val="lrTb"/>
            <w:noWrap w:val="false"/>
          </w:tcPr>
          <w:p>
            <w:pPr>
              <w:pStyle w:val="89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76"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临时性工作完成情况</w:t>
            </w:r>
            <w:r>
              <w:rPr>
                <w:rFonts w:hint="eastAsia" w:ascii="宋体" w:hAnsi="宋体" w:eastAsia="宋体" w:cs="宋体"/>
                <w:i w:val="0"/>
                <w:iCs w:val="0"/>
                <w:color w:val="000000"/>
                <w:sz w:val="21"/>
                <w:szCs w:val="21"/>
                <w:highlight w:val="none"/>
                <w:u w:val="none"/>
              </w:rPr>
            </w:r>
            <w:r/>
          </w:p>
        </w:tc>
        <w:tc>
          <w:tcPr>
            <w:tcW w:w="724" w:type="dxa"/>
            <w:vAlign w:val="center"/>
            <w:textDirection w:val="lrTb"/>
            <w:noWrap w:val="false"/>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val="false"/>
          </w:tcPr>
          <w:p>
            <w:pPr>
              <w:pStyle w:val="893"/>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完成交办的临时性工作任务得1分，未完成不得分。</w:t>
            </w:r>
            <w:r>
              <w:rPr>
                <w:rFonts w:hint="eastAsia" w:ascii="宋体" w:hAnsi="宋体" w:eastAsia="宋体" w:cs="宋体"/>
                <w:i w:val="0"/>
                <w:iCs w:val="0"/>
                <w:color w:val="000000"/>
                <w:sz w:val="21"/>
                <w:szCs w:val="21"/>
                <w:highlight w:val="none"/>
                <w:u w:val="none"/>
              </w:rPr>
            </w:r>
            <w:r/>
          </w:p>
        </w:tc>
      </w:tr>
      <w:tr>
        <w:trPr>
          <w:trHeight w:val="440"/>
        </w:trPr>
        <w:tc>
          <w:tcPr>
            <w:gridSpan w:val="2"/>
            <w:tcW w:w="1901" w:type="dxa"/>
            <w:vAlign w:val="center"/>
            <w:textDirection w:val="lrTb"/>
            <w:noWrap/>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1676" w:type="dxa"/>
            <w:vAlign w:val="center"/>
            <w:textDirection w:val="lrTb"/>
            <w:noWrap/>
          </w:tcPr>
          <w:p>
            <w:pPr>
              <w:pStyle w:val="893"/>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4" w:type="dxa"/>
            <w:vAlign w:val="center"/>
            <w:textDirection w:val="lrTb"/>
            <w:noWrap/>
          </w:tcPr>
          <w:p>
            <w:pPr>
              <w:pStyle w:val="89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4454" w:type="dxa"/>
            <w:vAlign w:val="center"/>
            <w:textDirection w:val="lrTb"/>
            <w:noWrap/>
          </w:tcPr>
          <w:p>
            <w:pPr>
              <w:pStyle w:val="89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注：考评得分达85分及以上为合格，低于85分扣罚20000元。</w:t>
            </w:r>
            <w:r>
              <w:rPr>
                <w:rFonts w:hint="eastAsia" w:ascii="宋体" w:hAnsi="宋体" w:eastAsia="宋体" w:cs="宋体"/>
                <w:i w:val="0"/>
                <w:iCs w:val="0"/>
                <w:color w:val="000000"/>
                <w:sz w:val="21"/>
                <w:szCs w:val="21"/>
                <w:highlight w:val="none"/>
                <w:u w:val="none"/>
              </w:rPr>
            </w:r>
            <w:r/>
          </w:p>
        </w:tc>
      </w:tr>
    </w:tbl>
    <w:p>
      <w:pPr>
        <w:pStyle w:val="893"/>
        <w:rPr>
          <w:color w:val="000000"/>
          <w:highlight w:val="none"/>
        </w:rPr>
      </w:pPr>
      <w:r>
        <w:rPr>
          <w:color w:val="000000"/>
          <w:highlight w:val="none"/>
        </w:rPr>
      </w:r>
      <w:r/>
    </w:p>
    <w:p>
      <w:pPr>
        <w:pStyle w:val="893"/>
        <w:rPr>
          <w:color w:val="000000"/>
          <w:highlight w:val="none"/>
        </w:rPr>
      </w:pPr>
      <w:r>
        <w:rPr>
          <w:color w:val="000000"/>
          <w:highlight w:val="none"/>
        </w:rPr>
      </w:r>
      <w:r/>
    </w:p>
    <w:p>
      <w:pPr>
        <w:pStyle w:val="893"/>
        <w:jc w:val="center"/>
        <w:rPr>
          <w:rFonts w:hint="eastAsia" w:ascii="宋体" w:hAnsi="宋体" w:eastAsia="宋体" w:cs="Times New Roman"/>
          <w:b/>
          <w:bCs/>
          <w:color w:val="000000"/>
          <w:sz w:val="44"/>
          <w:szCs w:val="44"/>
          <w:highlight w:val="none"/>
        </w:rPr>
        <w:outlineLvl w:val="0"/>
      </w:pPr>
      <w:r>
        <w:rPr>
          <w:color w:val="000000"/>
          <w:highlight w:val="none"/>
        </w:rPr>
        <w:br w:type="page" w:clear="all"/>
      </w:r>
      <w:bookmarkStart w:id="102" w:name="_Toc3876"/>
      <w:r/>
      <w:bookmarkStart w:id="103" w:name="_Toc31196"/>
      <w:r>
        <w:rPr>
          <w:rFonts w:hint="eastAsia" w:ascii="宋体" w:hAnsi="宋体" w:eastAsia="宋体" w:cs="Times New Roman"/>
          <w:b/>
          <w:bCs/>
          <w:color w:val="000000"/>
          <w:sz w:val="44"/>
          <w:szCs w:val="44"/>
          <w:highlight w:val="none"/>
        </w:rPr>
        <w:t xml:space="preserve">第四章 </w:t>
      </w:r>
      <w:r>
        <w:rPr>
          <w:rFonts w:hint="eastAsia" w:ascii="宋体" w:hAnsi="宋体" w:eastAsia="宋体" w:cs="Times New Roman"/>
          <w:b/>
          <w:bCs/>
          <w:color w:val="000000"/>
          <w:sz w:val="44"/>
          <w:szCs w:val="44"/>
          <w:highlight w:val="none"/>
          <w:lang w:val="en-US" w:eastAsia="zh-CN"/>
        </w:rPr>
        <w:t xml:space="preserve">采购</w:t>
      </w:r>
      <w:r>
        <w:rPr>
          <w:rFonts w:hint="eastAsia" w:ascii="宋体" w:hAnsi="宋体" w:eastAsia="宋体" w:cs="Times New Roman"/>
          <w:b/>
          <w:bCs/>
          <w:color w:val="000000"/>
          <w:sz w:val="44"/>
          <w:szCs w:val="44"/>
          <w:highlight w:val="none"/>
        </w:rPr>
        <w:t xml:space="preserve">需求</w:t>
      </w:r>
      <w:bookmarkEnd w:id="102"/>
      <w:r/>
      <w:bookmarkEnd w:id="103"/>
      <w:r>
        <w:rPr>
          <w:rFonts w:hint="eastAsia" w:ascii="宋体" w:hAnsi="宋体" w:eastAsia="宋体" w:cs="Times New Roman"/>
          <w:b/>
          <w:bCs/>
          <w:color w:val="000000"/>
          <w:sz w:val="44"/>
          <w:szCs w:val="44"/>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注：本章内容里斜体且有下划线部分为实质性要求和条件，投标文件不满足的，视为无效投标处理。请各</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制作电子投标文件时，将实质性响应的内容在政府采购交易系统“符合证明文件格式”中准确填写或上传。</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为加强市区公共租赁住房管理,保障国有房屋产权人和使用人的合法权益，根据市住房和城乡建设局相关会议精神，现采购有关单位具体实施扬州市区公共租赁住房的管理。</w:t>
      </w:r>
      <w:r>
        <w:rPr>
          <w:rFonts w:hint="eastAsia" w:ascii="宋体" w:hAnsi="宋体"/>
          <w:color w:val="000000"/>
          <w:szCs w:val="21"/>
          <w:highlight w:val="none"/>
        </w:rPr>
      </w:r>
      <w:r/>
    </w:p>
    <w:p>
      <w:pPr>
        <w:pStyle w:val="893"/>
        <w:numPr>
          <w:ilvl w:val="0"/>
          <w:numId w:val="0"/>
        </w:numPr>
        <w:ind w:firstLine="420"/>
        <w:jc w:val="both"/>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一、项目名称：</w:t>
      </w:r>
      <w:r>
        <w:rPr>
          <w:rFonts w:hint="eastAsia" w:ascii="宋体" w:hAnsi="宋体" w:eastAsia="宋体" w:cs="宋体"/>
          <w:color w:val="000000"/>
          <w:sz w:val="21"/>
          <w:szCs w:val="21"/>
          <w:highlight w:val="none"/>
          <w:lang w:val="en-US" w:eastAsia="zh-CN"/>
        </w:rPr>
        <w:t xml:space="preserve">扬州市保障性住房发展中心公租房运营管理服务</w:t>
      </w:r>
      <w:r>
        <w:rPr>
          <w:rFonts w:hint="eastAsia" w:ascii="宋体" w:hAnsi="宋体" w:eastAsia="宋体" w:cs="宋体"/>
          <w:color w:val="000000"/>
          <w:sz w:val="21"/>
          <w:szCs w:val="21"/>
          <w:highlight w:val="none"/>
          <w:lang w:val="en-US" w:eastAsia="zh-CN"/>
        </w:rPr>
      </w:r>
      <w:r/>
    </w:p>
    <w:p>
      <w:pPr>
        <w:pStyle w:val="893"/>
        <w:numPr>
          <w:ilvl w:val="0"/>
          <w:numId w:val="0"/>
        </w:numPr>
        <w:ind w:firstLine="420"/>
        <w:jc w:val="both"/>
        <w:keepLines w:val="0"/>
        <w:keepNext w:val="0"/>
        <w:pageBreakBefore w:val="0"/>
        <w:spacing w:line="400" w:lineRule="exact"/>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二、采购预算：</w:t>
      </w:r>
      <w:r>
        <w:rPr>
          <w:rFonts w:hint="eastAsia" w:ascii="宋体" w:hAnsi="宋体" w:eastAsia="宋体" w:cs="宋体"/>
          <w:color w:val="000000"/>
          <w:sz w:val="21"/>
          <w:szCs w:val="21"/>
          <w:highlight w:val="none"/>
          <w:lang w:val="en-US" w:eastAsia="zh-CN"/>
        </w:rPr>
        <w:t xml:space="preserve">150万元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包一：</w:t>
      </w:r>
      <w:r>
        <w:rPr>
          <w:rFonts w:hint="eastAsia" w:ascii="宋体" w:hAnsi="宋体" w:eastAsia="宋体" w:cs="宋体"/>
          <w:b w:val="0"/>
          <w:bCs w:val="0"/>
          <w:color w:val="000000"/>
          <w:sz w:val="21"/>
          <w:szCs w:val="21"/>
          <w:highlight w:val="none"/>
          <w:u w:val="none"/>
          <w:lang w:val="en-US" w:eastAsia="zh-CN"/>
        </w:rPr>
        <w:t xml:space="preserve">90</w:t>
      </w:r>
      <w:r>
        <w:rPr>
          <w:rFonts w:hint="eastAsia" w:ascii="宋体" w:hAnsi="宋体" w:eastAsia="宋体" w:cs="宋体"/>
          <w:b w:val="0"/>
          <w:bCs w:val="0"/>
          <w:color w:val="000000"/>
          <w:sz w:val="21"/>
          <w:szCs w:val="21"/>
          <w:highlight w:val="none"/>
          <w:u w:val="none"/>
        </w:rPr>
        <w:t xml:space="preserve">万元；包二：</w:t>
      </w:r>
      <w:r>
        <w:rPr>
          <w:rFonts w:hint="eastAsia" w:ascii="宋体" w:hAnsi="宋体" w:eastAsia="宋体" w:cs="宋体"/>
          <w:b w:val="0"/>
          <w:bCs w:val="0"/>
          <w:color w:val="000000"/>
          <w:sz w:val="21"/>
          <w:szCs w:val="21"/>
          <w:highlight w:val="none"/>
          <w:u w:val="none"/>
          <w:lang w:val="en-US" w:eastAsia="zh-CN"/>
        </w:rPr>
        <w:t xml:space="preserve">34</w:t>
      </w:r>
      <w:r>
        <w:rPr>
          <w:rFonts w:hint="eastAsia" w:ascii="宋体" w:hAnsi="宋体" w:eastAsia="宋体" w:cs="宋体"/>
          <w:b w:val="0"/>
          <w:bCs w:val="0"/>
          <w:color w:val="000000"/>
          <w:sz w:val="21"/>
          <w:szCs w:val="21"/>
          <w:highlight w:val="none"/>
          <w:u w:val="none"/>
        </w:rPr>
        <w:t xml:space="preserve">万元；包三：</w:t>
      </w:r>
      <w:r>
        <w:rPr>
          <w:rFonts w:hint="eastAsia" w:ascii="宋体" w:hAnsi="宋体" w:eastAsia="宋体" w:cs="宋体"/>
          <w:b w:val="0"/>
          <w:bCs w:val="0"/>
          <w:color w:val="000000"/>
          <w:sz w:val="21"/>
          <w:szCs w:val="21"/>
          <w:highlight w:val="none"/>
          <w:u w:val="none"/>
          <w:lang w:val="en-US" w:eastAsia="zh-CN"/>
        </w:rPr>
        <w:t xml:space="preserve">26</w:t>
      </w:r>
      <w:r>
        <w:rPr>
          <w:rFonts w:hint="eastAsia" w:ascii="宋体" w:hAnsi="宋体" w:eastAsia="宋体" w:cs="宋体"/>
          <w:b w:val="0"/>
          <w:bCs w:val="0"/>
          <w:color w:val="000000"/>
          <w:sz w:val="21"/>
          <w:szCs w:val="21"/>
          <w:highlight w:val="none"/>
          <w:u w:val="none"/>
        </w:rPr>
        <w:t xml:space="preserve">万元</w:t>
      </w:r>
      <w:r>
        <w:rPr>
          <w:rFonts w:hint="eastAsia" w:ascii="宋体" w:hAnsi="宋体" w:eastAsia="宋体" w:cs="宋体"/>
          <w:b w:val="0"/>
          <w:bCs w:val="0"/>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lang w:val="en-US" w:eastAsia="zh-CN"/>
        </w:rPr>
      </w:r>
      <w:r/>
    </w:p>
    <w:p>
      <w:pPr>
        <w:pStyle w:val="893"/>
        <w:numPr>
          <w:ilvl w:val="0"/>
          <w:numId w:val="0"/>
        </w:numPr>
        <w:ind w:firstLine="420"/>
        <w:jc w:val="both"/>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三、服务期</w:t>
      </w:r>
      <w:r>
        <w:rPr>
          <w:rFonts w:hint="eastAsia" w:ascii="宋体" w:hAnsi="宋体" w:eastAsia="宋体" w:cs="宋体"/>
          <w:b w:val="0"/>
          <w:bCs w:val="0"/>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lang w:val="en-US" w:eastAsia="zh-CN"/>
        </w:rPr>
        <w:t xml:space="preserve">1年</w:t>
      </w:r>
      <w:r>
        <w:rPr>
          <w:rFonts w:hint="eastAsia" w:ascii="宋体" w:hAnsi="宋体" w:eastAsia="宋体" w:cs="宋体"/>
          <w:color w:val="000000"/>
          <w:sz w:val="21"/>
          <w:szCs w:val="21"/>
          <w:highlight w:val="none"/>
          <w:lang w:val="en-US" w:eastAsia="zh-CN"/>
        </w:rPr>
      </w:r>
      <w:r/>
    </w:p>
    <w:p>
      <w:pPr>
        <w:pStyle w:val="893"/>
        <w:ind w:firstLine="420"/>
        <w:jc w:val="both"/>
        <w:keepLines w:val="0"/>
        <w:keepNext w:val="0"/>
        <w:pageBreakBefore w:val="0"/>
        <w:spacing w:line="3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四、项目范围及服务费计算方法：</w:t>
      </w:r>
      <w:r>
        <w:rPr>
          <w:rFonts w:hint="eastAsia" w:ascii="宋体" w:hAnsi="宋体" w:eastAsia="宋体" w:cs="宋体"/>
          <w:color w:val="000000"/>
          <w:sz w:val="21"/>
          <w:szCs w:val="21"/>
          <w:highlight w:val="none"/>
          <w:lang w:val="en-US" w:eastAsia="zh-CN"/>
        </w:rPr>
        <w:t xml:space="preserve">扬州市保障性住房发展中心管理的3767套市本级公共租赁住房的后续管理服务，管理房源数量发生变化时，以采购单位书面提供的变化情况为准。</w:t>
      </w:r>
      <w:r>
        <w:rPr>
          <w:rFonts w:hint="eastAsia" w:ascii="宋体" w:hAnsi="宋体" w:eastAsia="宋体" w:cs="宋体"/>
          <w:color w:val="000000"/>
          <w:sz w:val="21"/>
          <w:szCs w:val="21"/>
          <w:highlight w:val="none"/>
          <w:lang w:val="en-US" w:eastAsia="zh-CN"/>
        </w:rPr>
      </w:r>
      <w:r/>
    </w:p>
    <w:p>
      <w:pPr>
        <w:pStyle w:val="893"/>
        <w:ind w:firstLine="420"/>
        <w:jc w:val="both"/>
        <w:keepLines w:val="0"/>
        <w:keepNext w:val="0"/>
        <w:pageBreakBefore w:val="0"/>
        <w:spacing w:line="3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本次招标三个包划分如下：</w:t>
      </w:r>
      <w:r>
        <w:rPr>
          <w:rFonts w:hint="eastAsia" w:ascii="宋体" w:hAnsi="宋体" w:eastAsia="宋体" w:cs="宋体"/>
          <w:color w:val="000000"/>
          <w:sz w:val="21"/>
          <w:szCs w:val="21"/>
          <w:highlight w:val="none"/>
          <w:lang w:val="en-US"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277"/>
        <w:gridCol w:w="1983"/>
        <w:gridCol w:w="2545"/>
        <w:gridCol w:w="855"/>
      </w:tblGrid>
      <w:tr>
        <w:trPr>
          <w:tblHeader/>
        </w:trPr>
        <w:tc>
          <w:tcPr>
            <w:tcW w:w="862" w:type="dxa"/>
            <w:vAlign w:val="center"/>
            <w:textDirection w:val="lrTb"/>
            <w:noWrap w:val="false"/>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序号</w:t>
            </w:r>
            <w:r>
              <w:rPr>
                <w:rFonts w:hint="eastAsia" w:ascii="宋体" w:hAnsi="宋体" w:eastAsia="宋体" w:cs="宋体"/>
                <w:b/>
                <w:color w:val="000000"/>
                <w:highlight w:val="none"/>
                <w:lang w:val="en-US" w:eastAsia="zh-CN"/>
              </w:rPr>
            </w:r>
            <w:r/>
          </w:p>
        </w:tc>
        <w:tc>
          <w:tcPr>
            <w:tcW w:w="2277" w:type="dxa"/>
            <w:vAlign w:val="center"/>
            <w:textDirection w:val="lrTb"/>
            <w:noWrap w:val="false"/>
          </w:tcPr>
          <w:p>
            <w:pPr>
              <w:pStyle w:val="893"/>
              <w:ind w:left="0" w:right="0" w:firstLine="0"/>
              <w:jc w:val="center"/>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项目</w:t>
            </w:r>
            <w:r>
              <w:rPr>
                <w:rFonts w:hint="eastAsia" w:ascii="宋体" w:hAnsi="宋体" w:eastAsia="宋体" w:cs="宋体"/>
                <w:b/>
                <w:color w:val="000000"/>
                <w:highlight w:val="none"/>
              </w:rPr>
            </w:r>
            <w:r/>
          </w:p>
        </w:tc>
        <w:tc>
          <w:tcPr>
            <w:tcW w:w="1983" w:type="dxa"/>
            <w:vAlign w:val="center"/>
            <w:textDirection w:val="lrTb"/>
            <w:noWrap w:val="false"/>
          </w:tcPr>
          <w:p>
            <w:pPr>
              <w:pStyle w:val="893"/>
              <w:ind w:left="0" w:right="0" w:firstLine="0"/>
              <w:jc w:val="center"/>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总数量（套）</w:t>
            </w:r>
            <w:r>
              <w:rPr>
                <w:rFonts w:hint="eastAsia" w:ascii="宋体" w:hAnsi="宋体" w:eastAsia="宋体" w:cs="宋体"/>
                <w:b/>
                <w:color w:val="000000"/>
                <w:highlight w:val="none"/>
              </w:rPr>
            </w:r>
            <w:r/>
          </w:p>
        </w:tc>
        <w:tc>
          <w:tcPr>
            <w:tcW w:w="2545" w:type="dxa"/>
            <w:vAlign w:val="center"/>
            <w:textDirection w:val="lrTb"/>
            <w:noWrap w:val="false"/>
          </w:tcPr>
          <w:p>
            <w:pPr>
              <w:pStyle w:val="893"/>
              <w:ind w:left="0" w:right="0" w:firstLine="0"/>
              <w:jc w:val="center"/>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总建筑面积（m</w:t>
            </w:r>
            <w:r>
              <w:rPr>
                <w:rFonts w:hint="eastAsia" w:ascii="宋体" w:hAnsi="宋体" w:eastAsia="宋体" w:cs="宋体"/>
                <w:b/>
                <w:color w:val="000000"/>
                <w:highlight w:val="none"/>
                <w:vertAlign w:val="superscript"/>
                <w:lang w:val="en-US" w:eastAsia="zh-CN"/>
              </w:rPr>
              <w:t xml:space="preserve">2</w:t>
            </w:r>
            <w:r>
              <w:rPr>
                <w:rFonts w:hint="eastAsia" w:ascii="宋体" w:hAnsi="宋体" w:eastAsia="宋体" w:cs="宋体"/>
                <w:b/>
                <w:color w:val="000000"/>
                <w:highlight w:val="none"/>
                <w:lang w:val="en-US" w:eastAsia="zh-CN"/>
              </w:rPr>
              <w:t xml:space="preserve">）</w:t>
            </w:r>
            <w:r>
              <w:rPr>
                <w:rFonts w:hint="eastAsia" w:ascii="宋体" w:hAnsi="宋体" w:eastAsia="宋体" w:cs="宋体"/>
                <w:b/>
                <w:color w:val="000000"/>
                <w:highlight w:val="none"/>
              </w:rPr>
            </w:r>
            <w:r/>
          </w:p>
        </w:tc>
        <w:tc>
          <w:tcPr>
            <w:tcW w:w="855" w:type="dxa"/>
            <w:vAlign w:val="center"/>
            <w:textDirection w:val="lrTb"/>
            <w:noWrap w:val="false"/>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备注</w:t>
            </w:r>
            <w:r>
              <w:rPr>
                <w:rFonts w:hint="eastAsia" w:ascii="宋体" w:hAnsi="宋体" w:eastAsia="宋体" w:cs="宋体"/>
                <w:b/>
                <w:color w:val="000000"/>
                <w:highlight w:val="none"/>
                <w:lang w:val="en-US" w:eastAsia="zh-CN"/>
              </w:rPr>
            </w:r>
            <w:r/>
          </w:p>
        </w:tc>
      </w:tr>
      <w:tr>
        <w:trPr/>
        <w:tc>
          <w:tcPr>
            <w:tcW w:w="862" w:type="dxa"/>
            <w:vAlign w:val="center"/>
            <w:vMerge w:val="restart"/>
            <w:textDirection w:val="lrTb"/>
            <w:noWrap/>
          </w:tcPr>
          <w:p>
            <w:pPr>
              <w:pStyle w:val="893"/>
              <w:ind w:left="0" w:right="0"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包一</w:t>
            </w:r>
            <w:r>
              <w:rPr>
                <w:rFonts w:hint="eastAsia" w:ascii="宋体" w:hAnsi="宋体" w:eastAsia="宋体" w:cs="宋体"/>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杉湾东苑</w:t>
            </w:r>
            <w:r>
              <w:rPr>
                <w:rFonts w:hint="eastAsia" w:ascii="宋体" w:hAnsi="宋体" w:eastAsia="宋体" w:cs="宋体"/>
                <w:color w:val="000000"/>
                <w:highlight w:val="none"/>
              </w:rPr>
            </w:r>
            <w:r/>
          </w:p>
        </w:tc>
        <w:tc>
          <w:tcPr>
            <w:tcW w:w="1983"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500</w:t>
            </w:r>
            <w:r>
              <w:rPr>
                <w:rFonts w:hint="eastAsia" w:ascii="宋体" w:hAnsi="宋体" w:eastAsia="宋体" w:cs="宋体"/>
                <w:color w:val="000000"/>
                <w:highlight w:val="none"/>
              </w:rPr>
            </w:r>
            <w:r/>
          </w:p>
        </w:tc>
        <w:tc>
          <w:tcPr>
            <w:tcW w:w="2545"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31415.81</w:t>
            </w:r>
            <w:r>
              <w:rPr>
                <w:rFonts w:hint="eastAsia" w:ascii="宋体" w:hAnsi="宋体" w:eastAsia="宋体" w:cs="宋体"/>
                <w:color w:val="000000"/>
                <w:highlight w:val="none"/>
              </w:rPr>
            </w:r>
            <w:r/>
          </w:p>
        </w:tc>
        <w:tc>
          <w:tcPr>
            <w:tcW w:w="855" w:type="dxa"/>
            <w:vAlign w:val="center"/>
            <w:textDirection w:val="lrTb"/>
            <w:noWrap/>
          </w:tcPr>
          <w:p>
            <w:pPr>
              <w:pStyle w:val="893"/>
              <w:ind w:left="0" w:right="0" w:firstLine="0"/>
              <w:jc w:val="righ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杉湾花园六期</w:t>
            </w:r>
            <w:r>
              <w:rPr>
                <w:rFonts w:hint="eastAsia" w:ascii="宋体" w:hAnsi="宋体" w:eastAsia="宋体" w:cs="宋体"/>
                <w:color w:val="000000"/>
                <w:highlight w:val="none"/>
              </w:rPr>
            </w:r>
            <w:r/>
          </w:p>
        </w:tc>
        <w:tc>
          <w:tcPr>
            <w:tcW w:w="1983"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750</w:t>
            </w:r>
            <w:r>
              <w:rPr>
                <w:rFonts w:hint="eastAsia" w:ascii="宋体" w:hAnsi="宋体" w:eastAsia="宋体" w:cs="宋体"/>
                <w:color w:val="000000"/>
                <w:highlight w:val="none"/>
              </w:rPr>
            </w:r>
            <w:r/>
          </w:p>
        </w:tc>
        <w:tc>
          <w:tcPr>
            <w:tcW w:w="2545"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45836.67</w:t>
            </w:r>
            <w:r>
              <w:rPr>
                <w:rFonts w:hint="eastAsia" w:ascii="宋体" w:hAnsi="宋体" w:eastAsia="宋体" w:cs="宋体"/>
                <w:color w:val="000000"/>
                <w:highlight w:val="none"/>
              </w:rPr>
            </w:r>
            <w:r/>
          </w:p>
        </w:tc>
        <w:tc>
          <w:tcPr>
            <w:tcW w:w="855" w:type="dxa"/>
            <w:vAlign w:val="center"/>
            <w:textDirection w:val="lrTb"/>
            <w:noWrap/>
          </w:tcPr>
          <w:p>
            <w:pPr>
              <w:pStyle w:val="893"/>
              <w:ind w:left="0" w:right="0" w:firstLine="0"/>
              <w:jc w:val="righ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联谊南园联泰苑</w:t>
            </w:r>
            <w:r>
              <w:rPr>
                <w:rFonts w:hint="eastAsia" w:ascii="宋体" w:hAnsi="宋体" w:eastAsia="宋体" w:cs="宋体"/>
                <w:color w:val="000000"/>
                <w:highlight w:val="none"/>
              </w:rPr>
            </w:r>
            <w:r/>
          </w:p>
        </w:tc>
        <w:tc>
          <w:tcPr>
            <w:tcW w:w="1983" w:type="dxa"/>
            <w:vAlign w:val="center"/>
            <w:textDirection w:val="lrTb"/>
            <w:noWrap/>
          </w:tcPr>
          <w:p>
            <w:pPr>
              <w:pStyle w:val="893"/>
              <w:ind w:left="0" w:right="0" w:firstLine="0"/>
              <w:jc w:val="center"/>
              <w:rPr>
                <w:rFonts w:hint="eastAsia"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821</w:t>
            </w:r>
            <w:r>
              <w:rPr>
                <w:rFonts w:hint="eastAsia" w:ascii="宋体" w:hAnsi="宋体" w:eastAsia="宋体" w:cs="宋体"/>
                <w:color w:val="000000"/>
                <w:highlight w:val="none"/>
                <w:lang w:val="en-US"/>
              </w:rPr>
            </w:r>
            <w:r/>
          </w:p>
        </w:tc>
        <w:tc>
          <w:tcPr>
            <w:tcW w:w="2545" w:type="dxa"/>
            <w:vAlign w:val="center"/>
            <w:textDirection w:val="lrTb"/>
            <w:noWrap/>
          </w:tcPr>
          <w:p>
            <w:pPr>
              <w:pStyle w:val="893"/>
              <w:ind w:left="0" w:right="0" w:firstLine="0"/>
              <w:jc w:val="center"/>
              <w:rPr>
                <w:rFonts w:hint="eastAsia"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51037.2</w:t>
            </w:r>
            <w:r>
              <w:rPr>
                <w:rFonts w:hint="eastAsia" w:ascii="宋体" w:hAnsi="宋体" w:eastAsia="宋体" w:cs="宋体"/>
                <w:color w:val="000000"/>
                <w:highlight w:val="none"/>
                <w:lang w:val="en-US"/>
              </w:rPr>
            </w:r>
            <w:r/>
          </w:p>
        </w:tc>
        <w:tc>
          <w:tcPr>
            <w:tcW w:w="855" w:type="dxa"/>
            <w:vAlign w:val="center"/>
            <w:textDirection w:val="lrTb"/>
            <w:noWrap/>
          </w:tcPr>
          <w:p>
            <w:pPr>
              <w:pStyle w:val="893"/>
              <w:ind w:left="0" w:right="0" w:firstLine="0"/>
              <w:jc w:val="righ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小计</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2071</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128289.68</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restart"/>
            <w:textDirection w:val="lrTb"/>
            <w:noWrap/>
          </w:tcPr>
          <w:p>
            <w:pPr>
              <w:pStyle w:val="893"/>
              <w:ind w:left="0" w:right="0"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包二</w:t>
            </w:r>
            <w:r>
              <w:rPr>
                <w:rFonts w:hint="eastAsia" w:ascii="宋体" w:hAnsi="宋体" w:eastAsia="宋体" w:cs="宋体"/>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佳家如意园</w:t>
            </w:r>
            <w:r>
              <w:rPr>
                <w:rFonts w:hint="eastAsia" w:ascii="宋体" w:hAnsi="宋体" w:eastAsia="宋体" w:cs="宋体"/>
                <w:color w:val="000000"/>
                <w:highlight w:val="none"/>
              </w:rPr>
            </w:r>
            <w:r/>
          </w:p>
        </w:tc>
        <w:tc>
          <w:tcPr>
            <w:tcW w:w="1983"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650</w:t>
            </w:r>
            <w:r>
              <w:rPr>
                <w:rFonts w:hint="eastAsia" w:ascii="宋体" w:hAnsi="宋体" w:eastAsia="宋体" w:cs="宋体"/>
                <w:color w:val="000000"/>
                <w:highlight w:val="none"/>
              </w:rPr>
            </w:r>
            <w:r/>
          </w:p>
        </w:tc>
        <w:tc>
          <w:tcPr>
            <w:tcW w:w="2545"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39589.43</w:t>
            </w:r>
            <w:r>
              <w:rPr>
                <w:rFonts w:hint="eastAsia" w:ascii="宋体" w:hAnsi="宋体" w:eastAsia="宋体" w:cs="宋体"/>
                <w:color w:val="000000"/>
                <w:highlight w:val="none"/>
              </w:rPr>
            </w:r>
            <w:r/>
          </w:p>
        </w:tc>
        <w:tc>
          <w:tcPr>
            <w:tcW w:w="855" w:type="dxa"/>
            <w:vAlign w:val="center"/>
            <w:textDirection w:val="lrTb"/>
            <w:noWrap/>
          </w:tcPr>
          <w:p>
            <w:pPr>
              <w:pStyle w:val="893"/>
              <w:ind w:left="0" w:right="0" w:firstLine="0"/>
              <w:jc w:val="righ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佳家花园</w:t>
            </w:r>
            <w:r>
              <w:rPr>
                <w:rFonts w:hint="eastAsia" w:ascii="宋体" w:hAnsi="宋体" w:eastAsia="宋体" w:cs="宋体"/>
                <w:color w:val="000000"/>
                <w:highlight w:val="none"/>
              </w:rPr>
            </w:r>
            <w:r/>
          </w:p>
        </w:tc>
        <w:tc>
          <w:tcPr>
            <w:tcW w:w="1983"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36</w:t>
            </w:r>
            <w:r>
              <w:rPr>
                <w:rFonts w:hint="eastAsia" w:ascii="宋体" w:hAnsi="宋体" w:eastAsia="宋体" w:cs="宋体"/>
                <w:color w:val="000000"/>
                <w:highlight w:val="none"/>
              </w:rPr>
            </w:r>
            <w:r/>
          </w:p>
        </w:tc>
        <w:tc>
          <w:tcPr>
            <w:tcW w:w="2545"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2070.60</w:t>
            </w:r>
            <w:r>
              <w:rPr>
                <w:rFonts w:hint="eastAsia" w:ascii="宋体" w:hAnsi="宋体" w:eastAsia="宋体" w:cs="宋体"/>
                <w:color w:val="000000"/>
                <w:highlight w:val="none"/>
              </w:rPr>
            </w:r>
            <w:r/>
          </w:p>
        </w:tc>
        <w:tc>
          <w:tcPr>
            <w:tcW w:w="855" w:type="dxa"/>
            <w:vAlign w:val="center"/>
            <w:textDirection w:val="lrTb"/>
            <w:noWrap/>
          </w:tcPr>
          <w:p>
            <w:pPr>
              <w:pStyle w:val="893"/>
              <w:ind w:left="0" w:right="0" w:firstLine="0"/>
              <w:jc w:val="righ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黄金苑</w:t>
            </w:r>
            <w:r>
              <w:rPr>
                <w:rFonts w:hint="eastAsia" w:ascii="宋体" w:hAnsi="宋体" w:eastAsia="宋体" w:cs="宋体"/>
                <w:color w:val="000000"/>
                <w:highlight w:val="none"/>
              </w:rPr>
            </w:r>
            <w:r/>
          </w:p>
        </w:tc>
        <w:tc>
          <w:tcPr>
            <w:tcW w:w="1983"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r>
            <w:r/>
          </w:p>
        </w:tc>
        <w:tc>
          <w:tcPr>
            <w:tcW w:w="2545"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209.36</w:t>
            </w:r>
            <w:r>
              <w:rPr>
                <w:rFonts w:hint="eastAsia" w:ascii="宋体" w:hAnsi="宋体" w:eastAsia="宋体" w:cs="宋体"/>
                <w:color w:val="000000"/>
                <w:highlight w:val="none"/>
              </w:rPr>
            </w:r>
            <w:r/>
          </w:p>
        </w:tc>
        <w:tc>
          <w:tcPr>
            <w:tcW w:w="855" w:type="dxa"/>
            <w:vAlign w:val="center"/>
            <w:textDirection w:val="lrTb"/>
            <w:noWrap/>
          </w:tcPr>
          <w:p>
            <w:pPr>
              <w:pStyle w:val="893"/>
              <w:ind w:left="0" w:right="0" w:firstLine="0"/>
              <w:jc w:val="righ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幸福园</w:t>
            </w:r>
            <w:r>
              <w:rPr>
                <w:rFonts w:hint="eastAsia" w:ascii="宋体" w:hAnsi="宋体" w:eastAsia="宋体" w:cs="宋体"/>
                <w:color w:val="000000"/>
                <w:highlight w:val="none"/>
              </w:rPr>
            </w:r>
            <w:r/>
          </w:p>
        </w:tc>
        <w:tc>
          <w:tcPr>
            <w:tcW w:w="1983" w:type="dxa"/>
            <w:vAlign w:val="center"/>
            <w:textDirection w:val="lrTb"/>
            <w:noWrap/>
          </w:tcPr>
          <w:p>
            <w:pPr>
              <w:pStyle w:val="893"/>
              <w:ind w:left="0" w:right="0" w:firstLine="0"/>
              <w:jc w:val="center"/>
              <w:rPr>
                <w:rFonts w:hint="eastAsia"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73</w:t>
            </w:r>
            <w:r>
              <w:rPr>
                <w:rFonts w:hint="eastAsia" w:ascii="宋体" w:hAnsi="宋体" w:eastAsia="宋体" w:cs="宋体"/>
                <w:color w:val="000000"/>
                <w:highlight w:val="none"/>
                <w:lang w:val="en-US"/>
              </w:rPr>
            </w:r>
            <w:r/>
          </w:p>
        </w:tc>
        <w:tc>
          <w:tcPr>
            <w:tcW w:w="2545" w:type="dxa"/>
            <w:vAlign w:val="center"/>
            <w:textDirection w:val="lrTb"/>
            <w:noWrap/>
          </w:tcPr>
          <w:p>
            <w:pPr>
              <w:pStyle w:val="893"/>
              <w:ind w:left="0" w:right="0" w:firstLine="0"/>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4165.81</w:t>
            </w:r>
            <w:r>
              <w:rPr>
                <w:rFonts w:hint="eastAsia" w:ascii="宋体" w:hAnsi="宋体" w:eastAsia="宋体" w:cs="宋体"/>
                <w:color w:val="000000"/>
                <w:highlight w:val="none"/>
              </w:rPr>
            </w:r>
            <w:r/>
          </w:p>
        </w:tc>
        <w:tc>
          <w:tcPr>
            <w:tcW w:w="855" w:type="dxa"/>
            <w:vAlign w:val="center"/>
            <w:textDirection w:val="lrTb"/>
            <w:noWrap/>
          </w:tcPr>
          <w:p>
            <w:pPr>
              <w:pStyle w:val="893"/>
              <w:ind w:left="0" w:right="0" w:firstLine="0"/>
              <w:jc w:val="righ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小计</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763</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46035.2</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restart"/>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包三</w:t>
            </w: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连运小区</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10</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551.30</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连运泰运苑</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65.01</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联谊花园</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27</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1482.92</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联谊宜泰苑</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128.54</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杉湾花园一期</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409.24</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杉湾花园二期</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244</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13332.57</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杉湾花园三期</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414</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22810.23</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杉湾花园四期</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201</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10905.65</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联谊南园联泰苑</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27</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color w:val="000000"/>
                <w:highlight w:val="none"/>
                <w:lang w:val="en-US" w:eastAsia="zh-CN"/>
              </w:rPr>
              <w:t xml:space="preserve">1636.52</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tcW w:w="862" w:type="dxa"/>
            <w:vAlign w:val="center"/>
            <w:vMerge w:val="continue"/>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c>
          <w:tcPr>
            <w:tcW w:w="2277"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小计</w:t>
            </w:r>
            <w:r>
              <w:rPr>
                <w:rFonts w:hint="eastAsia" w:ascii="宋体" w:hAnsi="宋体" w:eastAsia="宋体" w:cs="宋体"/>
                <w:b/>
                <w:color w:val="000000"/>
                <w:highlight w:val="none"/>
                <w:lang w:val="en-US" w:eastAsia="zh-CN"/>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933</w:t>
            </w:r>
            <w:r>
              <w:rPr>
                <w:rFonts w:hint="eastAsia" w:ascii="宋体" w:hAnsi="宋体" w:eastAsia="宋体" w:cs="宋体"/>
                <w:b/>
                <w:color w:val="000000"/>
                <w:highlight w:val="none"/>
                <w:lang w:val="en-US" w:eastAsia="zh-CN"/>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51321.98</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r>
        <w:trPr/>
        <w:tc>
          <w:tcPr>
            <w:gridSpan w:val="2"/>
            <w:tcW w:w="3139" w:type="dxa"/>
            <w:vAlign w:val="center"/>
            <w:textDirection w:val="lrTb"/>
            <w:noWrap/>
          </w:tcPr>
          <w:p>
            <w:pPr>
              <w:pStyle w:val="893"/>
              <w:ind w:left="0" w:right="0" w:firstLine="0"/>
              <w:jc w:val="center"/>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合计</w:t>
            </w:r>
            <w:r>
              <w:rPr>
                <w:rFonts w:hint="eastAsia" w:ascii="宋体" w:hAnsi="宋体" w:eastAsia="宋体" w:cs="宋体"/>
                <w:b/>
                <w:color w:val="000000"/>
                <w:highlight w:val="none"/>
              </w:rPr>
            </w:r>
            <w:r/>
          </w:p>
        </w:tc>
        <w:tc>
          <w:tcPr>
            <w:tcW w:w="1983" w:type="dxa"/>
            <w:vAlign w:val="center"/>
            <w:textDirection w:val="lrTb"/>
            <w:noWrap/>
          </w:tcPr>
          <w:p>
            <w:pPr>
              <w:pStyle w:val="893"/>
              <w:ind w:left="0" w:right="0" w:firstLine="0"/>
              <w:jc w:val="center"/>
              <w:rPr>
                <w:rFonts w:hint="eastAsia" w:ascii="宋体" w:hAnsi="宋体" w:eastAsia="宋体" w:cs="宋体"/>
                <w:b/>
                <w:color w:val="000000"/>
                <w:highlight w:val="none"/>
                <w:lang w:val="en-US"/>
              </w:rPr>
            </w:pPr>
            <w:r>
              <w:rPr>
                <w:rFonts w:hint="eastAsia" w:ascii="宋体" w:hAnsi="宋体" w:eastAsia="宋体" w:cs="宋体"/>
                <w:b/>
                <w:color w:val="000000"/>
                <w:highlight w:val="none"/>
                <w:lang w:val="en-US" w:eastAsia="zh-CN"/>
              </w:rPr>
              <w:t xml:space="preserve">3767</w:t>
            </w:r>
            <w:r>
              <w:rPr>
                <w:rFonts w:hint="eastAsia" w:ascii="宋体" w:hAnsi="宋体" w:eastAsia="宋体" w:cs="宋体"/>
                <w:b/>
                <w:color w:val="000000"/>
                <w:highlight w:val="none"/>
                <w:lang w:val="en-US"/>
              </w:rPr>
            </w:r>
            <w:r/>
          </w:p>
        </w:tc>
        <w:tc>
          <w:tcPr>
            <w:tcW w:w="2545" w:type="dxa"/>
            <w:vAlign w:val="center"/>
            <w:textDirection w:val="lrTb"/>
            <w:noWrap/>
          </w:tcPr>
          <w:p>
            <w:pPr>
              <w:pStyle w:val="893"/>
              <w:ind w:left="0" w:right="0" w:firstLine="0"/>
              <w:jc w:val="center"/>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225646.86</w:t>
            </w:r>
            <w:r>
              <w:rPr>
                <w:rFonts w:hint="eastAsia" w:ascii="宋体" w:hAnsi="宋体" w:eastAsia="宋体" w:cs="宋体"/>
                <w:b/>
                <w:color w:val="000000"/>
                <w:highlight w:val="none"/>
                <w:lang w:val="en-US" w:eastAsia="zh-CN"/>
              </w:rPr>
            </w:r>
            <w:r/>
          </w:p>
        </w:tc>
        <w:tc>
          <w:tcPr>
            <w:tcW w:w="855" w:type="dxa"/>
            <w:vAlign w:val="center"/>
            <w:textDirection w:val="lrTb"/>
            <w:noWrap/>
          </w:tcPr>
          <w:p>
            <w:pPr>
              <w:pStyle w:val="893"/>
              <w:ind w:left="0" w:right="0" w:firstLine="0"/>
              <w:jc w:val="righ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tc>
      </w:tr>
    </w:tbl>
    <w:p>
      <w:pPr>
        <w:pStyle w:val="893"/>
        <w:numPr>
          <w:ilvl w:val="0"/>
          <w:numId w:val="0"/>
        </w:numPr>
        <w:ind w:firstLine="420"/>
        <w:keepLines w:val="0"/>
        <w:keepNext w:val="0"/>
        <w:pageBreakBefore w:val="0"/>
        <w:spacing w:line="3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表格里的最终数据以实际发生的数值为准。</w:t>
      </w:r>
      <w:r>
        <w:rPr>
          <w:rFonts w:hint="eastAsia" w:ascii="宋体" w:hAnsi="宋体" w:eastAsia="宋体" w:cs="宋体"/>
          <w:color w:val="000000"/>
          <w:sz w:val="21"/>
          <w:szCs w:val="21"/>
          <w:highlight w:val="none"/>
          <w:lang w:val="en-US" w:eastAsia="zh-CN"/>
        </w:rPr>
      </w:r>
      <w:r/>
    </w:p>
    <w:p>
      <w:pPr>
        <w:pStyle w:val="893"/>
        <w:ind w:firstLine="420"/>
        <w:jc w:val="both"/>
        <w:keepLines w:val="0"/>
        <w:keepNext w:val="0"/>
        <w:pageBreakBefore w:val="0"/>
        <w:spacing w:line="3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服务费计算方法：</w:t>
      </w:r>
      <w:r>
        <w:rPr>
          <w:rFonts w:hint="eastAsia" w:ascii="宋体" w:hAnsi="宋体" w:eastAsia="宋体" w:cs="宋体"/>
          <w:color w:val="000000"/>
          <w:sz w:val="21"/>
          <w:szCs w:val="21"/>
          <w:highlight w:val="none"/>
          <w:lang w:val="en-US" w:eastAsia="zh-CN"/>
        </w:rPr>
      </w:r>
      <w:r/>
    </w:p>
    <w:tbl>
      <w:tblPr>
        <w:tblW w:w="83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47"/>
        <w:gridCol w:w="1772"/>
        <w:gridCol w:w="1184"/>
        <w:gridCol w:w="2251"/>
        <w:gridCol w:w="1722"/>
      </w:tblGrid>
      <w:tr>
        <w:trPr>
          <w:tblHeader/>
        </w:trPr>
        <w:tc>
          <w:tcPr>
            <w:tcW w:w="1447"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类别</w:t>
            </w:r>
            <w:r>
              <w:rPr>
                <w:rFonts w:hint="eastAsia" w:ascii="宋体" w:hAnsi="宋体" w:eastAsia="宋体" w:cs="宋体"/>
                <w:b/>
                <w:color w:val="000000"/>
                <w:sz w:val="21"/>
                <w:szCs w:val="21"/>
                <w:highlight w:val="none"/>
              </w:rPr>
            </w:r>
            <w:r/>
          </w:p>
        </w:tc>
        <w:tc>
          <w:tcPr>
            <w:tcW w:w="1772"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租金标准</w:t>
            </w:r>
            <w:r>
              <w:rPr>
                <w:rFonts w:hint="eastAsia" w:ascii="宋体" w:hAnsi="宋体" w:eastAsia="宋体" w:cs="宋体"/>
                <w:b/>
                <w:color w:val="000000"/>
                <w:sz w:val="21"/>
                <w:szCs w:val="21"/>
                <w:highlight w:val="none"/>
                <w:lang w:val="en-US" w:eastAsia="zh-CN"/>
              </w:rPr>
            </w:r>
            <w:r/>
          </w:p>
        </w:tc>
        <w:tc>
          <w:tcPr>
            <w:gridSpan w:val="3"/>
            <w:tcW w:w="5157"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运营管理费=实际收租额×对应结算比例（分段计算）</w:t>
            </w:r>
            <w:r>
              <w:rPr>
                <w:rFonts w:hint="eastAsia" w:ascii="宋体" w:hAnsi="宋体" w:eastAsia="宋体" w:cs="宋体"/>
                <w:b/>
                <w:color w:val="000000"/>
                <w:sz w:val="21"/>
                <w:szCs w:val="21"/>
                <w:highlight w:val="none"/>
              </w:rPr>
            </w:r>
            <w:r/>
          </w:p>
        </w:tc>
      </w:tr>
      <w:tr>
        <w:trPr>
          <w:tblHeader/>
        </w:trPr>
        <w:tc>
          <w:tcPr>
            <w:tcW w:w="1447"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772"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184" w:type="dxa"/>
            <w:vAlign w:val="center"/>
            <w:textDirection w:val="lrTb"/>
            <w:noWrap w:val="false"/>
          </w:tcPr>
          <w:p>
            <w:pPr>
              <w:pStyle w:val="893"/>
              <w:ind w:left="0" w:right="0" w:firstLine="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0-85%（含）</w:t>
            </w:r>
            <w:r>
              <w:rPr>
                <w:rFonts w:hint="eastAsia" w:ascii="宋体" w:hAnsi="宋体" w:eastAsia="宋体" w:cs="宋体"/>
                <w:b/>
                <w:color w:val="000000"/>
                <w:sz w:val="21"/>
                <w:szCs w:val="21"/>
                <w:highlight w:val="none"/>
              </w:rPr>
            </w:r>
            <w:r/>
          </w:p>
        </w:tc>
        <w:tc>
          <w:tcPr>
            <w:tcW w:w="2251" w:type="dxa"/>
            <w:vAlign w:val="center"/>
            <w:textDirection w:val="lrTb"/>
            <w:noWrap w:val="false"/>
          </w:tcPr>
          <w:p>
            <w:pPr>
              <w:pStyle w:val="893"/>
              <w:ind w:left="0" w:right="0" w:firstLine="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85%（不含）-95%（含）</w:t>
            </w:r>
            <w:r>
              <w:rPr>
                <w:rFonts w:hint="eastAsia" w:ascii="宋体" w:hAnsi="宋体" w:eastAsia="宋体" w:cs="宋体"/>
                <w:b/>
                <w:color w:val="000000"/>
                <w:sz w:val="21"/>
                <w:szCs w:val="21"/>
                <w:highlight w:val="none"/>
              </w:rPr>
            </w:r>
            <w:r/>
          </w:p>
        </w:tc>
        <w:tc>
          <w:tcPr>
            <w:tcW w:w="1722" w:type="dxa"/>
            <w:vAlign w:val="center"/>
            <w:textDirection w:val="lrTb"/>
            <w:noWrap w:val="false"/>
          </w:tcPr>
          <w:p>
            <w:pPr>
              <w:pStyle w:val="893"/>
              <w:ind w:left="0" w:right="0" w:firstLine="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95%（不含）-100%</w:t>
            </w:r>
            <w:r>
              <w:rPr>
                <w:rFonts w:hint="eastAsia" w:ascii="宋体" w:hAnsi="宋体" w:eastAsia="宋体" w:cs="宋体"/>
                <w:b/>
                <w:color w:val="000000"/>
                <w:sz w:val="21"/>
                <w:szCs w:val="21"/>
                <w:highlight w:val="none"/>
              </w:rPr>
            </w:r>
            <w:r/>
          </w:p>
        </w:tc>
      </w:tr>
      <w:tr>
        <w:trPr/>
        <w:tc>
          <w:tcPr>
            <w:tcW w:w="1447"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保障期/搬迁期</w:t>
            </w:r>
            <w:r>
              <w:rPr>
                <w:rFonts w:hint="eastAsia" w:ascii="宋体" w:hAnsi="宋体" w:eastAsia="宋体" w:cs="宋体"/>
                <w:color w:val="000000"/>
                <w:sz w:val="21"/>
                <w:szCs w:val="21"/>
                <w:highlight w:val="none"/>
                <w:lang w:val="en-US" w:eastAsia="zh-CN"/>
              </w:rPr>
            </w:r>
            <w:r/>
          </w:p>
        </w:tc>
        <w:tc>
          <w:tcPr>
            <w:tcW w:w="1772"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0.75元/平方米/月</w:t>
            </w:r>
            <w:r>
              <w:rPr>
                <w:rFonts w:hint="eastAsia" w:ascii="宋体" w:hAnsi="宋体" w:eastAsia="宋体" w:cs="宋体"/>
                <w:color w:val="000000"/>
                <w:sz w:val="21"/>
                <w:szCs w:val="21"/>
                <w:highlight w:val="none"/>
              </w:rPr>
            </w:r>
            <w:r/>
          </w:p>
        </w:tc>
        <w:tc>
          <w:tcPr>
            <w:tcW w:w="1184"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lang w:val="en-US" w:eastAsia="zh-CN" w:bidi="ar-SA"/>
              </w:rPr>
            </w:r>
            <w:r/>
          </w:p>
        </w:tc>
        <w:tc>
          <w:tcPr>
            <w:tcW w:w="2251"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lang w:val="en-US" w:eastAsia="zh-CN" w:bidi="ar-SA"/>
              </w:rPr>
            </w:r>
            <w:r/>
          </w:p>
        </w:tc>
        <w:tc>
          <w:tcPr>
            <w:tcW w:w="1722"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66%</w:t>
            </w:r>
            <w:r>
              <w:rPr>
                <w:rFonts w:hint="eastAsia" w:ascii="宋体" w:hAnsi="宋体" w:eastAsia="宋体" w:cs="宋体"/>
                <w:color w:val="000000"/>
                <w:sz w:val="21"/>
                <w:szCs w:val="21"/>
                <w:highlight w:val="none"/>
                <w:lang w:val="en-US" w:eastAsia="zh-CN" w:bidi="ar-SA"/>
              </w:rPr>
            </w:r>
            <w:r/>
          </w:p>
        </w:tc>
      </w:tr>
      <w:tr>
        <w:trPr/>
        <w:tc>
          <w:tcPr>
            <w:tcW w:w="1447"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772"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rPr>
            </w:r>
            <w:r/>
          </w:p>
        </w:tc>
        <w:tc>
          <w:tcPr>
            <w:tcW w:w="1184"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2251"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bidi="ar-SA"/>
              </w:rPr>
            </w:r>
            <w:r/>
          </w:p>
        </w:tc>
        <w:tc>
          <w:tcPr>
            <w:tcW w:w="1722"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16.6%</w:t>
            </w:r>
            <w:r>
              <w:rPr>
                <w:rFonts w:hint="eastAsia" w:ascii="宋体" w:hAnsi="宋体" w:eastAsia="宋体" w:cs="宋体"/>
                <w:color w:val="000000"/>
                <w:sz w:val="21"/>
                <w:szCs w:val="21"/>
                <w:highlight w:val="none"/>
                <w:lang w:val="en-US" w:eastAsia="zh-CN" w:bidi="ar-SA"/>
              </w:rPr>
            </w:r>
            <w:r/>
          </w:p>
        </w:tc>
      </w:tr>
      <w:tr>
        <w:trPr/>
        <w:tc>
          <w:tcPr>
            <w:tcW w:w="1447"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过渡期</w:t>
            </w:r>
            <w:r>
              <w:rPr>
                <w:rFonts w:hint="eastAsia" w:ascii="宋体" w:hAnsi="宋体" w:eastAsia="宋体" w:cs="宋体"/>
                <w:color w:val="000000"/>
                <w:sz w:val="21"/>
                <w:szCs w:val="21"/>
                <w:highlight w:val="none"/>
                <w:lang w:val="en-US" w:eastAsia="zh-CN"/>
              </w:rPr>
            </w:r>
            <w:r/>
          </w:p>
        </w:tc>
        <w:tc>
          <w:tcPr>
            <w:tcW w:w="1772"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rPr>
            </w:r>
            <w:r/>
          </w:p>
        </w:tc>
        <w:tc>
          <w:tcPr>
            <w:gridSpan w:val="3"/>
            <w:tcW w:w="5157"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val="en-US" w:eastAsia="zh-CN"/>
              </w:rPr>
            </w:r>
            <w:r/>
          </w:p>
        </w:tc>
      </w:tr>
      <w:tr>
        <w:trPr/>
        <w:tc>
          <w:tcPr>
            <w:tcW w:w="1447"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772"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lang w:val="en-US" w:eastAsia="zh-CN"/>
              </w:rPr>
            </w:r>
            <w:r/>
          </w:p>
        </w:tc>
        <w:tc>
          <w:tcPr>
            <w:gridSpan w:val="3"/>
            <w:tcW w:w="5157" w:type="dxa"/>
            <w:vAlign w:val="center"/>
            <w:textDirection w:val="lrTb"/>
            <w:noWrap w:val="false"/>
          </w:tcPr>
          <w:p>
            <w:pPr>
              <w:pStyle w:val="893"/>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r>
      <w:tr>
        <w:trPr/>
        <w:tc>
          <w:tcPr>
            <w:tcW w:w="1447"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市场租金期</w:t>
            </w:r>
            <w:r>
              <w:rPr>
                <w:rFonts w:hint="eastAsia" w:ascii="宋体" w:hAnsi="宋体" w:eastAsia="宋体" w:cs="宋体"/>
                <w:color w:val="000000"/>
                <w:sz w:val="21"/>
                <w:szCs w:val="21"/>
                <w:highlight w:val="none"/>
                <w:lang w:val="en-US" w:eastAsia="zh-CN"/>
              </w:rPr>
            </w:r>
            <w:r/>
          </w:p>
        </w:tc>
        <w:tc>
          <w:tcPr>
            <w:tcW w:w="1772"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lang w:val="en-US" w:eastAsia="zh-CN"/>
              </w:rPr>
            </w:r>
            <w:r/>
          </w:p>
        </w:tc>
        <w:tc>
          <w:tcPr>
            <w:gridSpan w:val="3"/>
            <w:tcW w:w="5157"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bidi="ar-SA"/>
              </w:rPr>
            </w:r>
            <w:r/>
          </w:p>
        </w:tc>
      </w:tr>
      <w:tr>
        <w:trPr/>
        <w:tc>
          <w:tcPr>
            <w:tcW w:w="1447"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2年以内往欠</w:t>
            </w:r>
            <w:r>
              <w:rPr>
                <w:rFonts w:hint="eastAsia" w:ascii="宋体" w:hAnsi="宋体" w:eastAsia="宋体" w:cs="宋体"/>
                <w:color w:val="000000"/>
                <w:sz w:val="21"/>
                <w:szCs w:val="21"/>
                <w:highlight w:val="none"/>
                <w:lang w:val="en-US" w:eastAsia="zh-CN"/>
              </w:rPr>
            </w:r>
            <w:r/>
          </w:p>
        </w:tc>
        <w:tc>
          <w:tcPr>
            <w:tcW w:w="1772"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0.75元/平方米/月</w:t>
            </w:r>
            <w:r>
              <w:rPr>
                <w:rFonts w:hint="eastAsia" w:ascii="宋体" w:hAnsi="宋体" w:eastAsia="宋体" w:cs="宋体"/>
                <w:color w:val="000000"/>
                <w:sz w:val="21"/>
                <w:szCs w:val="21"/>
                <w:highlight w:val="none"/>
                <w:lang w:val="en-US" w:eastAsia="zh-CN" w:bidi="ar-SA"/>
              </w:rPr>
            </w:r>
            <w:r/>
          </w:p>
        </w:tc>
        <w:tc>
          <w:tcPr>
            <w:gridSpan w:val="3"/>
            <w:tcW w:w="5157"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lang w:val="en-US" w:eastAsia="zh-CN"/>
              </w:rPr>
            </w:r>
            <w:r/>
          </w:p>
        </w:tc>
      </w:tr>
      <w:tr>
        <w:trPr/>
        <w:tc>
          <w:tcPr>
            <w:tcW w:w="1447"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772"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lang w:val="en-US" w:eastAsia="zh-CN" w:bidi="ar-SA"/>
              </w:rPr>
            </w:r>
            <w:r/>
          </w:p>
        </w:tc>
        <w:tc>
          <w:tcPr>
            <w:gridSpan w:val="3"/>
            <w:tcW w:w="5157"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r>
      <w:tr>
        <w:trPr/>
        <w:tc>
          <w:tcPr>
            <w:tcW w:w="1447" w:type="dxa"/>
            <w:vAlign w:val="center"/>
            <w:vMerge w:val="restart"/>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2年以上往欠</w:t>
            </w:r>
            <w:r>
              <w:rPr>
                <w:rFonts w:hint="eastAsia" w:ascii="宋体" w:hAnsi="宋体" w:eastAsia="宋体" w:cs="宋体"/>
                <w:color w:val="000000"/>
                <w:sz w:val="21"/>
                <w:szCs w:val="21"/>
                <w:highlight w:val="none"/>
                <w:lang w:val="en-US" w:eastAsia="zh-CN"/>
              </w:rPr>
            </w:r>
            <w:r/>
          </w:p>
        </w:tc>
        <w:tc>
          <w:tcPr>
            <w:tcW w:w="1772"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0.75元/平方米/月</w:t>
            </w:r>
            <w:r>
              <w:rPr>
                <w:rFonts w:hint="eastAsia" w:ascii="宋体" w:hAnsi="宋体" w:eastAsia="宋体" w:cs="宋体"/>
                <w:color w:val="000000"/>
                <w:sz w:val="21"/>
                <w:szCs w:val="21"/>
                <w:highlight w:val="none"/>
                <w:lang w:val="en-US" w:eastAsia="zh-CN" w:bidi="ar-SA"/>
              </w:rPr>
            </w:r>
            <w:r/>
          </w:p>
        </w:tc>
        <w:tc>
          <w:tcPr>
            <w:gridSpan w:val="3"/>
            <w:tcW w:w="5157"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66%</w:t>
            </w:r>
            <w:r>
              <w:rPr>
                <w:rFonts w:hint="eastAsia" w:ascii="宋体" w:hAnsi="宋体" w:eastAsia="宋体" w:cs="宋体"/>
                <w:color w:val="000000"/>
                <w:sz w:val="21"/>
                <w:szCs w:val="21"/>
                <w:highlight w:val="none"/>
                <w:lang w:val="en-US" w:eastAsia="zh-CN"/>
              </w:rPr>
            </w:r>
            <w:r/>
          </w:p>
        </w:tc>
      </w:tr>
      <w:tr>
        <w:trPr/>
        <w:tc>
          <w:tcPr>
            <w:tcW w:w="1447" w:type="dxa"/>
            <w:vAlign w:val="center"/>
            <w:vMerge w:val="continue"/>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772" w:type="dxa"/>
            <w:vAlign w:val="center"/>
            <w:textDirection w:val="lrTb"/>
            <w:noWrap w:val="false"/>
          </w:tcPr>
          <w:p>
            <w:pPr>
              <w:pStyle w:val="893"/>
              <w:ind w:left="0" w:right="0" w:firstLine="0"/>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元/平方米/月</w:t>
            </w:r>
            <w:r>
              <w:rPr>
                <w:rFonts w:hint="eastAsia" w:ascii="宋体" w:hAnsi="宋体" w:eastAsia="宋体" w:cs="宋体"/>
                <w:color w:val="000000"/>
                <w:sz w:val="21"/>
                <w:szCs w:val="21"/>
                <w:highlight w:val="none"/>
                <w:lang w:val="en-US" w:eastAsia="zh-CN" w:bidi="ar-SA"/>
              </w:rPr>
            </w:r>
            <w:r/>
          </w:p>
        </w:tc>
        <w:tc>
          <w:tcPr>
            <w:gridSpan w:val="3"/>
            <w:tcW w:w="5157" w:type="dxa"/>
            <w:vAlign w:val="center"/>
            <w:textDirection w:val="lrTb"/>
            <w:noWrap w:val="false"/>
          </w:tcPr>
          <w:p>
            <w:pPr>
              <w:pStyle w:val="89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16.6%</w:t>
            </w:r>
            <w:r>
              <w:rPr>
                <w:rFonts w:hint="eastAsia" w:ascii="宋体" w:hAnsi="宋体" w:eastAsia="宋体" w:cs="宋体"/>
                <w:color w:val="000000"/>
                <w:sz w:val="21"/>
                <w:szCs w:val="21"/>
                <w:highlight w:val="none"/>
                <w:lang w:val="en-US" w:eastAsia="zh-CN"/>
              </w:rPr>
            </w:r>
            <w:r/>
          </w:p>
        </w:tc>
      </w:tr>
    </w:tbl>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五、服务内容：市本级公共租赁住房的运营和维护管理，按照</w:t>
      </w:r>
      <w:r>
        <w:rPr>
          <w:rFonts w:hint="eastAsia" w:ascii="宋体" w:hAnsi="宋体" w:eastAsia="宋体" w:cs="宋体"/>
          <w:color w:val="000000"/>
          <w:highlight w:val="none"/>
        </w:rPr>
        <w:t xml:space="preserve">《公共租赁住房管</w:t>
      </w:r>
      <w:r>
        <w:rPr>
          <w:rFonts w:hint="eastAsia" w:ascii="宋体" w:hAnsi="宋体" w:eastAsia="宋体" w:cs="宋体"/>
          <w:color w:val="000000"/>
          <w:highlight w:val="none"/>
          <w:lang w:val="en-US" w:eastAsia="zh-CN"/>
        </w:rPr>
        <w:t xml:space="preserve">理办法》《江苏省公共租赁住房管理办法》《扬州市市区公共租赁住房保障实施办法》《</w:t>
      </w:r>
      <w:r>
        <w:rPr>
          <w:rFonts w:hint="eastAsia" w:ascii="宋体" w:hAnsi="宋体" w:cs="宋体"/>
          <w:color w:val="000000"/>
          <w:highlight w:val="none"/>
          <w:lang w:val="en-US" w:eastAsia="zh-CN"/>
        </w:rPr>
        <w:t xml:space="preserve">扬州市区公共租赁住房和限价商品住房保障实施细则</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《扬州市区公共租赁住房运营管理服务绩效考核表》（2026）</w:t>
      </w:r>
      <w:r>
        <w:rPr>
          <w:rFonts w:hint="eastAsia" w:ascii="宋体" w:hAnsi="宋体" w:eastAsia="宋体" w:cs="宋体"/>
          <w:color w:val="000000"/>
          <w:highlight w:val="none"/>
          <w:lang w:val="en-US" w:eastAsia="zh-CN"/>
        </w:rPr>
        <w:t xml:space="preserve">等文件要求完成以下工作。</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（一）租金</w:t>
      </w:r>
      <w:r>
        <w:rPr>
          <w:rFonts w:hint="eastAsia" w:ascii="宋体" w:hAnsi="宋体" w:cs="宋体"/>
          <w:color w:val="000000"/>
          <w:highlight w:val="none"/>
          <w:lang w:val="en-US" w:eastAsia="zh-CN"/>
        </w:rPr>
        <w:t xml:space="preserve">管理</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1、按要求开展租金收缴和</w:t>
      </w:r>
      <w:r>
        <w:rPr>
          <w:rFonts w:hint="eastAsia" w:ascii="宋体" w:hAnsi="宋体" w:cs="宋体"/>
          <w:color w:val="000000"/>
          <w:highlight w:val="none"/>
          <w:lang w:val="en-US" w:eastAsia="zh-CN"/>
        </w:rPr>
        <w:t xml:space="preserve">账目</w:t>
      </w:r>
      <w:r>
        <w:rPr>
          <w:rFonts w:hint="eastAsia" w:ascii="宋体" w:hAnsi="宋体" w:eastAsia="宋体" w:cs="宋体"/>
          <w:color w:val="000000"/>
          <w:highlight w:val="none"/>
        </w:rPr>
        <w:t xml:space="preserve">管理工作，必须保证租金、票据和报表的真实性、正确性和完整性</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确保账目清晰、准确</w:t>
      </w:r>
      <w:r>
        <w:rPr>
          <w:rFonts w:hint="eastAsia" w:ascii="宋体" w:hAnsi="宋体" w:eastAsia="宋体" w:cs="宋体"/>
          <w:color w:val="000000"/>
          <w:highlight w:val="none"/>
        </w:rPr>
        <w:t xml:space="preserve">。积极收缴租金，</w:t>
      </w:r>
      <w:r>
        <w:rPr>
          <w:rFonts w:hint="eastAsia" w:ascii="宋体" w:hAnsi="宋体" w:cs="宋体"/>
          <w:color w:val="000000"/>
          <w:highlight w:val="none"/>
          <w:lang w:val="en-US" w:eastAsia="zh-CN"/>
        </w:rPr>
        <w:t xml:space="preserve">按照相应租金标准，定期向住户收取租金，</w:t>
      </w:r>
      <w:r>
        <w:rPr>
          <w:rFonts w:hint="eastAsia" w:ascii="宋体" w:hAnsi="宋体" w:eastAsia="宋体" w:cs="宋体"/>
          <w:color w:val="000000"/>
          <w:highlight w:val="none"/>
        </w:rPr>
        <w:t xml:space="preserve">做到应收尽收，</w:t>
      </w:r>
      <w:r>
        <w:rPr>
          <w:rFonts w:hint="eastAsia" w:ascii="宋体" w:hAnsi="宋体" w:eastAsia="宋体" w:cs="宋体"/>
          <w:color w:val="000000"/>
          <w:highlight w:val="none"/>
          <w:lang w:val="en-US" w:eastAsia="zh-CN"/>
        </w:rPr>
        <w:t xml:space="preserve">投标人年度</w:t>
      </w:r>
      <w:r>
        <w:rPr>
          <w:rFonts w:hint="eastAsia" w:ascii="宋体" w:hAnsi="宋体" w:eastAsia="宋体" w:cs="宋体"/>
          <w:color w:val="000000"/>
          <w:highlight w:val="none"/>
        </w:rPr>
        <w:t xml:space="preserve">租金</w:t>
      </w:r>
      <w:r>
        <w:rPr>
          <w:rFonts w:hint="eastAsia" w:ascii="宋体" w:hAnsi="宋体" w:eastAsia="宋体" w:cs="宋体"/>
          <w:color w:val="000000"/>
          <w:highlight w:val="none"/>
          <w:lang w:val="en-US" w:eastAsia="zh-CN"/>
        </w:rPr>
        <w:t xml:space="preserve">收缴</w:t>
      </w:r>
      <w:r>
        <w:rPr>
          <w:rFonts w:hint="eastAsia" w:ascii="宋体" w:hAnsi="宋体" w:eastAsia="宋体" w:cs="宋体"/>
          <w:color w:val="000000"/>
          <w:highlight w:val="none"/>
        </w:rPr>
        <w:t xml:space="preserve">率</w:t>
      </w:r>
      <w:r>
        <w:rPr>
          <w:rFonts w:hint="eastAsia" w:ascii="宋体" w:hAnsi="宋体" w:eastAsia="宋体" w:cs="宋体"/>
          <w:color w:val="000000"/>
          <w:highlight w:val="none"/>
          <w:lang w:val="en-US" w:eastAsia="zh-CN"/>
        </w:rPr>
        <w:t xml:space="preserve">(即:1-不可收租率)</w:t>
      </w:r>
      <w:r>
        <w:rPr>
          <w:rFonts w:hint="eastAsia" w:ascii="宋体" w:hAnsi="宋体" w:eastAsia="宋体" w:cs="宋体"/>
          <w:color w:val="000000"/>
          <w:highlight w:val="none"/>
        </w:rPr>
        <w:t xml:space="preserve">应</w:t>
      </w:r>
      <w:r>
        <w:rPr>
          <w:rFonts w:hint="eastAsia" w:ascii="宋体" w:hAnsi="宋体" w:eastAsia="宋体" w:cs="宋体"/>
          <w:color w:val="000000"/>
          <w:highlight w:val="none"/>
          <w:lang w:val="en-US" w:eastAsia="zh-CN"/>
        </w:rPr>
        <w:t xml:space="preserve">达到投标报价要求</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2、按要求开展</w:t>
      </w:r>
      <w:r>
        <w:rPr>
          <w:rFonts w:hint="eastAsia" w:ascii="宋体" w:hAnsi="宋体" w:cs="宋体"/>
          <w:color w:val="000000"/>
          <w:highlight w:val="none"/>
          <w:lang w:val="en-US" w:eastAsia="zh-CN"/>
        </w:rPr>
        <w:t xml:space="preserve">欠租</w:t>
      </w:r>
      <w:r>
        <w:rPr>
          <w:rFonts w:hint="eastAsia" w:ascii="宋体" w:hAnsi="宋体" w:eastAsia="宋体" w:cs="宋体"/>
          <w:color w:val="000000"/>
          <w:highlight w:val="none"/>
          <w:lang w:val="en-US" w:eastAsia="zh-CN"/>
        </w:rPr>
        <w:t xml:space="preserve">催缴</w:t>
      </w:r>
      <w:r>
        <w:rPr>
          <w:rFonts w:hint="eastAsia" w:ascii="宋体" w:hAnsi="宋体" w:cs="宋体"/>
          <w:color w:val="000000"/>
          <w:highlight w:val="none"/>
          <w:lang w:val="en-US" w:eastAsia="zh-CN"/>
        </w:rPr>
        <w:t xml:space="preserve">与处置</w:t>
      </w:r>
      <w:r>
        <w:rPr>
          <w:rFonts w:hint="eastAsia" w:ascii="宋体" w:hAnsi="宋体" w:eastAsia="宋体" w:cs="宋体"/>
          <w:color w:val="000000"/>
          <w:highlight w:val="none"/>
          <w:lang w:val="en-US" w:eastAsia="zh-CN"/>
        </w:rPr>
        <w:t xml:space="preserve">工作。</w:t>
      </w:r>
      <w:r>
        <w:rPr>
          <w:rFonts w:hint="eastAsia" w:ascii="宋体" w:hAnsi="宋体" w:cs="宋体"/>
          <w:color w:val="000000"/>
          <w:highlight w:val="none"/>
          <w:lang w:val="en-US" w:eastAsia="zh-CN"/>
        </w:rPr>
        <w:t xml:space="preserve">制定催缴计划，</w:t>
      </w:r>
      <w:r>
        <w:rPr>
          <w:rFonts w:hint="eastAsia" w:ascii="宋体" w:hAnsi="宋体" w:eastAsia="宋体" w:cs="宋体"/>
          <w:color w:val="000000"/>
          <w:highlight w:val="none"/>
          <w:lang w:val="en-US" w:eastAsia="zh-CN"/>
        </w:rPr>
        <w:t xml:space="preserve">每季度末要对租金滞缴情况进行分析，对承租人欠租3个月以上的要进行调查核实，采取电话</w:t>
      </w:r>
      <w:r>
        <w:rPr>
          <w:rFonts w:hint="eastAsia" w:ascii="宋体" w:hAnsi="宋体" w:cs="宋体"/>
          <w:color w:val="000000"/>
          <w:highlight w:val="none"/>
          <w:lang w:val="en-US" w:eastAsia="zh-CN"/>
        </w:rPr>
        <w:t xml:space="preserve">、短信、微信、</w:t>
      </w:r>
      <w:r>
        <w:rPr>
          <w:rFonts w:hint="eastAsia" w:ascii="宋体" w:hAnsi="宋体" w:eastAsia="宋体" w:cs="宋体"/>
          <w:color w:val="000000"/>
          <w:highlight w:val="none"/>
          <w:lang w:val="en-US" w:eastAsia="zh-CN"/>
        </w:rPr>
        <w:t xml:space="preserve">入户通知、送达《租金催缴通知书》等灵活多样的方式督促承租人补缴租金，并留存相关催缴资料。</w:t>
      </w:r>
      <w:r>
        <w:rPr>
          <w:rFonts w:hint="eastAsia" w:ascii="宋体" w:hAnsi="宋体" w:cs="宋体"/>
          <w:color w:val="000000"/>
          <w:highlight w:val="none"/>
          <w:lang w:val="en-US" w:eastAsia="zh-CN"/>
        </w:rPr>
        <w:t xml:space="preserve">建立并按季度上报欠租家庭台账，包含欠租基本信息、家庭情况、欠租原因、追缴措施、工作跟进记录及处置建议等。</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cs="宋体"/>
          <w:color w:val="000000"/>
          <w:highlight w:val="none"/>
          <w:lang w:val="en-US" w:eastAsia="zh-CN"/>
        </w:rPr>
        <w:t xml:space="preserve">按规定</w:t>
      </w:r>
      <w:r>
        <w:rPr>
          <w:rFonts w:hint="eastAsia" w:ascii="宋体" w:hAnsi="宋体" w:eastAsia="宋体" w:cs="宋体"/>
          <w:color w:val="000000"/>
          <w:highlight w:val="none"/>
        </w:rPr>
        <w:t xml:space="preserve">受理承租人租金调整、减免申请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收集整理资料</w:t>
      </w:r>
      <w:r>
        <w:rPr>
          <w:rFonts w:hint="eastAsia" w:ascii="宋体" w:hAnsi="宋体" w:eastAsia="宋体" w:cs="宋体"/>
          <w:color w:val="000000"/>
          <w:highlight w:val="none"/>
        </w:rPr>
        <w:t xml:space="preserve">并</w:t>
      </w:r>
      <w:r>
        <w:rPr>
          <w:rFonts w:hint="eastAsia" w:ascii="宋体" w:hAnsi="宋体" w:cs="宋体"/>
          <w:color w:val="000000"/>
          <w:highlight w:val="none"/>
          <w:lang w:val="en-US" w:eastAsia="zh-CN"/>
        </w:rPr>
        <w:t xml:space="preserve">依据政策或审批结果核算处理租金调整</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按要求核对退费金额、整理退费票据及材料、制作表单，完成退费工作。</w:t>
      </w:r>
      <w:r>
        <w:rPr>
          <w:rFonts w:ascii="宋体" w:hAnsi="宋体" w:eastAsia="宋体" w:cs="宋体"/>
          <w:color w:val="000000"/>
          <w:highlight w:val="none"/>
          <w:lang w:val="en-US" w:eastAsia="zh-CN"/>
        </w:rPr>
      </w:r>
      <w:r/>
    </w:p>
    <w:p>
      <w:pPr>
        <w:pStyle w:val="893"/>
        <w:numPr>
          <w:ilvl w:val="0"/>
          <w:numId w:val="2"/>
        </w:num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及时规范</w:t>
      </w:r>
      <w:r>
        <w:rPr>
          <w:rFonts w:hint="eastAsia" w:ascii="宋体" w:hAnsi="宋体" w:cs="宋体"/>
          <w:color w:val="000000"/>
          <w:highlight w:val="none"/>
          <w:lang w:val="en-US" w:eastAsia="zh-CN"/>
        </w:rPr>
        <w:t xml:space="preserve">开具缴费通知单</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核对缴款金额和信息，付款成功后及时确认核帐，形成每日租金收取明细台账。</w:t>
      </w:r>
      <w:r>
        <w:rPr>
          <w:rFonts w:hint="eastAsia" w:ascii="宋体" w:hAnsi="宋体" w:eastAsia="宋体" w:cs="宋体"/>
          <w:color w:val="000000"/>
          <w:highlight w:val="none"/>
        </w:rPr>
        <w:t xml:space="preserve">不得使用财政部门之外的票据。</w:t>
      </w:r>
      <w:r>
        <w:rPr>
          <w:rFonts w:hint="eastAsia" w:ascii="宋体" w:hAnsi="宋体" w:eastAsia="宋体" w:cs="宋体"/>
          <w:color w:val="000000"/>
          <w:highlight w:val="none"/>
        </w:rPr>
      </w:r>
      <w:r/>
    </w:p>
    <w:p>
      <w:pPr>
        <w:pStyle w:val="893"/>
        <w:numPr>
          <w:ilvl w:val="0"/>
          <w:numId w:val="2"/>
        </w:num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收取的租金及时足额存入</w:t>
      </w:r>
      <w:r>
        <w:rPr>
          <w:rFonts w:hint="eastAsia" w:ascii="宋体" w:hAnsi="宋体" w:eastAsia="宋体" w:cs="宋体"/>
          <w:b/>
          <w:bCs/>
          <w:color w:val="000000"/>
          <w:highlight w:val="none"/>
          <w:lang w:eastAsia="zh-CN"/>
        </w:rPr>
        <w:t xml:space="preserve">市</w:t>
      </w:r>
      <w:r>
        <w:rPr>
          <w:rFonts w:hint="eastAsia" w:ascii="宋体" w:hAnsi="宋体" w:cs="宋体"/>
          <w:b/>
          <w:bCs/>
          <w:color w:val="000000"/>
          <w:highlight w:val="none"/>
          <w:lang w:val="en-US" w:eastAsia="zh-CN"/>
        </w:rPr>
        <w:t xml:space="preserve">财政</w:t>
      </w:r>
      <w:r>
        <w:rPr>
          <w:rFonts w:hint="eastAsia" w:ascii="宋体" w:hAnsi="宋体" w:eastAsia="宋体" w:cs="宋体"/>
          <w:b/>
          <w:bCs/>
          <w:color w:val="000000"/>
          <w:highlight w:val="none"/>
        </w:rPr>
        <w:t xml:space="preserve">账户，不得迟延、截留。</w:t>
      </w:r>
      <w:r>
        <w:rPr>
          <w:rFonts w:hint="eastAsia" w:ascii="宋体" w:hAnsi="宋体" w:eastAsia="宋体" w:cs="宋体"/>
          <w:b/>
          <w:bCs/>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（二）</w:t>
      </w:r>
      <w:r>
        <w:rPr>
          <w:rFonts w:hint="eastAsia" w:ascii="宋体" w:hAnsi="宋体" w:cs="宋体"/>
          <w:color w:val="000000"/>
          <w:highlight w:val="none"/>
          <w:lang w:val="en-US" w:eastAsia="zh-CN"/>
        </w:rPr>
        <w:t xml:space="preserve">房屋及</w:t>
      </w:r>
      <w:r>
        <w:rPr>
          <w:rFonts w:hint="eastAsia" w:ascii="宋体" w:hAnsi="宋体" w:eastAsia="宋体" w:cs="宋体"/>
          <w:color w:val="000000"/>
          <w:highlight w:val="none"/>
          <w:lang w:val="en-US" w:eastAsia="zh-CN"/>
        </w:rPr>
        <w:t xml:space="preserve">租赁管理</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建立详细、准确、实时更新房源数据库，按要求随时出具各类房源数据统计报表，进行多维数据分析，提高房源使用率。</w:t>
      </w:r>
      <w:r>
        <w:rPr>
          <w:rFonts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2、建立住户信息数据表，收集和整理住户的基本租赁信息、家庭成员构成、常住人口信息、身体状况、联系方式等资料。及时更新住户信息、掌握住户的动态信息变化。</w:t>
      </w:r>
      <w:r>
        <w:rPr>
          <w:rFonts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按要求开展保障家庭的入住办理工作。完成承租家庭入住过程中物业对接、配租家庭人员信息查验收集、合同签订、居住承诺签订、租金收缴、房源交接等入住手续办理，及时上报入住办理情况。</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合同</w:t>
      </w:r>
      <w:r>
        <w:rPr>
          <w:rFonts w:hint="eastAsia" w:ascii="宋体" w:hAnsi="宋体" w:cs="宋体"/>
          <w:color w:val="000000"/>
          <w:highlight w:val="none"/>
          <w:lang w:val="en-US" w:eastAsia="zh-CN"/>
        </w:rPr>
        <w:t xml:space="preserve">管理</w:t>
      </w:r>
      <w:r>
        <w:rPr>
          <w:rFonts w:hint="eastAsia" w:ascii="宋体" w:hAnsi="宋体" w:eastAsia="宋体" w:cs="宋体"/>
          <w:color w:val="000000"/>
          <w:highlight w:val="none"/>
          <w:lang w:val="en-US" w:eastAsia="zh-CN"/>
        </w:rPr>
        <w:t xml:space="preserve">。依据续租审核结果</w:t>
      </w:r>
      <w:r>
        <w:rPr>
          <w:rFonts w:hint="eastAsia" w:ascii="宋体" w:hAnsi="宋体" w:cs="宋体"/>
          <w:color w:val="000000"/>
          <w:highlight w:val="none"/>
          <w:lang w:val="en-US" w:eastAsia="zh-CN"/>
        </w:rPr>
        <w:t xml:space="preserve">、摇号结果等办理</w:t>
      </w:r>
      <w:r>
        <w:rPr>
          <w:rFonts w:hint="eastAsia" w:ascii="宋体" w:hAnsi="宋体" w:eastAsia="宋体" w:cs="宋体"/>
          <w:color w:val="000000"/>
          <w:highlight w:val="none"/>
          <w:lang w:val="en-US" w:eastAsia="zh-CN"/>
        </w:rPr>
        <w:t xml:space="preserve">保障对象</w:t>
      </w:r>
      <w:r>
        <w:rPr>
          <w:rFonts w:hint="eastAsia" w:ascii="宋体" w:hAnsi="宋体" w:cs="宋体"/>
          <w:color w:val="000000"/>
          <w:highlight w:val="none"/>
          <w:lang w:val="en-US" w:eastAsia="zh-CN"/>
        </w:rPr>
        <w:t xml:space="preserve">合同新签、续签、变更、</w:t>
      </w:r>
      <w:r>
        <w:rPr>
          <w:rFonts w:hint="eastAsia" w:ascii="宋体" w:hAnsi="宋体" w:eastAsia="宋体" w:cs="宋体"/>
          <w:color w:val="000000"/>
          <w:highlight w:val="none"/>
          <w:lang w:val="en-US" w:eastAsia="zh-CN"/>
        </w:rPr>
        <w:t xml:space="preserve">作废或解除等全流程工作</w:t>
      </w:r>
      <w:r>
        <w:rPr>
          <w:rFonts w:hint="eastAsia" w:ascii="宋体" w:hAnsi="宋体" w:cs="宋体"/>
          <w:color w:val="000000"/>
          <w:highlight w:val="none"/>
          <w:lang w:val="en-US" w:eastAsia="zh-CN"/>
        </w:rPr>
        <w:t xml:space="preserve">，核对合同内房源地址、面积、租金标准、租赁期限、承租对象等信息，</w:t>
      </w:r>
      <w:r>
        <w:rPr>
          <w:rFonts w:hint="eastAsia" w:ascii="宋体" w:hAnsi="宋体" w:eastAsia="宋体" w:cs="宋体"/>
          <w:color w:val="000000"/>
          <w:highlight w:val="none"/>
          <w:lang w:val="en-US" w:eastAsia="zh-CN"/>
        </w:rPr>
        <w:t xml:space="preserve">合同签订后在规定时</w:t>
      </w:r>
      <w:r>
        <w:rPr>
          <w:rFonts w:hint="eastAsia" w:ascii="宋体" w:hAnsi="宋体" w:cs="宋体"/>
          <w:color w:val="000000"/>
          <w:highlight w:val="none"/>
          <w:lang w:val="en-US" w:eastAsia="zh-CN"/>
        </w:rPr>
        <w:t xml:space="preserve">间内</w:t>
      </w:r>
      <w:r>
        <w:rPr>
          <w:rFonts w:hint="eastAsia" w:ascii="宋体" w:hAnsi="宋体" w:eastAsia="宋体" w:cs="宋体"/>
          <w:color w:val="000000"/>
          <w:highlight w:val="none"/>
          <w:lang w:val="en-US" w:eastAsia="zh-CN"/>
        </w:rPr>
        <w:t xml:space="preserve">存档并报送审核部门备案。</w:t>
      </w:r>
      <w:r>
        <w:rPr>
          <w:rFonts w:hint="eastAsia" w:ascii="宋体" w:hAnsi="宋体" w:cs="宋体"/>
          <w:color w:val="000000"/>
          <w:highlight w:val="none"/>
          <w:lang w:val="en-US" w:eastAsia="zh-CN"/>
        </w:rPr>
        <w:t xml:space="preserve">对未签合同家庭要形成台账及分析表（分析未签订原因、跟进记录、处置建议等）。</w:t>
      </w:r>
      <w:r>
        <w:rPr>
          <w:rFonts w:hint="eastAsia" w:ascii="宋体" w:hAnsi="宋体" w:eastAsia="宋体" w:cs="宋体"/>
          <w:color w:val="000000"/>
          <w:highlight w:val="none"/>
          <w:lang w:val="en-US" w:eastAsia="zh-CN"/>
        </w:rPr>
        <w:t xml:space="preserve">及时上报合同签订情况和当年6月底前、12月底前合同到期承租人信息。</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5、调房管理。受理保障家庭调房申请，审核后报送至甲方确认，通过后进行后续调房协议、新合同签订等工作，未通过的及时告知原因，做好沟通解释工作。</w:t>
      </w:r>
      <w:r>
        <w:rPr>
          <w:rFonts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完</w:t>
      </w:r>
      <w:r>
        <w:rPr>
          <w:rFonts w:hint="eastAsia" w:ascii="宋体" w:hAnsi="宋体" w:eastAsia="宋体" w:cs="宋体"/>
          <w:color w:val="000000"/>
          <w:highlight w:val="none"/>
        </w:rPr>
        <w:t xml:space="preserve">成</w:t>
      </w:r>
      <w:r>
        <w:rPr>
          <w:rFonts w:hint="eastAsia" w:ascii="宋体" w:hAnsi="宋体" w:eastAsia="宋体" w:cs="宋体"/>
          <w:color w:val="000000"/>
          <w:highlight w:val="none"/>
          <w:lang w:val="en-US" w:eastAsia="zh-CN"/>
        </w:rPr>
        <w:t xml:space="preserve">腾退告知书</w:t>
      </w:r>
      <w:r>
        <w:rPr>
          <w:rFonts w:hint="eastAsia" w:ascii="宋体" w:hAnsi="宋体" w:eastAsia="宋体" w:cs="宋体"/>
          <w:color w:val="000000"/>
          <w:highlight w:val="none"/>
        </w:rPr>
        <w:t xml:space="preserve">送达和房屋腾退工作</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lang w:val="en-US" w:eastAsia="zh-CN"/>
        </w:rPr>
        <w:t xml:space="preserve">对腾退家庭采取多时段、多频次、多手段方式实施腾退，通过但不限于短信、电话、入户、贴单、邮寄、司法等催退方式，</w:t>
      </w:r>
      <w:r>
        <w:rPr>
          <w:rFonts w:hint="eastAsia" w:ascii="宋体" w:hAnsi="宋体" w:eastAsia="宋体" w:cs="宋体"/>
          <w:color w:val="000000"/>
          <w:highlight w:val="none"/>
        </w:rPr>
        <w:t xml:space="preserve">督促承租人腾让公租房，查验回收房屋并交付</w:t>
      </w:r>
      <w:r>
        <w:rPr>
          <w:rFonts w:hint="eastAsia" w:ascii="宋体" w:hAnsi="宋体" w:eastAsia="宋体" w:cs="宋体"/>
          <w:color w:val="000000"/>
          <w:highlight w:val="none"/>
          <w:lang w:eastAsia="zh-CN"/>
        </w:rPr>
        <w:t xml:space="preserve">市保障房中心</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t xml:space="preserve">对退出有困难家庭</w:t>
      </w:r>
      <w:r>
        <w:rPr>
          <w:rFonts w:hint="eastAsia" w:ascii="宋体" w:hAnsi="宋体" w:eastAsia="宋体" w:cs="宋体"/>
          <w:color w:val="000000"/>
          <w:highlight w:val="none"/>
          <w:lang w:val="en-US" w:eastAsia="zh-CN"/>
        </w:rPr>
        <w:t xml:space="preserve">按规定及时完成搬迁期、过渡期或市场租金居住手续的办理</w:t>
      </w:r>
      <w:r>
        <w:rPr>
          <w:rFonts w:hint="eastAsia" w:ascii="宋体" w:hAnsi="宋体" w:cs="宋体"/>
          <w:color w:val="000000"/>
          <w:highlight w:val="none"/>
          <w:lang w:val="en-US" w:eastAsia="zh-CN"/>
        </w:rPr>
        <w:t xml:space="preserve">，并跟踪记录直至退房</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建立待清退房源退出情况台账（清退原因、腾退告知送达时间、家庭及房屋使用状况、催退方式措施、每月跟踪进展、处置建议等）。</w:t>
      </w:r>
      <w:r>
        <w:rPr>
          <w:rFonts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val="en-US" w:eastAsia="zh-CN"/>
        </w:rPr>
        <w:t xml:space="preserve">配合审核单位督促承租人按规定参加续租审核工作，送达《住房保障续租审核提醒通知书》《住房保障资格拟取消告知书》等材料。</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配合</w:t>
      </w:r>
      <w:r>
        <w:rPr>
          <w:rFonts w:hint="eastAsia" w:ascii="宋体" w:hAnsi="宋体" w:eastAsia="宋体" w:cs="宋体"/>
          <w:color w:val="000000"/>
          <w:highlight w:val="none"/>
          <w:lang w:val="en-US" w:eastAsia="zh-CN"/>
        </w:rPr>
        <w:t xml:space="preserve">市保障房中心</w:t>
      </w:r>
      <w:r>
        <w:rPr>
          <w:rFonts w:hint="eastAsia" w:ascii="宋体" w:hAnsi="宋体" w:eastAsia="宋体" w:cs="宋体"/>
          <w:color w:val="000000"/>
          <w:highlight w:val="none"/>
        </w:rPr>
        <w:t xml:space="preserve">做好摇号</w:t>
      </w:r>
      <w:r>
        <w:rPr>
          <w:rFonts w:hint="eastAsia" w:ascii="宋体" w:hAnsi="宋体" w:eastAsia="宋体" w:cs="宋体"/>
          <w:color w:val="000000"/>
          <w:highlight w:val="none"/>
          <w:lang w:val="en-US" w:eastAsia="zh-CN"/>
        </w:rPr>
        <w:t xml:space="preserve">配租、调房等相关</w:t>
      </w:r>
      <w:r>
        <w:rPr>
          <w:rFonts w:hint="eastAsia" w:ascii="宋体" w:hAnsi="宋体" w:eastAsia="宋体" w:cs="宋体"/>
          <w:color w:val="000000"/>
          <w:highlight w:val="none"/>
        </w:rPr>
        <w:t xml:space="preserve">工作</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（三）维修管理</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中标</w:t>
      </w:r>
      <w:r>
        <w:rPr>
          <w:rFonts w:hint="eastAsia" w:ascii="宋体" w:hAnsi="宋体" w:eastAsia="宋体" w:cs="宋体"/>
          <w:color w:val="000000"/>
          <w:highlight w:val="none"/>
        </w:rPr>
        <w:t xml:space="preserve">单位是公租房维修事项的第一受理责任主体，不得以任何理由推诿。自租户报修之时起，急修事项（如水管爆裂、严重渗漏、断电等）应在2小时内响应、24小时内上门；一般维修事项应在1个工作日内联系租户、3个工作日内完成现场查勘。</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、维修流程中，</w:t>
      </w:r>
      <w:r>
        <w:rPr>
          <w:rFonts w:hint="eastAsia" w:ascii="宋体" w:hAnsi="宋体" w:cs="宋体"/>
          <w:color w:val="000000"/>
          <w:highlight w:val="none"/>
          <w:lang w:val="en-US" w:eastAsia="zh-CN"/>
        </w:rPr>
        <w:t xml:space="preserve">中标</w:t>
      </w:r>
      <w:r>
        <w:rPr>
          <w:rFonts w:hint="eastAsia" w:ascii="宋体" w:hAnsi="宋体" w:eastAsia="宋体" w:cs="宋体"/>
          <w:color w:val="000000"/>
          <w:highlight w:val="none"/>
        </w:rPr>
        <w:t xml:space="preserve">单位负责编制初步维修方案和预算，市保障房中心负责审核确认。双方对维修必要性或方案有分歧的，由市保障房中心最终裁定。</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维修所用材料、施工工序、维修质量必须符合国家现行相关标准（如建筑装饰装修、防水工程等国家标准）。</w:t>
      </w:r>
      <w:r>
        <w:rPr>
          <w:rFonts w:hint="eastAsia" w:ascii="宋体" w:hAnsi="宋体" w:cs="宋体"/>
          <w:color w:val="000000"/>
          <w:highlight w:val="none"/>
          <w:lang w:val="en-US" w:eastAsia="zh-CN"/>
        </w:rPr>
        <w:t xml:space="preserve">中标</w:t>
      </w:r>
      <w:r>
        <w:rPr>
          <w:rFonts w:hint="eastAsia" w:ascii="宋体" w:hAnsi="宋体" w:eastAsia="宋体" w:cs="宋体"/>
          <w:color w:val="000000"/>
          <w:highlight w:val="none"/>
        </w:rPr>
        <w:t xml:space="preserve">单位不得使用不合格材料或简化施工工序。</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、维修完成后，</w:t>
      </w:r>
      <w:r>
        <w:rPr>
          <w:rFonts w:hint="eastAsia" w:ascii="宋体" w:hAnsi="宋体" w:cs="宋体"/>
          <w:color w:val="000000"/>
          <w:highlight w:val="none"/>
          <w:lang w:val="en-US" w:eastAsia="zh-CN"/>
        </w:rPr>
        <w:t xml:space="preserve">中标</w:t>
      </w:r>
      <w:r>
        <w:rPr>
          <w:rFonts w:hint="eastAsia" w:ascii="宋体" w:hAnsi="宋体" w:eastAsia="宋体" w:cs="宋体"/>
          <w:color w:val="000000"/>
          <w:highlight w:val="none"/>
        </w:rPr>
        <w:t xml:space="preserve">单位应组织自检并报市保障房中心验收。保修期内同一部位再次出现同一问题的，由</w:t>
      </w:r>
      <w:r>
        <w:rPr>
          <w:rFonts w:hint="eastAsia" w:ascii="宋体" w:hAnsi="宋体" w:cs="宋体"/>
          <w:color w:val="000000"/>
          <w:highlight w:val="none"/>
          <w:lang w:val="en-US" w:eastAsia="zh-CN"/>
        </w:rPr>
        <w:t xml:space="preserve">中标</w:t>
      </w:r>
      <w:r>
        <w:rPr>
          <w:rFonts w:hint="eastAsia" w:ascii="宋体" w:hAnsi="宋体" w:eastAsia="宋体" w:cs="宋体"/>
          <w:color w:val="000000"/>
          <w:highlight w:val="none"/>
        </w:rPr>
        <w:t xml:space="preserve">单位免费返修，费用自行承担。</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5、室内维修的计价方式参照2026年度扬州市保障房中心小型维修项目合同的相关条款执行。</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、维修资金须专款专用，不得挪作他用。市保障房中心有权对维修资金使用情况进行核查。</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（四）巡查管理</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1、按要求开展房源的巡查管理，及时发现转租、转借、违规空置、无正当理由累计拖欠租金6个月以上、违规装修、改变房屋用途等</w:t>
      </w:r>
      <w:r>
        <w:rPr>
          <w:rFonts w:hint="eastAsia" w:ascii="宋体" w:hAnsi="宋体" w:eastAsia="宋体" w:cs="宋体"/>
          <w:color w:val="000000"/>
          <w:highlight w:val="none"/>
        </w:rPr>
        <w:t xml:space="preserve">违规使用行为和安全隐患等问题，填写《巡查记录表》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对巡查中发现的问题或违规行为做好记录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及时处置和上报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送达</w:t>
      </w:r>
      <w:r>
        <w:rPr>
          <w:rFonts w:hint="eastAsia" w:ascii="宋体" w:hAnsi="宋体" w:eastAsia="宋体" w:cs="宋体"/>
          <w:color w:val="000000"/>
          <w:highlight w:val="none"/>
        </w:rPr>
        <w:t xml:space="preserve">《限期整改通知书》《房屋腾退告知书》</w:t>
      </w:r>
      <w:r>
        <w:rPr>
          <w:rFonts w:hint="eastAsia" w:ascii="宋体" w:hAnsi="宋体" w:eastAsia="宋体" w:cs="宋体"/>
          <w:color w:val="000000"/>
          <w:highlight w:val="none"/>
          <w:lang w:val="en-US" w:eastAsia="zh-CN"/>
        </w:rPr>
        <w:t xml:space="preserve">等材料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跟踪巡查发现问题的整改进度。对违规行为拒不整改的，做好调查取证，配合开展后续处理。每</w:t>
      </w:r>
      <w:r>
        <w:rPr>
          <w:rFonts w:hint="eastAsia" w:ascii="宋体" w:hAnsi="宋体" w:cs="宋体"/>
          <w:color w:val="000000"/>
          <w:highlight w:val="none"/>
          <w:lang w:val="en-US" w:eastAsia="zh-CN"/>
        </w:rPr>
        <w:t xml:space="preserve">半年</w:t>
      </w:r>
      <w:r>
        <w:rPr>
          <w:rFonts w:hint="eastAsia" w:ascii="宋体" w:hAnsi="宋体" w:eastAsia="宋体" w:cs="宋体"/>
          <w:color w:val="000000"/>
          <w:highlight w:val="none"/>
          <w:lang w:val="en-US" w:eastAsia="zh-CN"/>
        </w:rPr>
        <w:t xml:space="preserve">应进行1次入户巡查。及时更新承租家庭居住信息。</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2、联合物业服务单位共同</w:t>
      </w:r>
      <w:r>
        <w:rPr>
          <w:rFonts w:hint="eastAsia" w:ascii="宋体" w:hAnsi="宋体" w:eastAsia="宋体" w:cs="宋体"/>
          <w:color w:val="000000"/>
          <w:highlight w:val="none"/>
        </w:rPr>
        <w:t xml:space="preserve">开展空置房源的巡查管理，及时发现违规占用、安全隐患等问题，及时处置和上报。每</w:t>
      </w:r>
      <w:r>
        <w:rPr>
          <w:rFonts w:hint="eastAsia" w:ascii="宋体" w:hAnsi="宋体" w:eastAsia="宋体" w:cs="宋体"/>
          <w:color w:val="000000"/>
          <w:highlight w:val="none"/>
          <w:lang w:val="en-US" w:eastAsia="zh-CN"/>
        </w:rPr>
        <w:t xml:space="preserve">季度</w:t>
      </w:r>
      <w:r>
        <w:rPr>
          <w:rFonts w:hint="eastAsia" w:ascii="宋体" w:hAnsi="宋体" w:eastAsia="宋体" w:cs="宋体"/>
          <w:color w:val="000000"/>
          <w:highlight w:val="none"/>
        </w:rPr>
        <w:t xml:space="preserve">至少实地入户巡查1次。</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建立入户巡查情况台账，每</w:t>
      </w:r>
      <w:r>
        <w:rPr>
          <w:rFonts w:hint="eastAsia" w:ascii="宋体" w:hAnsi="宋体" w:cs="宋体"/>
          <w:color w:val="000000"/>
          <w:highlight w:val="none"/>
          <w:lang w:val="en-US" w:eastAsia="zh-CN"/>
        </w:rPr>
        <w:t xml:space="preserve">半年</w:t>
      </w:r>
      <w:r>
        <w:rPr>
          <w:rFonts w:hint="eastAsia" w:ascii="宋体" w:hAnsi="宋体" w:eastAsia="宋体" w:cs="宋体"/>
          <w:color w:val="000000"/>
          <w:highlight w:val="none"/>
          <w:lang w:val="en-US" w:eastAsia="zh-CN"/>
        </w:rPr>
        <w:t xml:space="preserve">汇总整理后报市保障房中心。</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（五）安全生产</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1、中标单位是</w:t>
      </w:r>
      <w:r>
        <w:rPr>
          <w:rFonts w:hint="eastAsia" w:ascii="宋体" w:hAnsi="宋体" w:eastAsia="宋体" w:cs="宋体"/>
          <w:color w:val="000000"/>
          <w:highlight w:val="none"/>
          <w:lang w:val="en-US" w:eastAsia="zh-CN"/>
        </w:rPr>
        <w:t xml:space="preserve">公租房</w:t>
      </w:r>
      <w:r>
        <w:rPr>
          <w:rFonts w:hint="eastAsia" w:ascii="宋体" w:hAnsi="宋体" w:eastAsia="宋体" w:cs="宋体"/>
          <w:color w:val="000000"/>
          <w:highlight w:val="none"/>
        </w:rPr>
        <w:t xml:space="preserve">管理现场安全生产工作的直接责</w:t>
      </w:r>
      <w:r>
        <w:rPr>
          <w:rFonts w:hint="eastAsia" w:ascii="宋体" w:hAnsi="宋体" w:eastAsia="宋体" w:cs="宋体"/>
          <w:color w:val="000000"/>
          <w:highlight w:val="none"/>
        </w:rPr>
        <w:t xml:space="preserve">任单位</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1"/>
          <w:szCs w:val="22"/>
          <w:highlight w:val="none"/>
        </w:rPr>
        <w:t xml:space="preserve">对其派驻人员、现场作业、受托管理区域内安全生产负直接主体责任</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93"/>
        <w:ind w:firstLine="420"/>
        <w:spacing w:line="360" w:lineRule="auto"/>
        <w:rPr>
          <w:rFonts w:hint="eastAsia"/>
          <w:color w:val="000000"/>
          <w:highlight w:val="none"/>
        </w:rPr>
      </w:pPr>
      <w:r>
        <w:rPr>
          <w:rFonts w:hint="eastAsia" w:ascii="宋体" w:hAnsi="宋体" w:eastAsia="宋体" w:cs="宋体"/>
          <w:color w:val="000000"/>
          <w:highlight w:val="none"/>
          <w:lang w:val="en-US" w:eastAsia="zh-CN"/>
        </w:rPr>
        <w:t xml:space="preserve">2、</w:t>
      </w:r>
      <w:r>
        <w:rPr>
          <w:rFonts w:hint="eastAsia"/>
          <w:color w:val="000000"/>
          <w:highlight w:val="none"/>
        </w:rPr>
        <w:t xml:space="preserve">每月至少开展1次公租房小区安全巡查，发现安全隐患及时处置、整改，无法当场整改的应在24小时内上报市保障房中心。安全隐患应逐一建档，记录发现时间、隐患情况、整改措施、完成时间、复核结果。</w:t>
      </w:r>
      <w:r>
        <w:rPr>
          <w:rFonts w:hint="eastAsia"/>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3、指导承租家庭安全使用水、电、气等公用设施，开展</w:t>
      </w:r>
      <w:r>
        <w:rPr>
          <w:rFonts w:hint="eastAsia" w:ascii="宋体" w:hAnsi="宋体" w:eastAsia="宋体" w:cs="宋体"/>
          <w:color w:val="000000"/>
          <w:highlight w:val="none"/>
        </w:rPr>
        <w:t xml:space="preserve">用水、用电和用气等安全</w:t>
      </w:r>
      <w:r>
        <w:rPr>
          <w:rFonts w:hint="eastAsia" w:ascii="宋体" w:hAnsi="宋体" w:eastAsia="宋体" w:cs="宋体"/>
          <w:color w:val="000000"/>
          <w:highlight w:val="none"/>
          <w:lang w:val="en-US" w:eastAsia="zh-CN"/>
        </w:rPr>
        <w:t xml:space="preserve">生产的</w:t>
      </w:r>
      <w:r>
        <w:rPr>
          <w:rFonts w:hint="eastAsia" w:ascii="宋体" w:hAnsi="宋体" w:eastAsia="宋体" w:cs="宋体"/>
          <w:color w:val="000000"/>
          <w:highlight w:val="none"/>
        </w:rPr>
        <w:t xml:space="preserve">宣传</w:t>
      </w:r>
      <w:r>
        <w:rPr>
          <w:rFonts w:hint="eastAsia" w:ascii="宋体" w:hAnsi="宋体" w:eastAsia="宋体" w:cs="宋体"/>
          <w:color w:val="000000"/>
          <w:highlight w:val="none"/>
          <w:lang w:val="en-US" w:eastAsia="zh-CN"/>
        </w:rPr>
        <w:t xml:space="preserve">工作，</w:t>
      </w:r>
      <w:r>
        <w:rPr>
          <w:rFonts w:hint="eastAsia" w:ascii="宋体" w:hAnsi="宋体" w:eastAsia="宋体" w:cs="宋体"/>
          <w:color w:val="000000"/>
          <w:highlight w:val="none"/>
        </w:rPr>
        <w:t xml:space="preserve">促进安全氛围建设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w:t>
      </w:r>
      <w:r>
        <w:rPr>
          <w:rFonts w:hint="eastAsia" w:ascii="宋体" w:hAnsi="宋体" w:eastAsia="宋体" w:cs="宋体"/>
          <w:color w:val="000000"/>
          <w:highlight w:val="none"/>
          <w:lang w:val="en-US" w:eastAsia="zh-CN"/>
        </w:rPr>
        <w:t xml:space="preserve">年</w:t>
      </w:r>
      <w:r>
        <w:rPr>
          <w:rFonts w:hint="eastAsia" w:ascii="宋体" w:hAnsi="宋体" w:eastAsia="宋体" w:cs="宋体"/>
          <w:color w:val="000000"/>
          <w:highlight w:val="none"/>
        </w:rPr>
        <w:t xml:space="preserve">至少开展</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次。</w:t>
      </w:r>
      <w:r>
        <w:rPr>
          <w:rFonts w:hint="eastAsia" w:ascii="宋体" w:hAnsi="宋体" w:eastAsia="宋体" w:cs="宋体"/>
          <w:color w:val="000000"/>
          <w:highlight w:val="none"/>
        </w:rPr>
      </w:r>
      <w:r/>
    </w:p>
    <w:p>
      <w:pPr>
        <w:pStyle w:val="893"/>
        <w:ind w:firstLine="420"/>
        <w:spacing w:line="360" w:lineRule="auto"/>
        <w:rPr>
          <w:rFonts w:hint="eastAsia"/>
          <w:color w:val="000000"/>
          <w:highlight w:val="none"/>
        </w:rPr>
      </w:pPr>
      <w:r>
        <w:rPr>
          <w:rFonts w:hint="eastAsia"/>
          <w:color w:val="000000"/>
          <w:highlight w:val="none"/>
        </w:rPr>
        <w:t xml:space="preserve">4、每季度至少开展1次安全专项检查（每年不少于4次），重点排查消防设施、电气线路、燃气管道、房屋结构等。对独居老人、残疾人员等特殊群体，每季度至少入户走访1次，开展安全检查和宣传。</w:t>
      </w:r>
      <w:r>
        <w:rPr>
          <w:rFonts w:hint="eastAsia"/>
          <w:color w:val="000000"/>
          <w:highlight w:val="none"/>
        </w:rPr>
      </w:r>
      <w:r/>
    </w:p>
    <w:p>
      <w:pPr>
        <w:pStyle w:val="893"/>
        <w:ind w:firstLine="420"/>
        <w:spacing w:line="360" w:lineRule="auto"/>
        <w:rPr>
          <w:rFonts w:hint="eastAsia"/>
          <w:color w:val="000000"/>
          <w:highlight w:val="none"/>
        </w:rPr>
      </w:pPr>
      <w:r>
        <w:rPr>
          <w:rFonts w:hint="eastAsia"/>
          <w:color w:val="000000"/>
          <w:highlight w:val="none"/>
        </w:rPr>
        <w:t xml:space="preserve">5、涉及维修施工中的高空作业、临时用电、动火作业等，应安排具备相应资质的人员操作，并提前做好安全防护措施，现场设置警示标识。因维修施工导致的安全事故，由</w:t>
      </w:r>
      <w:r>
        <w:rPr>
          <w:rFonts w:hint="eastAsia"/>
          <w:color w:val="000000"/>
          <w:highlight w:val="none"/>
          <w:lang w:val="en-US" w:eastAsia="zh-CN"/>
        </w:rPr>
        <w:t xml:space="preserve">中标</w:t>
      </w:r>
      <w:r>
        <w:rPr>
          <w:rFonts w:hint="eastAsia"/>
          <w:color w:val="000000"/>
          <w:highlight w:val="none"/>
        </w:rPr>
        <w:t xml:space="preserve">单位承担全部责任。</w:t>
      </w:r>
      <w:r>
        <w:rPr>
          <w:rFonts w:hint="eastAsia"/>
          <w:color w:val="000000"/>
          <w:highlight w:val="none"/>
        </w:rPr>
      </w:r>
      <w:r/>
    </w:p>
    <w:p>
      <w:pPr>
        <w:pStyle w:val="893"/>
        <w:ind w:firstLine="420"/>
        <w:spacing w:line="360" w:lineRule="auto"/>
        <w:rPr>
          <w:rFonts w:hint="eastAsia"/>
          <w:color w:val="000000"/>
          <w:highlight w:val="none"/>
        </w:rPr>
      </w:pPr>
      <w:r>
        <w:rPr>
          <w:rFonts w:hint="eastAsia"/>
          <w:color w:val="000000"/>
          <w:highlight w:val="none"/>
        </w:rPr>
        <w:t xml:space="preserve">6、制定公租房小区突发事件应急预案（包括火灾、台风、暴雨、冰冻等），发生突发事件时，应在30分钟内启动应急响应，及时处置并向市保障房中心报告，最大限度降低损失。</w:t>
      </w:r>
      <w:r>
        <w:rPr>
          <w:rFonts w:hint="eastAsia"/>
          <w:color w:val="000000"/>
          <w:highlight w:val="none"/>
        </w:rPr>
      </w:r>
      <w:r/>
    </w:p>
    <w:p>
      <w:pPr>
        <w:pStyle w:val="893"/>
        <w:ind w:firstLine="420"/>
        <w:spacing w:line="360" w:lineRule="auto"/>
        <w:rPr>
          <w:rFonts w:hint="eastAsia"/>
          <w:color w:val="000000"/>
          <w:highlight w:val="none"/>
        </w:rPr>
      </w:pPr>
      <w:r>
        <w:rPr>
          <w:rFonts w:hint="eastAsia"/>
          <w:color w:val="000000"/>
          <w:highlight w:val="none"/>
        </w:rPr>
        <w:t xml:space="preserve">7、因</w:t>
      </w:r>
      <w:r>
        <w:rPr>
          <w:rFonts w:hint="eastAsia"/>
          <w:color w:val="000000"/>
          <w:highlight w:val="none"/>
          <w:lang w:val="en-US" w:eastAsia="zh-CN"/>
        </w:rPr>
        <w:t xml:space="preserve">中标</w:t>
      </w:r>
      <w:r>
        <w:rPr>
          <w:rFonts w:hint="eastAsia"/>
          <w:color w:val="000000"/>
          <w:highlight w:val="none"/>
        </w:rPr>
        <w:t xml:space="preserve">单位安全管理不到位导致发生责任性安全事故的，除依法承担相应责任外，市保障房中心有权解除合同，并按合同约定追究违约责任。</w:t>
      </w:r>
      <w:r>
        <w:rPr>
          <w:rFonts w:hint="eastAsia"/>
          <w:color w:val="000000"/>
          <w:highlight w:val="none"/>
        </w:rPr>
      </w:r>
      <w:r/>
    </w:p>
    <w:p>
      <w:pPr>
        <w:pStyle w:val="893"/>
        <w:ind w:firstLine="420"/>
        <w:spacing w:line="360" w:lineRule="auto"/>
        <w:rPr>
          <w:color w:val="000000"/>
          <w:highlight w:val="none"/>
        </w:rPr>
      </w:pPr>
      <w:r>
        <w:rPr>
          <w:rFonts w:hint="eastAsia"/>
          <w:color w:val="000000"/>
          <w:highlight w:val="none"/>
        </w:rPr>
        <w:t xml:space="preserve">8、完成交办的</w:t>
      </w:r>
      <w:r>
        <w:rPr>
          <w:rFonts w:hint="eastAsia"/>
          <w:color w:val="000000"/>
          <w:highlight w:val="none"/>
          <w:lang w:val="en-US" w:eastAsia="zh-CN"/>
        </w:rPr>
        <w:t xml:space="preserve">公租房有关</w:t>
      </w:r>
      <w:r>
        <w:rPr>
          <w:rFonts w:hint="eastAsia"/>
          <w:color w:val="000000"/>
          <w:highlight w:val="none"/>
        </w:rPr>
        <w:t xml:space="preserve">安全生产工作</w:t>
      </w:r>
      <w:r>
        <w:rPr>
          <w:rFonts w:hint="eastAsia"/>
          <w:color w:val="000000"/>
          <w:highlight w:val="none"/>
          <w:lang w:val="en-US" w:eastAsia="zh-CN"/>
        </w:rPr>
        <w:t xml:space="preserve">的其他事宜</w:t>
      </w:r>
      <w:r>
        <w:rPr>
          <w:rFonts w:hint="eastAsia"/>
          <w:color w:val="000000"/>
          <w:highlight w:val="none"/>
        </w:rPr>
        <w:t xml:space="preserve">。</w:t>
      </w:r>
      <w:r>
        <w:rPr>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（六）业务衔接</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1、积极配合物业服务单位和其他运营单位做好公租房运营管理业务交接工作。</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2、加强与公租房物业服务单位沟通协调，在租金收缴、</w:t>
      </w:r>
      <w:r>
        <w:rPr>
          <w:rFonts w:hint="eastAsia" w:ascii="宋体" w:hAnsi="宋体" w:eastAsia="宋体" w:cs="宋体"/>
          <w:color w:val="000000"/>
          <w:highlight w:val="none"/>
          <w:lang w:val="en-US" w:eastAsia="zh-CN"/>
        </w:rPr>
        <w:t xml:space="preserve">退出管理、</w:t>
      </w:r>
      <w:r>
        <w:rPr>
          <w:rFonts w:hint="eastAsia" w:ascii="宋体" w:hAnsi="宋体" w:eastAsia="宋体" w:cs="宋体"/>
          <w:color w:val="000000"/>
          <w:highlight w:val="none"/>
        </w:rPr>
        <w:t xml:space="preserve">日常维修、安全等方面形成合力，提高工作效率，进一步提升公共租赁住房运营管理服务水平。</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（七）档案管理</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按照“一户一档”要求做好保障对象承租相关</w:t>
      </w:r>
      <w:r>
        <w:rPr>
          <w:rFonts w:hint="eastAsia" w:ascii="宋体" w:hAnsi="宋体" w:eastAsia="宋体" w:cs="宋体"/>
          <w:color w:val="000000"/>
          <w:highlight w:val="none"/>
        </w:rPr>
        <w:t xml:space="preserve">纸质</w:t>
      </w:r>
      <w:r>
        <w:rPr>
          <w:rFonts w:hint="eastAsia" w:ascii="宋体" w:hAnsi="宋体" w:eastAsia="宋体" w:cs="宋体"/>
          <w:color w:val="000000"/>
          <w:highlight w:val="none"/>
          <w:lang w:val="en-US" w:eastAsia="zh-CN"/>
        </w:rPr>
        <w:t xml:space="preserve">和</w:t>
      </w:r>
      <w:r>
        <w:rPr>
          <w:rFonts w:hint="eastAsia" w:ascii="宋体" w:hAnsi="宋体" w:eastAsia="宋体" w:cs="宋体"/>
          <w:color w:val="000000"/>
          <w:highlight w:val="none"/>
        </w:rPr>
        <w:t xml:space="preserve">电子档案的</w:t>
      </w:r>
      <w:r>
        <w:rPr>
          <w:rFonts w:hint="eastAsia" w:ascii="宋体" w:hAnsi="宋体" w:eastAsia="宋体" w:cs="宋体"/>
          <w:color w:val="000000"/>
          <w:highlight w:val="none"/>
          <w:lang w:val="en-US" w:eastAsia="zh-CN"/>
        </w:rPr>
        <w:t xml:space="preserve">收集、整理、归档和保存移交</w:t>
      </w:r>
      <w:r>
        <w:rPr>
          <w:rFonts w:hint="eastAsia" w:ascii="宋体" w:hAnsi="宋体" w:eastAsia="宋体" w:cs="宋体"/>
          <w:color w:val="000000"/>
          <w:highlight w:val="none"/>
        </w:rPr>
        <w:t xml:space="preserve">工作</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资料齐全准确，无档案遗失。</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2、及时收集、整理租赁合同</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房屋交接单</w:t>
      </w:r>
      <w:r>
        <w:rPr>
          <w:rFonts w:hint="eastAsia" w:ascii="宋体" w:hAnsi="宋体" w:eastAsia="宋体" w:cs="宋体"/>
          <w:color w:val="000000"/>
          <w:highlight w:val="none"/>
        </w:rPr>
        <w:t xml:space="preserve">和报表等公租房运营业务相关资料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每月10日前将上月相关资料移交</w:t>
      </w:r>
      <w:r>
        <w:rPr>
          <w:rFonts w:hint="eastAsia" w:ascii="宋体" w:hAnsi="宋体" w:eastAsia="宋体" w:cs="宋体"/>
          <w:color w:val="000000"/>
          <w:highlight w:val="none"/>
          <w:lang w:eastAsia="zh-CN"/>
        </w:rPr>
        <w:t xml:space="preserve">市保障房中心</w:t>
      </w:r>
      <w:r>
        <w:rPr>
          <w:rFonts w:hint="eastAsia" w:ascii="宋体" w:hAnsi="宋体" w:eastAsia="宋体" w:cs="宋体"/>
          <w:color w:val="000000"/>
          <w:highlight w:val="none"/>
        </w:rPr>
        <w:t xml:space="preserve">，并分类、归档。</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（八）业务部室及业务人员配置</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1、设置专门的公租房运营管理服务内设科室，配置相应的专业技术人员。</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2、指定专人与</w:t>
      </w:r>
      <w:r>
        <w:rPr>
          <w:rFonts w:hint="eastAsia" w:ascii="宋体" w:hAnsi="宋体" w:eastAsia="宋体" w:cs="宋体"/>
          <w:color w:val="000000"/>
          <w:highlight w:val="none"/>
          <w:lang w:eastAsia="zh-CN"/>
        </w:rPr>
        <w:t xml:space="preserve">市保障房中心</w:t>
      </w:r>
      <w:r>
        <w:rPr>
          <w:rFonts w:hint="eastAsia" w:ascii="宋体" w:hAnsi="宋体" w:eastAsia="宋体" w:cs="宋体"/>
          <w:color w:val="000000"/>
          <w:highlight w:val="none"/>
        </w:rPr>
        <w:t xml:space="preserve">进行对接、沟通，保证公租房运营管理服务工作顺利开展。</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（九）其他管理</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1、协助住房保障部门做好公租房相关政策的宣传及相关业务咨询工作。</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2、配合</w:t>
      </w:r>
      <w:r>
        <w:rPr>
          <w:rFonts w:hint="eastAsia" w:ascii="宋体" w:hAnsi="宋体" w:eastAsia="宋体" w:cs="宋体"/>
          <w:color w:val="000000"/>
          <w:highlight w:val="none"/>
          <w:lang w:eastAsia="zh-CN"/>
        </w:rPr>
        <w:t xml:space="preserve">市保障房中心</w:t>
      </w:r>
      <w:r>
        <w:rPr>
          <w:rFonts w:hint="eastAsia" w:ascii="宋体" w:hAnsi="宋体" w:eastAsia="宋体" w:cs="宋体"/>
          <w:color w:val="000000"/>
          <w:highlight w:val="none"/>
        </w:rPr>
        <w:t xml:space="preserve">做好承租人来信来访的接待、调查取证、答复和处理。</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3、配合</w:t>
      </w:r>
      <w:r>
        <w:rPr>
          <w:rFonts w:hint="eastAsia" w:ascii="宋体" w:hAnsi="宋体" w:eastAsia="宋体" w:cs="宋体"/>
          <w:color w:val="000000"/>
          <w:highlight w:val="none"/>
          <w:lang w:eastAsia="zh-CN"/>
        </w:rPr>
        <w:t xml:space="preserve">市保障房中心</w:t>
      </w:r>
      <w:r>
        <w:rPr>
          <w:rFonts w:hint="eastAsia" w:ascii="宋体" w:hAnsi="宋体" w:eastAsia="宋体" w:cs="宋体"/>
          <w:color w:val="000000"/>
          <w:highlight w:val="none"/>
        </w:rPr>
        <w:t xml:space="preserve">做好涉及公租房诉讼案件的调查取证、准备答辩材料、应诉等相关事宜。</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4、做好公租房有关数据统计与汇总，分析公租房运营状况，提出完善、优化公租房运营管理服务工作的建议。</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val="en-US" w:eastAsia="zh-CN"/>
        </w:rPr>
        <w:t xml:space="preserve">配合市保障房中心做好公租房管理系统平台建设和维护，做好信息采集和录入更新相关工作。</w:t>
      </w:r>
      <w:r>
        <w:rPr>
          <w:rFonts w:hint="eastAsia" w:ascii="宋体" w:hAnsi="宋体" w:eastAsia="宋体" w:cs="宋体"/>
          <w:color w:val="000000"/>
          <w:highlight w:val="none"/>
          <w:lang w:val="en-US" w:eastAsia="zh-CN"/>
        </w:rPr>
      </w:r>
      <w:r/>
    </w:p>
    <w:p>
      <w:pPr>
        <w:pStyle w:val="89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处理保障对象相关问题，应对突发情况的发生。</w:t>
      </w:r>
      <w:r>
        <w:rPr>
          <w:rFonts w:hint="eastAsia" w:ascii="宋体" w:hAnsi="宋体" w:eastAsia="宋体" w:cs="宋体"/>
          <w:color w:val="000000"/>
          <w:highlight w:val="none"/>
          <w:lang w:val="en-US" w:eastAsia="zh-CN"/>
        </w:rPr>
        <w:t xml:space="preserve">做好公租房</w:t>
      </w:r>
      <w:r>
        <w:rPr>
          <w:rFonts w:hint="eastAsia" w:ascii="宋体" w:hAnsi="宋体" w:eastAsia="宋体" w:cs="宋体"/>
          <w:color w:val="000000"/>
          <w:highlight w:val="none"/>
        </w:rPr>
        <w:t xml:space="preserve">有关规定或合同约定应当承担的其他工作</w:t>
      </w:r>
      <w:r>
        <w:rPr>
          <w:rFonts w:hint="eastAsia" w:ascii="宋体" w:hAnsi="宋体" w:eastAsia="宋体" w:cs="宋体"/>
          <w:color w:val="000000"/>
          <w:highlight w:val="none"/>
          <w:lang w:val="en-US" w:eastAsia="zh-CN"/>
        </w:rPr>
        <w:t xml:space="preserve">和</w:t>
      </w:r>
      <w:r>
        <w:rPr>
          <w:rFonts w:hint="eastAsia" w:ascii="宋体" w:hAnsi="宋体" w:eastAsia="宋体" w:cs="宋体"/>
          <w:color w:val="000000"/>
          <w:highlight w:val="none"/>
          <w:lang w:eastAsia="zh-CN"/>
        </w:rPr>
        <w:t xml:space="preserve">市保障房中心</w:t>
      </w:r>
      <w:r>
        <w:rPr>
          <w:rFonts w:hint="eastAsia" w:ascii="宋体" w:hAnsi="宋体" w:eastAsia="宋体" w:cs="宋体"/>
          <w:color w:val="000000"/>
          <w:highlight w:val="none"/>
        </w:rPr>
        <w:t xml:space="preserve">交办的临时性、突击性工作。</w:t>
      </w:r>
      <w:r>
        <w:rPr>
          <w:rFonts w:hint="eastAsia" w:ascii="宋体" w:hAnsi="宋体" w:eastAsia="宋体" w:cs="宋体"/>
          <w:color w:val="000000"/>
          <w:highlight w:val="none"/>
        </w:rPr>
      </w:r>
      <w:r/>
    </w:p>
    <w:p>
      <w:pPr>
        <w:pStyle w:val="893"/>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7、积极配合市保障房中心完成委托事项外其他工作。</w:t>
      </w:r>
      <w:r>
        <w:rPr>
          <w:rFonts w:ascii="宋体" w:hAnsi="宋体" w:eastAsia="宋体" w:cs="宋体"/>
          <w:color w:val="000000"/>
          <w:highlight w:val="none"/>
          <w:lang w:val="en-US" w:eastAsia="zh-CN"/>
        </w:rPr>
      </w:r>
      <w:r/>
    </w:p>
    <w:p>
      <w:pPr>
        <w:pStyle w:val="893"/>
        <w:jc w:val="center"/>
        <w:rPr>
          <w:rFonts w:hint="eastAsia" w:ascii="宋体" w:hAnsi="宋体" w:eastAsia="宋体" w:cs="Times New Roman"/>
          <w:b/>
          <w:bCs/>
          <w:color w:val="000000"/>
          <w:sz w:val="44"/>
          <w:szCs w:val="44"/>
          <w:highlight w:val="none"/>
        </w:rPr>
        <w:outlineLvl w:val="0"/>
      </w:pPr>
      <w:r>
        <w:rPr>
          <w:rFonts w:hint="eastAsia" w:ascii="宋体" w:hAnsi="宋体" w:cs="宋体"/>
          <w:b/>
          <w:color w:val="000000"/>
          <w:szCs w:val="21"/>
          <w:highlight w:val="none"/>
        </w:rPr>
        <w:br w:type="page" w:clear="all"/>
      </w:r>
      <w:bookmarkStart w:id="104" w:name="_Toc10463"/>
      <w:r/>
      <w:bookmarkStart w:id="105" w:name="_Toc6423"/>
      <w:r>
        <w:rPr>
          <w:rFonts w:hint="eastAsia" w:ascii="宋体" w:hAnsi="宋体" w:eastAsia="宋体" w:cs="Times New Roman"/>
          <w:b/>
          <w:bCs/>
          <w:color w:val="000000"/>
          <w:sz w:val="44"/>
          <w:szCs w:val="44"/>
          <w:highlight w:val="none"/>
        </w:rPr>
        <w:t xml:space="preserve">第五章 评标方法</w:t>
      </w:r>
      <w:r>
        <w:rPr>
          <w:rFonts w:hint="eastAsia" w:ascii="宋体" w:hAnsi="宋体" w:eastAsia="宋体" w:cs="Times New Roman"/>
          <w:b/>
          <w:bCs/>
          <w:color w:val="000000"/>
          <w:sz w:val="44"/>
          <w:szCs w:val="44"/>
          <w:highlight w:val="none"/>
          <w:lang w:val="en-US" w:eastAsia="zh-CN"/>
        </w:rPr>
        <w:t xml:space="preserve">与</w:t>
      </w:r>
      <w:r>
        <w:rPr>
          <w:rFonts w:hint="eastAsia" w:ascii="宋体" w:hAnsi="宋体" w:eastAsia="宋体" w:cs="Times New Roman"/>
          <w:b/>
          <w:bCs/>
          <w:color w:val="000000"/>
          <w:sz w:val="44"/>
          <w:szCs w:val="44"/>
          <w:highlight w:val="none"/>
        </w:rPr>
        <w:t xml:space="preserve">评标标准</w:t>
      </w:r>
      <w:bookmarkEnd w:id="1"/>
      <w:r/>
      <w:bookmarkEnd w:id="104"/>
      <w:r/>
      <w:bookmarkEnd w:id="105"/>
      <w:r>
        <w:rPr>
          <w:rFonts w:hint="eastAsia" w:ascii="宋体" w:hAnsi="宋体" w:eastAsia="宋体" w:cs="Times New Roman"/>
          <w:b/>
          <w:bCs/>
          <w:color w:val="000000"/>
          <w:sz w:val="44"/>
          <w:szCs w:val="44"/>
          <w:highlight w:val="none"/>
        </w:rPr>
      </w:r>
      <w:r/>
    </w:p>
    <w:p>
      <w:pPr>
        <w:pStyle w:val="924"/>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hint="eastAsia" w:ascii="宋体" w:hAnsi="宋体"/>
          <w:b/>
          <w:color w:val="000000"/>
          <w:sz w:val="21"/>
          <w:szCs w:val="21"/>
          <w:highlight w:val="none"/>
        </w:rPr>
      </w:r>
      <w:r/>
    </w:p>
    <w:p>
      <w:pPr>
        <w:pStyle w:val="924"/>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服务要点解析</w:t>
      </w:r>
      <w:r>
        <w:rPr>
          <w:rFonts w:hint="eastAsia" w:ascii="宋体" w:hAnsi="宋体"/>
          <w:color w:val="000000"/>
          <w:sz w:val="21"/>
          <w:szCs w:val="21"/>
          <w:highlight w:val="none"/>
          <w:lang w:val="en-US" w:eastAsia="zh-CN"/>
        </w:rPr>
        <w:t xml:space="preserve">和工作方案的</w:t>
      </w:r>
      <w:r>
        <w:rPr>
          <w:rFonts w:hint="eastAsia" w:ascii="宋体" w:hAnsi="宋体"/>
          <w:color w:val="000000"/>
          <w:sz w:val="21"/>
          <w:szCs w:val="21"/>
          <w:highlight w:val="none"/>
        </w:rPr>
        <w:t xml:space="preserve">评审得分最高的投标人为排名第一的中标候选人</w:t>
      </w:r>
      <w:r>
        <w:rPr>
          <w:rFonts w:hint="eastAsia" w:ascii="宋体" w:hAnsi="宋体"/>
          <w:b/>
          <w:bCs/>
          <w:color w:val="000000"/>
          <w:sz w:val="21"/>
          <w:szCs w:val="21"/>
          <w:highlight w:val="none"/>
        </w:rPr>
        <w:t xml:space="preserve">。供应商可同时参与本项目所有分包号的投标，但只能获得一个中标资格，如在前一分包号被推荐为中标候选人，可参加后面分包号的评审，但不得被推荐为中标候选人。本项目开评标顺序：包一、包二、包三依次进行。</w:t>
      </w:r>
      <w:r>
        <w:rPr>
          <w:rFonts w:hint="eastAsia" w:ascii="宋体" w:hAnsi="宋体"/>
          <w:color w:val="000000"/>
          <w:sz w:val="21"/>
          <w:szCs w:val="21"/>
          <w:highlight w:val="none"/>
        </w:rPr>
      </w:r>
      <w:r/>
    </w:p>
    <w:p>
      <w:pPr>
        <w:pStyle w:val="893"/>
        <w:ind w:firstLine="422"/>
        <w:spacing w:line="360" w:lineRule="auto"/>
        <w:rPr>
          <w:rFonts w:hint="eastAsia" w:ascii="宋体" w:hAnsi="宋体"/>
          <w:b/>
          <w:color w:val="000000"/>
          <w:szCs w:val="21"/>
          <w:highlight w:val="none"/>
        </w:rPr>
      </w:pPr>
      <w:r/>
      <w:bookmarkStart w:id="106" w:name="_Toc449016388"/>
      <w:r/>
      <w:bookmarkStart w:id="107" w:name="_Toc449017024"/>
      <w:r>
        <w:rPr>
          <w:rFonts w:hint="eastAsia" w:ascii="宋体" w:hAnsi="宋体"/>
          <w:b/>
          <w:color w:val="000000"/>
          <w:szCs w:val="21"/>
          <w:highlight w:val="none"/>
        </w:rPr>
        <w:t xml:space="preserve">二、政府采购政策功能落实</w:t>
      </w:r>
      <w:bookmarkEnd w:id="106"/>
      <w:r/>
      <w:bookmarkEnd w:id="107"/>
      <w:r>
        <w:rPr>
          <w:rFonts w:hint="eastAsia" w:ascii="宋体" w:hAnsi="宋体"/>
          <w:b/>
          <w:color w:val="000000"/>
          <w:szCs w:val="21"/>
          <w:highlight w:val="none"/>
        </w:rPr>
      </w:r>
      <w:r/>
    </w:p>
    <w:p>
      <w:pPr>
        <w:pStyle w:val="924"/>
        <w:ind w:firstLine="420"/>
        <w:keepLines w:val="0"/>
        <w:keepNext w:val="0"/>
        <w:pageBreakBefore w:val="0"/>
        <w:spacing w:before="0" w:after="0"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1、本项目专门面向中小企业采购，对小微企业不再执行价格评审优惠的扶持政策。</w:t>
      </w:r>
      <w:r>
        <w:rPr>
          <w:rFonts w:ascii="宋体" w:hAnsi="宋体"/>
          <w:color w:val="000000"/>
          <w:sz w:val="21"/>
          <w:szCs w:val="21"/>
          <w:highlight w:val="none"/>
        </w:rPr>
      </w:r>
      <w:r/>
    </w:p>
    <w:p>
      <w:pPr>
        <w:pStyle w:val="89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2、中小企业</w:t>
      </w:r>
      <w:r>
        <w:rPr>
          <w:rFonts w:ascii="宋体" w:hAnsi="宋体" w:cs="宋体"/>
          <w:color w:val="000000"/>
          <w:highlight w:val="none"/>
        </w:rPr>
      </w:r>
      <w:r/>
    </w:p>
    <w:p>
      <w:pPr>
        <w:pStyle w:val="89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（1）供应商需按照采购文件的要求提供相应的《中小企业声明函》。</w:t>
      </w:r>
      <w:r>
        <w:rPr>
          <w:rFonts w:ascii="宋体" w:hAnsi="宋体" w:cs="宋体"/>
          <w:color w:val="000000"/>
          <w:highlight w:val="none"/>
        </w:rPr>
      </w:r>
      <w:r/>
    </w:p>
    <w:p>
      <w:pPr>
        <w:pStyle w:val="89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（2）企业标准请参照《关于印发中小企业划型标准规定的通知》（工信部联企业[2011]300号）文件规定自行填写。</w:t>
      </w:r>
      <w:r>
        <w:rPr>
          <w:rFonts w:ascii="宋体" w:hAnsi="宋体" w:cs="宋体"/>
          <w:color w:val="000000"/>
          <w:highlight w:val="none"/>
        </w:rPr>
      </w:r>
      <w:r/>
    </w:p>
    <w:p>
      <w:pPr>
        <w:pStyle w:val="89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3、残疾人福利单位</w:t>
      </w:r>
      <w:r>
        <w:rPr>
          <w:rFonts w:ascii="宋体" w:hAnsi="宋体" w:cs="宋体"/>
          <w:color w:val="000000"/>
          <w:highlight w:val="none"/>
        </w:rPr>
      </w:r>
      <w:r/>
    </w:p>
    <w:p>
      <w:pPr>
        <w:pStyle w:val="89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（1）本项目对残疾人福利性单位视同小型、微型企业。</w:t>
      </w:r>
      <w:r>
        <w:rPr>
          <w:rFonts w:ascii="宋体" w:hAnsi="宋体" w:cs="宋体"/>
          <w:color w:val="000000"/>
          <w:highlight w:val="none"/>
        </w:rPr>
      </w:r>
      <w:r/>
    </w:p>
    <w:p>
      <w:pPr>
        <w:pStyle w:val="89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（2）残疾人福利单位需按照采购文件的要求提供《残疾人福利性单位声明函》。</w:t>
      </w:r>
      <w:r>
        <w:rPr>
          <w:rFonts w:ascii="宋体" w:hAnsi="宋体" w:cs="宋体"/>
          <w:color w:val="000000"/>
          <w:highlight w:val="none"/>
        </w:rPr>
      </w:r>
      <w:r/>
    </w:p>
    <w:p>
      <w:pPr>
        <w:pStyle w:val="89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（3）残疾人福利单位标准请参照《关于促进残疾人就业政府采购政策的通知》（财库〔2017〕141号）。</w:t>
      </w:r>
      <w:r>
        <w:rPr>
          <w:rFonts w:ascii="宋体" w:hAnsi="宋体" w:cs="宋体"/>
          <w:color w:val="000000"/>
          <w:highlight w:val="none"/>
        </w:rPr>
      </w:r>
      <w:r/>
    </w:p>
    <w:p>
      <w:pPr>
        <w:pStyle w:val="893"/>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    4、监狱和戒毒企业</w:t>
      </w:r>
      <w:r>
        <w:rPr>
          <w:rFonts w:ascii="宋体" w:hAnsi="宋体" w:cs="宋体"/>
          <w:color w:val="000000"/>
          <w:highlight w:val="none"/>
        </w:rPr>
      </w:r>
      <w:r/>
    </w:p>
    <w:p>
      <w:pPr>
        <w:pStyle w:val="89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（1）本项目对监狱和戒毒企业（简称监狱企业）视同小型、微型企业。</w:t>
      </w:r>
      <w:r>
        <w:rPr>
          <w:rFonts w:ascii="宋体" w:hAnsi="宋体" w:cs="宋体"/>
          <w:color w:val="000000"/>
          <w:highlight w:val="none"/>
        </w:rPr>
      </w:r>
      <w:r/>
    </w:p>
    <w:p>
      <w:pPr>
        <w:pStyle w:val="89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highlight w:val="none"/>
        </w:rPr>
      </w:r>
      <w:r/>
    </w:p>
    <w:p>
      <w:pPr>
        <w:pStyle w:val="893"/>
        <w:ind w:firstLine="420"/>
        <w:keepLines w:val="0"/>
        <w:keepNext w:val="0"/>
        <w:pageBreakBefore w:val="0"/>
        <w:spacing w:line="360" w:lineRule="auto"/>
        <w:widowControl w:val="off"/>
        <w:rPr>
          <w:rFonts w:hint="eastAsia" w:ascii="宋体" w:hAnsi="宋体"/>
          <w:b/>
          <w:bCs/>
          <w:color w:val="000000"/>
          <w:szCs w:val="21"/>
          <w:highlight w:val="none"/>
        </w:rPr>
      </w:pPr>
      <w:r>
        <w:rPr>
          <w:rFonts w:hint="eastAsia" w:ascii="宋体" w:hAnsi="宋体" w:cs="宋体"/>
          <w:color w:val="000000"/>
          <w:highlight w:val="none"/>
        </w:rPr>
        <w:t xml:space="preserve">（3）监狱企业标准请参照《关于政府采购支持监狱企业发展有关问题的通知》（财库[2014]68号）。</w:t>
      </w:r>
      <w:r>
        <w:rPr>
          <w:rFonts w:hint="eastAsia" w:ascii="宋体" w:hAnsi="宋体"/>
          <w:b/>
          <w:bCs/>
          <w:color w:val="000000"/>
          <w:szCs w:val="21"/>
          <w:highlight w:val="none"/>
        </w:rPr>
      </w:r>
      <w:r/>
    </w:p>
    <w:p>
      <w:pPr>
        <w:pStyle w:val="924"/>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三、评标标准</w:t>
      </w:r>
      <w:r>
        <w:rPr>
          <w:rFonts w:hint="eastAsia" w:ascii="宋体" w:hAnsi="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7349"/>
      </w:tblGrid>
      <w:tr>
        <w:trPr>
          <w:trHeight w:val="396"/>
        </w:trPr>
        <w:tc>
          <w:tcPr>
            <w:tcW w:w="1177" w:type="dxa"/>
            <w:vAlign w:val="center"/>
            <w:textDirection w:val="lrTb"/>
            <w:noWrap w:val="false"/>
          </w:tcPr>
          <w:p>
            <w:pPr>
              <w:pStyle w:val="893"/>
              <w:jc w:val="center"/>
              <w:spacing w:line="360" w:lineRule="auto"/>
              <w:tabs>
                <w:tab w:val="left" w:pos="0" w:leader="none"/>
                <w:tab w:val="left" w:pos="1134" w:leader="none"/>
              </w:tabs>
              <w:rPr>
                <w:rFonts w:ascii="宋体" w:hAnsi="宋体"/>
                <w:color w:val="000000"/>
                <w:szCs w:val="21"/>
                <w:highlight w:val="none"/>
              </w:rPr>
            </w:pPr>
            <w:r>
              <w:rPr>
                <w:rFonts w:ascii="宋体" w:hAnsi="宋体"/>
                <w:color w:val="000000"/>
                <w:szCs w:val="21"/>
                <w:highlight w:val="none"/>
              </w:rPr>
            </w:r>
            <w:r/>
          </w:p>
        </w:tc>
        <w:tc>
          <w:tcPr>
            <w:tcW w:w="7349" w:type="dxa"/>
            <w:vAlign w:val="center"/>
            <w:textDirection w:val="lrTb"/>
            <w:noWrap w:val="false"/>
          </w:tcPr>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评分项目</w:t>
            </w:r>
            <w:r>
              <w:rPr>
                <w:rFonts w:ascii="宋体" w:hAnsi="宋体"/>
                <w:color w:val="000000"/>
                <w:szCs w:val="21"/>
                <w:highlight w:val="none"/>
              </w:rPr>
            </w:r>
            <w:r/>
          </w:p>
        </w:tc>
      </w:tr>
      <w:tr>
        <w:trPr>
          <w:trHeight w:val="404"/>
        </w:trPr>
        <w:tc>
          <w:tcPr>
            <w:tcW w:w="1177" w:type="dxa"/>
            <w:vAlign w:val="center"/>
            <w:textDirection w:val="lrTb"/>
            <w:noWrap w:val="false"/>
          </w:tcPr>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投标报价</w:t>
            </w:r>
            <w:r>
              <w:rPr>
                <w:rFonts w:ascii="宋体" w:hAnsi="宋体"/>
                <w:color w:val="000000"/>
                <w:szCs w:val="21"/>
                <w:highlight w:val="none"/>
              </w:rPr>
            </w:r>
            <w:r/>
          </w:p>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（30分）</w:t>
            </w:r>
            <w:r>
              <w:rPr>
                <w:rFonts w:ascii="宋体" w:hAnsi="宋体"/>
                <w:color w:val="000000"/>
                <w:szCs w:val="21"/>
                <w:highlight w:val="none"/>
              </w:rPr>
            </w:r>
            <w:r/>
          </w:p>
        </w:tc>
        <w:tc>
          <w:tcPr>
            <w:tcW w:w="7349" w:type="dxa"/>
            <w:vAlign w:val="center"/>
            <w:textDirection w:val="lrTb"/>
            <w:noWrap w:val="false"/>
          </w:tcPr>
          <w:p>
            <w:pPr>
              <w:pStyle w:val="893"/>
              <w:ind w:firstLine="420"/>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以满足招标文件要求的</w:t>
            </w:r>
            <w:r>
              <w:rPr>
                <w:rFonts w:hint="eastAsia" w:ascii="宋体" w:hAnsi="宋体"/>
                <w:color w:val="000000"/>
                <w:szCs w:val="21"/>
                <w:highlight w:val="none"/>
                <w:lang w:val="en-US" w:eastAsia="zh-CN"/>
              </w:rPr>
              <w:t xml:space="preserve">最低的不可收租率</w:t>
            </w:r>
            <w:r>
              <w:rPr>
                <w:rFonts w:hint="eastAsia" w:ascii="宋体" w:hAnsi="宋体"/>
                <w:color w:val="000000"/>
                <w:szCs w:val="21"/>
                <w:highlight w:val="none"/>
              </w:rPr>
              <w:t xml:space="preserve">为评</w:t>
            </w:r>
            <w:r>
              <w:rPr>
                <w:rFonts w:hint="eastAsia" w:ascii="宋体" w:hAnsi="宋体"/>
                <w:color w:val="000000"/>
                <w:szCs w:val="21"/>
                <w:highlight w:val="none"/>
                <w:lang w:val="en-US" w:eastAsia="zh-CN"/>
              </w:rPr>
              <w:t xml:space="preserve">标</w:t>
            </w:r>
            <w:r>
              <w:rPr>
                <w:rFonts w:hint="eastAsia" w:ascii="宋体" w:hAnsi="宋体"/>
                <w:color w:val="000000"/>
                <w:szCs w:val="21"/>
                <w:highlight w:val="none"/>
              </w:rPr>
              <w:t xml:space="preserve">基准价，得满分30分，其他投标得分=（评标基准价/其他不可收租率）×30</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tc>
      </w:tr>
      <w:tr>
        <w:trPr/>
        <w:tc>
          <w:tcPr>
            <w:tcW w:w="1177" w:type="dxa"/>
            <w:vAlign w:val="center"/>
            <w:vMerge w:val="restart"/>
            <w:textDirection w:val="lrTb"/>
            <w:noWrap w:val="false"/>
          </w:tcPr>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服务要点解析</w:t>
            </w:r>
            <w:r>
              <w:rPr>
                <w:rFonts w:ascii="宋体" w:hAnsi="宋体"/>
                <w:color w:val="000000"/>
                <w:szCs w:val="21"/>
                <w:highlight w:val="none"/>
              </w:rPr>
            </w:r>
            <w:r/>
          </w:p>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（15分）</w:t>
            </w:r>
            <w:r>
              <w:rPr>
                <w:rFonts w:ascii="宋体" w:hAnsi="宋体"/>
                <w:color w:val="000000"/>
                <w:szCs w:val="21"/>
                <w:highlight w:val="none"/>
              </w:rPr>
            </w:r>
            <w:r/>
          </w:p>
        </w:tc>
        <w:tc>
          <w:tcPr>
            <w:tcW w:w="7349" w:type="dxa"/>
            <w:vAlign w:val="center"/>
            <w:textDirection w:val="lrTb"/>
            <w:noWrap w:val="false"/>
          </w:tcPr>
          <w:p>
            <w:pPr>
              <w:pStyle w:val="893"/>
              <w:jc w:val="left"/>
              <w:spacing w:line="360" w:lineRule="auto"/>
              <w:tabs>
                <w:tab w:val="left" w:pos="0"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根据各投标人提供的公共租赁住房委托管理项目的重点、难点、要点解析，解析细致全面、合理，完全响应需求的得5分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jc w:val="left"/>
              <w:spacing w:line="360" w:lineRule="auto"/>
              <w:tabs>
                <w:tab w:val="left" w:pos="0" w:leader="none"/>
                <w:tab w:val="left" w:pos="1134"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解析较为完整，基本响应需求的得3分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93"/>
              <w:jc w:val="left"/>
              <w:spacing w:line="360" w:lineRule="auto"/>
              <w:tabs>
                <w:tab w:val="left" w:pos="0"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解析不完整，响应度低的得1分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jc w:val="left"/>
              <w:spacing w:line="360" w:lineRule="auto"/>
              <w:tabs>
                <w:tab w:val="left" w:pos="0"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lang w:eastAsia="zh-CN"/>
              </w:rPr>
            </w:r>
            <w:r/>
          </w:p>
        </w:tc>
      </w:tr>
      <w:tr>
        <w:trPr/>
        <w:tc>
          <w:tcPr>
            <w:tcW w:w="1177" w:type="dxa"/>
            <w:vAlign w:val="center"/>
            <w:vMerge w:val="continue"/>
            <w:textDirection w:val="lrTb"/>
            <w:noWrap w:val="false"/>
          </w:tcPr>
          <w:p>
            <w:pPr>
              <w:pStyle w:val="893"/>
              <w:jc w:val="left"/>
              <w:widowControl/>
              <w:rPr>
                <w:rFonts w:ascii="宋体" w:hAnsi="宋体"/>
                <w:color w:val="000000"/>
                <w:szCs w:val="21"/>
                <w:highlight w:val="none"/>
              </w:rPr>
            </w:pPr>
            <w:r>
              <w:rPr>
                <w:rFonts w:ascii="宋体" w:hAnsi="宋体"/>
                <w:color w:val="000000"/>
                <w:szCs w:val="21"/>
                <w:highlight w:val="none"/>
              </w:rPr>
            </w:r>
            <w:r/>
          </w:p>
        </w:tc>
        <w:tc>
          <w:tcPr>
            <w:tcW w:w="7349" w:type="dxa"/>
            <w:vAlign w:val="center"/>
            <w:textDirection w:val="lrTb"/>
            <w:noWrap w:val="false"/>
          </w:tcPr>
          <w:p>
            <w:pPr>
              <w:pStyle w:val="893"/>
              <w:spacing w:line="360" w:lineRule="auto"/>
              <w:tabs>
                <w:tab w:val="left" w:pos="0"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投标人公共租赁住房委托管理项目特色服务介绍的细致全面、合理，完全响应需求的得5分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介绍较为完整，基本响应需求的得3分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介绍不完整，响应度低的得1分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1134" w:leader="none"/>
              </w:tabs>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未提供不得分。</w:t>
            </w:r>
            <w:r>
              <w:rPr>
                <w:rFonts w:ascii="宋体" w:hAnsi="宋体"/>
                <w:color w:val="000000"/>
                <w:szCs w:val="21"/>
                <w:highlight w:val="none"/>
                <w:lang w:val="en-US" w:eastAsia="zh-CN"/>
              </w:rPr>
            </w:r>
            <w:r/>
          </w:p>
        </w:tc>
      </w:tr>
      <w:tr>
        <w:trPr>
          <w:trHeight w:val="1213"/>
        </w:trPr>
        <w:tc>
          <w:tcPr>
            <w:tcW w:w="1177" w:type="dxa"/>
            <w:vAlign w:val="center"/>
            <w:vMerge w:val="continue"/>
            <w:textDirection w:val="lrTb"/>
            <w:noWrap w:val="false"/>
          </w:tcPr>
          <w:p>
            <w:pPr>
              <w:pStyle w:val="893"/>
              <w:jc w:val="left"/>
              <w:widowControl/>
              <w:rPr>
                <w:rFonts w:ascii="宋体" w:hAnsi="宋体"/>
                <w:color w:val="000000"/>
                <w:szCs w:val="21"/>
                <w:highlight w:val="none"/>
              </w:rPr>
            </w:pPr>
            <w:r>
              <w:rPr>
                <w:rFonts w:ascii="宋体" w:hAnsi="宋体"/>
                <w:color w:val="000000"/>
                <w:szCs w:val="21"/>
                <w:highlight w:val="none"/>
              </w:rPr>
            </w:r>
            <w:r/>
          </w:p>
        </w:tc>
        <w:tc>
          <w:tcPr>
            <w:tcW w:w="7349" w:type="dxa"/>
            <w:vAlign w:val="center"/>
            <w:textDirection w:val="lrTb"/>
            <w:noWrap w:val="false"/>
          </w:tcPr>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应急预案细致全面、处理措施合理</w:t>
            </w:r>
            <w:r>
              <w:rPr>
                <w:rFonts w:hint="eastAsia" w:ascii="宋体" w:hAnsi="宋体"/>
                <w:color w:val="000000"/>
                <w:szCs w:val="21"/>
                <w:highlight w:val="none"/>
                <w:lang w:val="en-US" w:eastAsia="zh-CN"/>
              </w:rPr>
              <w:t xml:space="preserve">性</w:t>
            </w:r>
            <w:r>
              <w:rPr>
                <w:rFonts w:hint="eastAsia" w:ascii="宋体" w:hAnsi="宋体"/>
                <w:color w:val="000000"/>
                <w:szCs w:val="21"/>
                <w:highlight w:val="none"/>
              </w:rPr>
              <w:t xml:space="preserve">高、完全响应需求的得5分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应急预案较为完整、基本响应需求的得3分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应急预案不完整，响应度低的得1分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lang w:eastAsia="zh-CN"/>
              </w:rPr>
            </w:r>
            <w:r/>
          </w:p>
        </w:tc>
      </w:tr>
      <w:tr>
        <w:trPr>
          <w:trHeight w:val="767"/>
        </w:trPr>
        <w:tc>
          <w:tcPr>
            <w:tcW w:w="1177" w:type="dxa"/>
            <w:vAlign w:val="center"/>
            <w:vMerge w:val="restart"/>
            <w:textDirection w:val="lrTb"/>
            <w:noWrap w:val="false"/>
          </w:tcPr>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工作方案（15分）</w:t>
            </w:r>
            <w:r>
              <w:rPr>
                <w:rFonts w:ascii="宋体" w:hAnsi="宋体"/>
                <w:color w:val="000000"/>
                <w:szCs w:val="21"/>
                <w:highlight w:val="none"/>
              </w:rPr>
            </w:r>
            <w:r/>
          </w:p>
        </w:tc>
        <w:tc>
          <w:tcPr>
            <w:tcW w:w="7349" w:type="dxa"/>
            <w:vAlign w:val="center"/>
            <w:textDirection w:val="lrTb"/>
            <w:noWrap w:val="false"/>
          </w:tcPr>
          <w:p>
            <w:pPr>
              <w:pStyle w:val="893"/>
              <w:spacing w:line="360" w:lineRule="auto"/>
              <w:tabs>
                <w:tab w:val="left" w:pos="0" w:leader="none"/>
                <w:tab w:val="left" w:pos="993" w:leader="none"/>
                <w:tab w:val="left" w:pos="1134"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拟采取的管理方式细致全面、合理，完全响应需求的得5分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管理方式较为完整，基本响应需求的得3分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管理方式不完整，响应度低的得1分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lang w:eastAsia="zh-CN"/>
              </w:rPr>
            </w:r>
            <w:r/>
          </w:p>
        </w:tc>
      </w:tr>
      <w:tr>
        <w:trPr>
          <w:trHeight w:val="879"/>
        </w:trPr>
        <w:tc>
          <w:tcPr>
            <w:tcW w:w="1177" w:type="dxa"/>
            <w:vAlign w:val="center"/>
            <w:vMerge w:val="continue"/>
            <w:textDirection w:val="lrTb"/>
            <w:noWrap w:val="false"/>
          </w:tcPr>
          <w:p>
            <w:pPr>
              <w:pStyle w:val="893"/>
              <w:jc w:val="left"/>
              <w:widowControl/>
              <w:rPr>
                <w:rFonts w:ascii="宋体" w:hAnsi="宋体"/>
                <w:color w:val="000000"/>
                <w:szCs w:val="21"/>
                <w:highlight w:val="none"/>
              </w:rPr>
            </w:pPr>
            <w:r>
              <w:rPr>
                <w:rFonts w:ascii="宋体" w:hAnsi="宋体"/>
                <w:color w:val="000000"/>
                <w:szCs w:val="21"/>
                <w:highlight w:val="none"/>
              </w:rPr>
            </w:r>
            <w:r/>
          </w:p>
        </w:tc>
        <w:tc>
          <w:tcPr>
            <w:tcW w:w="7349" w:type="dxa"/>
            <w:vAlign w:val="center"/>
            <w:textDirection w:val="lrTb"/>
            <w:noWrap w:val="false"/>
          </w:tcPr>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工作计划及工作重难点及其措施细致全面、合理，完全响应需求的得5分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工作计划及工作重难点及其措施较为完整，基本响应需求的得3分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工作计划及工作重难点及其措施不完整，响应度低的得1分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lang w:eastAsia="zh-CN"/>
              </w:rPr>
            </w:r>
            <w:r/>
          </w:p>
        </w:tc>
      </w:tr>
      <w:tr>
        <w:trPr>
          <w:trHeight w:val="808"/>
        </w:trPr>
        <w:tc>
          <w:tcPr>
            <w:tcW w:w="1177" w:type="dxa"/>
            <w:vAlign w:val="center"/>
            <w:vMerge w:val="continue"/>
            <w:textDirection w:val="lrTb"/>
            <w:noWrap w:val="false"/>
          </w:tcPr>
          <w:p>
            <w:pPr>
              <w:pStyle w:val="893"/>
              <w:jc w:val="left"/>
              <w:widowControl/>
              <w:rPr>
                <w:rFonts w:ascii="宋体" w:hAnsi="宋体"/>
                <w:color w:val="000000"/>
                <w:szCs w:val="21"/>
                <w:highlight w:val="none"/>
              </w:rPr>
            </w:pPr>
            <w:r>
              <w:rPr>
                <w:rFonts w:ascii="宋体" w:hAnsi="宋体"/>
                <w:color w:val="000000"/>
                <w:szCs w:val="21"/>
                <w:highlight w:val="none"/>
              </w:rPr>
            </w:r>
            <w:r/>
          </w:p>
        </w:tc>
        <w:tc>
          <w:tcPr>
            <w:tcW w:w="7349" w:type="dxa"/>
            <w:vAlign w:val="center"/>
            <w:textDirection w:val="lrTb"/>
            <w:noWrap w:val="false"/>
          </w:tcPr>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完成任务的保证性措施细致全面、合理，完全响应需求的得5分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完成任务的保证性措施较为完整，基本响应需求的得3分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rPr>
              <w:t xml:space="preserve">完成任务的保证性措施不完整，响应度低的得1分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893"/>
              <w:spacing w:line="360" w:lineRule="auto"/>
              <w:tabs>
                <w:tab w:val="left" w:pos="0" w:leader="none"/>
                <w:tab w:val="left" w:pos="993" w:leader="none"/>
                <w:tab w:val="left" w:pos="1134" w:leader="none"/>
              </w:tabs>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未提供不得分。</w:t>
            </w:r>
            <w:r>
              <w:rPr>
                <w:rFonts w:hint="eastAsia" w:ascii="宋体" w:hAnsi="宋体"/>
                <w:color w:val="000000"/>
                <w:szCs w:val="21"/>
                <w:highlight w:val="none"/>
                <w:lang w:eastAsia="zh-CN"/>
              </w:rPr>
            </w:r>
            <w:r/>
          </w:p>
        </w:tc>
      </w:tr>
      <w:tr>
        <w:trPr>
          <w:trHeight w:val="416"/>
        </w:trPr>
        <w:tc>
          <w:tcPr>
            <w:tcW w:w="1177" w:type="dxa"/>
            <w:vAlign w:val="center"/>
            <w:textDirection w:val="lrTb"/>
            <w:noWrap w:val="false"/>
          </w:tcPr>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人员配备</w:t>
            </w:r>
            <w:r>
              <w:rPr>
                <w:rFonts w:ascii="宋体" w:hAnsi="宋体"/>
                <w:color w:val="000000"/>
                <w:szCs w:val="21"/>
                <w:highlight w:val="none"/>
              </w:rPr>
            </w:r>
            <w:r/>
          </w:p>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（12分）</w:t>
            </w:r>
            <w:r>
              <w:rPr>
                <w:rFonts w:ascii="宋体" w:hAnsi="宋体"/>
                <w:color w:val="000000"/>
                <w:szCs w:val="21"/>
                <w:highlight w:val="none"/>
              </w:rPr>
            </w:r>
            <w:r/>
          </w:p>
        </w:tc>
        <w:tc>
          <w:tcPr>
            <w:tcW w:w="7349" w:type="dxa"/>
            <w:vAlign w:val="center"/>
            <w:textDirection w:val="lrTb"/>
            <w:noWrap w:val="false"/>
          </w:tcPr>
          <w:p>
            <w:pPr>
              <w:pStyle w:val="893"/>
              <w:spacing w:line="360" w:lineRule="auto"/>
              <w:tabs>
                <w:tab w:val="left" w:pos="0" w:leader="none"/>
                <w:tab w:val="left" w:pos="993"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项目组人员配备及持证上岗情况</w:t>
            </w:r>
            <w:r>
              <w:rPr>
                <w:rFonts w:ascii="宋体" w:hAnsi="宋体"/>
                <w:color w:val="000000"/>
                <w:szCs w:val="21"/>
                <w:highlight w:val="none"/>
              </w:rPr>
            </w:r>
            <w:r/>
          </w:p>
          <w:p>
            <w:pPr>
              <w:pStyle w:val="893"/>
              <w:numPr>
                <w:ilvl w:val="0"/>
                <w:numId w:val="3"/>
              </w:numPr>
              <w:spacing w:line="360" w:lineRule="auto"/>
              <w:tabs>
                <w:tab w:val="left" w:pos="0" w:leader="none"/>
                <w:tab w:val="left" w:pos="993"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具有经济师（房地产类）或工程师（工程类）的有一个得1分，满分4分。</w:t>
            </w:r>
            <w:r>
              <w:rPr>
                <w:rFonts w:ascii="宋体" w:hAnsi="宋体"/>
                <w:color w:val="000000"/>
                <w:szCs w:val="21"/>
                <w:highlight w:val="none"/>
              </w:rPr>
            </w:r>
            <w:r/>
          </w:p>
          <w:p>
            <w:pPr>
              <w:pStyle w:val="893"/>
              <w:numPr>
                <w:ilvl w:val="0"/>
                <w:numId w:val="3"/>
              </w:numPr>
              <w:spacing w:line="360" w:lineRule="auto"/>
              <w:tabs>
                <w:tab w:val="left" w:pos="0" w:leader="none"/>
                <w:tab w:val="left" w:pos="993"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具有水、电、瓦、木工证书的，每有1个得1分，满分4分。</w:t>
            </w:r>
            <w:r>
              <w:rPr>
                <w:rFonts w:ascii="宋体" w:hAnsi="宋体"/>
                <w:color w:val="000000"/>
                <w:szCs w:val="21"/>
                <w:highlight w:val="none"/>
              </w:rPr>
            </w:r>
            <w:r/>
          </w:p>
          <w:p>
            <w:pPr>
              <w:pStyle w:val="893"/>
              <w:numPr>
                <w:ilvl w:val="0"/>
                <w:numId w:val="3"/>
              </w:numPr>
              <w:spacing w:line="360" w:lineRule="auto"/>
              <w:tabs>
                <w:tab w:val="left" w:pos="0" w:leader="none"/>
                <w:tab w:val="left" w:pos="993"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具有会计类相关证书的得4分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满分4分</w:t>
            </w:r>
            <w:r>
              <w:rPr>
                <w:rFonts w:hint="eastAsia" w:ascii="宋体" w:hAnsi="宋体"/>
                <w:color w:val="000000"/>
                <w:szCs w:val="21"/>
                <w:highlight w:val="none"/>
              </w:rPr>
              <w:t xml:space="preserve">。</w:t>
            </w:r>
            <w:r>
              <w:rPr>
                <w:rFonts w:ascii="宋体" w:hAnsi="宋体"/>
                <w:color w:val="000000"/>
                <w:szCs w:val="21"/>
                <w:highlight w:val="none"/>
              </w:rPr>
            </w:r>
            <w:r/>
          </w:p>
          <w:p>
            <w:pPr>
              <w:pStyle w:val="893"/>
              <w:spacing w:line="360" w:lineRule="auto"/>
              <w:tabs>
                <w:tab w:val="left" w:pos="0" w:leader="none"/>
                <w:tab w:val="left" w:pos="993"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（须提供证书原件，扫描上传</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ascii="宋体" w:hAnsi="宋体"/>
                <w:color w:val="000000"/>
                <w:szCs w:val="21"/>
                <w:highlight w:val="none"/>
              </w:rPr>
            </w:r>
            <w:r/>
          </w:p>
        </w:tc>
      </w:tr>
      <w:tr>
        <w:trPr>
          <w:trHeight w:val="1213"/>
        </w:trPr>
        <w:tc>
          <w:tcPr>
            <w:tcW w:w="1177" w:type="dxa"/>
            <w:vAlign w:val="center"/>
            <w:textDirection w:val="lrTb"/>
            <w:noWrap w:val="false"/>
          </w:tcPr>
          <w:p>
            <w:pPr>
              <w:pStyle w:val="89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业绩</w:t>
            </w:r>
            <w:r>
              <w:rPr>
                <w:rFonts w:ascii="宋体" w:hAnsi="宋体"/>
                <w:color w:val="000000"/>
                <w:szCs w:val="21"/>
                <w:highlight w:val="none"/>
              </w:rPr>
            </w:r>
            <w:r/>
          </w:p>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（18分）</w:t>
            </w:r>
            <w:r>
              <w:rPr>
                <w:rFonts w:ascii="宋体" w:hAnsi="宋体"/>
                <w:color w:val="000000"/>
                <w:szCs w:val="21"/>
                <w:highlight w:val="none"/>
              </w:rPr>
            </w:r>
            <w:r/>
          </w:p>
        </w:tc>
        <w:tc>
          <w:tcPr>
            <w:tcW w:w="7349" w:type="dxa"/>
            <w:vAlign w:val="center"/>
            <w:textDirection w:val="lrTb"/>
            <w:noWrap w:val="false"/>
          </w:tcPr>
          <w:p>
            <w:pPr>
              <w:pStyle w:val="893"/>
              <w:jc w:val="left"/>
              <w:spacing w:line="360" w:lineRule="auto"/>
              <w:widowControl/>
              <w:rPr>
                <w:rFonts w:ascii="宋体" w:hAnsi="宋体" w:cs="宋体"/>
                <w:color w:val="000000"/>
                <w:szCs w:val="21"/>
                <w:highlight w:val="none"/>
              </w:rPr>
            </w:pPr>
            <w:r>
              <w:rPr>
                <w:rFonts w:hint="eastAsia" w:ascii="宋体" w:hAnsi="宋体"/>
                <w:color w:val="000000"/>
                <w:szCs w:val="21"/>
                <w:highlight w:val="none"/>
              </w:rPr>
              <w:t xml:space="preserve">提供</w:t>
            </w:r>
            <w:r>
              <w:rPr>
                <w:rFonts w:hint="eastAsia" w:ascii="宋体" w:hAnsi="宋体"/>
                <w:color w:val="000000"/>
                <w:szCs w:val="21"/>
                <w:highlight w:val="none"/>
                <w:lang w:val="en-US" w:eastAsia="zh-CN"/>
              </w:rPr>
              <w:t xml:space="preserve">2023</w:t>
            </w:r>
            <w:r>
              <w:rPr>
                <w:rFonts w:hint="eastAsia" w:ascii="宋体" w:hAnsi="宋体"/>
                <w:color w:val="000000"/>
                <w:szCs w:val="21"/>
                <w:highlight w:val="none"/>
              </w:rPr>
              <w:t xml:space="preserve">年1月1日至今类似公租房运营管理或保障房管理</w:t>
            </w:r>
            <w:r>
              <w:rPr>
                <w:rFonts w:hint="eastAsia" w:ascii="宋体" w:hAnsi="宋体"/>
                <w:color w:val="000000"/>
                <w:szCs w:val="21"/>
                <w:highlight w:val="none"/>
                <w:lang w:val="en-US" w:eastAsia="zh-CN"/>
              </w:rPr>
              <w:t xml:space="preserve">服务</w:t>
            </w:r>
            <w:r>
              <w:rPr>
                <w:rFonts w:hint="eastAsia" w:ascii="宋体" w:hAnsi="宋体" w:cs="宋体"/>
                <w:color w:val="000000"/>
                <w:szCs w:val="21"/>
                <w:highlight w:val="none"/>
              </w:rPr>
              <w:t xml:space="preserve">业绩，有一</w:t>
            </w:r>
            <w:r>
              <w:rPr>
                <w:rFonts w:hint="eastAsia" w:ascii="宋体" w:hAnsi="宋体" w:cs="宋体"/>
                <w:color w:val="000000"/>
                <w:szCs w:val="21"/>
                <w:highlight w:val="none"/>
                <w:lang w:val="en-US" w:eastAsia="zh-CN"/>
              </w:rPr>
              <w:t xml:space="preserve">个</w:t>
            </w:r>
            <w:r>
              <w:rPr>
                <w:rFonts w:hint="eastAsia" w:ascii="宋体" w:hAnsi="宋体" w:cs="宋体"/>
                <w:color w:val="000000"/>
                <w:szCs w:val="21"/>
                <w:highlight w:val="none"/>
              </w:rPr>
              <w:t xml:space="preserve">得3分，满分18分。（</w:t>
            </w:r>
            <w:r>
              <w:rPr>
                <w:rFonts w:hint="eastAsia" w:ascii="宋体" w:hAnsi="宋体" w:eastAsia="宋体" w:cs="宋体"/>
                <w:b/>
                <w:bCs/>
                <w:color w:val="000000"/>
                <w:szCs w:val="21"/>
                <w:highlight w:val="none"/>
              </w:rPr>
              <w:t xml:space="preserve">以合同签订时间为准，提供合同原件扫描上传，合同关键页清晰可辨，否则不予认定得分</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1213"/>
        </w:trPr>
        <w:tc>
          <w:tcPr>
            <w:tcW w:w="1177" w:type="dxa"/>
            <w:vAlign w:val="center"/>
            <w:textDirection w:val="lrTb"/>
            <w:noWrap w:val="false"/>
          </w:tcPr>
          <w:p>
            <w:pPr>
              <w:pStyle w:val="893"/>
              <w:jc w:val="center"/>
              <w:spacing w:line="360" w:lineRule="auto"/>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服务承诺（10分）</w:t>
            </w:r>
            <w:r>
              <w:rPr>
                <w:rFonts w:ascii="宋体" w:hAnsi="宋体"/>
                <w:color w:val="000000"/>
                <w:szCs w:val="21"/>
                <w:highlight w:val="none"/>
              </w:rPr>
            </w:r>
            <w:r/>
          </w:p>
        </w:tc>
        <w:tc>
          <w:tcPr>
            <w:tcW w:w="7349" w:type="dxa"/>
            <w:vAlign w:val="center"/>
            <w:textDirection w:val="lrTb"/>
            <w:noWrap w:val="false"/>
          </w:tcPr>
          <w:p>
            <w:pPr>
              <w:pStyle w:val="893"/>
              <w:spacing w:line="360" w:lineRule="auto"/>
              <w:tabs>
                <w:tab w:val="left" w:pos="0" w:leader="none"/>
                <w:tab w:val="left" w:pos="993"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1、根据投标人的服务承诺情况进行打分，包含受托管理的房屋全年无责任性安全事故，如若发生安全事故，采购人有权处罚</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且有权终止合同、全年无投诉、信访处理及时率达100%等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完全响应采购人需求的得5分，基本响应需求的得3分，响应度低的得1分。</w:t>
            </w:r>
            <w:r>
              <w:rPr>
                <w:rFonts w:ascii="宋体" w:hAnsi="宋体"/>
                <w:color w:val="000000"/>
                <w:szCs w:val="21"/>
                <w:highlight w:val="none"/>
              </w:rPr>
            </w:r>
            <w:r/>
          </w:p>
          <w:p>
            <w:pPr>
              <w:pStyle w:val="893"/>
              <w:spacing w:line="360" w:lineRule="auto"/>
              <w:tabs>
                <w:tab w:val="left" w:pos="0" w:leader="none"/>
                <w:tab w:val="left" w:pos="993" w:leader="none"/>
                <w:tab w:val="left" w:pos="1134" w:leader="none"/>
              </w:tabs>
              <w:rPr>
                <w:rFonts w:ascii="宋体" w:hAnsi="宋体"/>
                <w:color w:val="000000"/>
                <w:szCs w:val="21"/>
                <w:highlight w:val="none"/>
              </w:rPr>
            </w:pPr>
            <w:r>
              <w:rPr>
                <w:rFonts w:hint="eastAsia" w:ascii="宋体" w:hAnsi="宋体"/>
                <w:color w:val="000000"/>
                <w:szCs w:val="21"/>
                <w:highlight w:val="none"/>
              </w:rPr>
              <w:t xml:space="preserve">2、根据投标人的服务承诺情况进行打分，包含安全管理、维修管理等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完全响应采购人需求的得5分，基本响应需求的得3分，响应度低的得1分。</w:t>
            </w:r>
            <w:r>
              <w:rPr>
                <w:rFonts w:ascii="宋体" w:hAnsi="宋体"/>
                <w:color w:val="000000"/>
                <w:szCs w:val="21"/>
                <w:highlight w:val="none"/>
              </w:rPr>
            </w:r>
            <w:r/>
          </w:p>
        </w:tc>
      </w:tr>
      <w:tr>
        <w:trPr>
          <w:trHeight w:val="521"/>
        </w:trPr>
        <w:tc>
          <w:tcPr>
            <w:tcW w:w="1177" w:type="dxa"/>
            <w:vAlign w:val="center"/>
            <w:textDirection w:val="lrTb"/>
            <w:noWrap w:val="false"/>
          </w:tcPr>
          <w:p>
            <w:pPr>
              <w:pStyle w:val="893"/>
              <w:jc w:val="center"/>
              <w:keepLines w:val="0"/>
              <w:keepNext w:val="0"/>
              <w:pageBreakBefore w:val="0"/>
              <w:spacing w:line="360" w:lineRule="auto"/>
              <w:widowControl w:val="off"/>
              <w:tabs>
                <w:tab w:val="left" w:pos="0" w:leader="none"/>
                <w:tab w:val="left" w:pos="1134"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合计</w:t>
            </w:r>
            <w:r>
              <w:rPr>
                <w:rFonts w:hint="eastAsia" w:ascii="宋体" w:hAnsi="宋体" w:eastAsia="宋体"/>
                <w:color w:val="000000"/>
                <w:szCs w:val="21"/>
                <w:highlight w:val="none"/>
                <w:lang w:val="en-US" w:eastAsia="zh-CN"/>
              </w:rPr>
            </w:r>
            <w:r/>
          </w:p>
        </w:tc>
        <w:tc>
          <w:tcPr>
            <w:tcW w:w="7349" w:type="dxa"/>
            <w:vAlign w:val="center"/>
            <w:textDirection w:val="lrTb"/>
            <w:noWrap w:val="false"/>
          </w:tcPr>
          <w:p>
            <w:pPr>
              <w:pStyle w:val="893"/>
              <w:jc w:val="center"/>
              <w:keepLines w:val="0"/>
              <w:keepNext w:val="0"/>
              <w:pageBreakBefore w:val="0"/>
              <w:spacing w:line="360" w:lineRule="auto"/>
              <w:widowControl w:val="off"/>
              <w:tabs>
                <w:tab w:val="left" w:pos="0" w:leader="none"/>
                <w:tab w:val="left" w:pos="993" w:leader="none"/>
                <w:tab w:val="left" w:pos="1134"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100分</w:t>
            </w:r>
            <w:r>
              <w:rPr>
                <w:rFonts w:ascii="宋体" w:hAnsi="宋体" w:eastAsia="宋体"/>
                <w:color w:val="000000"/>
                <w:szCs w:val="21"/>
                <w:highlight w:val="none"/>
                <w:lang w:val="en-US" w:eastAsia="zh-CN"/>
              </w:rPr>
            </w:r>
            <w:r/>
          </w:p>
        </w:tc>
      </w:tr>
    </w:tbl>
    <w:p>
      <w:pPr>
        <w:pStyle w:val="893"/>
        <w:numPr>
          <w:ilvl w:val="0"/>
          <w:numId w:val="0"/>
        </w:numPr>
        <w:ind w:left="0" w:right="0" w:firstLine="420"/>
        <w:jc w:val="left"/>
        <w:pageBreakBefore w:val="0"/>
        <w:spacing w:beforeAutospacing="0" w:afterAutospacing="0" w:line="360" w:lineRule="auto"/>
        <w:widowControl/>
        <w:tabs>
          <w:tab w:val="left" w:pos="900" w:leader="none"/>
        </w:tabs>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rPr>
        <w:t xml:space="preserve">注：</w:t>
      </w:r>
      <w:r>
        <w:rPr>
          <w:rFonts w:hint="eastAsia" w:ascii="宋体" w:hAnsi="宋体" w:eastAsia="宋体" w:cs="宋体"/>
          <w:b w:val="0"/>
          <w:bCs w:val="0"/>
          <w:color w:val="000000"/>
          <w:szCs w:val="21"/>
          <w:highlight w:val="none"/>
          <w:lang w:val="en-US" w:eastAsia="zh-CN"/>
        </w:rPr>
        <w:t xml:space="preserve">异常低价投标（响应）：</w:t>
      </w:r>
      <w:r>
        <w:rPr>
          <w:rFonts w:hint="eastAsia" w:ascii="宋体" w:hAnsi="宋体" w:eastAsia="宋体" w:cs="宋体"/>
          <w:b w:val="0"/>
          <w:bCs w:val="0"/>
          <w:color w:val="000000"/>
          <w:szCs w:val="21"/>
          <w:highlight w:val="none"/>
          <w:lang w:val="en-US" w:eastAsia="zh-CN"/>
        </w:rPr>
      </w:r>
      <w:r/>
    </w:p>
    <w:p>
      <w:pPr>
        <w:pStyle w:val="893"/>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（一）政府采购评审中出现下列情形之一的，评审委员会应当启动异常低价投标（响应）审查程序：</w:t>
      </w:r>
      <w:r>
        <w:rPr>
          <w:rFonts w:hint="eastAsia" w:ascii="宋体" w:hAnsi="宋体" w:eastAsia="宋体" w:cs="宋体"/>
          <w:b w:val="0"/>
          <w:bCs w:val="0"/>
          <w:color w:val="000000"/>
          <w:szCs w:val="21"/>
          <w:highlight w:val="none"/>
          <w:lang w:val="en-US" w:eastAsia="zh-CN"/>
        </w:rPr>
      </w:r>
      <w:r/>
    </w:p>
    <w:p>
      <w:pPr>
        <w:pStyle w:val="893"/>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Cs w:val="21"/>
          <w:highlight w:val="none"/>
          <w:lang w:val="en-US" w:eastAsia="zh-CN"/>
        </w:rPr>
      </w:r>
      <w:r/>
    </w:p>
    <w:p>
      <w:pPr>
        <w:pStyle w:val="893"/>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Cs w:val="21"/>
          <w:highlight w:val="none"/>
          <w:lang w:val="en-US" w:eastAsia="zh-CN"/>
        </w:rPr>
      </w:r>
      <w:r/>
    </w:p>
    <w:p>
      <w:pPr>
        <w:pStyle w:val="893"/>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val="0"/>
          <w:bCs w:val="0"/>
          <w:color w:val="000000"/>
          <w:szCs w:val="21"/>
          <w:highlight w:val="none"/>
          <w:lang w:val="en-US" w:eastAsia="zh-CN"/>
        </w:rPr>
      </w:r>
      <w:r/>
    </w:p>
    <w:p>
      <w:pPr>
        <w:pStyle w:val="893"/>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Cs w:val="21"/>
          <w:highlight w:val="none"/>
          <w:lang w:val="en-US" w:eastAsia="zh-CN"/>
        </w:rPr>
      </w:r>
      <w:r/>
    </w:p>
    <w:p>
      <w:pPr>
        <w:pStyle w:val="893"/>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Cs w:val="21"/>
          <w:highlight w:val="none"/>
          <w:lang w:val="en-US" w:eastAsia="zh-CN"/>
        </w:rPr>
      </w:r>
      <w:r/>
    </w:p>
    <w:p>
      <w:pPr>
        <w:pStyle w:val="893"/>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val="0"/>
          <w:color w:val="000000"/>
          <w:szCs w:val="21"/>
          <w:highlight w:val="none"/>
          <w:lang w:val="en-US" w:eastAsia="zh-CN"/>
        </w:rPr>
      </w:r>
      <w:r/>
    </w:p>
    <w:p>
      <w:pPr>
        <w:pStyle w:val="893"/>
        <w:rPr>
          <w:rFonts w:hint="eastAsia" w:ascii="宋体" w:hAnsi="宋体"/>
          <w:b/>
          <w:color w:val="000000"/>
          <w:szCs w:val="21"/>
          <w:highlight w:val="none"/>
        </w:rPr>
      </w:pPr>
      <w:r>
        <w:rPr>
          <w:rFonts w:hint="eastAsia" w:ascii="宋体" w:hAnsi="宋体"/>
          <w:b/>
          <w:color w:val="000000"/>
          <w:szCs w:val="21"/>
          <w:highlight w:val="none"/>
        </w:rPr>
      </w:r>
      <w:r/>
    </w:p>
    <w:p>
      <w:pPr>
        <w:pStyle w:val="893"/>
        <w:rPr>
          <w:color w:val="000000"/>
          <w:highlight w:val="none"/>
        </w:rPr>
      </w:pPr>
      <w:r>
        <w:rPr>
          <w:rFonts w:hint="eastAsia" w:ascii="宋体" w:hAnsi="宋体"/>
          <w:b/>
          <w:color w:val="000000"/>
          <w:szCs w:val="21"/>
          <w:highlight w:val="none"/>
        </w:rPr>
        <w:br w:type="page" w:clear="all"/>
      </w:r>
      <w:r>
        <w:rPr>
          <w:color w:val="000000"/>
          <w:highlight w:val="none"/>
        </w:rPr>
      </w:r>
      <w:r/>
    </w:p>
    <w:p>
      <w:pPr>
        <w:pStyle w:val="893"/>
        <w:jc w:val="center"/>
        <w:rPr>
          <w:rFonts w:hint="eastAsia" w:ascii="宋体" w:hAnsi="宋体" w:eastAsia="宋体" w:cs="Times New Roman"/>
          <w:b/>
          <w:bCs/>
          <w:color w:val="000000"/>
          <w:sz w:val="44"/>
          <w:szCs w:val="44"/>
          <w:highlight w:val="none"/>
        </w:rPr>
        <w:outlineLvl w:val="0"/>
      </w:pPr>
      <w:r/>
      <w:bookmarkStart w:id="108" w:name="_Toc18087"/>
      <w:r/>
      <w:bookmarkStart w:id="109" w:name="_Toc22482"/>
      <w:r>
        <w:rPr>
          <w:rFonts w:hint="eastAsia" w:ascii="宋体" w:hAnsi="宋体" w:eastAsia="宋体" w:cs="Times New Roman"/>
          <w:b/>
          <w:bCs/>
          <w:color w:val="000000"/>
          <w:sz w:val="44"/>
          <w:szCs w:val="44"/>
          <w:highlight w:val="none"/>
        </w:rPr>
        <w:t xml:space="preserve">第六章 投标文件格式</w:t>
      </w:r>
      <w:bookmarkEnd w:id="108"/>
      <w:r/>
      <w:bookmarkEnd w:id="109"/>
      <w:r>
        <w:rPr>
          <w:rFonts w:hint="eastAsia" w:ascii="宋体" w:hAnsi="宋体" w:eastAsia="宋体" w:cs="Times New Roman"/>
          <w:b/>
          <w:bCs/>
          <w:color w:val="000000"/>
          <w:sz w:val="44"/>
          <w:szCs w:val="44"/>
          <w:highlight w:val="none"/>
        </w:rPr>
      </w:r>
      <w:r/>
    </w:p>
    <w:p>
      <w:pPr>
        <w:pStyle w:val="893"/>
        <w:jc w:val="center"/>
        <w:rPr>
          <w:rFonts w:hint="eastAsia" w:ascii="宋体" w:hAnsi="宋体"/>
          <w:b/>
          <w:color w:val="000000"/>
          <w:sz w:val="72"/>
          <w:highlight w:val="none"/>
        </w:rPr>
      </w:pPr>
      <w:r>
        <w:rPr>
          <w:rFonts w:hint="eastAsia" w:ascii="宋体" w:hAnsi="宋体"/>
          <w:b/>
          <w:color w:val="000000"/>
          <w:sz w:val="72"/>
          <w:highlight w:val="none"/>
        </w:rPr>
      </w:r>
      <w:r/>
    </w:p>
    <w:p>
      <w:pPr>
        <w:pStyle w:val="893"/>
        <w:jc w:val="center"/>
        <w:rPr>
          <w:rFonts w:hint="eastAsia" w:ascii="宋体" w:hAnsi="宋体"/>
          <w:b/>
          <w:color w:val="000000"/>
          <w:sz w:val="72"/>
          <w:highlight w:val="none"/>
        </w:rPr>
      </w:pPr>
      <w:r>
        <w:rPr>
          <w:rFonts w:hint="eastAsia" w:ascii="宋体" w:hAnsi="宋体"/>
          <w:b/>
          <w:color w:val="000000"/>
          <w:sz w:val="72"/>
          <w:highlight w:val="none"/>
        </w:rPr>
      </w:r>
      <w:r/>
    </w:p>
    <w:p>
      <w:pPr>
        <w:pStyle w:val="893"/>
        <w:jc w:val="center"/>
        <w:rPr>
          <w:rFonts w:hint="eastAsia" w:ascii="宋体" w:hAnsi="宋体"/>
          <w:b/>
          <w:color w:val="000000"/>
          <w:sz w:val="72"/>
          <w:highlight w:val="none"/>
        </w:rPr>
      </w:pPr>
      <w:r>
        <w:rPr>
          <w:rFonts w:hint="eastAsia" w:ascii="宋体" w:hAnsi="宋体"/>
          <w:b/>
          <w:color w:val="000000"/>
          <w:sz w:val="72"/>
          <w:highlight w:val="none"/>
        </w:rPr>
      </w:r>
      <w:r/>
    </w:p>
    <w:p>
      <w:pPr>
        <w:pStyle w:val="89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93"/>
        <w:jc w:val="center"/>
        <w:rPr>
          <w:rFonts w:hint="eastAsia" w:ascii="宋体" w:hAnsi="宋体"/>
          <w:b/>
          <w:color w:val="000000"/>
          <w:sz w:val="72"/>
          <w:highlight w:val="none"/>
        </w:rPr>
      </w:pPr>
      <w:r>
        <w:rPr>
          <w:rFonts w:hint="eastAsia" w:ascii="宋体" w:hAnsi="宋体"/>
          <w:b/>
          <w:color w:val="000000"/>
          <w:sz w:val="72"/>
          <w:highlight w:val="none"/>
        </w:rPr>
      </w:r>
      <w:r/>
    </w:p>
    <w:p>
      <w:pPr>
        <w:pStyle w:val="893"/>
        <w:jc w:val="center"/>
        <w:rPr>
          <w:rFonts w:hint="eastAsia" w:ascii="宋体" w:hAnsi="宋体"/>
          <w:b/>
          <w:color w:val="000000"/>
          <w:sz w:val="36"/>
          <w:highlight w:val="none"/>
        </w:rPr>
      </w:pPr>
      <w:r>
        <w:rPr>
          <w:rFonts w:hint="eastAsia" w:ascii="宋体" w:hAnsi="宋体"/>
          <w:b/>
          <w:color w:val="000000"/>
          <w:sz w:val="36"/>
          <w:highlight w:val="none"/>
        </w:rPr>
      </w:r>
      <w:r/>
    </w:p>
    <w:p>
      <w:pPr>
        <w:pStyle w:val="893"/>
        <w:jc w:val="center"/>
        <w:rPr>
          <w:rFonts w:hint="eastAsia" w:ascii="宋体" w:hAnsi="宋体"/>
          <w:b/>
          <w:color w:val="000000"/>
          <w:sz w:val="36"/>
          <w:highlight w:val="none"/>
        </w:rPr>
      </w:pPr>
      <w:r>
        <w:rPr>
          <w:rFonts w:hint="eastAsia" w:ascii="宋体" w:hAnsi="宋体"/>
          <w:b/>
          <w:color w:val="000000"/>
          <w:sz w:val="36"/>
          <w:highlight w:val="none"/>
        </w:rPr>
      </w:r>
      <w:r/>
    </w:p>
    <w:p>
      <w:pPr>
        <w:pStyle w:val="893"/>
        <w:rPr>
          <w:rFonts w:hint="eastAsia" w:ascii="宋体" w:hAnsi="宋体"/>
          <w:b/>
          <w:color w:val="000000"/>
          <w:sz w:val="36"/>
          <w:highlight w:val="none"/>
        </w:rPr>
      </w:pPr>
      <w:r>
        <w:rPr>
          <w:rFonts w:hint="eastAsia" w:ascii="宋体" w:hAnsi="宋体"/>
          <w:b/>
          <w:color w:val="000000"/>
          <w:sz w:val="36"/>
          <w:highlight w:val="none"/>
        </w:rPr>
      </w:r>
      <w:r/>
    </w:p>
    <w:p>
      <w:pPr>
        <w:pStyle w:val="893"/>
        <w:jc w:val="center"/>
        <w:rPr>
          <w:rFonts w:hint="eastAsia" w:ascii="宋体" w:hAnsi="宋体"/>
          <w:b/>
          <w:color w:val="000000"/>
          <w:sz w:val="36"/>
          <w:highlight w:val="none"/>
        </w:rPr>
      </w:pPr>
      <w:r>
        <w:rPr>
          <w:rFonts w:hint="eastAsia" w:ascii="宋体" w:hAnsi="宋体"/>
          <w:b/>
          <w:color w:val="000000"/>
          <w:sz w:val="36"/>
          <w:highlight w:val="none"/>
        </w:rPr>
      </w:r>
      <w:r/>
    </w:p>
    <w:p>
      <w:pPr>
        <w:pStyle w:val="893"/>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93"/>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93"/>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93"/>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93"/>
        <w:ind w:firstLine="1084"/>
        <w:rPr>
          <w:rFonts w:hint="eastAsia"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89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9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9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93"/>
        <w:jc w:val="center"/>
        <w:spacing w:line="440" w:lineRule="exact"/>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投标主要文件目录</w:t>
      </w:r>
      <w:r>
        <w:rPr>
          <w:rFonts w:hint="eastAsia" w:ascii="宋体" w:hAnsi="宋体"/>
          <w:b/>
          <w:bCs/>
          <w:color w:val="000000"/>
          <w:sz w:val="32"/>
          <w:szCs w:val="32"/>
          <w:highlight w:val="none"/>
        </w:rPr>
      </w:r>
      <w:r/>
    </w:p>
    <w:p>
      <w:pPr>
        <w:pStyle w:val="89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9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893"/>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893"/>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893"/>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hint="eastAsia" w:ascii="宋体" w:hAnsi="宋体"/>
          <w:b/>
          <w:bCs/>
          <w:color w:val="000000"/>
          <w:sz w:val="24"/>
          <w:highlight w:val="none"/>
        </w:rPr>
      </w:r>
      <w:r/>
    </w:p>
    <w:p>
      <w:pPr>
        <w:pStyle w:val="8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8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89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七、商务条款响应及偏离表</w:t>
      </w:r>
      <w:r>
        <w:rPr>
          <w:rFonts w:hint="eastAsia" w:ascii="宋体" w:hAnsi="宋体"/>
          <w:color w:val="000000"/>
          <w:sz w:val="24"/>
          <w:highlight w:val="none"/>
        </w:rPr>
      </w:r>
      <w:r/>
    </w:p>
    <w:p>
      <w:pPr>
        <w:pStyle w:val="89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八、其他 （投标人认为有必要提供的声明和文件，如有自拟并自行添加）</w:t>
      </w:r>
      <w:r>
        <w:rPr>
          <w:rFonts w:hint="eastAsia" w:ascii="宋体" w:hAnsi="宋体"/>
          <w:color w:val="000000"/>
          <w:sz w:val="24"/>
          <w:highlight w:val="none"/>
        </w:rPr>
      </w:r>
      <w:r/>
    </w:p>
    <w:p>
      <w:pPr>
        <w:pStyle w:val="893"/>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3"/>
        <w:jc w:val="center"/>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825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586"/>
        <w:gridCol w:w="2019"/>
      </w:tblGrid>
      <w:tr>
        <w:trPr>
          <w:trHeight w:val="647"/>
        </w:trPr>
        <w:tc>
          <w:tcPr>
            <w:tcW w:w="646" w:type="dxa"/>
            <w:vAlign w:val="center"/>
            <w:textDirection w:val="lrTb"/>
            <w:noWrap w:val="false"/>
          </w:tcPr>
          <w:p>
            <w:pPr>
              <w:pStyle w:val="89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586" w:type="dxa"/>
            <w:vAlign w:val="center"/>
            <w:textDirection w:val="lrTb"/>
            <w:noWrap w:val="false"/>
          </w:tcPr>
          <w:p>
            <w:pPr>
              <w:pStyle w:val="89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019" w:type="dxa"/>
            <w:vAlign w:val="center"/>
            <w:textDirection w:val="lrTb"/>
            <w:noWrap w:val="false"/>
          </w:tcPr>
          <w:p>
            <w:pPr>
              <w:pStyle w:val="89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9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446"/>
        </w:trPr>
        <w:tc>
          <w:tcPr>
            <w:gridSpan w:val="3"/>
            <w:tcW w:w="8251" w:type="dxa"/>
            <w:vAlign w:val="center"/>
            <w:textDirection w:val="lrTb"/>
            <w:noWrap w:val="false"/>
          </w:tcPr>
          <w:p>
            <w:pPr>
              <w:pStyle w:val="893"/>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893"/>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586" w:type="dxa"/>
            <w:vAlign w:val="center"/>
            <w:textDirection w:val="lrTb"/>
            <w:noWrap w:val="false"/>
          </w:tcPr>
          <w:p>
            <w:pPr>
              <w:pStyle w:val="893"/>
              <w:jc w:val="both"/>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2019" w:type="dxa"/>
            <w:vAlign w:val="center"/>
            <w:textDirection w:val="lrTb"/>
            <w:noWrap w:val="false"/>
          </w:tcPr>
          <w:p>
            <w:pPr>
              <w:pStyle w:val="893"/>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9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586" w:type="dxa"/>
            <w:vAlign w:val="center"/>
            <w:textDirection w:val="lrTb"/>
            <w:noWrap w:val="false"/>
          </w:tcPr>
          <w:p>
            <w:pPr>
              <w:pStyle w:val="893"/>
              <w:jc w:val="both"/>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上一年度的财务状况报告（成立不满一年无需提供）</w:t>
            </w:r>
            <w:r>
              <w:rPr>
                <w:rFonts w:ascii="宋体" w:hAnsi="宋体"/>
                <w:iCs/>
                <w:color w:val="000000"/>
                <w:szCs w:val="21"/>
                <w:highlight w:val="none"/>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495"/>
        </w:trPr>
        <w:tc>
          <w:tcPr>
            <w:tcW w:w="646" w:type="dxa"/>
            <w:vAlign w:val="center"/>
            <w:textDirection w:val="lrTb"/>
            <w:noWrap w:val="false"/>
          </w:tcPr>
          <w:p>
            <w:pPr>
              <w:pStyle w:val="89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586" w:type="dxa"/>
            <w:vAlign w:val="center"/>
            <w:textDirection w:val="lrTb"/>
            <w:noWrap w:val="false"/>
          </w:tcPr>
          <w:p>
            <w:pPr>
              <w:pStyle w:val="893"/>
              <w:jc w:val="both"/>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iCs/>
                <w:color w:val="000000"/>
                <w:szCs w:val="21"/>
                <w:highlight w:val="none"/>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93"/>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586" w:type="dxa"/>
            <w:vAlign w:val="center"/>
            <w:textDirection w:val="lrTb"/>
            <w:noWrap w:val="false"/>
          </w:tcPr>
          <w:p>
            <w:pPr>
              <w:pStyle w:val="893"/>
              <w:jc w:val="both"/>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具备履行合同所必需的设备和专业技术能力的书面声明</w:t>
            </w:r>
            <w:r>
              <w:rPr>
                <w:rFonts w:ascii="宋体" w:hAnsi="宋体"/>
                <w:iCs/>
                <w:color w:val="000000"/>
                <w:szCs w:val="21"/>
                <w:highlight w:val="none"/>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528"/>
        </w:trPr>
        <w:tc>
          <w:tcPr>
            <w:tcW w:w="646" w:type="dxa"/>
            <w:vAlign w:val="center"/>
            <w:textDirection w:val="lrTb"/>
            <w:noWrap w:val="false"/>
          </w:tcPr>
          <w:p>
            <w:pPr>
              <w:pStyle w:val="893"/>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586" w:type="dxa"/>
            <w:vAlign w:val="center"/>
            <w:textDirection w:val="lrTb"/>
            <w:noWrap w:val="false"/>
          </w:tcPr>
          <w:p>
            <w:pPr>
              <w:pStyle w:val="893"/>
              <w:jc w:val="both"/>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参加政府采购活动前3年内在经营活动中没有重大违法记录的书面声明</w:t>
            </w:r>
            <w:r>
              <w:rPr>
                <w:rFonts w:ascii="宋体" w:hAnsi="宋体"/>
                <w:iCs/>
                <w:color w:val="000000"/>
                <w:szCs w:val="21"/>
                <w:highlight w:val="none"/>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93"/>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586" w:type="dxa"/>
            <w:vAlign w:val="center"/>
            <w:textDirection w:val="lrTb"/>
            <w:noWrap w:val="false"/>
          </w:tcPr>
          <w:p>
            <w:pPr>
              <w:pStyle w:val="893"/>
              <w:jc w:val="both"/>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供应商信用承诺函</w:t>
            </w:r>
            <w:r>
              <w:rPr>
                <w:rFonts w:ascii="宋体" w:hAnsi="宋体"/>
                <w:iCs/>
                <w:color w:val="000000"/>
                <w:szCs w:val="21"/>
                <w:highlight w:val="none"/>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93"/>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7</w:t>
            </w:r>
            <w:r>
              <w:rPr>
                <w:rFonts w:hint="eastAsia" w:ascii="宋体" w:hAnsi="宋体" w:eastAsia="宋体"/>
                <w:color w:val="000000"/>
                <w:szCs w:val="21"/>
                <w:highlight w:val="none"/>
                <w:lang w:val="en-US" w:eastAsia="zh-CN"/>
              </w:rPr>
            </w:r>
            <w:r/>
          </w:p>
        </w:tc>
        <w:tc>
          <w:tcPr>
            <w:tcW w:w="5586" w:type="dxa"/>
            <w:vAlign w:val="center"/>
            <w:textDirection w:val="lrTb"/>
            <w:noWrap w:val="false"/>
          </w:tcPr>
          <w:p>
            <w:pPr>
              <w:pStyle w:val="893"/>
              <w:jc w:val="left"/>
              <w:spacing w:line="0" w:lineRule="atLeast"/>
              <w:rPr>
                <w:rFonts w:hint="eastAsia" w:ascii="宋体" w:hAnsi="宋体" w:cs="宋体"/>
                <w:color w:val="000000"/>
                <w:szCs w:val="21"/>
                <w:highlight w:val="none"/>
              </w:rPr>
            </w:pPr>
            <w:r>
              <w:rPr>
                <w:rFonts w:hint="eastAsia" w:ascii="宋体" w:hAnsi="宋体"/>
                <w:iCs/>
                <w:color w:val="000000"/>
                <w:szCs w:val="21"/>
                <w:highlight w:val="none"/>
              </w:rPr>
              <w:t xml:space="preserve">投标函</w:t>
            </w:r>
            <w:r>
              <w:rPr>
                <w:rFonts w:hint="eastAsia" w:ascii="宋体" w:hAnsi="宋体" w:cs="宋体"/>
                <w:color w:val="000000"/>
                <w:szCs w:val="21"/>
                <w:highlight w:val="none"/>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93"/>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eastAsia="zh-CN"/>
              </w:rPr>
            </w:r>
            <w:r/>
          </w:p>
        </w:tc>
        <w:tc>
          <w:tcPr>
            <w:tcW w:w="5586" w:type="dxa"/>
            <w:vAlign w:val="center"/>
            <w:textDirection w:val="lrTb"/>
            <w:noWrap w:val="false"/>
          </w:tcPr>
          <w:p>
            <w:pPr>
              <w:pStyle w:val="893"/>
              <w:jc w:val="left"/>
              <w:spacing w:line="0" w:lineRule="atLeast"/>
              <w:rPr>
                <w:rFonts w:hint="eastAsia" w:ascii="宋体" w:hAnsi="宋体" w:cs="宋体"/>
                <w:color w:val="000000"/>
                <w:szCs w:val="21"/>
                <w:highlight w:val="none"/>
              </w:rPr>
            </w:pPr>
            <w:r>
              <w:rPr>
                <w:rFonts w:hint="eastAsia" w:ascii="宋体" w:hAnsi="宋体"/>
                <w:iCs/>
                <w:color w:val="000000"/>
                <w:szCs w:val="21"/>
                <w:highlight w:val="none"/>
              </w:rPr>
              <w:t xml:space="preserve">法人授权书</w:t>
            </w:r>
            <w:r>
              <w:rPr>
                <w:rFonts w:hint="eastAsia" w:ascii="宋体" w:hAnsi="宋体" w:cs="宋体"/>
                <w:color w:val="000000"/>
                <w:szCs w:val="21"/>
                <w:highlight w:val="none"/>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93"/>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9</w:t>
            </w:r>
            <w:r>
              <w:rPr>
                <w:rFonts w:ascii="宋体" w:hAnsi="宋体"/>
                <w:color w:val="000000"/>
                <w:szCs w:val="21"/>
                <w:highlight w:val="none"/>
                <w:lang w:val="en-US" w:eastAsia="zh-CN"/>
              </w:rPr>
            </w:r>
            <w:r/>
          </w:p>
        </w:tc>
        <w:tc>
          <w:tcPr>
            <w:tcW w:w="5586" w:type="dxa"/>
            <w:vAlign w:val="center"/>
            <w:textDirection w:val="lrTb"/>
            <w:noWrap w:val="false"/>
          </w:tcPr>
          <w:p>
            <w:pPr>
              <w:pStyle w:val="893"/>
              <w:jc w:val="left"/>
              <w:spacing w:line="0" w:lineRule="atLeast"/>
              <w:rPr>
                <w:rFonts w:hint="eastAsia" w:ascii="宋体" w:hAnsi="宋体"/>
                <w:iCs/>
                <w:color w:val="000000"/>
                <w:szCs w:val="21"/>
                <w:highlight w:val="none"/>
              </w:rPr>
            </w:pPr>
            <w:r>
              <w:rPr>
                <w:rFonts w:hint="eastAsia" w:ascii="宋体" w:hAnsi="宋体"/>
                <w:iCs/>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iCs/>
                <w:color w:val="000000"/>
                <w:szCs w:val="21"/>
                <w:highlight w:val="none"/>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444"/>
        </w:trPr>
        <w:tc>
          <w:tcPr>
            <w:gridSpan w:val="3"/>
            <w:tcW w:w="8251" w:type="dxa"/>
            <w:vAlign w:val="center"/>
            <w:textDirection w:val="lrTb"/>
            <w:noWrap w:val="false"/>
          </w:tcPr>
          <w:p>
            <w:pPr>
              <w:pStyle w:val="893"/>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1326"/>
        </w:trPr>
        <w:tc>
          <w:tcPr>
            <w:tcW w:w="646" w:type="dxa"/>
            <w:vAlign w:val="center"/>
            <w:textDirection w:val="lrTb"/>
            <w:noWrap w:val="false"/>
          </w:tcPr>
          <w:p>
            <w:pPr>
              <w:pStyle w:val="893"/>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eastAsia="zh-CN"/>
              </w:rPr>
            </w:r>
            <w:r/>
          </w:p>
        </w:tc>
        <w:tc>
          <w:tcPr>
            <w:tcW w:w="5586" w:type="dxa"/>
            <w:vAlign w:val="center"/>
            <w:textDirection w:val="lrTb"/>
            <w:noWrap w:val="false"/>
          </w:tcPr>
          <w:p>
            <w:pPr>
              <w:pStyle w:val="893"/>
              <w:spacing w:line="360" w:lineRule="auto"/>
              <w:rPr>
                <w:color w:val="000000"/>
                <w:highlight w:val="none"/>
              </w:rPr>
            </w:pPr>
            <w:r>
              <w:rPr>
                <w:rFonts w:hint="eastAsia" w:ascii="宋体" w:hAnsi="宋体" w:cs="宋体"/>
                <w:color w:val="000000"/>
                <w:szCs w:val="21"/>
                <w:highlight w:val="none"/>
              </w:rPr>
              <w:t xml:space="preserve">根据《政府采购促进中小企业发展管理办法》规定，本项目专门面向中小企业采购。供应商须提供《中小企业声明函》，《中小企业声明函》不符合要求或未提供的，投标文件无效。</w:t>
            </w:r>
            <w:r>
              <w:rPr>
                <w:color w:val="000000"/>
                <w:highlight w:val="none"/>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893"/>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893"/>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5586" w:type="dxa"/>
            <w:vAlign w:val="center"/>
            <w:textDirection w:val="lrTb"/>
            <w:noWrap w:val="false"/>
          </w:tcPr>
          <w:p>
            <w:pPr>
              <w:pStyle w:val="893"/>
              <w:spacing w:line="360" w:lineRule="auto"/>
              <w:rPr>
                <w:rFonts w:hint="eastAsia" w:ascii="宋体" w:hAnsi="宋体" w:eastAsia="宋体"/>
                <w:iCs/>
                <w:color w:val="000000"/>
                <w:szCs w:val="21"/>
                <w:highlight w:val="none"/>
                <w:lang w:val="en-US" w:eastAsia="zh-CN"/>
              </w:rPr>
            </w:pPr>
            <w:r>
              <w:rPr>
                <w:rFonts w:hint="eastAsia" w:ascii="宋体" w:hAnsi="宋体"/>
                <w:iCs/>
                <w:color w:val="000000"/>
                <w:szCs w:val="21"/>
                <w:highlight w:val="none"/>
                <w:u w:val="none"/>
                <w:lang w:val="en-US" w:eastAsia="zh-CN"/>
              </w:rPr>
              <w:t xml:space="preserve">本项目的特定资格要求：投标人具有类似公租房运营管理或保障房管理服务业绩。（提供合同原件扫描上传）</w:t>
            </w:r>
            <w:r>
              <w:rPr>
                <w:rFonts w:hint="eastAsia" w:ascii="宋体" w:hAnsi="宋体" w:eastAsia="宋体"/>
                <w:iCs/>
                <w:color w:val="000000"/>
                <w:szCs w:val="21"/>
                <w:highlight w:val="none"/>
                <w:lang w:val="en-US" w:eastAsia="zh-CN"/>
              </w:rPr>
            </w:r>
            <w:r/>
          </w:p>
        </w:tc>
        <w:tc>
          <w:tcPr>
            <w:tcW w:w="2019"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bl>
    <w:p>
      <w:pPr>
        <w:pStyle w:val="893"/>
        <w:jc w:val="center"/>
        <w:spacing w:before="156" w:after="156" w:line="360" w:lineRule="auto"/>
        <w:rPr>
          <w:rFonts w:hint="eastAsia"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89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89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9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9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893"/>
        <w:spacing w:line="360" w:lineRule="auto"/>
        <w:rPr>
          <w:rFonts w:ascii="宋体" w:hAnsi="宋体"/>
          <w:color w:val="000000"/>
          <w:highlight w:val="none"/>
        </w:rPr>
      </w:pPr>
      <w:r>
        <w:rPr>
          <w:rFonts w:ascii="宋体" w:hAnsi="宋体"/>
          <w:color w:val="000000"/>
          <w:highlight w:val="none"/>
        </w:rPr>
      </w:r>
      <w:r/>
    </w:p>
    <w:p>
      <w:pPr>
        <w:pStyle w:val="893"/>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893"/>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893"/>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893"/>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893"/>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93"/>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b/>
          <w:bCs/>
          <w:color w:val="000000"/>
          <w:highlight w:val="none"/>
        </w:rPr>
        <w:br w:type="page" w:clear="all"/>
      </w:r>
      <w:r>
        <w:rPr>
          <w:rFonts w:hint="eastAsia" w:ascii="宋体" w:hAnsi="宋体" w:cs="宋体"/>
          <w:b/>
          <w:bCs/>
          <w:color w:val="000000"/>
          <w:szCs w:val="21"/>
          <w:highlight w:val="none"/>
        </w:rPr>
        <w:t xml:space="preserve">供应商信用承诺书</w:t>
      </w:r>
      <w:r>
        <w:rPr>
          <w:rFonts w:hint="eastAsia" w:ascii="宋体" w:hAnsi="宋体" w:cs="宋体"/>
          <w:color w:val="000000"/>
          <w:szCs w:val="21"/>
          <w:highlight w:val="none"/>
        </w:rPr>
      </w:r>
      <w:r/>
    </w:p>
    <w:p>
      <w:pPr>
        <w:pStyle w:val="893"/>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承诺主体名称：</w:t>
      </w:r>
      <w:r>
        <w:rPr>
          <w:rFonts w:hint="eastAsia" w:ascii="宋体" w:hAnsi="宋体" w:cs="宋体"/>
          <w:color w:val="000000"/>
          <w:szCs w:val="21"/>
          <w:highlight w:val="none"/>
        </w:rPr>
      </w:r>
      <w:r/>
    </w:p>
    <w:p>
      <w:pPr>
        <w:pStyle w:val="893"/>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rPr>
      </w:r>
      <w:r/>
    </w:p>
    <w:p>
      <w:pPr>
        <w:pStyle w:val="893"/>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rPr>
          <w:rFonts w:hint="eastAsia" w:ascii="宋体" w:hAnsi="宋体" w:cs="宋体"/>
          <w:color w:val="000000"/>
          <w:szCs w:val="21"/>
          <w:highlight w:val="none"/>
        </w:rPr>
      </w:r>
      <w:r/>
    </w:p>
    <w:p>
      <w:pPr>
        <w:pStyle w:val="89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（注：法定代表人或负责人、主体名称发生变更的应当重新做出承诺。）</w:t>
      </w:r>
      <w:r>
        <w:rPr>
          <w:rFonts w:hint="eastAsia" w:ascii="宋体" w:hAnsi="宋体" w:cs="宋体"/>
          <w:color w:val="000000"/>
          <w:szCs w:val="21"/>
          <w:highlight w:val="none"/>
        </w:rPr>
      </w:r>
      <w:r/>
    </w:p>
    <w:p>
      <w:pPr>
        <w:pStyle w:val="893"/>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893"/>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承诺单位（签章）：           </w:t>
      </w:r>
      <w:r>
        <w:rPr>
          <w:rFonts w:hint="eastAsia" w:ascii="宋体" w:hAnsi="宋体" w:cs="宋体"/>
          <w:color w:val="000000"/>
          <w:szCs w:val="21"/>
          <w:highlight w:val="none"/>
        </w:rPr>
      </w:r>
      <w:r/>
    </w:p>
    <w:p>
      <w:pPr>
        <w:pStyle w:val="893"/>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法定代表人（负责人）：</w:t>
      </w:r>
      <w:r>
        <w:rPr>
          <w:rFonts w:hint="eastAsia" w:ascii="宋体" w:hAnsi="宋体" w:cs="宋体"/>
          <w:color w:val="000000"/>
          <w:szCs w:val="21"/>
          <w:highlight w:val="none"/>
        </w:rPr>
      </w:r>
      <w:r/>
    </w:p>
    <w:p>
      <w:pPr>
        <w:pStyle w:val="893"/>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rPr>
          <w:rFonts w:hint="eastAsia" w:ascii="宋体" w:hAnsi="宋体" w:cs="宋体"/>
          <w:color w:val="000000"/>
          <w:szCs w:val="21"/>
          <w:highlight w:val="none"/>
        </w:rPr>
      </w:r>
      <w:r/>
    </w:p>
    <w:p>
      <w:pPr>
        <w:pStyle w:val="893"/>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投标函格式</w:t>
      </w:r>
      <w:r>
        <w:rPr>
          <w:rFonts w:ascii="宋体" w:hAnsi="宋体"/>
          <w:b/>
          <w:bCs/>
          <w:color w:val="000000"/>
          <w:highlight w:val="none"/>
        </w:rPr>
      </w:r>
      <w:r/>
    </w:p>
    <w:p>
      <w:pPr>
        <w:pStyle w:val="924"/>
        <w:ind w:firstLine="0"/>
        <w:spacing w:before="0" w:after="0"/>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lang w:eastAsia="zh-CN"/>
        </w:rPr>
        <w:t xml:space="preserve">江苏时代投资咨询有限公司</w:t>
      </w:r>
      <w:r>
        <w:rPr>
          <w:rFonts w:hint="eastAsia" w:ascii="宋体" w:hAnsi="宋体" w:eastAsia="宋体"/>
          <w:color w:val="000000"/>
          <w:sz w:val="21"/>
          <w:szCs w:val="21"/>
          <w:highlight w:val="none"/>
          <w:lang w:eastAsia="zh-CN"/>
        </w:rPr>
      </w:r>
      <w:r/>
    </w:p>
    <w:p>
      <w:pPr>
        <w:pStyle w:val="92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2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2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2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2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2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2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2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24"/>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2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2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2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2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2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2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2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2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893"/>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2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2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25"/>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2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25"/>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25"/>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w:t>
      </w:r>
      <w:r>
        <w:rPr>
          <w:rFonts w:ascii="宋体" w:hAnsi="宋体"/>
          <w:color w:val="000000"/>
          <w:sz w:val="21"/>
          <w:szCs w:val="21"/>
          <w:highlight w:val="none"/>
        </w:rPr>
      </w:r>
      <w:r/>
    </w:p>
    <w:p>
      <w:pPr>
        <w:pStyle w:val="925"/>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25"/>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893"/>
        <w:spacing w:line="460" w:lineRule="exact"/>
        <w:rPr>
          <w:rFonts w:ascii="宋体" w:hAnsi="宋体"/>
          <w:bCs/>
          <w:color w:val="000000"/>
          <w:highlight w:val="none"/>
        </w:rPr>
      </w:pPr>
      <w:r>
        <w:rPr>
          <w:rFonts w:ascii="宋体" w:hAnsi="宋体"/>
          <w:bCs/>
          <w:color w:val="000000"/>
          <w:highlight w:val="none"/>
        </w:rPr>
      </w:r>
      <w:r/>
    </w:p>
    <w:p>
      <w:pPr>
        <w:pStyle w:val="893"/>
        <w:spacing w:line="460" w:lineRule="exact"/>
        <w:rPr>
          <w:rFonts w:ascii="宋体" w:hAnsi="宋体"/>
          <w:bCs/>
          <w:color w:val="000000"/>
          <w:sz w:val="24"/>
          <w:highlight w:val="none"/>
        </w:rPr>
      </w:pPr>
      <w:r>
        <w:rPr>
          <w:rFonts w:ascii="宋体" w:hAnsi="宋体"/>
          <w:bCs/>
          <w:color w:val="000000"/>
          <w:sz w:val="24"/>
          <w:highlight w:val="none"/>
        </w:rPr>
      </w:r>
      <w:r/>
    </w:p>
    <w:p>
      <w:pPr>
        <w:pStyle w:val="893"/>
        <w:ind w:firstLine="420"/>
        <w:spacing w:line="460" w:lineRule="exact"/>
        <w:rPr>
          <w:rFonts w:ascii="宋体" w:hAnsi="宋体"/>
          <w:bCs/>
          <w:color w:val="000000"/>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893"/>
        <w:numPr>
          <w:ilvl w:val="0"/>
          <w:numId w:val="4"/>
        </w:numPr>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tbl>
      <w:tblPr>
        <w:tblpPr w:horzAnchor="page" w:tblpX="1763" w:vertAnchor="text" w:tblpY="617"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893"/>
              <w:jc w:val="center"/>
              <w:spacing w:line="240" w:lineRule="atLeast"/>
              <w:rPr>
                <w:rFonts w:ascii="幼圆" w:eastAsia="幼圆"/>
                <w:b/>
                <w:color w:val="000000"/>
                <w:szCs w:val="21"/>
                <w:highlight w:val="none"/>
              </w:rPr>
              <w:framePr w:vAnchor="text" w:hAnchor="page" w:x="1763" w:y="617"/>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2999" w:type="dxa"/>
            <w:vAlign w:val="center"/>
            <w:textDirection w:val="lrTb"/>
            <w:noWrap w:val="false"/>
          </w:tcPr>
          <w:p>
            <w:pPr>
              <w:pStyle w:val="893"/>
              <w:jc w:val="center"/>
              <w:spacing w:line="240" w:lineRule="atLeast"/>
              <w:rPr>
                <w:rFonts w:ascii="幼圆" w:eastAsia="幼圆"/>
                <w:b/>
                <w:color w:val="000000"/>
                <w:szCs w:val="21"/>
                <w:highlight w:val="none"/>
              </w:rPr>
              <w:framePr w:vAnchor="text" w:hAnchor="page" w:x="1763" w:y="617"/>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924" w:type="dxa"/>
            <w:vAlign w:val="center"/>
            <w:textDirection w:val="lrTb"/>
            <w:noWrap w:val="false"/>
          </w:tcPr>
          <w:p>
            <w:pPr>
              <w:pStyle w:val="893"/>
              <w:jc w:val="center"/>
              <w:spacing w:line="240" w:lineRule="atLeast"/>
              <w:rPr>
                <w:rFonts w:hint="eastAsia" w:ascii="宋体" w:hAnsi="宋体" w:cs="宋体"/>
                <w:b/>
                <w:color w:val="000000"/>
                <w:szCs w:val="21"/>
                <w:highlight w:val="none"/>
              </w:rPr>
              <w:framePr w:vAnchor="text" w:hAnchor="page" w:x="1763" w:y="617"/>
            </w:pPr>
            <w:r>
              <w:rPr>
                <w:rFonts w:hint="eastAsia" w:ascii="宋体" w:hAnsi="宋体" w:cs="宋体"/>
                <w:b/>
                <w:color w:val="000000"/>
                <w:szCs w:val="21"/>
                <w:highlight w:val="none"/>
              </w:rPr>
              <w:t xml:space="preserve">是否响应</w:t>
            </w:r>
            <w:r>
              <w:rPr>
                <w:rFonts w:hint="eastAsia" w:ascii="宋体" w:hAnsi="宋体" w:cs="宋体"/>
                <w:b/>
                <w:color w:val="000000"/>
                <w:szCs w:val="21"/>
                <w:highlight w:val="none"/>
              </w:rPr>
            </w:r>
            <w:r/>
          </w:p>
          <w:p>
            <w:pPr>
              <w:pStyle w:val="893"/>
              <w:jc w:val="center"/>
              <w:spacing w:line="240" w:lineRule="atLeast"/>
              <w:rPr>
                <w:rFonts w:ascii="幼圆" w:eastAsia="幼圆"/>
                <w:b/>
                <w:color w:val="000000"/>
                <w:szCs w:val="21"/>
                <w:highlight w:val="none"/>
              </w:rPr>
              <w:framePr w:vAnchor="text" w:hAnchor="page" w:x="1763" w:y="617"/>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720" w:type="dxa"/>
            <w:vAlign w:val="center"/>
            <w:textDirection w:val="lrTb"/>
            <w:noWrap w:val="false"/>
          </w:tcPr>
          <w:p>
            <w:pPr>
              <w:pStyle w:val="893"/>
              <w:jc w:val="center"/>
              <w:spacing w:line="240" w:lineRule="atLeast"/>
              <w:rPr>
                <w:rFonts w:ascii="幼圆" w:eastAsia="幼圆"/>
                <w:b/>
                <w:color w:val="000000"/>
                <w:szCs w:val="21"/>
                <w:highlight w:val="none"/>
              </w:rPr>
              <w:framePr w:vAnchor="text" w:hAnchor="page" w:x="1763" w:y="617"/>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355" w:type="dxa"/>
            <w:vAlign w:val="center"/>
            <w:textDirection w:val="lrTb"/>
            <w:noWrap w:val="false"/>
          </w:tcPr>
          <w:p>
            <w:pPr>
              <w:pStyle w:val="893"/>
              <w:jc w:val="center"/>
              <w:rPr>
                <w:rFonts w:ascii="宋体" w:hAnsi="宋体"/>
                <w:b/>
                <w:color w:val="000000"/>
                <w:szCs w:val="21"/>
                <w:highlight w:val="none"/>
              </w:rPr>
              <w:framePr w:vAnchor="text" w:hAnchor="page" w:x="1763" w:y="617"/>
            </w:pPr>
            <w:r>
              <w:rPr>
                <w:rFonts w:hint="eastAsia" w:ascii="宋体" w:hAnsi="宋体"/>
                <w:b/>
                <w:color w:val="000000"/>
                <w:szCs w:val="21"/>
                <w:highlight w:val="none"/>
              </w:rPr>
              <w:t xml:space="preserve">1</w:t>
            </w:r>
            <w:r>
              <w:rPr>
                <w:rFonts w:ascii="宋体" w:hAnsi="宋体"/>
                <w:b/>
                <w:color w:val="000000"/>
                <w:szCs w:val="21"/>
                <w:highlight w:val="none"/>
              </w:rPr>
            </w:r>
            <w:r/>
          </w:p>
        </w:tc>
        <w:tc>
          <w:tcPr>
            <w:tcW w:w="2999" w:type="dxa"/>
            <w:vAlign w:val="center"/>
            <w:textDirection w:val="lrTb"/>
            <w:noWrap w:val="false"/>
          </w:tcPr>
          <w:p>
            <w:pPr>
              <w:pStyle w:val="893"/>
              <w:spacing w:line="0" w:lineRule="atLeast"/>
              <w:rPr>
                <w:rFonts w:ascii="宋体" w:hAnsi="宋体"/>
                <w:iCs/>
                <w:color w:val="000000"/>
                <w:szCs w:val="21"/>
                <w:highlight w:val="none"/>
              </w:rPr>
              <w:framePr w:vAnchor="text" w:hAnchor="page" w:x="1763" w:y="617"/>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924" w:type="dxa"/>
            <w:vAlign w:val="center"/>
            <w:textDirection w:val="lrTb"/>
            <w:noWrap w:val="false"/>
          </w:tcPr>
          <w:p>
            <w:pPr>
              <w:pStyle w:val="893"/>
              <w:rPr>
                <w:rFonts w:ascii="宋体" w:hAnsi="宋体"/>
                <w:b/>
                <w:color w:val="000000"/>
                <w:szCs w:val="21"/>
                <w:highlight w:val="none"/>
              </w:rPr>
              <w:framePr w:vAnchor="text" w:hAnchor="page" w:x="1763" w:y="617"/>
            </w:pPr>
            <w:r>
              <w:rPr>
                <w:rFonts w:ascii="宋体" w:hAnsi="宋体"/>
                <w:b/>
                <w:color w:val="000000"/>
                <w:szCs w:val="21"/>
                <w:highlight w:val="none"/>
              </w:rPr>
            </w:r>
            <w:r/>
          </w:p>
        </w:tc>
        <w:tc>
          <w:tcPr>
            <w:tcW w:w="720" w:type="dxa"/>
            <w:vAlign w:val="center"/>
            <w:textDirection w:val="lrTb"/>
            <w:noWrap w:val="false"/>
          </w:tcPr>
          <w:p>
            <w:pPr>
              <w:pStyle w:val="893"/>
              <w:rPr>
                <w:rFonts w:ascii="宋体" w:hAnsi="宋体"/>
                <w:b/>
                <w:color w:val="000000"/>
                <w:szCs w:val="21"/>
                <w:highlight w:val="none"/>
              </w:rPr>
              <w:framePr w:vAnchor="text" w:hAnchor="page" w:x="1763" w:y="617"/>
            </w:pPr>
            <w:r>
              <w:rPr>
                <w:rFonts w:ascii="宋体" w:hAnsi="宋体"/>
                <w:b/>
                <w:color w:val="000000"/>
                <w:szCs w:val="21"/>
                <w:highlight w:val="none"/>
              </w:rPr>
            </w:r>
            <w:r/>
          </w:p>
        </w:tc>
      </w:tr>
      <w:tr>
        <w:trPr>
          <w:trHeight w:val="585"/>
        </w:trPr>
        <w:tc>
          <w:tcPr>
            <w:tcW w:w="355" w:type="dxa"/>
            <w:vAlign w:val="center"/>
            <w:textDirection w:val="lrTb"/>
            <w:noWrap w:val="false"/>
          </w:tcPr>
          <w:p>
            <w:pPr>
              <w:pStyle w:val="893"/>
              <w:jc w:val="center"/>
              <w:rPr>
                <w:rFonts w:ascii="宋体" w:hAnsi="宋体"/>
                <w:color w:val="000000"/>
                <w:szCs w:val="21"/>
                <w:highlight w:val="none"/>
              </w:rPr>
              <w:framePr w:vAnchor="text" w:hAnchor="page" w:x="1763" w:y="617"/>
            </w:pPr>
            <w:r>
              <w:rPr>
                <w:rFonts w:hint="eastAsia" w:ascii="宋体" w:hAnsi="宋体"/>
                <w:color w:val="000000"/>
                <w:szCs w:val="21"/>
                <w:highlight w:val="none"/>
              </w:rPr>
              <w:t xml:space="preserve">2</w:t>
            </w:r>
            <w:r>
              <w:rPr>
                <w:rFonts w:ascii="宋体" w:hAnsi="宋体"/>
                <w:color w:val="000000"/>
                <w:szCs w:val="21"/>
                <w:highlight w:val="none"/>
              </w:rPr>
            </w:r>
            <w:r/>
          </w:p>
        </w:tc>
        <w:tc>
          <w:tcPr>
            <w:tcW w:w="2999" w:type="dxa"/>
            <w:vAlign w:val="center"/>
            <w:textDirection w:val="lrTb"/>
            <w:noWrap w:val="false"/>
          </w:tcPr>
          <w:p>
            <w:pPr>
              <w:pStyle w:val="893"/>
              <w:spacing w:line="0" w:lineRule="atLeast"/>
              <w:rPr>
                <w:rFonts w:ascii="宋体" w:hAnsi="宋体"/>
                <w:iCs/>
                <w:color w:val="000000"/>
                <w:szCs w:val="21"/>
                <w:highlight w:val="none"/>
              </w:rPr>
              <w:framePr w:vAnchor="text" w:hAnchor="page" w:x="1763" w:y="617"/>
            </w:pPr>
            <w:r>
              <w:rPr>
                <w:rFonts w:ascii="宋体" w:hAnsi="宋体"/>
                <w:iCs/>
                <w:color w:val="000000"/>
                <w:szCs w:val="21"/>
                <w:highlight w:val="none"/>
              </w:rPr>
            </w:r>
            <w:r/>
          </w:p>
        </w:tc>
        <w:tc>
          <w:tcPr>
            <w:tcW w:w="924" w:type="dxa"/>
            <w:vAlign w:val="center"/>
            <w:textDirection w:val="lrTb"/>
            <w:noWrap w:val="false"/>
          </w:tcPr>
          <w:p>
            <w:pPr>
              <w:pStyle w:val="893"/>
              <w:rPr>
                <w:rFonts w:ascii="宋体" w:hAnsi="宋体"/>
                <w:color w:val="000000"/>
                <w:szCs w:val="21"/>
                <w:highlight w:val="none"/>
              </w:rPr>
              <w:framePr w:vAnchor="text" w:hAnchor="page" w:x="1763" w:y="617"/>
            </w:pPr>
            <w:r>
              <w:rPr>
                <w:rFonts w:ascii="宋体" w:hAnsi="宋体"/>
                <w:color w:val="000000"/>
                <w:szCs w:val="21"/>
                <w:highlight w:val="none"/>
              </w:rPr>
            </w:r>
            <w:r/>
          </w:p>
        </w:tc>
        <w:tc>
          <w:tcPr>
            <w:tcW w:w="720" w:type="dxa"/>
            <w:vAlign w:val="center"/>
            <w:textDirection w:val="lrTb"/>
            <w:noWrap w:val="false"/>
          </w:tcPr>
          <w:p>
            <w:pPr>
              <w:pStyle w:val="893"/>
              <w:rPr>
                <w:rFonts w:ascii="宋体" w:hAnsi="宋体"/>
                <w:color w:val="000000"/>
                <w:szCs w:val="21"/>
                <w:highlight w:val="none"/>
              </w:rPr>
              <w:framePr w:vAnchor="text" w:hAnchor="page" w:x="1763" w:y="617"/>
            </w:pPr>
            <w:r>
              <w:rPr>
                <w:rFonts w:ascii="宋体" w:hAnsi="宋体"/>
                <w:color w:val="000000"/>
                <w:szCs w:val="21"/>
                <w:highlight w:val="none"/>
              </w:rPr>
            </w:r>
            <w:r/>
          </w:p>
        </w:tc>
      </w:tr>
      <w:tr>
        <w:trPr>
          <w:trHeight w:val="585"/>
        </w:trPr>
        <w:tc>
          <w:tcPr>
            <w:tcW w:w="355" w:type="dxa"/>
            <w:vAlign w:val="center"/>
            <w:textDirection w:val="lrTb"/>
            <w:noWrap w:val="false"/>
          </w:tcPr>
          <w:p>
            <w:pPr>
              <w:pStyle w:val="893"/>
              <w:jc w:val="center"/>
              <w:rPr>
                <w:rFonts w:ascii="宋体" w:hAnsi="宋体"/>
                <w:color w:val="000000"/>
                <w:szCs w:val="21"/>
                <w:highlight w:val="none"/>
              </w:rPr>
              <w:framePr w:vAnchor="text" w:hAnchor="page" w:x="1763" w:y="617"/>
            </w:pPr>
            <w:r>
              <w:rPr>
                <w:rFonts w:hint="eastAsia" w:ascii="宋体" w:hAnsi="宋体"/>
                <w:color w:val="000000"/>
                <w:szCs w:val="21"/>
                <w:highlight w:val="none"/>
              </w:rPr>
              <w:t xml:space="preserve">3</w:t>
            </w:r>
            <w:r>
              <w:rPr>
                <w:rFonts w:ascii="宋体" w:hAnsi="宋体"/>
                <w:color w:val="000000"/>
                <w:szCs w:val="21"/>
                <w:highlight w:val="none"/>
              </w:rPr>
            </w:r>
            <w:r/>
          </w:p>
        </w:tc>
        <w:tc>
          <w:tcPr>
            <w:tcW w:w="2999" w:type="dxa"/>
            <w:vAlign w:val="center"/>
            <w:textDirection w:val="lrTb"/>
            <w:noWrap w:val="false"/>
          </w:tcPr>
          <w:p>
            <w:pPr>
              <w:pStyle w:val="893"/>
              <w:spacing w:line="0" w:lineRule="atLeast"/>
              <w:rPr>
                <w:rFonts w:hint="eastAsia" w:ascii="宋体" w:hAnsi="宋体"/>
                <w:iCs/>
                <w:color w:val="000000"/>
                <w:szCs w:val="21"/>
                <w:highlight w:val="none"/>
              </w:rPr>
              <w:framePr w:vAnchor="text" w:hAnchor="page" w:x="1763" w:y="617"/>
            </w:pPr>
            <w:r>
              <w:rPr>
                <w:rFonts w:hint="eastAsia" w:ascii="宋体" w:hAnsi="宋体"/>
                <w:iCs/>
                <w:color w:val="000000"/>
                <w:szCs w:val="21"/>
                <w:highlight w:val="none"/>
              </w:rPr>
            </w:r>
            <w:r/>
          </w:p>
        </w:tc>
        <w:tc>
          <w:tcPr>
            <w:tcW w:w="924" w:type="dxa"/>
            <w:vAlign w:val="center"/>
            <w:textDirection w:val="lrTb"/>
            <w:noWrap w:val="false"/>
          </w:tcPr>
          <w:p>
            <w:pPr>
              <w:pStyle w:val="893"/>
              <w:rPr>
                <w:rFonts w:ascii="宋体" w:hAnsi="宋体"/>
                <w:color w:val="000000"/>
                <w:szCs w:val="21"/>
                <w:highlight w:val="none"/>
              </w:rPr>
              <w:framePr w:vAnchor="text" w:hAnchor="page" w:x="1763" w:y="617"/>
            </w:pPr>
            <w:r>
              <w:rPr>
                <w:rFonts w:ascii="宋体" w:hAnsi="宋体"/>
                <w:color w:val="000000"/>
                <w:szCs w:val="21"/>
                <w:highlight w:val="none"/>
              </w:rPr>
            </w:r>
            <w:r/>
          </w:p>
        </w:tc>
        <w:tc>
          <w:tcPr>
            <w:tcW w:w="720" w:type="dxa"/>
            <w:vAlign w:val="center"/>
            <w:textDirection w:val="lrTb"/>
            <w:noWrap w:val="false"/>
          </w:tcPr>
          <w:p>
            <w:pPr>
              <w:pStyle w:val="893"/>
              <w:rPr>
                <w:rFonts w:ascii="宋体" w:hAnsi="宋体"/>
                <w:color w:val="000000"/>
                <w:szCs w:val="21"/>
                <w:highlight w:val="none"/>
              </w:rPr>
              <w:framePr w:vAnchor="text" w:hAnchor="page" w:x="1763" w:y="617"/>
            </w:pPr>
            <w:r>
              <w:rPr>
                <w:rFonts w:ascii="宋体" w:hAnsi="宋体"/>
                <w:color w:val="000000"/>
                <w:szCs w:val="21"/>
                <w:highlight w:val="none"/>
              </w:rPr>
            </w:r>
            <w:r/>
          </w:p>
        </w:tc>
      </w:tr>
      <w:tr>
        <w:trPr>
          <w:trHeight w:val="417"/>
        </w:trPr>
        <w:tc>
          <w:tcPr>
            <w:tcW w:w="355" w:type="dxa"/>
            <w:vAlign w:val="center"/>
            <w:textDirection w:val="lrTb"/>
            <w:noWrap w:val="false"/>
          </w:tcPr>
          <w:p>
            <w:pPr>
              <w:pStyle w:val="893"/>
              <w:jc w:val="center"/>
              <w:rPr>
                <w:rFonts w:ascii="宋体" w:hAnsi="宋体"/>
                <w:color w:val="000000"/>
                <w:szCs w:val="21"/>
                <w:highlight w:val="none"/>
              </w:rPr>
              <w:framePr w:vAnchor="text" w:hAnchor="page" w:x="1763" w:y="617"/>
            </w:pPr>
            <w:r>
              <w:rPr>
                <w:rFonts w:hint="eastAsia" w:ascii="宋体" w:hAnsi="宋体"/>
                <w:color w:val="000000"/>
                <w:szCs w:val="21"/>
                <w:highlight w:val="none"/>
              </w:rPr>
              <w:t xml:space="preserve">4</w:t>
            </w:r>
            <w:r>
              <w:rPr>
                <w:rFonts w:ascii="宋体" w:hAnsi="宋体"/>
                <w:color w:val="000000"/>
                <w:szCs w:val="21"/>
                <w:highlight w:val="none"/>
              </w:rPr>
            </w:r>
            <w:r/>
          </w:p>
        </w:tc>
        <w:tc>
          <w:tcPr>
            <w:tcW w:w="2999" w:type="dxa"/>
            <w:vAlign w:val="center"/>
            <w:textDirection w:val="lrTb"/>
            <w:noWrap w:val="false"/>
          </w:tcPr>
          <w:p>
            <w:pPr>
              <w:pStyle w:val="893"/>
              <w:spacing w:line="0" w:lineRule="atLeast"/>
              <w:rPr>
                <w:rFonts w:hint="eastAsia" w:ascii="宋体" w:hAnsi="宋体"/>
                <w:iCs/>
                <w:color w:val="000000"/>
                <w:szCs w:val="21"/>
                <w:highlight w:val="none"/>
              </w:rPr>
              <w:framePr w:vAnchor="text" w:hAnchor="page" w:x="1763" w:y="617"/>
            </w:pPr>
            <w:r>
              <w:rPr>
                <w:rFonts w:hint="eastAsia" w:ascii="宋体" w:hAnsi="宋体"/>
                <w:iCs/>
                <w:color w:val="000000"/>
                <w:szCs w:val="21"/>
                <w:highlight w:val="none"/>
              </w:rPr>
            </w:r>
            <w:r/>
          </w:p>
        </w:tc>
        <w:tc>
          <w:tcPr>
            <w:tcW w:w="924" w:type="dxa"/>
            <w:vAlign w:val="center"/>
            <w:textDirection w:val="lrTb"/>
            <w:noWrap w:val="false"/>
          </w:tcPr>
          <w:p>
            <w:pPr>
              <w:pStyle w:val="893"/>
              <w:rPr>
                <w:rFonts w:ascii="宋体" w:hAnsi="宋体"/>
                <w:color w:val="000000"/>
                <w:szCs w:val="21"/>
                <w:highlight w:val="none"/>
              </w:rPr>
              <w:framePr w:vAnchor="text" w:hAnchor="page" w:x="1763" w:y="617"/>
            </w:pPr>
            <w:r>
              <w:rPr>
                <w:rFonts w:ascii="宋体" w:hAnsi="宋体"/>
                <w:color w:val="000000"/>
                <w:szCs w:val="21"/>
                <w:highlight w:val="none"/>
              </w:rPr>
            </w:r>
            <w:r/>
          </w:p>
        </w:tc>
        <w:tc>
          <w:tcPr>
            <w:tcW w:w="720" w:type="dxa"/>
            <w:vAlign w:val="center"/>
            <w:textDirection w:val="lrTb"/>
            <w:noWrap w:val="false"/>
          </w:tcPr>
          <w:p>
            <w:pPr>
              <w:pStyle w:val="893"/>
              <w:rPr>
                <w:rFonts w:ascii="宋体" w:hAnsi="宋体"/>
                <w:color w:val="000000"/>
                <w:szCs w:val="21"/>
                <w:highlight w:val="none"/>
              </w:rPr>
              <w:framePr w:vAnchor="text" w:hAnchor="page" w:x="1763" w:y="617"/>
            </w:pPr>
            <w:r>
              <w:rPr>
                <w:rFonts w:ascii="宋体" w:hAnsi="宋体"/>
                <w:color w:val="000000"/>
                <w:szCs w:val="21"/>
                <w:highlight w:val="none"/>
              </w:rPr>
            </w:r>
            <w:r/>
          </w:p>
        </w:tc>
      </w:tr>
      <w:tr>
        <w:trPr>
          <w:trHeight w:val="780"/>
        </w:trPr>
        <w:tc>
          <w:tcPr>
            <w:tcW w:w="355" w:type="dxa"/>
            <w:vAlign w:val="center"/>
            <w:textDirection w:val="lrTb"/>
            <w:noWrap w:val="false"/>
          </w:tcPr>
          <w:p>
            <w:pPr>
              <w:pStyle w:val="893"/>
              <w:jc w:val="center"/>
              <w:rPr>
                <w:rFonts w:ascii="宋体" w:hAnsi="宋体"/>
                <w:color w:val="000000"/>
                <w:szCs w:val="21"/>
                <w:highlight w:val="none"/>
              </w:rPr>
              <w:framePr w:vAnchor="text" w:hAnchor="page" w:x="1763" w:y="617"/>
            </w:pPr>
            <w:r>
              <w:rPr>
                <w:rFonts w:hint="eastAsia" w:ascii="宋体" w:hAnsi="宋体"/>
                <w:color w:val="000000"/>
                <w:szCs w:val="21"/>
                <w:highlight w:val="none"/>
              </w:rPr>
              <w:t xml:space="preserve">5</w:t>
            </w:r>
            <w:r>
              <w:rPr>
                <w:rFonts w:ascii="宋体" w:hAnsi="宋体"/>
                <w:color w:val="000000"/>
                <w:szCs w:val="21"/>
                <w:highlight w:val="none"/>
              </w:rPr>
            </w:r>
            <w:r/>
          </w:p>
        </w:tc>
        <w:tc>
          <w:tcPr>
            <w:tcW w:w="2999" w:type="dxa"/>
            <w:vAlign w:val="center"/>
            <w:textDirection w:val="lrTb"/>
            <w:noWrap w:val="false"/>
          </w:tcPr>
          <w:p>
            <w:pPr>
              <w:pStyle w:val="893"/>
              <w:spacing w:line="0" w:lineRule="atLeast"/>
              <w:rPr>
                <w:rFonts w:ascii="宋体" w:hAnsi="宋体"/>
                <w:iCs/>
                <w:color w:val="000000"/>
                <w:szCs w:val="21"/>
                <w:highlight w:val="none"/>
              </w:rPr>
              <w:framePr w:vAnchor="text" w:hAnchor="page" w:x="1763" w:y="617"/>
            </w:pPr>
            <w:r>
              <w:rPr>
                <w:rFonts w:ascii="宋体" w:hAnsi="宋体"/>
                <w:iCs/>
                <w:color w:val="000000"/>
                <w:szCs w:val="21"/>
                <w:highlight w:val="none"/>
              </w:rPr>
              <w:t xml:space="preserve">……</w:t>
            </w:r>
            <w:r>
              <w:rPr>
                <w:rFonts w:ascii="宋体" w:hAnsi="宋体"/>
                <w:iCs/>
                <w:color w:val="000000"/>
                <w:szCs w:val="21"/>
                <w:highlight w:val="none"/>
              </w:rPr>
            </w:r>
            <w:r/>
          </w:p>
        </w:tc>
        <w:tc>
          <w:tcPr>
            <w:tcW w:w="924" w:type="dxa"/>
            <w:vAlign w:val="center"/>
            <w:textDirection w:val="lrTb"/>
            <w:noWrap w:val="false"/>
          </w:tcPr>
          <w:p>
            <w:pPr>
              <w:pStyle w:val="893"/>
              <w:rPr>
                <w:rFonts w:ascii="宋体" w:hAnsi="宋体"/>
                <w:color w:val="000000"/>
                <w:szCs w:val="21"/>
                <w:highlight w:val="none"/>
              </w:rPr>
              <w:framePr w:vAnchor="text" w:hAnchor="page" w:x="1763" w:y="617"/>
            </w:pPr>
            <w:r>
              <w:rPr>
                <w:rFonts w:ascii="宋体" w:hAnsi="宋体"/>
                <w:color w:val="000000"/>
                <w:szCs w:val="21"/>
                <w:highlight w:val="none"/>
              </w:rPr>
            </w:r>
            <w:r/>
          </w:p>
        </w:tc>
        <w:tc>
          <w:tcPr>
            <w:tcW w:w="720" w:type="dxa"/>
            <w:vAlign w:val="center"/>
            <w:textDirection w:val="lrTb"/>
            <w:noWrap w:val="false"/>
          </w:tcPr>
          <w:p>
            <w:pPr>
              <w:pStyle w:val="893"/>
              <w:rPr>
                <w:rFonts w:ascii="宋体" w:hAnsi="宋体"/>
                <w:color w:val="000000"/>
                <w:szCs w:val="21"/>
                <w:highlight w:val="none"/>
              </w:rPr>
              <w:framePr w:vAnchor="text" w:hAnchor="page" w:x="1763" w:y="617"/>
            </w:pPr>
            <w:r>
              <w:rPr>
                <w:rFonts w:ascii="宋体" w:hAnsi="宋体"/>
                <w:color w:val="000000"/>
                <w:szCs w:val="21"/>
                <w:highlight w:val="none"/>
              </w:rPr>
            </w:r>
            <w:r/>
          </w:p>
        </w:tc>
      </w:tr>
    </w:tbl>
    <w:p>
      <w:pPr>
        <w:pStyle w:val="89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numPr>
          <w:ilvl w:val="0"/>
          <w:numId w:val="4"/>
        </w:numPr>
        <w:jc w:val="center"/>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893"/>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89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2999" w:type="dxa"/>
            <w:vAlign w:val="center"/>
            <w:textDirection w:val="lrTb"/>
            <w:noWrap w:val="false"/>
          </w:tcPr>
          <w:p>
            <w:pPr>
              <w:pStyle w:val="89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924" w:type="dxa"/>
            <w:vAlign w:val="center"/>
            <w:textDirection w:val="lrTb"/>
            <w:noWrap w:val="false"/>
          </w:tcPr>
          <w:p>
            <w:pPr>
              <w:pStyle w:val="893"/>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hint="eastAsia" w:ascii="宋体" w:hAnsi="宋体" w:cs="宋体"/>
                <w:b/>
                <w:color w:val="000000"/>
                <w:szCs w:val="21"/>
                <w:highlight w:val="none"/>
              </w:rPr>
            </w:r>
            <w:r/>
          </w:p>
          <w:p>
            <w:pPr>
              <w:pStyle w:val="89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720" w:type="dxa"/>
            <w:vAlign w:val="center"/>
            <w:textDirection w:val="lrTb"/>
            <w:noWrap w:val="false"/>
          </w:tcPr>
          <w:p>
            <w:pPr>
              <w:pStyle w:val="893"/>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hint="eastAsia" w:ascii="宋体" w:hAnsi="宋体" w:cs="宋体"/>
                <w:b/>
                <w:color w:val="000000"/>
                <w:szCs w:val="21"/>
                <w:highlight w:val="none"/>
              </w:rPr>
            </w:r>
            <w:r/>
          </w:p>
        </w:tc>
      </w:tr>
      <w:tr>
        <w:trPr>
          <w:trHeight w:val="585"/>
        </w:trPr>
        <w:tc>
          <w:tcPr>
            <w:tcW w:w="355" w:type="dxa"/>
            <w:vAlign w:val="center"/>
            <w:textDirection w:val="lrTb"/>
            <w:noWrap w:val="false"/>
          </w:tcPr>
          <w:p>
            <w:pPr>
              <w:pStyle w:val="893"/>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2999" w:type="dxa"/>
            <w:vAlign w:val="center"/>
            <w:textDirection w:val="lrTb"/>
            <w:noWrap w:val="false"/>
          </w:tcPr>
          <w:p>
            <w:pPr>
              <w:pStyle w:val="893"/>
              <w:spacing w:line="0" w:lineRule="atLeast"/>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924" w:type="dxa"/>
            <w:vAlign w:val="center"/>
            <w:textDirection w:val="lrTb"/>
            <w:noWrap w:val="false"/>
          </w:tcPr>
          <w:p>
            <w:pPr>
              <w:pStyle w:val="893"/>
              <w:rPr>
                <w:rFonts w:ascii="宋体" w:hAnsi="宋体"/>
                <w:b/>
                <w:color w:val="000000"/>
                <w:szCs w:val="21"/>
                <w:highlight w:val="none"/>
              </w:rPr>
            </w:pPr>
            <w:r>
              <w:rPr>
                <w:rFonts w:ascii="宋体" w:hAnsi="宋体"/>
                <w:b/>
                <w:color w:val="000000"/>
                <w:szCs w:val="21"/>
                <w:highlight w:val="none"/>
              </w:rPr>
            </w:r>
            <w:r/>
          </w:p>
        </w:tc>
        <w:tc>
          <w:tcPr>
            <w:tcW w:w="720" w:type="dxa"/>
            <w:vAlign w:val="center"/>
            <w:textDirection w:val="lrTb"/>
            <w:noWrap w:val="false"/>
          </w:tcPr>
          <w:p>
            <w:pPr>
              <w:pStyle w:val="893"/>
              <w:rPr>
                <w:rFonts w:ascii="宋体" w:hAnsi="宋体"/>
                <w:b/>
                <w:color w:val="000000"/>
                <w:szCs w:val="21"/>
                <w:highlight w:val="none"/>
              </w:rPr>
            </w:pPr>
            <w:r>
              <w:rPr>
                <w:rFonts w:ascii="宋体" w:hAnsi="宋体"/>
                <w:b/>
                <w:color w:val="000000"/>
                <w:szCs w:val="21"/>
                <w:highlight w:val="none"/>
              </w:rPr>
            </w:r>
            <w:r/>
          </w:p>
        </w:tc>
      </w:tr>
      <w:tr>
        <w:trPr>
          <w:trHeight w:val="585"/>
        </w:trPr>
        <w:tc>
          <w:tcPr>
            <w:tcW w:w="355" w:type="dxa"/>
            <w:vAlign w:val="center"/>
            <w:textDirection w:val="lrTb"/>
            <w:noWrap w:val="false"/>
          </w:tcPr>
          <w:p>
            <w:pPr>
              <w:pStyle w:val="89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999" w:type="dxa"/>
            <w:vAlign w:val="center"/>
            <w:textDirection w:val="lrTb"/>
            <w:noWrap w:val="false"/>
          </w:tcPr>
          <w:p>
            <w:pPr>
              <w:pStyle w:val="893"/>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924"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c>
          <w:tcPr>
            <w:tcW w:w="720"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r>
        <w:trPr>
          <w:trHeight w:val="780"/>
        </w:trPr>
        <w:tc>
          <w:tcPr>
            <w:tcW w:w="355" w:type="dxa"/>
            <w:vAlign w:val="center"/>
            <w:textDirection w:val="lrTb"/>
            <w:noWrap w:val="false"/>
          </w:tcPr>
          <w:p>
            <w:pPr>
              <w:pStyle w:val="89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2999" w:type="dxa"/>
            <w:vAlign w:val="center"/>
            <w:textDirection w:val="lrTb"/>
            <w:noWrap w:val="false"/>
          </w:tcPr>
          <w:p>
            <w:pPr>
              <w:pStyle w:val="893"/>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924"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c>
          <w:tcPr>
            <w:tcW w:w="720" w:type="dxa"/>
            <w:vAlign w:val="center"/>
            <w:textDirection w:val="lrTb"/>
            <w:noWrap w:val="false"/>
          </w:tcPr>
          <w:p>
            <w:pPr>
              <w:pStyle w:val="893"/>
              <w:rPr>
                <w:rFonts w:ascii="宋体" w:hAnsi="宋体"/>
                <w:color w:val="000000"/>
                <w:szCs w:val="21"/>
                <w:highlight w:val="none"/>
              </w:rPr>
            </w:pPr>
            <w:r>
              <w:rPr>
                <w:rFonts w:ascii="宋体" w:hAnsi="宋体"/>
                <w:color w:val="000000"/>
                <w:szCs w:val="21"/>
                <w:highlight w:val="none"/>
              </w:rPr>
            </w:r>
            <w:r/>
          </w:p>
        </w:tc>
      </w:tr>
    </w:tbl>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3"/>
        <w:rPr>
          <w:color w:val="000000"/>
          <w:highlight w:val="none"/>
        </w:rPr>
      </w:pPr>
      <w:r>
        <w:rPr>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center"/>
        <w:spacing w:before="312" w:after="312" w:line="360" w:lineRule="auto"/>
        <w:rPr>
          <w:rFonts w:hint="eastAsia"/>
          <w:b/>
          <w:bCs/>
          <w:color w:val="000000"/>
          <w:highlight w:val="none"/>
        </w:rPr>
      </w:pPr>
      <w:r>
        <w:rPr>
          <w:rFonts w:hint="eastAsia"/>
          <w:b/>
          <w:bCs/>
          <w:color w:val="000000"/>
          <w:highlight w:val="none"/>
        </w:rPr>
        <w:br w:type="page" w:clear="all"/>
      </w:r>
      <w:r>
        <w:rPr>
          <w:rFonts w:hint="eastAsia"/>
          <w:b/>
          <w:bCs/>
          <w:color w:val="000000"/>
          <w:highlight w:val="none"/>
        </w:rPr>
        <w:t xml:space="preserve">中小企业声明函（工程、服务）</w:t>
      </w:r>
      <w:r>
        <w:rPr>
          <w:rFonts w:hint="eastAsia"/>
          <w:b/>
          <w:bCs/>
          <w:color w:val="000000"/>
          <w:highlight w:val="none"/>
        </w:rPr>
      </w:r>
      <w:r/>
    </w:p>
    <w:p>
      <w:pPr>
        <w:pStyle w:val="893"/>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893"/>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b/>
          <w:color w:val="000000"/>
          <w:highlight w:val="none"/>
          <w:u w:val="single"/>
        </w:rPr>
        <w:t xml:space="preserve">租赁和商务服务业</w:t>
      </w:r>
      <w:r>
        <w:rPr>
          <w:rFonts w:hint="eastAsia"/>
          <w:color w:val="000000"/>
          <w:highlight w:val="none"/>
          <w:u w:val="single"/>
        </w:rPr>
        <w:t xml:space="preserve">）</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893"/>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893"/>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893"/>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893"/>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893"/>
        <w:ind w:firstLine="420"/>
        <w:jc w:val="left"/>
        <w:spacing w:line="360" w:lineRule="auto"/>
        <w:rPr>
          <w:rFonts w:hint="eastAsia"/>
          <w:color w:val="000000"/>
          <w:highlight w:val="none"/>
        </w:rPr>
      </w:pPr>
      <w:r>
        <w:rPr>
          <w:rFonts w:hint="eastAsia"/>
          <w:color w:val="000000"/>
          <w:highlight w:val="none"/>
        </w:rPr>
      </w:r>
      <w:r/>
    </w:p>
    <w:p>
      <w:pPr>
        <w:pStyle w:val="893"/>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从业人员、营业收入、资产总额填报上一年度数据，无上一年度数据的新成立企业可不填报。</w:t>
      </w:r>
      <w:r>
        <w:rPr>
          <w:rFonts w:ascii="宋体" w:hAnsi="宋体"/>
          <w:color w:val="000000"/>
          <w:highlight w:val="none"/>
        </w:rPr>
      </w:r>
      <w:r/>
    </w:p>
    <w:p>
      <w:pPr>
        <w:pStyle w:val="893"/>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893"/>
        <w:ind w:firstLine="420"/>
        <w:jc w:val="left"/>
        <w:spacing w:line="360" w:lineRule="auto"/>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893"/>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893"/>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893"/>
        <w:jc w:val="center"/>
        <w:spacing w:before="300" w:after="300" w:line="360" w:lineRule="auto"/>
        <w:widowControl/>
        <w:rPr>
          <w:rFonts w:ascii="宋体" w:hAnsi="宋体" w:eastAsia="宋体"/>
          <w:color w:val="000000"/>
          <w:sz w:val="21"/>
          <w:szCs w:val="21"/>
          <w:highlight w:val="none"/>
        </w:rPr>
        <w:outlineLvl w:val="9"/>
      </w:pPr>
      <w:r>
        <w:rPr>
          <w:rFonts w:ascii="宋体" w:hAnsi="宋体" w:eastAsia="宋体" w:cs="微软雅黑"/>
          <w:bCs/>
          <w:color w:val="000000"/>
          <w:sz w:val="21"/>
          <w:szCs w:val="21"/>
          <w:highlight w:val="none"/>
        </w:rPr>
        <w:br w:type="page" w:clear="all"/>
      </w:r>
      <w:r>
        <w:rPr>
          <w:rFonts w:hint="eastAsia" w:ascii="宋体" w:hAnsi="宋体" w:eastAsia="宋体" w:cs="微软雅黑"/>
          <w:bCs/>
          <w:color w:val="000000"/>
          <w:sz w:val="21"/>
          <w:szCs w:val="21"/>
          <w:highlight w:val="none"/>
        </w:rPr>
        <w:t xml:space="preserve">中小微企业划型标准</w:t>
      </w:r>
      <w:r>
        <w:rPr>
          <w:rFonts w:ascii="宋体" w:hAnsi="宋体" w:eastAsia="宋体"/>
          <w:color w:val="000000"/>
          <w:sz w:val="21"/>
          <w:szCs w:val="21"/>
          <w:highlight w:val="none"/>
        </w:rPr>
      </w:r>
      <w:r/>
    </w:p>
    <w:p>
      <w:pPr>
        <w:pStyle w:val="919"/>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920"/>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4998" w:type="pct"/>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4"/>
        <w:gridCol w:w="1665"/>
        <w:gridCol w:w="675"/>
        <w:gridCol w:w="1806"/>
        <w:gridCol w:w="1636"/>
        <w:gridCol w:w="1437"/>
      </w:tblGrid>
      <w:tr>
        <w:trPr>
          <w:tblCellSpacing w:w="15" w:type="dxa"/>
          <w:trHeight w:val="285"/>
        </w:trPr>
        <w:tc>
          <w:tcPr>
            <w:tcMar>
              <w:left w:w="105" w:type="dxa"/>
              <w:top w:w="0" w:type="dxa"/>
              <w:right w:w="105" w:type="dxa"/>
              <w:bottom w:w="0" w:type="dxa"/>
            </w:tcMar>
            <w:tcW w:w="77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500≤Y＜20000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50≤Y＜500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6000≤Y＜80000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300≤Y＜6000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Y＜300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5000≤Z＜80000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300≤Z＜5000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Z＜300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5≤X＜20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X＜5</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5000≤Y＜40000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500≤Y＜20000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3000≤Y＜30000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200≤Y＜3000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val="en-US" w:eastAsia="zh-CN"/>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5000≤Z＜10000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2000≤Y＜5000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1000≤Y＜5000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vMerge w:val="restart"/>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778" w:type="dxa"/>
            <w:vAlign w:val="center"/>
            <w:vMerge w:val="continue"/>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8000≤Z＜120000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100≤Z＜8000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77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50"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375"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032"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933"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808" w:type="dxa"/>
            <w:vAlign w:val="center"/>
            <w:textDirection w:val="lrTb"/>
            <w:noWrap w:val="false"/>
          </w:tcPr>
          <w:p>
            <w:pPr>
              <w:pStyle w:val="89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bl>
    <w:p>
      <w:pPr>
        <w:pStyle w:val="919"/>
        <w:ind w:firstLine="810"/>
        <w:spacing w:before="300" w:after="452" w:line="360" w:lineRule="auto"/>
        <w:widowControl/>
        <w:rPr>
          <w:rStyle w:val="920"/>
          <w:rFonts w:ascii="宋体" w:hAnsi="宋体" w:cs="仿宋"/>
          <w:color w:val="000000"/>
          <w:sz w:val="21"/>
          <w:szCs w:val="21"/>
          <w:highlight w:val="none"/>
        </w:rPr>
      </w:pPr>
      <w:r>
        <w:rPr>
          <w:rStyle w:val="920"/>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20"/>
          <w:rFonts w:ascii="宋体" w:hAnsi="宋体" w:cs="仿宋"/>
          <w:color w:val="000000"/>
          <w:sz w:val="21"/>
          <w:szCs w:val="21"/>
          <w:highlight w:val="none"/>
        </w:rPr>
      </w:r>
      <w:r/>
    </w:p>
    <w:p>
      <w:pPr>
        <w:pStyle w:val="893"/>
        <w:jc w:val="center"/>
        <w:rPr>
          <w:rFonts w:hint="eastAsia"/>
          <w:color w:val="000000"/>
          <w:highlight w:val="none"/>
        </w:rPr>
      </w:pPr>
      <w:r>
        <w:rPr>
          <w:rStyle w:val="920"/>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rFonts w:hint="eastAsia"/>
          <w:color w:val="000000"/>
          <w:highlight w:val="none"/>
        </w:rPr>
      </w:r>
      <w:r/>
    </w:p>
    <w:p>
      <w:pPr>
        <w:pStyle w:val="893"/>
        <w:ind w:firstLine="624"/>
        <w:spacing w:line="588" w:lineRule="exact"/>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893"/>
        <w:ind w:firstLine="420"/>
        <w:spacing w:line="588" w:lineRule="exact"/>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893"/>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893"/>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93"/>
        <w:ind w:firstLine="420"/>
        <w:spacing w:line="588" w:lineRule="exact"/>
        <w:rPr>
          <w:rFonts w:hint="eastAsia" w:ascii="宋体" w:hAnsi="宋体"/>
          <w:color w:val="000000"/>
          <w:szCs w:val="21"/>
          <w:highlight w:val="none"/>
        </w:rPr>
      </w:pPr>
      <w:r>
        <w:rPr>
          <w:rFonts w:hint="eastAsia" w:ascii="宋体" w:hAnsi="宋体"/>
          <w:color w:val="000000"/>
          <w:szCs w:val="21"/>
          <w:highlight w:val="none"/>
        </w:rPr>
      </w:r>
      <w:r/>
    </w:p>
    <w:p>
      <w:pPr>
        <w:pStyle w:val="893"/>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893"/>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93"/>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893"/>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93"/>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left"/>
        <w:widowControl/>
        <w:rPr>
          <w:rFonts w:ascii="宋体" w:hAnsi="宋体" w:cs="Arial"/>
          <w:b/>
          <w:bCs/>
          <w:color w:val="000000"/>
          <w:highlight w:val="none"/>
        </w:rPr>
      </w:pPr>
      <w:r>
        <w:rPr>
          <w:rFonts w:ascii="宋体" w:hAnsi="宋体" w:cs="Arial"/>
          <w:b/>
          <w:bCs/>
          <w:color w:val="000000"/>
          <w:highlight w:val="none"/>
        </w:rPr>
      </w:r>
      <w:r/>
    </w:p>
    <w:p>
      <w:pPr>
        <w:pStyle w:val="893"/>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四、开标一览表</w:t>
      </w:r>
      <w:r>
        <w:rPr>
          <w:rFonts w:hint="eastAsia" w:ascii="宋体" w:hAnsi="宋体" w:eastAsia="宋体" w:cs="宋体"/>
          <w:b/>
          <w:bCs/>
          <w:color w:val="000000"/>
          <w:sz w:val="32"/>
          <w:szCs w:val="32"/>
          <w:highlight w:val="none"/>
        </w:rPr>
      </w:r>
      <w:r/>
    </w:p>
    <w:p>
      <w:pPr>
        <w:pStyle w:val="893"/>
        <w:ind w:firstLine="480"/>
        <w:spacing w:line="360" w:lineRule="auto"/>
        <w:rPr>
          <w:rFonts w:hint="eastAsia" w:eastAsia="宋体"/>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color w:val="000000"/>
          <w:szCs w:val="21"/>
          <w:highlight w:val="none"/>
          <w:lang w:eastAsia="zh-CN"/>
        </w:rPr>
        <w:t xml:space="preserve">扬州市保障性住房发展中心公租房运营管理服务项目</w:t>
      </w:r>
      <w:r>
        <w:rPr>
          <w:rFonts w:hint="eastAsia" w:eastAsia="宋体"/>
          <w:color w:val="000000"/>
          <w:szCs w:val="21"/>
          <w:highlight w:val="none"/>
          <w:lang w:eastAsia="zh-CN"/>
        </w:rPr>
      </w:r>
      <w:r/>
    </w:p>
    <w:p>
      <w:pPr>
        <w:pStyle w:val="893"/>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rPr>
      </w:r>
      <w:r/>
    </w:p>
    <w:p>
      <w:pPr>
        <w:pStyle w:val="893"/>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包</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号： </w:t>
      </w:r>
      <w:r>
        <w:rPr>
          <w:rFonts w:hint="eastAsia" w:ascii="宋体" w:hAnsi="宋体"/>
          <w:color w:val="000000"/>
          <w:szCs w:val="21"/>
          <w:highlight w:val="none"/>
        </w:rPr>
      </w:r>
      <w:r/>
    </w:p>
    <w:p>
      <w:pPr>
        <w:pStyle w:val="893"/>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05"/>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投标服务</w:t>
            </w:r>
            <w:r>
              <w:rPr>
                <w:rFonts w:hint="eastAsia" w:ascii="宋体" w:hAnsi="宋体" w:eastAsia="宋体" w:cs="宋体"/>
                <w:color w:val="000000"/>
                <w:sz w:val="21"/>
                <w:szCs w:val="21"/>
                <w:highlight w:val="none"/>
              </w:rPr>
            </w:r>
            <w:r/>
          </w:p>
        </w:tc>
        <w:tc>
          <w:tcPr>
            <w:tcW w:w="6405" w:type="dxa"/>
            <w:vAlign w:val="center"/>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t xml:space="preserve">投标报价</w:t>
            </w:r>
            <w:r>
              <w:rPr>
                <w:rFonts w:hint="eastAsia" w:ascii="宋体" w:hAnsi="宋体"/>
                <w:b/>
                <w:bCs/>
                <w:color w:val="000000"/>
                <w:highlight w:val="none"/>
              </w:rPr>
              <w:t xml:space="preserve">（</w:t>
            </w:r>
            <w:r>
              <w:rPr>
                <w:rFonts w:hint="eastAsia" w:ascii="宋体" w:hAnsi="宋体"/>
                <w:b/>
                <w:bCs/>
                <w:color w:val="000000"/>
                <w:highlight w:val="none"/>
                <w:lang w:val="en-US" w:eastAsia="zh-CN"/>
              </w:rPr>
              <w:t xml:space="preserve">不可收租率</w:t>
            </w:r>
            <w:r>
              <w:rPr>
                <w:rFonts w:hint="eastAsia" w:ascii="宋体" w:hAnsi="宋体"/>
                <w:b/>
                <w:bCs/>
                <w:color w:val="000000"/>
                <w:highlight w:val="none"/>
              </w:rPr>
              <w:t xml:space="preserve">）</w:t>
            </w:r>
            <w:r>
              <w:rPr>
                <w:rFonts w:hint="eastAsia" w:ascii="宋体" w:hAnsi="宋体"/>
                <w:color w:val="000000"/>
                <w:szCs w:val="21"/>
                <w:highlight w:val="none"/>
              </w:rPr>
            </w:r>
            <w:r/>
          </w:p>
        </w:tc>
      </w:tr>
      <w:tr>
        <w:trPr>
          <w:cantSplit/>
          <w:trHeight w:val="1697"/>
        </w:trPr>
        <w:tc>
          <w:tcPr>
            <w:tcW w:w="2481" w:type="dxa"/>
            <w:vAlign w:val="center"/>
            <w:textDirection w:val="lrTb"/>
            <w:noWrap w:val="false"/>
          </w:tcPr>
          <w:p>
            <w:pPr>
              <w:pStyle w:val="893"/>
              <w:jc w:val="center"/>
              <w:rPr>
                <w:rFonts w:hint="eastAsia" w:ascii="宋体" w:hAnsi="宋体" w:eastAsia="宋体"/>
                <w:color w:val="000000"/>
                <w:highlight w:val="none"/>
                <w:lang w:eastAsia="zh-CN"/>
              </w:rPr>
            </w:pPr>
            <w:r>
              <w:rPr>
                <w:rFonts w:hint="eastAsia" w:ascii="宋体" w:hAnsi="宋体"/>
                <w:color w:val="000000"/>
                <w:highlight w:val="none"/>
                <w:lang w:eastAsia="zh-CN"/>
              </w:rPr>
              <w:t xml:space="preserve">扬州市保障性住房发展中心公租房运营管理服务项目</w:t>
            </w:r>
            <w:r>
              <w:rPr>
                <w:rFonts w:hint="eastAsia" w:ascii="宋体" w:hAnsi="宋体" w:eastAsia="宋体"/>
                <w:color w:val="000000"/>
                <w:highlight w:val="none"/>
                <w:lang w:eastAsia="zh-CN"/>
              </w:rPr>
            </w:r>
            <w:r/>
          </w:p>
          <w:p>
            <w:pPr>
              <w:pStyle w:val="893"/>
              <w:jc w:val="center"/>
              <w:rPr>
                <w:rFonts w:hint="eastAsia" w:ascii="宋体" w:hAnsi="宋体" w:cs="宋体"/>
                <w:color w:val="000000"/>
                <w:szCs w:val="21"/>
                <w:highlight w:val="none"/>
              </w:rPr>
            </w:pPr>
            <w:r>
              <w:rPr>
                <w:rFonts w:hint="eastAsia" w:ascii="宋体" w:hAnsi="宋体"/>
                <w:b/>
                <w:bCs/>
                <w:color w:val="000000"/>
                <w:highlight w:val="none"/>
              </w:rPr>
              <w:t xml:space="preserve">（</w:t>
            </w:r>
            <w:r>
              <w:rPr>
                <w:rFonts w:hint="eastAsia" w:ascii="宋体" w:hAnsi="宋体"/>
                <w:b/>
                <w:bCs/>
                <w:color w:val="000000"/>
                <w:highlight w:val="none"/>
                <w:lang w:val="en-US" w:eastAsia="zh-CN"/>
              </w:rPr>
              <w:t xml:space="preserve">不可收租率</w:t>
            </w:r>
            <w:r>
              <w:rPr>
                <w:rFonts w:hint="eastAsia" w:ascii="宋体" w:hAnsi="宋体"/>
                <w:b/>
                <w:bCs/>
                <w:color w:val="000000"/>
                <w:highlight w:val="none"/>
              </w:rPr>
              <w:t xml:space="preserve">）</w:t>
            </w:r>
            <w:r>
              <w:rPr>
                <w:rFonts w:hint="eastAsia" w:ascii="宋体" w:hAnsi="宋体" w:cs="宋体"/>
                <w:color w:val="000000"/>
                <w:szCs w:val="21"/>
                <w:highlight w:val="none"/>
              </w:rPr>
            </w:r>
            <w:r/>
          </w:p>
        </w:tc>
        <w:tc>
          <w:tcPr>
            <w:tcW w:w="6405" w:type="dxa"/>
            <w:vAlign w:val="center"/>
            <w:textDirection w:val="lrTb"/>
            <w:noWrap w:val="false"/>
          </w:tcPr>
          <w:p>
            <w:pPr>
              <w:pStyle w:val="924"/>
              <w:ind w:firstLine="0"/>
              <w:spacing w:before="0" w:after="0" w:line="5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893"/>
        <w:rPr>
          <w:rFonts w:ascii="宋体" w:hAnsi="宋体"/>
          <w:color w:val="000000"/>
          <w:szCs w:val="21"/>
          <w:highlight w:val="none"/>
        </w:rPr>
      </w:pPr>
      <w:r>
        <w:rPr>
          <w:rFonts w:ascii="宋体" w:hAnsi="宋体"/>
          <w:color w:val="000000"/>
          <w:szCs w:val="21"/>
          <w:highlight w:val="none"/>
        </w:rPr>
      </w:r>
      <w:r/>
    </w:p>
    <w:p>
      <w:pPr>
        <w:pStyle w:val="893"/>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893"/>
        <w:jc w:val="center"/>
        <w:rPr>
          <w:rFonts w:hint="eastAsia" w:ascii="宋体" w:hAnsi="宋体" w:eastAsia="宋体" w:cs="宋体"/>
          <w:b/>
          <w:bCs/>
          <w:color w:val="000000"/>
          <w:sz w:val="32"/>
          <w:szCs w:val="32"/>
          <w:highlight w:val="none"/>
        </w:rPr>
      </w:pPr>
      <w:r>
        <w:rPr>
          <w:rFonts w:hint="eastAsia" w:ascii="宋体" w:hAnsi="宋体" w:eastAsia="宋体" w:cs="Times New Roman"/>
          <w:bCs/>
          <w:color w:val="000000"/>
          <w:sz w:val="32"/>
          <w:szCs w:val="32"/>
          <w:highlight w:val="none"/>
        </w:rPr>
        <w:br w:type="page" w:clear="all"/>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32"/>
          <w:szCs w:val="32"/>
          <w:highlight w:val="none"/>
        </w:rPr>
        <w:t xml:space="preserve">技术参数响应及偏离表</w:t>
      </w:r>
      <w:r>
        <w:rPr>
          <w:rFonts w:hint="eastAsia" w:ascii="宋体" w:hAnsi="宋体" w:eastAsia="宋体" w:cs="宋体"/>
          <w:b/>
          <w:bCs/>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852" w:type="dxa"/>
            <w:vAlign w:val="center"/>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t xml:space="preserve">招标要求</w:t>
            </w:r>
            <w:r>
              <w:rPr>
                <w:rFonts w:hint="eastAsia" w:ascii="宋体" w:hAnsi="宋体"/>
                <w:color w:val="000000"/>
                <w:szCs w:val="21"/>
                <w:highlight w:val="none"/>
              </w:rPr>
            </w:r>
            <w:r/>
          </w:p>
        </w:tc>
        <w:tc>
          <w:tcPr>
            <w:tcW w:w="2852" w:type="dxa"/>
            <w:vAlign w:val="center"/>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t xml:space="preserve">投标响应</w:t>
            </w:r>
            <w:r>
              <w:rPr>
                <w:rFonts w:hint="eastAsia" w:ascii="宋体" w:hAnsi="宋体"/>
                <w:color w:val="000000"/>
                <w:szCs w:val="21"/>
                <w:highlight w:val="none"/>
              </w:rPr>
            </w:r>
            <w:r/>
          </w:p>
        </w:tc>
        <w:tc>
          <w:tcPr>
            <w:tcW w:w="1308" w:type="dxa"/>
            <w:vAlign w:val="center"/>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73" w:type="dxa"/>
            <w:vAlign w:val="center"/>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2852"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308"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c>
          <w:tcPr>
            <w:tcW w:w="1173" w:type="dxa"/>
            <w:vAlign w:val="top"/>
            <w:textDirection w:val="lrTb"/>
            <w:noWrap w:val="false"/>
          </w:tcPr>
          <w:p>
            <w:pPr>
              <w:pStyle w:val="893"/>
              <w:jc w:val="center"/>
              <w:rPr>
                <w:rFonts w:hint="eastAsia" w:ascii="宋体" w:hAnsi="宋体"/>
                <w:color w:val="000000"/>
                <w:szCs w:val="21"/>
                <w:highlight w:val="none"/>
              </w:rPr>
            </w:pPr>
            <w:r>
              <w:rPr>
                <w:rFonts w:hint="eastAsia" w:ascii="宋体" w:hAnsi="宋体"/>
                <w:color w:val="000000"/>
                <w:szCs w:val="21"/>
                <w:highlight w:val="none"/>
              </w:rPr>
            </w:r>
            <w:r/>
          </w:p>
        </w:tc>
      </w:tr>
    </w:tbl>
    <w:p>
      <w:pPr>
        <w:pStyle w:val="89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3"/>
        <w:rPr>
          <w:rFonts w:hint="eastAsia"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hint="eastAsia" w:ascii="宋体" w:hAnsi="宋体"/>
          <w:color w:val="000000"/>
          <w:sz w:val="24"/>
          <w:szCs w:val="24"/>
          <w:highlight w:val="none"/>
        </w:rPr>
      </w:r>
      <w:r/>
    </w:p>
    <w:p>
      <w:pPr>
        <w:pStyle w:val="89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hint="eastAsia" w:ascii="宋体" w:hAnsi="宋体"/>
          <w:color w:val="000000"/>
          <w:sz w:val="24"/>
          <w:szCs w:val="24"/>
          <w:highlight w:val="none"/>
        </w:rPr>
      </w:r>
      <w:r/>
    </w:p>
    <w:p>
      <w:pPr>
        <w:pStyle w:val="893"/>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93"/>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93"/>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93"/>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893"/>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93"/>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93"/>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93"/>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893"/>
        <w:jc w:val="center"/>
        <w:rPr>
          <w:rFonts w:hint="eastAsia" w:ascii="宋体" w:hAnsi="宋体" w:eastAsia="宋体" w:cs="宋体"/>
          <w:b/>
          <w:bCs/>
          <w:color w:val="000000"/>
          <w:sz w:val="32"/>
          <w:szCs w:val="32"/>
          <w:highlight w:val="none"/>
        </w:rPr>
      </w:pPr>
      <w:r/>
      <w:bookmarkStart w:id="110" w:name="_Hlt26955054"/>
      <w:r/>
      <w:bookmarkEnd w:id="110"/>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、商务条款响应及偏离表</w:t>
      </w:r>
      <w:r>
        <w:rPr>
          <w:rFonts w:hint="eastAsia" w:ascii="宋体" w:hAnsi="宋体" w:eastAsia="宋体" w:cs="宋体"/>
          <w:b/>
          <w:bCs/>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招标文件要求</w:t>
            </w:r>
            <w:r>
              <w:rPr>
                <w:rFonts w:ascii="仿宋_GB2312" w:hAnsi="宋体" w:eastAsia="仿宋_GB2312"/>
                <w:color w:val="000000"/>
                <w:szCs w:val="21"/>
                <w:highlight w:val="none"/>
              </w:rPr>
            </w:r>
            <w:r/>
          </w:p>
        </w:tc>
        <w:tc>
          <w:tcPr>
            <w:tcW w:w="1837"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982"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502"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93"/>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93"/>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893"/>
              <w:jc w:val="center"/>
              <w:spacing w:before="156"/>
              <w:rPr>
                <w:rFonts w:hint="eastAsia" w:ascii="仿宋_GB2312"/>
                <w:color w:val="000000"/>
                <w:szCs w:val="21"/>
                <w:highlight w:val="none"/>
              </w:rPr>
            </w:pPr>
            <w:r>
              <w:rPr>
                <w:rFonts w:hint="eastAsia" w:ascii="仿宋_GB2312"/>
                <w:color w:val="000000"/>
                <w:szCs w:val="21"/>
                <w:highlight w:val="none"/>
              </w:rPr>
              <w:t xml:space="preserve">交货方式</w:t>
            </w:r>
            <w:r>
              <w:rPr>
                <w:rFonts w:hint="eastAsia" w:ascii="仿宋_GB2312"/>
                <w:color w:val="000000"/>
                <w:szCs w:val="21"/>
                <w:highlight w:val="none"/>
              </w:rPr>
            </w:r>
            <w:r/>
          </w:p>
        </w:tc>
        <w:tc>
          <w:tcPr>
            <w:tcW w:w="2502" w:type="dxa"/>
            <w:vAlign w:val="top"/>
            <w:textDirection w:val="lrTb"/>
            <w:noWrap w:val="false"/>
          </w:tcPr>
          <w:p>
            <w:pPr>
              <w:pStyle w:val="893"/>
              <w:spacing w:before="156"/>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93"/>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93"/>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893"/>
              <w:jc w:val="center"/>
              <w:spacing w:before="156"/>
              <w:rPr>
                <w:rFonts w:hint="eastAsia" w:ascii="仿宋_GB2312"/>
                <w:color w:val="000000"/>
                <w:szCs w:val="21"/>
                <w:highlight w:val="none"/>
              </w:rPr>
            </w:pPr>
            <w:r>
              <w:rPr>
                <w:rFonts w:hint="eastAsia" w:ascii="仿宋_GB2312"/>
                <w:color w:val="000000"/>
                <w:szCs w:val="21"/>
                <w:highlight w:val="none"/>
              </w:rPr>
              <w:t xml:space="preserve">交货地点</w:t>
            </w:r>
            <w:r>
              <w:rPr>
                <w:rFonts w:hint="eastAsia" w:ascii="仿宋_GB2312"/>
                <w:color w:val="000000"/>
                <w:szCs w:val="21"/>
                <w:highlight w:val="none"/>
              </w:rPr>
            </w:r>
            <w:r/>
          </w:p>
        </w:tc>
        <w:tc>
          <w:tcPr>
            <w:tcW w:w="2502" w:type="dxa"/>
            <w:vAlign w:val="top"/>
            <w:textDirection w:val="lrTb"/>
            <w:noWrap w:val="false"/>
          </w:tcPr>
          <w:p>
            <w:pPr>
              <w:pStyle w:val="893"/>
              <w:spacing w:before="156"/>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93"/>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93"/>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893"/>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89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93"/>
        <w:spacing w:line="480" w:lineRule="auto"/>
        <w:rPr>
          <w:rFonts w:hint="eastAsia" w:ascii="宋体" w:hAnsi="宋体"/>
          <w:color w:val="000000"/>
          <w:sz w:val="24"/>
          <w:highlight w:val="none"/>
        </w:rPr>
      </w:pPr>
      <w:r/>
      <w:bookmarkStart w:id="111" w:name="_Hlt26955056"/>
      <w:r/>
      <w:bookmarkEnd w:id="111"/>
      <w:r/>
      <w:bookmarkStart w:id="112" w:name="_Hlt26580838"/>
      <w:r/>
      <w:bookmarkEnd w:id="112"/>
      <w:r/>
      <w:bookmarkStart w:id="113" w:name="_Hlt26955064"/>
      <w:r/>
      <w:bookmarkEnd w:id="113"/>
      <w:r/>
      <w:bookmarkStart w:id="114" w:name="_Hlt26671343"/>
      <w:r/>
      <w:bookmarkEnd w:id="114"/>
      <w:r/>
      <w:bookmarkStart w:id="115" w:name="_Hlt26782999"/>
      <w:r/>
      <w:bookmarkEnd w:id="115"/>
      <w:r/>
      <w:bookmarkStart w:id="116" w:name="_Hlt26671372"/>
      <w:r/>
      <w:bookmarkEnd w:id="116"/>
      <w:r/>
      <w:bookmarkStart w:id="117" w:name="_Hlt26609391"/>
      <w:r/>
      <w:bookmarkEnd w:id="117"/>
      <w:r/>
      <w:bookmarkStart w:id="118" w:name="_Hlt24879081"/>
      <w:r/>
      <w:bookmarkEnd w:id="118"/>
      <w:r>
        <w:rPr>
          <w:rFonts w:hint="eastAsia" w:ascii="宋体" w:hAnsi="宋体"/>
          <w:color w:val="000000"/>
          <w:sz w:val="24"/>
          <w:highlight w:val="none"/>
        </w:rPr>
      </w:r>
      <w:r/>
    </w:p>
    <w:p>
      <w:pPr>
        <w:pStyle w:val="893"/>
        <w:spacing w:line="480" w:lineRule="auto"/>
        <w:rPr>
          <w:rFonts w:hint="eastAsia" w:ascii="仿宋_GB2312" w:hAnsi="Arial"/>
          <w:color w:val="000000"/>
          <w:sz w:val="30"/>
          <w:highlight w:val="none"/>
        </w:rPr>
      </w:pPr>
      <w:r>
        <w:rPr>
          <w:rFonts w:hint="eastAsia" w:ascii="仿宋_GB2312" w:hAnsi="Arial"/>
          <w:color w:val="000000"/>
          <w:sz w:val="30"/>
          <w:highlight w:val="none"/>
        </w:rPr>
      </w:r>
      <w:r/>
    </w:p>
    <w:p>
      <w:pPr>
        <w:pStyle w:val="901"/>
        <w:ind w:firstLine="480"/>
        <w:rPr>
          <w:rFonts w:hint="eastAsia" w:ascii="宋体" w:hAnsi="宋体"/>
          <w:color w:val="000000"/>
          <w:sz w:val="24"/>
          <w:highlight w:val="none"/>
        </w:rPr>
      </w:pPr>
      <w:r/>
      <w:bookmarkStart w:id="119" w:name="_Hlt26671374"/>
      <w:r/>
      <w:bookmarkEnd w:id="119"/>
      <w:r/>
      <w:bookmarkStart w:id="120" w:name="_Hlt26955066"/>
      <w:r/>
      <w:bookmarkEnd w:id="120"/>
      <w:r/>
      <w:bookmarkStart w:id="121" w:name="_Hlt26609389"/>
      <w:r/>
      <w:bookmarkEnd w:id="121"/>
      <w:r/>
      <w:bookmarkStart w:id="122" w:name="_Toc462564146"/>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901"/>
        <w:ind w:firstLine="480"/>
        <w:rPr>
          <w:rFonts w:hint="eastAsia" w:ascii="宋体" w:hAnsi="宋体"/>
          <w:color w:val="000000"/>
          <w:sz w:val="24"/>
          <w:highlight w:val="none"/>
        </w:rPr>
      </w:pPr>
      <w:r>
        <w:rPr>
          <w:rFonts w:hint="eastAsia" w:ascii="宋体" w:hAnsi="宋体"/>
          <w:color w:val="000000"/>
          <w:sz w:val="24"/>
          <w:highlight w:val="none"/>
        </w:rPr>
      </w:r>
      <w:r/>
    </w:p>
    <w:p>
      <w:pPr>
        <w:pStyle w:val="893"/>
        <w:jc w:val="left"/>
        <w:widowControl/>
        <w:rPr>
          <w:color w:val="000000"/>
          <w:highlight w:val="none"/>
        </w:rPr>
      </w:pPr>
      <w:r/>
      <w:bookmarkEnd w:id="122"/>
      <w:r/>
      <w:bookmarkStart w:id="123" w:name="_格式2__法定代表人授权书"/>
      <w:r/>
      <w:bookmarkEnd w:id="123"/>
      <w:r>
        <w:rPr>
          <w:color w:val="000000"/>
          <w:highlight w:val="none"/>
        </w:rPr>
      </w:r>
      <w:r/>
    </w:p>
    <w:p>
      <w:pPr>
        <w:pStyle w:val="893"/>
        <w:rPr>
          <w:color w:val="000000"/>
          <w:highlight w:val="none"/>
        </w:rPr>
      </w:pPr>
      <w:r>
        <w:rPr>
          <w:color w:val="000000"/>
          <w:highlight w:val="none"/>
        </w:rPr>
      </w:r>
      <w:r/>
    </w:p>
    <w:p>
      <w:pPr>
        <w:pStyle w:val="893"/>
        <w:jc w:val="left"/>
        <w:widowControl/>
        <w:rPr>
          <w:rFonts w:ascii="宋体" w:hAnsi="宋体"/>
          <w:b/>
          <w:color w:val="000000"/>
          <w:highlight w:val="none"/>
        </w:rPr>
      </w:pPr>
      <w:r>
        <w:rPr>
          <w:rFonts w:ascii="宋体" w:hAnsi="宋体"/>
          <w:b/>
          <w:color w:val="000000"/>
          <w:highlight w:val="none"/>
        </w:rPr>
        <w:br w:type="page" w:clear="all"/>
      </w:r>
      <w:r>
        <w:rPr>
          <w:rFonts w:ascii="宋体" w:hAnsi="宋体"/>
          <w:b/>
          <w:color w:val="000000"/>
          <w:highlight w:val="none"/>
        </w:rPr>
      </w:r>
      <w:r/>
    </w:p>
    <w:p>
      <w:pPr>
        <w:pStyle w:val="893"/>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893"/>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5000" w:type="dxa"/>
            <w:vAlign w:val="top"/>
            <w:textDirection w:val="lrTb"/>
            <w:noWrap w:val="false"/>
          </w:tcPr>
          <w:p>
            <w:pPr>
              <w:pStyle w:val="893"/>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5000" w:type="dxa"/>
            <w:vAlign w:val="top"/>
            <w:textDirection w:val="lrTb"/>
            <w:noWrap w:val="false"/>
          </w:tcPr>
          <w:p>
            <w:pPr>
              <w:pStyle w:val="893"/>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93"/>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893"/>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893"/>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893"/>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-138429</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10.9pt;mso-position-vertical:absolute;width:144.0pt;height:144.0pt;mso-wrap-distance-left:9.0pt;mso-wrap-distance-top:0.0pt;mso-wrap-distance-right:9.0pt;mso-wrap-distance-bottom:0.0pt;visibility:visible;" filled="f" stroked="f">
              <v:textbox inset="0,0,0,0">
                <w:txbxContent>
                  <w:p>
                    <w:pPr>
                      <w:pStyle w:val="9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Fonts w:eastAsia="宋体"/>
        <w:lang w:val="en-US" w:eastAsia="zh-CN"/>
      </w:rPr>
    </w:pPr>
    <w:r>
      <w:rPr>
        <w:rFonts w:hint="eastAsia"/>
        <w:lang w:eastAsia="zh-CN"/>
      </w:rPr>
      <w:t xml:space="preserve">JSZC-321000-SDTZ-G2026-0007</w:t>
    </w:r>
    <w:r>
      <w:rPr>
        <w:rFonts w:hint="eastAsia"/>
      </w:rPr>
      <w:t xml:space="preserve">                                      </w:t>
    </w:r>
    <w:r>
      <w:rPr>
        <w:rFonts w:hint="eastAsia"/>
        <w:lang w:val="en-US" w:eastAsia="zh-CN"/>
      </w:rPr>
      <w:t xml:space="preserve">江苏时代投资咨询有限公司</w:t>
    </w: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num w:numId="1">
    <w:abstractNumId w:val="3"/>
  </w:num>
  <w:num w:numId="2">
    <w:abstractNumId w:val="0"/>
  </w:num>
  <w:num w:numId="3">
    <w:abstractNumId w:val="2"/>
    <w:lvlOverride w:ilvl="0">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2"/>
      <w:lang w:val="en-US" w:eastAsia="zh-CN" w:bidi="ar-SA"/>
    </w:rPr>
  </w:style>
  <w:style w:type="paragraph" w:styleId="894">
    <w:name w:val="标题 1"/>
    <w:basedOn w:val="893"/>
    <w:next w:val="893"/>
    <w:link w:val="899"/>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895">
    <w:name w:val="标题 2"/>
    <w:basedOn w:val="893"/>
    <w:next w:val="901"/>
    <w:link w:val="900"/>
    <w:qFormat/>
    <w:pPr>
      <w:jc w:val="center"/>
      <w:keepLines/>
      <w:keepNext/>
      <w:spacing w:before="260" w:after="260" w:line="416" w:lineRule="auto"/>
      <w:outlineLvl w:val="1"/>
    </w:pPr>
    <w:rPr>
      <w:rFonts w:ascii="Arial" w:hAnsi="Arial" w:eastAsia="幼圆" w:cs="Arial"/>
      <w:b/>
      <w:bCs/>
      <w:sz w:val="44"/>
      <w:szCs w:val="44"/>
    </w:rPr>
  </w:style>
  <w:style w:type="paragraph" w:styleId="896">
    <w:name w:val="标题 3"/>
    <w:basedOn w:val="893"/>
    <w:next w:val="893"/>
    <w:link w:val="903"/>
    <w:qFormat/>
    <w:pPr>
      <w:keepLines/>
      <w:keepNext/>
      <w:spacing w:before="260" w:after="260" w:line="416" w:lineRule="auto"/>
      <w:outlineLvl w:val="2"/>
    </w:pPr>
    <w:rPr>
      <w:rFonts w:ascii="Calibri" w:hAnsi="Calibri" w:eastAsia="宋体" w:cs="Times New Roman"/>
      <w:b/>
      <w:bCs/>
      <w:sz w:val="32"/>
      <w:szCs w:val="32"/>
    </w:rPr>
  </w:style>
  <w:style w:type="character" w:styleId="897">
    <w:name w:val="默认段落字体"/>
    <w:next w:val="897"/>
    <w:link w:val="893"/>
    <w:uiPriority w:val="1"/>
    <w:unhideWhenUsed/>
  </w:style>
  <w:style w:type="table" w:styleId="898">
    <w:name w:val="普通表格"/>
    <w:next w:val="898"/>
    <w:link w:val="893"/>
    <w:uiPriority w:val="99"/>
    <w:unhideWhenUsed/>
    <w:tblPr/>
  </w:style>
  <w:style w:type="character" w:styleId="899">
    <w:name w:val="标题 1 Char"/>
    <w:next w:val="899"/>
    <w:link w:val="894"/>
    <w:uiPriority w:val="9"/>
    <w:rPr>
      <w:rFonts w:ascii="Calibri" w:hAnsi="Calibri" w:eastAsia="宋体" w:cs="Times New Roman"/>
      <w:b/>
      <w:bCs/>
      <w:sz w:val="44"/>
      <w:szCs w:val="44"/>
    </w:rPr>
  </w:style>
  <w:style w:type="character" w:styleId="900">
    <w:name w:val="标题 2 Char"/>
    <w:next w:val="900"/>
    <w:link w:val="895"/>
    <w:rPr>
      <w:rFonts w:ascii="Arial" w:hAnsi="Arial" w:eastAsia="幼圆" w:cs="Arial"/>
      <w:b/>
      <w:bCs/>
      <w:sz w:val="44"/>
      <w:szCs w:val="44"/>
    </w:rPr>
  </w:style>
  <w:style w:type="paragraph" w:styleId="901">
    <w:name w:val="正文缩进"/>
    <w:basedOn w:val="893"/>
    <w:next w:val="901"/>
    <w:link w:val="902"/>
    <w:unhideWhenUsed/>
    <w:pPr>
      <w:ind w:firstLine="420"/>
    </w:pPr>
    <w:rPr>
      <w:rFonts w:ascii="Times New Roman" w:hAnsi="Times New Roman"/>
    </w:rPr>
  </w:style>
  <w:style w:type="character" w:styleId="902">
    <w:name w:val="正文缩进 Char"/>
    <w:next w:val="902"/>
    <w:link w:val="901"/>
    <w:rPr>
      <w:rFonts w:ascii="Times New Roman" w:hAnsi="Times New Roman"/>
    </w:rPr>
  </w:style>
  <w:style w:type="character" w:styleId="903">
    <w:name w:val="标题 3 Char"/>
    <w:next w:val="903"/>
    <w:link w:val="896"/>
    <w:rPr>
      <w:rFonts w:ascii="Calibri" w:hAnsi="Calibri" w:eastAsia="宋体" w:cs="Times New Roman"/>
      <w:b/>
      <w:bCs/>
      <w:sz w:val="32"/>
      <w:szCs w:val="32"/>
    </w:rPr>
  </w:style>
  <w:style w:type="paragraph" w:styleId="904">
    <w:name w:val="批注文字"/>
    <w:basedOn w:val="893"/>
    <w:next w:val="904"/>
    <w:link w:val="893"/>
    <w:uiPriority w:val="99"/>
    <w:unhideWhenUsed/>
    <w:qFormat/>
    <w:pPr>
      <w:jc w:val="left"/>
    </w:pPr>
  </w:style>
  <w:style w:type="paragraph" w:styleId="905">
    <w:name w:val="正文文本"/>
    <w:basedOn w:val="893"/>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sz w:val="28"/>
      <w:szCs w:val="28"/>
    </w:rPr>
  </w:style>
  <w:style w:type="paragraph" w:styleId="907">
    <w:name w:val="正文文本缩进"/>
    <w:basedOn w:val="893"/>
    <w:next w:val="908"/>
    <w:link w:val="893"/>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908">
    <w:name w:val="寄信人地址"/>
    <w:basedOn w:val="893"/>
    <w:next w:val="908"/>
    <w:link w:val="893"/>
    <w:uiPriority w:val="99"/>
    <w:unhideWhenUsed/>
    <w:qFormat/>
    <w:rPr>
      <w:rFonts w:ascii="Arial" w:hAnsi="Arial"/>
    </w:rPr>
  </w:style>
  <w:style w:type="paragraph" w:styleId="909">
    <w:name w:val="文本块"/>
    <w:basedOn w:val="893"/>
    <w:next w:val="909"/>
    <w:link w:val="893"/>
    <w:uiPriority w:val="99"/>
    <w:unhideWhenUsed/>
    <w:qFormat/>
    <w:pPr>
      <w:ind w:left="1440" w:right="1440"/>
      <w:spacing w:after="120"/>
    </w:pPr>
  </w:style>
  <w:style w:type="paragraph" w:styleId="910">
    <w:name w:val="目录 3"/>
    <w:basedOn w:val="893"/>
    <w:next w:val="893"/>
    <w:link w:val="893"/>
    <w:uiPriority w:val="39"/>
    <w:unhideWhenUsed/>
    <w:pPr>
      <w:ind w:left="840"/>
    </w:pPr>
  </w:style>
  <w:style w:type="paragraph" w:styleId="911">
    <w:name w:val="纯文本"/>
    <w:basedOn w:val="893"/>
    <w:next w:val="911"/>
    <w:link w:val="912"/>
    <w:uiPriority w:val="99"/>
    <w:unhideWhenUsed/>
    <w:qFormat/>
    <w:rPr>
      <w:rFonts w:ascii="宋体" w:hAnsi="Courier New" w:eastAsia="宋体" w:cs="Times New Roman"/>
      <w:sz w:val="20"/>
      <w:szCs w:val="21"/>
    </w:rPr>
  </w:style>
  <w:style w:type="character" w:styleId="912">
    <w:name w:val="纯文本 Char1"/>
    <w:next w:val="912"/>
    <w:link w:val="911"/>
    <w:uiPriority w:val="99"/>
    <w:rPr>
      <w:rFonts w:ascii="宋体" w:hAnsi="Courier New" w:eastAsia="宋体" w:cs="Times New Roman"/>
      <w:sz w:val="20"/>
      <w:szCs w:val="21"/>
    </w:rPr>
  </w:style>
  <w:style w:type="paragraph" w:styleId="913">
    <w:name w:val="页脚"/>
    <w:basedOn w:val="893"/>
    <w:next w:val="913"/>
    <w:link w:val="914"/>
    <w:uiPriority w:val="99"/>
    <w:unhideWhenUsed/>
    <w:pPr>
      <w:jc w:val="left"/>
      <w:tabs>
        <w:tab w:val="center" w:pos="4153" w:leader="none"/>
        <w:tab w:val="right" w:pos="8306" w:leader="none"/>
      </w:tabs>
    </w:pPr>
    <w:rPr>
      <w:sz w:val="18"/>
      <w:szCs w:val="18"/>
    </w:rPr>
  </w:style>
  <w:style w:type="character" w:styleId="914">
    <w:name w:val="页脚 Char"/>
    <w:next w:val="914"/>
    <w:link w:val="913"/>
    <w:uiPriority w:val="99"/>
    <w:rPr>
      <w:sz w:val="18"/>
      <w:szCs w:val="18"/>
    </w:rPr>
  </w:style>
  <w:style w:type="paragraph" w:styleId="915">
    <w:name w:val="页眉"/>
    <w:basedOn w:val="893"/>
    <w:next w:val="915"/>
    <w:link w:val="916"/>
    <w:uiPriority w:val="99"/>
    <w:unhideWhenUsed/>
    <w:pPr>
      <w:jc w:val="center"/>
      <w:tabs>
        <w:tab w:val="center" w:pos="4153" w:leader="none"/>
        <w:tab w:val="right" w:pos="8306" w:leader="none"/>
      </w:tabs>
      <w:pBdr>
        <w:bottom w:val="single" w:color="000000" w:sz="6" w:space="1"/>
      </w:pBdr>
    </w:pPr>
    <w:rPr>
      <w:sz w:val="18"/>
      <w:szCs w:val="18"/>
    </w:rPr>
  </w:style>
  <w:style w:type="character" w:styleId="916">
    <w:name w:val="页眉 Char"/>
    <w:next w:val="916"/>
    <w:link w:val="915"/>
    <w:uiPriority w:val="99"/>
    <w:rPr>
      <w:sz w:val="18"/>
      <w:szCs w:val="18"/>
    </w:rPr>
  </w:style>
  <w:style w:type="paragraph" w:styleId="917">
    <w:name w:val="目录 1"/>
    <w:basedOn w:val="893"/>
    <w:next w:val="893"/>
    <w:link w:val="893"/>
    <w:uiPriority w:val="39"/>
    <w:unhideWhenUsed/>
    <w:rPr>
      <w:rFonts w:ascii="Calibri" w:hAnsi="Calibri" w:eastAsia="宋体" w:cs="Times New Roman"/>
    </w:rPr>
  </w:style>
  <w:style w:type="paragraph" w:styleId="918">
    <w:name w:val="目录 2"/>
    <w:basedOn w:val="893"/>
    <w:next w:val="893"/>
    <w:link w:val="893"/>
    <w:uiPriority w:val="39"/>
    <w:unhideWhenUsed/>
    <w:pPr>
      <w:ind w:left="420"/>
    </w:pPr>
  </w:style>
  <w:style w:type="paragraph" w:styleId="919">
    <w:name w:val="普通(网站)"/>
    <w:basedOn w:val="893"/>
    <w:next w:val="919"/>
    <w:link w:val="893"/>
    <w:unhideWhenUsed/>
    <w:pPr>
      <w:jc w:val="left"/>
    </w:pPr>
    <w:rPr>
      <w:rFonts w:ascii="Calibri" w:hAnsi="Calibri" w:eastAsia="宋体" w:cs="Times New Roman"/>
      <w:sz w:val="24"/>
      <w:szCs w:val="24"/>
    </w:rPr>
  </w:style>
  <w:style w:type="character" w:styleId="920">
    <w:name w:val="要点"/>
    <w:next w:val="920"/>
    <w:link w:val="893"/>
    <w:qFormat/>
    <w:rPr>
      <w:b/>
    </w:rPr>
  </w:style>
  <w:style w:type="character" w:styleId="921">
    <w:name w:val="正文文本 Char1"/>
    <w:basedOn w:val="897"/>
    <w:next w:val="921"/>
    <w:link w:val="893"/>
    <w:uiPriority w:val="99"/>
    <w:semiHidden/>
  </w:style>
  <w:style w:type="character" w:styleId="922">
    <w:name w:val="页眉 Char1"/>
    <w:next w:val="922"/>
    <w:link w:val="893"/>
    <w:uiPriority w:val="99"/>
    <w:semiHidden/>
    <w:rPr>
      <w:sz w:val="18"/>
      <w:szCs w:val="18"/>
    </w:rPr>
  </w:style>
  <w:style w:type="character" w:styleId="923">
    <w:name w:val="页脚 Char1"/>
    <w:next w:val="923"/>
    <w:link w:val="893"/>
    <w:uiPriority w:val="99"/>
    <w:semiHidden/>
    <w:rPr>
      <w:sz w:val="18"/>
      <w:szCs w:val="18"/>
    </w:rPr>
  </w:style>
  <w:style w:type="paragraph" w:styleId="924">
    <w:name w:val="普通正文"/>
    <w:basedOn w:val="893"/>
    <w:next w:val="924"/>
    <w:link w:val="893"/>
    <w:qFormat/>
    <w:pPr>
      <w:ind w:firstLine="480"/>
      <w:jc w:val="left"/>
      <w:spacing w:before="120" w:after="120" w:line="360" w:lineRule="auto"/>
    </w:pPr>
    <w:rPr>
      <w:rFonts w:ascii="Arial" w:hAnsi="Arial" w:eastAsia="宋体" w:cs="Times New Roman"/>
      <w:sz w:val="24"/>
      <w:szCs w:val="24"/>
    </w:rPr>
  </w:style>
  <w:style w:type="paragraph" w:styleId="925">
    <w:name w:val="Char"/>
    <w:basedOn w:val="893"/>
    <w:next w:val="925"/>
    <w:link w:val="893"/>
    <w:qFormat/>
    <w:pPr>
      <w:ind w:firstLine="200"/>
      <w:tabs>
        <w:tab w:val="left" w:pos="360" w:leader="none"/>
      </w:tabs>
    </w:pPr>
    <w:rPr>
      <w:rFonts w:ascii="Times New Roman" w:hAnsi="Times New Roman" w:eastAsia="宋体" w:cs="Times New Roman"/>
      <w:sz w:val="28"/>
      <w:szCs w:val="30"/>
    </w:rPr>
  </w:style>
  <w:style w:type="character" w:styleId="926">
    <w:name w:val="标题 1 字符"/>
    <w:next w:val="926"/>
    <w:link w:val="893"/>
    <w:uiPriority w:val="9"/>
    <w:rPr>
      <w:rFonts w:ascii="Calibri" w:hAnsi="Calibri" w:eastAsia="宋体" w:cs="Times New Roman"/>
      <w:b/>
      <w:bCs/>
      <w:sz w:val="44"/>
      <w:szCs w:val="44"/>
    </w:rPr>
  </w:style>
  <w:style w:type="paragraph" w:styleId="927">
    <w:name w:val="正文1"/>
    <w:basedOn w:val="893"/>
    <w:next w:val="928"/>
    <w:link w:val="893"/>
    <w:uiPriority w:val="99"/>
    <w:qFormat/>
    <w:pPr>
      <w:ind w:firstLine="480"/>
      <w:spacing w:line="440" w:lineRule="exact"/>
    </w:pPr>
    <w:rPr>
      <w:rFonts w:ascii="微软雅黑" w:hAnsi="微软雅黑" w:eastAsia="微软雅黑" w:cs="Times New Roman"/>
      <w:sz w:val="24"/>
      <w:szCs w:val="20"/>
    </w:rPr>
  </w:style>
  <w:style w:type="paragraph" w:styleId="928">
    <w:name w:val="正文文本1"/>
    <w:basedOn w:val="927"/>
    <w:next w:val="929"/>
    <w:link w:val="893"/>
    <w:qFormat/>
    <w:pPr>
      <w:spacing w:after="120"/>
    </w:pPr>
    <w:rPr>
      <w:lang w:val="en-US" w:eastAsia="en-US"/>
    </w:rPr>
  </w:style>
  <w:style w:type="paragraph" w:styleId="929">
    <w:name w:val="一级条标题"/>
    <w:basedOn w:val="930"/>
    <w:next w:val="931"/>
    <w:link w:val="89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0">
    <w:name w:val="章标题"/>
    <w:next w:val="893"/>
    <w:link w:val="89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1">
    <w:name w:val="段"/>
    <w:next w:val="893"/>
    <w:link w:val="893"/>
    <w:pPr>
      <w:ind w:firstLine="420"/>
      <w:jc w:val="both"/>
      <w:tabs>
        <w:tab w:val="center" w:pos="4201" w:leader="none"/>
        <w:tab w:val="right" w:pos="9298" w:leader="dot"/>
      </w:tabs>
    </w:pPr>
    <w:rPr>
      <w:rFonts w:ascii="宋体" w:hAnsi="Times New Roman" w:eastAsia="宋体" w:cs="Times New Roman"/>
      <w:lang w:val="en-US" w:eastAsia="zh-CN" w:bidi="ar-SA"/>
    </w:rPr>
  </w:style>
  <w:style w:type="character" w:styleId="932">
    <w:name w:val="纯文本 Char"/>
    <w:next w:val="932"/>
    <w:link w:val="893"/>
    <w:uiPriority w:val="99"/>
    <w:semiHidden/>
    <w:rPr>
      <w:rFonts w:ascii="宋体" w:hAnsi="Courier New" w:eastAsia="宋体" w:cs="Courier New"/>
      <w:szCs w:val="21"/>
    </w:rPr>
  </w:style>
  <w:style w:type="paragraph" w:styleId="933">
    <w:name w:val="标题 41"/>
    <w:basedOn w:val="893"/>
    <w:next w:val="934"/>
    <w:link w:val="893"/>
    <w:qFormat/>
    <w:pPr>
      <w:spacing w:before="280" w:after="290" w:line="377" w:lineRule="auto"/>
      <w:outlineLvl w:val="3"/>
    </w:pPr>
    <w:rPr>
      <w:rFonts w:ascii="Arial" w:hAnsi="Arial" w:eastAsia="黑体"/>
      <w:b/>
      <w:bCs/>
      <w:sz w:val="28"/>
      <w:szCs w:val="28"/>
    </w:rPr>
  </w:style>
  <w:style w:type="paragraph" w:styleId="934">
    <w:name w:val="正文缩进11"/>
    <w:basedOn w:val="893"/>
    <w:next w:val="934"/>
    <w:link w:val="893"/>
    <w:unhideWhenUsed/>
    <w:qFormat/>
    <w:pPr>
      <w:ind w:firstLine="420"/>
    </w:pPr>
  </w:style>
  <w:style w:type="paragraph" w:styleId="935">
    <w:name w:val="纯文本1"/>
    <w:basedOn w:val="893"/>
    <w:next w:val="935"/>
    <w:link w:val="893"/>
    <w:qFormat/>
    <w:rPr>
      <w:rFonts w:ascii="宋体" w:hAnsi="Courier New"/>
      <w:sz w:val="20"/>
      <w:szCs w:val="21"/>
    </w:rPr>
  </w:style>
  <w:style w:type="character" w:styleId="936">
    <w:name w:val="font61"/>
    <w:basedOn w:val="897"/>
    <w:next w:val="936"/>
    <w:link w:val="893"/>
    <w:rPr>
      <w:rFonts w:hint="eastAsia" w:ascii="宋体" w:hAnsi="宋体" w:eastAsia="宋体" w:cs="宋体"/>
      <w:i w:val="0"/>
      <w:iCs w:val="0"/>
      <w:color w:val="000000"/>
      <w:sz w:val="22"/>
      <w:szCs w:val="22"/>
      <w:u w:val="none"/>
    </w:rPr>
  </w:style>
  <w:style w:type="character" w:styleId="937">
    <w:name w:val="font81"/>
    <w:basedOn w:val="897"/>
    <w:next w:val="937"/>
    <w:link w:val="893"/>
    <w:rPr>
      <w:rFonts w:hint="eastAsia" w:ascii="宋体" w:hAnsi="宋体" w:eastAsia="宋体" w:cs="宋体"/>
      <w:b/>
      <w:bCs/>
      <w:i w:val="0"/>
      <w:iCs w:val="0"/>
      <w:color w:val="ff0000"/>
      <w:sz w:val="22"/>
      <w:szCs w:val="22"/>
      <w:u w:val="single"/>
    </w:rPr>
  </w:style>
  <w:style w:type="character" w:styleId="938">
    <w:name w:val="font31"/>
    <w:basedOn w:val="897"/>
    <w:next w:val="938"/>
    <w:link w:val="893"/>
    <w:qFormat/>
    <w:rPr>
      <w:rFonts w:hint="eastAsia" w:ascii="宋体" w:hAnsi="宋体" w:eastAsia="宋体" w:cs="宋体"/>
      <w:color w:val="000000"/>
      <w:sz w:val="22"/>
      <w:szCs w:val="22"/>
      <w:u w:val="none"/>
      <w:vertAlign w:val="superscript"/>
    </w:rPr>
  </w:style>
  <w:style w:type="character" w:styleId="939">
    <w:name w:val="font11"/>
    <w:basedOn w:val="897"/>
    <w:next w:val="939"/>
    <w:link w:val="893"/>
    <w:qFormat/>
    <w:rPr>
      <w:rFonts w:hint="eastAsia" w:ascii="宋体" w:hAnsi="宋体" w:eastAsia="宋体" w:cs="宋体"/>
      <w:color w:val="000000"/>
      <w:sz w:val="22"/>
      <w:szCs w:val="22"/>
      <w:u w:val="none"/>
    </w:rPr>
  </w:style>
  <w:style w:type="paragraph" w:styleId="940">
    <w:name w:val="标题 31"/>
    <w:basedOn w:val="893"/>
    <w:next w:val="893"/>
    <w:link w:val="893"/>
    <w:qFormat/>
    <w:pPr>
      <w:keepLines/>
      <w:keepNext/>
      <w:spacing w:before="260" w:after="260" w:line="416" w:lineRule="auto"/>
      <w:outlineLvl w:val="2"/>
    </w:pPr>
    <w:rPr>
      <w:b/>
      <w:bCs/>
      <w:sz w:val="32"/>
      <w:szCs w:val="32"/>
    </w:rPr>
  </w:style>
  <w:style w:type="character" w:styleId="941">
    <w:name w:val="font51"/>
    <w:basedOn w:val="897"/>
    <w:next w:val="941"/>
    <w:link w:val="893"/>
    <w:rPr>
      <w:rFonts w:ascii="华文中宋" w:hAnsi="华文中宋" w:eastAsia="华文中宋" w:cs="华文中宋"/>
      <w:i w:val="0"/>
      <w:iCs w:val="0"/>
      <w:color w:val="000000"/>
      <w:sz w:val="32"/>
      <w:szCs w:val="32"/>
      <w:u w:val="none"/>
    </w:rPr>
  </w:style>
  <w:style w:type="character" w:styleId="942">
    <w:name w:val="font41"/>
    <w:basedOn w:val="897"/>
    <w:next w:val="942"/>
    <w:link w:val="893"/>
    <w:rPr>
      <w:rFonts w:hint="eastAsia" w:ascii="宋体" w:hAnsi="宋体" w:eastAsia="宋体" w:cs="宋体"/>
      <w:i w:val="0"/>
      <w:iCs w:val="0"/>
      <w:color w:val="000000"/>
      <w:sz w:val="20"/>
      <w:szCs w:val="20"/>
      <w:u w:val="none"/>
    </w:rPr>
  </w:style>
  <w:style w:type="character" w:styleId="943">
    <w:name w:val="font71"/>
    <w:basedOn w:val="897"/>
    <w:next w:val="943"/>
    <w:link w:val="893"/>
    <w:rPr>
      <w:rFonts w:hint="eastAsia" w:ascii="宋体" w:hAnsi="宋体" w:eastAsia="宋体" w:cs="宋体"/>
      <w:b/>
      <w:bCs/>
      <w:i w:val="0"/>
      <w:iCs w:val="0"/>
      <w:color w:val="000000"/>
      <w:sz w:val="20"/>
      <w:szCs w:val="20"/>
      <w:u w:val="none"/>
    </w:rPr>
  </w:style>
  <w:style w:type="character" w:styleId="944" w:default="1">
    <w:name w:val="Default Paragraph Font"/>
    <w:uiPriority w:val="1"/>
    <w:semiHidden/>
    <w:unhideWhenUsed/>
  </w:style>
  <w:style w:type="numbering" w:styleId="945" w:default="1">
    <w:name w:val="No List"/>
    <w:uiPriority w:val="99"/>
    <w:semiHidden/>
    <w:unhideWhenUsed/>
  </w:style>
  <w:style w:type="table" w:styleId="9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杨小新</cp:lastModifiedBy>
  <cp:revision>4</cp:revision>
  <dcterms:created xsi:type="dcterms:W3CDTF">2022-02-11T07:12:00Z</dcterms:created>
  <dcterms:modified xsi:type="dcterms:W3CDTF">2026-07-20T09:51:57Z</dcterms:modified>
</cp:coreProperties>
</file>