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9C36F">
      <w:pPr>
        <w:pStyle w:val="36"/>
        <w:spacing w:before="120" w:beforeAutospacing="0" w:after="120" w:afterAutospacing="0" w:line="360" w:lineRule="auto"/>
        <w:rPr>
          <w:highlight w:val="none"/>
        </w:rPr>
      </w:pPr>
    </w:p>
    <w:p w14:paraId="404EBC3A">
      <w:pPr>
        <w:spacing w:before="120" w:after="120" w:line="300" w:lineRule="auto"/>
        <w:jc w:val="center"/>
        <w:rPr>
          <w:b/>
          <w:sz w:val="84"/>
          <w:szCs w:val="21"/>
        </w:rPr>
      </w:pPr>
    </w:p>
    <w:p w14:paraId="49635542">
      <w:pPr>
        <w:pStyle w:val="38"/>
      </w:pPr>
    </w:p>
    <w:p w14:paraId="579EDC1E">
      <w:pPr>
        <w:spacing w:before="120" w:after="120" w:line="300" w:lineRule="auto"/>
        <w:jc w:val="center"/>
        <w:rPr>
          <w:b/>
          <w:sz w:val="84"/>
          <w:szCs w:val="21"/>
        </w:rPr>
      </w:pPr>
      <w:r>
        <w:rPr>
          <w:rFonts w:hint="eastAsia"/>
          <w:b/>
          <w:sz w:val="84"/>
          <w:szCs w:val="21"/>
        </w:rPr>
        <w:t>招 标 文 件</w:t>
      </w:r>
    </w:p>
    <w:p w14:paraId="26A0B158">
      <w:pPr>
        <w:spacing w:line="300" w:lineRule="auto"/>
        <w:rPr>
          <w:b/>
          <w:bCs/>
          <w:sz w:val="28"/>
        </w:rPr>
      </w:pPr>
    </w:p>
    <w:p w14:paraId="32044EAE">
      <w:pPr>
        <w:pStyle w:val="2"/>
        <w:rPr>
          <w:b/>
          <w:bCs/>
          <w:sz w:val="28"/>
        </w:rPr>
      </w:pPr>
    </w:p>
    <w:p w14:paraId="350FF5BE">
      <w:pPr>
        <w:pStyle w:val="46"/>
      </w:pPr>
    </w:p>
    <w:p w14:paraId="4EF8B342">
      <w:pPr>
        <w:pStyle w:val="2"/>
        <w:rPr>
          <w:b/>
          <w:bCs/>
          <w:sz w:val="28"/>
        </w:rPr>
      </w:pPr>
    </w:p>
    <w:p w14:paraId="6DA6804B">
      <w:pPr>
        <w:rPr>
          <w:rFonts w:ascii="宋体"/>
          <w:b/>
          <w:sz w:val="32"/>
          <w:szCs w:val="32"/>
        </w:rPr>
      </w:pPr>
    </w:p>
    <w:p w14:paraId="500A9F66">
      <w:pPr>
        <w:ind w:firstLine="640" w:firstLineChars="200"/>
        <w:jc w:val="both"/>
        <w:rPr>
          <w:rFonts w:hint="default" w:ascii="宋体" w:hAnsi="宋体" w:eastAsia="宋体" w:cs="宋体"/>
          <w:sz w:val="32"/>
          <w:szCs w:val="22"/>
          <w:lang w:val="en-US" w:eastAsia="zh-CN"/>
        </w:rPr>
      </w:pPr>
      <w:r>
        <w:rPr>
          <w:rFonts w:hint="eastAsia" w:ascii="宋体"/>
          <w:b/>
          <w:sz w:val="32"/>
          <w:szCs w:val="32"/>
        </w:rPr>
        <w:t>项</w:t>
      </w:r>
      <w:r>
        <w:rPr>
          <w:rFonts w:hint="eastAsia" w:ascii="宋体" w:hAnsi="宋体" w:cs="宋体"/>
          <w:b/>
          <w:sz w:val="32"/>
          <w:szCs w:val="32"/>
        </w:rPr>
        <w:t>目</w:t>
      </w:r>
      <w:r>
        <w:rPr>
          <w:rFonts w:hint="eastAsia" w:ascii="宋体" w:hAnsi="宋体" w:eastAsia="宋体" w:cs="宋体"/>
          <w:b/>
          <w:sz w:val="32"/>
          <w:szCs w:val="32"/>
          <w:lang w:val="en-US" w:eastAsia="zh-CN"/>
        </w:rPr>
        <w:t>编号：JSZC-320000-JSQG-G2026-0006</w:t>
      </w:r>
    </w:p>
    <w:p w14:paraId="30FFF7DD">
      <w:pPr>
        <w:spacing w:line="300" w:lineRule="auto"/>
        <w:jc w:val="both"/>
        <w:rPr>
          <w:b/>
          <w:bCs/>
          <w:sz w:val="24"/>
          <w:szCs w:val="22"/>
        </w:rPr>
      </w:pPr>
    </w:p>
    <w:p w14:paraId="142B3579">
      <w:pPr>
        <w:spacing w:line="480" w:lineRule="auto"/>
        <w:ind w:firstLine="640" w:firstLineChars="200"/>
        <w:jc w:val="both"/>
        <w:rPr>
          <w:rFonts w:ascii="宋体"/>
          <w:b/>
          <w:sz w:val="32"/>
          <w:szCs w:val="22"/>
        </w:rPr>
      </w:pPr>
      <w:r>
        <w:rPr>
          <w:rFonts w:hint="eastAsia" w:ascii="宋体"/>
          <w:b/>
          <w:sz w:val="32"/>
          <w:szCs w:val="22"/>
        </w:rPr>
        <w:t>项目</w:t>
      </w:r>
      <w:r>
        <w:rPr>
          <w:rFonts w:hint="eastAsia" w:ascii="宋体" w:eastAsia="宋体"/>
          <w:b/>
          <w:sz w:val="32"/>
          <w:szCs w:val="22"/>
          <w:lang w:val="en-US" w:eastAsia="zh-CN"/>
        </w:rPr>
        <w:t>名称</w:t>
      </w:r>
      <w:r>
        <w:rPr>
          <w:rFonts w:hint="eastAsia" w:ascii="宋体"/>
          <w:b/>
          <w:sz w:val="32"/>
          <w:szCs w:val="22"/>
        </w:rPr>
        <w:t>：</w:t>
      </w:r>
      <w:r>
        <w:rPr>
          <w:rFonts w:hint="eastAsia" w:ascii="宋体"/>
          <w:b/>
          <w:sz w:val="32"/>
          <w:szCs w:val="22"/>
          <w:lang w:val="en-US" w:eastAsia="zh-CN"/>
        </w:rPr>
        <w:t>西园食堂屋面整体维修项目（二次）</w:t>
      </w:r>
    </w:p>
    <w:p w14:paraId="101BC1FE">
      <w:pPr>
        <w:spacing w:line="480" w:lineRule="auto"/>
        <w:jc w:val="center"/>
        <w:rPr>
          <w:rFonts w:eastAsia="黑体"/>
          <w:b/>
          <w:sz w:val="32"/>
        </w:rPr>
      </w:pPr>
    </w:p>
    <w:p w14:paraId="3137F9AF">
      <w:pPr>
        <w:spacing w:line="480" w:lineRule="auto"/>
        <w:jc w:val="center"/>
        <w:rPr>
          <w:rFonts w:eastAsia="黑体"/>
          <w:b/>
          <w:sz w:val="32"/>
        </w:rPr>
      </w:pPr>
    </w:p>
    <w:p w14:paraId="29447EAB">
      <w:pPr>
        <w:spacing w:line="480" w:lineRule="auto"/>
        <w:jc w:val="center"/>
        <w:rPr>
          <w:rFonts w:eastAsia="黑体"/>
          <w:b/>
          <w:sz w:val="32"/>
        </w:rPr>
      </w:pPr>
    </w:p>
    <w:p w14:paraId="590C0406">
      <w:pPr>
        <w:rPr>
          <w:rFonts w:ascii="宋体"/>
          <w:b/>
          <w:sz w:val="32"/>
        </w:rPr>
      </w:pPr>
    </w:p>
    <w:p w14:paraId="01167A57">
      <w:pPr>
        <w:rPr>
          <w:rFonts w:ascii="宋体"/>
          <w:b/>
          <w:sz w:val="32"/>
        </w:rPr>
      </w:pPr>
    </w:p>
    <w:p w14:paraId="4A8E01CC">
      <w:pPr>
        <w:rPr>
          <w:rFonts w:ascii="宋体"/>
          <w:b/>
          <w:sz w:val="32"/>
        </w:rPr>
      </w:pPr>
    </w:p>
    <w:p w14:paraId="1A0A3BD3">
      <w:pPr>
        <w:pStyle w:val="36"/>
        <w:spacing w:before="120" w:beforeAutospacing="0" w:after="120" w:afterAutospacing="0" w:line="360" w:lineRule="auto"/>
        <w:jc w:val="center"/>
        <w:rPr>
          <w:rFonts w:hint="eastAsia" w:ascii="Arial" w:hAnsi="Arial" w:eastAsia="宋体" w:cs="Arial"/>
          <w:b/>
          <w:sz w:val="32"/>
          <w:szCs w:val="32"/>
          <w:lang w:eastAsia="zh-CN"/>
        </w:rPr>
      </w:pPr>
      <w:r>
        <w:rPr>
          <w:rFonts w:hint="eastAsia" w:ascii="Arial" w:hAnsi="Arial" w:eastAsia="宋体" w:cs="Arial"/>
          <w:b/>
          <w:sz w:val="32"/>
          <w:szCs w:val="32"/>
          <w:lang w:eastAsia="zh-CN"/>
        </w:rPr>
        <w:t>江苏医药职业学院</w:t>
      </w:r>
    </w:p>
    <w:p w14:paraId="675B5B78">
      <w:pPr>
        <w:pBdr>
          <w:top w:val="none" w:color="000000" w:sz="0" w:space="0"/>
          <w:left w:val="none" w:color="000000" w:sz="0" w:space="0"/>
          <w:bottom w:val="none" w:color="000000" w:sz="0" w:space="0"/>
          <w:right w:val="none" w:color="000000" w:sz="0" w:space="0"/>
        </w:pBdr>
        <w:spacing w:after="120"/>
        <w:jc w:val="center"/>
        <w:rPr>
          <w:rFonts w:hint="eastAsia" w:ascii="宋体"/>
          <w:b/>
          <w:sz w:val="32"/>
          <w:szCs w:val="22"/>
          <w:lang w:eastAsia="zh-CN"/>
        </w:rPr>
      </w:pPr>
      <w:r>
        <w:rPr>
          <w:rFonts w:hint="eastAsia" w:ascii="宋体"/>
          <w:b/>
          <w:sz w:val="32"/>
          <w:szCs w:val="22"/>
          <w:lang w:eastAsia="zh-CN"/>
        </w:rPr>
        <w:t>202</w:t>
      </w:r>
      <w:r>
        <w:rPr>
          <w:rFonts w:hint="eastAsia" w:ascii="宋体"/>
          <w:b/>
          <w:sz w:val="32"/>
          <w:szCs w:val="22"/>
          <w:lang w:val="en-US" w:eastAsia="zh-CN"/>
        </w:rPr>
        <w:t>6</w:t>
      </w:r>
      <w:r>
        <w:rPr>
          <w:rFonts w:hint="eastAsia" w:ascii="宋体"/>
          <w:b/>
          <w:sz w:val="32"/>
          <w:szCs w:val="22"/>
          <w:lang w:eastAsia="zh-CN"/>
        </w:rPr>
        <w:t>年</w:t>
      </w:r>
      <w:r>
        <w:rPr>
          <w:rFonts w:hint="eastAsia" w:ascii="宋体"/>
          <w:b/>
          <w:sz w:val="32"/>
          <w:szCs w:val="22"/>
          <w:lang w:val="en-US" w:eastAsia="zh-CN"/>
        </w:rPr>
        <w:t>7</w:t>
      </w:r>
      <w:r>
        <w:rPr>
          <w:rFonts w:hint="eastAsia" w:ascii="宋体"/>
          <w:b/>
          <w:sz w:val="32"/>
          <w:szCs w:val="22"/>
          <w:lang w:eastAsia="zh-CN"/>
        </w:rPr>
        <w:t>月</w:t>
      </w:r>
    </w:p>
    <w:p w14:paraId="6F839D76">
      <w:pPr>
        <w:pStyle w:val="36"/>
        <w:spacing w:before="120" w:beforeAutospacing="0" w:after="120" w:afterAutospacing="0" w:line="360" w:lineRule="auto"/>
        <w:jc w:val="center"/>
        <w:rPr>
          <w:highlight w:val="none"/>
        </w:rPr>
      </w:pPr>
    </w:p>
    <w:p w14:paraId="65608611">
      <w:pPr>
        <w:pStyle w:val="36"/>
        <w:spacing w:before="120" w:beforeAutospacing="0" w:after="120" w:afterAutospacing="0" w:line="360" w:lineRule="auto"/>
        <w:jc w:val="center"/>
        <w:rPr>
          <w:highlight w:val="none"/>
        </w:rPr>
      </w:pPr>
    </w:p>
    <w:p w14:paraId="2EB4485A">
      <w:pPr>
        <w:pStyle w:val="36"/>
        <w:spacing w:beforeAutospacing="0" w:afterAutospacing="0" w:line="480" w:lineRule="auto"/>
        <w:jc w:val="center"/>
        <w:rPr>
          <w:rFonts w:ascii="Times New Roman" w:hAnsi="Times New Roman"/>
          <w:color w:val="000000"/>
          <w:sz w:val="21"/>
          <w:szCs w:val="21"/>
          <w:highlight w:val="none"/>
        </w:rPr>
        <w:sectPr>
          <w:footerReference r:id="rId3" w:type="default"/>
          <w:pgSz w:w="11906" w:h="16838"/>
          <w:pgMar w:top="1440" w:right="1706" w:bottom="1440" w:left="1800" w:header="851" w:footer="992" w:gutter="0"/>
          <w:cols w:space="425" w:num="1"/>
          <w:docGrid w:linePitch="360" w:charSpace="0"/>
        </w:sectPr>
      </w:pPr>
    </w:p>
    <w:p w14:paraId="013CCDC5">
      <w:pPr>
        <w:pStyle w:val="36"/>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513029200"/>
      <w:bookmarkStart w:id="1" w:name="_Toc16938516"/>
      <w:bookmarkStart w:id="2" w:name="_Toc523127445"/>
      <w:bookmarkStart w:id="3" w:name="_Toc120614210"/>
      <w:bookmarkStart w:id="4" w:name="_Toc479757206"/>
      <w:bookmarkStart w:id="5" w:name="_Toc20823272"/>
      <w:r>
        <w:rPr>
          <w:rFonts w:ascii="黑体" w:hAnsi="宋体" w:eastAsia="黑体" w:cs="黑体"/>
          <w:b/>
          <w:color w:val="000000"/>
          <w:sz w:val="44"/>
          <w:szCs w:val="44"/>
          <w:highlight w:val="none"/>
        </w:rPr>
        <w:t>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bookmarkEnd w:id="1"/>
      <w:bookmarkEnd w:id="2"/>
      <w:bookmarkEnd w:id="3"/>
      <w:bookmarkEnd w:id="4"/>
      <w:bookmarkEnd w:id="5"/>
    </w:p>
    <w:p w14:paraId="5FFF50AD">
      <w:pPr>
        <w:pStyle w:val="36"/>
        <w:spacing w:beforeAutospacing="0" w:afterAutospacing="0" w:line="480" w:lineRule="auto"/>
        <w:jc w:val="both"/>
        <w:rPr>
          <w:highlight w:val="none"/>
        </w:rPr>
      </w:pPr>
    </w:p>
    <w:p w14:paraId="4FBE9598">
      <w:pPr>
        <w:pStyle w:val="36"/>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3</w:t>
      </w:r>
    </w:p>
    <w:p w14:paraId="2FDCB6AD">
      <w:pPr>
        <w:pStyle w:val="36"/>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7</w:t>
      </w:r>
    </w:p>
    <w:p w14:paraId="67C74D5F">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val="en-US" w:eastAsia="zh-CN"/>
        </w:rPr>
        <w:t>文本</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19</w:t>
      </w:r>
    </w:p>
    <w:p w14:paraId="470FDAB6">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32</w:t>
      </w:r>
    </w:p>
    <w:p w14:paraId="64DF0B57">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40</w:t>
      </w:r>
    </w:p>
    <w:p w14:paraId="5B4EF6B6">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44</w:t>
      </w:r>
    </w:p>
    <w:p w14:paraId="7B6B0EF0">
      <w:pPr>
        <w:pStyle w:val="36"/>
        <w:keepNext/>
        <w:keepLines/>
        <w:pageBreakBefore w:val="0"/>
        <w:widowControl w:val="0"/>
        <w:spacing w:beforeAutospacing="0" w:afterAutospacing="0" w:line="360" w:lineRule="auto"/>
        <w:ind w:firstLine="0"/>
        <w:jc w:val="center"/>
        <w:rPr>
          <w:rFonts w:hint="eastAsia" w:ascii="黑体" w:hAnsi="宋体" w:eastAsia="黑体" w:cs="黑体"/>
          <w:b/>
          <w:color w:val="000000"/>
          <w:sz w:val="44"/>
          <w:szCs w:val="44"/>
          <w:highlight w:val="none"/>
        </w:rPr>
        <w:sectPr>
          <w:footerReference r:id="rId4" w:type="default"/>
          <w:pgSz w:w="11906" w:h="16838"/>
          <w:pgMar w:top="1440" w:right="1706" w:bottom="1440" w:left="1800" w:header="851" w:footer="992" w:gutter="0"/>
          <w:pgNumType w:start="2"/>
          <w:cols w:space="425" w:num="1"/>
          <w:docGrid w:linePitch="360" w:charSpace="0"/>
        </w:sectPr>
      </w:pPr>
      <w:bookmarkStart w:id="6" w:name="_Toc28359086"/>
    </w:p>
    <w:p w14:paraId="0DCF526B">
      <w:pPr>
        <w:spacing w:line="360" w:lineRule="auto"/>
        <w:jc w:val="center"/>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第一章  招标公告</w:t>
      </w:r>
    </w:p>
    <w:p w14:paraId="05F94BF9">
      <w:pPr>
        <w:pStyle w:val="36"/>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项目概况</w:t>
      </w:r>
    </w:p>
    <w:p w14:paraId="6E8D3395">
      <w:pPr>
        <w:pStyle w:val="36"/>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u w:val="single"/>
          <w:lang w:eastAsia="zh-CN"/>
        </w:rPr>
        <w:t>西园食堂屋面整体维修项目（二次）</w:t>
      </w:r>
      <w:r>
        <w:rPr>
          <w:rFonts w:hint="eastAsia" w:ascii="宋体" w:hAnsi="宋体" w:eastAsia="宋体" w:cs="宋体"/>
          <w:color w:val="000000"/>
          <w:sz w:val="21"/>
          <w:szCs w:val="21"/>
          <w:highlight w:val="none"/>
          <w:u w:val="none"/>
          <w:lang w:val="en-US" w:eastAsia="zh-CN"/>
        </w:rPr>
        <w:t>JSZC-320000-JSQG-G2026-0006</w:t>
      </w:r>
      <w:r>
        <w:rPr>
          <w:rFonts w:hint="eastAsia" w:ascii="宋体" w:hAnsi="宋体" w:eastAsia="宋体" w:cs="宋体"/>
          <w:color w:val="000000"/>
          <w:sz w:val="21"/>
          <w:szCs w:val="21"/>
          <w:highlight w:val="none"/>
        </w:rPr>
        <w:t>招标项目的潜在投标人</w:t>
      </w:r>
      <w:r>
        <w:rPr>
          <w:rFonts w:hint="eastAsia" w:ascii="宋体" w:hAnsi="宋体" w:eastAsia="宋体" w:cs="宋体"/>
          <w:color w:val="000000"/>
          <w:sz w:val="21"/>
          <w:szCs w:val="21"/>
          <w:highlight w:val="none"/>
          <w:lang w:val="en-US" w:eastAsia="zh-CN"/>
        </w:rPr>
        <w:t>应</w:t>
      </w:r>
      <w:r>
        <w:rPr>
          <w:rFonts w:hint="eastAsia" w:ascii="宋体" w:hAnsi="宋体" w:eastAsia="宋体" w:cs="宋体"/>
          <w:color w:val="000000"/>
          <w:sz w:val="21"/>
          <w:szCs w:val="21"/>
          <w:highlight w:val="none"/>
        </w:rPr>
        <w:t>在“苏采云”系统内免费下载（投标人必须在苏采云系统中获取采购文件，方能参与政府采购项目），</w:t>
      </w:r>
      <w:r>
        <w:rPr>
          <w:rFonts w:hint="eastAsia" w:ascii="宋体" w:hAnsi="宋体" w:eastAsia="宋体" w:cs="宋体"/>
          <w:color w:val="auto"/>
          <w:sz w:val="21"/>
          <w:szCs w:val="21"/>
          <w:highlight w:val="none"/>
        </w:rPr>
        <w:t>并于</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点</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u w:val="single"/>
        </w:rPr>
        <w:t>分</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北京时间）前递交投标文件。</w:t>
      </w:r>
    </w:p>
    <w:p w14:paraId="20286D92">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color w:val="auto"/>
          <w:sz w:val="21"/>
          <w:szCs w:val="21"/>
          <w:highlight w:val="none"/>
        </w:rPr>
      </w:pPr>
      <w:bookmarkStart w:id="7" w:name="_Toc38985263"/>
      <w:bookmarkStart w:id="8" w:name="_Toc28359002"/>
      <w:bookmarkStart w:id="9" w:name="_Toc35393790"/>
      <w:bookmarkStart w:id="10" w:name="_Hlk24379207"/>
      <w:bookmarkStart w:id="11" w:name="_Toc28359079"/>
      <w:bookmarkStart w:id="12" w:name="_Toc35393621"/>
      <w:r>
        <w:rPr>
          <w:rFonts w:hint="eastAsia" w:ascii="宋体" w:hAnsi="宋体" w:eastAsia="宋体" w:cs="宋体"/>
          <w:b/>
          <w:color w:val="auto"/>
          <w:sz w:val="21"/>
          <w:szCs w:val="21"/>
          <w:highlight w:val="none"/>
        </w:rPr>
        <w:t>一、项目基本情况</w:t>
      </w:r>
      <w:bookmarkEnd w:id="7"/>
      <w:bookmarkEnd w:id="8"/>
      <w:bookmarkEnd w:id="9"/>
      <w:bookmarkEnd w:id="10"/>
      <w:bookmarkEnd w:id="11"/>
      <w:bookmarkEnd w:id="12"/>
    </w:p>
    <w:p w14:paraId="147F853C">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rPr>
        <w:t>1.项目编号：</w:t>
      </w:r>
      <w:r>
        <w:rPr>
          <w:rFonts w:hint="eastAsia" w:ascii="宋体" w:hAnsi="宋体" w:eastAsia="宋体" w:cs="宋体"/>
          <w:i w:val="0"/>
          <w:iCs w:val="0"/>
          <w:caps w:val="0"/>
          <w:color w:val="auto"/>
          <w:spacing w:val="0"/>
          <w:sz w:val="21"/>
          <w:szCs w:val="21"/>
          <w:highlight w:val="none"/>
          <w:shd w:val="clear" w:color="auto" w:fill="FFFFFF"/>
          <w:lang w:eastAsia="zh-CN"/>
        </w:rPr>
        <w:t>JSZC-320000-JSQG-G2026-0006</w:t>
      </w:r>
    </w:p>
    <w:p w14:paraId="6CBF898B">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rPr>
        <w:t>2.项</w:t>
      </w:r>
      <w:r>
        <w:rPr>
          <w:rFonts w:hint="eastAsia" w:ascii="宋体" w:hAnsi="宋体" w:eastAsia="宋体" w:cs="宋体"/>
          <w:color w:val="auto"/>
          <w:sz w:val="21"/>
          <w:szCs w:val="21"/>
          <w:highlight w:val="none"/>
          <w:shd w:val="clear" w:color="auto" w:fill="auto"/>
        </w:rPr>
        <w:t>目名称：</w:t>
      </w:r>
      <w:r>
        <w:rPr>
          <w:rFonts w:hint="eastAsia" w:ascii="宋体" w:hAnsi="宋体" w:eastAsia="宋体" w:cs="宋体"/>
          <w:color w:val="auto"/>
          <w:sz w:val="21"/>
          <w:szCs w:val="21"/>
          <w:highlight w:val="none"/>
          <w:shd w:val="clear" w:color="auto" w:fill="auto"/>
          <w:lang w:eastAsia="zh-CN"/>
        </w:rPr>
        <w:t>西园食堂屋面整体维修项目（二次）</w:t>
      </w:r>
    </w:p>
    <w:p w14:paraId="6B3697BA">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3.</w:t>
      </w:r>
      <w:r>
        <w:rPr>
          <w:rFonts w:hint="eastAsia" w:ascii="宋体" w:hAnsi="宋体" w:eastAsia="宋体" w:cs="宋体"/>
          <w:i w:val="0"/>
          <w:iCs w:val="0"/>
          <w:caps w:val="0"/>
          <w:color w:val="auto"/>
          <w:spacing w:val="0"/>
          <w:sz w:val="21"/>
          <w:szCs w:val="21"/>
          <w:highlight w:val="none"/>
          <w:shd w:val="clear" w:color="auto" w:fill="FFFFFF"/>
        </w:rPr>
        <w:t>采购方式：</w:t>
      </w:r>
      <w:r>
        <w:rPr>
          <w:rFonts w:hint="eastAsia" w:ascii="宋体" w:hAnsi="宋体" w:eastAsia="宋体" w:cs="宋体"/>
          <w:i w:val="0"/>
          <w:iCs w:val="0"/>
          <w:caps w:val="0"/>
          <w:color w:val="auto"/>
          <w:spacing w:val="0"/>
          <w:sz w:val="21"/>
          <w:szCs w:val="21"/>
          <w:highlight w:val="none"/>
          <w:shd w:val="clear" w:color="auto" w:fill="FFFFFF"/>
          <w:lang w:val="en-US" w:eastAsia="zh-CN"/>
        </w:rPr>
        <w:t>公开招标</w:t>
      </w:r>
    </w:p>
    <w:p w14:paraId="304804EA">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.预算金额：</w:t>
      </w:r>
      <w:r>
        <w:rPr>
          <w:rFonts w:hint="eastAsia" w:ascii="宋体" w:hAnsi="宋体" w:eastAsia="宋体" w:cs="宋体"/>
          <w:i w:val="0"/>
          <w:iCs w:val="0"/>
          <w:caps w:val="0"/>
          <w:color w:val="auto"/>
          <w:spacing w:val="0"/>
          <w:sz w:val="21"/>
          <w:szCs w:val="21"/>
          <w:highlight w:val="none"/>
          <w:shd w:val="clear" w:color="auto" w:fill="FFFFFF"/>
          <w:lang w:val="en-US" w:eastAsia="zh-CN"/>
        </w:rPr>
        <w:t>169.2万元</w:t>
      </w:r>
    </w:p>
    <w:p w14:paraId="5B1CAE79">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shd w:val="clear" w:color="FFFFFF" w:fill="D9D9D9"/>
        </w:rPr>
      </w:pPr>
      <w:r>
        <w:rPr>
          <w:rFonts w:hint="eastAsia" w:ascii="宋体" w:hAnsi="宋体" w:eastAsia="宋体" w:cs="宋体"/>
          <w:i w:val="0"/>
          <w:iCs w:val="0"/>
          <w:caps w:val="0"/>
          <w:color w:val="auto"/>
          <w:spacing w:val="0"/>
          <w:sz w:val="21"/>
          <w:szCs w:val="21"/>
          <w:highlight w:val="none"/>
          <w:shd w:val="clear" w:color="auto" w:fill="FFFFFF"/>
          <w:lang w:val="en-US" w:eastAsia="zh-CN"/>
        </w:rPr>
        <w:t>5.</w:t>
      </w:r>
      <w:r>
        <w:rPr>
          <w:rFonts w:hint="eastAsia" w:ascii="宋体" w:hAnsi="宋体" w:eastAsia="宋体" w:cs="宋体"/>
          <w:i w:val="0"/>
          <w:iCs w:val="0"/>
          <w:caps w:val="0"/>
          <w:color w:val="auto"/>
          <w:spacing w:val="0"/>
          <w:sz w:val="21"/>
          <w:szCs w:val="21"/>
          <w:highlight w:val="none"/>
          <w:shd w:val="clear" w:color="auto" w:fill="FFFFFF"/>
        </w:rPr>
        <w:t>最高限价</w:t>
      </w:r>
      <w:r>
        <w:rPr>
          <w:rFonts w:hint="eastAsia" w:ascii="宋体" w:hAnsi="宋体" w:eastAsia="宋体" w:cs="宋体"/>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aps w:val="0"/>
          <w:color w:val="auto"/>
          <w:spacing w:val="0"/>
          <w:sz w:val="21"/>
          <w:szCs w:val="21"/>
          <w:highlight w:val="none"/>
          <w:shd w:val="clear" w:color="auto" w:fill="FFFFFF"/>
          <w:lang w:val="en-US" w:eastAsia="zh-CN"/>
        </w:rPr>
        <w:t>169.2万元</w:t>
      </w:r>
    </w:p>
    <w:p w14:paraId="0DF1F3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auto"/>
          <w:lang w:val="en-US" w:eastAsia="zh-CN"/>
        </w:rPr>
        <w:t>6.采购需求：</w:t>
      </w:r>
      <w:r>
        <w:rPr>
          <w:rFonts w:hint="eastAsia" w:ascii="宋体" w:hAnsi="宋体" w:eastAsia="宋体" w:cs="宋体"/>
          <w:color w:val="auto"/>
          <w:sz w:val="21"/>
          <w:szCs w:val="21"/>
          <w:highlight w:val="none"/>
          <w:shd w:val="clear" w:color="auto" w:fill="auto"/>
          <w:lang w:eastAsia="zh-CN"/>
        </w:rPr>
        <w:t>西园食堂屋面整体维修项目（二次）</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i w:val="0"/>
          <w:iCs w:val="0"/>
          <w:caps w:val="0"/>
          <w:color w:val="auto"/>
          <w:spacing w:val="0"/>
          <w:sz w:val="21"/>
          <w:szCs w:val="21"/>
          <w:highlight w:val="none"/>
          <w:shd w:val="clear" w:color="auto" w:fill="FFFFFF"/>
          <w:lang w:val="en-US" w:eastAsia="zh-CN" w:bidi="ar-SA"/>
        </w:rPr>
        <w:t>包含学校西园食堂屋面整体改造及局部外墙改造，彻底解决屋面漏水问题，确保排水畅通、无积水，内部无漏水现象，同时彻底消除屋面漏水和外墙饰面脱落造成的安全隐患。具体内容详见招标人提供的清单及图纸，招标人保留对上述暂定工程量及范围适当调整的权利。</w:t>
      </w:r>
    </w:p>
    <w:p w14:paraId="1CF423B6">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.合同履行期限：</w:t>
      </w:r>
      <w:r>
        <w:rPr>
          <w:rFonts w:hint="eastAsia" w:ascii="宋体" w:hAnsi="宋体" w:eastAsia="宋体" w:cs="宋体"/>
          <w:i w:val="0"/>
          <w:iCs w:val="0"/>
          <w:caps w:val="0"/>
          <w:color w:val="auto"/>
          <w:spacing w:val="0"/>
          <w:sz w:val="21"/>
          <w:szCs w:val="21"/>
          <w:highlight w:val="none"/>
          <w:shd w:val="clear" w:color="auto" w:fill="FFFFFF"/>
          <w:lang w:val="en-US" w:eastAsia="zh-CN" w:bidi="ar-SA"/>
        </w:rPr>
        <w:t>工期60日历天。</w:t>
      </w:r>
    </w:p>
    <w:p w14:paraId="530017E6">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shd w:val="clear" w:color="auto" w:fill="FFFF00"/>
        </w:rPr>
      </w:pPr>
      <w:r>
        <w:rPr>
          <w:rFonts w:hint="eastAsia" w:ascii="宋体" w:hAnsi="宋体" w:eastAsia="宋体" w:cs="宋体"/>
          <w:i w:val="0"/>
          <w:iCs w:val="0"/>
          <w:caps w:val="0"/>
          <w:color w:val="auto"/>
          <w:spacing w:val="0"/>
          <w:sz w:val="21"/>
          <w:szCs w:val="21"/>
          <w:highlight w:val="none"/>
          <w:shd w:val="clear" w:color="auto" w:fill="FFFFFF"/>
          <w:lang w:val="en-US" w:eastAsia="zh-CN"/>
        </w:rPr>
        <w:t>8.本项目（是/否）接受联合体投标：否</w:t>
      </w:r>
    </w:p>
    <w:p w14:paraId="07EB040A">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color w:val="auto"/>
          <w:sz w:val="21"/>
          <w:szCs w:val="21"/>
          <w:highlight w:val="none"/>
        </w:rPr>
      </w:pPr>
      <w:bookmarkStart w:id="13" w:name="_Toc35393791"/>
      <w:bookmarkStart w:id="14" w:name="_Toc28359080"/>
      <w:bookmarkStart w:id="15" w:name="_Toc35393622"/>
      <w:bookmarkStart w:id="16" w:name="_Toc28359003"/>
      <w:bookmarkStart w:id="17" w:name="_Toc38985264"/>
      <w:r>
        <w:rPr>
          <w:rFonts w:hint="eastAsia" w:ascii="宋体" w:hAnsi="宋体" w:eastAsia="宋体" w:cs="宋体"/>
          <w:b/>
          <w:color w:val="auto"/>
          <w:sz w:val="21"/>
          <w:szCs w:val="21"/>
          <w:highlight w:val="none"/>
        </w:rPr>
        <w:t>二、申请人的资格要求：</w:t>
      </w:r>
      <w:bookmarkEnd w:id="13"/>
      <w:bookmarkEnd w:id="14"/>
      <w:bookmarkEnd w:id="15"/>
      <w:bookmarkEnd w:id="16"/>
      <w:bookmarkEnd w:id="17"/>
    </w:p>
    <w:p w14:paraId="4EF4654D">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满足《中华人民共和国政府采购法》第二十二条规定，并提供下列材料：</w:t>
      </w:r>
    </w:p>
    <w:p w14:paraId="645510FE">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r>
        <w:rPr>
          <w:rFonts w:hint="eastAsia" w:ascii="宋体" w:hAnsi="宋体" w:eastAsia="宋体" w:cs="宋体"/>
          <w:sz w:val="21"/>
          <w:szCs w:val="21"/>
        </w:rPr>
        <w:t>法人或者其他组织的营业执照等证明文件，自然人的身份证明</w:t>
      </w:r>
      <w:r>
        <w:rPr>
          <w:rFonts w:hint="eastAsia" w:ascii="宋体" w:hAnsi="宋体" w:eastAsia="宋体" w:cs="宋体"/>
          <w:sz w:val="21"/>
          <w:szCs w:val="21"/>
          <w:lang w:eastAsia="zh-CN"/>
        </w:rPr>
        <w:t>；</w:t>
      </w:r>
    </w:p>
    <w:p w14:paraId="50737040">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1.2</w:t>
      </w:r>
      <w:r>
        <w:rPr>
          <w:rFonts w:hint="eastAsia" w:ascii="宋体" w:hAnsi="宋体" w:eastAsia="宋体" w:cs="宋体"/>
          <w:sz w:val="21"/>
          <w:szCs w:val="21"/>
        </w:rPr>
        <w:t>上一年度的财务状况</w:t>
      </w:r>
      <w:r>
        <w:rPr>
          <w:rFonts w:hint="eastAsia" w:ascii="宋体" w:hAnsi="宋体" w:eastAsia="宋体" w:cs="宋体"/>
          <w:sz w:val="21"/>
          <w:szCs w:val="21"/>
          <w:lang w:val="en-US" w:eastAsia="zh-CN"/>
        </w:rPr>
        <w:t>报表</w:t>
      </w:r>
      <w:r>
        <w:rPr>
          <w:rFonts w:hint="eastAsia" w:ascii="宋体" w:hAnsi="宋体" w:eastAsia="宋体" w:cs="宋体"/>
          <w:sz w:val="21"/>
          <w:szCs w:val="21"/>
        </w:rPr>
        <w:t>（</w:t>
      </w:r>
      <w:r>
        <w:rPr>
          <w:rFonts w:hint="eastAsia" w:ascii="宋体" w:hAnsi="宋体" w:eastAsia="宋体" w:cs="宋体"/>
          <w:sz w:val="21"/>
          <w:szCs w:val="21"/>
          <w:lang w:val="en-US" w:eastAsia="zh-CN"/>
        </w:rPr>
        <w:t>提供2025年度，至少提供资产负债表、利润表、现金流量表，投标人成立不满一年无需提供</w:t>
      </w:r>
      <w:r>
        <w:rPr>
          <w:rFonts w:hint="eastAsia" w:ascii="宋体" w:hAnsi="宋体" w:eastAsia="宋体" w:cs="宋体"/>
          <w:sz w:val="21"/>
          <w:szCs w:val="21"/>
        </w:rPr>
        <w:t>）</w:t>
      </w:r>
      <w:r>
        <w:rPr>
          <w:rFonts w:hint="eastAsia" w:ascii="宋体" w:hAnsi="宋体" w:eastAsia="宋体" w:cs="宋体"/>
          <w:sz w:val="21"/>
          <w:szCs w:val="21"/>
          <w:lang w:eastAsia="zh-CN"/>
        </w:rPr>
        <w:t>；</w:t>
      </w:r>
    </w:p>
    <w:p w14:paraId="51D4CE8D">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rPr>
        <w:t>具备履行合同所必需的设备和专业技术能力的书面声明</w:t>
      </w:r>
      <w:r>
        <w:rPr>
          <w:rFonts w:hint="eastAsia" w:ascii="宋体" w:hAnsi="宋体" w:eastAsia="宋体" w:cs="宋体"/>
          <w:sz w:val="21"/>
          <w:szCs w:val="21"/>
          <w:highlight w:val="none"/>
          <w:lang w:eastAsia="zh-CN"/>
        </w:rPr>
        <w:t>；</w:t>
      </w:r>
    </w:p>
    <w:p w14:paraId="7875D3DD">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1.4</w:t>
      </w:r>
      <w:r>
        <w:rPr>
          <w:rFonts w:hint="eastAsia" w:ascii="宋体" w:hAnsi="宋体" w:eastAsia="宋体" w:cs="宋体"/>
          <w:sz w:val="21"/>
          <w:szCs w:val="21"/>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1"/>
          <w:szCs w:val="21"/>
          <w:lang w:eastAsia="zh-CN"/>
        </w:rPr>
        <w:t>；</w:t>
      </w:r>
    </w:p>
    <w:p w14:paraId="7A9C3C4E">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参加政府采购活动前3年内在经营活动中没有重大违法记录的书面声明。</w:t>
      </w:r>
    </w:p>
    <w:p w14:paraId="301BCBF0">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w:t>
      </w:r>
      <w:r>
        <w:rPr>
          <w:rFonts w:hint="eastAsia" w:ascii="宋体" w:hAnsi="宋体" w:eastAsia="宋体" w:cs="宋体"/>
          <w:sz w:val="21"/>
          <w:szCs w:val="21"/>
          <w:highlight w:val="none"/>
        </w:rPr>
        <w:t>法律、行政法规规定的其他条件。</w:t>
      </w:r>
    </w:p>
    <w:p w14:paraId="38F0B0C6">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4FABB53">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1.8</w:t>
      </w:r>
      <w:r>
        <w:rPr>
          <w:rFonts w:hint="eastAsia" w:ascii="宋体" w:hAnsi="宋体" w:eastAsia="宋体" w:cs="宋体"/>
          <w:sz w:val="21"/>
          <w:szCs w:val="21"/>
        </w:rPr>
        <w:t>单位负责人为同一人或者存在直接控股、管理关系的不同供应商，不得参加同一合同项下的政府采购活动。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自行承诺，格式自拟</w:t>
      </w:r>
      <w:r>
        <w:rPr>
          <w:rFonts w:hint="eastAsia" w:ascii="宋体" w:hAnsi="宋体" w:eastAsia="宋体" w:cs="宋体"/>
          <w:sz w:val="21"/>
          <w:szCs w:val="21"/>
          <w:lang w:eastAsia="zh-CN"/>
        </w:rPr>
        <w:t>）</w:t>
      </w:r>
    </w:p>
    <w:p w14:paraId="74B10C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落实政府采购政策需满足的资格要求：</w:t>
      </w:r>
      <w:r>
        <w:rPr>
          <w:rFonts w:hint="eastAsia" w:ascii="宋体" w:hAnsi="宋体" w:eastAsia="宋体" w:cs="宋体"/>
          <w:b/>
          <w:bCs/>
          <w:sz w:val="21"/>
          <w:szCs w:val="21"/>
          <w:lang w:val="en-US" w:eastAsia="zh-CN"/>
        </w:rPr>
        <w:t>本项目专门面向中小企业采购。采购标的的所属行业为</w:t>
      </w:r>
      <w:r>
        <w:rPr>
          <w:rFonts w:hint="eastAsia" w:ascii="宋体" w:hAnsi="宋体" w:eastAsia="宋体" w:cs="宋体"/>
          <w:b/>
          <w:bCs/>
          <w:sz w:val="21"/>
          <w:szCs w:val="21"/>
          <w:u w:val="single"/>
          <w:lang w:val="en-US" w:eastAsia="zh-CN"/>
        </w:rPr>
        <w:t>建筑业</w:t>
      </w:r>
      <w:r>
        <w:rPr>
          <w:rFonts w:hint="eastAsia" w:ascii="宋体" w:hAnsi="宋体" w:eastAsia="宋体" w:cs="宋体"/>
          <w:b/>
          <w:bCs/>
          <w:sz w:val="21"/>
          <w:szCs w:val="21"/>
          <w:lang w:val="en-US" w:eastAsia="zh-CN"/>
        </w:rPr>
        <w:t>，</w:t>
      </w:r>
      <w:r>
        <w:rPr>
          <w:rFonts w:hint="eastAsia" w:ascii="宋体" w:hAnsi="宋体" w:eastAsia="宋体" w:cs="宋体"/>
          <w:b/>
          <w:bCs/>
          <w:sz w:val="21"/>
          <w:szCs w:val="21"/>
          <w:lang w:eastAsia="zh-CN"/>
        </w:rPr>
        <w:t>投标人需按照采购文件的要求提供企业声明函。企业标准请参照《关于印发中小企业划型标准规定的通知》（工信部联企业[2011]300号）文件规定自行填写。</w:t>
      </w:r>
    </w:p>
    <w:p w14:paraId="4190AD29">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3.</w:t>
      </w:r>
      <w:r>
        <w:rPr>
          <w:rFonts w:hint="eastAsia" w:ascii="宋体" w:hAnsi="宋体" w:eastAsia="宋体" w:cs="宋体"/>
          <w:b w:val="0"/>
          <w:bCs w:val="0"/>
          <w:color w:val="auto"/>
          <w:sz w:val="21"/>
          <w:szCs w:val="21"/>
        </w:rPr>
        <w:t>本项目的特定资格要求：</w:t>
      </w:r>
    </w:p>
    <w:p w14:paraId="7D59FF3F">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申请人资质等级和范围：投标申请人应具有建设行政主管部门核发的建筑工程施工总承包</w:t>
      </w:r>
      <w:r>
        <w:rPr>
          <w:rFonts w:hint="eastAsia" w:ascii="宋体" w:hAnsi="宋体" w:eastAsia="宋体" w:cs="宋体"/>
          <w:sz w:val="21"/>
          <w:szCs w:val="21"/>
          <w:lang w:val="en-US" w:eastAsia="zh-CN"/>
        </w:rPr>
        <w:t>二</w:t>
      </w:r>
      <w:r>
        <w:rPr>
          <w:rFonts w:hint="eastAsia" w:ascii="宋体" w:hAnsi="宋体" w:eastAsia="宋体" w:cs="宋体"/>
          <w:sz w:val="21"/>
          <w:szCs w:val="21"/>
        </w:rPr>
        <w:t>级及以上资质</w:t>
      </w:r>
      <w:r>
        <w:rPr>
          <w:rFonts w:hint="eastAsia" w:ascii="宋体" w:hAnsi="宋体" w:eastAsia="宋体" w:cs="宋体"/>
          <w:b/>
          <w:bCs/>
          <w:sz w:val="21"/>
          <w:szCs w:val="21"/>
          <w:lang w:val="en-US" w:eastAsia="zh-CN"/>
        </w:rPr>
        <w:t>或</w:t>
      </w:r>
      <w:r>
        <w:rPr>
          <w:rFonts w:hint="eastAsia" w:ascii="宋体" w:hAnsi="宋体" w:eastAsia="宋体" w:cs="宋体"/>
          <w:sz w:val="21"/>
          <w:szCs w:val="21"/>
        </w:rPr>
        <w:t>防水防腐保温工程专业承包二级及以上资质的独立法人，并取得安全生产许可证。</w:t>
      </w:r>
    </w:p>
    <w:p w14:paraId="64E8FDDE">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3.2</w:t>
      </w:r>
      <w:r>
        <w:rPr>
          <w:rFonts w:hint="eastAsia" w:ascii="宋体" w:hAnsi="宋体" w:eastAsia="宋体" w:cs="宋体"/>
          <w:sz w:val="21"/>
          <w:szCs w:val="21"/>
        </w:rPr>
        <w:t>项目负责人资质类别和等级：项目负责人必须是投标人本单位正式职工，具有建筑工程专业的二级及以上建造师注册证书（或建造师临时执业证书），并取得安全生产考核合格证（B类）。</w:t>
      </w:r>
    </w:p>
    <w:p w14:paraId="79A2CF13">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3.3</w:t>
      </w:r>
      <w:r>
        <w:rPr>
          <w:rFonts w:hint="eastAsia" w:ascii="宋体" w:hAnsi="宋体" w:eastAsia="宋体" w:cs="宋体"/>
          <w:sz w:val="21"/>
          <w:szCs w:val="21"/>
        </w:rPr>
        <w:t>项目负责人须为投标人本单位正式职工，</w:t>
      </w:r>
      <w:r>
        <w:rPr>
          <w:rFonts w:hint="eastAsia" w:ascii="宋体" w:hAnsi="宋体" w:eastAsia="宋体" w:cs="宋体"/>
          <w:sz w:val="21"/>
          <w:szCs w:val="21"/>
          <w:lang w:val="en-US" w:eastAsia="zh-CN"/>
        </w:rPr>
        <w:t>提供</w:t>
      </w:r>
      <w:r>
        <w:rPr>
          <w:rFonts w:hint="eastAsia" w:ascii="宋体" w:hAnsi="宋体" w:eastAsia="宋体" w:cs="宋体"/>
          <w:sz w:val="21"/>
          <w:szCs w:val="21"/>
        </w:rPr>
        <w:t>投标截止之日当月向前3个月中任意1个月在本单位</w:t>
      </w:r>
      <w:r>
        <w:rPr>
          <w:rFonts w:hint="eastAsia" w:ascii="宋体" w:hAnsi="宋体" w:eastAsia="宋体" w:cs="宋体"/>
          <w:sz w:val="21"/>
          <w:szCs w:val="21"/>
          <w:lang w:val="en-US" w:eastAsia="zh-CN"/>
        </w:rPr>
        <w:t>缴纳养老保险缴费证明，</w:t>
      </w:r>
      <w:r>
        <w:rPr>
          <w:rFonts w:hint="eastAsia" w:ascii="宋体" w:hAnsi="宋体" w:eastAsia="宋体" w:cs="宋体"/>
          <w:sz w:val="21"/>
          <w:szCs w:val="21"/>
          <w:lang w:val="zh-CN"/>
        </w:rPr>
        <w:t>且无在建工程（提供无在建承诺函）。</w:t>
      </w:r>
    </w:p>
    <w:p w14:paraId="637DD646">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投标人没有被国家、江苏省省级有关部门及盐城市级有关部门暂停招投标或市场准入资格且在公示处罚期内；没有处于被责令停业、财产被接管、冻结、破产等状态。</w:t>
      </w:r>
    </w:p>
    <w:p w14:paraId="41B98B16">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3.5</w:t>
      </w:r>
      <w:r>
        <w:rPr>
          <w:rFonts w:hint="eastAsia" w:ascii="宋体" w:hAnsi="宋体" w:eastAsia="宋体" w:cs="宋体"/>
          <w:sz w:val="21"/>
          <w:szCs w:val="21"/>
        </w:rPr>
        <w:t>招标人不接受联合体方式投标，中标后不得以任何方式进行转包。</w:t>
      </w:r>
    </w:p>
    <w:p w14:paraId="25B0F77C">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val="zh-CN"/>
        </w:rPr>
      </w:pPr>
      <w:bookmarkStart w:id="18" w:name="OLE_LINK11"/>
      <w:r>
        <w:rPr>
          <w:rFonts w:hint="eastAsia" w:ascii="宋体" w:hAnsi="宋体" w:eastAsia="宋体" w:cs="宋体"/>
          <w:sz w:val="21"/>
          <w:szCs w:val="21"/>
          <w:lang w:val="en-US" w:eastAsia="zh-CN"/>
        </w:rPr>
        <w:t>3.6</w:t>
      </w:r>
      <w:r>
        <w:rPr>
          <w:rFonts w:hint="eastAsia" w:ascii="宋体" w:hAnsi="宋体" w:eastAsia="宋体" w:cs="宋体"/>
          <w:sz w:val="21"/>
          <w:szCs w:val="21"/>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8"/>
    </w:p>
    <w:p w14:paraId="7CB1E2B5">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rPr>
        <w:t>项目负责人无在建工程指项目负责人不得同时在其他建设工程项目中担任关键岗位人员、不在本项目兼任本项目的其它岗位。</w:t>
      </w:r>
    </w:p>
    <w:p w14:paraId="523CE318">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在建工程：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68FF0ACA">
      <w:pPr>
        <w:pageBreakBefore w:val="0"/>
        <w:widowControl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三、获取招标文件</w:t>
      </w:r>
    </w:p>
    <w:p w14:paraId="3F85CFD5">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eastAsia="zh-CN"/>
        </w:rPr>
      </w:pPr>
      <w:bookmarkStart w:id="19" w:name="_Toc28359005"/>
      <w:bookmarkStart w:id="20" w:name="_Toc38985266"/>
      <w:bookmarkStart w:id="21" w:name="_Toc28359082"/>
      <w:bookmarkStart w:id="22" w:name="_Toc35393624"/>
      <w:bookmarkStart w:id="23" w:name="_Toc35393793"/>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时间：</w:t>
      </w:r>
      <w:bookmarkEnd w:id="19"/>
      <w:bookmarkEnd w:id="20"/>
      <w:bookmarkEnd w:id="21"/>
      <w:bookmarkEnd w:id="22"/>
      <w:bookmarkEnd w:id="23"/>
      <w:r>
        <w:rPr>
          <w:rFonts w:hint="eastAsia" w:ascii="宋体" w:hAnsi="宋体" w:eastAsia="宋体" w:cs="宋体"/>
          <w:color w:val="auto"/>
          <w:sz w:val="21"/>
          <w:szCs w:val="21"/>
          <w:highlight w:val="none"/>
        </w:rPr>
        <w:t>自招标文件公告发布之日起5个工作日</w:t>
      </w:r>
      <w:r>
        <w:rPr>
          <w:rFonts w:hint="eastAsia" w:ascii="宋体" w:hAnsi="宋体" w:eastAsia="宋体" w:cs="宋体"/>
          <w:color w:val="auto"/>
          <w:sz w:val="21"/>
          <w:szCs w:val="21"/>
          <w:highlight w:val="none"/>
          <w:lang w:eastAsia="zh-CN"/>
        </w:rPr>
        <w:t>。</w:t>
      </w:r>
    </w:p>
    <w:p w14:paraId="2F46BE3A">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2.地点：“苏采云”系统内免费下载（投标人必须在苏采云系统中获取采购文件，方能参与政府采购项目）；</w:t>
      </w:r>
    </w:p>
    <w:p w14:paraId="1ABA23A2">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3.方式：本项目采用网上注册登记方式。</w:t>
      </w:r>
    </w:p>
    <w:p w14:paraId="32B5C939">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4.售价：</w:t>
      </w:r>
      <w:r>
        <w:rPr>
          <w:rFonts w:hint="eastAsia" w:ascii="宋体" w:hAnsi="宋体" w:eastAsia="宋体" w:cs="宋体"/>
          <w:sz w:val="21"/>
          <w:szCs w:val="21"/>
          <w:lang w:val="en-US" w:eastAsia="zh-CN"/>
        </w:rPr>
        <w:t>0</w:t>
      </w:r>
      <w:r>
        <w:rPr>
          <w:rFonts w:hint="eastAsia" w:ascii="宋体" w:hAnsi="宋体" w:eastAsia="宋体" w:cs="宋体"/>
          <w:color w:val="auto"/>
          <w:sz w:val="21"/>
          <w:szCs w:val="21"/>
          <w:highlight w:val="none"/>
          <w:lang w:val="en-US" w:eastAsia="zh-CN"/>
        </w:rPr>
        <w:t>元</w:t>
      </w:r>
    </w:p>
    <w:p w14:paraId="72B040E9">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四、提交投标文件截止时间、开标时间和地点</w:t>
      </w:r>
    </w:p>
    <w:p w14:paraId="3A47EC68">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bookmarkStart w:id="24" w:name="_Toc38985267"/>
      <w:bookmarkStart w:id="25" w:name="_Toc28359007"/>
      <w:bookmarkStart w:id="26" w:name="_Toc35393794"/>
      <w:bookmarkStart w:id="27" w:name="_Toc28359084"/>
      <w:bookmarkStart w:id="28" w:name="_Toc35393625"/>
      <w:r>
        <w:rPr>
          <w:rFonts w:hint="eastAsia" w:ascii="宋体" w:hAnsi="宋体" w:eastAsia="宋体" w:cs="宋体"/>
          <w:color w:val="auto"/>
          <w:sz w:val="21"/>
          <w:szCs w:val="21"/>
          <w:highlight w:val="none"/>
          <w:lang w:val="en-US" w:eastAsia="zh-CN"/>
        </w:rPr>
        <w:t>1.时间：2026年8月4日09点00分（北京时间）。</w:t>
      </w:r>
    </w:p>
    <w:p w14:paraId="4CF5E261">
      <w:pPr>
        <w:pStyle w:val="36"/>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2.地点：苏采云“不见面”开标大厅。</w:t>
      </w:r>
    </w:p>
    <w:p w14:paraId="40ADA4D6">
      <w:pPr>
        <w:pageBreakBefore w:val="0"/>
        <w:widowControl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五、公告期限</w:t>
      </w:r>
      <w:bookmarkEnd w:id="24"/>
      <w:bookmarkEnd w:id="25"/>
      <w:bookmarkEnd w:id="26"/>
      <w:bookmarkEnd w:id="27"/>
      <w:bookmarkEnd w:id="28"/>
    </w:p>
    <w:p w14:paraId="60BF5587">
      <w:pPr>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bidi="ar-SA"/>
        </w:rPr>
      </w:pPr>
      <w:bookmarkStart w:id="29" w:name="_Toc38985268"/>
      <w:bookmarkStart w:id="30" w:name="_Toc35393626"/>
      <w:bookmarkStart w:id="31" w:name="_Toc35393795"/>
      <w:r>
        <w:rPr>
          <w:rFonts w:hint="eastAsia" w:ascii="宋体" w:hAnsi="宋体" w:eastAsia="宋体" w:cs="宋体"/>
          <w:color w:val="auto"/>
          <w:sz w:val="21"/>
          <w:szCs w:val="21"/>
          <w:highlight w:val="none"/>
          <w:lang w:val="en-US" w:eastAsia="zh-CN" w:bidi="ar-SA"/>
        </w:rPr>
        <w:t>自本公告发布之日起5个工作日。</w:t>
      </w:r>
      <w:bookmarkEnd w:id="29"/>
      <w:bookmarkEnd w:id="30"/>
      <w:bookmarkEnd w:id="31"/>
    </w:p>
    <w:p w14:paraId="31D2EF14">
      <w:pPr>
        <w:pageBreakBefore w:val="0"/>
        <w:widowControl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六、其他补充事宜</w:t>
      </w:r>
    </w:p>
    <w:p w14:paraId="445C6AF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bidi="ar-SA"/>
        </w:rPr>
      </w:pPr>
      <w:bookmarkStart w:id="32" w:name="OLE_LINK29"/>
      <w:bookmarkStart w:id="33" w:name="_Toc28359018"/>
      <w:r>
        <w:rPr>
          <w:rFonts w:hint="eastAsia" w:ascii="宋体" w:hAnsi="宋体" w:eastAsia="宋体" w:cs="宋体"/>
          <w:color w:val="auto"/>
          <w:sz w:val="21"/>
          <w:szCs w:val="21"/>
          <w:highlight w:val="none"/>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http://www.ccgp-jiangsu.gov.cn/jiangsu/zlxz/ee/ee3a4bc5a3454aa2b0d9312230633ce9.html</w:t>
      </w:r>
      <w:r>
        <w:rPr>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w:t>
      </w:r>
    </w:p>
    <w:p w14:paraId="323B9AA4">
      <w:pPr>
        <w:pStyle w:val="213"/>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4814BDF8">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如果“江苏政府采购网”（www.ccgp-jiangsu.gov.cn）信息与“江苏政务服务网” （www.jszwfw.gov.cn），“一企来办”专栏下“政府采购”模块中信息不一致，以“江苏政府采购网”信息为准。</w:t>
      </w:r>
    </w:p>
    <w:p w14:paraId="7870BD9D">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2.潜在供应商访问电子招标响应交易平台的网络地址和方法：</w:t>
      </w:r>
    </w:p>
    <w:p w14:paraId="4F9D10B7">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2D8E6DCA">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 潜在投标人访问“苏采云”系统方法：江苏省政府采购网首页-“苏采云”链接。 </w:t>
      </w:r>
    </w:p>
    <w:p w14:paraId="46E88AF2">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采购文件（后缀名为“.kedt”）、供应商操作手册及政府采购客户端 工具可通过“苏采云”系统相应链接进行下载。 </w:t>
      </w:r>
    </w:p>
    <w:p w14:paraId="5BEB4472">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采购代理机构将数据电文形式的采购文件加载至“苏采云”系统，供潜在供应商下载或者查阅。 </w:t>
      </w:r>
    </w:p>
    <w:p w14:paraId="25F63D9E">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 请潜在投标单位提前安装相应的控件（详见《“苏采云”系统供应商操作手册》）并使用谷歌浏览器登录“苏采云”系统参与不见面开评标。 </w:t>
      </w:r>
    </w:p>
    <w:p w14:paraId="3083DA11">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如潜在投标人未按上述要求操作，将自行承担所产生的风险。</w:t>
      </w:r>
    </w:p>
    <w:p w14:paraId="3DA188F1">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3.有关本次招标的事项若存在变动或修改，敬请及时关注在“中国政府采购网”“江苏政府采购网”发布的更正公告。</w:t>
      </w:r>
    </w:p>
    <w:p w14:paraId="4C125E63">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4.本次招标不收取投标保证金，不收取质量保证金。</w:t>
      </w:r>
      <w:bookmarkEnd w:id="32"/>
    </w:p>
    <w:p w14:paraId="43C10E2A">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22" w:firstLineChars="200"/>
        <w:jc w:val="both"/>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七</w:t>
      </w:r>
      <w:r>
        <w:rPr>
          <w:rFonts w:hint="eastAsia" w:ascii="宋体" w:hAnsi="宋体" w:eastAsia="宋体" w:cs="宋体"/>
          <w:b/>
          <w:color w:val="000000"/>
          <w:sz w:val="21"/>
          <w:szCs w:val="21"/>
          <w:highlight w:val="none"/>
        </w:rPr>
        <w:t>、对本次</w:t>
      </w:r>
      <w:r>
        <w:rPr>
          <w:rFonts w:hint="eastAsia" w:ascii="宋体" w:hAnsi="宋体" w:eastAsia="宋体" w:cs="宋体"/>
          <w:b/>
          <w:color w:val="000000"/>
          <w:sz w:val="21"/>
          <w:szCs w:val="21"/>
          <w:highlight w:val="none"/>
          <w:lang w:val="en-US" w:eastAsia="zh-CN"/>
        </w:rPr>
        <w:t>招标</w:t>
      </w:r>
      <w:r>
        <w:rPr>
          <w:rFonts w:hint="eastAsia" w:ascii="宋体" w:hAnsi="宋体" w:eastAsia="宋体" w:cs="宋体"/>
          <w:b/>
          <w:color w:val="000000"/>
          <w:sz w:val="21"/>
          <w:szCs w:val="21"/>
          <w:highlight w:val="none"/>
        </w:rPr>
        <w:t>提出询问，请按以下方式联系</w:t>
      </w:r>
      <w:bookmarkEnd w:id="33"/>
    </w:p>
    <w:p w14:paraId="0D54DCF2">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1.采购人信息</w:t>
      </w:r>
    </w:p>
    <w:p w14:paraId="0A4CDF9A">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    称：江苏医药职业学院</w:t>
      </w:r>
    </w:p>
    <w:p w14:paraId="7BD01777">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址：盐城市解放南路283号</w:t>
      </w:r>
    </w:p>
    <w:p w14:paraId="2C35B735">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 系 人：刘老师</w:t>
      </w:r>
    </w:p>
    <w:p w14:paraId="3D3D3A9F">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联系方式：0515-88550311</w:t>
      </w:r>
    </w:p>
    <w:p w14:paraId="47F014AA">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2.采购代理机构信息</w:t>
      </w:r>
    </w:p>
    <w:p w14:paraId="69C6B320">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    称：江苏乾高项目管理咨询有限公司</w:t>
      </w:r>
    </w:p>
    <w:p w14:paraId="71AFB973">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址：盐城市盐都区金航财富大厦9楼901室</w:t>
      </w:r>
    </w:p>
    <w:p w14:paraId="750D3E97">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 系 人：许女士</w:t>
      </w:r>
    </w:p>
    <w:p w14:paraId="289AD527">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bookmarkStart w:id="34" w:name="_Toc28359010"/>
      <w:bookmarkStart w:id="35" w:name="_Toc28359087"/>
      <w:r>
        <w:rPr>
          <w:rFonts w:hint="eastAsia" w:ascii="宋体" w:hAnsi="宋体" w:eastAsia="宋体" w:cs="宋体"/>
          <w:color w:val="auto"/>
          <w:sz w:val="21"/>
          <w:szCs w:val="21"/>
          <w:highlight w:val="none"/>
          <w:lang w:val="en-US" w:eastAsia="zh-CN" w:bidi="ar-SA"/>
        </w:rPr>
        <w:t>联系方式：1</w:t>
      </w:r>
      <w:bookmarkEnd w:id="34"/>
      <w:bookmarkEnd w:id="35"/>
      <w:r>
        <w:rPr>
          <w:rFonts w:hint="eastAsia" w:ascii="宋体" w:hAnsi="宋体" w:eastAsia="宋体" w:cs="宋体"/>
          <w:color w:val="auto"/>
          <w:sz w:val="21"/>
          <w:szCs w:val="21"/>
          <w:highlight w:val="none"/>
          <w:lang w:val="en-US" w:eastAsia="zh-CN" w:bidi="ar-SA"/>
        </w:rPr>
        <w:t>8633774365</w:t>
      </w:r>
    </w:p>
    <w:p w14:paraId="046E67B9">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bookmarkStart w:id="36" w:name="_Toc28359021"/>
      <w:r>
        <w:rPr>
          <w:rFonts w:hint="eastAsia" w:ascii="宋体" w:hAnsi="宋体" w:eastAsia="宋体" w:cs="宋体"/>
          <w:color w:val="auto"/>
          <w:sz w:val="21"/>
          <w:szCs w:val="21"/>
          <w:highlight w:val="none"/>
          <w:lang w:val="en-US" w:eastAsia="zh-CN" w:bidi="ar-SA"/>
        </w:rPr>
        <w:t>3.</w:t>
      </w:r>
      <w:bookmarkEnd w:id="36"/>
      <w:r>
        <w:rPr>
          <w:rFonts w:hint="eastAsia" w:ascii="宋体" w:hAnsi="宋体" w:eastAsia="宋体" w:cs="宋体"/>
          <w:color w:val="auto"/>
          <w:sz w:val="21"/>
          <w:szCs w:val="21"/>
          <w:highlight w:val="none"/>
          <w:lang w:val="en-US" w:eastAsia="zh-CN" w:bidi="ar-SA"/>
        </w:rPr>
        <w:t>项目联系方式</w:t>
      </w:r>
    </w:p>
    <w:p w14:paraId="43AD4FA5">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项目联系人：许女士</w:t>
      </w:r>
    </w:p>
    <w:p w14:paraId="07801B85">
      <w:pPr>
        <w:pStyle w:val="213"/>
        <w:pageBreakBefore w:val="0"/>
        <w:widowControl w:val="0"/>
        <w:kinsoku/>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电      话：18633774365</w:t>
      </w:r>
    </w:p>
    <w:p w14:paraId="5A877947">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7" w:name="_Toc120614211"/>
    </w:p>
    <w:p w14:paraId="6B765586">
      <w:pPr>
        <w:jc w:val="center"/>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第二章</w:t>
      </w:r>
      <w:bookmarkEnd w:id="37"/>
      <w:bookmarkStart w:id="38" w:name="_Toc16938518"/>
      <w:bookmarkStart w:id="39" w:name="_Toc513029202"/>
      <w:bookmarkStart w:id="40" w:name="_Toc120614213"/>
      <w:bookmarkStart w:id="41" w:name="_Toc20823274"/>
      <w:r>
        <w:rPr>
          <w:rFonts w:hint="eastAsia" w:ascii="黑体" w:hAnsi="宋体" w:eastAsia="黑体" w:cs="黑体"/>
          <w:b/>
          <w:color w:val="000000"/>
          <w:sz w:val="32"/>
          <w:szCs w:val="32"/>
          <w:highlight w:val="none"/>
          <w:lang w:val="en-US" w:eastAsia="zh-CN" w:bidi="ar-SA"/>
        </w:rPr>
        <w:t xml:space="preserve">  投标人须知</w:t>
      </w:r>
      <w:bookmarkEnd w:id="38"/>
      <w:bookmarkEnd w:id="39"/>
      <w:bookmarkEnd w:id="40"/>
      <w:bookmarkEnd w:id="41"/>
    </w:p>
    <w:p w14:paraId="19D1CB0F">
      <w:pPr>
        <w:pStyle w:val="36"/>
        <w:keepNext/>
        <w:keepLines/>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bookmarkStart w:id="42" w:name="_Toc120614214"/>
      <w:bookmarkStart w:id="43" w:name="_Toc20823275"/>
      <w:bookmarkStart w:id="44" w:name="_Toc513029203"/>
      <w:bookmarkStart w:id="45" w:name="_Toc16938519"/>
      <w:r>
        <w:rPr>
          <w:rFonts w:hint="eastAsia" w:ascii="宋体" w:hAnsi="宋体" w:eastAsia="宋体" w:cs="宋体"/>
          <w:b/>
          <w:color w:val="000000"/>
          <w:sz w:val="21"/>
          <w:szCs w:val="21"/>
          <w:highlight w:val="none"/>
        </w:rPr>
        <w:t>一、总则</w:t>
      </w:r>
      <w:bookmarkEnd w:id="42"/>
      <w:bookmarkEnd w:id="43"/>
      <w:bookmarkEnd w:id="44"/>
      <w:bookmarkEnd w:id="45"/>
    </w:p>
    <w:p w14:paraId="56C178AB">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46" w:name="_Toc20823276"/>
      <w:bookmarkStart w:id="47" w:name="_Toc16938520"/>
      <w:bookmarkStart w:id="48" w:name="_Toc513029204"/>
      <w:bookmarkStart w:id="49" w:name="_Toc458694821"/>
      <w:bookmarkStart w:id="50" w:name="_Hlt16619475"/>
      <w:r>
        <w:rPr>
          <w:rFonts w:hint="eastAsia" w:ascii="宋体" w:hAnsi="宋体" w:eastAsia="宋体" w:cs="宋体"/>
          <w:color w:val="000000"/>
          <w:sz w:val="21"/>
          <w:szCs w:val="21"/>
          <w:highlight w:val="none"/>
        </w:rPr>
        <w:t>1</w:t>
      </w:r>
      <w:bookmarkEnd w:id="46"/>
      <w:r>
        <w:rPr>
          <w:rFonts w:hint="eastAsia" w:ascii="宋体" w:hAnsi="宋体" w:eastAsia="宋体" w:cs="宋体"/>
          <w:color w:val="000000"/>
          <w:sz w:val="21"/>
          <w:szCs w:val="21"/>
          <w:highlight w:val="none"/>
        </w:rPr>
        <w:t>、招标方式</w:t>
      </w:r>
      <w:bookmarkEnd w:id="47"/>
      <w:bookmarkEnd w:id="48"/>
      <w:bookmarkEnd w:id="49"/>
    </w:p>
    <w:p w14:paraId="07E9663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 本次招标采取公开招标方式，本招标文件仅适用于招标公告中所述项目。</w:t>
      </w:r>
    </w:p>
    <w:p w14:paraId="74E0B1EA">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51" w:name="_Toc16938521"/>
      <w:bookmarkStart w:id="52" w:name="_Toc20823277"/>
      <w:bookmarkStart w:id="53" w:name="_Toc513029205"/>
      <w:r>
        <w:rPr>
          <w:rFonts w:hint="eastAsia" w:ascii="宋体" w:hAnsi="宋体" w:eastAsia="宋体" w:cs="宋体"/>
          <w:color w:val="000000"/>
          <w:sz w:val="21"/>
          <w:szCs w:val="21"/>
          <w:highlight w:val="none"/>
        </w:rPr>
        <w:t>2、合格的投标人</w:t>
      </w:r>
      <w:bookmarkEnd w:id="51"/>
      <w:bookmarkEnd w:id="52"/>
      <w:bookmarkEnd w:id="53"/>
    </w:p>
    <w:p w14:paraId="617B6120">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2.1满足招标公告中供应商的资格要求的规定。</w:t>
      </w:r>
    </w:p>
    <w:p w14:paraId="4B663F3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2.2 满足本文件实质性要求和条件的规定。</w:t>
      </w:r>
    </w:p>
    <w:p w14:paraId="5817C456">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default" w:ascii="宋体" w:hAnsi="宋体" w:eastAsia="宋体" w:cs="宋体"/>
          <w:sz w:val="21"/>
          <w:szCs w:val="21"/>
          <w:highlight w:val="none"/>
          <w:lang w:val="en-US" w:eastAsia="zh-CN"/>
        </w:rPr>
      </w:pPr>
      <w:bookmarkStart w:id="54" w:name="_Toc513029206"/>
      <w:bookmarkStart w:id="55" w:name="_Toc20823278"/>
      <w:bookmarkStart w:id="56" w:name="_Toc16938522"/>
      <w:r>
        <w:rPr>
          <w:rFonts w:hint="eastAsia" w:ascii="宋体" w:hAnsi="宋体" w:eastAsia="宋体" w:cs="宋体"/>
          <w:color w:val="000000"/>
          <w:sz w:val="21"/>
          <w:szCs w:val="21"/>
          <w:highlight w:val="none"/>
        </w:rPr>
        <w:t>3、适用法律</w:t>
      </w:r>
      <w:bookmarkEnd w:id="54"/>
      <w:bookmarkEnd w:id="55"/>
      <w:bookmarkEnd w:id="56"/>
      <w:r>
        <w:rPr>
          <w:rFonts w:hint="eastAsia" w:ascii="宋体" w:hAnsi="宋体" w:eastAsia="宋体" w:cs="宋体"/>
          <w:color w:val="000000"/>
          <w:sz w:val="21"/>
          <w:szCs w:val="21"/>
          <w:highlight w:val="none"/>
          <w:lang w:val="en-US" w:eastAsia="zh-CN"/>
        </w:rPr>
        <w:t>和标准</w:t>
      </w:r>
    </w:p>
    <w:p w14:paraId="7ED3450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 本次招标及由此产生的合同受中华人民共和国有关的法律法规制约和保护。</w:t>
      </w:r>
    </w:p>
    <w:p w14:paraId="22FCD79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 在本项目政府采购活动过程中，如果所执行的标准有更新的，按照最新标准执行。</w:t>
      </w:r>
    </w:p>
    <w:p w14:paraId="2916340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57" w:name="_Toc462564067"/>
      <w:bookmarkStart w:id="58" w:name="_Toc20823279"/>
      <w:bookmarkStart w:id="59" w:name="_Toc16938523"/>
      <w:bookmarkStart w:id="60" w:name="_Toc513029207"/>
      <w:r>
        <w:rPr>
          <w:rFonts w:hint="eastAsia" w:ascii="宋体" w:hAnsi="宋体" w:eastAsia="宋体" w:cs="宋体"/>
          <w:color w:val="000000"/>
          <w:sz w:val="21"/>
          <w:szCs w:val="21"/>
          <w:highlight w:val="none"/>
        </w:rPr>
        <w:t>4、投标费用</w:t>
      </w:r>
      <w:bookmarkEnd w:id="57"/>
      <w:bookmarkEnd w:id="58"/>
      <w:bookmarkEnd w:id="59"/>
      <w:bookmarkEnd w:id="60"/>
    </w:p>
    <w:p w14:paraId="0AAD1CD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4.1 </w:t>
      </w:r>
      <w:r>
        <w:rPr>
          <w:rFonts w:hint="eastAsia" w:ascii="宋体" w:hAnsi="宋体" w:eastAsia="宋体" w:cs="宋体"/>
          <w:sz w:val="21"/>
          <w:szCs w:val="21"/>
        </w:rPr>
        <w:t>投标人应自行承担所有与参加投标有关的费用，无论投标过程中的做法和结果如何，</w:t>
      </w:r>
      <w:r>
        <w:rPr>
          <w:rFonts w:hint="eastAsia" w:ascii="宋体" w:hAnsi="宋体" w:eastAsia="宋体" w:cs="宋体"/>
          <w:sz w:val="21"/>
          <w:szCs w:val="21"/>
          <w:lang w:val="en-US" w:eastAsia="zh-CN"/>
        </w:rPr>
        <w:t>采购代理机构</w:t>
      </w:r>
      <w:r>
        <w:rPr>
          <w:rFonts w:hint="eastAsia" w:ascii="宋体" w:hAnsi="宋体" w:eastAsia="宋体" w:cs="宋体"/>
          <w:sz w:val="21"/>
          <w:szCs w:val="21"/>
        </w:rPr>
        <w:t>在任何情况下均无义务和责任承担这些费用。</w:t>
      </w:r>
    </w:p>
    <w:p w14:paraId="7803922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sz w:val="21"/>
          <w:szCs w:val="21"/>
        </w:rPr>
        <w:t>4.2本次招标采购人和采购代理机构不收取标书工本费。</w:t>
      </w:r>
    </w:p>
    <w:p w14:paraId="0627DAF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000000"/>
          <w:sz w:val="21"/>
          <w:szCs w:val="21"/>
          <w:highlight w:val="none"/>
        </w:rPr>
      </w:pPr>
      <w:r>
        <w:rPr>
          <w:rFonts w:hint="eastAsia" w:ascii="宋体" w:hAnsi="宋体" w:eastAsia="宋体" w:cs="宋体"/>
          <w:b/>
          <w:bCs/>
          <w:color w:val="000000" w:themeColor="text1"/>
          <w:sz w:val="21"/>
          <w:szCs w:val="21"/>
          <w14:textFill>
            <w14:solidFill>
              <w14:schemeClr w14:val="tx1"/>
            </w14:solidFill>
          </w14:textFill>
        </w:rPr>
        <w:t>4.</w:t>
      </w:r>
      <w:r>
        <w:rPr>
          <w:rFonts w:hint="eastAsia" w:ascii="宋体" w:hAnsi="宋体" w:eastAsia="宋体" w:cs="宋体"/>
          <w:b/>
          <w:bCs/>
          <w:color w:val="000000" w:themeColor="text1"/>
          <w:sz w:val="21"/>
          <w:szCs w:val="21"/>
          <w:lang w:val="en-US" w:eastAsia="zh-CN"/>
          <w14:textFill>
            <w14:solidFill>
              <w14:schemeClr w14:val="tx1"/>
            </w14:solidFill>
          </w14:textFill>
        </w:rPr>
        <w:t>3</w:t>
      </w:r>
      <w:r>
        <w:rPr>
          <w:rFonts w:hint="eastAsia" w:ascii="宋体" w:hAnsi="宋体" w:eastAsia="宋体" w:cs="宋体"/>
          <w:b/>
          <w:bCs/>
          <w:color w:val="auto"/>
          <w:sz w:val="21"/>
          <w:szCs w:val="21"/>
          <w:highlight w:val="none"/>
        </w:rPr>
        <w:t>本项目招标代理服务费按原《招标代理服务收费管理暂行办法》（计价格[2002]1980号）文件规定标准费率</w:t>
      </w:r>
      <w:r>
        <w:rPr>
          <w:rFonts w:hint="eastAsia" w:ascii="宋体" w:hAnsi="宋体" w:eastAsia="宋体" w:cs="宋体"/>
          <w:b/>
          <w:bCs/>
          <w:color w:val="auto"/>
          <w:sz w:val="21"/>
          <w:szCs w:val="21"/>
          <w:highlight w:val="none"/>
          <w:lang w:val="en-US" w:eastAsia="zh-CN"/>
        </w:rPr>
        <w:t>30.18</w:t>
      </w:r>
      <w:r>
        <w:rPr>
          <w:rFonts w:hint="eastAsia" w:ascii="宋体" w:hAnsi="宋体" w:eastAsia="宋体" w:cs="宋体"/>
          <w:b/>
          <w:bCs/>
          <w:color w:val="auto"/>
          <w:sz w:val="21"/>
          <w:szCs w:val="21"/>
          <w:highlight w:val="none"/>
        </w:rPr>
        <w:t>%收取（如低于2000元的，按2000元计取），由</w:t>
      </w:r>
      <w:r>
        <w:rPr>
          <w:rFonts w:hint="eastAsia" w:ascii="宋体" w:hAnsi="宋体" w:cs="宋体"/>
          <w:b/>
          <w:bCs/>
          <w:color w:val="auto"/>
          <w:sz w:val="21"/>
          <w:szCs w:val="21"/>
          <w:highlight w:val="none"/>
          <w:lang w:val="en-US" w:eastAsia="zh-CN"/>
        </w:rPr>
        <w:t>中标人</w:t>
      </w:r>
      <w:r>
        <w:rPr>
          <w:rFonts w:hint="eastAsia" w:ascii="宋体" w:hAnsi="宋体" w:eastAsia="宋体" w:cs="宋体"/>
          <w:b/>
          <w:bCs/>
          <w:color w:val="auto"/>
          <w:sz w:val="21"/>
          <w:szCs w:val="21"/>
          <w:highlight w:val="none"/>
        </w:rPr>
        <w:t>承担支付，</w:t>
      </w:r>
      <w:r>
        <w:rPr>
          <w:rFonts w:hint="eastAsia" w:ascii="宋体" w:hAnsi="宋体" w:eastAsia="宋体" w:cs="宋体"/>
          <w:b/>
          <w:bCs/>
          <w:color w:val="auto"/>
          <w:sz w:val="21"/>
          <w:szCs w:val="21"/>
          <w:highlight w:val="none"/>
          <w:lang w:eastAsia="zh-CN"/>
        </w:rPr>
        <w:t>招标人</w:t>
      </w:r>
      <w:r>
        <w:rPr>
          <w:rFonts w:hint="eastAsia" w:ascii="宋体" w:hAnsi="宋体" w:eastAsia="宋体" w:cs="宋体"/>
          <w:b/>
          <w:bCs/>
          <w:color w:val="auto"/>
          <w:sz w:val="21"/>
          <w:szCs w:val="21"/>
          <w:highlight w:val="none"/>
        </w:rPr>
        <w:t>不再另行支付。该费用折算报价中，不在</w:t>
      </w:r>
      <w:r>
        <w:rPr>
          <w:rFonts w:hint="eastAsia" w:ascii="宋体" w:hAnsi="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rPr>
        <w:t>文件中单独列出。</w:t>
      </w:r>
      <w:r>
        <w:rPr>
          <w:rFonts w:hint="eastAsia" w:ascii="宋体" w:hAnsi="宋体" w:cs="宋体"/>
          <w:b/>
          <w:bCs/>
          <w:color w:val="auto"/>
          <w:sz w:val="21"/>
          <w:szCs w:val="21"/>
          <w:highlight w:val="none"/>
          <w:lang w:val="en-US" w:eastAsia="zh-CN"/>
        </w:rPr>
        <w:t>中标</w:t>
      </w:r>
      <w:r>
        <w:rPr>
          <w:rFonts w:hint="eastAsia" w:ascii="宋体" w:hAnsi="宋体" w:eastAsia="宋体" w:cs="宋体"/>
          <w:b/>
          <w:bCs/>
          <w:color w:val="auto"/>
          <w:sz w:val="21"/>
          <w:szCs w:val="21"/>
          <w:highlight w:val="none"/>
        </w:rPr>
        <w:t>通知</w:t>
      </w:r>
      <w:r>
        <w:rPr>
          <w:rFonts w:hint="eastAsia" w:ascii="宋体" w:hAnsi="宋体" w:cs="宋体"/>
          <w:b/>
          <w:bCs/>
          <w:color w:val="auto"/>
          <w:sz w:val="21"/>
          <w:szCs w:val="21"/>
          <w:highlight w:val="none"/>
          <w:lang w:val="en-US" w:eastAsia="zh-CN"/>
        </w:rPr>
        <w:t>书</w:t>
      </w:r>
      <w:r>
        <w:rPr>
          <w:rFonts w:hint="eastAsia" w:ascii="宋体" w:hAnsi="宋体" w:eastAsia="宋体" w:cs="宋体"/>
          <w:b/>
          <w:bCs/>
          <w:color w:val="auto"/>
          <w:sz w:val="21"/>
          <w:szCs w:val="21"/>
          <w:highlight w:val="none"/>
        </w:rPr>
        <w:t>发放前，</w:t>
      </w:r>
      <w:r>
        <w:rPr>
          <w:rFonts w:hint="eastAsia" w:ascii="宋体" w:hAnsi="宋体" w:cs="宋体"/>
          <w:b/>
          <w:bCs/>
          <w:color w:val="auto"/>
          <w:sz w:val="21"/>
          <w:szCs w:val="21"/>
          <w:highlight w:val="none"/>
          <w:lang w:val="en-US" w:eastAsia="zh-CN"/>
        </w:rPr>
        <w:t>中标人</w:t>
      </w:r>
      <w:r>
        <w:rPr>
          <w:rFonts w:hint="eastAsia" w:ascii="宋体" w:hAnsi="宋体" w:eastAsia="宋体" w:cs="宋体"/>
          <w:b/>
          <w:bCs/>
          <w:color w:val="auto"/>
          <w:sz w:val="21"/>
          <w:szCs w:val="21"/>
          <w:highlight w:val="none"/>
        </w:rPr>
        <w:t>将此款交江苏乾高项目管理咨询有限公司。</w:t>
      </w:r>
    </w:p>
    <w:p w14:paraId="5ED80950">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5、招标文件的约束力</w:t>
      </w:r>
    </w:p>
    <w:p w14:paraId="5C2156E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5.1 投标人一旦参加本项目采购活动，即被认为接受了本招标文件的规定和约束。</w:t>
      </w:r>
    </w:p>
    <w:p w14:paraId="750C55A8">
      <w:pPr>
        <w:pStyle w:val="36"/>
        <w:keepNext/>
        <w:keepLines/>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bookmarkStart w:id="61" w:name="_Toc16938525"/>
      <w:bookmarkStart w:id="62" w:name="_Toc513029209"/>
      <w:bookmarkStart w:id="63" w:name="_Toc20823281"/>
      <w:bookmarkStart w:id="64" w:name="_Toc120614215"/>
      <w:r>
        <w:rPr>
          <w:rFonts w:hint="eastAsia" w:ascii="宋体" w:hAnsi="宋体" w:eastAsia="宋体" w:cs="宋体"/>
          <w:b/>
          <w:color w:val="000000"/>
          <w:sz w:val="21"/>
          <w:szCs w:val="21"/>
          <w:highlight w:val="none"/>
        </w:rPr>
        <w:t>二、招标文件</w:t>
      </w:r>
      <w:bookmarkEnd w:id="61"/>
      <w:bookmarkEnd w:id="62"/>
      <w:bookmarkEnd w:id="63"/>
      <w:bookmarkEnd w:id="64"/>
    </w:p>
    <w:p w14:paraId="18EB6AEA">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65" w:name="_Toc513029210"/>
      <w:bookmarkStart w:id="66" w:name="_Toc20823282"/>
      <w:bookmarkStart w:id="67" w:name="_Toc16938526"/>
      <w:r>
        <w:rPr>
          <w:rFonts w:hint="eastAsia" w:ascii="宋体" w:hAnsi="宋体" w:eastAsia="宋体" w:cs="宋体"/>
          <w:color w:val="000000"/>
          <w:sz w:val="21"/>
          <w:szCs w:val="21"/>
          <w:highlight w:val="none"/>
        </w:rPr>
        <w:t>6、招标文件构成</w:t>
      </w:r>
      <w:bookmarkEnd w:id="65"/>
      <w:bookmarkEnd w:id="66"/>
      <w:bookmarkEnd w:id="67"/>
    </w:p>
    <w:p w14:paraId="74E41B4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6.1 招标文件由以下部分组成：</w:t>
      </w:r>
    </w:p>
    <w:p w14:paraId="547BD95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招标公告</w:t>
      </w:r>
    </w:p>
    <w:p w14:paraId="7714C36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（2）投标人须知</w:t>
      </w:r>
    </w:p>
    <w:p w14:paraId="6A72209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（3）合同文本</w:t>
      </w:r>
    </w:p>
    <w:p w14:paraId="5C2C2EA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（4）采购需求</w:t>
      </w:r>
    </w:p>
    <w:p w14:paraId="21DDA6F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（5）评标方法与评标标准</w:t>
      </w:r>
    </w:p>
    <w:p w14:paraId="0DDE824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（6）投标文件格式</w:t>
      </w:r>
    </w:p>
    <w:p w14:paraId="291E921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请仔细检查招标文件是否齐全，如有缺漏请立即与采购代理机构联系解决。</w:t>
      </w:r>
    </w:p>
    <w:p w14:paraId="7155B7BE">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EB32EF0">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68" w:name="_Toc20823283"/>
      <w:bookmarkStart w:id="69" w:name="_Toc462564070"/>
      <w:bookmarkStart w:id="70" w:name="_Toc16938527"/>
      <w:bookmarkStart w:id="71" w:name="_Toc513029211"/>
      <w:r>
        <w:rPr>
          <w:rFonts w:hint="eastAsia" w:ascii="宋体" w:hAnsi="宋体" w:eastAsia="宋体" w:cs="宋体"/>
          <w:color w:val="000000"/>
          <w:sz w:val="21"/>
          <w:szCs w:val="21"/>
          <w:highlight w:val="none"/>
        </w:rPr>
        <w:t>7、招标文件的澄清</w:t>
      </w:r>
      <w:bookmarkEnd w:id="68"/>
      <w:bookmarkEnd w:id="69"/>
      <w:bookmarkEnd w:id="70"/>
      <w:bookmarkEnd w:id="71"/>
    </w:p>
    <w:p w14:paraId="7E6C2A2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7.1 任何要求对招标文件进行澄清的投标人，应在投标截止期</w:t>
      </w:r>
      <w:r>
        <w:rPr>
          <w:rFonts w:hint="eastAsia" w:ascii="宋体" w:hAnsi="宋体" w:eastAsia="宋体" w:cs="宋体"/>
          <w:b/>
          <w:color w:val="000000"/>
          <w:sz w:val="21"/>
          <w:szCs w:val="21"/>
          <w:highlight w:val="none"/>
        </w:rPr>
        <w:t>十日</w:t>
      </w:r>
      <w:r>
        <w:rPr>
          <w:rFonts w:hint="eastAsia" w:ascii="宋体" w:hAnsi="宋体" w:eastAsia="宋体" w:cs="宋体"/>
          <w:color w:val="000000"/>
          <w:sz w:val="21"/>
          <w:szCs w:val="21"/>
          <w:highlight w:val="none"/>
        </w:rPr>
        <w:t>前按招标公告中的通讯地址，以书面形式通知采购代理机构。</w:t>
      </w:r>
    </w:p>
    <w:p w14:paraId="13ED0CA9">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72" w:name="_Toc462564071"/>
      <w:bookmarkStart w:id="73" w:name="_Toc20823284"/>
      <w:bookmarkStart w:id="74" w:name="_Toc16938528"/>
      <w:bookmarkStart w:id="75" w:name="_Toc513029212"/>
      <w:r>
        <w:rPr>
          <w:rFonts w:hint="eastAsia" w:ascii="宋体" w:hAnsi="宋体" w:eastAsia="宋体" w:cs="宋体"/>
          <w:color w:val="000000"/>
          <w:sz w:val="21"/>
          <w:szCs w:val="21"/>
          <w:highlight w:val="none"/>
        </w:rPr>
        <w:t>8、招标文件的修改</w:t>
      </w:r>
      <w:bookmarkEnd w:id="72"/>
      <w:bookmarkEnd w:id="73"/>
      <w:bookmarkEnd w:id="74"/>
      <w:bookmarkEnd w:id="75"/>
    </w:p>
    <w:p w14:paraId="4EF0B64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8.1 在投标截止时间前，采购</w:t>
      </w:r>
      <w:r>
        <w:rPr>
          <w:rFonts w:hint="eastAsia" w:ascii="宋体" w:hAnsi="宋体" w:eastAsia="宋体" w:cs="宋体"/>
          <w:color w:val="000000"/>
          <w:sz w:val="21"/>
          <w:szCs w:val="21"/>
          <w:highlight w:val="none"/>
          <w:lang w:val="en-US" w:eastAsia="zh-CN"/>
        </w:rPr>
        <w:t>人</w:t>
      </w:r>
      <w:r>
        <w:rPr>
          <w:rFonts w:hint="eastAsia" w:ascii="宋体" w:hAnsi="宋体" w:eastAsia="宋体" w:cs="宋体"/>
          <w:color w:val="000000"/>
          <w:sz w:val="21"/>
          <w:szCs w:val="21"/>
          <w:highlight w:val="none"/>
        </w:rPr>
        <w:t>可以对招标文件进行修改。</w:t>
      </w:r>
    </w:p>
    <w:p w14:paraId="0A91A3E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8.2 采购</w:t>
      </w:r>
      <w:r>
        <w:rPr>
          <w:rFonts w:hint="eastAsia" w:ascii="宋体" w:hAnsi="宋体" w:eastAsia="宋体" w:cs="宋体"/>
          <w:color w:val="000000"/>
          <w:sz w:val="21"/>
          <w:szCs w:val="21"/>
          <w:highlight w:val="none"/>
          <w:lang w:val="en-US" w:eastAsia="zh-CN"/>
        </w:rPr>
        <w:t>人</w:t>
      </w:r>
      <w:r>
        <w:rPr>
          <w:rFonts w:hint="eastAsia" w:ascii="宋体" w:hAnsi="宋体" w:eastAsia="宋体" w:cs="宋体"/>
          <w:color w:val="000000"/>
          <w:sz w:val="21"/>
          <w:szCs w:val="21"/>
          <w:highlight w:val="none"/>
        </w:rPr>
        <w:t>有权按照法定的要求推迟投标截止日期和开标日期。</w:t>
      </w:r>
    </w:p>
    <w:p w14:paraId="309FB776">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8.3 招标文件的修改将在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bidi="ar-SA"/>
        </w:rPr>
        <w:t>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w:t>
      </w:r>
      <w:r>
        <w:rPr>
          <w:rFonts w:hint="eastAsia" w:ascii="宋体" w:hAnsi="宋体" w:eastAsia="宋体" w:cs="宋体"/>
          <w:color w:val="000000"/>
          <w:sz w:val="21"/>
          <w:szCs w:val="21"/>
          <w:highlight w:val="none"/>
        </w:rPr>
        <w:t>江苏政府采购网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公布，补充文件将作为招标文件的组成部分，并对投标人具有约束力。</w:t>
      </w:r>
    </w:p>
    <w:p w14:paraId="507335F1">
      <w:pPr>
        <w:pStyle w:val="36"/>
        <w:keepNext/>
        <w:keepLines/>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bookmarkStart w:id="76" w:name="_Toc513029213"/>
      <w:bookmarkStart w:id="77" w:name="_Toc462564072"/>
      <w:bookmarkStart w:id="78" w:name="_Toc16938529"/>
      <w:bookmarkStart w:id="79" w:name="_Toc120614216"/>
      <w:bookmarkStart w:id="80" w:name="_Toc20823285"/>
      <w:r>
        <w:rPr>
          <w:rFonts w:hint="eastAsia" w:ascii="宋体" w:hAnsi="宋体" w:eastAsia="宋体" w:cs="宋体"/>
          <w:b/>
          <w:color w:val="000000"/>
          <w:sz w:val="21"/>
          <w:szCs w:val="21"/>
          <w:highlight w:val="none"/>
        </w:rPr>
        <w:t>三、投标文件的编制</w:t>
      </w:r>
      <w:bookmarkEnd w:id="76"/>
      <w:bookmarkEnd w:id="77"/>
      <w:bookmarkEnd w:id="78"/>
      <w:bookmarkEnd w:id="79"/>
      <w:bookmarkEnd w:id="80"/>
    </w:p>
    <w:p w14:paraId="78528AE2">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81" w:name="_Toc513029214"/>
      <w:bookmarkStart w:id="82" w:name="_Toc16938530"/>
      <w:bookmarkStart w:id="83" w:name="_Toc20823286"/>
      <w:bookmarkStart w:id="84" w:name="_Toc462564073"/>
      <w:r>
        <w:rPr>
          <w:rFonts w:hint="eastAsia" w:ascii="宋体" w:hAnsi="宋体" w:eastAsia="宋体" w:cs="宋体"/>
          <w:color w:val="000000"/>
          <w:sz w:val="21"/>
          <w:szCs w:val="21"/>
          <w:highlight w:val="none"/>
        </w:rPr>
        <w:t>9、投标文件的语言及度量衡单位</w:t>
      </w:r>
      <w:bookmarkEnd w:id="81"/>
      <w:bookmarkEnd w:id="82"/>
      <w:bookmarkEnd w:id="83"/>
      <w:bookmarkEnd w:id="84"/>
    </w:p>
    <w:p w14:paraId="5512AA9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9.1 投标人提交的投标文件以及投标人与采购</w:t>
      </w:r>
      <w:r>
        <w:rPr>
          <w:rFonts w:hint="eastAsia" w:ascii="宋体" w:hAnsi="宋体" w:eastAsia="宋体" w:cs="宋体"/>
          <w:color w:val="000000"/>
          <w:sz w:val="21"/>
          <w:szCs w:val="21"/>
          <w:highlight w:val="none"/>
          <w:lang w:val="en-US" w:eastAsia="zh-CN"/>
        </w:rPr>
        <w:t>人活采购代理机构</w:t>
      </w:r>
      <w:r>
        <w:rPr>
          <w:rFonts w:hint="eastAsia" w:ascii="宋体" w:hAnsi="宋体" w:eastAsia="宋体" w:cs="宋体"/>
          <w:color w:val="000000"/>
          <w:sz w:val="21"/>
          <w:szCs w:val="21"/>
          <w:highlight w:val="none"/>
        </w:rPr>
        <w:t>就有关投标的所有来往通知、函件和文件均应使用</w:t>
      </w:r>
      <w:r>
        <w:rPr>
          <w:rFonts w:hint="eastAsia" w:ascii="宋体" w:hAnsi="宋体" w:eastAsia="宋体" w:cs="宋体"/>
          <w:b/>
          <w:color w:val="000000"/>
          <w:sz w:val="21"/>
          <w:szCs w:val="21"/>
          <w:highlight w:val="none"/>
        </w:rPr>
        <w:t>简体中文</w:t>
      </w:r>
      <w:r>
        <w:rPr>
          <w:rFonts w:hint="eastAsia" w:ascii="宋体" w:hAnsi="宋体" w:eastAsia="宋体" w:cs="宋体"/>
          <w:color w:val="000000"/>
          <w:sz w:val="21"/>
          <w:szCs w:val="21"/>
          <w:highlight w:val="none"/>
        </w:rPr>
        <w:t>。</w:t>
      </w:r>
    </w:p>
    <w:p w14:paraId="131412D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9.2 除技术性能另有规定外，投标文件所使用的度量衡单位，均须采用国家法定计量单位。</w:t>
      </w:r>
    </w:p>
    <w:p w14:paraId="1CCD32A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85" w:name="_Toc513029215"/>
      <w:bookmarkStart w:id="86" w:name="_Toc462564074"/>
      <w:bookmarkStart w:id="87" w:name="_Toc20823287"/>
      <w:bookmarkStart w:id="88" w:name="_Toc16938531"/>
      <w:r>
        <w:rPr>
          <w:rFonts w:hint="eastAsia" w:ascii="宋体" w:hAnsi="宋体" w:eastAsia="宋体" w:cs="宋体"/>
          <w:color w:val="000000"/>
          <w:sz w:val="21"/>
          <w:szCs w:val="21"/>
          <w:highlight w:val="none"/>
        </w:rPr>
        <w:t>10、投标文件构成</w:t>
      </w:r>
      <w:bookmarkEnd w:id="85"/>
      <w:bookmarkEnd w:id="86"/>
      <w:bookmarkEnd w:id="87"/>
      <w:bookmarkEnd w:id="88"/>
    </w:p>
    <w:p w14:paraId="0C40D65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10.1 投标人编写的投标文件应包括资格证明文件、符合性证明文件、投标分项报价表、技术要求响应及偏离表、商务要求响应及偏离表、其他证明文件、投标函、开标一览表等部分。</w:t>
      </w:r>
    </w:p>
    <w:p w14:paraId="014CCD3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10.2 如标书制作工具中格式和内容与</w:t>
      </w:r>
      <w:r>
        <w:rPr>
          <w:rFonts w:hint="eastAsia" w:ascii="宋体" w:hAnsi="宋体" w:eastAsia="宋体" w:cs="宋体"/>
          <w:i w:val="0"/>
          <w:iCs w:val="0"/>
          <w:caps w:val="0"/>
          <w:color w:val="333333"/>
          <w:spacing w:val="0"/>
          <w:sz w:val="21"/>
          <w:szCs w:val="21"/>
          <w:highlight w:val="none"/>
          <w:shd w:val="clear" w:color="auto" w:fill="FFFFFF"/>
          <w:lang w:val="en-US" w:eastAsia="zh-CN"/>
        </w:rPr>
        <w:t>“</w:t>
      </w:r>
      <w:r>
        <w:rPr>
          <w:rFonts w:hint="eastAsia" w:ascii="宋体" w:hAnsi="宋体" w:eastAsia="宋体" w:cs="宋体"/>
          <w:color w:val="000000"/>
          <w:sz w:val="21"/>
          <w:szCs w:val="21"/>
          <w:highlight w:val="none"/>
          <w:lang w:val="en-US" w:eastAsia="zh-CN" w:bidi="ar-SA"/>
        </w:rPr>
        <w:t>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w:t>
      </w:r>
      <w:r>
        <w:rPr>
          <w:rFonts w:hint="eastAsia" w:ascii="宋体" w:hAnsi="宋体" w:eastAsia="宋体" w:cs="宋体"/>
          <w:color w:val="000000"/>
          <w:sz w:val="21"/>
          <w:szCs w:val="21"/>
          <w:highlight w:val="none"/>
        </w:rPr>
        <w:t>“江苏政府采购网”发布的招标文件不一致，请以</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bidi="ar-SA"/>
        </w:rPr>
        <w:t>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w:t>
      </w:r>
      <w:r>
        <w:rPr>
          <w:rFonts w:hint="eastAsia" w:ascii="宋体" w:hAnsi="宋体" w:eastAsia="宋体" w:cs="宋体"/>
          <w:color w:val="000000"/>
          <w:sz w:val="21"/>
          <w:szCs w:val="21"/>
          <w:highlight w:val="none"/>
        </w:rPr>
        <w:t>“江苏政府采购网”发布的招标文件为准。</w:t>
      </w:r>
    </w:p>
    <w:p w14:paraId="1C7594DA">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89" w:name="_Toc49090509"/>
      <w:bookmarkStart w:id="90" w:name="_Toc14577357"/>
      <w:bookmarkStart w:id="91" w:name="_Toc14577354"/>
      <w:bookmarkStart w:id="92" w:name="_Toc513029216"/>
      <w:bookmarkStart w:id="93" w:name="_Toc49090507"/>
      <w:bookmarkStart w:id="94" w:name="_Toc49090508"/>
      <w:bookmarkStart w:id="95" w:name="_Toc513029219"/>
      <w:bookmarkStart w:id="96" w:name="_Toc14577355"/>
      <w:bookmarkStart w:id="97" w:name="_Hlt26668975"/>
      <w:bookmarkStart w:id="98" w:name="_Hlt26954838"/>
      <w:bookmarkStart w:id="99" w:name="_Hlt26670360"/>
      <w:r>
        <w:rPr>
          <w:rFonts w:hint="eastAsia" w:ascii="宋体" w:hAnsi="宋体" w:eastAsia="宋体" w:cs="宋体"/>
          <w:color w:val="000000"/>
          <w:sz w:val="21"/>
          <w:szCs w:val="21"/>
          <w:highlight w:val="none"/>
        </w:rPr>
        <w:t>11、证明投标人及投标标的符合招标文件规定的文件</w:t>
      </w:r>
      <w:bookmarkEnd w:id="89"/>
      <w:bookmarkEnd w:id="90"/>
      <w:bookmarkEnd w:id="91"/>
      <w:bookmarkEnd w:id="92"/>
      <w:bookmarkEnd w:id="93"/>
      <w:bookmarkEnd w:id="94"/>
      <w:bookmarkEnd w:id="95"/>
      <w:bookmarkEnd w:id="96"/>
    </w:p>
    <w:p w14:paraId="33726FF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11.1 投标人应按照招标文件要求提交证明文件，证明其及投标标的符合招标文件规定。</w:t>
      </w:r>
    </w:p>
    <w:p w14:paraId="7B27249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11.2招标文件对证明文件无明确形式要求的，证明文件可以以文字资料、图纸和数据等形式提交。</w:t>
      </w:r>
    </w:p>
    <w:p w14:paraId="4FD185C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12、已标价的工程量清单报价表</w:t>
      </w:r>
    </w:p>
    <w:p w14:paraId="1874491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12.1 投标人应按照招标文件规定格式填报</w:t>
      </w:r>
      <w:r>
        <w:rPr>
          <w:rFonts w:hint="eastAsia" w:ascii="宋体" w:hAnsi="宋体" w:eastAsia="宋体" w:cs="宋体"/>
          <w:color w:val="000000" w:themeColor="text1"/>
          <w:sz w:val="21"/>
          <w:szCs w:val="21"/>
          <w:highlight w:val="none"/>
          <w14:textFill>
            <w14:solidFill>
              <w14:schemeClr w14:val="tx1"/>
            </w14:solidFill>
          </w14:textFill>
        </w:rPr>
        <w:t>已标价的工程量清单报价表</w:t>
      </w:r>
      <w:r>
        <w:rPr>
          <w:rFonts w:hint="eastAsia" w:ascii="宋体" w:hAnsi="宋体" w:eastAsia="宋体" w:cs="宋体"/>
          <w:color w:val="000000"/>
          <w:sz w:val="21"/>
          <w:szCs w:val="21"/>
          <w:highlight w:val="none"/>
        </w:rPr>
        <w:t>。</w:t>
      </w:r>
    </w:p>
    <w:p w14:paraId="3742E15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12.2投标货币。投标文件中的单价和总价无特殊规定的采用人民币报价，以元为单位标注。招标文件中另有规定的按规定执行。</w:t>
      </w:r>
    </w:p>
    <w:p w14:paraId="35689D82">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00" w:name="_Hlt26670486"/>
      <w:bookmarkStart w:id="101" w:name="_Hlt26670482"/>
      <w:bookmarkStart w:id="102" w:name="_Hlt26954731"/>
      <w:bookmarkStart w:id="103" w:name="_Hlt26954848"/>
      <w:bookmarkStart w:id="104" w:name="_Hlt26954846"/>
      <w:r>
        <w:rPr>
          <w:rFonts w:hint="eastAsia" w:ascii="宋体" w:hAnsi="宋体" w:eastAsia="宋体" w:cs="宋体"/>
          <w:color w:val="000000"/>
          <w:sz w:val="21"/>
          <w:szCs w:val="21"/>
          <w:highlight w:val="none"/>
        </w:rPr>
        <w:t>13、技术要求响应及偏离表、商务要求响应及偏离表</w:t>
      </w:r>
    </w:p>
    <w:p w14:paraId="553C18E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13.1 投标人需对招标文件中的技术要求与商务要求逐项作出响应或偏离，并说明原因。</w:t>
      </w:r>
    </w:p>
    <w:p w14:paraId="0DC2C50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13.2 投标人可在投标文件中提供认为需要的其他技术文件或说明。</w:t>
      </w:r>
    </w:p>
    <w:p w14:paraId="1A6CF418">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05" w:name="_Toc49090510"/>
      <w:bookmarkStart w:id="106" w:name="_Toc14577359"/>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、投标函和开标一览表</w:t>
      </w:r>
      <w:bookmarkEnd w:id="105"/>
      <w:bookmarkEnd w:id="106"/>
    </w:p>
    <w:p w14:paraId="204EF43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.1 投标人应按照招标文件中提供的格式完整、正确填写投标函、开标一览表。</w:t>
      </w:r>
    </w:p>
    <w:p w14:paraId="1A3F4D1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.2 对于采用货币报价的项目，开标一览表中的投标总报价应与投标分项报价表中的投标总报价一致，如不一致，不作为无效投标处理，但评标时按开标一览表中价格为准。</w:t>
      </w:r>
    </w:p>
    <w:p w14:paraId="57F2C1DD">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07" w:name="_Toc49090511"/>
      <w:bookmarkStart w:id="108" w:name="_Toc14577360"/>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、投标有效期</w:t>
      </w:r>
      <w:bookmarkEnd w:id="107"/>
      <w:bookmarkEnd w:id="108"/>
    </w:p>
    <w:p w14:paraId="1DB9AD9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.1投标有效期为采购</w:t>
      </w:r>
      <w:r>
        <w:rPr>
          <w:rFonts w:hint="eastAsia" w:ascii="宋体" w:hAnsi="宋体" w:eastAsia="宋体" w:cs="宋体"/>
          <w:color w:val="000000"/>
          <w:sz w:val="21"/>
          <w:szCs w:val="21"/>
          <w:highlight w:val="none"/>
          <w:lang w:val="en-US" w:eastAsia="zh-CN"/>
        </w:rPr>
        <w:t>人</w:t>
      </w:r>
      <w:r>
        <w:rPr>
          <w:rFonts w:hint="eastAsia" w:ascii="宋体" w:hAnsi="宋体" w:eastAsia="宋体" w:cs="宋体"/>
          <w:color w:val="000000"/>
          <w:sz w:val="21"/>
          <w:szCs w:val="21"/>
          <w:highlight w:val="none"/>
        </w:rPr>
        <w:t>规定的开标之日后</w:t>
      </w:r>
      <w:r>
        <w:rPr>
          <w:rFonts w:hint="eastAsia" w:ascii="宋体" w:hAnsi="宋体" w:eastAsia="宋体" w:cs="宋体"/>
          <w:b/>
          <w:color w:val="auto"/>
          <w:sz w:val="21"/>
          <w:szCs w:val="21"/>
          <w:highlight w:val="none"/>
          <w:u w:val="single"/>
          <w:lang w:val="en-US" w:eastAsia="zh-CN"/>
        </w:rPr>
        <w:t>九</w:t>
      </w:r>
      <w:r>
        <w:rPr>
          <w:rFonts w:hint="eastAsia" w:ascii="宋体" w:hAnsi="宋体" w:eastAsia="宋体" w:cs="宋体"/>
          <w:b/>
          <w:color w:val="auto"/>
          <w:sz w:val="21"/>
          <w:szCs w:val="21"/>
          <w:highlight w:val="none"/>
          <w:u w:val="single"/>
        </w:rPr>
        <w:t>十（</w:t>
      </w:r>
      <w:r>
        <w:rPr>
          <w:rFonts w:hint="eastAsia" w:ascii="宋体" w:hAnsi="宋体" w:eastAsia="宋体" w:cs="宋体"/>
          <w:b/>
          <w:color w:val="auto"/>
          <w:sz w:val="21"/>
          <w:szCs w:val="21"/>
          <w:highlight w:val="none"/>
          <w:u w:val="single"/>
          <w:lang w:val="en-US" w:eastAsia="zh-CN"/>
        </w:rPr>
        <w:t>9</w:t>
      </w:r>
      <w:r>
        <w:rPr>
          <w:rFonts w:hint="eastAsia" w:ascii="宋体" w:hAnsi="宋体" w:eastAsia="宋体" w:cs="宋体"/>
          <w:b/>
          <w:color w:val="auto"/>
          <w:sz w:val="21"/>
          <w:szCs w:val="21"/>
          <w:highlight w:val="none"/>
          <w:u w:val="single"/>
        </w:rPr>
        <w:t>0）天</w:t>
      </w:r>
      <w:r>
        <w:rPr>
          <w:rFonts w:hint="eastAsia" w:ascii="宋体" w:hAnsi="宋体" w:eastAsia="宋体" w:cs="宋体"/>
          <w:color w:val="000000"/>
          <w:sz w:val="21"/>
          <w:szCs w:val="21"/>
          <w:highlight w:val="none"/>
        </w:rPr>
        <w:t>。投标有效期比规定短的将被视为未实质性响应招标文件而予以拒绝。</w:t>
      </w:r>
    </w:p>
    <w:p w14:paraId="10389111">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、投标有效期的延长</w:t>
      </w:r>
    </w:p>
    <w:p w14:paraId="1804D1F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.1在特殊情况下，采购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的这一要求而放弃投标，同意延长投标有效期的投标人既不能要求也不允许修改其投标文件。受投标有效期约束的所有权利与义务均延长至新的有效期。</w:t>
      </w:r>
      <w:bookmarkStart w:id="109" w:name="_Toc120614217"/>
      <w:bookmarkStart w:id="110" w:name="_Toc16938540"/>
      <w:bookmarkStart w:id="111" w:name="_Toc20823296"/>
      <w:bookmarkStart w:id="112" w:name="_Toc513029224"/>
      <w:bookmarkStart w:id="113" w:name="_Hlt26954739"/>
      <w:bookmarkStart w:id="114" w:name="_Hlt26954852"/>
    </w:p>
    <w:p w14:paraId="13117FD8">
      <w:pPr>
        <w:pStyle w:val="36"/>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四、投标文件的递交</w:t>
      </w:r>
      <w:bookmarkEnd w:id="109"/>
      <w:bookmarkEnd w:id="110"/>
      <w:bookmarkEnd w:id="111"/>
      <w:bookmarkEnd w:id="112"/>
    </w:p>
    <w:p w14:paraId="5DFFAD97">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15" w:name="_Toc16938541"/>
      <w:bookmarkStart w:id="116" w:name="_Toc20823297"/>
      <w:bookmarkStart w:id="117" w:name="_Toc462564084"/>
      <w:bookmarkStart w:id="118" w:name="_Toc513029225"/>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、电子投标文件</w:t>
      </w:r>
      <w:bookmarkEnd w:id="115"/>
      <w:bookmarkEnd w:id="116"/>
      <w:bookmarkEnd w:id="117"/>
      <w:bookmarkEnd w:id="118"/>
      <w:r>
        <w:rPr>
          <w:rFonts w:hint="eastAsia" w:ascii="宋体" w:hAnsi="宋体" w:eastAsia="宋体" w:cs="宋体"/>
          <w:color w:val="000000"/>
          <w:sz w:val="21"/>
          <w:szCs w:val="21"/>
          <w:highlight w:val="none"/>
        </w:rPr>
        <w:t>的递交</w:t>
      </w:r>
    </w:p>
    <w:p w14:paraId="561D932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.1投标人应当按照《操作手册》规定，在投标截止时间前制作并上传电子投标文件。</w:t>
      </w:r>
      <w:bookmarkStart w:id="119" w:name="_Toc20823298"/>
      <w:bookmarkEnd w:id="119"/>
      <w:bookmarkStart w:id="120" w:name="_Toc16938542"/>
      <w:bookmarkEnd w:id="120"/>
      <w:bookmarkStart w:id="121" w:name="_Toc513029226"/>
    </w:p>
    <w:p w14:paraId="2A8F495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、投标截止日期</w:t>
      </w:r>
    </w:p>
    <w:p w14:paraId="1F070C0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i/>
          <w:color w:val="000000"/>
          <w:sz w:val="21"/>
          <w:szCs w:val="21"/>
          <w:highlight w:val="none"/>
          <w:u w:val="single"/>
        </w:rPr>
        <w:t>1</w:t>
      </w:r>
      <w:r>
        <w:rPr>
          <w:rFonts w:hint="eastAsia" w:ascii="宋体" w:hAnsi="宋体" w:eastAsia="宋体" w:cs="宋体"/>
          <w:i/>
          <w:color w:val="000000"/>
          <w:sz w:val="21"/>
          <w:szCs w:val="21"/>
          <w:highlight w:val="none"/>
          <w:u w:val="single"/>
          <w:lang w:val="en-US" w:eastAsia="zh-CN"/>
        </w:rPr>
        <w:t>8</w:t>
      </w:r>
      <w:r>
        <w:rPr>
          <w:rFonts w:hint="eastAsia" w:ascii="宋体" w:hAnsi="宋体" w:eastAsia="宋体" w:cs="宋体"/>
          <w:i/>
          <w:color w:val="000000"/>
          <w:sz w:val="21"/>
          <w:szCs w:val="21"/>
          <w:highlight w:val="none"/>
          <w:u w:val="single"/>
        </w:rPr>
        <w:t>.1 投标人上传电子投标文件的时间不得迟于招标公告中规定的投标截止时间。</w:t>
      </w:r>
    </w:p>
    <w:p w14:paraId="078E055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投标人应充分考虑到网络环境、网络带宽等风险因素，如因投标人自身原因造成的电子投标文件上传不成功的按照本招标文件第二章第27.1.2条规定做无效投标处理。</w:t>
      </w:r>
    </w:p>
    <w:p w14:paraId="5DBEB89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 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可以按照规定，通过修改招标文件酌情延长投标截止日期，在此情况下，投标人的所有权利和义务以及投标人受制的截止日期均应以延长后新的截止日期为准。</w:t>
      </w:r>
    </w:p>
    <w:p w14:paraId="660517A4">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22" w:name="_Toc20823299"/>
      <w:bookmarkStart w:id="123" w:name="_Toc16938543"/>
      <w:bookmarkStart w:id="124" w:name="_Toc513029227"/>
      <w:r>
        <w:rPr>
          <w:rFonts w:hint="eastAsia" w:ascii="宋体" w:hAnsi="宋体" w:eastAsia="宋体" w:cs="宋体"/>
          <w:color w:val="000000"/>
          <w:sz w:val="21"/>
          <w:szCs w:val="21"/>
          <w:highlight w:val="none"/>
          <w:lang w:val="en-US" w:eastAsia="zh-CN"/>
        </w:rPr>
        <w:t>19</w:t>
      </w:r>
      <w:r>
        <w:rPr>
          <w:rFonts w:hint="eastAsia" w:ascii="宋体" w:hAnsi="宋体" w:eastAsia="宋体" w:cs="宋体"/>
          <w:color w:val="000000"/>
          <w:sz w:val="21"/>
          <w:szCs w:val="21"/>
          <w:highlight w:val="none"/>
        </w:rPr>
        <w:t>、投标文件</w:t>
      </w:r>
      <w:bookmarkEnd w:id="122"/>
      <w:bookmarkEnd w:id="123"/>
      <w:bookmarkEnd w:id="124"/>
      <w:r>
        <w:rPr>
          <w:rFonts w:hint="eastAsia" w:ascii="宋体" w:hAnsi="宋体" w:eastAsia="宋体" w:cs="宋体"/>
          <w:color w:val="000000"/>
          <w:sz w:val="21"/>
          <w:szCs w:val="21"/>
          <w:highlight w:val="none"/>
        </w:rPr>
        <w:t>的拒收</w:t>
      </w:r>
    </w:p>
    <w:p w14:paraId="6FCE230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19</w:t>
      </w:r>
      <w:r>
        <w:rPr>
          <w:rFonts w:hint="eastAsia" w:ascii="宋体" w:hAnsi="宋体" w:eastAsia="宋体" w:cs="宋体"/>
          <w:color w:val="000000"/>
          <w:sz w:val="21"/>
          <w:szCs w:val="21"/>
          <w:highlight w:val="none"/>
        </w:rPr>
        <w:t>.1 采购</w:t>
      </w:r>
      <w:r>
        <w:rPr>
          <w:rFonts w:hint="eastAsia" w:ascii="宋体" w:hAnsi="宋体" w:eastAsia="宋体" w:cs="宋体"/>
          <w:color w:val="000000"/>
          <w:sz w:val="21"/>
          <w:szCs w:val="21"/>
          <w:highlight w:val="none"/>
          <w:lang w:val="en-US" w:eastAsia="zh-CN"/>
        </w:rPr>
        <w:t>人及采购代理机构</w:t>
      </w:r>
      <w:r>
        <w:rPr>
          <w:rFonts w:hint="eastAsia" w:ascii="宋体" w:hAnsi="宋体" w:eastAsia="宋体" w:cs="宋体"/>
          <w:color w:val="000000"/>
          <w:sz w:val="21"/>
          <w:szCs w:val="21"/>
          <w:highlight w:val="none"/>
        </w:rPr>
        <w:t>拒绝接收在其规定的投标截止时间后上传的任何投标文件。</w:t>
      </w:r>
    </w:p>
    <w:p w14:paraId="29D7CF7C">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25" w:name="_Toc16938544"/>
      <w:bookmarkStart w:id="126" w:name="_Toc20823300"/>
      <w:bookmarkStart w:id="127" w:name="_Toc513029228"/>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、投标文件的撤回和修改</w:t>
      </w:r>
      <w:bookmarkEnd w:id="125"/>
      <w:bookmarkEnd w:id="126"/>
      <w:bookmarkEnd w:id="127"/>
    </w:p>
    <w:p w14:paraId="5AE9A3D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 投标文件的撤回</w:t>
      </w:r>
    </w:p>
    <w:p w14:paraId="6C36F670">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.1.1 电子投标文件的撤回</w:t>
      </w:r>
    </w:p>
    <w:p w14:paraId="63CC21C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投标人可在投标截止时间前，撤回其电子投标文件，具体操作方法见《操作手册》。</w:t>
      </w:r>
    </w:p>
    <w:p w14:paraId="1EDCCCB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.1.2 投标人撤回电子投标文件，则认为其不再参与本项目投标活动。</w:t>
      </w:r>
    </w:p>
    <w:p w14:paraId="0AD9E64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.2 投标文件的修改</w:t>
      </w:r>
    </w:p>
    <w:p w14:paraId="0C63FC3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.2.1投标人可在投标截止时间前，对其电子投标文件进行修改，具体操作方法见《操作手册》。</w:t>
      </w:r>
    </w:p>
    <w:p w14:paraId="63CF99D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.2.2 在投标截止时间之后，投标人不得对其电子投标文件作任何修改。</w:t>
      </w:r>
    </w:p>
    <w:p w14:paraId="14A3CA9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.3 在投标截止时间至招标文件中规定的投标有效期满之间的这段时间内，投标人不得撤回其投标。</w:t>
      </w:r>
    </w:p>
    <w:p w14:paraId="4DB3DEC4">
      <w:pPr>
        <w:pStyle w:val="36"/>
        <w:keepNext/>
        <w:keepLines/>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bookmarkStart w:id="128" w:name="_Toc513029229"/>
      <w:bookmarkStart w:id="129" w:name="_Toc120614218"/>
      <w:bookmarkStart w:id="130" w:name="_Toc20823301"/>
      <w:bookmarkStart w:id="131" w:name="_Toc16938545"/>
      <w:r>
        <w:rPr>
          <w:rFonts w:hint="eastAsia" w:ascii="宋体" w:hAnsi="宋体" w:eastAsia="宋体" w:cs="宋体"/>
          <w:b/>
          <w:color w:val="000000"/>
          <w:sz w:val="21"/>
          <w:szCs w:val="21"/>
          <w:highlight w:val="none"/>
        </w:rPr>
        <w:t>五、开标与评标</w:t>
      </w:r>
      <w:bookmarkEnd w:id="128"/>
      <w:bookmarkEnd w:id="129"/>
      <w:bookmarkEnd w:id="130"/>
      <w:bookmarkEnd w:id="131"/>
    </w:p>
    <w:p w14:paraId="68D41415">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32" w:name="_Toc20823302"/>
      <w:bookmarkStart w:id="133" w:name="_Toc16938546"/>
      <w:bookmarkStart w:id="134" w:name="_Toc513029230"/>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、开标</w:t>
      </w:r>
      <w:bookmarkEnd w:id="132"/>
      <w:bookmarkEnd w:id="133"/>
      <w:bookmarkEnd w:id="134"/>
    </w:p>
    <w:p w14:paraId="0AEFA42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.1 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将在招标公告中规定的时间和地点组织公开开标。投标人应当按照《操作手册》规定，参加开标活动</w:t>
      </w:r>
      <w:r>
        <w:rPr>
          <w:rFonts w:hint="eastAsia" w:ascii="宋体" w:hAnsi="宋体" w:eastAsia="宋体" w:cs="宋体"/>
          <w:color w:val="auto"/>
          <w:sz w:val="21"/>
          <w:szCs w:val="21"/>
          <w:highlight w:val="none"/>
        </w:rPr>
        <w:t>和在苏采云系统规定的时间内对投标文件进行解密。</w:t>
      </w:r>
    </w:p>
    <w:p w14:paraId="11183E7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.2开标仪式由采购</w:t>
      </w:r>
      <w:r>
        <w:rPr>
          <w:rFonts w:hint="eastAsia" w:ascii="宋体" w:hAnsi="宋体" w:eastAsia="宋体" w:cs="宋体"/>
          <w:color w:val="auto"/>
          <w:sz w:val="21"/>
          <w:szCs w:val="21"/>
          <w:highlight w:val="none"/>
          <w:lang w:val="en-US" w:eastAsia="zh-CN"/>
        </w:rPr>
        <w:t>代理机构</w:t>
      </w:r>
      <w:r>
        <w:rPr>
          <w:rFonts w:hint="eastAsia" w:ascii="宋体" w:hAnsi="宋体" w:eastAsia="宋体" w:cs="宋体"/>
          <w:color w:val="auto"/>
          <w:sz w:val="21"/>
          <w:szCs w:val="21"/>
          <w:highlight w:val="none"/>
        </w:rPr>
        <w:t>组织。苏采云系统将自动对项目进行开标，并宣布各投标人名称和投标价格。</w:t>
      </w:r>
    </w:p>
    <w:p w14:paraId="576E25C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.3投标人在开标过程中涉及到的投标文件解密、开标结果确认等工作，应按照《操作手册》规定执行。</w:t>
      </w:r>
    </w:p>
    <w:p w14:paraId="3ED8586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.4投标人如果对开标过程和开标记录有疑义，应当根据《操作手册》规定提出，如苏采云系统中《开标记录表》宣布后5分钟内未提出的</w:t>
      </w:r>
      <w:r>
        <w:rPr>
          <w:rFonts w:hint="eastAsia" w:ascii="宋体" w:hAnsi="宋体" w:eastAsia="宋体" w:cs="宋体"/>
          <w:color w:val="000000"/>
          <w:sz w:val="21"/>
          <w:szCs w:val="21"/>
          <w:highlight w:val="none"/>
        </w:rPr>
        <w:t>，视同认可开标结果。</w:t>
      </w:r>
    </w:p>
    <w:p w14:paraId="129CC50D">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35" w:name="_Toc513029231"/>
      <w:bookmarkStart w:id="136" w:name="_Toc20823303"/>
      <w:bookmarkStart w:id="137" w:name="_Toc16938547"/>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、评标委员会</w:t>
      </w:r>
      <w:bookmarkEnd w:id="135"/>
      <w:bookmarkEnd w:id="136"/>
      <w:bookmarkEnd w:id="137"/>
    </w:p>
    <w:p w14:paraId="2D1DA6E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.1开标后，采购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将立即组织评标委员会（以下简称评委会）进行评标。</w:t>
      </w:r>
    </w:p>
    <w:p w14:paraId="785090D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.2评委会由采购人代表和有关技术、经济等方面的专家组成，且人员构成符合政府采购有关规定。</w:t>
      </w:r>
    </w:p>
    <w:p w14:paraId="3CD5DC6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.3评委会独立工作，负责评审所有投标文件并确定中标侯选人。</w:t>
      </w:r>
    </w:p>
    <w:p w14:paraId="09D358E5">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．评标过程的保密与公正</w:t>
      </w:r>
    </w:p>
    <w:p w14:paraId="0EF8A28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.1凡是与审查、澄清、评价和比较投标的有关资料以及授标建议等，采购人、评委、采购代理机构均不得向投标人或与评标无关的其他人员透露。</w:t>
      </w:r>
    </w:p>
    <w:p w14:paraId="3634C820">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.2在评标过程中，投标人不得以任何行为影响评标过程，否则其投标文件将被作为无效投标文件。</w:t>
      </w:r>
    </w:p>
    <w:p w14:paraId="6D4C381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.3 采购</w:t>
      </w:r>
      <w:r>
        <w:rPr>
          <w:rFonts w:hint="eastAsia" w:ascii="宋体" w:hAnsi="宋体" w:eastAsia="宋体" w:cs="宋体"/>
          <w:color w:val="000000"/>
          <w:sz w:val="21"/>
          <w:szCs w:val="21"/>
          <w:highlight w:val="none"/>
          <w:lang w:val="en-US" w:eastAsia="zh-CN"/>
        </w:rPr>
        <w:t>人、采购代理机构</w:t>
      </w:r>
      <w:r>
        <w:rPr>
          <w:rFonts w:hint="eastAsia" w:ascii="宋体" w:hAnsi="宋体" w:eastAsia="宋体" w:cs="宋体"/>
          <w:color w:val="000000"/>
          <w:sz w:val="21"/>
          <w:szCs w:val="21"/>
          <w:highlight w:val="none"/>
        </w:rPr>
        <w:t>和评标委员会不向未中标的投标人解释未中标原因，也不公布评标过程中的相关</w:t>
      </w:r>
      <w:r>
        <w:rPr>
          <w:rFonts w:hint="eastAsia" w:ascii="宋体" w:hAnsi="宋体" w:eastAsia="宋体" w:cs="宋体"/>
          <w:color w:val="auto"/>
          <w:sz w:val="21"/>
          <w:szCs w:val="21"/>
          <w:highlight w:val="none"/>
        </w:rPr>
        <w:t>细节。</w:t>
      </w:r>
    </w:p>
    <w:p w14:paraId="7AAE7A3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 采用综合评分法的项目，未中标的投标人可于中标结果公告期限届满之日起通过苏采云系统查看自己的评审得分及</w:t>
      </w:r>
      <w:r>
        <w:rPr>
          <w:rFonts w:hint="eastAsia" w:ascii="宋体" w:hAnsi="宋体" w:eastAsia="宋体" w:cs="宋体"/>
          <w:color w:val="000000"/>
          <w:sz w:val="21"/>
          <w:szCs w:val="21"/>
          <w:highlight w:val="none"/>
        </w:rPr>
        <w:t>排序情况。</w:t>
      </w:r>
    </w:p>
    <w:p w14:paraId="13EAE454">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38" w:name="_Toc513029232"/>
      <w:bookmarkStart w:id="139" w:name="_Toc20823304"/>
      <w:bookmarkStart w:id="140" w:name="_Toc16938548"/>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．投标文件的澄清</w:t>
      </w:r>
      <w:bookmarkEnd w:id="138"/>
      <w:bookmarkEnd w:id="139"/>
      <w:bookmarkEnd w:id="140"/>
    </w:p>
    <w:p w14:paraId="4A4114E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41" w:name="_Toc513029233"/>
      <w:bookmarkStart w:id="142" w:name="_Toc16938549"/>
      <w:bookmarkStart w:id="143" w:name="_Toc20823305"/>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.1评标期间，评委会对投标文件中含义不明确、同类问题表述不一致或者有明显文字和计算错误的内容</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有权要求投标人作出必要的澄清、说明或者补正。</w:t>
      </w:r>
      <w:bookmarkEnd w:id="141"/>
      <w:bookmarkEnd w:id="142"/>
      <w:bookmarkEnd w:id="143"/>
    </w:p>
    <w:p w14:paraId="57A13E0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投标人的澄清、说明或者补正不得超出投标文件的范围或者改变投标文件的实质性内容。</w:t>
      </w:r>
    </w:p>
    <w:p w14:paraId="5317A75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评标委员会并非对每个投标人都做澄清要求。</w:t>
      </w:r>
    </w:p>
    <w:p w14:paraId="4CBDD58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763E93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 接到评委会澄清、说明和补正要求的投标人如未按规定做出澄清、</w:t>
      </w:r>
      <w:r>
        <w:rPr>
          <w:rFonts w:hint="eastAsia" w:ascii="宋体" w:hAnsi="宋体" w:eastAsia="宋体" w:cs="宋体"/>
          <w:color w:val="000000"/>
          <w:sz w:val="21"/>
          <w:szCs w:val="21"/>
          <w:highlight w:val="none"/>
        </w:rPr>
        <w:t>说明和补正，其风险由投标人自行承担。</w:t>
      </w:r>
    </w:p>
    <w:p w14:paraId="6E8497E0">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、对投标文件的初审</w:t>
      </w:r>
    </w:p>
    <w:p w14:paraId="7FE0481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.1投标文件初审分为资格审查和符合性审查。</w:t>
      </w:r>
    </w:p>
    <w:p w14:paraId="6F616E6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.1.1 资格审查：依据法律法规和招标文件的规定，由采购人对投标文件中的资格证明文件进行审查。资格审查的结论，采购人以书面形式向评委会进行反馈。</w:t>
      </w:r>
    </w:p>
    <w:p w14:paraId="50D128F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采购人在进行资格性审查的同时，将在“信用中国”网站（www.creditchina.gov.cn）查询投标人的信用记录，以确定投标人是否具备投标资格,查询结果留存并归档。</w:t>
      </w:r>
    </w:p>
    <w:p w14:paraId="51655AE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EE3C62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.1.2 符合性审查：依据招标文件的规定，由评委会从投标文件的有效性、完整性和对招标文件的响应程度进行审查，以确定是否对招标文件的实质性要求作出响应。</w:t>
      </w:r>
    </w:p>
    <w:p w14:paraId="58E3381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.1.3 未通过资格审查或符合性审查的投标人，采购</w:t>
      </w:r>
      <w:r>
        <w:rPr>
          <w:rFonts w:hint="eastAsia" w:ascii="宋体" w:hAnsi="宋体" w:eastAsia="宋体" w:cs="宋体"/>
          <w:color w:val="000000"/>
          <w:sz w:val="21"/>
          <w:szCs w:val="21"/>
          <w:highlight w:val="none"/>
          <w:lang w:val="en-US" w:eastAsia="zh-CN"/>
        </w:rPr>
        <w:t>人或采购代理机构</w:t>
      </w:r>
      <w:r>
        <w:rPr>
          <w:rFonts w:hint="eastAsia" w:ascii="宋体" w:hAnsi="宋体" w:eastAsia="宋体" w:cs="宋体"/>
          <w:color w:val="000000"/>
          <w:sz w:val="21"/>
          <w:szCs w:val="21"/>
          <w:highlight w:val="none"/>
        </w:rPr>
        <w:t>将</w:t>
      </w:r>
      <w:r>
        <w:rPr>
          <w:rFonts w:hint="eastAsia" w:ascii="宋体" w:hAnsi="宋体" w:eastAsia="宋体" w:cs="宋体"/>
          <w:color w:val="auto"/>
          <w:sz w:val="21"/>
          <w:szCs w:val="21"/>
          <w:highlight w:val="none"/>
        </w:rPr>
        <w:t>在苏采云系统中告知未通过资格审查或符合性审查的原因，评审结束后，采购</w:t>
      </w:r>
      <w:r>
        <w:rPr>
          <w:rFonts w:hint="eastAsia" w:ascii="宋体" w:hAnsi="宋体" w:eastAsia="宋体" w:cs="宋体"/>
          <w:color w:val="auto"/>
          <w:sz w:val="21"/>
          <w:szCs w:val="21"/>
          <w:highlight w:val="none"/>
          <w:lang w:val="en-US" w:eastAsia="zh-CN"/>
        </w:rPr>
        <w:t>人或采购代理机构</w:t>
      </w:r>
      <w:r>
        <w:rPr>
          <w:rFonts w:hint="eastAsia" w:ascii="宋体" w:hAnsi="宋体" w:eastAsia="宋体" w:cs="宋体"/>
          <w:color w:val="auto"/>
          <w:sz w:val="21"/>
          <w:szCs w:val="21"/>
          <w:highlight w:val="none"/>
        </w:rPr>
        <w:t>将不再告知未通过资格审查或符合性审查的原因。</w:t>
      </w:r>
    </w:p>
    <w:p w14:paraId="384AD3A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B2704D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D53A3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.3如果投标文件实质上没有响应招标文件的要求，评委会将予以拒绝，投标人不得通过修改或撤销不合要求的偏离或保留而使其投标成为实质性响应的投标。</w:t>
      </w:r>
    </w:p>
    <w:p w14:paraId="6C5C1426">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.4评委会将对确定为实质性响应的投标进行进一步审核，看其是否有计算上或累加上的算术错误，修正错误的原则如下：</w:t>
      </w:r>
    </w:p>
    <w:p w14:paraId="745471B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（1）投标文件中开标一览表内容与投标文件中相应内容不一致的，以开标一览表为准。</w:t>
      </w:r>
    </w:p>
    <w:p w14:paraId="36EAF61B">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（2）大写金额和小写金额不一致的，以大写金额为准。</w:t>
      </w:r>
    </w:p>
    <w:p w14:paraId="30CF859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（3）单价金额小数点或者百分比有明显错位的，以开标一览表的总价为准，并修改单价。</w:t>
      </w:r>
    </w:p>
    <w:p w14:paraId="1F94EED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（4）总价金额与按单价汇总金额不一致的，以单价金额计算结果为准。</w:t>
      </w:r>
    </w:p>
    <w:p w14:paraId="24E2180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同时出现两种以上错误的，按照前款规定的顺序修正。</w:t>
      </w:r>
    </w:p>
    <w:p w14:paraId="5F00B6E0">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.5评委会将按上述修正错误的方法调整投标文件中的投标报价，并通过苏采云系统告知投标人，调整后的价格应对投标人具有约束力。如果投标人不接受修正后的价格，则其投标将被拒绝。</w:t>
      </w:r>
    </w:p>
    <w:p w14:paraId="4FF6E4F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EE2EB6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7B2D36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非单一产品采购项目，招标文件中将载明其中的核心产品。多家投标人提供的核心产品品牌相同的，按前两款规定处理。</w:t>
      </w:r>
    </w:p>
    <w:p w14:paraId="0FB5661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bookmarkStart w:id="144" w:name="_Toc20823306"/>
      <w:bookmarkStart w:id="145" w:name="_Toc16938550"/>
      <w:bookmarkStart w:id="146" w:name="_Toc513029234"/>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.6</w:t>
      </w:r>
      <w:bookmarkEnd w:id="144"/>
      <w:bookmarkEnd w:id="145"/>
      <w:bookmarkEnd w:id="146"/>
      <w:r>
        <w:rPr>
          <w:rFonts w:hint="eastAsia" w:ascii="宋体" w:hAnsi="宋体" w:eastAsia="宋体" w:cs="宋体"/>
          <w:color w:val="auto"/>
          <w:sz w:val="21"/>
          <w:szCs w:val="21"/>
          <w:highlight w:val="none"/>
        </w:rPr>
        <w:t>投标人在开、评标全过程中应保持通讯畅通，及时登录苏采云系统查阅、答复相关信息，并安排专人与采购代理机构及评标委员会联系。</w:t>
      </w:r>
    </w:p>
    <w:p w14:paraId="0321389C">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、无效投标条款和废标条款</w:t>
      </w:r>
    </w:p>
    <w:p w14:paraId="3FCAFDD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bookmarkStart w:id="147" w:name="_Toc20823307"/>
      <w:bookmarkStart w:id="148" w:name="_Toc16938551"/>
      <w:bookmarkStart w:id="149" w:name="_Toc513029235"/>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.1无效投标条款</w:t>
      </w:r>
      <w:bookmarkEnd w:id="147"/>
      <w:bookmarkEnd w:id="148"/>
      <w:bookmarkEnd w:id="149"/>
    </w:p>
    <w:p w14:paraId="2C4B1B9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.1.1 投标人在苏采云系统规定的时间内未成功解密电子投标文件的。</w:t>
      </w:r>
    </w:p>
    <w:p w14:paraId="702470A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.1.2 投标人未按照招标文件要求上传电子投标文件的。</w:t>
      </w:r>
    </w:p>
    <w:p w14:paraId="55A3E0F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.1.3同一投标人提交两个（含两个）以上不同的投标报价的。</w:t>
      </w:r>
    </w:p>
    <w:p w14:paraId="794AFF3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.1.4投标人不具备招标文件中规定资格要求的。</w:t>
      </w:r>
    </w:p>
    <w:p w14:paraId="6435BD0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.1.5投标人的报价超过了采购预算或最高限价的。</w:t>
      </w:r>
    </w:p>
    <w:p w14:paraId="6309DACB">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.1.6未通过符合性审查的。</w:t>
      </w:r>
    </w:p>
    <w:p w14:paraId="10FAF2C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.1.7不符合招标文件中规定的实质性要求和条件的（</w:t>
      </w:r>
      <w:r>
        <w:rPr>
          <w:rFonts w:hint="eastAsia" w:ascii="宋体" w:hAnsi="宋体" w:eastAsia="宋体" w:cs="宋体"/>
          <w:i/>
          <w:color w:val="000000"/>
          <w:sz w:val="21"/>
          <w:szCs w:val="21"/>
          <w:highlight w:val="none"/>
          <w:u w:val="single"/>
        </w:rPr>
        <w:t>本招标文件中斜体且有下划线部分为实质性要求和条件）。</w:t>
      </w:r>
    </w:p>
    <w:p w14:paraId="305E4AF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0BAC23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.1.9 投标文件含有采购人不能接受的附加条件的。</w:t>
      </w:r>
    </w:p>
    <w:p w14:paraId="5A6A773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.1.10投标人不能证明其报价合理性的，评标委员会应当将其作为无效投标处理。</w:t>
      </w:r>
    </w:p>
    <w:p w14:paraId="63A07252">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（一）评审过程中出现下列情形之一的，评标委员会应当启动异常低价投标审查程序：</w:t>
      </w:r>
    </w:p>
    <w:p w14:paraId="6857C044">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1.投标（响应）报价低于全部通过符合性审查供应商投标（响应）报价平均值50%的，即投标（响应）报价&lt;全部通过符合性审查供应商投标（响应）报价平均值×50%；</w:t>
      </w:r>
    </w:p>
    <w:p w14:paraId="44EE90D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2.投标（响应）报价低于通过符合性审查的次低报价供应商投标（响应）报价50%的，即投标（响应）报价&lt;通过符合性审查的次低报价供应商投标（响应）报价×50%；</w:t>
      </w:r>
    </w:p>
    <w:p w14:paraId="58B11B78">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3.投标（响应）报价低于采购项目最高限价45%的，即投标（响应）报价&lt;采购项目最高限价×45%；</w:t>
      </w:r>
    </w:p>
    <w:p w14:paraId="5E6618A2">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4.评审委员会基于专业判断，认为供应商报价过低，有可能影响产品质量或者不能诚信履约的其他情形。</w:t>
      </w:r>
    </w:p>
    <w:p w14:paraId="41EF16AA">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相关法律法规对供应商报价有规定的，从其规定。</w:t>
      </w:r>
    </w:p>
    <w:p w14:paraId="30C2F6B4">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ECD79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942B2E">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CABD51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3DF5C3A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06BEEB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投标文件未按照招标文件要求加盖CA电子公章的。</w:t>
      </w:r>
    </w:p>
    <w:p w14:paraId="6EB83D9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其他法律、法规及本招标文件规定的属无效投标的情形。</w:t>
      </w:r>
    </w:p>
    <w:p w14:paraId="3FFC2B6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.2废标条款</w:t>
      </w:r>
    </w:p>
    <w:p w14:paraId="24ABC6C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.2.1符合专业条件的供应商或者对招标文件作实质响应的供应商不足三家的。</w:t>
      </w:r>
    </w:p>
    <w:p w14:paraId="3DE2226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.2.2出现影响采购公正的违法、违规行为的。</w:t>
      </w:r>
    </w:p>
    <w:p w14:paraId="71E0E81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.2.3因重大变故，采购任务取消的。</w:t>
      </w:r>
    </w:p>
    <w:p w14:paraId="3FD39E4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.2.4评标委员会认定招标文件存在歧义、重大缺陷导致评审工作无法进行。</w:t>
      </w:r>
    </w:p>
    <w:p w14:paraId="05CE724B">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.2.5 因苏采云系统系统故障原因造成开标不成功的。</w:t>
      </w:r>
    </w:p>
    <w:p w14:paraId="1EAF4C2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 投标截止时间结束后参加投标的供应商不足三家的处理：</w:t>
      </w:r>
    </w:p>
    <w:p w14:paraId="04A302A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.3.1如出现投标截止时间结束后参加投标的供应商或者</w:t>
      </w:r>
      <w:r>
        <w:rPr>
          <w:rFonts w:hint="eastAsia" w:ascii="宋体" w:hAnsi="宋体" w:eastAsia="宋体" w:cs="宋体"/>
          <w:color w:val="000000"/>
          <w:sz w:val="21"/>
          <w:szCs w:val="21"/>
          <w:highlight w:val="none"/>
        </w:rPr>
        <w:t>在评标期间对招标文件做出实质响应的供应商不足三家情况，按政府采购相关规定执行。</w:t>
      </w:r>
    </w:p>
    <w:p w14:paraId="270DBDC4">
      <w:pPr>
        <w:pStyle w:val="36"/>
        <w:keepNext/>
        <w:keepLines/>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bookmarkStart w:id="150" w:name="_Toc120614219"/>
      <w:r>
        <w:rPr>
          <w:rFonts w:hint="eastAsia" w:ascii="宋体" w:hAnsi="宋体" w:eastAsia="宋体" w:cs="宋体"/>
          <w:b/>
          <w:color w:val="000000"/>
          <w:sz w:val="21"/>
          <w:szCs w:val="21"/>
          <w:highlight w:val="none"/>
        </w:rPr>
        <w:t>六、定标</w:t>
      </w:r>
      <w:bookmarkEnd w:id="150"/>
    </w:p>
    <w:p w14:paraId="7BB62DE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51" w:name="_Toc20823310"/>
      <w:bookmarkStart w:id="152" w:name="_Toc513029238"/>
      <w:bookmarkStart w:id="153" w:name="_Toc16938554"/>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w:t>
      </w:r>
      <w:bookmarkEnd w:id="151"/>
      <w:r>
        <w:rPr>
          <w:rFonts w:hint="eastAsia" w:ascii="宋体" w:hAnsi="宋体" w:eastAsia="宋体" w:cs="宋体"/>
          <w:color w:val="000000"/>
          <w:sz w:val="21"/>
          <w:szCs w:val="21"/>
          <w:highlight w:val="none"/>
        </w:rPr>
        <w:t>确定</w:t>
      </w:r>
      <w:bookmarkEnd w:id="152"/>
      <w:bookmarkEnd w:id="153"/>
      <w:r>
        <w:rPr>
          <w:rFonts w:hint="eastAsia" w:ascii="宋体" w:hAnsi="宋体" w:eastAsia="宋体" w:cs="宋体"/>
          <w:color w:val="000000"/>
          <w:sz w:val="21"/>
          <w:szCs w:val="21"/>
          <w:highlight w:val="none"/>
        </w:rPr>
        <w:t>中标单位</w:t>
      </w:r>
    </w:p>
    <w:p w14:paraId="4864BD46">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 xml:space="preserve">.1中标候选人的选取原则和数量见招标文件第五章规定。 </w:t>
      </w:r>
    </w:p>
    <w:p w14:paraId="3AB4A4B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.2 采购人应根据评委会推荐的中标候选人确定中标人。</w:t>
      </w:r>
    </w:p>
    <w:p w14:paraId="5007894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.3 采购</w:t>
      </w:r>
      <w:r>
        <w:rPr>
          <w:rFonts w:hint="eastAsia" w:ascii="宋体" w:hAnsi="宋体" w:eastAsia="宋体" w:cs="宋体"/>
          <w:color w:val="000000"/>
          <w:sz w:val="21"/>
          <w:szCs w:val="21"/>
          <w:highlight w:val="none"/>
          <w:lang w:val="en-US" w:eastAsia="zh-CN"/>
        </w:rPr>
        <w:t>代理机构</w:t>
      </w:r>
      <w:r>
        <w:rPr>
          <w:rFonts w:hint="eastAsia" w:ascii="宋体" w:hAnsi="宋体" w:eastAsia="宋体" w:cs="宋体"/>
          <w:color w:val="000000"/>
          <w:sz w:val="21"/>
          <w:szCs w:val="21"/>
          <w:highlight w:val="none"/>
        </w:rPr>
        <w:t>将在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bidi="ar-SA"/>
        </w:rPr>
        <w:t>中国政府采购网</w:t>
      </w:r>
      <w:r>
        <w:rPr>
          <w:rFonts w:hint="eastAsia" w:ascii="宋体" w:hAnsi="宋体" w:eastAsia="宋体" w:cs="宋体"/>
          <w:i w:val="0"/>
          <w:iCs w:val="0"/>
          <w:caps w:val="0"/>
          <w:color w:val="333333"/>
          <w:spacing w:val="0"/>
          <w:sz w:val="21"/>
          <w:szCs w:val="21"/>
          <w:highlight w:val="none"/>
          <w:shd w:val="clear" w:color="auto" w:fill="FFFFFF"/>
          <w:lang w:val="en-US" w:eastAsia="zh-CN"/>
        </w:rPr>
        <w:t>”、</w:t>
      </w:r>
      <w:r>
        <w:rPr>
          <w:rFonts w:hint="eastAsia" w:ascii="宋体" w:hAnsi="宋体" w:eastAsia="宋体" w:cs="宋体"/>
          <w:color w:val="000000"/>
          <w:sz w:val="21"/>
          <w:szCs w:val="21"/>
          <w:highlight w:val="none"/>
        </w:rPr>
        <w:t>“江苏政府采购网”发布中标公告，公告期限为1个工作日。</w:t>
      </w:r>
    </w:p>
    <w:p w14:paraId="2AB3B68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.4若有充分证据证明，中标人出现下列情况之一的，一经查实，将被取消中标资格：</w:t>
      </w:r>
    </w:p>
    <w:p w14:paraId="5C1F237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.4.1提供虚假材料谋取中标的。</w:t>
      </w:r>
    </w:p>
    <w:p w14:paraId="6304E76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.4.2向采购人、采购代理机构行贿或者提供其他不正当利益的。</w:t>
      </w:r>
    </w:p>
    <w:p w14:paraId="668B4A2E">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.4.3属于本文件规定的无效条件，但在评标过程中又未被评委会发现的。</w:t>
      </w:r>
    </w:p>
    <w:p w14:paraId="33F294A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.4.4与采购人或者其他供应商恶意串通的。</w:t>
      </w:r>
    </w:p>
    <w:p w14:paraId="3FC9F1D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.4.5采取不正当手段诋毁、排挤其他供应商的。</w:t>
      </w:r>
    </w:p>
    <w:p w14:paraId="69E3472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54" w:name="_Toc200451960"/>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.5.有下列情形之一的，视为投标人串通投标，投标无效：</w:t>
      </w:r>
      <w:bookmarkEnd w:id="154"/>
    </w:p>
    <w:p w14:paraId="56EA4FF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.5.1不同投标人的投标文件由同一单位或者个人编制；</w:t>
      </w:r>
    </w:p>
    <w:p w14:paraId="1B0671D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.5.2不同投标人委托同一单位或者个人办理投标事宜；</w:t>
      </w:r>
    </w:p>
    <w:p w14:paraId="2AE0DF5E">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.5.3 不同投标人的投标文件载明的项目管理成员或者联系人员为同一人；</w:t>
      </w:r>
    </w:p>
    <w:p w14:paraId="5810DA0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.5.4不同投标人的投标文件异常一致或者投标报价呈规律性差异；</w:t>
      </w:r>
    </w:p>
    <w:p w14:paraId="34B4BAFA">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、质疑处理</w:t>
      </w:r>
    </w:p>
    <w:p w14:paraId="78C680D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.1 提出质疑的供应商应当是参与所质疑项目采购活动的供应商。潜在供应商依法获取其可质疑的采购文件的，可以对采购文件提出质疑。</w:t>
      </w:r>
    </w:p>
    <w:p w14:paraId="789C033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.4条款的规定向采购代理机构或采购人提出质疑。上述应知其权益受到损害之日，是指：</w:t>
      </w:r>
    </w:p>
    <w:p w14:paraId="31DE72B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.2.1对可以质疑的采购文件提出质疑的，为收到采购文件之日或者采购文件公告期限届满之日；</w:t>
      </w:r>
    </w:p>
    <w:p w14:paraId="6F9D3CC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.2.2对采购过程提出质疑的，为各采购程序环节结束之日；</w:t>
      </w:r>
    </w:p>
    <w:p w14:paraId="4E179CD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.2.3对中标或者成交结果提出质疑的，为中标或者成交结果公告期限届满之日。</w:t>
      </w:r>
    </w:p>
    <w:p w14:paraId="2A51B85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A5B752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21DEB62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.4 供应</w:t>
      </w:r>
      <w:r>
        <w:rPr>
          <w:rFonts w:hint="eastAsia" w:ascii="宋体" w:hAnsi="宋体" w:eastAsia="宋体" w:cs="宋体"/>
          <w:color w:val="auto"/>
          <w:sz w:val="21"/>
          <w:szCs w:val="21"/>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D42C453">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采购人及采购代理机构只接收以纸质原件形式送达的质疑,采购人和采购代理机构不接受未填写快递运单的快件。</w:t>
      </w:r>
    </w:p>
    <w:p w14:paraId="0201AAF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 以下情形的质疑不予受理</w:t>
      </w:r>
    </w:p>
    <w:p w14:paraId="1505FFAB">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.5.1 内容不符合《政府采购质疑和投诉办法》第十二条规定的质疑。</w:t>
      </w:r>
    </w:p>
    <w:p w14:paraId="6B06C46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.5.2 超出政府采购法定期限的质疑。</w:t>
      </w:r>
    </w:p>
    <w:p w14:paraId="50E5804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.5.3 以传真、电子邮件等方式递交的非原件形式的质疑。</w:t>
      </w:r>
    </w:p>
    <w:p w14:paraId="2C4352B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.5.4 未参加投标活动的供应商或在投标活动中自身权益未受到损害的供应商所提出的质疑。</w:t>
      </w:r>
    </w:p>
    <w:p w14:paraId="08F71F81">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.5.5供应商组成联合体参加投标，联合体中任何一方或多方未按要求签字、盖章、加盖公章的质疑。</w:t>
      </w:r>
    </w:p>
    <w:p w14:paraId="0D563B5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.6供应商提出书面质疑必须有理、有据，不得捏造事实、提供虚假材料进行恶意质疑。否则，一经查实，采购</w:t>
      </w:r>
      <w:r>
        <w:rPr>
          <w:rFonts w:hint="eastAsia" w:ascii="宋体" w:hAnsi="宋体" w:eastAsia="宋体" w:cs="宋体"/>
          <w:color w:val="000000"/>
          <w:sz w:val="21"/>
          <w:szCs w:val="21"/>
          <w:highlight w:val="none"/>
          <w:lang w:val="en-US" w:eastAsia="zh-CN"/>
        </w:rPr>
        <w:t>人</w:t>
      </w:r>
      <w:r>
        <w:rPr>
          <w:rFonts w:hint="eastAsia" w:ascii="宋体" w:hAnsi="宋体" w:eastAsia="宋体" w:cs="宋体"/>
          <w:color w:val="000000"/>
          <w:sz w:val="21"/>
          <w:szCs w:val="21"/>
          <w:highlight w:val="none"/>
        </w:rPr>
        <w:t>有权依据政府采购的有关规定，报请政府采购监管部门对该供应商进行相应的行政处罚和记录该供应商的失信信息。</w:t>
      </w:r>
    </w:p>
    <w:p w14:paraId="1410546E">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29</w:t>
      </w:r>
      <w:r>
        <w:rPr>
          <w:rFonts w:hint="eastAsia" w:ascii="宋体" w:hAnsi="宋体" w:eastAsia="宋体" w:cs="宋体"/>
          <w:color w:val="000000"/>
          <w:sz w:val="21"/>
          <w:szCs w:val="21"/>
          <w:highlight w:val="none"/>
        </w:rPr>
        <w:t>、中标通知书</w:t>
      </w:r>
    </w:p>
    <w:p w14:paraId="2D15CFF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29</w:t>
      </w:r>
      <w:r>
        <w:rPr>
          <w:rFonts w:hint="eastAsia" w:ascii="宋体" w:hAnsi="宋体" w:eastAsia="宋体" w:cs="宋体"/>
          <w:color w:val="000000"/>
          <w:sz w:val="21"/>
          <w:szCs w:val="21"/>
          <w:highlight w:val="none"/>
        </w:rPr>
        <w:t>.l中标结果确定后，采购代理机构将向中标人发出中标通知书。请中标人在中标结果公告届满之日起30日内,使用CA数字证书</w:t>
      </w:r>
      <w:r>
        <w:rPr>
          <w:rFonts w:hint="eastAsia" w:ascii="宋体" w:hAnsi="宋体" w:eastAsia="宋体" w:cs="宋体"/>
          <w:color w:val="auto"/>
          <w:sz w:val="21"/>
          <w:szCs w:val="21"/>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1"/>
          <w:szCs w:val="21"/>
          <w:highlight w:val="none"/>
        </w:rPr>
        <w:t>标人自行承担。</w:t>
      </w:r>
    </w:p>
    <w:p w14:paraId="0A06B8F7">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29</w:t>
      </w:r>
      <w:r>
        <w:rPr>
          <w:rFonts w:hint="eastAsia" w:ascii="宋体" w:hAnsi="宋体" w:eastAsia="宋体" w:cs="宋体"/>
          <w:color w:val="000000"/>
          <w:sz w:val="21"/>
          <w:szCs w:val="21"/>
          <w:highlight w:val="none"/>
        </w:rPr>
        <w:t>.2中标通知书将是合同的一个组成部分。对采购人和中标供应商均具有法律效力。中标通知书发出后，采购人改变中标结果的，或者中标供应商放弃中标项目的，应当依法承担法律责任。</w:t>
      </w:r>
      <w:bookmarkStart w:id="155" w:name="_Toc20823308"/>
      <w:bookmarkStart w:id="156" w:name="_Toc513029236"/>
      <w:bookmarkStart w:id="157" w:name="_Toc120614220"/>
      <w:bookmarkStart w:id="158" w:name="_Toc16938552"/>
    </w:p>
    <w:p w14:paraId="6714BF0C">
      <w:pPr>
        <w:pStyle w:val="36"/>
        <w:pageBreakBefore w:val="0"/>
        <w:widowControl w:val="0"/>
        <w:kinsoku/>
        <w:wordWrap/>
        <w:overflowPunct/>
        <w:topLinePunct w:val="0"/>
        <w:autoSpaceDE/>
        <w:autoSpaceDN/>
        <w:bidi w:val="0"/>
        <w:spacing w:beforeAutospacing="0" w:afterAutospacing="0" w:line="360" w:lineRule="auto"/>
        <w:ind w:left="0" w:firstLine="422" w:firstLineChars="200"/>
        <w:jc w:val="both"/>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七、授予合同</w:t>
      </w:r>
      <w:bookmarkEnd w:id="155"/>
      <w:bookmarkEnd w:id="156"/>
      <w:bookmarkEnd w:id="157"/>
      <w:bookmarkEnd w:id="158"/>
    </w:p>
    <w:p w14:paraId="7745A80F">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bookmarkStart w:id="159" w:name="_Toc16938553"/>
      <w:bookmarkStart w:id="160" w:name="_Toc20823309"/>
      <w:bookmarkStart w:id="161" w:name="_Toc513029237"/>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 签订合同</w:t>
      </w:r>
      <w:bookmarkEnd w:id="159"/>
      <w:bookmarkEnd w:id="160"/>
      <w:bookmarkEnd w:id="161"/>
    </w:p>
    <w:p w14:paraId="2251CDE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.l中标人应当在中标通知书发出之日起三十日内，按照招标文件确定的事项与采购人签订政府采购合同。</w:t>
      </w:r>
    </w:p>
    <w:p w14:paraId="22EF8F0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pacing w:val="-6"/>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.2</w:t>
      </w:r>
      <w:r>
        <w:rPr>
          <w:rFonts w:hint="eastAsia" w:ascii="宋体" w:hAnsi="宋体" w:eastAsia="宋体" w:cs="宋体"/>
          <w:color w:val="000000"/>
          <w:spacing w:val="-6"/>
          <w:sz w:val="21"/>
          <w:szCs w:val="21"/>
          <w:highlight w:val="none"/>
        </w:rPr>
        <w:t>招标文件、中标人的投标文件及招标过程中有关澄清、承诺文件均应作为合同附件。</w:t>
      </w:r>
    </w:p>
    <w:p w14:paraId="61B540A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shd w:val="clear" w:color="auto" w:fill="auto"/>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0</w:t>
      </w:r>
      <w:r>
        <w:rPr>
          <w:rFonts w:hint="eastAsia" w:ascii="宋体" w:hAnsi="宋体" w:eastAsia="宋体" w:cs="宋体"/>
          <w:color w:val="000000"/>
          <w:sz w:val="21"/>
          <w:szCs w:val="21"/>
          <w:highlight w:val="none"/>
        </w:rPr>
        <w:t>.3 签订合同后，</w:t>
      </w:r>
      <w:r>
        <w:rPr>
          <w:rFonts w:hint="eastAsia" w:ascii="宋体" w:hAnsi="宋体" w:eastAsia="宋体" w:cs="宋体"/>
          <w:i/>
          <w:color w:val="000000"/>
          <w:sz w:val="21"/>
          <w:szCs w:val="21"/>
          <w:highlight w:val="none"/>
          <w:u w:val="single"/>
        </w:rPr>
        <w:t>中标人不得将合同标的进行转包</w:t>
      </w:r>
      <w:r>
        <w:rPr>
          <w:rFonts w:hint="eastAsia" w:ascii="宋体" w:hAnsi="宋体" w:eastAsia="宋体" w:cs="宋体"/>
          <w:color w:val="000000"/>
          <w:sz w:val="21"/>
          <w:szCs w:val="21"/>
          <w:highlight w:val="none"/>
        </w:rPr>
        <w:t>。未经采购人同意，中标人也不得采用分包的形式履行合同，否则采购人有权终止合同。转包或分包造成采</w:t>
      </w:r>
      <w:r>
        <w:rPr>
          <w:rFonts w:hint="eastAsia" w:ascii="宋体" w:hAnsi="宋体" w:eastAsia="宋体" w:cs="宋体"/>
          <w:color w:val="000000"/>
          <w:sz w:val="21"/>
          <w:szCs w:val="21"/>
          <w:highlight w:val="none"/>
          <w:shd w:val="clear" w:color="auto" w:fill="auto"/>
        </w:rPr>
        <w:t>购人损失的，中标人应承担相应赔偿责任。</w:t>
      </w:r>
    </w:p>
    <w:p w14:paraId="35EA49AF">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、货物（包含与货物相关的服务）的追加</w:t>
      </w:r>
    </w:p>
    <w:p w14:paraId="273C846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B5E52D8">
      <w:pPr>
        <w:pStyle w:val="36"/>
        <w:pageBreakBefore w:val="0"/>
        <w:widowControl w:val="0"/>
        <w:numPr>
          <w:ilvl w:val="0"/>
          <w:numId w:val="0"/>
        </w:numPr>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32.政府采购政策功能落实</w:t>
      </w:r>
    </w:p>
    <w:p w14:paraId="70025506">
      <w:pPr>
        <w:pStyle w:val="36"/>
        <w:keepNext/>
        <w:keepLines/>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32.1</w:t>
      </w:r>
      <w:r>
        <w:rPr>
          <w:rFonts w:hint="eastAsia" w:ascii="宋体" w:hAnsi="宋体" w:eastAsia="宋体" w:cs="宋体"/>
          <w:color w:val="auto"/>
          <w:sz w:val="21"/>
          <w:szCs w:val="21"/>
          <w:highlight w:val="none"/>
        </w:rPr>
        <w:t>政府采购</w:t>
      </w:r>
      <w:r>
        <w:rPr>
          <w:rFonts w:hint="eastAsia" w:ascii="宋体" w:hAnsi="宋体" w:eastAsia="宋体" w:cs="宋体"/>
          <w:color w:val="auto"/>
          <w:sz w:val="21"/>
          <w:szCs w:val="21"/>
          <w:highlight w:val="none"/>
          <w:lang w:eastAsia="zh-CN"/>
        </w:rPr>
        <w:t>线上合同信用融资</w:t>
      </w:r>
      <w:r>
        <w:rPr>
          <w:rFonts w:hint="eastAsia" w:ascii="宋体" w:hAnsi="宋体" w:eastAsia="宋体" w:cs="宋体"/>
          <w:color w:val="auto"/>
          <w:sz w:val="21"/>
          <w:szCs w:val="21"/>
          <w:highlight w:val="none"/>
        </w:rPr>
        <w:t>政策</w:t>
      </w:r>
    </w:p>
    <w:p w14:paraId="178060F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val="en-US" w:eastAsia="zh-CN"/>
        </w:rPr>
        <w:t>江苏</w:t>
      </w:r>
      <w:r>
        <w:rPr>
          <w:rFonts w:hint="eastAsia" w:ascii="宋体" w:hAnsi="宋体" w:eastAsia="宋体" w:cs="宋体"/>
          <w:color w:val="auto"/>
          <w:sz w:val="21"/>
          <w:szCs w:val="21"/>
          <w:highlight w:val="none"/>
        </w:rPr>
        <w:t>政府采购网“政采贷”栏目）申请贷款，相关金融机构按照双方自愿的原则提供便捷、优惠的贷款服务；具体操作流程请参考苏采云系统中操作手册。</w:t>
      </w:r>
    </w:p>
    <w:p w14:paraId="53478505">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32.2进口产品</w:t>
      </w:r>
    </w:p>
    <w:p w14:paraId="442F1C4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进口产品</w:t>
      </w:r>
      <w:r>
        <w:rPr>
          <w:rFonts w:hint="eastAsia" w:ascii="宋体" w:hAnsi="宋体" w:eastAsia="宋体" w:cs="宋体"/>
          <w:color w:val="auto"/>
          <w:sz w:val="21"/>
          <w:szCs w:val="21"/>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1E6608">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32.3中小企业、监狱企业及残疾人福利性单位</w:t>
      </w:r>
    </w:p>
    <w:p w14:paraId="63D588A6">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.3.1中小企业定义：</w:t>
      </w:r>
    </w:p>
    <w:p w14:paraId="1C2D037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60E84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.3.2供应商提供的货物、工程或者服务符合下列情形的，享受中小企业扶持政策：</w:t>
      </w:r>
    </w:p>
    <w:p w14:paraId="3CBC3BD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.3.2.1在货物采购项目中，货物由中小企业制造，即货物由中小企业生产且使用该中小企业商号或者注册商标；</w:t>
      </w:r>
    </w:p>
    <w:p w14:paraId="5B39D0E0">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.3.2.2在工程采购项目中，工程由中小企业承建，即工程施工单位为中小企业；</w:t>
      </w:r>
    </w:p>
    <w:p w14:paraId="36811BF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.3.2.3在服务采购项目中，服务由中小企业承接，即提供服务的人员为中小企业依照《中华人民共和国劳动合同法》订立劳动合同的从业人员。</w:t>
      </w:r>
    </w:p>
    <w:p w14:paraId="75C301AD">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.3.3在货物采购项目中，供应商提供的货物既有中小企业制造货物，也有大型企业制造货物的，不享受中小企业扶持政策。</w:t>
      </w:r>
    </w:p>
    <w:p w14:paraId="6E4C03CF">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.3.4以联合体形式参加政府采购活动，联合体各方均为中小企业的，联合体视同中小企业。其中，联合体各方均为小微企业的，联合体视同小微企业。</w:t>
      </w:r>
    </w:p>
    <w:p w14:paraId="6274C90A">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30A53C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.3.6残疾人福利单位定义：享受政府采购支持政策的残疾人福利性单位应当同时满足以下条件：</w:t>
      </w:r>
    </w:p>
    <w:p w14:paraId="6624A5E6">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.3.6.1安置的残疾人占本单位在职职工人数的比例不低于25%（含25%），并且安置的残疾人人数不少于10 人（含10 人）；</w:t>
      </w:r>
    </w:p>
    <w:p w14:paraId="0E176E39">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.3.6.2依法与安置的每位残疾人签订了一年以上（含一年）的劳动合同或服务协议；</w:t>
      </w:r>
    </w:p>
    <w:p w14:paraId="4490D7F5">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.3.6.3为安置的每位残疾人按月足额缴纳了基本养老保险、基本医疗保险、失业保险、工伤保险和生育保险等社会保险费；</w:t>
      </w:r>
    </w:p>
    <w:p w14:paraId="706DF338">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.3.6.4通过银行等金融机构向安置的每位残疾人，按月支付了不低于单位所在区县适用的经省级人民政府批准的月最低工资标准的工资；</w:t>
      </w:r>
    </w:p>
    <w:p w14:paraId="68AAA972">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.3.6.5提供本单位制造的货物、承担的工程或者服务（以下简称产品），或者提供其他残疾人福利性单位制造的货物（不包括使用非残疾人福利性单位注册商标的货物）；</w:t>
      </w:r>
    </w:p>
    <w:p w14:paraId="7935B87C">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ECEE16">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.3.7本项目是否专门面向中小企业预留采购份额见第一章《</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59181CFB">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rPr>
        <w:t>.3.8采购标的对应的中小企业划分标准所属行业见第四章《采购需求》。</w:t>
      </w:r>
    </w:p>
    <w:p w14:paraId="5DB1B924">
      <w:pPr>
        <w:pStyle w:val="36"/>
        <w:pageBreakBefore w:val="0"/>
        <w:widowControl w:val="0"/>
        <w:kinsoku/>
        <w:wordWrap/>
        <w:overflowPunct/>
        <w:topLinePunct w:val="0"/>
        <w:autoSpaceDE/>
        <w:autoSpaceDN/>
        <w:bidi w:val="0"/>
        <w:spacing w:beforeAutospacing="0" w:afterAutospacing="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.3.9小微企业价格评审优惠的政策：见第五章《评标方法和评标标准》。</w:t>
      </w:r>
    </w:p>
    <w:p w14:paraId="546A9DFC">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32.4政府采购节能产品、环境标志产品</w:t>
      </w:r>
    </w:p>
    <w:p w14:paraId="7DBFFC67">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.4.1</w:t>
      </w:r>
      <w:r>
        <w:rPr>
          <w:rFonts w:hint="eastAsia" w:ascii="宋体" w:hAnsi="宋体" w:eastAsia="宋体" w:cs="宋体"/>
          <w:color w:val="auto"/>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其他条件相同情况下，应当优先采购节能产品、环境标志产品。</w:t>
      </w:r>
    </w:p>
    <w:p w14:paraId="44146DA0">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.4.2</w:t>
      </w:r>
      <w:r>
        <w:rPr>
          <w:rFonts w:hint="eastAsia" w:ascii="宋体" w:hAnsi="宋体" w:eastAsia="宋体" w:cs="宋体"/>
          <w:color w:val="auto"/>
          <w:sz w:val="21"/>
          <w:szCs w:val="21"/>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4142E49">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32.5绿色包装</w:t>
      </w:r>
    </w:p>
    <w:p w14:paraId="3528D4AD">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80DC09C">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32.6政府采购创新产品</w:t>
      </w:r>
    </w:p>
    <w:p w14:paraId="5598AB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left="0" w:right="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1"/>
          <w:szCs w:val="21"/>
          <w:highlight w:val="none"/>
        </w:rPr>
        <w:t>。</w:t>
      </w:r>
    </w:p>
    <w:p w14:paraId="5A035427">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32.7绿色数据中心政策 </w:t>
      </w:r>
    </w:p>
    <w:p w14:paraId="063D5B06">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FCC07E1">
      <w:pPr>
        <w:pageBreakBefore w:val="0"/>
        <w:widowControl w:val="0"/>
        <w:tabs>
          <w:tab w:val="left" w:pos="1381"/>
        </w:tabs>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32.8履约保证金政策</w:t>
      </w:r>
    </w:p>
    <w:p w14:paraId="0153BDF3">
      <w:pPr>
        <w:pStyle w:val="204"/>
        <w:pageBreakBefore w:val="0"/>
        <w:widowControl w:val="0"/>
        <w:kinsoku/>
        <w:wordWrap/>
        <w:overflowPunct/>
        <w:topLinePunct w:val="0"/>
        <w:autoSpaceDE/>
        <w:autoSpaceDN/>
        <w:bidi w:val="0"/>
        <w:spacing w:after="0"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确需收取履约保证金的，履约保证金的缴纳形式：</w:t>
      </w:r>
    </w:p>
    <w:p w14:paraId="109B1BBF">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35AAF77">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如以履约保函（保险）形式缴纳履约保证金，供应商可通过政府采购电子履约保函（保险）平台（www.jsdzbh.com）在线申请履约保函（保险）。</w:t>
      </w:r>
    </w:p>
    <w:p w14:paraId="0DE7844A">
      <w:pPr>
        <w:pageBreakBefore w:val="0"/>
        <w:widowControl w:val="0"/>
        <w:kinsoku/>
        <w:wordWrap/>
        <w:overflowPunct/>
        <w:topLinePunct w:val="0"/>
        <w:autoSpaceDE/>
        <w:autoSpaceDN/>
        <w:bidi w:val="0"/>
        <w:spacing w:line="360" w:lineRule="auto"/>
        <w:ind w:left="0"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履约保证金金额不得超过合同金额的5%，鼓励采购人对第三方信用服务机构依据标准规范评定为 AA 级及以上的政府采购供应商（需在签订采购合同前提供信用管理部门备案的第三方信用报告），免收履约保证金。</w:t>
      </w:r>
    </w:p>
    <w:p w14:paraId="17F276A5">
      <w:pPr>
        <w:jc w:val="center"/>
        <w:rPr>
          <w:rFonts w:hint="eastAsia" w:ascii="黑体" w:hAnsi="宋体" w:eastAsia="黑体" w:cs="黑体"/>
          <w:b/>
          <w:color w:val="000000"/>
          <w:sz w:val="32"/>
          <w:szCs w:val="32"/>
          <w:highlight w:val="none"/>
          <w:lang w:val="en-US" w:eastAsia="zh-CN" w:bidi="ar-SA"/>
        </w:rPr>
      </w:pPr>
      <w:bookmarkStart w:id="162" w:name="_Toc479757211"/>
      <w:bookmarkStart w:id="163" w:name="_Toc462564139"/>
      <w:bookmarkStart w:id="164" w:name="_Hlt16619350"/>
      <w:bookmarkStart w:id="165" w:name="_Toc20823346"/>
      <w:bookmarkStart w:id="166" w:name="_Toc16938590"/>
      <w:bookmarkStart w:id="167" w:name="_Toc120614244"/>
      <w:bookmarkStart w:id="168" w:name="_Hlt16619369"/>
      <w:r>
        <w:rPr>
          <w:rFonts w:hint="eastAsia" w:ascii="黑体" w:hAnsi="宋体" w:eastAsia="黑体" w:cs="黑体"/>
          <w:b/>
          <w:color w:val="000000"/>
          <w:sz w:val="32"/>
          <w:szCs w:val="32"/>
          <w:highlight w:val="none"/>
          <w:lang w:val="en-US" w:eastAsia="zh-CN" w:bidi="ar-SA"/>
        </w:rPr>
        <w:t>第三章  合同文本</w:t>
      </w:r>
    </w:p>
    <w:p w14:paraId="1EC4C04B">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【合同编号： 】</w:t>
      </w:r>
    </w:p>
    <w:p w14:paraId="6C953D10">
      <w:pPr>
        <w:jc w:val="center"/>
        <w:rPr>
          <w:rFonts w:hint="eastAsia" w:ascii="宋体" w:hAnsi="宋体" w:eastAsia="宋体" w:cs="宋体"/>
          <w:color w:val="auto"/>
          <w:sz w:val="44"/>
          <w:szCs w:val="44"/>
          <w:highlight w:val="none"/>
        </w:rPr>
      </w:pPr>
    </w:p>
    <w:p w14:paraId="4A378581">
      <w:pPr>
        <w:jc w:val="center"/>
        <w:rPr>
          <w:rFonts w:hint="eastAsia" w:ascii="宋体" w:hAnsi="宋体" w:eastAsia="宋体" w:cs="宋体"/>
          <w:color w:val="auto"/>
          <w:sz w:val="44"/>
          <w:szCs w:val="44"/>
          <w:highlight w:val="none"/>
        </w:rPr>
      </w:pPr>
    </w:p>
    <w:p w14:paraId="42EAE6BD">
      <w:pPr>
        <w:jc w:val="center"/>
        <w:rPr>
          <w:rFonts w:hint="eastAsia" w:ascii="宋体" w:hAnsi="宋体" w:eastAsia="宋体" w:cs="宋体"/>
          <w:color w:val="auto"/>
          <w:sz w:val="44"/>
          <w:szCs w:val="44"/>
          <w:highlight w:val="none"/>
        </w:rPr>
      </w:pPr>
    </w:p>
    <w:p w14:paraId="7D503C54">
      <w:pPr>
        <w:jc w:val="center"/>
        <w:rPr>
          <w:rFonts w:hint="eastAsia" w:ascii="宋体" w:hAnsi="宋体" w:eastAsia="宋体" w:cs="宋体"/>
          <w:color w:val="auto"/>
          <w:sz w:val="44"/>
          <w:szCs w:val="44"/>
          <w:highlight w:val="none"/>
        </w:rPr>
      </w:pPr>
    </w:p>
    <w:p w14:paraId="4660FDD2">
      <w:pPr>
        <w:jc w:val="center"/>
        <w:rPr>
          <w:rFonts w:hint="eastAsia" w:ascii="宋体" w:hAnsi="宋体" w:eastAsia="宋体" w:cs="宋体"/>
          <w:color w:val="auto"/>
          <w:sz w:val="44"/>
          <w:szCs w:val="44"/>
          <w:highlight w:val="none"/>
        </w:rPr>
      </w:pPr>
    </w:p>
    <w:p w14:paraId="4582CBA6">
      <w:pPr>
        <w:jc w:val="center"/>
        <w:rPr>
          <w:rFonts w:hint="eastAsia" w:ascii="宋体" w:hAnsi="宋体" w:eastAsia="宋体" w:cs="宋体"/>
          <w:color w:val="auto"/>
          <w:sz w:val="44"/>
          <w:szCs w:val="44"/>
          <w:highlight w:val="none"/>
        </w:rPr>
      </w:pPr>
    </w:p>
    <w:p w14:paraId="0E9F8ED5">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工程施工合同书</w:t>
      </w:r>
    </w:p>
    <w:p w14:paraId="797CCAE8">
      <w:pPr>
        <w:jc w:val="center"/>
        <w:rPr>
          <w:rFonts w:hint="eastAsia" w:ascii="宋体" w:hAnsi="宋体" w:eastAsia="宋体" w:cs="宋体"/>
          <w:color w:val="auto"/>
          <w:sz w:val="44"/>
          <w:szCs w:val="44"/>
          <w:highlight w:val="none"/>
        </w:rPr>
      </w:pPr>
    </w:p>
    <w:p w14:paraId="29776CF1">
      <w:pPr>
        <w:jc w:val="center"/>
        <w:rPr>
          <w:rFonts w:hint="eastAsia" w:ascii="宋体" w:hAnsi="宋体" w:eastAsia="宋体" w:cs="宋体"/>
          <w:color w:val="auto"/>
          <w:sz w:val="44"/>
          <w:szCs w:val="44"/>
          <w:highlight w:val="none"/>
        </w:rPr>
      </w:pPr>
    </w:p>
    <w:p w14:paraId="7E954243">
      <w:pPr>
        <w:jc w:val="center"/>
        <w:rPr>
          <w:rFonts w:hint="eastAsia" w:ascii="宋体" w:hAnsi="宋体" w:eastAsia="宋体" w:cs="宋体"/>
          <w:color w:val="auto"/>
          <w:sz w:val="44"/>
          <w:szCs w:val="44"/>
          <w:highlight w:val="none"/>
        </w:rPr>
      </w:pPr>
    </w:p>
    <w:p w14:paraId="3A512E8D">
      <w:pPr>
        <w:jc w:val="center"/>
        <w:rPr>
          <w:rFonts w:hint="eastAsia" w:ascii="宋体" w:hAnsi="宋体" w:eastAsia="宋体" w:cs="宋体"/>
          <w:color w:val="auto"/>
          <w:sz w:val="44"/>
          <w:szCs w:val="44"/>
          <w:highlight w:val="none"/>
        </w:rPr>
      </w:pPr>
    </w:p>
    <w:p w14:paraId="67193421">
      <w:pPr>
        <w:jc w:val="center"/>
        <w:rPr>
          <w:rFonts w:hint="eastAsia" w:ascii="宋体" w:hAnsi="宋体" w:eastAsia="宋体" w:cs="宋体"/>
          <w:color w:val="auto"/>
          <w:sz w:val="44"/>
          <w:szCs w:val="44"/>
          <w:highlight w:val="none"/>
        </w:rPr>
      </w:pPr>
    </w:p>
    <w:p w14:paraId="708BCD00">
      <w:pPr>
        <w:jc w:val="center"/>
        <w:rPr>
          <w:rFonts w:hint="eastAsia" w:ascii="宋体" w:hAnsi="宋体" w:eastAsia="宋体" w:cs="宋体"/>
          <w:color w:val="auto"/>
          <w:sz w:val="44"/>
          <w:szCs w:val="44"/>
          <w:highlight w:val="none"/>
        </w:rPr>
      </w:pPr>
    </w:p>
    <w:p w14:paraId="011CA374">
      <w:pPr>
        <w:jc w:val="center"/>
        <w:rPr>
          <w:rFonts w:hint="eastAsia" w:ascii="宋体" w:hAnsi="宋体" w:eastAsia="宋体" w:cs="宋体"/>
          <w:color w:val="auto"/>
          <w:sz w:val="44"/>
          <w:szCs w:val="44"/>
          <w:highlight w:val="none"/>
        </w:rPr>
      </w:pPr>
    </w:p>
    <w:p w14:paraId="72314D16">
      <w:pPr>
        <w:jc w:val="center"/>
        <w:rPr>
          <w:rFonts w:hint="eastAsia" w:ascii="宋体" w:hAnsi="宋体" w:eastAsia="宋体" w:cs="宋体"/>
          <w:color w:val="auto"/>
          <w:sz w:val="44"/>
          <w:szCs w:val="44"/>
          <w:highlight w:val="none"/>
        </w:rPr>
      </w:pPr>
    </w:p>
    <w:p w14:paraId="17A5B9FA">
      <w:pPr>
        <w:spacing w:line="360" w:lineRule="auto"/>
        <w:ind w:firstLine="838"/>
        <w:rPr>
          <w:rFonts w:hint="eastAsia" w:ascii="宋体" w:hAnsi="宋体" w:eastAsia="宋体" w:cs="宋体"/>
          <w:color w:val="auto"/>
          <w:sz w:val="32"/>
          <w:szCs w:val="32"/>
          <w:highlight w:val="none"/>
        </w:rPr>
      </w:pPr>
    </w:p>
    <w:p w14:paraId="35B03BA8">
      <w:pPr>
        <w:spacing w:line="360" w:lineRule="auto"/>
        <w:ind w:firstLine="838"/>
        <w:rPr>
          <w:rFonts w:hint="eastAsia" w:ascii="宋体" w:hAnsi="宋体" w:eastAsia="宋体" w:cs="宋体"/>
          <w:color w:val="auto"/>
          <w:sz w:val="32"/>
          <w:szCs w:val="32"/>
          <w:highlight w:val="none"/>
        </w:rPr>
      </w:pPr>
    </w:p>
    <w:p w14:paraId="09D8F3EB">
      <w:pPr>
        <w:spacing w:line="360" w:lineRule="auto"/>
        <w:ind w:firstLine="1478"/>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发包方（甲方）：</w:t>
      </w:r>
      <w:r>
        <w:rPr>
          <w:rFonts w:hint="eastAsia" w:ascii="宋体" w:hAnsi="宋体" w:eastAsia="宋体" w:cs="宋体"/>
          <w:color w:val="auto"/>
          <w:sz w:val="32"/>
          <w:szCs w:val="32"/>
          <w:highlight w:val="none"/>
          <w:u w:val="single"/>
        </w:rPr>
        <w:t xml:space="preserve"> </w:t>
      </w:r>
      <w:r>
        <w:rPr>
          <w:rFonts w:hint="eastAsia" w:ascii="Times New Roman" w:hAnsi="Times New Roman" w:eastAsia="宋体" w:cs="宋体"/>
          <w:b/>
          <w:bCs/>
          <w:color w:val="auto"/>
          <w:sz w:val="32"/>
          <w:szCs w:val="32"/>
          <w:highlight w:val="none"/>
          <w:u w:val="single"/>
        </w:rPr>
        <w:t>江苏医药职业学院</w:t>
      </w:r>
    </w:p>
    <w:p w14:paraId="7F03DB86">
      <w:pPr>
        <w:spacing w:line="360" w:lineRule="auto"/>
        <w:ind w:firstLine="1478"/>
        <w:jc w:val="left"/>
        <w:rPr>
          <w:rFonts w:hint="default" w:ascii="宋体" w:hAnsi="宋体" w:eastAsia="宋体" w:cs="宋体"/>
          <w:color w:val="auto"/>
          <w:sz w:val="32"/>
          <w:szCs w:val="32"/>
          <w:highlight w:val="none"/>
          <w:u w:val="single"/>
          <w:lang w:val="en-US" w:eastAsia="zh-CN"/>
        </w:rPr>
      </w:pPr>
      <w:r>
        <w:rPr>
          <w:rFonts w:hint="eastAsia" w:ascii="宋体" w:hAnsi="宋体" w:eastAsia="宋体" w:cs="宋体"/>
          <w:color w:val="auto"/>
          <w:sz w:val="32"/>
          <w:szCs w:val="32"/>
          <w:highlight w:val="none"/>
        </w:rPr>
        <w:t>承包方（乙方）：</w:t>
      </w:r>
      <w:r>
        <w:rPr>
          <w:rFonts w:hint="eastAsia" w:ascii="宋体" w:hAnsi="宋体" w:eastAsia="宋体" w:cs="宋体"/>
          <w:color w:val="auto"/>
          <w:sz w:val="32"/>
          <w:szCs w:val="32"/>
          <w:highlight w:val="none"/>
          <w:u w:val="single"/>
        </w:rPr>
        <w:t xml:space="preserve">                 </w:t>
      </w:r>
    </w:p>
    <w:p w14:paraId="7890C9CA">
      <w:pPr>
        <w:spacing w:line="360" w:lineRule="auto"/>
        <w:ind w:firstLine="1478"/>
        <w:jc w:val="lef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签  订  日  期：</w:t>
      </w:r>
      <w:r>
        <w:rPr>
          <w:rFonts w:hint="eastAsia" w:ascii="宋体" w:hAnsi="宋体" w:eastAsia="宋体" w:cs="宋体"/>
          <w:color w:val="auto"/>
          <w:sz w:val="32"/>
          <w:szCs w:val="32"/>
          <w:highlight w:val="none"/>
          <w:u w:val="single"/>
        </w:rPr>
        <w:t xml:space="preserve">                 </w:t>
      </w:r>
    </w:p>
    <w:p w14:paraId="61C2D6CB">
      <w:pPr>
        <w:jc w:val="both"/>
        <w:rPr>
          <w:rFonts w:hint="eastAsia" w:ascii="宋体" w:hAnsi="宋体"/>
          <w:b/>
          <w:sz w:val="36"/>
          <w:szCs w:val="21"/>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pPr>
    </w:p>
    <w:p w14:paraId="67F53A3E">
      <w:pPr>
        <w:jc w:val="center"/>
        <w:rPr>
          <w:rFonts w:ascii="宋体" w:hAnsi="宋体"/>
          <w:b/>
          <w:sz w:val="36"/>
          <w:szCs w:val="21"/>
        </w:rPr>
      </w:pPr>
      <w:r>
        <w:rPr>
          <w:rFonts w:hint="eastAsia" w:ascii="宋体" w:hAnsi="宋体"/>
          <w:b/>
          <w:sz w:val="36"/>
          <w:szCs w:val="21"/>
        </w:rPr>
        <w:t>工程施工合同</w:t>
      </w:r>
    </w:p>
    <w:p w14:paraId="1E3D8D59"/>
    <w:p w14:paraId="43C9D77B">
      <w:pPr>
        <w:jc w:val="center"/>
        <w:outlineLvl w:val="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第一部分  协议书</w:t>
      </w:r>
    </w:p>
    <w:p w14:paraId="0BAF831A">
      <w:pPr>
        <w:rPr>
          <w:rFonts w:hint="eastAsia" w:ascii="宋体" w:hAnsi="宋体" w:eastAsia="宋体" w:cs="宋体"/>
          <w:sz w:val="21"/>
          <w:szCs w:val="21"/>
          <w:highlight w:val="none"/>
        </w:rPr>
      </w:pPr>
    </w:p>
    <w:p w14:paraId="53324449">
      <w:pPr>
        <w:ind w:firstLine="422" w:firstLineChars="20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发包人（甲方全称）：</w:t>
      </w:r>
      <w:r>
        <w:rPr>
          <w:rFonts w:hint="eastAsia" w:ascii="宋体" w:hAnsi="宋体" w:eastAsia="宋体" w:cs="宋体"/>
          <w:b/>
          <w:color w:val="000000"/>
          <w:sz w:val="21"/>
          <w:szCs w:val="21"/>
          <w:highlight w:val="none"/>
          <w:u w:val="single"/>
        </w:rPr>
        <w:t>江苏医药职业学院</w:t>
      </w:r>
    </w:p>
    <w:p w14:paraId="4374D2AA">
      <w:pPr>
        <w:ind w:firstLine="422" w:firstLineChars="200"/>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承包人（乙方全称）：</w:t>
      </w:r>
      <w:r>
        <w:rPr>
          <w:rFonts w:hint="eastAsia" w:ascii="宋体" w:hAnsi="宋体" w:eastAsia="宋体" w:cs="宋体"/>
          <w:b/>
          <w:color w:val="000000"/>
          <w:sz w:val="21"/>
          <w:szCs w:val="21"/>
          <w:highlight w:val="none"/>
          <w:u w:val="single"/>
        </w:rPr>
        <w:t xml:space="preserve">                </w:t>
      </w:r>
    </w:p>
    <w:p w14:paraId="0D94D77D">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根据《中华人民共和国民法典》、《中华人民共和国建筑法》及有关法律规定，遵循平等、自愿、公平和诚实信用的原则，甲乙双方就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施工及有关事项协商一致，共同达成如下协议：</w:t>
      </w:r>
    </w:p>
    <w:p w14:paraId="0ED8EA60">
      <w:pPr>
        <w:ind w:firstLine="422" w:firstLineChars="200"/>
        <w:rPr>
          <w:rFonts w:hint="eastAsia" w:ascii="宋体" w:hAnsi="宋体" w:eastAsia="宋体" w:cs="宋体"/>
          <w:b/>
          <w:color w:val="000000"/>
          <w:sz w:val="21"/>
          <w:szCs w:val="21"/>
          <w:highlight w:val="none"/>
        </w:rPr>
      </w:pPr>
      <w:bookmarkStart w:id="169" w:name="_Toc351203481"/>
      <w:r>
        <w:rPr>
          <w:rFonts w:hint="eastAsia" w:ascii="宋体" w:hAnsi="宋体" w:eastAsia="宋体" w:cs="宋体"/>
          <w:b/>
          <w:color w:val="000000"/>
          <w:sz w:val="21"/>
          <w:szCs w:val="21"/>
          <w:highlight w:val="none"/>
        </w:rPr>
        <w:t>一、工程概况</w:t>
      </w:r>
      <w:bookmarkEnd w:id="169"/>
    </w:p>
    <w:p w14:paraId="75A7CEB4">
      <w:pPr>
        <w:ind w:firstLine="411" w:firstLineChars="196"/>
        <w:rPr>
          <w:rFonts w:hint="eastAsia" w:ascii="宋体" w:hAnsi="宋体" w:eastAsia="宋体" w:cs="宋体"/>
          <w:color w:val="000000"/>
          <w:sz w:val="21"/>
          <w:szCs w:val="21"/>
          <w:highlight w:val="none"/>
          <w:u w:val="single"/>
        </w:rPr>
      </w:pPr>
      <w:r>
        <w:rPr>
          <w:rFonts w:hint="eastAsia" w:ascii="宋体" w:hAnsi="宋体" w:eastAsia="宋体" w:cs="宋体"/>
          <w:bCs/>
          <w:color w:val="000000"/>
          <w:sz w:val="21"/>
          <w:szCs w:val="21"/>
          <w:highlight w:val="none"/>
        </w:rPr>
        <w:t>1.工程名称</w:t>
      </w: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w:t>
      </w:r>
    </w:p>
    <w:p w14:paraId="1AFCA3AC">
      <w:pPr>
        <w:ind w:firstLine="411" w:firstLineChars="1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2.工程地点：</w:t>
      </w:r>
      <w:r>
        <w:rPr>
          <w:rFonts w:hint="eastAsia" w:ascii="宋体" w:hAnsi="宋体" w:eastAsia="宋体" w:cs="宋体"/>
          <w:b/>
          <w:color w:val="000000"/>
          <w:sz w:val="21"/>
          <w:szCs w:val="21"/>
          <w:highlight w:val="none"/>
          <w:u w:val="single"/>
        </w:rPr>
        <w:t xml:space="preserve"> </w:t>
      </w:r>
      <w:r>
        <w:rPr>
          <w:rFonts w:hint="eastAsia" w:ascii="Times New Roman" w:hAnsi="Times New Roman" w:eastAsia="宋体" w:cs="宋体"/>
          <w:color w:val="auto"/>
          <w:sz w:val="21"/>
          <w:szCs w:val="21"/>
          <w:highlight w:val="none"/>
          <w:u w:val="single"/>
        </w:rPr>
        <w:t>江苏医药职业学院西校区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1A6A3C0">
      <w:pPr>
        <w:ind w:firstLine="411" w:firstLineChars="1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3.工程立项批准文号：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Cs/>
          <w:color w:val="000000"/>
          <w:sz w:val="21"/>
          <w:szCs w:val="21"/>
          <w:highlight w:val="none"/>
        </w:rPr>
        <w:t>。</w:t>
      </w:r>
    </w:p>
    <w:p w14:paraId="3CF54780">
      <w:pPr>
        <w:ind w:firstLine="411" w:firstLineChars="1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4.资金来源：</w:t>
      </w:r>
      <w:r>
        <w:rPr>
          <w:rFonts w:hint="eastAsia" w:ascii="宋体" w:hAnsi="宋体" w:eastAsia="宋体" w:cs="宋体"/>
          <w:color w:val="000000"/>
          <w:sz w:val="21"/>
          <w:szCs w:val="21"/>
          <w:highlight w:val="none"/>
          <w:u w:val="single"/>
        </w:rPr>
        <w:t>自筹</w:t>
      </w:r>
      <w:r>
        <w:rPr>
          <w:rFonts w:hint="eastAsia" w:ascii="宋体" w:hAnsi="宋体" w:eastAsia="宋体" w:cs="宋体"/>
          <w:bCs/>
          <w:color w:val="000000"/>
          <w:sz w:val="21"/>
          <w:szCs w:val="21"/>
          <w:highlight w:val="none"/>
        </w:rPr>
        <w:t>。</w:t>
      </w:r>
    </w:p>
    <w:p w14:paraId="0838AECE">
      <w:pPr>
        <w:ind w:firstLine="411" w:firstLineChars="196"/>
        <w:jc w:val="left"/>
        <w:rPr>
          <w:rFonts w:hint="eastAsia" w:ascii="宋体" w:hAnsi="宋体" w:eastAsia="宋体" w:cs="宋体"/>
          <w:color w:val="000000"/>
          <w:sz w:val="21"/>
          <w:szCs w:val="21"/>
          <w:highlight w:val="none"/>
          <w:u w:val="single"/>
        </w:rPr>
      </w:pPr>
      <w:r>
        <w:rPr>
          <w:rFonts w:hint="eastAsia" w:ascii="宋体" w:hAnsi="宋体" w:eastAsia="宋体" w:cs="宋体"/>
          <w:bCs/>
          <w:color w:val="000000"/>
          <w:sz w:val="21"/>
          <w:szCs w:val="21"/>
          <w:highlight w:val="none"/>
        </w:rPr>
        <w:t>5.工程内容：</w:t>
      </w:r>
      <w:r>
        <w:rPr>
          <w:rFonts w:hint="eastAsia" w:ascii="宋体" w:hAnsi="宋体" w:eastAsia="宋体" w:cs="宋体"/>
          <w:color w:val="000000"/>
          <w:sz w:val="21"/>
          <w:szCs w:val="21"/>
          <w:highlight w:val="none"/>
          <w:u w:val="single"/>
        </w:rPr>
        <w:t xml:space="preserve">                                             </w:t>
      </w:r>
    </w:p>
    <w:p w14:paraId="0B09645D">
      <w:pPr>
        <w:ind w:firstLine="411" w:firstLineChars="196"/>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6.工程承包范围：</w:t>
      </w:r>
      <w:r>
        <w:rPr>
          <w:rFonts w:hint="eastAsia" w:ascii="宋体" w:hAnsi="宋体" w:eastAsia="宋体" w:cs="宋体"/>
          <w:b/>
          <w:color w:val="000000"/>
          <w:sz w:val="21"/>
          <w:szCs w:val="21"/>
          <w:highlight w:val="none"/>
          <w:u w:val="single"/>
        </w:rPr>
        <w:t>招标文件、图纸、工程量清单及补充通知、承诺函中包含的所有工程。</w:t>
      </w:r>
    </w:p>
    <w:p w14:paraId="420B7551">
      <w:pPr>
        <w:ind w:firstLine="422" w:firstLineChars="200"/>
        <w:rPr>
          <w:rFonts w:hint="eastAsia" w:ascii="宋体" w:hAnsi="宋体" w:eastAsia="宋体" w:cs="宋体"/>
          <w:b/>
          <w:color w:val="000000"/>
          <w:sz w:val="21"/>
          <w:szCs w:val="21"/>
          <w:highlight w:val="none"/>
        </w:rPr>
      </w:pPr>
      <w:bookmarkStart w:id="170" w:name="_Toc351203482"/>
      <w:r>
        <w:rPr>
          <w:rFonts w:hint="eastAsia" w:ascii="宋体" w:hAnsi="宋体" w:eastAsia="宋体" w:cs="宋体"/>
          <w:b/>
          <w:color w:val="000000"/>
          <w:sz w:val="21"/>
          <w:szCs w:val="21"/>
          <w:highlight w:val="none"/>
        </w:rPr>
        <w:t>二、合同工期</w:t>
      </w:r>
      <w:bookmarkEnd w:id="170"/>
    </w:p>
    <w:p w14:paraId="38091067">
      <w:pPr>
        <w:ind w:firstLine="4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计划开工日期：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2845136F">
      <w:pPr>
        <w:ind w:firstLine="4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763A9521">
      <w:pPr>
        <w:ind w:firstLine="4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工期总日历天数：</w:t>
      </w:r>
      <w:r>
        <w:rPr>
          <w:rFonts w:hint="eastAsia" w:ascii="Times New Roman" w:hAnsi="Times New Roman" w:eastAsia="宋体" w:cs="宋体"/>
          <w:color w:val="auto"/>
          <w:sz w:val="21"/>
          <w:szCs w:val="21"/>
          <w:highlight w:val="none"/>
          <w:lang w:val="en-US" w:eastAsia="zh-CN"/>
        </w:rPr>
        <w:t>6</w:t>
      </w:r>
      <w:r>
        <w:rPr>
          <w:rFonts w:hint="eastAsia" w:ascii="Times New Roman" w:hAnsi="Times New Roman" w:eastAsia="宋体" w:cs="宋体"/>
          <w:color w:val="auto"/>
          <w:sz w:val="21"/>
          <w:szCs w:val="21"/>
          <w:highlight w:val="none"/>
        </w:rPr>
        <w:t>0日历天</w:t>
      </w:r>
      <w:r>
        <w:rPr>
          <w:rFonts w:hint="eastAsia" w:ascii="宋体" w:hAnsi="宋体" w:eastAsia="宋体" w:cs="宋体"/>
          <w:color w:val="000000"/>
          <w:sz w:val="21"/>
          <w:szCs w:val="21"/>
          <w:highlight w:val="none"/>
        </w:rPr>
        <w:t>。工期总日历天数与根据前述计划开竣工日期计算的工期天数不一致的，以工期总日历天数为准。</w:t>
      </w:r>
    </w:p>
    <w:p w14:paraId="7D811A5B">
      <w:pPr>
        <w:ind w:firstLine="422" w:firstLineChars="200"/>
        <w:rPr>
          <w:rFonts w:hint="eastAsia" w:ascii="宋体" w:hAnsi="宋体" w:eastAsia="宋体" w:cs="宋体"/>
          <w:b/>
          <w:color w:val="000000"/>
          <w:sz w:val="21"/>
          <w:szCs w:val="21"/>
          <w:highlight w:val="none"/>
        </w:rPr>
      </w:pPr>
      <w:bookmarkStart w:id="171" w:name="_Toc351203483"/>
      <w:r>
        <w:rPr>
          <w:rFonts w:hint="eastAsia" w:ascii="宋体" w:hAnsi="宋体" w:eastAsia="宋体" w:cs="宋体"/>
          <w:b/>
          <w:color w:val="000000"/>
          <w:sz w:val="21"/>
          <w:szCs w:val="21"/>
          <w:highlight w:val="none"/>
        </w:rPr>
        <w:t>三、质量标准</w:t>
      </w:r>
      <w:bookmarkEnd w:id="171"/>
    </w:p>
    <w:p w14:paraId="19C01E9F">
      <w:pPr>
        <w:ind w:firstLine="4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工程质量符合</w:t>
      </w:r>
      <w:r>
        <w:rPr>
          <w:rFonts w:hint="eastAsia" w:ascii="宋体" w:hAnsi="宋体" w:eastAsia="宋体" w:cs="宋体"/>
          <w:color w:val="000000"/>
          <w:sz w:val="21"/>
          <w:szCs w:val="21"/>
          <w:highlight w:val="none"/>
          <w:u w:val="single"/>
        </w:rPr>
        <w:t>合格</w:t>
      </w:r>
      <w:r>
        <w:rPr>
          <w:rFonts w:hint="eastAsia" w:ascii="宋体" w:hAnsi="宋体" w:eastAsia="宋体" w:cs="宋体"/>
          <w:color w:val="000000"/>
          <w:sz w:val="21"/>
          <w:szCs w:val="21"/>
          <w:highlight w:val="none"/>
        </w:rPr>
        <w:t>标准。</w:t>
      </w:r>
    </w:p>
    <w:p w14:paraId="19F686FE">
      <w:pPr>
        <w:ind w:firstLine="422" w:firstLineChars="200"/>
        <w:rPr>
          <w:rFonts w:hint="eastAsia" w:ascii="宋体" w:hAnsi="宋体" w:eastAsia="宋体" w:cs="宋体"/>
          <w:b/>
          <w:color w:val="000000"/>
          <w:sz w:val="21"/>
          <w:szCs w:val="21"/>
          <w:highlight w:val="none"/>
        </w:rPr>
      </w:pPr>
      <w:bookmarkStart w:id="172" w:name="_Toc351203484"/>
      <w:r>
        <w:rPr>
          <w:rFonts w:hint="eastAsia" w:ascii="宋体" w:hAnsi="宋体" w:eastAsia="宋体" w:cs="宋体"/>
          <w:b/>
          <w:color w:val="000000"/>
          <w:sz w:val="21"/>
          <w:szCs w:val="21"/>
          <w:highlight w:val="none"/>
        </w:rPr>
        <w:t>四、签约合同价与合同价格形式</w:t>
      </w:r>
      <w:bookmarkEnd w:id="172"/>
      <w:r>
        <w:rPr>
          <w:rFonts w:hint="eastAsia" w:ascii="宋体" w:hAnsi="宋体" w:eastAsia="宋体" w:cs="宋体"/>
          <w:b/>
          <w:color w:val="000000"/>
          <w:sz w:val="21"/>
          <w:szCs w:val="21"/>
          <w:highlight w:val="none"/>
        </w:rPr>
        <w:tab/>
      </w:r>
    </w:p>
    <w:p w14:paraId="42B55513">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1.签约合同价为：人民币（大写）</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FF0000"/>
          <w:sz w:val="21"/>
          <w:szCs w:val="21"/>
          <w:highlight w:val="none"/>
          <w:u w:val="single"/>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元)；</w:t>
      </w:r>
    </w:p>
    <w:p w14:paraId="3EC35757">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2.合同价格形式：</w:t>
      </w:r>
      <w:r>
        <w:rPr>
          <w:rFonts w:hint="eastAsia" w:ascii="宋体" w:hAnsi="宋体" w:eastAsia="宋体" w:cs="宋体"/>
          <w:color w:val="000000"/>
          <w:sz w:val="21"/>
          <w:szCs w:val="21"/>
          <w:highlight w:val="none"/>
          <w:u w:val="single"/>
        </w:rPr>
        <w:t>限定总价审计结算</w:t>
      </w:r>
      <w:r>
        <w:rPr>
          <w:rFonts w:hint="eastAsia" w:ascii="宋体" w:hAnsi="宋体" w:eastAsia="宋体" w:cs="宋体"/>
          <w:color w:val="000000"/>
          <w:sz w:val="21"/>
          <w:szCs w:val="21"/>
          <w:highlight w:val="none"/>
        </w:rPr>
        <w:t>，本工程中工程量清单项目的综合单价按承包人己标价工程量清单下浮之后的综合单价执行。</w:t>
      </w:r>
    </w:p>
    <w:p w14:paraId="54316908">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3.付款方式：</w:t>
      </w:r>
    </w:p>
    <w:p w14:paraId="23EAA742">
      <w:pPr>
        <w:pStyle w:val="19"/>
        <w:ind w:left="0" w:leftChars="0" w:firstLine="422" w:firstLineChars="200"/>
        <w:rPr>
          <w:rFonts w:hint="eastAsia" w:ascii="Times New Roman" w:hAnsi="Times New Roman" w:eastAsia="宋体" w:cs="宋体"/>
          <w:b/>
          <w:bCs/>
          <w:color w:val="auto"/>
          <w:kern w:val="2"/>
          <w:sz w:val="21"/>
          <w:szCs w:val="21"/>
          <w:highlight w:val="none"/>
          <w:lang w:val="en-US" w:eastAsia="zh-CN" w:bidi="ar-SA"/>
        </w:rPr>
      </w:pPr>
      <w:r>
        <w:rPr>
          <w:rFonts w:hint="eastAsia" w:ascii="Times New Roman" w:hAnsi="Times New Roman" w:eastAsia="宋体" w:cs="宋体"/>
          <w:b/>
          <w:bCs/>
          <w:color w:val="auto"/>
          <w:kern w:val="2"/>
          <w:sz w:val="21"/>
          <w:szCs w:val="21"/>
          <w:highlight w:val="none"/>
          <w:lang w:val="en-US" w:eastAsia="zh-CN" w:bidi="ar-SA"/>
        </w:rPr>
        <w:t>项目验收合格后支付合同价的60%款项，审计后付至审计价的80%，验收合格一年后无质量问题付至审计价的90%，验收合格三年后无质量问题付至95%，余款待质保结束后无质量问题一次性无息付清。</w:t>
      </w:r>
    </w:p>
    <w:p w14:paraId="0E1C31FF">
      <w:pPr>
        <w:ind w:firstLine="422" w:firstLineChars="200"/>
        <w:rPr>
          <w:rFonts w:hint="eastAsia" w:ascii="宋体" w:hAnsi="宋体" w:eastAsia="宋体" w:cs="宋体"/>
          <w:b/>
          <w:color w:val="000000"/>
          <w:sz w:val="21"/>
          <w:szCs w:val="21"/>
          <w:highlight w:val="none"/>
        </w:rPr>
      </w:pPr>
      <w:bookmarkStart w:id="173" w:name="_Toc351203485"/>
      <w:r>
        <w:rPr>
          <w:rFonts w:hint="eastAsia" w:ascii="宋体" w:hAnsi="宋体" w:eastAsia="宋体" w:cs="宋体"/>
          <w:b/>
          <w:color w:val="000000"/>
          <w:sz w:val="21"/>
          <w:szCs w:val="21"/>
          <w:highlight w:val="none"/>
        </w:rPr>
        <w:t>五、</w:t>
      </w:r>
      <w:bookmarkEnd w:id="173"/>
      <w:r>
        <w:rPr>
          <w:rFonts w:hint="eastAsia" w:ascii="宋体" w:hAnsi="宋体" w:eastAsia="宋体" w:cs="宋体"/>
          <w:b/>
          <w:color w:val="000000"/>
          <w:sz w:val="21"/>
          <w:szCs w:val="21"/>
          <w:highlight w:val="none"/>
        </w:rPr>
        <w:t>项目经理</w:t>
      </w:r>
    </w:p>
    <w:p w14:paraId="6AAE8ED7">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。执业证书信息：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rPr>
        <w:t xml:space="preserve">  </w:t>
      </w:r>
    </w:p>
    <w:p w14:paraId="4F4822D9">
      <w:pPr>
        <w:ind w:firstLine="422" w:firstLineChars="200"/>
        <w:rPr>
          <w:rFonts w:hint="eastAsia" w:ascii="宋体" w:hAnsi="宋体" w:eastAsia="宋体" w:cs="宋体"/>
          <w:b/>
          <w:color w:val="000000"/>
          <w:sz w:val="21"/>
          <w:szCs w:val="21"/>
          <w:highlight w:val="none"/>
        </w:rPr>
      </w:pPr>
      <w:bookmarkStart w:id="174" w:name="_Toc351203486"/>
      <w:r>
        <w:rPr>
          <w:rFonts w:hint="eastAsia" w:ascii="宋体" w:hAnsi="宋体" w:eastAsia="宋体" w:cs="宋体"/>
          <w:b/>
          <w:color w:val="000000"/>
          <w:sz w:val="21"/>
          <w:szCs w:val="21"/>
          <w:highlight w:val="none"/>
        </w:rPr>
        <w:t>六、合同文件构成</w:t>
      </w:r>
      <w:bookmarkEnd w:id="174"/>
    </w:p>
    <w:p w14:paraId="22460E3D">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本协议书与下列文件一起构成合同文件：</w:t>
      </w:r>
    </w:p>
    <w:p w14:paraId="19738773">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（1）中标通知书（如果有）；</w:t>
      </w:r>
    </w:p>
    <w:p w14:paraId="1777C611">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（2）招标文件与答疑纪要；</w:t>
      </w:r>
    </w:p>
    <w:p w14:paraId="4CDD824F">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（3）投标函及其附录（如果有）；</w:t>
      </w:r>
    </w:p>
    <w:p w14:paraId="3020BB79">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（4）专用合同条款及其附件；</w:t>
      </w:r>
    </w:p>
    <w:p w14:paraId="16CD4EB5">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（5）通用合同条款；</w:t>
      </w:r>
    </w:p>
    <w:p w14:paraId="55CE71F1">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（6）技术标准和要求；</w:t>
      </w:r>
    </w:p>
    <w:p w14:paraId="64B6DFE5">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（7）图纸及图纸答疑；</w:t>
      </w:r>
    </w:p>
    <w:p w14:paraId="213112C3">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（8）已标价工程量清单或预算书；</w:t>
      </w:r>
    </w:p>
    <w:p w14:paraId="2093ACEF">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（9）其他合同文件。</w:t>
      </w:r>
    </w:p>
    <w:p w14:paraId="1FBFDF65">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在合同订立及履行过程中形成的与合同有关的文件均构成合同文件的组成部分。</w:t>
      </w:r>
    </w:p>
    <w:p w14:paraId="4DB081BB">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AB3043E">
      <w:pPr>
        <w:ind w:firstLine="422" w:firstLineChars="200"/>
        <w:rPr>
          <w:rFonts w:hint="eastAsia" w:ascii="宋体" w:hAnsi="宋体" w:eastAsia="宋体" w:cs="宋体"/>
          <w:b/>
          <w:color w:val="000000"/>
          <w:sz w:val="21"/>
          <w:szCs w:val="21"/>
          <w:highlight w:val="none"/>
        </w:rPr>
      </w:pPr>
      <w:bookmarkStart w:id="175" w:name="_Toc351203487"/>
      <w:r>
        <w:rPr>
          <w:rFonts w:hint="eastAsia" w:ascii="宋体" w:hAnsi="宋体" w:eastAsia="宋体" w:cs="宋体"/>
          <w:b/>
          <w:color w:val="000000"/>
          <w:sz w:val="21"/>
          <w:szCs w:val="21"/>
          <w:highlight w:val="none"/>
        </w:rPr>
        <w:t>七、承诺</w:t>
      </w:r>
      <w:bookmarkEnd w:id="175"/>
    </w:p>
    <w:p w14:paraId="1EB5362A">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1.发包人承诺按照法律规定履行项目审批手续、筹集工程建设资金并按照合同约定的期限和方式支付合同价款。</w:t>
      </w:r>
    </w:p>
    <w:p w14:paraId="73CD819D">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2.承包人承诺按照法律规定及合同约定组织完成工程施工，确保工程质量和安全，不进行转包及违法分包，并在缺陷责任期及保修期内承担相应的工程维修责任。</w:t>
      </w:r>
    </w:p>
    <w:p w14:paraId="5FE6E6C9">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3.发包人和承包人通过招投标形式签订合同的，双方理解并承诺严格按照招标合同执行，不再就同一工程另行签订与合同实质性内容相背离的协议。</w:t>
      </w:r>
    </w:p>
    <w:p w14:paraId="25C11411">
      <w:pPr>
        <w:ind w:firstLine="420" w:firstLineChars="200"/>
        <w:rPr>
          <w:rFonts w:hint="eastAsia" w:ascii="宋体" w:hAnsi="宋体" w:eastAsia="宋体" w:cs="宋体"/>
          <w:bCs/>
          <w:color w:val="000000"/>
          <w:sz w:val="21"/>
          <w:szCs w:val="21"/>
          <w:highlight w:val="none"/>
        </w:rPr>
      </w:pPr>
      <w:bookmarkStart w:id="176" w:name="_Toc351203488"/>
      <w:r>
        <w:rPr>
          <w:rFonts w:hint="eastAsia" w:ascii="宋体" w:hAnsi="宋体" w:eastAsia="宋体" w:cs="宋体"/>
          <w:bCs/>
          <w:color w:val="000000"/>
          <w:sz w:val="21"/>
          <w:szCs w:val="21"/>
          <w:highlight w:val="none"/>
        </w:rPr>
        <w:t>4.本项目完工后设备在保修期内出现故障，承包人负责抢修，且抢修响应及到场时间在一小时以内，相关费用含在总价中。</w:t>
      </w:r>
    </w:p>
    <w:p w14:paraId="7995AB30">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5.伴随服务：本项目竣工后承包人需负责对招标人使用部门人员培训工作。</w:t>
      </w:r>
    </w:p>
    <w:p w14:paraId="3AC1EF92">
      <w:pPr>
        <w:ind w:firstLine="422" w:firstLineChars="200"/>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八、词语含义</w:t>
      </w:r>
      <w:bookmarkEnd w:id="176"/>
    </w:p>
    <w:p w14:paraId="6B72C0C6">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本协议书中词语含义与第二部分通用合同条款中赋予的含义相同。</w:t>
      </w:r>
    </w:p>
    <w:p w14:paraId="30BACD91">
      <w:pPr>
        <w:ind w:firstLine="422" w:firstLineChars="200"/>
        <w:rPr>
          <w:rFonts w:hint="eastAsia" w:ascii="宋体" w:hAnsi="宋体" w:eastAsia="宋体" w:cs="宋体"/>
          <w:b/>
          <w:color w:val="000000"/>
          <w:sz w:val="21"/>
          <w:szCs w:val="21"/>
          <w:highlight w:val="none"/>
        </w:rPr>
      </w:pPr>
      <w:bookmarkStart w:id="177" w:name="_Toc351203489"/>
      <w:r>
        <w:rPr>
          <w:rFonts w:hint="eastAsia" w:ascii="宋体" w:hAnsi="宋体" w:eastAsia="宋体" w:cs="宋体"/>
          <w:b/>
          <w:color w:val="000000"/>
          <w:sz w:val="21"/>
          <w:szCs w:val="21"/>
          <w:highlight w:val="none"/>
        </w:rPr>
        <w:t>九、签订时间</w:t>
      </w:r>
      <w:bookmarkEnd w:id="177"/>
    </w:p>
    <w:p w14:paraId="62F9C384">
      <w:pPr>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202</w:t>
      </w:r>
      <w:r>
        <w:rPr>
          <w:rFonts w:hint="eastAsia" w:ascii="宋体" w:hAnsi="宋体" w:eastAsia="宋体" w:cs="宋体"/>
          <w:bCs/>
          <w:sz w:val="21"/>
          <w:szCs w:val="21"/>
          <w:highlight w:val="none"/>
          <w:u w:val="single"/>
          <w:lang w:val="en-US" w:eastAsia="zh-CN"/>
        </w:rPr>
        <w:t>6</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bookmarkStart w:id="178" w:name="_Toc351203490"/>
    </w:p>
    <w:p w14:paraId="425E74D9">
      <w:pPr>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十、签订地点</w:t>
      </w:r>
      <w:bookmarkEnd w:id="178"/>
    </w:p>
    <w:p w14:paraId="662D1A39">
      <w:pPr>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江苏医药职业学院</w:t>
      </w:r>
      <w:r>
        <w:rPr>
          <w:rFonts w:hint="eastAsia" w:ascii="宋体" w:hAnsi="宋体" w:eastAsia="宋体" w:cs="宋体"/>
          <w:bCs/>
          <w:sz w:val="21"/>
          <w:szCs w:val="21"/>
          <w:highlight w:val="none"/>
        </w:rPr>
        <w:t>签订。</w:t>
      </w:r>
      <w:bookmarkStart w:id="179" w:name="_Toc351203491"/>
    </w:p>
    <w:p w14:paraId="36CEBFA9">
      <w:pPr>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十一、补充协议</w:t>
      </w:r>
      <w:bookmarkEnd w:id="179"/>
    </w:p>
    <w:p w14:paraId="5A85022D">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合同未尽事宜，合同当事人另行签订补充协议，补充协议是合同的组成部分。</w:t>
      </w:r>
      <w:bookmarkStart w:id="180" w:name="_Toc351203492"/>
    </w:p>
    <w:p w14:paraId="3D89D4C9">
      <w:pPr>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十二、合同生效</w:t>
      </w:r>
      <w:bookmarkEnd w:id="180"/>
    </w:p>
    <w:p w14:paraId="6267368C">
      <w:pPr>
        <w:ind w:firstLine="420" w:firstLineChars="20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本合同自</w:t>
      </w:r>
      <w:r>
        <w:rPr>
          <w:rFonts w:hint="eastAsia" w:ascii="宋体" w:hAnsi="宋体" w:eastAsia="宋体" w:cs="宋体"/>
          <w:b/>
          <w:bCs/>
          <w:color w:val="000000"/>
          <w:sz w:val="21"/>
          <w:szCs w:val="21"/>
          <w:highlight w:val="none"/>
          <w:u w:val="single"/>
        </w:rPr>
        <w:t>发包方和承包方的</w:t>
      </w:r>
      <w:r>
        <w:rPr>
          <w:rFonts w:hint="eastAsia" w:ascii="宋体" w:hAnsi="宋体" w:eastAsia="宋体" w:cs="宋体"/>
          <w:b/>
          <w:color w:val="000000"/>
          <w:sz w:val="21"/>
          <w:szCs w:val="21"/>
          <w:highlight w:val="none"/>
          <w:u w:val="single"/>
        </w:rPr>
        <w:t>法定代表人或其委托代理人</w:t>
      </w:r>
      <w:r>
        <w:rPr>
          <w:rFonts w:hint="eastAsia" w:ascii="宋体" w:hAnsi="宋体" w:eastAsia="宋体" w:cs="宋体"/>
          <w:b/>
          <w:bCs/>
          <w:color w:val="000000"/>
          <w:sz w:val="21"/>
          <w:szCs w:val="21"/>
          <w:highlight w:val="none"/>
          <w:u w:val="single"/>
        </w:rPr>
        <w:t>签字并加盖单位公章后</w:t>
      </w:r>
      <w:r>
        <w:rPr>
          <w:rFonts w:hint="eastAsia" w:ascii="宋体" w:hAnsi="宋体" w:eastAsia="宋体" w:cs="宋体"/>
          <w:bCs/>
          <w:color w:val="000000"/>
          <w:sz w:val="21"/>
          <w:szCs w:val="21"/>
          <w:highlight w:val="none"/>
        </w:rPr>
        <w:t>生效。</w:t>
      </w:r>
      <w:bookmarkStart w:id="181" w:name="_Toc351203493"/>
    </w:p>
    <w:p w14:paraId="3CD48AA6">
      <w:pPr>
        <w:ind w:firstLine="422" w:firstLineChars="200"/>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十三、合同份数</w:t>
      </w:r>
      <w:bookmarkEnd w:id="181"/>
    </w:p>
    <w:p w14:paraId="7F69E3EC">
      <w:pPr>
        <w:ind w:firstLine="420" w:firstLineChars="200"/>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6</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000000"/>
          <w:sz w:val="21"/>
          <w:szCs w:val="21"/>
          <w:highlight w:val="none"/>
        </w:rPr>
        <w:t>份，均具有同等法律效力，发包人执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3</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000000"/>
          <w:sz w:val="21"/>
          <w:szCs w:val="21"/>
          <w:highlight w:val="none"/>
        </w:rPr>
        <w:t>份，承包人执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3</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000000"/>
          <w:sz w:val="21"/>
          <w:szCs w:val="21"/>
          <w:highlight w:val="none"/>
        </w:rPr>
        <w:t>份</w:t>
      </w:r>
      <w:r>
        <w:rPr>
          <w:rFonts w:hint="eastAsia" w:ascii="宋体" w:hAnsi="宋体" w:eastAsia="宋体" w:cs="宋体"/>
          <w:kern w:val="0"/>
          <w:sz w:val="21"/>
          <w:szCs w:val="21"/>
          <w:highlight w:val="none"/>
          <w:lang w:val="zh-CN"/>
        </w:rPr>
        <w:t>。</w:t>
      </w:r>
      <w:bookmarkStart w:id="182" w:name="_Hlk101386310"/>
    </w:p>
    <w:p w14:paraId="6D9E9857">
      <w:pPr>
        <w:ind w:firstLine="420" w:firstLineChars="200"/>
        <w:rPr>
          <w:rFonts w:hint="eastAsia" w:ascii="宋体" w:hAnsi="宋体" w:eastAsia="宋体" w:cs="宋体"/>
          <w:sz w:val="21"/>
          <w:szCs w:val="21"/>
          <w:highlight w:val="none"/>
        </w:rPr>
      </w:pPr>
    </w:p>
    <w:p w14:paraId="5E509BFB">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发包人：  (公章)                       承包人：  (公章)</w:t>
      </w:r>
    </w:p>
    <w:p w14:paraId="7CFDB57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法定代表人：</w:t>
      </w:r>
      <w:r>
        <w:rPr>
          <w:rFonts w:hint="eastAsia" w:ascii="宋体" w:hAnsi="宋体" w:eastAsia="宋体" w:cs="宋体"/>
          <w:sz w:val="21"/>
          <w:szCs w:val="21"/>
          <w:highlight w:val="none"/>
          <w:u w:val="single"/>
        </w:rPr>
        <w:t xml:space="preserve">             </w:t>
      </w:r>
    </w:p>
    <w:p w14:paraId="4857A507">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委托代理人：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1452F59F">
      <w:pPr>
        <w:tabs>
          <w:tab w:val="left" w:pos="4410"/>
        </w:tabs>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组织机构代码：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组织机构代码：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1A465925">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地  址：</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      </w:t>
      </w:r>
    </w:p>
    <w:p w14:paraId="7ECA3F4D">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52644083">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599BAFE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   </w:t>
      </w:r>
    </w:p>
    <w:p w14:paraId="2BDC7799">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470FCA0E">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39B61936">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账  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账  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66BF9AD8">
      <w:pPr>
        <w:spacing w:after="156" w:afterLines="50"/>
        <w:ind w:left="-540" w:leftChars="-257"/>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1E8B6B19">
      <w:pPr>
        <w:spacing w:after="156" w:afterLines="50"/>
        <w:ind w:left="-540" w:leftChars="-257"/>
        <w:rPr>
          <w:rFonts w:hint="eastAsia" w:ascii="宋体" w:hAnsi="宋体" w:eastAsia="宋体" w:cs="宋体"/>
          <w:sz w:val="21"/>
          <w:szCs w:val="21"/>
          <w:highlight w:val="none"/>
        </w:rPr>
      </w:pPr>
    </w:p>
    <w:p w14:paraId="6ED8193F">
      <w:pPr>
        <w:spacing w:after="156" w:afterLines="50"/>
        <w:ind w:left="-540" w:leftChars="-257" w:firstLine="5670" w:firstLineChars="2700"/>
        <w:rPr>
          <w:rFonts w:hint="eastAsia" w:ascii="宋体" w:hAnsi="宋体" w:eastAsia="宋体" w:cs="宋体"/>
          <w:sz w:val="21"/>
          <w:szCs w:val="21"/>
          <w:highlight w:val="none"/>
        </w:rPr>
      </w:pPr>
      <w:r>
        <w:rPr>
          <w:rFonts w:hint="eastAsia" w:ascii="宋体" w:hAnsi="宋体" w:eastAsia="宋体" w:cs="宋体"/>
          <w:sz w:val="21"/>
          <w:szCs w:val="21"/>
          <w:highlight w:val="none"/>
        </w:rPr>
        <w:t>合同签订日期：</w:t>
      </w:r>
    </w:p>
    <w:bookmarkEnd w:id="182"/>
    <w:p w14:paraId="6BA7F8C2">
      <w:pPr>
        <w:pStyle w:val="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bookmarkStart w:id="183" w:name="_Toc351203494"/>
      <w:r>
        <w:rPr>
          <w:rFonts w:hint="eastAsia" w:ascii="宋体" w:hAnsi="宋体" w:eastAsia="宋体" w:cs="宋体"/>
          <w:b/>
          <w:bCs w:val="0"/>
          <w:sz w:val="21"/>
          <w:szCs w:val="21"/>
          <w:highlight w:val="none"/>
        </w:rPr>
        <w:t>第二部分 通用合同条款</w:t>
      </w:r>
      <w:bookmarkEnd w:id="183"/>
      <w:bookmarkStart w:id="184" w:name="_Toc337558727"/>
    </w:p>
    <w:bookmarkEnd w:id="184"/>
    <w:p w14:paraId="14B20454">
      <w:pPr>
        <w:jc w:val="center"/>
        <w:rPr>
          <w:rFonts w:hint="eastAsia" w:ascii="宋体" w:hAnsi="宋体" w:eastAsia="宋体" w:cs="宋体"/>
          <w:color w:val="000000"/>
          <w:sz w:val="21"/>
          <w:szCs w:val="21"/>
          <w:highlight w:val="none"/>
        </w:rPr>
      </w:pPr>
      <w:bookmarkStart w:id="185" w:name="_Toc351203632"/>
      <w:r>
        <w:rPr>
          <w:rFonts w:hint="eastAsia" w:ascii="宋体" w:hAnsi="宋体" w:eastAsia="宋体" w:cs="宋体"/>
          <w:color w:val="000000"/>
          <w:sz w:val="21"/>
          <w:szCs w:val="21"/>
          <w:highlight w:val="none"/>
        </w:rPr>
        <w:t>详见“《建设工程施工合同（示范文本）》（GF-2017-0201）”通用合同条款</w:t>
      </w:r>
    </w:p>
    <w:p w14:paraId="1DC764D6">
      <w:pPr>
        <w:rPr>
          <w:rFonts w:hint="eastAsia" w:ascii="宋体" w:hAnsi="宋体" w:eastAsia="宋体" w:cs="宋体"/>
          <w:sz w:val="21"/>
          <w:szCs w:val="21"/>
          <w:highlight w:val="none"/>
        </w:rPr>
      </w:pPr>
    </w:p>
    <w:p w14:paraId="7AE5CFB0">
      <w:pPr>
        <w:pStyle w:val="5"/>
        <w:spacing w:line="240" w:lineRule="auto"/>
        <w:jc w:val="center"/>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第三部分 专用合同条款</w:t>
      </w:r>
      <w:bookmarkEnd w:id="185"/>
    </w:p>
    <w:p w14:paraId="6917B303">
      <w:pPr>
        <w:pStyle w:val="22"/>
        <w:rPr>
          <w:rFonts w:hint="eastAsia" w:ascii="宋体" w:hAnsi="宋体" w:eastAsia="宋体" w:cs="宋体"/>
          <w:sz w:val="21"/>
          <w:szCs w:val="21"/>
          <w:highlight w:val="none"/>
        </w:rPr>
      </w:pPr>
      <w:bookmarkStart w:id="186" w:name="_Toc351203633"/>
      <w:bookmarkStart w:id="187" w:name="_Toc351203652"/>
      <w:r>
        <w:rPr>
          <w:rFonts w:hint="eastAsia" w:ascii="宋体" w:hAnsi="宋体" w:eastAsia="宋体" w:cs="宋体"/>
          <w:sz w:val="21"/>
          <w:szCs w:val="21"/>
          <w:highlight w:val="none"/>
        </w:rPr>
        <w:t>1</w:t>
      </w:r>
      <w:bookmarkStart w:id="188" w:name="_Toc292559866"/>
      <w:bookmarkStart w:id="189" w:name="_Toc296944495"/>
      <w:bookmarkStart w:id="190" w:name="_Toc296503156"/>
      <w:bookmarkStart w:id="191" w:name="_Toc297048342"/>
      <w:bookmarkStart w:id="192" w:name="_Toc297120456"/>
      <w:bookmarkStart w:id="193" w:name="_Toc292559361"/>
      <w:bookmarkStart w:id="194" w:name="_Toc296346657"/>
      <w:bookmarkStart w:id="195" w:name="_Toc296890984"/>
      <w:bookmarkStart w:id="196" w:name="_Toc296347155"/>
      <w:bookmarkStart w:id="197" w:name="_Toc296891196"/>
      <w:r>
        <w:rPr>
          <w:rFonts w:hint="eastAsia" w:ascii="宋体" w:hAnsi="宋体" w:eastAsia="宋体" w:cs="宋体"/>
          <w:sz w:val="21"/>
          <w:szCs w:val="21"/>
          <w:highlight w:val="none"/>
        </w:rPr>
        <w:t>. 一般约定</w:t>
      </w:r>
      <w:bookmarkEnd w:id="186"/>
    </w:p>
    <w:bookmarkEnd w:id="188"/>
    <w:bookmarkEnd w:id="189"/>
    <w:bookmarkEnd w:id="190"/>
    <w:bookmarkEnd w:id="191"/>
    <w:bookmarkEnd w:id="192"/>
    <w:bookmarkEnd w:id="193"/>
    <w:bookmarkEnd w:id="194"/>
    <w:bookmarkEnd w:id="195"/>
    <w:bookmarkEnd w:id="196"/>
    <w:bookmarkEnd w:id="197"/>
    <w:p w14:paraId="539F517C">
      <w:pPr>
        <w:spacing w:after="120"/>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词语定义</w:t>
      </w:r>
    </w:p>
    <w:p w14:paraId="4A1D3200">
      <w:pPr>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1.1.1合同</w:t>
      </w:r>
    </w:p>
    <w:p w14:paraId="15D05302">
      <w:pPr>
        <w:ind w:firstLine="420" w:firstLineChars="200"/>
        <w:rPr>
          <w:rFonts w:hint="eastAsia" w:ascii="宋体" w:hAnsi="宋体" w:eastAsia="宋体" w:cs="宋体"/>
          <w:b/>
          <w:color w:val="000000"/>
          <w:kern w:val="0"/>
          <w:sz w:val="21"/>
          <w:szCs w:val="21"/>
          <w:highlight w:val="none"/>
        </w:rPr>
      </w:pPr>
      <w:r>
        <w:rPr>
          <w:rFonts w:hint="eastAsia" w:ascii="宋体" w:hAnsi="宋体" w:eastAsia="宋体" w:cs="宋体"/>
          <w:color w:val="000000"/>
          <w:kern w:val="0"/>
          <w:sz w:val="21"/>
          <w:szCs w:val="21"/>
          <w:highlight w:val="none"/>
        </w:rPr>
        <w:t>1.1.1.1其他合同文件包括：</w:t>
      </w:r>
      <w:r>
        <w:rPr>
          <w:rFonts w:hint="eastAsia" w:ascii="宋体" w:hAnsi="宋体" w:eastAsia="宋体" w:cs="宋体"/>
          <w:b/>
          <w:color w:val="000000"/>
          <w:sz w:val="21"/>
          <w:szCs w:val="21"/>
          <w:highlight w:val="none"/>
          <w:u w:val="single"/>
        </w:rPr>
        <w:t>中标通知书、招标文件、投标响应文件，以及在履行合同过程中，双方具有相应权限的管理人员书面确认的对合同内容有实质性影响的会议纪要、签证、设计变更等资料 。</w:t>
      </w:r>
    </w:p>
    <w:p w14:paraId="04E14DAD">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 合同当事人及其他相关方</w:t>
      </w:r>
    </w:p>
    <w:p w14:paraId="71FD456B">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1.1.2.1监理人：</w:t>
      </w:r>
    </w:p>
    <w:p w14:paraId="00D6EA6C">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    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26F6B91">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051920C">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B511232">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1.1.2.2 设计人：</w:t>
      </w:r>
    </w:p>
    <w:p w14:paraId="1BEF135C">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w:t>
      </w:r>
    </w:p>
    <w:p w14:paraId="13187DF9">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w:t>
      </w:r>
    </w:p>
    <w:p w14:paraId="27ADF465">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5CCFD5">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1.2法律 </w:t>
      </w:r>
    </w:p>
    <w:p w14:paraId="61BE3BD5">
      <w:pPr>
        <w:autoSpaceDE w:val="0"/>
        <w:autoSpaceDN w:val="0"/>
        <w:adjustRightInd w:val="0"/>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适用于合同的其他规范性文件：</w:t>
      </w:r>
      <w:r>
        <w:rPr>
          <w:rFonts w:hint="eastAsia" w:ascii="宋体" w:hAnsi="宋体" w:eastAsia="宋体" w:cs="宋体"/>
          <w:color w:val="000000"/>
          <w:sz w:val="21"/>
          <w:szCs w:val="21"/>
          <w:highlight w:val="none"/>
          <w:u w:val="single"/>
        </w:rPr>
        <w:t xml:space="preserve">《中华人民共和国建筑法》、《中华人民共和国安全生产法》、《中华人民共和国消防法》、《中华人民共和国政府采购法》、《中华人民共和国政府采购法实施条例》 等 </w:t>
      </w:r>
      <w:r>
        <w:rPr>
          <w:rFonts w:hint="eastAsia" w:ascii="宋体" w:hAnsi="宋体" w:eastAsia="宋体" w:cs="宋体"/>
          <w:color w:val="000000"/>
          <w:sz w:val="21"/>
          <w:szCs w:val="21"/>
          <w:highlight w:val="none"/>
        </w:rPr>
        <w:t xml:space="preserve">； </w:t>
      </w:r>
    </w:p>
    <w:p w14:paraId="0F59200A">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 标准和规范</w:t>
      </w:r>
    </w:p>
    <w:p w14:paraId="1057EE66">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1.3.1适用于工程的标准规范包括：</w:t>
      </w:r>
      <w:r>
        <w:rPr>
          <w:rFonts w:hint="eastAsia" w:ascii="宋体" w:hAnsi="宋体" w:eastAsia="宋体" w:cs="宋体"/>
          <w:color w:val="000000"/>
          <w:sz w:val="21"/>
          <w:szCs w:val="21"/>
          <w:highlight w:val="none"/>
          <w:u w:val="single"/>
        </w:rPr>
        <w:t></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p>
    <w:p w14:paraId="628FCD06">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1.3.2发包人对工程的技术标准和功能要求的特殊要求：</w:t>
      </w:r>
      <w:r>
        <w:rPr>
          <w:rFonts w:hint="eastAsia" w:ascii="宋体" w:hAnsi="宋体" w:eastAsia="宋体" w:cs="宋体"/>
          <w:color w:val="000000"/>
          <w:sz w:val="21"/>
          <w:szCs w:val="21"/>
          <w:highlight w:val="none"/>
          <w:u w:val="single"/>
        </w:rPr>
        <w:t xml:space="preserve">     /       </w:t>
      </w:r>
    </w:p>
    <w:p w14:paraId="109B66D2">
      <w:pPr>
        <w:autoSpaceDE w:val="0"/>
        <w:autoSpaceDN w:val="0"/>
        <w:adjustRightInd w:val="0"/>
        <w:ind w:firstLine="420" w:firstLineChars="200"/>
        <w:jc w:val="left"/>
        <w:rPr>
          <w:rFonts w:hint="eastAsia" w:ascii="宋体" w:hAnsi="宋体" w:eastAsia="宋体" w:cs="宋体"/>
          <w:b/>
          <w:color w:val="000000"/>
          <w:kern w:val="0"/>
          <w:sz w:val="21"/>
          <w:szCs w:val="21"/>
          <w:highlight w:val="none"/>
          <w:u w:val="single"/>
        </w:rPr>
      </w:pPr>
      <w:r>
        <w:rPr>
          <w:rFonts w:hint="eastAsia" w:ascii="宋体" w:hAnsi="宋体" w:eastAsia="宋体" w:cs="宋体"/>
          <w:color w:val="000000"/>
          <w:sz w:val="21"/>
          <w:szCs w:val="21"/>
          <w:highlight w:val="none"/>
        </w:rPr>
        <w:t>合同文件组成及优先顺序为：</w:t>
      </w:r>
      <w:r>
        <w:rPr>
          <w:rFonts w:hint="eastAsia" w:ascii="宋体" w:hAnsi="宋体" w:eastAsia="宋体" w:cs="宋体"/>
          <w:color w:val="000000"/>
          <w:kern w:val="0"/>
          <w:sz w:val="21"/>
          <w:szCs w:val="21"/>
          <w:highlight w:val="none"/>
          <w:u w:val="single"/>
        </w:rPr>
        <w:t>（</w:t>
      </w:r>
      <w:r>
        <w:rPr>
          <w:rFonts w:hint="eastAsia" w:ascii="宋体" w:hAnsi="宋体" w:eastAsia="宋体" w:cs="宋体"/>
          <w:b/>
          <w:color w:val="000000"/>
          <w:kern w:val="0"/>
          <w:sz w:val="21"/>
          <w:szCs w:val="21"/>
          <w:highlight w:val="none"/>
          <w:u w:val="single"/>
        </w:rPr>
        <w:t>1）合同协议书；（2）中标通知书；（3）</w:t>
      </w:r>
      <w:r>
        <w:rPr>
          <w:rFonts w:hint="eastAsia" w:ascii="宋体" w:hAnsi="宋体" w:eastAsia="宋体" w:cs="宋体"/>
          <w:b/>
          <w:color w:val="000000"/>
          <w:sz w:val="21"/>
          <w:szCs w:val="21"/>
          <w:highlight w:val="none"/>
          <w:u w:val="single"/>
        </w:rPr>
        <w:t>招标文件与答疑纪要</w:t>
      </w:r>
      <w:r>
        <w:rPr>
          <w:rFonts w:hint="eastAsia" w:ascii="宋体" w:hAnsi="宋体" w:eastAsia="宋体" w:cs="宋体"/>
          <w:b/>
          <w:color w:val="000000"/>
          <w:kern w:val="0"/>
          <w:sz w:val="21"/>
          <w:szCs w:val="21"/>
          <w:highlight w:val="none"/>
          <w:u w:val="single"/>
        </w:rPr>
        <w:t>（4）投标函及其附录；（5）专用合同条款</w:t>
      </w:r>
      <w:r>
        <w:rPr>
          <w:rFonts w:hint="eastAsia" w:ascii="宋体" w:hAnsi="宋体" w:eastAsia="宋体" w:cs="宋体"/>
          <w:b/>
          <w:color w:val="000000"/>
          <w:sz w:val="21"/>
          <w:szCs w:val="21"/>
          <w:highlight w:val="none"/>
          <w:u w:val="single"/>
        </w:rPr>
        <w:t>及其附件</w:t>
      </w:r>
      <w:r>
        <w:rPr>
          <w:rFonts w:hint="eastAsia" w:ascii="宋体" w:hAnsi="宋体" w:eastAsia="宋体" w:cs="宋体"/>
          <w:b/>
          <w:color w:val="000000"/>
          <w:kern w:val="0"/>
          <w:sz w:val="21"/>
          <w:szCs w:val="21"/>
          <w:highlight w:val="none"/>
          <w:u w:val="single"/>
        </w:rPr>
        <w:t>；（6）通用合同条款；（7）技术标准和要求；（8）图纸及图纸答疑；（9）已标价工程量清单或预算书；（10）其他合同文件。</w:t>
      </w:r>
    </w:p>
    <w:p w14:paraId="00617AEE">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 图纸和承包人文件</w:t>
      </w:r>
      <w:r>
        <w:rPr>
          <w:rFonts w:hint="eastAsia" w:ascii="宋体" w:hAnsi="宋体" w:eastAsia="宋体" w:cs="宋体"/>
          <w:color w:val="000000"/>
          <w:sz w:val="21"/>
          <w:szCs w:val="21"/>
          <w:highlight w:val="none"/>
        </w:rPr>
        <w:tab/>
      </w:r>
    </w:p>
    <w:p w14:paraId="665997DF">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1.5.1 图纸的提供</w:t>
      </w:r>
    </w:p>
    <w:p w14:paraId="3F46E64B">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按发包人要求</w:t>
      </w:r>
      <w:r>
        <w:rPr>
          <w:rFonts w:hint="eastAsia" w:ascii="宋体" w:hAnsi="宋体" w:eastAsia="宋体" w:cs="宋体"/>
          <w:sz w:val="21"/>
          <w:szCs w:val="21"/>
          <w:highlight w:val="none"/>
        </w:rPr>
        <w:t>；</w:t>
      </w:r>
    </w:p>
    <w:p w14:paraId="51F8DB55">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发包人向承包人提供图纸的数量：</w:t>
      </w:r>
      <w:r>
        <w:rPr>
          <w:rFonts w:hint="eastAsia" w:ascii="宋体" w:hAnsi="宋体" w:eastAsia="宋体" w:cs="宋体"/>
          <w:b/>
          <w:bCs/>
          <w:sz w:val="21"/>
          <w:szCs w:val="21"/>
          <w:highlight w:val="none"/>
          <w:u w:val="single"/>
        </w:rPr>
        <w:t>3份</w:t>
      </w:r>
      <w:r>
        <w:rPr>
          <w:rFonts w:hint="eastAsia" w:ascii="宋体" w:hAnsi="宋体" w:eastAsia="宋体" w:cs="宋体"/>
          <w:sz w:val="21"/>
          <w:szCs w:val="21"/>
          <w:highlight w:val="none"/>
        </w:rPr>
        <w:t>；</w:t>
      </w:r>
    </w:p>
    <w:p w14:paraId="4F534280">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发包人向承包人提供图纸的内容：</w:t>
      </w:r>
      <w:r>
        <w:rPr>
          <w:rFonts w:hint="eastAsia" w:ascii="宋体" w:hAnsi="宋体" w:eastAsia="宋体" w:cs="宋体"/>
          <w:b/>
          <w:color w:val="000000"/>
          <w:sz w:val="21"/>
          <w:szCs w:val="21"/>
          <w:highlight w:val="none"/>
          <w:u w:val="single"/>
        </w:rPr>
        <w:t>全部施工图纸</w:t>
      </w:r>
      <w:r>
        <w:rPr>
          <w:rFonts w:hint="eastAsia" w:ascii="宋体" w:hAnsi="宋体" w:eastAsia="宋体" w:cs="宋体"/>
          <w:color w:val="000000"/>
          <w:sz w:val="21"/>
          <w:szCs w:val="21"/>
          <w:highlight w:val="none"/>
        </w:rPr>
        <w:t>。</w:t>
      </w:r>
    </w:p>
    <w:p w14:paraId="653D2C38">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1.5.2 承包人文件</w:t>
      </w:r>
    </w:p>
    <w:p w14:paraId="1EC02823">
      <w:pPr>
        <w:ind w:firstLine="420" w:firstLineChars="200"/>
        <w:jc w:val="lef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承包人向发包人提供的文件，包括：</w:t>
      </w:r>
      <w:r>
        <w:rPr>
          <w:rFonts w:hint="eastAsia" w:ascii="宋体" w:hAnsi="宋体" w:eastAsia="宋体" w:cs="宋体"/>
          <w:b/>
          <w:sz w:val="21"/>
          <w:szCs w:val="21"/>
          <w:highlight w:val="none"/>
          <w:u w:val="single"/>
        </w:rPr>
        <w:t>实施性施工组织设计及方案、进度计划、安全防护方案等</w:t>
      </w:r>
      <w:r>
        <w:rPr>
          <w:rFonts w:hint="eastAsia" w:ascii="宋体" w:hAnsi="宋体" w:eastAsia="宋体" w:cs="宋体"/>
          <w:sz w:val="21"/>
          <w:szCs w:val="21"/>
          <w:highlight w:val="none"/>
        </w:rPr>
        <w:t>；</w:t>
      </w:r>
    </w:p>
    <w:p w14:paraId="00DF055F">
      <w:pPr>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与工程实施相关的开工报审表、施工组织设计、进度计划、质量安全措施等各类资料，并符合档案管理要求；</w:t>
      </w:r>
    </w:p>
    <w:p w14:paraId="504C6743">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承包人提供的文件的期限为：</w:t>
      </w:r>
      <w:r>
        <w:rPr>
          <w:rFonts w:hint="eastAsia" w:ascii="宋体" w:hAnsi="宋体" w:eastAsia="宋体" w:cs="宋体"/>
          <w:color w:val="000000"/>
          <w:sz w:val="21"/>
          <w:szCs w:val="21"/>
          <w:highlight w:val="none"/>
          <w:u w:val="single"/>
        </w:rPr>
        <w:t>按发包人要求</w:t>
      </w:r>
      <w:r>
        <w:rPr>
          <w:rFonts w:hint="eastAsia" w:ascii="宋体" w:hAnsi="宋体" w:eastAsia="宋体" w:cs="宋体"/>
          <w:color w:val="000000"/>
          <w:sz w:val="21"/>
          <w:szCs w:val="21"/>
          <w:highlight w:val="none"/>
        </w:rPr>
        <w:t>；</w:t>
      </w:r>
    </w:p>
    <w:p w14:paraId="59D60A09">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承包人提供的文件的数量为：</w:t>
      </w:r>
      <w:r>
        <w:rPr>
          <w:rFonts w:hint="eastAsia" w:ascii="宋体" w:hAnsi="宋体" w:eastAsia="宋体" w:cs="宋体"/>
          <w:b/>
          <w:color w:val="000000"/>
          <w:sz w:val="21"/>
          <w:szCs w:val="21"/>
          <w:highlight w:val="none"/>
          <w:u w:val="single"/>
        </w:rPr>
        <w:t>3份</w:t>
      </w:r>
      <w:r>
        <w:rPr>
          <w:rFonts w:hint="eastAsia" w:ascii="宋体" w:hAnsi="宋体" w:eastAsia="宋体" w:cs="宋体"/>
          <w:color w:val="000000"/>
          <w:sz w:val="21"/>
          <w:szCs w:val="21"/>
          <w:highlight w:val="none"/>
        </w:rPr>
        <w:t>；</w:t>
      </w:r>
    </w:p>
    <w:p w14:paraId="0B39C5D3">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承包人提供的文件的形式为：</w:t>
      </w:r>
      <w:r>
        <w:rPr>
          <w:rFonts w:hint="eastAsia" w:ascii="宋体" w:hAnsi="宋体" w:eastAsia="宋体" w:cs="宋体"/>
          <w:b/>
          <w:color w:val="000000"/>
          <w:sz w:val="21"/>
          <w:szCs w:val="21"/>
          <w:highlight w:val="none"/>
          <w:u w:val="single"/>
        </w:rPr>
        <w:t>书面文件</w:t>
      </w:r>
      <w:r>
        <w:rPr>
          <w:rFonts w:hint="eastAsia" w:ascii="宋体" w:hAnsi="宋体" w:eastAsia="宋体" w:cs="宋体"/>
          <w:color w:val="000000"/>
          <w:sz w:val="21"/>
          <w:szCs w:val="21"/>
          <w:highlight w:val="none"/>
        </w:rPr>
        <w:t>；</w:t>
      </w:r>
    </w:p>
    <w:p w14:paraId="30BE17DB">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1.5.3 现场图纸准备</w:t>
      </w:r>
    </w:p>
    <w:p w14:paraId="0BC294E0">
      <w:pPr>
        <w:ind w:firstLine="420" w:firstLineChars="200"/>
        <w:jc w:val="left"/>
        <w:rPr>
          <w:rFonts w:hint="eastAsia" w:ascii="宋体" w:hAnsi="宋体" w:eastAsia="宋体" w:cs="宋体"/>
          <w:b/>
          <w:color w:val="000000"/>
          <w:kern w:val="0"/>
          <w:sz w:val="21"/>
          <w:szCs w:val="21"/>
          <w:highlight w:val="none"/>
          <w:u w:val="single"/>
        </w:rPr>
      </w:pPr>
      <w:r>
        <w:rPr>
          <w:rFonts w:hint="eastAsia" w:ascii="宋体" w:hAnsi="宋体" w:eastAsia="宋体" w:cs="宋体"/>
          <w:color w:val="000000"/>
          <w:sz w:val="21"/>
          <w:szCs w:val="21"/>
          <w:highlight w:val="none"/>
        </w:rPr>
        <w:t>关于现场图纸准备的约定：</w:t>
      </w:r>
      <w:r>
        <w:rPr>
          <w:rFonts w:hint="eastAsia" w:ascii="宋体" w:hAnsi="宋体" w:eastAsia="宋体" w:cs="宋体"/>
          <w:b/>
          <w:color w:val="000000"/>
          <w:kern w:val="0"/>
          <w:sz w:val="21"/>
          <w:szCs w:val="21"/>
          <w:highlight w:val="none"/>
          <w:u w:val="single"/>
        </w:rPr>
        <w:t>承包人应在施工现场另外保存一套完整的图纸和承包人文件，供发包人、监理人及有关人员进行工程检查时使用。</w:t>
      </w:r>
    </w:p>
    <w:p w14:paraId="16D2FDFB">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1.6 知识产权</w:t>
      </w:r>
    </w:p>
    <w:p w14:paraId="54FC8E47">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000000"/>
          <w:sz w:val="21"/>
          <w:szCs w:val="21"/>
          <w:highlight w:val="none"/>
          <w:u w:val="single"/>
        </w:rPr>
        <w:t>属于发包人</w:t>
      </w:r>
      <w:r>
        <w:rPr>
          <w:rFonts w:hint="eastAsia" w:ascii="宋体" w:hAnsi="宋体" w:eastAsia="宋体" w:cs="宋体"/>
          <w:color w:val="000000"/>
          <w:sz w:val="21"/>
          <w:szCs w:val="21"/>
          <w:highlight w:val="none"/>
        </w:rPr>
        <w:t>。</w:t>
      </w:r>
    </w:p>
    <w:p w14:paraId="2FCBD965">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1.6.2 关于承包人为实施工程所编制文件的著作权的归属：</w:t>
      </w:r>
      <w:r>
        <w:rPr>
          <w:rFonts w:hint="eastAsia" w:ascii="宋体" w:hAnsi="宋体" w:eastAsia="宋体" w:cs="宋体"/>
          <w:b/>
          <w:color w:val="000000"/>
          <w:kern w:val="0"/>
          <w:sz w:val="21"/>
          <w:szCs w:val="21"/>
          <w:highlight w:val="none"/>
          <w:u w:val="single"/>
        </w:rPr>
        <w:t>除署名权以外的著作权属于发包人</w:t>
      </w:r>
      <w:r>
        <w:rPr>
          <w:rFonts w:hint="eastAsia" w:ascii="宋体" w:hAnsi="宋体" w:eastAsia="宋体" w:cs="宋体"/>
          <w:color w:val="000000"/>
          <w:sz w:val="21"/>
          <w:szCs w:val="21"/>
          <w:highlight w:val="none"/>
        </w:rPr>
        <w:t>。</w:t>
      </w:r>
    </w:p>
    <w:p w14:paraId="4CB21880">
      <w:pPr>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1.6.3 承包人在施工过程中所采用的专利、专有技术、技术秘密的使用费的承担方式：</w:t>
      </w:r>
      <w:r>
        <w:rPr>
          <w:rFonts w:hint="eastAsia" w:ascii="宋体" w:hAnsi="宋体" w:eastAsia="宋体" w:cs="宋体"/>
          <w:b/>
          <w:color w:val="000000"/>
          <w:sz w:val="21"/>
          <w:szCs w:val="21"/>
          <w:highlight w:val="none"/>
          <w:u w:val="single"/>
        </w:rPr>
        <w:t>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w:t>
      </w:r>
    </w:p>
    <w:p w14:paraId="704B71A7">
      <w:pPr>
        <w:pStyle w:val="22"/>
        <w:ind w:firstLine="420" w:firstLineChars="200"/>
        <w:rPr>
          <w:rFonts w:hint="eastAsia" w:ascii="宋体" w:hAnsi="宋体" w:eastAsia="宋体" w:cs="宋体"/>
          <w:b/>
          <w:sz w:val="21"/>
          <w:szCs w:val="21"/>
          <w:highlight w:val="none"/>
        </w:rPr>
      </w:pPr>
      <w:bookmarkStart w:id="198" w:name="_Toc351203634"/>
      <w:r>
        <w:rPr>
          <w:rFonts w:hint="eastAsia" w:ascii="宋体" w:hAnsi="宋体" w:eastAsia="宋体" w:cs="宋体"/>
          <w:sz w:val="21"/>
          <w:szCs w:val="21"/>
          <w:highlight w:val="none"/>
        </w:rPr>
        <w:t>1.7工程量清单错误的修正</w:t>
      </w:r>
    </w:p>
    <w:p w14:paraId="5931E7B9">
      <w:pPr>
        <w:pStyle w:val="22"/>
        <w:ind w:firstLine="420" w:firstLineChars="200"/>
        <w:rPr>
          <w:rFonts w:hint="eastAsia" w:ascii="宋体" w:hAnsi="宋体" w:eastAsia="宋体" w:cs="宋体"/>
          <w:b/>
          <w:sz w:val="21"/>
          <w:szCs w:val="21"/>
          <w:highlight w:val="none"/>
        </w:rPr>
      </w:pPr>
      <w:r>
        <w:rPr>
          <w:rFonts w:hint="eastAsia" w:ascii="宋体" w:hAnsi="宋体" w:eastAsia="宋体" w:cs="宋体"/>
          <w:sz w:val="21"/>
          <w:szCs w:val="21"/>
          <w:highlight w:val="none"/>
        </w:rPr>
        <w:t>出现工程量清单错误时，是否调整合同价格：</w:t>
      </w:r>
      <w:r>
        <w:rPr>
          <w:rFonts w:hint="eastAsia" w:ascii="宋体" w:hAnsi="宋体" w:eastAsia="宋体" w:cs="宋体"/>
          <w:sz w:val="21"/>
          <w:szCs w:val="21"/>
          <w:highlight w:val="none"/>
          <w:u w:val="single"/>
        </w:rPr>
        <w:t>根据情况双方协商确定</w:t>
      </w:r>
      <w:r>
        <w:rPr>
          <w:rFonts w:hint="eastAsia" w:ascii="宋体" w:hAnsi="宋体" w:eastAsia="宋体" w:cs="宋体"/>
          <w:sz w:val="21"/>
          <w:szCs w:val="21"/>
          <w:highlight w:val="none"/>
        </w:rPr>
        <w:t>。</w:t>
      </w:r>
    </w:p>
    <w:p w14:paraId="729BA270">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允许调整合同价格的工程量偏差范围：增加工程量不得超过原工程量清单工程量10%，且不得超过现合同价的10%。最终价格以审计为准。</w:t>
      </w:r>
    </w:p>
    <w:p w14:paraId="1BB39C1C">
      <w:pPr>
        <w:pStyle w:val="22"/>
        <w:ind w:firstLine="420" w:firstLineChars="200"/>
        <w:rPr>
          <w:rFonts w:hint="eastAsia" w:ascii="宋体" w:hAnsi="宋体" w:eastAsia="宋体" w:cs="宋体"/>
          <w:b/>
          <w:sz w:val="21"/>
          <w:szCs w:val="21"/>
          <w:highlight w:val="none"/>
        </w:rPr>
      </w:pPr>
      <w:r>
        <w:rPr>
          <w:rFonts w:hint="eastAsia" w:ascii="宋体" w:hAnsi="宋体" w:eastAsia="宋体" w:cs="宋体"/>
          <w:sz w:val="21"/>
          <w:szCs w:val="21"/>
          <w:highlight w:val="none"/>
        </w:rPr>
        <w:t>2</w:t>
      </w:r>
      <w:bookmarkStart w:id="199" w:name="_Toc297048343"/>
      <w:bookmarkStart w:id="200" w:name="_Toc296347156"/>
      <w:bookmarkStart w:id="201" w:name="_Toc296944496"/>
      <w:bookmarkStart w:id="202" w:name="_Toc297120457"/>
      <w:bookmarkStart w:id="203" w:name="_Toc292559867"/>
      <w:bookmarkStart w:id="204" w:name="_Toc296891197"/>
      <w:bookmarkStart w:id="205" w:name="_Toc296503157"/>
      <w:bookmarkStart w:id="206" w:name="_Toc296346658"/>
      <w:bookmarkStart w:id="207" w:name="_Toc292559362"/>
      <w:bookmarkStart w:id="208" w:name="_Toc296890985"/>
      <w:r>
        <w:rPr>
          <w:rFonts w:hint="eastAsia" w:ascii="宋体" w:hAnsi="宋体" w:eastAsia="宋体" w:cs="宋体"/>
          <w:sz w:val="21"/>
          <w:szCs w:val="21"/>
          <w:highlight w:val="none"/>
        </w:rPr>
        <w:t>. 发包人</w:t>
      </w:r>
      <w:bookmarkEnd w:id="198"/>
    </w:p>
    <w:bookmarkEnd w:id="199"/>
    <w:bookmarkEnd w:id="200"/>
    <w:bookmarkEnd w:id="201"/>
    <w:bookmarkEnd w:id="202"/>
    <w:bookmarkEnd w:id="203"/>
    <w:bookmarkEnd w:id="204"/>
    <w:bookmarkEnd w:id="205"/>
    <w:bookmarkEnd w:id="206"/>
    <w:bookmarkEnd w:id="207"/>
    <w:bookmarkEnd w:id="208"/>
    <w:p w14:paraId="7CB9B6E1">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 发包人代表</w:t>
      </w:r>
    </w:p>
    <w:p w14:paraId="0F9201F6">
      <w:pPr>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发包人代表：</w:t>
      </w:r>
    </w:p>
    <w:p w14:paraId="7661C56F">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    名：</w:t>
      </w:r>
      <w:r>
        <w:rPr>
          <w:rFonts w:hint="eastAsia" w:ascii="宋体" w:hAnsi="宋体" w:eastAsia="宋体" w:cs="宋体"/>
          <w:b/>
          <w:sz w:val="21"/>
          <w:szCs w:val="21"/>
          <w:highlight w:val="none"/>
          <w:u w:val="single"/>
        </w:rPr>
        <w:t xml:space="preserve">       </w:t>
      </w:r>
      <w:r>
        <w:rPr>
          <w:rFonts w:hint="eastAsia" w:ascii="宋体" w:hAnsi="宋体" w:eastAsia="宋体" w:cs="宋体"/>
          <w:color w:val="000000"/>
          <w:sz w:val="21"/>
          <w:szCs w:val="21"/>
          <w:highlight w:val="none"/>
        </w:rPr>
        <w:t>；</w:t>
      </w:r>
    </w:p>
    <w:p w14:paraId="3EEEC3F5">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07DEEA3B">
      <w:pPr>
        <w:ind w:firstLine="420" w:firstLineChars="200"/>
        <w:rPr>
          <w:rFonts w:hint="eastAsia" w:ascii="宋体" w:hAnsi="宋体" w:eastAsia="宋体" w:cs="宋体"/>
          <w:b/>
          <w:sz w:val="21"/>
          <w:szCs w:val="21"/>
          <w:highlight w:val="none"/>
          <w:u w:val="single"/>
        </w:rPr>
      </w:pPr>
      <w:r>
        <w:rPr>
          <w:rFonts w:hint="eastAsia" w:ascii="宋体" w:hAnsi="宋体" w:eastAsia="宋体" w:cs="宋体"/>
          <w:color w:val="000000"/>
          <w:sz w:val="21"/>
          <w:szCs w:val="21"/>
          <w:highlight w:val="none"/>
        </w:rPr>
        <w:t>发包人对发包人代表的授权范围如下：</w:t>
      </w:r>
      <w:r>
        <w:rPr>
          <w:rFonts w:hint="eastAsia" w:ascii="宋体" w:hAnsi="宋体" w:eastAsia="宋体" w:cs="宋体"/>
          <w:b/>
          <w:sz w:val="21"/>
          <w:szCs w:val="21"/>
          <w:highlight w:val="none"/>
          <w:u w:val="single"/>
        </w:rPr>
        <w:t>施工过程中协调工作，监督工程质量、进度和安全及与本工程建设有关的事宜。</w:t>
      </w:r>
    </w:p>
    <w:p w14:paraId="4CB29C96">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 施工现场、施工条件和基础资料的提供</w:t>
      </w:r>
    </w:p>
    <w:p w14:paraId="47EE83FD">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2.2.1 提供施工现场</w:t>
      </w:r>
    </w:p>
    <w:p w14:paraId="23823278">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关于发包人移交施工现场的期限要求：</w:t>
      </w:r>
      <w:r>
        <w:rPr>
          <w:rFonts w:hint="eastAsia" w:ascii="宋体" w:hAnsi="宋体" w:eastAsia="宋体" w:cs="宋体"/>
          <w:b/>
          <w:color w:val="000000"/>
          <w:sz w:val="21"/>
          <w:szCs w:val="21"/>
          <w:highlight w:val="none"/>
          <w:u w:val="single"/>
        </w:rPr>
        <w:t>开工前7天</w:t>
      </w:r>
      <w:r>
        <w:rPr>
          <w:rFonts w:hint="eastAsia" w:ascii="宋体" w:hAnsi="宋体" w:eastAsia="宋体" w:cs="宋体"/>
          <w:color w:val="000000"/>
          <w:sz w:val="21"/>
          <w:szCs w:val="21"/>
          <w:highlight w:val="none"/>
        </w:rPr>
        <w:t>。</w:t>
      </w:r>
    </w:p>
    <w:p w14:paraId="7E71C8D0">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2.2.2 提供施工条件</w:t>
      </w:r>
    </w:p>
    <w:p w14:paraId="7CF63516">
      <w:pPr>
        <w:pStyle w:val="22"/>
        <w:ind w:firstLine="420" w:firstLineChars="200"/>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关于发包人应负责提供施工所需要的条件，包括：</w:t>
      </w:r>
      <w:r>
        <w:rPr>
          <w:rFonts w:hint="eastAsia" w:ascii="宋体" w:hAnsi="宋体" w:eastAsia="宋体" w:cs="宋体"/>
          <w:sz w:val="21"/>
          <w:szCs w:val="21"/>
          <w:highlight w:val="none"/>
        </w:rPr>
        <w:t>施工所需的水、电、电讯线路、道路均已提供，相关费用由承包人承担</w:t>
      </w:r>
      <w:r>
        <w:rPr>
          <w:rFonts w:hint="eastAsia" w:ascii="宋体" w:hAnsi="宋体" w:eastAsia="宋体" w:cs="宋体"/>
          <w:b/>
          <w:color w:val="000000"/>
          <w:kern w:val="2"/>
          <w:sz w:val="21"/>
          <w:szCs w:val="21"/>
          <w:highlight w:val="none"/>
        </w:rPr>
        <w:t>。</w:t>
      </w:r>
    </w:p>
    <w:p w14:paraId="660EDF70">
      <w:pPr>
        <w:pStyle w:val="22"/>
        <w:ind w:firstLine="420" w:firstLineChars="200"/>
        <w:rPr>
          <w:rFonts w:hint="eastAsia" w:ascii="宋体" w:hAnsi="宋体" w:eastAsia="宋体" w:cs="宋体"/>
          <w:b/>
          <w:sz w:val="21"/>
          <w:szCs w:val="21"/>
          <w:highlight w:val="none"/>
        </w:rPr>
      </w:pPr>
      <w:bookmarkStart w:id="209" w:name="_Toc351203635"/>
      <w:r>
        <w:rPr>
          <w:rFonts w:hint="eastAsia" w:ascii="宋体" w:hAnsi="宋体" w:eastAsia="宋体" w:cs="宋体"/>
          <w:sz w:val="21"/>
          <w:szCs w:val="21"/>
          <w:highlight w:val="none"/>
        </w:rPr>
        <w:t>3</w:t>
      </w:r>
      <w:bookmarkStart w:id="210" w:name="_Toc297048344"/>
      <w:bookmarkStart w:id="211" w:name="_Toc296944497"/>
      <w:bookmarkStart w:id="212" w:name="_Toc297120458"/>
      <w:bookmarkStart w:id="213" w:name="_Toc296503158"/>
      <w:bookmarkStart w:id="214" w:name="_Toc292559363"/>
      <w:bookmarkStart w:id="215" w:name="_Toc292559868"/>
      <w:bookmarkStart w:id="216" w:name="_Toc296891198"/>
      <w:bookmarkStart w:id="217" w:name="_Toc296890986"/>
      <w:bookmarkStart w:id="218" w:name="_Toc296347157"/>
      <w:bookmarkStart w:id="219" w:name="_Toc296346659"/>
      <w:r>
        <w:rPr>
          <w:rFonts w:hint="eastAsia" w:ascii="宋体" w:hAnsi="宋体" w:eastAsia="宋体" w:cs="宋体"/>
          <w:sz w:val="21"/>
          <w:szCs w:val="21"/>
          <w:highlight w:val="none"/>
        </w:rPr>
        <w:t>. 承包人</w:t>
      </w:r>
      <w:bookmarkEnd w:id="209"/>
    </w:p>
    <w:bookmarkEnd w:id="210"/>
    <w:bookmarkEnd w:id="211"/>
    <w:bookmarkEnd w:id="212"/>
    <w:bookmarkEnd w:id="213"/>
    <w:bookmarkEnd w:id="214"/>
    <w:bookmarkEnd w:id="215"/>
    <w:bookmarkEnd w:id="216"/>
    <w:bookmarkEnd w:id="217"/>
    <w:bookmarkEnd w:id="218"/>
    <w:bookmarkEnd w:id="219"/>
    <w:p w14:paraId="72CC3FA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3.1 承包人的一般义务:</w:t>
      </w:r>
      <w:r>
        <w:rPr>
          <w:rFonts w:hint="eastAsia" w:ascii="宋体" w:hAnsi="宋体" w:eastAsia="宋体" w:cs="宋体"/>
          <w:b/>
          <w:sz w:val="21"/>
          <w:szCs w:val="21"/>
          <w:highlight w:val="none"/>
          <w:u w:val="single"/>
        </w:rPr>
        <w:t>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441D11D">
      <w:pPr>
        <w:pStyle w:val="22"/>
        <w:ind w:firstLine="420" w:firstLineChars="200"/>
        <w:rPr>
          <w:rFonts w:hint="eastAsia" w:ascii="宋体" w:hAnsi="宋体" w:eastAsia="宋体" w:cs="宋体"/>
          <w:sz w:val="21"/>
          <w:szCs w:val="21"/>
          <w:highlight w:val="none"/>
          <w:u w:color="000000"/>
        </w:rPr>
      </w:pPr>
      <w:r>
        <w:rPr>
          <w:rFonts w:hint="eastAsia" w:ascii="宋体" w:hAnsi="宋体" w:eastAsia="宋体" w:cs="宋体"/>
          <w:color w:val="000000"/>
          <w:sz w:val="21"/>
          <w:szCs w:val="21"/>
          <w:highlight w:val="none"/>
        </w:rPr>
        <w:t>承包人提交的竣工资料的内容：</w:t>
      </w:r>
      <w:r>
        <w:rPr>
          <w:rFonts w:hint="eastAsia" w:ascii="宋体" w:hAnsi="宋体" w:eastAsia="宋体" w:cs="宋体"/>
          <w:sz w:val="21"/>
          <w:szCs w:val="21"/>
          <w:highlight w:val="none"/>
          <w:u w:color="000000"/>
        </w:rPr>
        <w:t>提供符合要求的竣工图及竣工资料</w:t>
      </w:r>
    </w:p>
    <w:p w14:paraId="76EBA4AE">
      <w:pPr>
        <w:ind w:firstLine="422"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u w:val="single"/>
        </w:rPr>
        <w:t>书面正式验收申请并提供竣工图纸、文字资料和工程照片</w:t>
      </w:r>
      <w:r>
        <w:rPr>
          <w:rFonts w:hint="eastAsia" w:ascii="宋体" w:hAnsi="宋体" w:eastAsia="宋体" w:cs="宋体"/>
          <w:color w:val="000000"/>
          <w:sz w:val="21"/>
          <w:szCs w:val="21"/>
          <w:highlight w:val="none"/>
        </w:rPr>
        <w:t>。</w:t>
      </w:r>
    </w:p>
    <w:p w14:paraId="1A2DB472">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承包人需要提交的竣工资料套数：</w:t>
      </w:r>
      <w:r>
        <w:rPr>
          <w:rFonts w:hint="eastAsia" w:ascii="宋体" w:hAnsi="宋体" w:eastAsia="宋体" w:cs="宋体"/>
          <w:b/>
          <w:sz w:val="21"/>
          <w:szCs w:val="21"/>
          <w:highlight w:val="none"/>
          <w:u w:val="single" w:color="000000"/>
        </w:rPr>
        <w:t>3套</w:t>
      </w:r>
      <w:r>
        <w:rPr>
          <w:rFonts w:hint="eastAsia" w:ascii="宋体" w:hAnsi="宋体" w:eastAsia="宋体" w:cs="宋体"/>
          <w:color w:val="000000"/>
          <w:sz w:val="21"/>
          <w:szCs w:val="21"/>
          <w:highlight w:val="none"/>
        </w:rPr>
        <w:t>。</w:t>
      </w:r>
    </w:p>
    <w:p w14:paraId="35264367">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承包人提交的竣工资料的费用承担：</w:t>
      </w:r>
      <w:r>
        <w:rPr>
          <w:rFonts w:hint="eastAsia" w:ascii="宋体" w:hAnsi="宋体" w:eastAsia="宋体" w:cs="宋体"/>
          <w:b/>
          <w:color w:val="000000"/>
          <w:sz w:val="21"/>
          <w:szCs w:val="21"/>
          <w:highlight w:val="none"/>
          <w:u w:val="single"/>
        </w:rPr>
        <w:t>承包人承担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AAE54D0">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承包人提交的竣工资料移交时间：</w:t>
      </w:r>
      <w:r>
        <w:rPr>
          <w:rFonts w:hint="eastAsia" w:ascii="宋体" w:hAnsi="宋体" w:eastAsia="宋体" w:cs="宋体"/>
          <w:b/>
          <w:sz w:val="21"/>
          <w:szCs w:val="21"/>
          <w:highlight w:val="none"/>
          <w:u w:val="single" w:color="000000"/>
        </w:rPr>
        <w:t>本工程验收前7日内</w:t>
      </w:r>
      <w:r>
        <w:rPr>
          <w:rFonts w:hint="eastAsia" w:ascii="宋体" w:hAnsi="宋体" w:eastAsia="宋体" w:cs="宋体"/>
          <w:color w:val="000000"/>
          <w:sz w:val="21"/>
          <w:szCs w:val="21"/>
          <w:highlight w:val="none"/>
        </w:rPr>
        <w:t>。</w:t>
      </w:r>
    </w:p>
    <w:p w14:paraId="67244B54">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承包人提交的竣工资料形式要求：</w:t>
      </w:r>
      <w:r>
        <w:rPr>
          <w:rFonts w:hint="eastAsia" w:ascii="宋体" w:hAnsi="宋体" w:eastAsia="宋体" w:cs="宋体"/>
          <w:b/>
          <w:color w:val="000000"/>
          <w:sz w:val="21"/>
          <w:szCs w:val="21"/>
          <w:highlight w:val="none"/>
          <w:u w:val="single"/>
        </w:rPr>
        <w:t>书面及电子文档</w:t>
      </w:r>
      <w:r>
        <w:rPr>
          <w:rFonts w:hint="eastAsia" w:ascii="宋体" w:hAnsi="宋体" w:eastAsia="宋体" w:cs="宋体"/>
          <w:color w:val="000000"/>
          <w:sz w:val="21"/>
          <w:szCs w:val="21"/>
          <w:highlight w:val="none"/>
        </w:rPr>
        <w:t>。</w:t>
      </w:r>
    </w:p>
    <w:p w14:paraId="02795FCD">
      <w:pPr>
        <w:pStyle w:val="223"/>
        <w:spacing w:before="0" w:after="0"/>
        <w:ind w:left="0" w:right="0" w:firstLine="420" w:firstLineChars="20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承包人应履行的其他义务：</w:t>
      </w:r>
      <w:r>
        <w:rPr>
          <w:rFonts w:hint="eastAsia" w:ascii="宋体" w:hAnsi="宋体" w:eastAsia="宋体" w:cs="宋体"/>
          <w:b/>
          <w:color w:val="000000"/>
          <w:sz w:val="21"/>
          <w:szCs w:val="21"/>
          <w:highlight w:val="none"/>
        </w:rPr>
        <w:t>承包人应按建筑行政管理部门和相关部门的要求，设置护板、围栏等设施，以保护公共安全，费用自理。杜绝重大人身伤亡及设备事故，如有发生，损失由责任方承担。由承包人负责重要地段、路口道路畅通，处理好与周边居民的关系，并承担费用及与此相关的所有责任。施工场地周围地下管线和邻近建筑物、构筑物（含文物保护建筑）、古树名木的保护均由承包人负责，费用承包人自理，因调查不详造成防护不当的责任和损失由承包人负责。承包人负责施工用水、电、通讯、道路等设施日常维护工作，以确保施工正常安全进行，费用自理。</w:t>
      </w:r>
    </w:p>
    <w:p w14:paraId="2224CB0C">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3.2 项目经理</w:t>
      </w:r>
    </w:p>
    <w:p w14:paraId="58CB8C4B">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 xml:space="preserve">3.2.1 </w:t>
      </w:r>
      <w:r>
        <w:rPr>
          <w:rFonts w:hint="eastAsia" w:ascii="宋体" w:hAnsi="宋体" w:eastAsia="宋体" w:cs="宋体"/>
          <w:color w:val="000000"/>
          <w:sz w:val="21"/>
          <w:szCs w:val="21"/>
          <w:highlight w:val="none"/>
        </w:rPr>
        <w:t>项目经理：</w:t>
      </w:r>
    </w:p>
    <w:p w14:paraId="10A8B72D">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w:t>
      </w:r>
    </w:p>
    <w:p w14:paraId="02D125E7">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8604324">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92D37D6">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56D55D">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承包人对项目经理的授权范围如下：</w:t>
      </w:r>
      <w:r>
        <w:rPr>
          <w:rFonts w:hint="eastAsia" w:ascii="宋体" w:hAnsi="宋体" w:eastAsia="宋体" w:cs="宋体"/>
          <w:b/>
          <w:color w:val="000000"/>
          <w:sz w:val="21"/>
          <w:szCs w:val="21"/>
          <w:highlight w:val="none"/>
          <w:u w:val="single"/>
        </w:rPr>
        <w:t>全权处理本项目的一切事务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C563CF8">
      <w:pPr>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关于项目经理每月在施工现场的时间要求：</w:t>
      </w:r>
      <w:r>
        <w:rPr>
          <w:rFonts w:hint="eastAsia" w:ascii="宋体" w:hAnsi="宋体" w:eastAsia="宋体" w:cs="宋体"/>
          <w:b/>
          <w:sz w:val="21"/>
          <w:szCs w:val="21"/>
          <w:highlight w:val="none"/>
          <w:u w:val="single" w:color="000000"/>
        </w:rPr>
        <w:t>开工之日起到竣工结束，项目经理每周至少5日，每天必须不少于8小时在现场组织施工。</w:t>
      </w:r>
    </w:p>
    <w:p w14:paraId="65022C92">
      <w:pPr>
        <w:ind w:firstLine="420" w:firstLineChars="2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承包人未提交劳动合同，以及没有为项目经理缴纳社会保险证明的违约责任：</w:t>
      </w:r>
      <w:r>
        <w:rPr>
          <w:rFonts w:hint="eastAsia" w:ascii="宋体" w:hAnsi="宋体" w:eastAsia="宋体" w:cs="宋体"/>
          <w:b/>
          <w:sz w:val="21"/>
          <w:szCs w:val="21"/>
          <w:highlight w:val="none"/>
          <w:u w:val="single" w:color="000000"/>
        </w:rPr>
        <w:t>责令限期提交劳动合同并补缴社会保险</w:t>
      </w:r>
      <w:r>
        <w:rPr>
          <w:rFonts w:hint="eastAsia" w:ascii="宋体" w:hAnsi="宋体" w:eastAsia="宋体" w:cs="宋体"/>
          <w:color w:val="000000"/>
          <w:sz w:val="21"/>
          <w:szCs w:val="21"/>
          <w:highlight w:val="none"/>
        </w:rPr>
        <w:t>。</w:t>
      </w:r>
    </w:p>
    <w:p w14:paraId="4892BB09">
      <w:pPr>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项目经理未经批准，擅自离开施工现场的违约责任：</w:t>
      </w:r>
      <w:r>
        <w:rPr>
          <w:rFonts w:hint="eastAsia" w:ascii="宋体" w:hAnsi="宋体" w:eastAsia="宋体" w:cs="宋体"/>
          <w:b/>
          <w:sz w:val="21"/>
          <w:szCs w:val="21"/>
          <w:highlight w:val="none"/>
          <w:u w:val="single" w:color="000000"/>
        </w:rPr>
        <w:t>发包人有权要求承包人承担1000元/天的违约金。</w:t>
      </w:r>
    </w:p>
    <w:p w14:paraId="529A8277">
      <w:pPr>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3.2.2 承包人擅自更换项目经理的违约责任：</w:t>
      </w:r>
      <w:r>
        <w:rPr>
          <w:rFonts w:hint="eastAsia" w:ascii="宋体" w:hAnsi="宋体" w:eastAsia="宋体" w:cs="宋体"/>
          <w:b/>
          <w:sz w:val="21"/>
          <w:szCs w:val="21"/>
          <w:highlight w:val="none"/>
          <w:u w:val="single"/>
        </w:rPr>
        <w:t>承包人在投标书中承诺的项目经理必须到位，无论任何原因，不得擅自更换项目经理，承包人提出更换时，须经发包人和监理工程师书面同意，且每更换一次需先提交1万元的违约金后予以更换 。</w:t>
      </w:r>
    </w:p>
    <w:p w14:paraId="455467BB">
      <w:pPr>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3.2.3 承包人无正当理由拒绝更换项目经理的违约责任：</w:t>
      </w:r>
      <w:r>
        <w:rPr>
          <w:rFonts w:hint="eastAsia" w:ascii="宋体" w:hAnsi="宋体" w:eastAsia="宋体" w:cs="宋体"/>
          <w:b/>
          <w:sz w:val="21"/>
          <w:szCs w:val="21"/>
          <w:highlight w:val="none"/>
          <w:u w:val="single"/>
        </w:rPr>
        <w:t>在施工过程中未经发包人同意不得在其他项目工地兼职、更换。对不称职的项目经理，发包人有权要求承包人更换，承包人必须在3日内更换。承包人如未按时更换，须向发包人交纳1万元/人（天）的违约金</w:t>
      </w:r>
      <w:r>
        <w:rPr>
          <w:rFonts w:hint="eastAsia" w:ascii="宋体" w:hAnsi="宋体" w:eastAsia="宋体" w:cs="宋体"/>
          <w:color w:val="000000"/>
          <w:sz w:val="21"/>
          <w:szCs w:val="21"/>
          <w:highlight w:val="none"/>
        </w:rPr>
        <w:t>。</w:t>
      </w:r>
    </w:p>
    <w:p w14:paraId="0FD49896">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3.3 承包人人员</w:t>
      </w:r>
    </w:p>
    <w:p w14:paraId="789CF641">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3.3.1 承包人提交项目管理机构及施工现场管理人员安排报告的期限：</w:t>
      </w:r>
      <w:r>
        <w:rPr>
          <w:rFonts w:hint="eastAsia" w:ascii="宋体" w:hAnsi="宋体" w:eastAsia="宋体" w:cs="宋体"/>
          <w:b/>
          <w:color w:val="000000"/>
          <w:sz w:val="21"/>
          <w:szCs w:val="21"/>
          <w:highlight w:val="none"/>
          <w:u w:val="single"/>
        </w:rPr>
        <w:t>开工前2天内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3E35EE46">
      <w:pPr>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3.3.2 承包人无正当理由拒绝撤换主要施工管理人员的违约责任：</w:t>
      </w:r>
      <w:r>
        <w:rPr>
          <w:rFonts w:hint="eastAsia" w:ascii="宋体" w:hAnsi="宋体" w:eastAsia="宋体" w:cs="宋体"/>
          <w:b/>
          <w:sz w:val="21"/>
          <w:szCs w:val="21"/>
          <w:highlight w:val="none"/>
          <w:u w:val="single" w:color="000000"/>
        </w:rPr>
        <w:t>发包人有权要求承包人承担3000元/人的违约金。并有权解除合同并责令承包人退场，由此产生的一切损失及后果由承包人承担</w:t>
      </w:r>
      <w:r>
        <w:rPr>
          <w:rFonts w:hint="eastAsia" w:ascii="宋体" w:hAnsi="宋体" w:eastAsia="宋体" w:cs="宋体"/>
          <w:color w:val="000000"/>
          <w:sz w:val="21"/>
          <w:szCs w:val="21"/>
          <w:highlight w:val="none"/>
        </w:rPr>
        <w:t>。</w:t>
      </w:r>
    </w:p>
    <w:p w14:paraId="15E0C342">
      <w:pPr>
        <w:ind w:firstLine="420" w:firstLineChars="200"/>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3.3.3 承包人主要施工管理人员离开施工现场的批准要求：</w:t>
      </w:r>
      <w:r>
        <w:rPr>
          <w:rFonts w:hint="eastAsia" w:ascii="宋体" w:hAnsi="宋体" w:eastAsia="宋体" w:cs="宋体"/>
          <w:b/>
          <w:color w:val="000000"/>
          <w:sz w:val="21"/>
          <w:szCs w:val="21"/>
          <w:highlight w:val="none"/>
          <w:u w:val="single"/>
        </w:rPr>
        <w:t xml:space="preserve"> 由总监理工程师批准，发包人认可方可离开 。</w:t>
      </w:r>
    </w:p>
    <w:p w14:paraId="7FA94375">
      <w:pPr>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3.3.4承包人擅自更换主要施工管理人员的违约责任：</w:t>
      </w:r>
      <w:r>
        <w:rPr>
          <w:rFonts w:hint="eastAsia" w:ascii="宋体" w:hAnsi="宋体" w:eastAsia="宋体" w:cs="宋体"/>
          <w:b/>
          <w:sz w:val="21"/>
          <w:szCs w:val="21"/>
          <w:highlight w:val="none"/>
          <w:u w:val="single" w:color="000000"/>
        </w:rPr>
        <w:t>发包人有权要求承包人承担3000元/人的违约金。并有权解除合同并责令承包人退场，由此产生的一切损失及后果由承包人承担</w:t>
      </w:r>
      <w:r>
        <w:rPr>
          <w:rFonts w:hint="eastAsia" w:ascii="宋体" w:hAnsi="宋体" w:eastAsia="宋体" w:cs="宋体"/>
          <w:color w:val="000000"/>
          <w:sz w:val="21"/>
          <w:szCs w:val="21"/>
          <w:highlight w:val="none"/>
        </w:rPr>
        <w:t>。</w:t>
      </w:r>
    </w:p>
    <w:p w14:paraId="59E320F1">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承包人主要施工管理人员擅自离开施工现场的违约责任：</w:t>
      </w:r>
      <w:r>
        <w:rPr>
          <w:rFonts w:hint="eastAsia" w:ascii="宋体" w:hAnsi="宋体" w:eastAsia="宋体" w:cs="宋体"/>
          <w:b/>
          <w:sz w:val="21"/>
          <w:szCs w:val="21"/>
          <w:highlight w:val="none"/>
          <w:u w:val="single" w:color="000000"/>
        </w:rPr>
        <w:t>承包人承担1000元/次的违约金</w:t>
      </w:r>
      <w:r>
        <w:rPr>
          <w:rFonts w:hint="eastAsia" w:ascii="宋体" w:hAnsi="宋体" w:eastAsia="宋体" w:cs="宋体"/>
          <w:color w:val="000000"/>
          <w:sz w:val="21"/>
          <w:szCs w:val="21"/>
          <w:highlight w:val="none"/>
        </w:rPr>
        <w:t>。</w:t>
      </w:r>
    </w:p>
    <w:p w14:paraId="138A5EC2">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bookmarkStart w:id="220" w:name="_Toc297216151"/>
      <w:bookmarkStart w:id="221" w:name="_Toc312677988"/>
      <w:bookmarkStart w:id="222" w:name="_Toc296891199"/>
      <w:bookmarkStart w:id="223" w:name="_Toc296346660"/>
      <w:bookmarkStart w:id="224" w:name="_Toc297123492"/>
      <w:bookmarkStart w:id="225" w:name="_Toc304295523"/>
      <w:bookmarkStart w:id="226" w:name="_Toc296347158"/>
      <w:bookmarkStart w:id="227" w:name="_Toc296503159"/>
      <w:bookmarkStart w:id="228" w:name="_Toc297120459"/>
      <w:bookmarkStart w:id="229" w:name="_Toc292559364"/>
      <w:bookmarkStart w:id="230" w:name="_Toc292559869"/>
      <w:bookmarkStart w:id="231" w:name="_Toc296890987"/>
      <w:bookmarkStart w:id="232" w:name="_Toc300934945"/>
      <w:bookmarkStart w:id="233" w:name="_Toc297048345"/>
      <w:bookmarkStart w:id="234" w:name="_Toc303539102"/>
      <w:bookmarkStart w:id="235" w:name="_Toc296944498"/>
      <w:r>
        <w:rPr>
          <w:rFonts w:hint="eastAsia" w:ascii="宋体" w:hAnsi="宋体" w:eastAsia="宋体" w:cs="宋体"/>
          <w:sz w:val="21"/>
          <w:szCs w:val="21"/>
          <w:highlight w:val="none"/>
        </w:rPr>
        <w:t>.4 分包</w:t>
      </w:r>
    </w:p>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14:paraId="210508E8">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bookmarkStart w:id="236" w:name="_Toc292559365"/>
      <w:bookmarkStart w:id="237" w:name="_Toc296503160"/>
      <w:bookmarkStart w:id="238" w:name="_Toc292559870"/>
      <w:bookmarkStart w:id="239" w:name="_Toc297048346"/>
      <w:bookmarkStart w:id="240" w:name="_Toc304295524"/>
      <w:bookmarkStart w:id="241" w:name="_Toc318581158"/>
      <w:bookmarkStart w:id="242" w:name="_Toc296891200"/>
      <w:bookmarkStart w:id="243" w:name="_Toc296347159"/>
      <w:bookmarkStart w:id="244" w:name="_Toc297123493"/>
      <w:bookmarkStart w:id="245" w:name="_Toc300934946"/>
      <w:bookmarkStart w:id="246" w:name="_Toc296890988"/>
      <w:bookmarkStart w:id="247" w:name="_Toc312677989"/>
      <w:bookmarkStart w:id="248" w:name="_Toc303539103"/>
      <w:bookmarkStart w:id="249" w:name="_Toc296944499"/>
      <w:bookmarkStart w:id="250" w:name="_Toc297120460"/>
      <w:bookmarkStart w:id="251" w:name="_Toc296346661"/>
      <w:bookmarkStart w:id="252" w:name="_Toc297216152"/>
      <w:r>
        <w:rPr>
          <w:rFonts w:hint="eastAsia" w:ascii="宋体" w:hAnsi="宋体" w:eastAsia="宋体" w:cs="宋体"/>
          <w:sz w:val="21"/>
          <w:szCs w:val="21"/>
          <w:highlight w:val="none"/>
        </w:rPr>
        <w:t>.4.1 分包的一般约定</w:t>
      </w:r>
    </w:p>
    <w:p w14:paraId="51CCA5E4">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b/>
          <w:color w:val="000000"/>
          <w:sz w:val="21"/>
          <w:szCs w:val="21"/>
          <w:highlight w:val="none"/>
          <w:u w:val="single"/>
        </w:rPr>
        <w:t xml:space="preserve">本工程不允许分包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14:paraId="45602A83">
      <w:pPr>
        <w:pStyle w:val="2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 工程照管与成品、半成品保护</w:t>
      </w:r>
    </w:p>
    <w:p w14:paraId="7619FEAD">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承包人负责照管工程及工程相关的材料、工程设备的起始时间：</w:t>
      </w:r>
      <w:r>
        <w:rPr>
          <w:rFonts w:hint="eastAsia" w:ascii="宋体" w:hAnsi="宋体" w:eastAsia="宋体" w:cs="宋体"/>
          <w:b/>
          <w:sz w:val="21"/>
          <w:szCs w:val="21"/>
          <w:highlight w:val="none"/>
          <w:u w:val="single"/>
        </w:rPr>
        <w:t>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CA19E9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3.6 履约担保</w:t>
      </w:r>
    </w:p>
    <w:p w14:paraId="39C20F60">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是</w:t>
      </w:r>
      <w:r>
        <w:rPr>
          <w:rFonts w:hint="eastAsia" w:ascii="宋体" w:hAnsi="宋体" w:eastAsia="宋体" w:cs="宋体"/>
          <w:sz w:val="21"/>
          <w:szCs w:val="21"/>
          <w:highlight w:val="none"/>
        </w:rPr>
        <w:t>。</w:t>
      </w:r>
    </w:p>
    <w:p w14:paraId="3DE02C87">
      <w:pPr>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承包人提供履约担保的形式、金额及期限的：</w:t>
      </w:r>
      <w:r>
        <w:rPr>
          <w:rFonts w:hint="eastAsia" w:ascii="宋体" w:hAnsi="宋体" w:eastAsia="宋体" w:cs="宋体"/>
          <w:sz w:val="21"/>
          <w:szCs w:val="21"/>
          <w:highlight w:val="none"/>
          <w:u w:val="single"/>
        </w:rPr>
        <w:t>合同总价款的履约担保金额为合同总额的</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%。履约担保方式：承包人以履约保证金方式在合同签订前向发包人提供履约担保，验收合格，正式交付使用后退还。</w:t>
      </w:r>
    </w:p>
    <w:p w14:paraId="592B5C22">
      <w:pPr>
        <w:pStyle w:val="22"/>
        <w:ind w:firstLine="420" w:firstLineChars="200"/>
        <w:rPr>
          <w:rFonts w:hint="eastAsia" w:ascii="宋体" w:hAnsi="宋体" w:eastAsia="宋体" w:cs="宋体"/>
          <w:b/>
          <w:sz w:val="21"/>
          <w:szCs w:val="21"/>
          <w:highlight w:val="none"/>
        </w:rPr>
      </w:pPr>
      <w:bookmarkStart w:id="253" w:name="_Toc351203636"/>
      <w:r>
        <w:rPr>
          <w:rFonts w:hint="eastAsia" w:ascii="宋体" w:hAnsi="宋体" w:eastAsia="宋体" w:cs="宋体"/>
          <w:sz w:val="21"/>
          <w:szCs w:val="21"/>
          <w:highlight w:val="none"/>
        </w:rPr>
        <w:t>4</w:t>
      </w:r>
      <w:bookmarkStart w:id="254" w:name="_Toc292559871"/>
      <w:bookmarkStart w:id="255" w:name="_Toc296347161"/>
      <w:bookmarkStart w:id="256" w:name="_Toc296891202"/>
      <w:bookmarkStart w:id="257" w:name="_Toc297048348"/>
      <w:bookmarkStart w:id="258" w:name="_Toc296503162"/>
      <w:bookmarkStart w:id="259" w:name="_Toc297120462"/>
      <w:bookmarkStart w:id="260" w:name="_Toc267251413"/>
      <w:bookmarkStart w:id="261" w:name="_Toc296944501"/>
      <w:bookmarkStart w:id="262" w:name="_Toc292559366"/>
      <w:bookmarkStart w:id="263" w:name="_Toc296346663"/>
      <w:bookmarkStart w:id="264" w:name="_Toc296890990"/>
      <w:r>
        <w:rPr>
          <w:rFonts w:hint="eastAsia" w:ascii="宋体" w:hAnsi="宋体" w:eastAsia="宋体" w:cs="宋体"/>
          <w:sz w:val="21"/>
          <w:szCs w:val="21"/>
          <w:highlight w:val="none"/>
        </w:rPr>
        <w:t>. 监</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sz w:val="21"/>
          <w:szCs w:val="21"/>
          <w:highlight w:val="none"/>
        </w:rPr>
        <w:t>理人</w:t>
      </w:r>
      <w:bookmarkEnd w:id="253"/>
    </w:p>
    <w:p w14:paraId="1BC84D22">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4.1监理人的一般规定</w:t>
      </w:r>
    </w:p>
    <w:p w14:paraId="0A1181E6">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关于监理人的监理内容：</w:t>
      </w:r>
      <w:r>
        <w:rPr>
          <w:rFonts w:hint="eastAsia" w:ascii="宋体" w:hAnsi="宋体" w:eastAsia="宋体" w:cs="宋体"/>
          <w:b/>
          <w:color w:val="000000"/>
          <w:sz w:val="21"/>
          <w:szCs w:val="21"/>
          <w:highlight w:val="none"/>
          <w:u w:val="single"/>
        </w:rPr>
        <w:t>见监理合同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6ECF0341">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关于监理人的监理权限：</w:t>
      </w:r>
      <w:r>
        <w:rPr>
          <w:rFonts w:hint="eastAsia" w:ascii="宋体" w:hAnsi="宋体" w:eastAsia="宋体" w:cs="宋体"/>
          <w:b/>
          <w:color w:val="000000"/>
          <w:sz w:val="21"/>
          <w:szCs w:val="21"/>
          <w:highlight w:val="none"/>
          <w:u w:val="single"/>
        </w:rPr>
        <w:t>见监理合同</w:t>
      </w:r>
      <w:r>
        <w:rPr>
          <w:rFonts w:hint="eastAsia" w:ascii="宋体" w:hAnsi="宋体" w:eastAsia="宋体" w:cs="宋体"/>
          <w:color w:val="000000"/>
          <w:sz w:val="21"/>
          <w:szCs w:val="21"/>
          <w:highlight w:val="none"/>
          <w:u w:val="single"/>
        </w:rPr>
        <w:t>。</w:t>
      </w:r>
      <w:r>
        <w:rPr>
          <w:rFonts w:hint="eastAsia" w:ascii="宋体" w:hAnsi="宋体" w:eastAsia="宋体" w:cs="宋体"/>
          <w:b/>
          <w:kern w:val="0"/>
          <w:sz w:val="21"/>
          <w:szCs w:val="21"/>
          <w:highlight w:val="none"/>
          <w:u w:val="single"/>
        </w:rPr>
        <w:t>凡涉及工程价款及工期调整的，须经发包人书面确认后方为有效。</w:t>
      </w:r>
      <w:r>
        <w:rPr>
          <w:rFonts w:hint="eastAsia" w:ascii="宋体" w:hAnsi="宋体" w:eastAsia="宋体" w:cs="宋体"/>
          <w:color w:val="000000"/>
          <w:sz w:val="21"/>
          <w:szCs w:val="21"/>
          <w:highlight w:val="none"/>
        </w:rPr>
        <w:t xml:space="preserve"> </w:t>
      </w:r>
    </w:p>
    <w:p w14:paraId="48777D7B">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关于监理人在施工现场的办公场所、生活场所的提供和费用承担的约定：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由承包人承担。</w:t>
      </w:r>
    </w:p>
    <w:p w14:paraId="61579DA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4.2 监理人员</w:t>
      </w:r>
    </w:p>
    <w:p w14:paraId="4479934D">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总监理工程师：</w:t>
      </w:r>
    </w:p>
    <w:p w14:paraId="25C4E15E">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    名：</w:t>
      </w:r>
      <w:r>
        <w:rPr>
          <w:rFonts w:hint="eastAsia" w:ascii="宋体" w:hAnsi="宋体" w:eastAsia="宋体" w:cs="宋体"/>
          <w:color w:val="000000"/>
          <w:sz w:val="21"/>
          <w:szCs w:val="21"/>
          <w:highlight w:val="none"/>
          <w:u w:val="single"/>
        </w:rPr>
        <w:t></w:t>
      </w:r>
      <w:r>
        <w:rPr>
          <w:rFonts w:hint="eastAsia" w:ascii="宋体" w:hAnsi="宋体" w:eastAsia="宋体" w:cs="宋体"/>
          <w:b/>
          <w:kern w:val="0"/>
          <w:sz w:val="21"/>
          <w:szCs w:val="21"/>
          <w:highlight w:val="none"/>
          <w:u w:val="single"/>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rPr>
        <w:t>；</w:t>
      </w:r>
    </w:p>
    <w:p w14:paraId="6E7E1DC5">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    务：</w:t>
      </w:r>
      <w:r>
        <w:rPr>
          <w:rFonts w:hint="eastAsia" w:ascii="宋体" w:hAnsi="宋体" w:eastAsia="宋体" w:cs="宋体"/>
          <w:color w:val="000000"/>
          <w:sz w:val="21"/>
          <w:szCs w:val="21"/>
          <w:highlight w:val="none"/>
          <w:u w:val="single"/>
        </w:rPr>
        <w:t></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rPr>
        <w:t>；</w:t>
      </w:r>
    </w:p>
    <w:p w14:paraId="67614B61">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监理工程师执业资格证书号：</w:t>
      </w:r>
      <w:r>
        <w:rPr>
          <w:rFonts w:hint="eastAsia" w:ascii="宋体" w:hAnsi="宋体" w:eastAsia="宋体" w:cs="宋体"/>
          <w:color w:val="000000"/>
          <w:sz w:val="21"/>
          <w:szCs w:val="21"/>
          <w:highlight w:val="none"/>
          <w:u w:val="single"/>
        </w:rPr>
        <w:t></w:t>
      </w:r>
      <w:r>
        <w:rPr>
          <w:rFonts w:hint="eastAsia" w:ascii="宋体" w:hAnsi="宋体" w:eastAsia="宋体" w:cs="宋体"/>
          <w:b/>
          <w:kern w:val="0"/>
          <w:sz w:val="21"/>
          <w:szCs w:val="21"/>
          <w:highlight w:val="none"/>
          <w:u w:val="single"/>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rPr>
        <w:t>；</w:t>
      </w:r>
    </w:p>
    <w:p w14:paraId="009438D7">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rPr>
        <w:t>；</w:t>
      </w:r>
    </w:p>
    <w:p w14:paraId="3EDAFA25">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关于监理人的其他约定：</w:t>
      </w:r>
      <w:r>
        <w:rPr>
          <w:rFonts w:hint="eastAsia" w:ascii="宋体" w:hAnsi="宋体" w:eastAsia="宋体" w:cs="宋体"/>
          <w:color w:val="000000"/>
          <w:sz w:val="21"/>
          <w:szCs w:val="21"/>
          <w:highlight w:val="none"/>
          <w:u w:val="single"/>
        </w:rPr>
        <w:t></w:t>
      </w:r>
      <w:r>
        <w:rPr>
          <w:rFonts w:hint="eastAsia" w:ascii="宋体" w:hAnsi="宋体" w:eastAsia="宋体" w:cs="宋体"/>
          <w:b/>
          <w:kern w:val="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b/>
          <w:kern w:val="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57EB92E5">
      <w:pPr>
        <w:pStyle w:val="22"/>
        <w:ind w:firstLine="420" w:firstLineChars="200"/>
        <w:rPr>
          <w:rFonts w:hint="eastAsia" w:ascii="宋体" w:hAnsi="宋体" w:eastAsia="宋体" w:cs="宋体"/>
          <w:b/>
          <w:sz w:val="21"/>
          <w:szCs w:val="21"/>
          <w:highlight w:val="none"/>
        </w:rPr>
      </w:pPr>
      <w:bookmarkStart w:id="265" w:name="_Toc267251418"/>
      <w:bookmarkStart w:id="266" w:name="_Toc351203637"/>
      <w:r>
        <w:rPr>
          <w:rFonts w:hint="eastAsia" w:ascii="宋体" w:hAnsi="宋体" w:eastAsia="宋体" w:cs="宋体"/>
          <w:sz w:val="21"/>
          <w:szCs w:val="21"/>
          <w:highlight w:val="none"/>
        </w:rPr>
        <w:t>5</w:t>
      </w:r>
      <w:bookmarkEnd w:id="265"/>
      <w:bookmarkStart w:id="267" w:name="_Toc296890991"/>
      <w:bookmarkStart w:id="268" w:name="_Toc297048349"/>
      <w:bookmarkStart w:id="269" w:name="_Toc296944502"/>
      <w:bookmarkStart w:id="270" w:name="_Toc297120463"/>
      <w:bookmarkStart w:id="271" w:name="_Toc292559367"/>
      <w:bookmarkStart w:id="272" w:name="_Toc296891203"/>
      <w:bookmarkStart w:id="273" w:name="_Toc292559872"/>
      <w:bookmarkStart w:id="274" w:name="_Toc296503163"/>
      <w:bookmarkStart w:id="275" w:name="_Toc296346664"/>
      <w:bookmarkStart w:id="276" w:name="_Toc296347162"/>
      <w:r>
        <w:rPr>
          <w:rFonts w:hint="eastAsia" w:ascii="宋体" w:hAnsi="宋体" w:eastAsia="宋体" w:cs="宋体"/>
          <w:sz w:val="21"/>
          <w:szCs w:val="21"/>
          <w:highlight w:val="none"/>
        </w:rPr>
        <w:t>. 工程质量</w:t>
      </w:r>
      <w:bookmarkEnd w:id="266"/>
    </w:p>
    <w:p w14:paraId="37B6FD74">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5.1 质量要求</w:t>
      </w:r>
    </w:p>
    <w:p w14:paraId="70982F1A">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w:t>
      </w:r>
      <w:bookmarkStart w:id="277" w:name="_Toc297216155"/>
      <w:bookmarkStart w:id="278" w:name="_Toc304295527"/>
      <w:bookmarkStart w:id="279" w:name="_Toc300934949"/>
      <w:bookmarkStart w:id="280" w:name="_Toc297123496"/>
      <w:bookmarkStart w:id="281" w:name="_Toc318581164"/>
      <w:bookmarkStart w:id="282" w:name="_Toc312677997"/>
      <w:bookmarkStart w:id="283" w:name="_Toc303539106"/>
      <w:r>
        <w:rPr>
          <w:rFonts w:hint="eastAsia" w:ascii="宋体" w:hAnsi="宋体" w:eastAsia="宋体" w:cs="宋体"/>
          <w:sz w:val="21"/>
          <w:szCs w:val="21"/>
          <w:highlight w:val="none"/>
        </w:rPr>
        <w:t>.1.1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合格，因承包人原因所承包工程未能达到其所投报质量标准等级视为违约：扣罚合同总金额的2.5%，并由承包人负责采取返工、返修或其他弥补措施，由此引起的工期延误及费用由承包人承担；如果经采取措施加以弥补后仍不能达到质量标准时，扣罚合同总金额的5%，并承担修复所发生的全部费用。</w:t>
      </w:r>
    </w:p>
    <w:p w14:paraId="004B1A93">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5.2 隐蔽工程检查</w:t>
      </w:r>
    </w:p>
    <w:p w14:paraId="4A950118">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5.2.1承包人提前通知监理人隐蔽工程检查的期限的约定：</w:t>
      </w:r>
      <w:r>
        <w:rPr>
          <w:rFonts w:hint="eastAsia" w:ascii="宋体" w:hAnsi="宋体" w:eastAsia="宋体" w:cs="宋体"/>
          <w:b/>
          <w:color w:val="000000"/>
          <w:sz w:val="21"/>
          <w:szCs w:val="21"/>
          <w:highlight w:val="none"/>
          <w:u w:val="single"/>
        </w:rPr>
        <w:t>共同检查前48小时书面通知监理人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AA21631">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12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小时提交书面延期要求。</w:t>
      </w:r>
    </w:p>
    <w:p w14:paraId="43408AD1">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24</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小时。</w:t>
      </w:r>
    </w:p>
    <w:p w14:paraId="330F784F">
      <w:pPr>
        <w:ind w:firstLine="422" w:firstLineChars="200"/>
        <w:jc w:val="left"/>
        <w:rPr>
          <w:rFonts w:hint="eastAsia" w:ascii="宋体" w:hAnsi="宋体" w:eastAsia="宋体" w:cs="宋体"/>
          <w:sz w:val="21"/>
          <w:szCs w:val="21"/>
          <w:highlight w:val="none"/>
        </w:rPr>
      </w:pPr>
      <w:r>
        <w:rPr>
          <w:rFonts w:hint="eastAsia" w:ascii="宋体" w:hAnsi="宋体" w:eastAsia="宋体" w:cs="宋体"/>
          <w:b/>
          <w:color w:val="000000"/>
          <w:kern w:val="0"/>
          <w:sz w:val="21"/>
          <w:szCs w:val="21"/>
          <w:highlight w:val="none"/>
          <w:u w:val="single"/>
        </w:rPr>
        <w:t>未尽事宜按通用条款执行</w:t>
      </w:r>
      <w:r>
        <w:rPr>
          <w:rFonts w:hint="eastAsia" w:ascii="宋体" w:hAnsi="宋体" w:eastAsia="宋体" w:cs="宋体"/>
          <w:sz w:val="21"/>
          <w:szCs w:val="21"/>
          <w:highlight w:val="none"/>
        </w:rPr>
        <w:t>。</w:t>
      </w:r>
    </w:p>
    <w:p w14:paraId="45DC7177">
      <w:pPr>
        <w:pStyle w:val="22"/>
        <w:ind w:firstLine="420" w:firstLineChars="200"/>
        <w:rPr>
          <w:rFonts w:hint="eastAsia" w:ascii="宋体" w:hAnsi="宋体" w:eastAsia="宋体" w:cs="宋体"/>
          <w:b/>
          <w:sz w:val="21"/>
          <w:szCs w:val="21"/>
          <w:highlight w:val="none"/>
        </w:rPr>
      </w:pPr>
      <w:bookmarkStart w:id="284" w:name="_Toc351203638"/>
      <w:r>
        <w:rPr>
          <w:rFonts w:hint="eastAsia" w:ascii="宋体" w:hAnsi="宋体" w:eastAsia="宋体" w:cs="宋体"/>
          <w:sz w:val="21"/>
          <w:szCs w:val="21"/>
          <w:highlight w:val="none"/>
        </w:rPr>
        <w:t>6. 安全文明施工与环境保护</w:t>
      </w:r>
      <w:bookmarkEnd w:id="284"/>
    </w:p>
    <w:p w14:paraId="6972BF71">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6.1安全文明施工</w:t>
      </w:r>
    </w:p>
    <w:p w14:paraId="46A644F4">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6.1.1</w:t>
      </w:r>
      <w:r>
        <w:rPr>
          <w:rFonts w:hint="eastAsia" w:ascii="宋体" w:hAnsi="宋体" w:eastAsia="宋体" w:cs="宋体"/>
          <w:color w:val="000000"/>
          <w:sz w:val="21"/>
          <w:szCs w:val="21"/>
          <w:highlight w:val="none"/>
        </w:rPr>
        <w:t xml:space="preserve"> 项目安全生产的达标目标及相应事项的约定：</w:t>
      </w:r>
      <w:r>
        <w:rPr>
          <w:rFonts w:hint="eastAsia" w:ascii="宋体" w:hAnsi="宋体" w:eastAsia="宋体" w:cs="宋体"/>
          <w:sz w:val="21"/>
          <w:szCs w:val="21"/>
          <w:highlight w:val="none"/>
          <w:u w:val="single"/>
        </w:rPr>
        <w:t>承包人应遵守工程建设安全生产有关管理规定，严格按现行安全标准组织施工，并随时接受行业安全检查人员依法实施的监督检查，采取必要的安全防护措施，消除事故隐患。其安全施工防护费用已经含在合同价款内。承包方在施工生产过程中违反有关安全操作规程、消防条例，导致发生人员伤亡或火灾事故，承包方应承担由此引发的一切损失和责任。</w:t>
      </w:r>
    </w:p>
    <w:p w14:paraId="6B5E876A">
      <w:pPr>
        <w:pStyle w:val="22"/>
        <w:ind w:firstLine="420" w:firstLineChars="200"/>
        <w:rPr>
          <w:rFonts w:hint="eastAsia" w:ascii="宋体" w:hAnsi="宋体" w:eastAsia="宋体" w:cs="宋体"/>
          <w:b/>
          <w:sz w:val="21"/>
          <w:szCs w:val="21"/>
          <w:highlight w:val="none"/>
          <w:u w:val="single" w:color="000000"/>
        </w:rPr>
      </w:pPr>
      <w:r>
        <w:rPr>
          <w:rFonts w:hint="eastAsia" w:ascii="宋体" w:hAnsi="宋体" w:eastAsia="宋体" w:cs="宋体"/>
          <w:sz w:val="21"/>
          <w:szCs w:val="21"/>
          <w:highlight w:val="none"/>
        </w:rPr>
        <w:t>6.1.2 关于治安保卫的特别约定：</w:t>
      </w:r>
      <w:r>
        <w:rPr>
          <w:rFonts w:hint="eastAsia" w:ascii="宋体" w:hAnsi="宋体" w:eastAsia="宋体" w:cs="宋体"/>
          <w:sz w:val="21"/>
          <w:szCs w:val="21"/>
          <w:highlight w:val="none"/>
          <w:u w:val="single"/>
        </w:rPr>
        <w:t xml:space="preserve"> </w:t>
      </w:r>
      <w:r>
        <w:rPr>
          <w:rFonts w:hint="eastAsia" w:ascii="宋体" w:hAnsi="宋体" w:eastAsia="宋体" w:cs="宋体"/>
          <w:b/>
          <w:color w:val="000000"/>
          <w:sz w:val="21"/>
          <w:szCs w:val="21"/>
          <w:highlight w:val="none"/>
          <w:u w:val="single"/>
        </w:rPr>
        <w:t>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05BB59F">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开工前提供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C5404E">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6.1.3 文明施工</w:t>
      </w:r>
    </w:p>
    <w:p w14:paraId="22550571">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合同当事人对文明施工的要求：</w:t>
      </w:r>
      <w:r>
        <w:rPr>
          <w:rFonts w:hint="eastAsia" w:ascii="宋体" w:hAnsi="宋体" w:eastAsia="宋体" w:cs="宋体"/>
          <w:b/>
          <w:color w:val="000000"/>
          <w:kern w:val="0"/>
          <w:sz w:val="21"/>
          <w:szCs w:val="21"/>
          <w:highlight w:val="none"/>
          <w:u w:val="single"/>
        </w:rPr>
        <w:t>按通用条款执行</w:t>
      </w:r>
      <w:r>
        <w:rPr>
          <w:rFonts w:hint="eastAsia" w:ascii="宋体" w:hAnsi="宋体" w:eastAsia="宋体" w:cs="宋体"/>
          <w:sz w:val="21"/>
          <w:szCs w:val="21"/>
          <w:highlight w:val="none"/>
        </w:rPr>
        <w:t>。</w:t>
      </w:r>
    </w:p>
    <w:bookmarkEnd w:id="277"/>
    <w:bookmarkEnd w:id="278"/>
    <w:bookmarkEnd w:id="279"/>
    <w:bookmarkEnd w:id="280"/>
    <w:bookmarkEnd w:id="281"/>
    <w:bookmarkEnd w:id="282"/>
    <w:bookmarkEnd w:id="283"/>
    <w:p w14:paraId="246BC4FC">
      <w:pPr>
        <w:pStyle w:val="22"/>
        <w:ind w:firstLine="420" w:firstLineChars="200"/>
        <w:rPr>
          <w:rFonts w:hint="eastAsia" w:ascii="宋体" w:hAnsi="宋体" w:eastAsia="宋体" w:cs="宋体"/>
          <w:b/>
          <w:sz w:val="21"/>
          <w:szCs w:val="21"/>
          <w:highlight w:val="none"/>
        </w:rPr>
      </w:pPr>
      <w:bookmarkStart w:id="285" w:name="_Toc351203639"/>
      <w:r>
        <w:rPr>
          <w:rFonts w:hint="eastAsia" w:ascii="宋体" w:hAnsi="宋体" w:eastAsia="宋体" w:cs="宋体"/>
          <w:sz w:val="21"/>
          <w:szCs w:val="21"/>
          <w:highlight w:val="none"/>
        </w:rPr>
        <w:t>7. 工期和进度</w:t>
      </w:r>
      <w:bookmarkEnd w:id="285"/>
    </w:p>
    <w:p w14:paraId="430A8A1F">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7F9727A4">
      <w:pPr>
        <w:autoSpaceDE w:val="0"/>
        <w:autoSpaceDN w:val="0"/>
        <w:adjustRightInd w:val="0"/>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7.1.1 </w:t>
      </w:r>
      <w:r>
        <w:rPr>
          <w:rFonts w:hint="eastAsia" w:ascii="宋体" w:hAnsi="宋体" w:eastAsia="宋体" w:cs="宋体"/>
          <w:color w:val="000000"/>
          <w:sz w:val="21"/>
          <w:szCs w:val="21"/>
          <w:highlight w:val="none"/>
        </w:rPr>
        <w:t>合</w:t>
      </w:r>
      <w:r>
        <w:rPr>
          <w:rFonts w:hint="eastAsia" w:ascii="宋体" w:hAnsi="宋体" w:eastAsia="宋体" w:cs="宋体"/>
          <w:color w:val="000000"/>
          <w:kern w:val="0"/>
          <w:sz w:val="21"/>
          <w:szCs w:val="21"/>
          <w:highlight w:val="none"/>
        </w:rPr>
        <w:t>同当事人约定的施工组织设计应包括的其他内容：</w:t>
      </w:r>
      <w:r>
        <w:rPr>
          <w:rFonts w:hint="eastAsia" w:ascii="宋体" w:hAnsi="宋体" w:eastAsia="宋体" w:cs="宋体"/>
          <w:b/>
          <w:color w:val="000000"/>
          <w:kern w:val="0"/>
          <w:sz w:val="21"/>
          <w:szCs w:val="21"/>
          <w:highlight w:val="none"/>
          <w:u w:val="single"/>
        </w:rPr>
        <w:t>按通用条款执行</w:t>
      </w:r>
      <w:r>
        <w:rPr>
          <w:rFonts w:hint="eastAsia" w:ascii="宋体" w:hAnsi="宋体" w:eastAsia="宋体" w:cs="宋体"/>
          <w:sz w:val="21"/>
          <w:szCs w:val="21"/>
          <w:highlight w:val="none"/>
        </w:rPr>
        <w:t>。</w:t>
      </w:r>
    </w:p>
    <w:p w14:paraId="51190CA7">
      <w:pPr>
        <w:autoSpaceDE w:val="0"/>
        <w:autoSpaceDN w:val="0"/>
        <w:adjustRightInd w:val="0"/>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kern w:val="0"/>
          <w:sz w:val="21"/>
          <w:szCs w:val="21"/>
          <w:highlight w:val="none"/>
        </w:rPr>
        <w:t>施工组织设计的提交和修改</w:t>
      </w:r>
    </w:p>
    <w:p w14:paraId="1E79387A">
      <w:pPr>
        <w:autoSpaceDE w:val="0"/>
        <w:autoSpaceDN w:val="0"/>
        <w:adjustRightInd w:val="0"/>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color w:val="000000"/>
          <w:kern w:val="0"/>
          <w:sz w:val="21"/>
          <w:szCs w:val="21"/>
          <w:highlight w:val="none"/>
        </w:rPr>
        <w:t>承包人提交详细施工组织设计的期限的约定：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开工前7天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AE38ED">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收到后7天内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FEAF10E">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bookmarkStart w:id="286" w:name="_Toc312678005"/>
      <w:bookmarkStart w:id="287" w:name="_Toc312677479"/>
      <w:bookmarkStart w:id="288" w:name="_Toc304295541"/>
      <w:bookmarkStart w:id="289" w:name="_Toc297216173"/>
      <w:bookmarkStart w:id="290" w:name="_Toc300934966"/>
      <w:bookmarkStart w:id="291" w:name="_Toc297123514"/>
      <w:bookmarkStart w:id="292" w:name="_Toc303539123"/>
      <w:r>
        <w:rPr>
          <w:rFonts w:hint="eastAsia" w:ascii="宋体" w:hAnsi="宋体" w:eastAsia="宋体" w:cs="宋体"/>
          <w:sz w:val="21"/>
          <w:szCs w:val="21"/>
          <w:highlight w:val="none"/>
        </w:rPr>
        <w:t>.2 施工进度计划</w:t>
      </w:r>
    </w:p>
    <w:p w14:paraId="2BADA173">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7.2.1 施工进度计划的修订</w:t>
      </w:r>
    </w:p>
    <w:p w14:paraId="0CF90210">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收到后7天内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4907C4">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7.3 开工</w:t>
      </w:r>
    </w:p>
    <w:p w14:paraId="0426429F">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7.3.1 开工准备</w:t>
      </w:r>
    </w:p>
    <w:p w14:paraId="5B5BB0A2">
      <w:pPr>
        <w:ind w:firstLine="645"/>
        <w:jc w:val="left"/>
        <w:rPr>
          <w:rFonts w:hint="eastAsia" w:ascii="宋体" w:hAnsi="宋体" w:eastAsia="宋体" w:cs="宋体"/>
          <w:sz w:val="21"/>
          <w:szCs w:val="21"/>
          <w:highlight w:val="none"/>
          <w:u w:val="single"/>
        </w:rPr>
      </w:pPr>
      <w:r>
        <w:rPr>
          <w:rFonts w:hint="eastAsia" w:ascii="宋体" w:hAnsi="宋体" w:eastAsia="宋体" w:cs="宋体"/>
          <w:color w:val="000000"/>
          <w:sz w:val="21"/>
          <w:szCs w:val="21"/>
          <w:highlight w:val="none"/>
        </w:rPr>
        <w:t>关于承包人提交</w:t>
      </w:r>
      <w:r>
        <w:rPr>
          <w:rFonts w:hint="eastAsia" w:ascii="宋体" w:hAnsi="宋体" w:eastAsia="宋体" w:cs="宋体"/>
          <w:color w:val="000000"/>
          <w:kern w:val="0"/>
          <w:sz w:val="21"/>
          <w:szCs w:val="21"/>
          <w:highlight w:val="none"/>
        </w:rPr>
        <w:t>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开工前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D2CC143">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7.3.2开工通知</w:t>
      </w:r>
    </w:p>
    <w:p w14:paraId="3F80C2D5">
      <w:pPr>
        <w:ind w:firstLine="422" w:firstLineChars="200"/>
        <w:jc w:val="left"/>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因发包人原因未能在计划开工日期之日起</w:t>
      </w:r>
      <w:r>
        <w:rPr>
          <w:rFonts w:hint="eastAsia" w:ascii="宋体" w:hAnsi="宋体" w:eastAsia="宋体" w:cs="宋体"/>
          <w:b/>
          <w:sz w:val="21"/>
          <w:szCs w:val="21"/>
          <w:highlight w:val="none"/>
          <w:u w:val="single"/>
        </w:rPr>
        <w:t>180</w:t>
      </w:r>
      <w:r>
        <w:rPr>
          <w:rFonts w:hint="eastAsia" w:ascii="宋体" w:hAnsi="宋体" w:eastAsia="宋体" w:cs="宋体"/>
          <w:b/>
          <w:color w:val="000000"/>
          <w:sz w:val="21"/>
          <w:szCs w:val="21"/>
          <w:highlight w:val="none"/>
          <w:u w:val="single"/>
        </w:rPr>
        <w:t>天内发出开工通知的，承包人有权提出价格调整要求，或者解除合同。</w:t>
      </w:r>
    </w:p>
    <w:bookmarkEnd w:id="286"/>
    <w:bookmarkEnd w:id="287"/>
    <w:bookmarkEnd w:id="288"/>
    <w:bookmarkEnd w:id="289"/>
    <w:bookmarkEnd w:id="290"/>
    <w:bookmarkEnd w:id="291"/>
    <w:bookmarkEnd w:id="292"/>
    <w:p w14:paraId="2DABBD91">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7.4 测量放线</w:t>
      </w:r>
    </w:p>
    <w:p w14:paraId="3C1B4092">
      <w:pPr>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b/>
          <w:sz w:val="21"/>
          <w:szCs w:val="21"/>
          <w:highlight w:val="none"/>
          <w:u w:val="single"/>
        </w:rPr>
        <w:t>开工前7天</w:t>
      </w:r>
      <w:r>
        <w:rPr>
          <w:rFonts w:hint="eastAsia" w:ascii="宋体" w:hAnsi="宋体" w:eastAsia="宋体" w:cs="宋体"/>
          <w:sz w:val="21"/>
          <w:szCs w:val="21"/>
          <w:highlight w:val="none"/>
        </w:rPr>
        <w:t>。</w:t>
      </w:r>
    </w:p>
    <w:p w14:paraId="5EFD6726">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bookmarkStart w:id="293" w:name="_Toc297216175"/>
      <w:bookmarkStart w:id="294" w:name="_Toc303539125"/>
      <w:bookmarkStart w:id="295" w:name="_Toc304295546"/>
      <w:bookmarkStart w:id="296" w:name="_Toc312678010"/>
      <w:bookmarkStart w:id="297" w:name="_Toc312677484"/>
      <w:bookmarkStart w:id="298" w:name="_Toc297123516"/>
      <w:bookmarkStart w:id="299" w:name="_Toc300934968"/>
      <w:r>
        <w:rPr>
          <w:rFonts w:hint="eastAsia" w:ascii="宋体" w:hAnsi="宋体" w:eastAsia="宋体" w:cs="宋体"/>
          <w:sz w:val="21"/>
          <w:szCs w:val="21"/>
          <w:highlight w:val="none"/>
        </w:rPr>
        <w:t>.5 工期延误</w:t>
      </w:r>
    </w:p>
    <w:bookmarkEnd w:id="293"/>
    <w:bookmarkEnd w:id="294"/>
    <w:bookmarkEnd w:id="295"/>
    <w:bookmarkEnd w:id="296"/>
    <w:bookmarkEnd w:id="297"/>
    <w:bookmarkEnd w:id="298"/>
    <w:bookmarkEnd w:id="299"/>
    <w:p w14:paraId="64F5F357">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7.5.1 因发包人原因导致工期延误</w:t>
      </w:r>
    </w:p>
    <w:p w14:paraId="0F4018C9">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（7）因发包人原因导致工期延误的其他情形：如果发包人的现场交付发生延误，则实际开工日和工期应由发包人代表核准后顺延，但承包人不对这类开工的延误而引起的任何损失或损坏提出费用索赔。  </w:t>
      </w:r>
    </w:p>
    <w:p w14:paraId="07FDD9D6">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w:t>
      </w:r>
      <w:bookmarkStart w:id="300" w:name="_Toc312678012"/>
      <w:bookmarkStart w:id="301" w:name="_Toc318581169"/>
      <w:bookmarkStart w:id="302" w:name="_Toc312677486"/>
      <w:bookmarkStart w:id="303" w:name="_Toc297216177"/>
      <w:bookmarkStart w:id="304" w:name="_Toc304295548"/>
      <w:bookmarkStart w:id="305" w:name="_Toc297123518"/>
      <w:bookmarkStart w:id="306" w:name="_Toc300934970"/>
      <w:bookmarkStart w:id="307" w:name="_Toc303539127"/>
      <w:r>
        <w:rPr>
          <w:rFonts w:hint="eastAsia" w:ascii="宋体" w:hAnsi="宋体" w:eastAsia="宋体" w:cs="宋体"/>
          <w:sz w:val="21"/>
          <w:szCs w:val="21"/>
          <w:highlight w:val="none"/>
        </w:rPr>
        <w:t>.5.2 因承包人原因导致工期延误</w:t>
      </w:r>
    </w:p>
    <w:bookmarkEnd w:id="300"/>
    <w:bookmarkEnd w:id="301"/>
    <w:bookmarkEnd w:id="302"/>
    <w:p w14:paraId="3AD96045">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因</w:t>
      </w:r>
      <w:bookmarkStart w:id="308" w:name="_Toc312678013"/>
      <w:bookmarkStart w:id="309" w:name="_Toc312677487"/>
      <w:bookmarkStart w:id="310" w:name="_Toc318581170"/>
      <w:r>
        <w:rPr>
          <w:rFonts w:hint="eastAsia" w:ascii="宋体" w:hAnsi="宋体" w:eastAsia="宋体" w:cs="宋体"/>
          <w:sz w:val="21"/>
          <w:szCs w:val="21"/>
          <w:highlight w:val="none"/>
        </w:rPr>
        <w:t>承包人原因造成工期延误，逾期竣工违约金的计算方法为：如因施工单位自身施工组织问题造成工期延误的，每延误一天，处罚5000元，如因工期延误，造成学校重大影响的，学校有权追究责任。</w:t>
      </w:r>
    </w:p>
    <w:bookmarkEnd w:id="303"/>
    <w:bookmarkEnd w:id="304"/>
    <w:bookmarkEnd w:id="305"/>
    <w:bookmarkEnd w:id="306"/>
    <w:bookmarkEnd w:id="307"/>
    <w:bookmarkEnd w:id="308"/>
    <w:bookmarkEnd w:id="309"/>
    <w:bookmarkEnd w:id="310"/>
    <w:p w14:paraId="7F425D0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bookmarkStart w:id="311" w:name="_Toc297216180"/>
      <w:bookmarkStart w:id="312" w:name="_Toc312678017"/>
      <w:bookmarkStart w:id="313" w:name="_Toc300934973"/>
      <w:bookmarkStart w:id="314" w:name="_Toc297123521"/>
      <w:bookmarkStart w:id="315" w:name="_Toc303539130"/>
      <w:bookmarkStart w:id="316" w:name="_Toc304295551"/>
      <w:r>
        <w:rPr>
          <w:rFonts w:hint="eastAsia" w:ascii="宋体" w:hAnsi="宋体" w:eastAsia="宋体" w:cs="宋体"/>
          <w:sz w:val="21"/>
          <w:szCs w:val="21"/>
          <w:highlight w:val="none"/>
        </w:rPr>
        <w:t>.6异常恶劣的气候条件</w:t>
      </w:r>
    </w:p>
    <w:bookmarkEnd w:id="311"/>
    <w:bookmarkEnd w:id="312"/>
    <w:bookmarkEnd w:id="313"/>
    <w:bookmarkEnd w:id="314"/>
    <w:bookmarkEnd w:id="315"/>
    <w:bookmarkEnd w:id="316"/>
    <w:p w14:paraId="56DE2587">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7EA8AB71">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（1）因甲方要求的设计变更或非乙方原因造成停电、停水、停气及不可抗力因素影响，导致停工8小时以上（一周内累计计算），工期相应顺延。       </w:t>
      </w:r>
    </w:p>
    <w:p w14:paraId="7C045F29">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地震、暴风雪</w:t>
      </w:r>
      <w:r>
        <w:rPr>
          <w:rFonts w:hint="eastAsia" w:ascii="宋体" w:hAnsi="宋体" w:eastAsia="宋体" w:cs="宋体"/>
          <w:sz w:val="21"/>
          <w:szCs w:val="21"/>
          <w:highlight w:val="none"/>
        </w:rPr>
        <w:t>。</w:t>
      </w:r>
    </w:p>
    <w:p w14:paraId="1AC12A96">
      <w:pPr>
        <w:pStyle w:val="22"/>
        <w:ind w:firstLine="420" w:firstLineChars="200"/>
        <w:rPr>
          <w:rFonts w:hint="eastAsia" w:ascii="宋体" w:hAnsi="宋体" w:eastAsia="宋体" w:cs="宋体"/>
          <w:b/>
          <w:sz w:val="21"/>
          <w:szCs w:val="21"/>
          <w:highlight w:val="none"/>
        </w:rPr>
      </w:pPr>
      <w:bookmarkStart w:id="317" w:name="_Toc351203640"/>
      <w:r>
        <w:rPr>
          <w:rFonts w:hint="eastAsia" w:ascii="宋体" w:hAnsi="宋体" w:eastAsia="宋体" w:cs="宋体"/>
          <w:sz w:val="21"/>
          <w:szCs w:val="21"/>
          <w:highlight w:val="none"/>
        </w:rPr>
        <w:t>8. 材料与设备</w:t>
      </w:r>
      <w:bookmarkEnd w:id="317"/>
    </w:p>
    <w:p w14:paraId="1F07E2D9">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8</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1材料及设备的进场验收：承包人应按投标样品或投标文件和招标文件有关标准要求采购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工程所需材料设备，并提供产品合格证明，对材料设备质量负责。承包人在采购前和材料设备进场前必须得到发包人和本工程监理工程师的认可，未经认可不得进场。</w:t>
      </w:r>
    </w:p>
    <w:bookmarkEnd w:id="267"/>
    <w:bookmarkEnd w:id="268"/>
    <w:bookmarkEnd w:id="269"/>
    <w:bookmarkEnd w:id="270"/>
    <w:bookmarkEnd w:id="271"/>
    <w:bookmarkEnd w:id="272"/>
    <w:bookmarkEnd w:id="273"/>
    <w:bookmarkEnd w:id="274"/>
    <w:bookmarkEnd w:id="275"/>
    <w:bookmarkEnd w:id="276"/>
    <w:p w14:paraId="69062DED">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8</w:t>
      </w:r>
      <w:bookmarkStart w:id="318" w:name="_Toc297123527"/>
      <w:bookmarkStart w:id="319" w:name="_Toc280868654"/>
      <w:bookmarkStart w:id="320" w:name="_Toc312677493"/>
      <w:bookmarkStart w:id="321" w:name="_Toc297048353"/>
      <w:bookmarkStart w:id="322" w:name="_Toc296890995"/>
      <w:bookmarkStart w:id="323" w:name="_Toc296503167"/>
      <w:bookmarkStart w:id="324" w:name="_Toc296346668"/>
      <w:bookmarkStart w:id="325" w:name="_Toc312678019"/>
      <w:bookmarkStart w:id="326" w:name="_Toc297216186"/>
      <w:bookmarkStart w:id="327" w:name="_Toc292559372"/>
      <w:bookmarkStart w:id="328" w:name="_Toc296891207"/>
      <w:bookmarkStart w:id="329" w:name="_Toc297120467"/>
      <w:bookmarkStart w:id="330" w:name="_Toc300934979"/>
      <w:bookmarkStart w:id="331" w:name="_Toc296347166"/>
      <w:bookmarkStart w:id="332" w:name="_Toc296944506"/>
      <w:bookmarkStart w:id="333" w:name="_Toc303539136"/>
      <w:bookmarkStart w:id="334" w:name="_Toc292559877"/>
      <w:bookmarkStart w:id="335" w:name="_Toc304295556"/>
      <w:bookmarkStart w:id="336" w:name="_Toc267251424"/>
      <w:bookmarkStart w:id="337" w:name="_Toc280868655"/>
      <w:bookmarkStart w:id="338" w:name="_Toc280868656"/>
      <w:r>
        <w:rPr>
          <w:rFonts w:hint="eastAsia" w:ascii="宋体" w:hAnsi="宋体" w:eastAsia="宋体" w:cs="宋体"/>
          <w:sz w:val="21"/>
          <w:szCs w:val="21"/>
          <w:highlight w:val="none"/>
        </w:rPr>
        <w:t>.2材料与工程设备的保管与使用</w:t>
      </w: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14:paraId="5723F139">
      <w:pPr>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8</w:t>
      </w:r>
      <w:bookmarkStart w:id="339" w:name="_Toc292559878"/>
      <w:bookmarkStart w:id="340" w:name="_Toc292559373"/>
      <w:bookmarkStart w:id="341" w:name="_Toc300934980"/>
      <w:bookmarkStart w:id="342" w:name="_Toc296944507"/>
      <w:bookmarkStart w:id="343" w:name="_Toc312677494"/>
      <w:bookmarkStart w:id="344" w:name="_Toc297123528"/>
      <w:bookmarkStart w:id="345" w:name="_Toc297048354"/>
      <w:bookmarkStart w:id="346" w:name="_Toc312678020"/>
      <w:bookmarkStart w:id="347" w:name="_Toc304295557"/>
      <w:bookmarkStart w:id="348" w:name="_Toc318581173"/>
      <w:bookmarkStart w:id="349" w:name="_Toc296890996"/>
      <w:bookmarkStart w:id="350" w:name="_Toc303539137"/>
      <w:bookmarkStart w:id="351" w:name="_Toc296503168"/>
      <w:bookmarkStart w:id="352" w:name="_Toc296891208"/>
      <w:bookmarkStart w:id="353" w:name="_Toc296347167"/>
      <w:bookmarkStart w:id="354" w:name="_Toc296346669"/>
      <w:bookmarkStart w:id="355" w:name="_Toc297120468"/>
      <w:bookmarkStart w:id="356" w:name="_Toc297216187"/>
      <w:r>
        <w:rPr>
          <w:rFonts w:hint="eastAsia" w:ascii="宋体" w:hAnsi="宋体" w:eastAsia="宋体" w:cs="宋体"/>
          <w:sz w:val="21"/>
          <w:szCs w:val="21"/>
          <w:highlight w:val="none"/>
        </w:rPr>
        <w:t>.2.1发包人供应的材料设备的保管费用的承担：</w:t>
      </w:r>
      <w:r>
        <w:rPr>
          <w:rFonts w:hint="eastAsia" w:ascii="宋体" w:hAnsi="宋体" w:eastAsia="宋体" w:cs="宋体"/>
          <w:b/>
          <w:sz w:val="21"/>
          <w:szCs w:val="21"/>
          <w:highlight w:val="none"/>
          <w:u w:val="single"/>
        </w:rPr>
        <w:t>由承包人承担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bookmarkEnd w:id="339"/>
      <w:bookmarkEnd w:id="340"/>
    </w:p>
    <w:p w14:paraId="1F9836FC">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8.3 样品</w:t>
      </w:r>
    </w:p>
    <w:p w14:paraId="44549AA9">
      <w:pPr>
        <w:autoSpaceDE w:val="0"/>
        <w:autoSpaceDN w:val="0"/>
        <w:adjustRightInd w:val="0"/>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8.3.1 样品的报送与封存</w:t>
      </w:r>
    </w:p>
    <w:p w14:paraId="0B1B1DAF">
      <w:pPr>
        <w:autoSpaceDE w:val="0"/>
        <w:autoSpaceDN w:val="0"/>
        <w:adjustRightInd w:val="0"/>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color w:val="000000"/>
          <w:kern w:val="0"/>
          <w:sz w:val="21"/>
          <w:szCs w:val="21"/>
          <w:highlight w:val="none"/>
        </w:rPr>
        <w:t>需要承包人报送样品的材料或工程设备，样品的种类、名称、规格、数量要求：</w:t>
      </w:r>
      <w:r>
        <w:rPr>
          <w:rFonts w:hint="eastAsia" w:ascii="宋体" w:hAnsi="宋体" w:eastAsia="宋体" w:cs="宋体"/>
          <w:b/>
          <w:sz w:val="21"/>
          <w:szCs w:val="21"/>
          <w:highlight w:val="none"/>
          <w:u w:val="single"/>
        </w:rPr>
        <w:t xml:space="preserve">按管理部门及发包人要求确定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3728C2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8.4 施工设备和临时设施</w:t>
      </w:r>
    </w:p>
    <w:p w14:paraId="264D8C73">
      <w:pPr>
        <w:autoSpaceDE w:val="0"/>
        <w:autoSpaceDN w:val="0"/>
        <w:adjustRightInd w:val="0"/>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8.4.1 承包人提供的施工设备和临时设施</w:t>
      </w:r>
    </w:p>
    <w:p w14:paraId="3802F676">
      <w:pPr>
        <w:autoSpaceDE w:val="0"/>
        <w:autoSpaceDN w:val="0"/>
        <w:adjustRightInd w:val="0"/>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关于修建临时设施费用承担的约定：</w:t>
      </w:r>
      <w:r>
        <w:rPr>
          <w:rFonts w:hint="eastAsia" w:ascii="宋体" w:hAnsi="宋体" w:eastAsia="宋体" w:cs="宋体"/>
          <w:b/>
          <w:sz w:val="21"/>
          <w:szCs w:val="21"/>
          <w:highlight w:val="none"/>
          <w:u w:val="single"/>
        </w:rPr>
        <w:t>由承包人承担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14:paraId="0DC34999">
      <w:pPr>
        <w:pStyle w:val="22"/>
        <w:ind w:firstLine="420" w:firstLineChars="200"/>
        <w:rPr>
          <w:rFonts w:hint="eastAsia" w:ascii="宋体" w:hAnsi="宋体" w:eastAsia="宋体" w:cs="宋体"/>
          <w:b/>
          <w:sz w:val="21"/>
          <w:szCs w:val="21"/>
          <w:highlight w:val="none"/>
        </w:rPr>
      </w:pPr>
      <w:bookmarkStart w:id="357" w:name="_Toc351203641"/>
      <w:r>
        <w:rPr>
          <w:rFonts w:hint="eastAsia" w:ascii="宋体" w:hAnsi="宋体" w:eastAsia="宋体" w:cs="宋体"/>
          <w:sz w:val="21"/>
          <w:szCs w:val="21"/>
          <w:highlight w:val="none"/>
        </w:rPr>
        <w:t>9</w:t>
      </w:r>
      <w:bookmarkEnd w:id="336"/>
      <w:bookmarkEnd w:id="337"/>
      <w:bookmarkEnd w:id="338"/>
      <w:bookmarkStart w:id="358" w:name="_Toc312677495"/>
      <w:bookmarkStart w:id="359" w:name="_Toc297123533"/>
      <w:bookmarkStart w:id="360" w:name="_Toc300934982"/>
      <w:bookmarkStart w:id="361" w:name="_Toc303539139"/>
      <w:bookmarkStart w:id="362" w:name="_Toc312678021"/>
      <w:bookmarkStart w:id="363" w:name="_Toc304295559"/>
      <w:bookmarkStart w:id="364" w:name="_Toc297216192"/>
      <w:bookmarkStart w:id="365" w:name="_Toc297048359"/>
      <w:bookmarkStart w:id="366" w:name="_Toc267251428"/>
      <w:bookmarkStart w:id="367" w:name="_Toc297120473"/>
      <w:bookmarkStart w:id="368" w:name="_Toc296503173"/>
      <w:bookmarkStart w:id="369" w:name="_Toc296944512"/>
      <w:bookmarkStart w:id="370" w:name="_Toc296891001"/>
      <w:bookmarkStart w:id="371" w:name="_Toc296346674"/>
      <w:bookmarkStart w:id="372" w:name="_Toc267251427"/>
      <w:bookmarkStart w:id="373" w:name="_Toc292559883"/>
      <w:bookmarkStart w:id="374" w:name="_Toc296891213"/>
      <w:bookmarkStart w:id="375" w:name="_Toc292559378"/>
      <w:bookmarkStart w:id="376" w:name="_Toc296347172"/>
      <w:r>
        <w:rPr>
          <w:rFonts w:hint="eastAsia" w:ascii="宋体" w:hAnsi="宋体" w:eastAsia="宋体" w:cs="宋体"/>
          <w:sz w:val="21"/>
          <w:szCs w:val="21"/>
          <w:highlight w:val="none"/>
        </w:rPr>
        <w:t>. 试验与检验</w:t>
      </w:r>
      <w:bookmarkEnd w:id="357"/>
    </w:p>
    <w:bookmarkEnd w:id="358"/>
    <w:bookmarkEnd w:id="359"/>
    <w:bookmarkEnd w:id="360"/>
    <w:bookmarkEnd w:id="361"/>
    <w:bookmarkEnd w:id="362"/>
    <w:bookmarkEnd w:id="363"/>
    <w:bookmarkEnd w:id="364"/>
    <w:p w14:paraId="1F979591">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9</w:t>
      </w:r>
      <w:bookmarkStart w:id="377" w:name="_Toc303539140"/>
      <w:bookmarkStart w:id="378" w:name="_Toc304295560"/>
      <w:bookmarkStart w:id="379" w:name="_Toc297216193"/>
      <w:bookmarkStart w:id="380" w:name="_Toc312678022"/>
      <w:bookmarkStart w:id="381" w:name="_Toc300934983"/>
      <w:bookmarkStart w:id="382" w:name="_Toc312677496"/>
      <w:bookmarkStart w:id="383" w:name="_Toc297123534"/>
      <w:r>
        <w:rPr>
          <w:rFonts w:hint="eastAsia" w:ascii="宋体" w:hAnsi="宋体" w:eastAsia="宋体" w:cs="宋体"/>
          <w:sz w:val="21"/>
          <w:szCs w:val="21"/>
          <w:highlight w:val="none"/>
        </w:rPr>
        <w:t>.1试验设备与试验人员</w:t>
      </w:r>
    </w:p>
    <w:bookmarkEnd w:id="377"/>
    <w:bookmarkEnd w:id="378"/>
    <w:bookmarkEnd w:id="379"/>
    <w:bookmarkEnd w:id="380"/>
    <w:bookmarkEnd w:id="381"/>
    <w:bookmarkEnd w:id="382"/>
    <w:bookmarkEnd w:id="383"/>
    <w:p w14:paraId="32B0E59E">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9</w:t>
      </w:r>
      <w:bookmarkStart w:id="384" w:name="_Toc297123535"/>
      <w:bookmarkStart w:id="385" w:name="_Toc304295561"/>
      <w:bookmarkStart w:id="386" w:name="_Toc312678023"/>
      <w:bookmarkStart w:id="387" w:name="_Toc300934984"/>
      <w:bookmarkStart w:id="388" w:name="_Toc312677497"/>
      <w:bookmarkStart w:id="389" w:name="_Toc297216194"/>
      <w:bookmarkStart w:id="390" w:name="_Toc303539141"/>
      <w:bookmarkStart w:id="391" w:name="_Toc318581174"/>
      <w:r>
        <w:rPr>
          <w:rFonts w:hint="eastAsia" w:ascii="宋体" w:hAnsi="宋体" w:eastAsia="宋体" w:cs="宋体"/>
          <w:sz w:val="21"/>
          <w:szCs w:val="21"/>
          <w:highlight w:val="none"/>
        </w:rPr>
        <w:t>.1.1 试验设备</w:t>
      </w:r>
    </w:p>
    <w:p w14:paraId="2B543CC5">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bookmarkEnd w:id="384"/>
      <w:bookmarkEnd w:id="385"/>
      <w:bookmarkEnd w:id="386"/>
      <w:bookmarkEnd w:id="387"/>
      <w:bookmarkEnd w:id="388"/>
      <w:bookmarkEnd w:id="389"/>
      <w:bookmarkEnd w:id="390"/>
      <w:bookmarkStart w:id="392" w:name="_Toc312677498"/>
      <w:bookmarkStart w:id="393" w:name="_Toc297123536"/>
      <w:bookmarkStart w:id="394" w:name="_Toc312678024"/>
      <w:bookmarkStart w:id="395" w:name="_Toc303539142"/>
      <w:bookmarkStart w:id="396" w:name="_Toc304295562"/>
      <w:bookmarkStart w:id="397" w:name="_Toc297216195"/>
      <w:bookmarkStart w:id="398" w:name="_Toc300934985"/>
      <w:r>
        <w:rPr>
          <w:rFonts w:hint="eastAsia" w:ascii="宋体" w:hAnsi="宋体" w:eastAsia="宋体" w:cs="宋体"/>
          <w:b/>
          <w:sz w:val="21"/>
          <w:szCs w:val="21"/>
          <w:highlight w:val="none"/>
          <w:u w:val="single"/>
        </w:rPr>
        <w:t>按相关规定执行</w:t>
      </w:r>
      <w:r>
        <w:rPr>
          <w:rFonts w:hint="eastAsia" w:ascii="宋体" w:hAnsi="宋体" w:eastAsia="宋体" w:cs="宋体"/>
          <w:sz w:val="21"/>
          <w:szCs w:val="21"/>
          <w:highlight w:val="none"/>
        </w:rPr>
        <w:t xml:space="preserve">。 </w:t>
      </w:r>
    </w:p>
    <w:p w14:paraId="1255D8D5">
      <w:pPr>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施工现场需要配备的试验设备：</w:t>
      </w:r>
      <w:r>
        <w:rPr>
          <w:rFonts w:hint="eastAsia" w:ascii="宋体" w:hAnsi="宋体" w:eastAsia="宋体" w:cs="宋体"/>
          <w:b/>
          <w:sz w:val="21"/>
          <w:szCs w:val="21"/>
          <w:highlight w:val="none"/>
          <w:u w:val="single"/>
        </w:rPr>
        <w:t>按相关规定执行</w:t>
      </w:r>
      <w:r>
        <w:rPr>
          <w:rFonts w:hint="eastAsia" w:ascii="宋体" w:hAnsi="宋体" w:eastAsia="宋体" w:cs="宋体"/>
          <w:sz w:val="21"/>
          <w:szCs w:val="21"/>
          <w:highlight w:val="none"/>
        </w:rPr>
        <w:t>。</w:t>
      </w:r>
    </w:p>
    <w:p w14:paraId="762E5410">
      <w:pPr>
        <w:ind w:firstLine="420" w:firstLineChars="20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施工现场需要具备的其他试验条件：</w:t>
      </w:r>
      <w:r>
        <w:rPr>
          <w:rFonts w:hint="eastAsia" w:ascii="宋体" w:hAnsi="宋体" w:eastAsia="宋体" w:cs="宋体"/>
          <w:b/>
          <w:sz w:val="21"/>
          <w:szCs w:val="21"/>
          <w:highlight w:val="none"/>
          <w:u w:val="single"/>
        </w:rPr>
        <w:t>按相关规定执行</w:t>
      </w:r>
      <w:r>
        <w:rPr>
          <w:rFonts w:hint="eastAsia" w:ascii="宋体" w:hAnsi="宋体" w:eastAsia="宋体" w:cs="宋体"/>
          <w:sz w:val="21"/>
          <w:szCs w:val="21"/>
          <w:highlight w:val="none"/>
        </w:rPr>
        <w:t>。</w:t>
      </w:r>
    </w:p>
    <w:bookmarkEnd w:id="391"/>
    <w:bookmarkEnd w:id="392"/>
    <w:bookmarkEnd w:id="393"/>
    <w:bookmarkEnd w:id="394"/>
    <w:bookmarkEnd w:id="395"/>
    <w:bookmarkEnd w:id="396"/>
    <w:bookmarkEnd w:id="397"/>
    <w:bookmarkEnd w:id="398"/>
    <w:p w14:paraId="2B9E832F">
      <w:pPr>
        <w:pStyle w:val="22"/>
        <w:ind w:firstLine="420" w:firstLineChars="200"/>
        <w:rPr>
          <w:rFonts w:hint="eastAsia" w:ascii="宋体" w:hAnsi="宋体" w:eastAsia="宋体" w:cs="宋体"/>
          <w:b/>
          <w:sz w:val="21"/>
          <w:szCs w:val="21"/>
          <w:highlight w:val="none"/>
        </w:rPr>
      </w:pPr>
      <w:bookmarkStart w:id="399" w:name="_Toc351203642"/>
      <w:r>
        <w:rPr>
          <w:rFonts w:hint="eastAsia" w:ascii="宋体" w:hAnsi="宋体" w:eastAsia="宋体" w:cs="宋体"/>
          <w:sz w:val="21"/>
          <w:szCs w:val="21"/>
          <w:highlight w:val="none"/>
        </w:rPr>
        <w:t>1</w:t>
      </w:r>
      <w:bookmarkEnd w:id="365"/>
      <w:bookmarkEnd w:id="366"/>
      <w:bookmarkEnd w:id="367"/>
      <w:bookmarkEnd w:id="368"/>
      <w:bookmarkEnd w:id="369"/>
      <w:bookmarkEnd w:id="370"/>
      <w:bookmarkEnd w:id="371"/>
      <w:bookmarkEnd w:id="372"/>
      <w:bookmarkEnd w:id="373"/>
      <w:bookmarkEnd w:id="374"/>
      <w:bookmarkEnd w:id="375"/>
      <w:bookmarkEnd w:id="376"/>
      <w:bookmarkStart w:id="400" w:name="_Toc297120493"/>
      <w:bookmarkStart w:id="401" w:name="_Toc303539146"/>
      <w:bookmarkStart w:id="402" w:name="_Toc296347192"/>
      <w:bookmarkStart w:id="403" w:name="_Toc296346694"/>
      <w:bookmarkStart w:id="404" w:name="_Toc296503193"/>
      <w:bookmarkStart w:id="405" w:name="_Toc304295566"/>
      <w:bookmarkStart w:id="406" w:name="_Toc292559398"/>
      <w:bookmarkStart w:id="407" w:name="_Toc300934989"/>
      <w:bookmarkStart w:id="408" w:name="_Toc296891021"/>
      <w:bookmarkStart w:id="409" w:name="_Toc297048379"/>
      <w:bookmarkStart w:id="410" w:name="_Toc297216199"/>
      <w:bookmarkStart w:id="411" w:name="_Toc296944532"/>
      <w:bookmarkStart w:id="412" w:name="_Toc297123540"/>
      <w:bookmarkStart w:id="413" w:name="_Toc296891233"/>
      <w:bookmarkStart w:id="414" w:name="_Toc292559903"/>
      <w:bookmarkStart w:id="415" w:name="_Toc312678025"/>
      <w:bookmarkStart w:id="416" w:name="_Toc312677499"/>
      <w:bookmarkStart w:id="417" w:name="_Toc267251433"/>
      <w:bookmarkStart w:id="418" w:name="_Toc267251437"/>
      <w:bookmarkStart w:id="419" w:name="_Toc267251435"/>
      <w:bookmarkStart w:id="420" w:name="_Toc267251441"/>
      <w:bookmarkStart w:id="421" w:name="_Toc267251440"/>
      <w:bookmarkStart w:id="422" w:name="_Toc267251439"/>
      <w:bookmarkStart w:id="423" w:name="_Toc267251442"/>
      <w:r>
        <w:rPr>
          <w:rFonts w:hint="eastAsia" w:ascii="宋体" w:hAnsi="宋体" w:eastAsia="宋体" w:cs="宋体"/>
          <w:sz w:val="21"/>
          <w:szCs w:val="21"/>
          <w:highlight w:val="none"/>
        </w:rPr>
        <w:t>0. 变更</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bookmarkEnd w:id="415"/>
    <w:bookmarkEnd w:id="416"/>
    <w:p w14:paraId="011C90B9">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bookmarkStart w:id="424" w:name="_Toc296347193"/>
      <w:bookmarkStart w:id="425" w:name="_Toc292559904"/>
      <w:bookmarkStart w:id="426" w:name="_Toc292559399"/>
      <w:bookmarkStart w:id="427" w:name="_Toc300934990"/>
      <w:bookmarkStart w:id="428" w:name="_Toc297123541"/>
      <w:bookmarkStart w:id="429" w:name="_Toc297048380"/>
      <w:bookmarkStart w:id="430" w:name="_Toc296891234"/>
      <w:bookmarkStart w:id="431" w:name="_Toc296891022"/>
      <w:bookmarkStart w:id="432" w:name="_Toc312677500"/>
      <w:bookmarkStart w:id="433" w:name="_Toc303539147"/>
      <w:bookmarkStart w:id="434" w:name="_Toc296346695"/>
      <w:bookmarkStart w:id="435" w:name="_Toc296944533"/>
      <w:bookmarkStart w:id="436" w:name="_Toc296503194"/>
      <w:bookmarkStart w:id="437" w:name="_Toc304295567"/>
      <w:bookmarkStart w:id="438" w:name="_Toc297216200"/>
      <w:bookmarkStart w:id="439" w:name="_Toc297120494"/>
      <w:bookmarkStart w:id="440" w:name="_Toc312678026"/>
      <w:r>
        <w:rPr>
          <w:rFonts w:hint="eastAsia" w:ascii="宋体" w:hAnsi="宋体" w:eastAsia="宋体" w:cs="宋体"/>
          <w:sz w:val="21"/>
          <w:szCs w:val="21"/>
          <w:highlight w:val="none"/>
        </w:rPr>
        <w:t>0.1变更的范围</w:t>
      </w:r>
    </w:p>
    <w:p w14:paraId="11A7E880">
      <w:pPr>
        <w:autoSpaceDE w:val="0"/>
        <w:autoSpaceDN w:val="0"/>
        <w:adjustRightInd w:val="0"/>
        <w:ind w:firstLine="420" w:firstLineChars="200"/>
        <w:jc w:val="left"/>
        <w:rPr>
          <w:rFonts w:hint="eastAsia" w:ascii="宋体" w:hAnsi="宋体" w:eastAsia="宋体" w:cs="宋体"/>
          <w:b/>
          <w:color w:val="000000"/>
          <w:kern w:val="0"/>
          <w:sz w:val="21"/>
          <w:szCs w:val="21"/>
          <w:highlight w:val="none"/>
          <w:u w:val="single"/>
        </w:rPr>
      </w:pPr>
      <w:r>
        <w:rPr>
          <w:rFonts w:hint="eastAsia" w:ascii="宋体" w:hAnsi="宋体" w:eastAsia="宋体" w:cs="宋体"/>
          <w:color w:val="000000"/>
          <w:sz w:val="21"/>
          <w:szCs w:val="21"/>
          <w:highlight w:val="none"/>
        </w:rPr>
        <w:t>关于变更的范围的约定：</w:t>
      </w:r>
      <w:r>
        <w:rPr>
          <w:rFonts w:hint="eastAsia" w:ascii="宋体" w:hAnsi="宋体" w:eastAsia="宋体" w:cs="宋体"/>
          <w:b/>
          <w:color w:val="000000"/>
          <w:kern w:val="0"/>
          <w:sz w:val="21"/>
          <w:szCs w:val="21"/>
          <w:highlight w:val="none"/>
          <w:u w:val="single"/>
        </w:rPr>
        <w:t>增加或减少合同中任何工作，或追加额外的工作；改变合同中任何工作的质量标准或其他特性；但变更追加总金额不得超过原合同采购金额的百分之十，合计不得超过项目预算。超过原合同采购金额百分之十的，应重新组织采购活动。</w:t>
      </w:r>
    </w:p>
    <w:p w14:paraId="4C01BBC7">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10.2 变更估价</w:t>
      </w:r>
    </w:p>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58FE005B">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10.2.1 变更估价原则</w:t>
      </w:r>
    </w:p>
    <w:p w14:paraId="4EF94A1C">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p>
    <w:p w14:paraId="2C76B22A">
      <w:pPr>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（1）已标价工程量清单中有适用的综合单价，按照已有的中标综合单价确定；</w:t>
      </w:r>
    </w:p>
    <w:p w14:paraId="3B87B92C">
      <w:pPr>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（2）已标价工程量清单中有类似的综合单价，参照类似的中标综合单价确定；</w:t>
      </w:r>
    </w:p>
    <w:p w14:paraId="3D70EB69">
      <w:pPr>
        <w:ind w:firstLine="422" w:firstLineChars="200"/>
        <w:rPr>
          <w:rFonts w:hint="eastAsia" w:ascii="宋体" w:hAnsi="宋体" w:eastAsia="宋体" w:cs="宋体"/>
          <w:b/>
          <w:color w:val="000000"/>
          <w:sz w:val="21"/>
          <w:szCs w:val="21"/>
          <w:highlight w:val="none"/>
          <w:u w:val="single"/>
        </w:rPr>
      </w:pPr>
      <w:r>
        <w:rPr>
          <w:rFonts w:hint="eastAsia" w:ascii="宋体" w:hAnsi="宋体" w:eastAsia="宋体" w:cs="宋体"/>
          <w:b/>
          <w:sz w:val="21"/>
          <w:szCs w:val="21"/>
          <w:highlight w:val="none"/>
          <w:u w:val="single"/>
        </w:rPr>
        <w:t>（3）已标价工程量清单中没有适用或类似的综合单价，由承包人提出综合单价，综合单价不高于招标时采用的江苏省定额和施工期的盐城市造价管理部门发布的材料价格信息及省、市有关造价管理规定计算并进行优惠，经发包人审核后确定变更综合单价，变更优惠率为：〔1-（中标价-暂列金额-暂估价）/（招标控制价-暂列金额-暂估价）〕×100%，其中按双方认可的市场价格计入的材料、设备等价格，该材料、设备不再优惠。</w:t>
      </w:r>
    </w:p>
    <w:p w14:paraId="02DB42A2">
      <w:pPr>
        <w:widowControl/>
        <w:shd w:val="clear" w:color="auto" w:fill="FFFFFF"/>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说明：若为竞争性谈判项目或竞争性磋商项目，上述（1）及（2）中的中标综合单价是指按已有的综合单价（或参照类似的综合单价）进行优惠后的价格，</w:t>
      </w:r>
    </w:p>
    <w:p w14:paraId="7FF0CB14">
      <w:pPr>
        <w:widowControl/>
        <w:shd w:val="clear" w:color="auto" w:fill="FFFFFF"/>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变更优惠率为：〔1-（最终报价-暂列金额-暂估价）/（第一次报价-暂列金额-暂估价）〕×100%。</w:t>
      </w:r>
    </w:p>
    <w:p w14:paraId="686044B6">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w:t>
      </w:r>
      <w:bookmarkStart w:id="441" w:name="_Toc300934997"/>
      <w:bookmarkStart w:id="442" w:name="_Toc312678033"/>
      <w:bookmarkStart w:id="443" w:name="_Toc312677507"/>
      <w:bookmarkStart w:id="444" w:name="_Toc296891239"/>
      <w:bookmarkStart w:id="445" w:name="_Toc297048385"/>
      <w:bookmarkStart w:id="446" w:name="_Toc297216207"/>
      <w:bookmarkStart w:id="447" w:name="_Toc296944538"/>
      <w:bookmarkStart w:id="448" w:name="_Toc297123548"/>
      <w:bookmarkStart w:id="449" w:name="_Toc292559404"/>
      <w:bookmarkStart w:id="450" w:name="_Toc303539154"/>
      <w:bookmarkStart w:id="451" w:name="_Toc304295574"/>
      <w:bookmarkStart w:id="452" w:name="_Toc296346700"/>
      <w:bookmarkStart w:id="453" w:name="_Toc292559909"/>
      <w:bookmarkStart w:id="454" w:name="_Toc296891027"/>
      <w:bookmarkStart w:id="455" w:name="_Toc297120499"/>
      <w:bookmarkStart w:id="456" w:name="_Toc296347198"/>
      <w:bookmarkStart w:id="457" w:name="_Toc296503199"/>
      <w:r>
        <w:rPr>
          <w:rFonts w:hint="eastAsia" w:ascii="宋体" w:hAnsi="宋体" w:eastAsia="宋体" w:cs="宋体"/>
          <w:sz w:val="21"/>
          <w:szCs w:val="21"/>
          <w:highlight w:val="none"/>
        </w:rPr>
        <w:t>0.3暂估价</w:t>
      </w:r>
    </w:p>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14:paraId="554A6F2F">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暂</w:t>
      </w:r>
      <w:bookmarkStart w:id="458" w:name="_Toc312678034"/>
      <w:bookmarkStart w:id="459" w:name="_Toc312677508"/>
      <w:bookmarkStart w:id="460" w:name="_Toc318581176"/>
      <w:r>
        <w:rPr>
          <w:rFonts w:hint="eastAsia" w:ascii="宋体" w:hAnsi="宋体" w:eastAsia="宋体" w:cs="宋体"/>
          <w:sz w:val="21"/>
          <w:szCs w:val="21"/>
          <w:highlight w:val="none"/>
        </w:rPr>
        <w:t>估价材料和工程设备的明细详见附件：《</w:t>
      </w:r>
      <w:r>
        <w:rPr>
          <w:rFonts w:hint="eastAsia" w:ascii="宋体" w:hAnsi="宋体" w:eastAsia="宋体" w:cs="宋体"/>
          <w:color w:val="000000"/>
          <w:sz w:val="21"/>
          <w:szCs w:val="21"/>
          <w:highlight w:val="none"/>
        </w:rPr>
        <w:t>暂估价一览表》</w:t>
      </w:r>
      <w:r>
        <w:rPr>
          <w:rFonts w:hint="eastAsia" w:ascii="宋体" w:hAnsi="宋体" w:eastAsia="宋体" w:cs="宋体"/>
          <w:sz w:val="21"/>
          <w:szCs w:val="21"/>
          <w:highlight w:val="none"/>
        </w:rPr>
        <w:t>。</w:t>
      </w:r>
    </w:p>
    <w:bookmarkEnd w:id="458"/>
    <w:bookmarkEnd w:id="459"/>
    <w:bookmarkEnd w:id="460"/>
    <w:p w14:paraId="0FB0158E">
      <w:pPr>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w:t>
      </w:r>
      <w:bookmarkStart w:id="461" w:name="_Toc318581177"/>
      <w:bookmarkStart w:id="462" w:name="_Toc312677509"/>
      <w:bookmarkStart w:id="463" w:name="_Toc312678035"/>
      <w:r>
        <w:rPr>
          <w:rFonts w:hint="eastAsia" w:ascii="宋体" w:hAnsi="宋体" w:eastAsia="宋体" w:cs="宋体"/>
          <w:sz w:val="21"/>
          <w:szCs w:val="21"/>
          <w:highlight w:val="none"/>
        </w:rPr>
        <w:t>0.3.1暂估价项目</w:t>
      </w:r>
    </w:p>
    <w:bookmarkEnd w:id="461"/>
    <w:bookmarkEnd w:id="462"/>
    <w:bookmarkEnd w:id="463"/>
    <w:p w14:paraId="15590DC7">
      <w:pPr>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由发包人和承包人以招标或询价方式共同确定暂估价供应商或分包人的，承包人应按照施工进度计划，在采购工作启动前14天通知发包人，并提交暂估价采购方案和工作分工。确定暂估价中标成交人后，由发包人、承包人与中标成交人共同签订暂估价合同。暂估价价差在项目决算时进行税前调整；如果有分包施工项目时，决算时应追加承包人暂估价项目2%的总承包管理费。</w:t>
      </w:r>
    </w:p>
    <w:p w14:paraId="0CCD9367">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10.3.2 </w:t>
      </w:r>
      <w:r>
        <w:rPr>
          <w:rFonts w:hint="eastAsia" w:ascii="宋体" w:hAnsi="宋体" w:eastAsia="宋体" w:cs="宋体"/>
          <w:color w:val="000000"/>
          <w:sz w:val="21"/>
          <w:szCs w:val="21"/>
          <w:highlight w:val="none"/>
        </w:rPr>
        <w:t>暂列金额</w:t>
      </w:r>
    </w:p>
    <w:p w14:paraId="5CF51F5B">
      <w:pPr>
        <w:autoSpaceDE w:val="0"/>
        <w:autoSpaceDN w:val="0"/>
        <w:adjustRightInd w:val="0"/>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暂列金额应按照发包人的要求使用，发包人的要求应通过监理人发出。</w:t>
      </w:r>
    </w:p>
    <w:p w14:paraId="41DCC26E">
      <w:pPr>
        <w:pStyle w:val="22"/>
        <w:ind w:firstLine="420" w:firstLineChars="200"/>
        <w:rPr>
          <w:rFonts w:hint="eastAsia" w:ascii="宋体" w:hAnsi="宋体" w:eastAsia="宋体" w:cs="宋体"/>
          <w:b/>
          <w:sz w:val="21"/>
          <w:szCs w:val="21"/>
          <w:highlight w:val="none"/>
        </w:rPr>
      </w:pPr>
      <w:bookmarkStart w:id="464" w:name="_Toc351203643"/>
      <w:r>
        <w:rPr>
          <w:rFonts w:hint="eastAsia" w:ascii="宋体" w:hAnsi="宋体" w:eastAsia="宋体" w:cs="宋体"/>
          <w:sz w:val="21"/>
          <w:szCs w:val="21"/>
          <w:highlight w:val="none"/>
        </w:rPr>
        <w:t>11. 价格调整</w:t>
      </w:r>
      <w:bookmarkEnd w:id="464"/>
    </w:p>
    <w:p w14:paraId="4DB8D341">
      <w:pPr>
        <w:pStyle w:val="22"/>
        <w:ind w:firstLine="420" w:firstLineChars="200"/>
        <w:rPr>
          <w:rFonts w:hint="eastAsia" w:ascii="宋体" w:hAnsi="宋体" w:eastAsia="宋体" w:cs="宋体"/>
          <w:sz w:val="21"/>
          <w:szCs w:val="21"/>
          <w:highlight w:val="none"/>
        </w:rPr>
      </w:pPr>
      <w:bookmarkStart w:id="465" w:name="_Toc312678039"/>
      <w:bookmarkStart w:id="466" w:name="_Toc297123550"/>
      <w:bookmarkStart w:id="467" w:name="_Toc303539157"/>
      <w:bookmarkStart w:id="468" w:name="_Toc297120501"/>
      <w:bookmarkStart w:id="469" w:name="_Toc304295577"/>
      <w:bookmarkStart w:id="470" w:name="_Toc296891029"/>
      <w:bookmarkStart w:id="471" w:name="_Toc297048387"/>
      <w:bookmarkStart w:id="472" w:name="_Toc296944540"/>
      <w:bookmarkStart w:id="473" w:name="_Toc296346702"/>
      <w:bookmarkStart w:id="474" w:name="_Toc300935000"/>
      <w:bookmarkStart w:id="475" w:name="_Toc296347200"/>
      <w:bookmarkStart w:id="476" w:name="_Toc297216209"/>
      <w:bookmarkStart w:id="477" w:name="_Toc292559911"/>
      <w:bookmarkStart w:id="478" w:name="_Toc292559406"/>
      <w:bookmarkStart w:id="479" w:name="_Toc296891241"/>
      <w:bookmarkStart w:id="480" w:name="_Toc296503201"/>
      <w:r>
        <w:rPr>
          <w:rFonts w:hint="eastAsia" w:ascii="宋体" w:hAnsi="宋体" w:eastAsia="宋体" w:cs="宋体"/>
          <w:sz w:val="21"/>
          <w:szCs w:val="21"/>
          <w:highlight w:val="none"/>
        </w:rPr>
        <w:t>11.1 市场价格波动引起的调整</w:t>
      </w:r>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00885C62">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市场价格波动是否调整合同价格的约定：</w:t>
      </w:r>
      <w:r>
        <w:rPr>
          <w:rFonts w:hint="eastAsia" w:ascii="宋体" w:hAnsi="宋体" w:eastAsia="宋体" w:cs="宋体"/>
          <w:b/>
          <w:sz w:val="21"/>
          <w:szCs w:val="21"/>
          <w:highlight w:val="none"/>
          <w:u w:val="single"/>
        </w:rPr>
        <w:t>不调整</w:t>
      </w:r>
      <w:r>
        <w:rPr>
          <w:rFonts w:hint="eastAsia" w:ascii="宋体" w:hAnsi="宋体" w:eastAsia="宋体" w:cs="宋体"/>
          <w:sz w:val="21"/>
          <w:szCs w:val="21"/>
          <w:highlight w:val="none"/>
        </w:rPr>
        <w:t>。</w:t>
      </w:r>
    </w:p>
    <w:bookmarkEnd w:id="417"/>
    <w:bookmarkEnd w:id="418"/>
    <w:bookmarkEnd w:id="419"/>
    <w:bookmarkEnd w:id="420"/>
    <w:bookmarkEnd w:id="421"/>
    <w:bookmarkEnd w:id="422"/>
    <w:p w14:paraId="2F92612A">
      <w:pPr>
        <w:pStyle w:val="22"/>
        <w:ind w:firstLine="420" w:firstLineChars="200"/>
        <w:rPr>
          <w:rFonts w:hint="eastAsia" w:ascii="宋体" w:hAnsi="宋体" w:eastAsia="宋体" w:cs="宋体"/>
          <w:b/>
          <w:sz w:val="21"/>
          <w:szCs w:val="21"/>
          <w:highlight w:val="none"/>
        </w:rPr>
      </w:pPr>
      <w:bookmarkStart w:id="481" w:name="_Toc296944544"/>
      <w:bookmarkStart w:id="482" w:name="_Toc296891033"/>
      <w:bookmarkStart w:id="483" w:name="_Toc292559915"/>
      <w:bookmarkStart w:id="484" w:name="_Toc292559410"/>
      <w:bookmarkStart w:id="485" w:name="_Toc297048391"/>
      <w:bookmarkStart w:id="486" w:name="_Toc296346706"/>
      <w:bookmarkStart w:id="487" w:name="_Toc296503205"/>
      <w:bookmarkStart w:id="488" w:name="_Toc297120505"/>
      <w:bookmarkStart w:id="489" w:name="_Toc296891245"/>
      <w:bookmarkStart w:id="490" w:name="_Toc296347204"/>
      <w:bookmarkStart w:id="491" w:name="_Toc351203644"/>
      <w:bookmarkStart w:id="492" w:name="_Toc300935002"/>
      <w:bookmarkStart w:id="493" w:name="_Toc297123552"/>
      <w:bookmarkStart w:id="494" w:name="_Toc304295579"/>
      <w:bookmarkStart w:id="495" w:name="_Toc297216211"/>
      <w:bookmarkStart w:id="496" w:name="_Toc312678040"/>
      <w:bookmarkStart w:id="497" w:name="_Toc303539159"/>
      <w:r>
        <w:rPr>
          <w:rFonts w:hint="eastAsia" w:ascii="宋体" w:hAnsi="宋体" w:eastAsia="宋体" w:cs="宋体"/>
          <w:sz w:val="21"/>
          <w:szCs w:val="21"/>
          <w:highlight w:val="none"/>
        </w:rPr>
        <w:t xml:space="preserve">12. </w:t>
      </w:r>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sz w:val="21"/>
          <w:szCs w:val="21"/>
          <w:highlight w:val="none"/>
        </w:rPr>
        <w:t>合同价格、计量与支付</w:t>
      </w:r>
      <w:bookmarkEnd w:id="491"/>
    </w:p>
    <w:bookmarkEnd w:id="492"/>
    <w:bookmarkEnd w:id="493"/>
    <w:bookmarkEnd w:id="494"/>
    <w:bookmarkEnd w:id="495"/>
    <w:bookmarkEnd w:id="496"/>
    <w:bookmarkEnd w:id="497"/>
    <w:p w14:paraId="1CC1CB70">
      <w:pPr>
        <w:ind w:firstLine="420" w:firstLineChars="200"/>
        <w:jc w:val="left"/>
        <w:rPr>
          <w:rFonts w:hint="eastAsia" w:ascii="宋体" w:hAnsi="宋体" w:eastAsia="宋体" w:cs="宋体"/>
          <w:sz w:val="21"/>
          <w:szCs w:val="21"/>
          <w:highlight w:val="none"/>
        </w:rPr>
      </w:pPr>
      <w:bookmarkStart w:id="498" w:name="_Toc267251461"/>
      <w:bookmarkStart w:id="499" w:name="_Toc292559916"/>
      <w:bookmarkStart w:id="500" w:name="_Toc292559411"/>
      <w:bookmarkStart w:id="501" w:name="_Toc296503206"/>
      <w:bookmarkStart w:id="502" w:name="_Toc296891034"/>
      <w:bookmarkStart w:id="503" w:name="_Toc296944545"/>
      <w:bookmarkStart w:id="504" w:name="_Toc296891246"/>
      <w:bookmarkStart w:id="505" w:name="_Toc297120506"/>
      <w:bookmarkStart w:id="506" w:name="_Toc296346707"/>
      <w:bookmarkStart w:id="507" w:name="_Toc296347205"/>
      <w:bookmarkStart w:id="508" w:name="_Toc297048392"/>
      <w:bookmarkStart w:id="509" w:name="_Toc303539160"/>
      <w:bookmarkStart w:id="510" w:name="_Toc297216212"/>
      <w:bookmarkStart w:id="511" w:name="_Toc304295580"/>
      <w:bookmarkStart w:id="512" w:name="_Toc312678041"/>
      <w:bookmarkStart w:id="513" w:name="_Toc300935003"/>
      <w:bookmarkStart w:id="514" w:name="_Toc297123553"/>
      <w:r>
        <w:rPr>
          <w:rFonts w:hint="eastAsia" w:ascii="宋体" w:hAnsi="宋体" w:eastAsia="宋体" w:cs="宋体"/>
          <w:sz w:val="21"/>
          <w:szCs w:val="21"/>
          <w:highlight w:val="none"/>
        </w:rPr>
        <w:t>12.1 合</w:t>
      </w:r>
      <w:bookmarkEnd w:id="498"/>
      <w:bookmarkEnd w:id="499"/>
      <w:bookmarkEnd w:id="500"/>
      <w:r>
        <w:rPr>
          <w:rFonts w:hint="eastAsia" w:ascii="宋体" w:hAnsi="宋体" w:eastAsia="宋体" w:cs="宋体"/>
          <w:sz w:val="21"/>
          <w:szCs w:val="21"/>
          <w:highlight w:val="none"/>
        </w:rPr>
        <w:t>同价</w:t>
      </w:r>
      <w:bookmarkEnd w:id="501"/>
      <w:bookmarkEnd w:id="502"/>
      <w:bookmarkEnd w:id="503"/>
      <w:bookmarkEnd w:id="504"/>
      <w:bookmarkEnd w:id="505"/>
      <w:bookmarkEnd w:id="506"/>
      <w:bookmarkEnd w:id="507"/>
      <w:bookmarkEnd w:id="508"/>
      <w:r>
        <w:rPr>
          <w:rFonts w:hint="eastAsia" w:ascii="宋体" w:hAnsi="宋体" w:eastAsia="宋体" w:cs="宋体"/>
          <w:sz w:val="21"/>
          <w:szCs w:val="21"/>
          <w:highlight w:val="none"/>
        </w:rPr>
        <w:t xml:space="preserve">格形式: </w:t>
      </w:r>
      <w:r>
        <w:rPr>
          <w:rFonts w:hint="eastAsia" w:ascii="宋体" w:hAnsi="宋体" w:eastAsia="宋体" w:cs="宋体"/>
          <w:b/>
          <w:sz w:val="21"/>
          <w:szCs w:val="21"/>
          <w:highlight w:val="none"/>
          <w:u w:val="single"/>
        </w:rPr>
        <w:t>限定总价审计结算。</w:t>
      </w:r>
    </w:p>
    <w:bookmarkEnd w:id="509"/>
    <w:bookmarkEnd w:id="510"/>
    <w:bookmarkEnd w:id="511"/>
    <w:bookmarkEnd w:id="512"/>
    <w:bookmarkEnd w:id="513"/>
    <w:bookmarkEnd w:id="514"/>
    <w:p w14:paraId="18652992">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12.2 计量</w:t>
      </w:r>
    </w:p>
    <w:p w14:paraId="1671CAC1">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12.2.1 计量原则</w:t>
      </w:r>
    </w:p>
    <w:p w14:paraId="5AEB6341">
      <w:pPr>
        <w:ind w:firstLine="420" w:firstLineChars="200"/>
        <w:jc w:val="left"/>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工程量计算规则：</w:t>
      </w:r>
      <w:r>
        <w:rPr>
          <w:rFonts w:hint="eastAsia" w:ascii="宋体" w:hAnsi="宋体" w:eastAsia="宋体" w:cs="宋体"/>
          <w:b/>
          <w:color w:val="000000"/>
          <w:sz w:val="21"/>
          <w:szCs w:val="21"/>
          <w:highlight w:val="none"/>
          <w:u w:val="single"/>
        </w:rPr>
        <w:t>工程量计算规则执行国家标准《建设工程工程量清单计价规范》(GB50500—2013)或其适用的修订版本。</w:t>
      </w:r>
    </w:p>
    <w:p w14:paraId="10F3CD28">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12.2.2 计量周期</w:t>
      </w:r>
    </w:p>
    <w:p w14:paraId="0A965781">
      <w:pPr>
        <w:ind w:firstLine="420" w:firstLineChars="200"/>
        <w:jc w:val="left"/>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关于计量周期的约定：</w:t>
      </w:r>
      <w:r>
        <w:rPr>
          <w:rFonts w:hint="eastAsia" w:ascii="宋体" w:hAnsi="宋体" w:eastAsia="宋体" w:cs="宋体"/>
          <w:b/>
          <w:color w:val="000000"/>
          <w:sz w:val="21"/>
          <w:szCs w:val="21"/>
          <w:highlight w:val="none"/>
          <w:u w:val="single"/>
        </w:rPr>
        <w:t>按形象进度计量。</w:t>
      </w:r>
    </w:p>
    <w:p w14:paraId="11079646">
      <w:pPr>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highlight w:val="none"/>
        </w:rPr>
        <w:t>12.3 工程进度款支付</w:t>
      </w:r>
    </w:p>
    <w:p w14:paraId="06172FB8">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12.3.1双方约定的工程款支付的方式：项目验收合格后支付合同价的60%款项，审计后付至审计价的80%，验收合格一年后无质量问题付至审计价的90%，验收合格三年后无质量问题付至95%，余款待质保结束后无质量问题一次性无息付清。</w:t>
      </w:r>
    </w:p>
    <w:p w14:paraId="423F1BEE">
      <w:pPr>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12.3.2支付条件：承包人向发包人提供支付申请书及相关资料，经发包人确认后，予以支付。承包人须提供完整合法的发票和有效的支付手续，否则不予支付。</w:t>
      </w:r>
    </w:p>
    <w:p w14:paraId="0720CB58">
      <w:pPr>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12.3.3双方约定所有工程款项支付均由发包人以银行转账方式划入承包人账户。</w:t>
      </w:r>
    </w:p>
    <w:p w14:paraId="7102CC6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12.3.4工程款支付时应预留审定价款的5%作为质量保证金，工程缺陷责任期满后，无质量问题再行支付给承包人。</w:t>
      </w:r>
    </w:p>
    <w:bookmarkEnd w:id="423"/>
    <w:p w14:paraId="1666B8DC">
      <w:pPr>
        <w:pStyle w:val="22"/>
        <w:ind w:firstLine="420" w:firstLineChars="200"/>
        <w:rPr>
          <w:rFonts w:hint="eastAsia" w:ascii="宋体" w:hAnsi="宋体" w:eastAsia="宋体" w:cs="宋体"/>
          <w:b/>
          <w:sz w:val="21"/>
          <w:szCs w:val="21"/>
          <w:highlight w:val="none"/>
        </w:rPr>
      </w:pPr>
      <w:bookmarkStart w:id="515" w:name="_Toc351203645"/>
      <w:bookmarkStart w:id="516" w:name="_Toc296503219"/>
      <w:bookmarkStart w:id="517" w:name="_Toc303539172"/>
      <w:bookmarkStart w:id="518" w:name="_Toc296347218"/>
      <w:bookmarkStart w:id="519" w:name="_Toc297123564"/>
      <w:bookmarkStart w:id="520" w:name="_Toc297216223"/>
      <w:bookmarkStart w:id="521" w:name="_Toc296891259"/>
      <w:bookmarkStart w:id="522" w:name="_Toc297048405"/>
      <w:bookmarkStart w:id="523" w:name="_Toc300935015"/>
      <w:bookmarkStart w:id="524" w:name="_Toc296891047"/>
      <w:bookmarkStart w:id="525" w:name="_Toc292559424"/>
      <w:bookmarkStart w:id="526" w:name="_Toc296944558"/>
      <w:bookmarkStart w:id="527" w:name="_Toc292559929"/>
      <w:bookmarkStart w:id="528" w:name="_Toc304295593"/>
      <w:bookmarkStart w:id="529" w:name="_Toc297120519"/>
      <w:bookmarkStart w:id="530" w:name="_Toc312678053"/>
      <w:bookmarkStart w:id="531" w:name="_Toc296346720"/>
      <w:r>
        <w:rPr>
          <w:rFonts w:hint="eastAsia" w:ascii="宋体" w:hAnsi="宋体" w:eastAsia="宋体" w:cs="宋体"/>
          <w:sz w:val="21"/>
          <w:szCs w:val="21"/>
          <w:highlight w:val="none"/>
        </w:rPr>
        <w:t>13. 验收和工程试车</w:t>
      </w:r>
      <w:bookmarkEnd w:id="515"/>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14:paraId="6F592E2A">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3B883CAF">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13.1.1监理人不能按时进行验收时，应提前</w:t>
      </w:r>
      <w:r>
        <w:rPr>
          <w:rFonts w:hint="eastAsia" w:ascii="宋体" w:hAnsi="宋体" w:eastAsia="宋体" w:cs="宋体"/>
          <w:b/>
          <w:sz w:val="21"/>
          <w:szCs w:val="21"/>
          <w:highlight w:val="none"/>
          <w:u w:val="single"/>
        </w:rPr>
        <w:t>24</w:t>
      </w:r>
      <w:r>
        <w:rPr>
          <w:rFonts w:hint="eastAsia" w:ascii="宋体" w:hAnsi="宋体" w:eastAsia="宋体" w:cs="宋体"/>
          <w:sz w:val="21"/>
          <w:szCs w:val="21"/>
          <w:highlight w:val="none"/>
        </w:rPr>
        <w:t>小时提交书面延期要求。</w:t>
      </w:r>
    </w:p>
    <w:p w14:paraId="5D7E7E92">
      <w:pPr>
        <w:ind w:firstLine="420" w:firstLineChars="200"/>
        <w:jc w:val="left"/>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b/>
          <w:sz w:val="21"/>
          <w:szCs w:val="21"/>
          <w:highlight w:val="none"/>
          <w:u w:val="single"/>
        </w:rPr>
        <w:t>48</w:t>
      </w:r>
      <w:r>
        <w:rPr>
          <w:rFonts w:hint="eastAsia" w:ascii="宋体" w:hAnsi="宋体" w:eastAsia="宋体" w:cs="宋体"/>
          <w:sz w:val="21"/>
          <w:szCs w:val="21"/>
          <w:highlight w:val="none"/>
        </w:rPr>
        <w:t>小时。</w:t>
      </w:r>
    </w:p>
    <w:p w14:paraId="28D70C17">
      <w:pPr>
        <w:pStyle w:val="22"/>
        <w:ind w:firstLine="420" w:firstLineChars="200"/>
        <w:rPr>
          <w:rFonts w:hint="eastAsia" w:ascii="宋体" w:hAnsi="宋体" w:eastAsia="宋体" w:cs="宋体"/>
          <w:sz w:val="21"/>
          <w:szCs w:val="21"/>
          <w:highlight w:val="none"/>
        </w:rPr>
      </w:pPr>
      <w:bookmarkStart w:id="532" w:name="_Toc297120523"/>
      <w:bookmarkStart w:id="533" w:name="_Toc312678056"/>
      <w:bookmarkStart w:id="534" w:name="_Toc297048409"/>
      <w:bookmarkStart w:id="535" w:name="_Toc300935016"/>
      <w:bookmarkStart w:id="536" w:name="_Toc297123565"/>
      <w:bookmarkStart w:id="537" w:name="_Toc296944562"/>
      <w:bookmarkStart w:id="538" w:name="_Toc304295596"/>
      <w:bookmarkStart w:id="539" w:name="_Toc296347222"/>
      <w:bookmarkStart w:id="540" w:name="_Toc292559428"/>
      <w:bookmarkStart w:id="541" w:name="_Toc296503223"/>
      <w:bookmarkStart w:id="542" w:name="_Toc296891051"/>
      <w:bookmarkStart w:id="543" w:name="_Toc303539173"/>
      <w:bookmarkStart w:id="544" w:name="_Toc292559933"/>
      <w:bookmarkStart w:id="545" w:name="_Toc296346724"/>
      <w:bookmarkStart w:id="546" w:name="_Toc296891263"/>
      <w:bookmarkStart w:id="547" w:name="_Toc297216224"/>
      <w:bookmarkStart w:id="548" w:name="_Toc267251471"/>
      <w:bookmarkStart w:id="549" w:name="_Toc267251473"/>
      <w:bookmarkStart w:id="550" w:name="_Toc267251476"/>
      <w:bookmarkStart w:id="551" w:name="_Toc267251472"/>
      <w:bookmarkStart w:id="552" w:name="_Toc267251475"/>
      <w:bookmarkStart w:id="553" w:name="_Toc267251470"/>
      <w:bookmarkStart w:id="554" w:name="_Toc267251474"/>
      <w:r>
        <w:rPr>
          <w:rFonts w:hint="eastAsia" w:ascii="宋体" w:hAnsi="宋体" w:eastAsia="宋体" w:cs="宋体"/>
          <w:sz w:val="21"/>
          <w:szCs w:val="21"/>
          <w:highlight w:val="none"/>
        </w:rPr>
        <w:t>13.2 竣工验收</w:t>
      </w:r>
    </w:p>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14:paraId="275C742E">
      <w:pPr>
        <w:ind w:firstLine="422" w:firstLineChars="200"/>
        <w:jc w:val="left"/>
        <w:rPr>
          <w:rFonts w:hint="eastAsia" w:ascii="宋体" w:hAnsi="宋体" w:eastAsia="宋体" w:cs="宋体"/>
          <w:b/>
          <w:sz w:val="21"/>
          <w:szCs w:val="21"/>
          <w:highlight w:val="none"/>
          <w:u w:val="single"/>
        </w:rPr>
      </w:pPr>
      <w:bookmarkStart w:id="555" w:name="_Toc280868708"/>
      <w:bookmarkStart w:id="556" w:name="_Toc280868707"/>
      <w:bookmarkStart w:id="557" w:name="_Toc280868706"/>
      <w:bookmarkStart w:id="558" w:name="_Toc280868709"/>
      <w:r>
        <w:rPr>
          <w:rFonts w:hint="eastAsia" w:ascii="宋体" w:hAnsi="宋体" w:eastAsia="宋体" w:cs="宋体"/>
          <w:b/>
          <w:sz w:val="21"/>
          <w:szCs w:val="21"/>
          <w:highlight w:val="none"/>
          <w:u w:val="single"/>
        </w:rPr>
        <w:t>由项目单位主管领导组织初验。大型、复杂或者技术性很强的政府采购项目，应当首先邀请国家认可的质量检测机构验收合格。国家规定强制性检测的采购项目，项目单位必须委托国家认可专业检测机构进行验收合格。初验合格后，向国资处提供竣工验收资料（初验合格报告、采购文件及附件、投标文件及附件、政府采购合同、竣工图纸、施工单位工程竣工报告、监理单位工程竣工质量评价报告、工程质量控制资料记录等），由学校牵头，验收工作组成员不少于5人。验收合格后，要按照本合同约定的支付方式，提交支付申请、验收报告等资料，办理资金支付手续。</w:t>
      </w:r>
    </w:p>
    <w:p w14:paraId="2573F6C0">
      <w:pPr>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项目施工过程中的主要材料检测及竣工后环境质量检测等检测服务费用由施工单位承担（检测项目由校方核定，数量参照国家有关标准）。</w:t>
      </w:r>
    </w:p>
    <w:bookmarkEnd w:id="555"/>
    <w:bookmarkEnd w:id="556"/>
    <w:bookmarkEnd w:id="557"/>
    <w:p w14:paraId="3B500B3A">
      <w:pPr>
        <w:pStyle w:val="22"/>
        <w:ind w:firstLine="420" w:firstLineChars="200"/>
        <w:rPr>
          <w:rFonts w:hint="eastAsia" w:ascii="宋体" w:hAnsi="宋体" w:eastAsia="宋体" w:cs="宋体"/>
          <w:sz w:val="21"/>
          <w:szCs w:val="21"/>
          <w:highlight w:val="none"/>
        </w:rPr>
      </w:pPr>
      <w:bookmarkStart w:id="559" w:name="_Toc351203646"/>
      <w:r>
        <w:rPr>
          <w:rFonts w:hint="eastAsia" w:ascii="宋体" w:hAnsi="宋体" w:eastAsia="宋体" w:cs="宋体"/>
          <w:sz w:val="21"/>
          <w:szCs w:val="21"/>
          <w:highlight w:val="none"/>
        </w:rPr>
        <w:t>14. 竣工结算</w:t>
      </w:r>
      <w:bookmarkEnd w:id="559"/>
    </w:p>
    <w:p w14:paraId="3A5E4DF2">
      <w:pPr>
        <w:widowControl/>
        <w:ind w:firstLine="422" w:firstLineChars="200"/>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14.1 本工程采用限定总价审计结算方法，按合同以中标单价与实际完成并经验收合格的工程量计算总价，经审计后确认合同审计总价，但合同审计总价不得高于中标总价（不包含签证变更部分）。</w:t>
      </w:r>
    </w:p>
    <w:p w14:paraId="72B79BBD">
      <w:pPr>
        <w:widowControl/>
        <w:ind w:firstLine="422" w:firstLineChars="200"/>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14.2 结算总价=合同审计总价+签证变更审计总价</w:t>
      </w:r>
    </w:p>
    <w:p w14:paraId="7B6D5E65">
      <w:pPr>
        <w:widowControl/>
        <w:ind w:firstLine="422" w:firstLineChars="200"/>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14.3工程竣工验收合格后，承包人应于20个工作日内提交一式三份包含完整竣工图及签证变更台账在内的全套结算资料，其内容、格式及准确性须满足发包人的审核要求。发包人发现资料存在虚假、重复、重大遗漏或不符合要求的，承包人应在收到通知后10个工作日内一次性补正。承包人拒绝补正或累计补正两次仍不符合要求的，发包人有权暂停结算审核，由此导致的审核周期延长、费用增加等全部后果由承包人承担，发包人有权从应付工程款中直接扣除因此增加的费用。</w:t>
      </w:r>
    </w:p>
    <w:p w14:paraId="0A513669">
      <w:pPr>
        <w:widowControl/>
        <w:ind w:firstLine="422" w:firstLineChars="200"/>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14.4 竣工结算按以下程序审核：发包人项目管理单位初审后，由发包人委托的审核单位进行结算审核，再由发包人委托的复审单位进行复审。承包人应积极配合各阶段审核工作，无正当理由拒不配合的，发包人可依据已有资料自行确定结算价款。承包人同意以复审结果作为本工程价款的最终结算依据。审核工作完成后，承包人应在一个月内书面确认审核结果；逾期未确认的，视为认可该审核结果。</w:t>
      </w:r>
    </w:p>
    <w:p w14:paraId="54607AD4">
      <w:pPr>
        <w:widowControl/>
        <w:ind w:firstLine="422" w:firstLineChars="200"/>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14.5本工程审计核减率=（承包人送审金额-最终审定金额）/承包人送审金额×100%。审核费用承担方式约定如下：若核减率低于5%，全部审核费用由发包人承担；若核减率达到或超过5%（含5%），全部审核费用由承包人承担，发包人有权从应付工程款中直接扣除。</w:t>
      </w:r>
    </w:p>
    <w:bookmarkEnd w:id="548"/>
    <w:bookmarkEnd w:id="549"/>
    <w:bookmarkEnd w:id="550"/>
    <w:bookmarkEnd w:id="551"/>
    <w:bookmarkEnd w:id="552"/>
    <w:bookmarkEnd w:id="553"/>
    <w:bookmarkEnd w:id="554"/>
    <w:bookmarkEnd w:id="558"/>
    <w:p w14:paraId="215E92E3">
      <w:pPr>
        <w:pStyle w:val="22"/>
        <w:ind w:firstLine="420" w:firstLineChars="200"/>
        <w:rPr>
          <w:rFonts w:hint="eastAsia" w:ascii="宋体" w:hAnsi="宋体" w:eastAsia="宋体" w:cs="宋体"/>
          <w:b/>
          <w:sz w:val="21"/>
          <w:szCs w:val="21"/>
          <w:highlight w:val="none"/>
        </w:rPr>
      </w:pPr>
      <w:bookmarkStart w:id="560" w:name="_Toc351203647"/>
      <w:bookmarkStart w:id="561" w:name="_Toc267251483"/>
      <w:bookmarkStart w:id="562" w:name="_Toc267251490"/>
      <w:bookmarkStart w:id="563" w:name="_Toc267251484"/>
      <w:bookmarkStart w:id="564" w:name="_Toc267251482"/>
      <w:bookmarkStart w:id="565" w:name="_Toc267251486"/>
      <w:bookmarkStart w:id="566" w:name="_Toc267251488"/>
      <w:bookmarkStart w:id="567" w:name="_Toc267251489"/>
      <w:bookmarkStart w:id="568" w:name="_Toc267251485"/>
      <w:bookmarkStart w:id="569" w:name="_Toc267251496"/>
      <w:bookmarkStart w:id="570" w:name="_Toc267251492"/>
      <w:bookmarkStart w:id="571" w:name="_Toc267251497"/>
      <w:bookmarkStart w:id="572" w:name="_Toc267251502"/>
      <w:bookmarkStart w:id="573" w:name="_Toc267251491"/>
      <w:bookmarkStart w:id="574" w:name="_Toc267251499"/>
      <w:bookmarkStart w:id="575" w:name="_Toc267251494"/>
      <w:bookmarkStart w:id="576" w:name="_Toc267251498"/>
      <w:bookmarkStart w:id="577" w:name="_Toc267251503"/>
      <w:bookmarkStart w:id="578" w:name="_Toc267251493"/>
      <w:bookmarkStart w:id="579" w:name="_Toc267251501"/>
      <w:bookmarkStart w:id="580" w:name="_Toc267251495"/>
      <w:bookmarkStart w:id="581" w:name="_Toc267251504"/>
      <w:bookmarkStart w:id="582" w:name="_Toc267251506"/>
      <w:bookmarkStart w:id="583" w:name="_Toc267251507"/>
      <w:bookmarkStart w:id="584" w:name="_Toc267251508"/>
      <w:bookmarkStart w:id="585" w:name="_Toc267251514"/>
      <w:bookmarkStart w:id="586" w:name="_Toc267251515"/>
      <w:bookmarkStart w:id="587" w:name="_Toc267251509"/>
      <w:bookmarkStart w:id="588" w:name="_Toc267251510"/>
      <w:bookmarkStart w:id="589" w:name="_Toc267251511"/>
      <w:bookmarkStart w:id="590" w:name="_Toc267251513"/>
      <w:r>
        <w:rPr>
          <w:rFonts w:hint="eastAsia" w:ascii="宋体" w:hAnsi="宋体" w:eastAsia="宋体" w:cs="宋体"/>
          <w:sz w:val="21"/>
          <w:szCs w:val="21"/>
          <w:highlight w:val="none"/>
        </w:rPr>
        <w:t>15. 缺陷责任期与保修</w:t>
      </w:r>
      <w:bookmarkEnd w:id="560"/>
    </w:p>
    <w:bookmarkEnd w:id="561"/>
    <w:p w14:paraId="7D529FE1">
      <w:pPr>
        <w:pStyle w:val="22"/>
        <w:ind w:firstLine="422" w:firstLineChars="200"/>
        <w:rPr>
          <w:rFonts w:hint="eastAsia" w:ascii="宋体" w:hAnsi="宋体" w:eastAsia="宋体" w:cs="宋体"/>
          <w:sz w:val="21"/>
          <w:szCs w:val="21"/>
          <w:highlight w:val="none"/>
        </w:rPr>
      </w:pPr>
      <w:r>
        <w:rPr>
          <w:rFonts w:hint="eastAsia" w:ascii="宋体" w:hAnsi="宋体" w:eastAsia="宋体" w:cs="宋体"/>
          <w:b/>
          <w:bCs/>
          <w:sz w:val="21"/>
          <w:szCs w:val="21"/>
          <w:highlight w:val="none"/>
        </w:rPr>
        <w:t>本项目质保期</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 5</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年</w:t>
      </w:r>
      <w:r>
        <w:rPr>
          <w:rFonts w:hint="eastAsia" w:ascii="宋体" w:hAnsi="宋体" w:eastAsia="宋体" w:cs="宋体"/>
          <w:sz w:val="21"/>
          <w:szCs w:val="21"/>
          <w:highlight w:val="none"/>
        </w:rPr>
        <w:t>，质量保修期从工程竣工验收合格之日起计算，具体保修范围、保修期限、保修责任、保修金的支付、返还应按《建设工程质量管理条例》和《房屋建筑工程质量保修办法》及双方约定执行。</w:t>
      </w:r>
    </w:p>
    <w:bookmarkEnd w:id="562"/>
    <w:bookmarkEnd w:id="563"/>
    <w:bookmarkEnd w:id="564"/>
    <w:bookmarkEnd w:id="565"/>
    <w:bookmarkEnd w:id="566"/>
    <w:bookmarkEnd w:id="567"/>
    <w:bookmarkEnd w:id="568"/>
    <w:p w14:paraId="27DD5B19">
      <w:pPr>
        <w:pStyle w:val="22"/>
        <w:ind w:firstLine="420" w:firstLineChars="200"/>
        <w:rPr>
          <w:rFonts w:hint="eastAsia" w:ascii="宋体" w:hAnsi="宋体" w:eastAsia="宋体" w:cs="宋体"/>
          <w:b/>
          <w:sz w:val="21"/>
          <w:szCs w:val="21"/>
          <w:highlight w:val="none"/>
        </w:rPr>
      </w:pPr>
      <w:bookmarkStart w:id="591" w:name="_Toc351203648"/>
      <w:bookmarkStart w:id="592" w:name="_Toc280868717"/>
      <w:bookmarkStart w:id="593" w:name="_Toc280868718"/>
      <w:r>
        <w:rPr>
          <w:rFonts w:hint="eastAsia" w:ascii="宋体" w:hAnsi="宋体" w:eastAsia="宋体" w:cs="宋体"/>
          <w:sz w:val="21"/>
          <w:szCs w:val="21"/>
          <w:highlight w:val="none"/>
        </w:rPr>
        <w:t>16. 违约</w:t>
      </w:r>
      <w:bookmarkEnd w:id="591"/>
    </w:p>
    <w:p w14:paraId="15C2ECE7">
      <w:pPr>
        <w:pStyle w:val="22"/>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16.1 </w:t>
      </w:r>
      <w:r>
        <w:rPr>
          <w:rFonts w:hint="eastAsia" w:ascii="宋体" w:hAnsi="宋体" w:eastAsia="宋体" w:cs="宋体"/>
          <w:sz w:val="21"/>
          <w:szCs w:val="21"/>
          <w:highlight w:val="none"/>
          <w:lang w:val="zh-CN"/>
        </w:rPr>
        <w:t>承包方的责任：</w:t>
      </w:r>
    </w:p>
    <w:p w14:paraId="55C63A03">
      <w:pPr>
        <w:autoSpaceDE w:val="0"/>
        <w:autoSpaceDN w:val="0"/>
        <w:ind w:firstLine="422" w:firstLineChars="20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工程质量不符合合同规定，负责无偿修理或返工。由于修理返工或承包方其他原因造成工程竣工交付时间延期，</w:t>
      </w:r>
      <w:r>
        <w:rPr>
          <w:rFonts w:hint="eastAsia" w:ascii="宋体" w:hAnsi="宋体" w:eastAsia="宋体" w:cs="宋体"/>
          <w:b/>
          <w:kern w:val="0"/>
          <w:sz w:val="21"/>
          <w:szCs w:val="21"/>
          <w:highlight w:val="none"/>
          <w:u w:val="single"/>
        </w:rPr>
        <w:t>合同总金额的5%</w:t>
      </w:r>
      <w:r>
        <w:rPr>
          <w:rFonts w:hint="eastAsia" w:ascii="宋体" w:hAnsi="宋体" w:eastAsia="宋体" w:cs="宋体"/>
          <w:b/>
          <w:kern w:val="0"/>
          <w:sz w:val="21"/>
          <w:szCs w:val="21"/>
          <w:highlight w:val="none"/>
          <w:u w:val="single"/>
          <w:lang w:val="zh-CN"/>
        </w:rPr>
        <w:t>予以扣除。</w:t>
      </w:r>
    </w:p>
    <w:p w14:paraId="63CA91D1">
      <w:pPr>
        <w:autoSpaceDE w:val="0"/>
        <w:autoSpaceDN w:val="0"/>
        <w:ind w:firstLine="422" w:firstLineChars="200"/>
        <w:jc w:val="left"/>
        <w:rPr>
          <w:rFonts w:hint="eastAsia" w:ascii="宋体" w:hAnsi="宋体" w:eastAsia="宋体" w:cs="宋体"/>
          <w:b/>
          <w:kern w:val="0"/>
          <w:sz w:val="21"/>
          <w:szCs w:val="21"/>
          <w:highlight w:val="none"/>
          <w:u w:val="single"/>
        </w:rPr>
      </w:pPr>
      <w:r>
        <w:rPr>
          <w:rFonts w:hint="eastAsia" w:ascii="宋体" w:hAnsi="宋体" w:eastAsia="宋体" w:cs="宋体"/>
          <w:b/>
          <w:kern w:val="0"/>
          <w:sz w:val="21"/>
          <w:szCs w:val="21"/>
          <w:highlight w:val="none"/>
          <w:u w:val="single"/>
        </w:rPr>
        <w:t>若发包人发现承包人违法转包、分包，发包人有权解除合同。由此给发包人造成的一切损失有承包人承担。</w:t>
      </w:r>
    </w:p>
    <w:p w14:paraId="3DBA76D3">
      <w:pPr>
        <w:autoSpaceDE w:val="0"/>
        <w:autoSpaceDN w:val="0"/>
        <w:ind w:firstLine="422" w:firstLineChars="200"/>
        <w:jc w:val="left"/>
        <w:rPr>
          <w:rFonts w:hint="eastAsia" w:ascii="宋体" w:hAnsi="宋体" w:eastAsia="宋体" w:cs="宋体"/>
          <w:b/>
          <w:color w:val="auto"/>
          <w:kern w:val="0"/>
          <w:sz w:val="21"/>
          <w:szCs w:val="21"/>
          <w:highlight w:val="none"/>
          <w:u w:val="single"/>
          <w:lang w:val="zh-CN"/>
        </w:rPr>
      </w:pPr>
      <w:r>
        <w:rPr>
          <w:rFonts w:hint="eastAsia" w:ascii="宋体" w:hAnsi="宋体" w:eastAsia="宋体" w:cs="宋体"/>
          <w:b/>
          <w:color w:val="auto"/>
          <w:kern w:val="0"/>
          <w:sz w:val="21"/>
          <w:szCs w:val="21"/>
          <w:highlight w:val="none"/>
          <w:u w:val="single"/>
          <w:lang w:val="zh-CN"/>
        </w:rPr>
        <w:t xml:space="preserve">施工单位进场后必须在开工前将有关资质证明资料复印件加盖公章报甲方及监理单位备案，不报或未按时报罚款1000 元。 </w:t>
      </w:r>
    </w:p>
    <w:p w14:paraId="7406218F">
      <w:pPr>
        <w:autoSpaceDE w:val="0"/>
        <w:autoSpaceDN w:val="0"/>
        <w:ind w:firstLine="422" w:firstLineChars="200"/>
        <w:jc w:val="left"/>
        <w:rPr>
          <w:rFonts w:hint="eastAsia" w:ascii="宋体" w:hAnsi="宋体" w:eastAsia="宋体" w:cs="宋体"/>
          <w:b/>
          <w:color w:val="auto"/>
          <w:kern w:val="0"/>
          <w:sz w:val="21"/>
          <w:szCs w:val="21"/>
          <w:highlight w:val="none"/>
          <w:u w:val="single"/>
          <w:lang w:val="zh-CN"/>
        </w:rPr>
      </w:pPr>
      <w:r>
        <w:rPr>
          <w:rFonts w:hint="eastAsia" w:ascii="宋体" w:hAnsi="宋体" w:eastAsia="宋体" w:cs="宋体"/>
          <w:b/>
          <w:color w:val="auto"/>
          <w:kern w:val="0"/>
          <w:sz w:val="21"/>
          <w:szCs w:val="21"/>
          <w:highlight w:val="none"/>
          <w:u w:val="single"/>
          <w:lang w:val="zh-CN"/>
        </w:rPr>
        <w:t xml:space="preserve">现场所使用材料设备（品牌或厂家等）需提供采购单据，并经甲方审查确认后使用，违者除材料退场外还将罚款2000元/次。 </w:t>
      </w:r>
    </w:p>
    <w:p w14:paraId="40D30839">
      <w:pPr>
        <w:autoSpaceDE w:val="0"/>
        <w:autoSpaceDN w:val="0"/>
        <w:ind w:firstLine="422" w:firstLineChars="200"/>
        <w:jc w:val="left"/>
        <w:rPr>
          <w:rFonts w:hint="eastAsia" w:ascii="宋体" w:hAnsi="宋体" w:eastAsia="宋体" w:cs="宋体"/>
          <w:b/>
          <w:color w:val="auto"/>
          <w:kern w:val="0"/>
          <w:sz w:val="21"/>
          <w:szCs w:val="21"/>
          <w:highlight w:val="none"/>
          <w:u w:val="single"/>
          <w:lang w:val="zh-CN"/>
        </w:rPr>
      </w:pPr>
      <w:r>
        <w:rPr>
          <w:rFonts w:hint="eastAsia" w:ascii="宋体" w:hAnsi="宋体" w:eastAsia="宋体" w:cs="宋体"/>
          <w:b/>
          <w:color w:val="auto"/>
          <w:kern w:val="0"/>
          <w:sz w:val="21"/>
          <w:szCs w:val="21"/>
          <w:highlight w:val="none"/>
          <w:u w:val="single"/>
          <w:lang w:val="zh-CN"/>
        </w:rPr>
        <w:t xml:space="preserve">材料设备进场后施工单位应进行自检，自检合格后向监理机构报验。报验时应提交厂家资质证书、出厂检验单、出厂合格证和一年内有效的质量抽检报告，对于重要的材料还应进行见证取样送检，经进场检验合格后方可使用，违者每次罚款3000元。 </w:t>
      </w:r>
    </w:p>
    <w:p w14:paraId="411049EA">
      <w:pPr>
        <w:autoSpaceDE w:val="0"/>
        <w:autoSpaceDN w:val="0"/>
        <w:ind w:firstLine="422" w:firstLineChars="200"/>
        <w:jc w:val="left"/>
        <w:rPr>
          <w:rFonts w:hint="eastAsia" w:ascii="宋体" w:hAnsi="宋体" w:eastAsia="宋体" w:cs="宋体"/>
          <w:b/>
          <w:color w:val="auto"/>
          <w:kern w:val="0"/>
          <w:sz w:val="21"/>
          <w:szCs w:val="21"/>
          <w:highlight w:val="none"/>
          <w:u w:val="single"/>
          <w:lang w:val="zh-CN"/>
        </w:rPr>
      </w:pPr>
      <w:r>
        <w:rPr>
          <w:rFonts w:hint="eastAsia" w:ascii="宋体" w:hAnsi="宋体" w:eastAsia="宋体" w:cs="宋体"/>
          <w:b/>
          <w:color w:val="auto"/>
          <w:kern w:val="0"/>
          <w:sz w:val="21"/>
          <w:szCs w:val="21"/>
          <w:highlight w:val="none"/>
          <w:u w:val="single"/>
          <w:lang w:val="zh-CN"/>
        </w:rPr>
        <w:t>对重要的工序、隐蔽工程进行双控，施工单位应提交“工程报验申请表”（监理表格）经监理机构初验后报甲方进行复验，验收合格后方可进行下道工序施工，违者罚款 1000 元/次。甲方、监理对工程质量提出整改要求时，施工单位必须积极主动配合落实，按时完成整改。对整改不按时或有意推脱的每项/次罚款1000元。</w:t>
      </w:r>
    </w:p>
    <w:p w14:paraId="48C10A98">
      <w:pPr>
        <w:autoSpaceDE w:val="0"/>
        <w:autoSpaceDN w:val="0"/>
        <w:ind w:firstLine="420" w:firstLineChars="2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rPr>
        <w:t xml:space="preserve">16.2 </w:t>
      </w:r>
      <w:r>
        <w:rPr>
          <w:rFonts w:hint="eastAsia" w:ascii="宋体" w:hAnsi="宋体" w:eastAsia="宋体" w:cs="宋体"/>
          <w:kern w:val="0"/>
          <w:sz w:val="21"/>
          <w:szCs w:val="21"/>
          <w:highlight w:val="none"/>
          <w:lang w:val="zh-CN"/>
        </w:rPr>
        <w:t>发包方的责任：</w:t>
      </w:r>
    </w:p>
    <w:p w14:paraId="719F22E2">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发包人违约责任的承担方式和计算方法：</w:t>
      </w:r>
    </w:p>
    <w:p w14:paraId="6FC534FE">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（1）因发包人原因未能在计划开工日期前7天内下达开工通知的违约责任：  /  。</w:t>
      </w:r>
    </w:p>
    <w:p w14:paraId="237047C4">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（2）因发包人原因未能按合同约定支付合同价款的违约责任：     双方另行确定  。</w:t>
      </w:r>
    </w:p>
    <w:p w14:paraId="5784B234">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 xml:space="preserve">（3）发包人违反第10.1款〔变更的范围〕第（2）项约定，自行实施被取消的工作或转由他人实施的违约责任：     双方另行确定。 </w:t>
      </w:r>
    </w:p>
    <w:p w14:paraId="525FA19D">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（4）发包人提供的材料、工程设备的规格、数量或质量不符合合同约定，或因发包人原因导致交货日期延误或交货地点变更等情况的违约责任：   /   。</w:t>
      </w:r>
    </w:p>
    <w:p w14:paraId="36F0FFB0">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（5）因发包人违反合同约定造成暂停施工的违约责任： / 。</w:t>
      </w:r>
    </w:p>
    <w:p w14:paraId="2E318068">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（6）发包人无正当理由没有在约定期限内发出复工指示，导致承包人无法复工的违约责任：      /                 。</w:t>
      </w:r>
    </w:p>
    <w:p w14:paraId="08EFD9E9">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（7）其他：          /                           。</w:t>
      </w:r>
    </w:p>
    <w:p w14:paraId="72E0B28C">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16.1.3 因发包人违约解除合同</w:t>
      </w:r>
    </w:p>
    <w:p w14:paraId="6CA71C75">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承包人按16.1.1项〔发包人违约的情形〕约定暂停施工满   / 天后发包人仍不纠正其违约行为并致使合同目的不能实现的，承包人有权解除合同。</w:t>
      </w:r>
    </w:p>
    <w:p w14:paraId="589307A7">
      <w:pPr>
        <w:autoSpaceDE w:val="0"/>
        <w:autoSpaceDN w:val="0"/>
        <w:ind w:firstLine="527" w:firstLineChars="250"/>
        <w:jc w:val="left"/>
        <w:rPr>
          <w:rFonts w:hint="eastAsia" w:ascii="宋体" w:hAnsi="宋体" w:eastAsia="宋体" w:cs="宋体"/>
          <w:b/>
          <w:kern w:val="0"/>
          <w:sz w:val="21"/>
          <w:szCs w:val="21"/>
          <w:highlight w:val="none"/>
          <w:u w:val="single"/>
          <w:lang w:val="zh-CN"/>
        </w:rPr>
      </w:pPr>
      <w:r>
        <w:rPr>
          <w:rFonts w:hint="eastAsia" w:ascii="宋体" w:hAnsi="宋体" w:eastAsia="宋体" w:cs="宋体"/>
          <w:b/>
          <w:kern w:val="0"/>
          <w:sz w:val="21"/>
          <w:szCs w:val="21"/>
          <w:highlight w:val="none"/>
          <w:u w:val="single"/>
          <w:lang w:val="zh-CN"/>
        </w:rPr>
        <w:t>工程中途停建、缓建或由于设计变更错误造成的停工180天，应采取措施弥补或减少损失。</w:t>
      </w:r>
    </w:p>
    <w:p w14:paraId="55ACC100">
      <w:pPr>
        <w:pStyle w:val="22"/>
        <w:ind w:firstLine="420" w:firstLineChars="200"/>
        <w:rPr>
          <w:rFonts w:hint="eastAsia" w:ascii="宋体" w:hAnsi="宋体" w:eastAsia="宋体" w:cs="宋体"/>
          <w:b/>
          <w:sz w:val="21"/>
          <w:szCs w:val="21"/>
          <w:highlight w:val="none"/>
        </w:rPr>
      </w:pPr>
      <w:bookmarkStart w:id="594" w:name="_Toc351203649"/>
      <w:r>
        <w:rPr>
          <w:rFonts w:hint="eastAsia" w:ascii="宋体" w:hAnsi="宋体" w:eastAsia="宋体" w:cs="宋体"/>
          <w:sz w:val="21"/>
          <w:szCs w:val="21"/>
          <w:highlight w:val="none"/>
        </w:rPr>
        <w:t>17. 不可抗力</w:t>
      </w:r>
      <w:bookmarkEnd w:id="594"/>
      <w:r>
        <w:rPr>
          <w:rFonts w:hint="eastAsia" w:ascii="宋体" w:hAnsi="宋体" w:eastAsia="宋体" w:cs="宋体"/>
          <w:sz w:val="21"/>
          <w:szCs w:val="21"/>
          <w:highlight w:val="none"/>
        </w:rPr>
        <w:t xml:space="preserve"> </w:t>
      </w:r>
      <w:bookmarkEnd w:id="592"/>
    </w:p>
    <w:p w14:paraId="379F8C5B">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2C7E60F8">
      <w:pPr>
        <w:pStyle w:val="22"/>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 </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99ADD54">
      <w:pPr>
        <w:pStyle w:val="22"/>
        <w:ind w:firstLine="420" w:firstLineChars="200"/>
        <w:rPr>
          <w:rFonts w:hint="eastAsia" w:ascii="宋体" w:hAnsi="宋体" w:eastAsia="宋体" w:cs="宋体"/>
          <w:b/>
          <w:sz w:val="21"/>
          <w:szCs w:val="21"/>
          <w:highlight w:val="none"/>
        </w:rPr>
      </w:pPr>
      <w:bookmarkStart w:id="595" w:name="_Toc351203650"/>
      <w:r>
        <w:rPr>
          <w:rFonts w:hint="eastAsia" w:ascii="宋体" w:hAnsi="宋体" w:eastAsia="宋体" w:cs="宋体"/>
          <w:sz w:val="21"/>
          <w:szCs w:val="21"/>
          <w:highlight w:val="none"/>
        </w:rPr>
        <w:t>18. 保险</w:t>
      </w:r>
      <w:bookmarkEnd w:id="595"/>
    </w:p>
    <w:bookmarkEnd w:id="593"/>
    <w:p w14:paraId="1B4A67ED">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18.1 工程保险</w:t>
      </w:r>
    </w:p>
    <w:p w14:paraId="18038561">
      <w:pPr>
        <w:ind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关于工程保险的特别约定：</w:t>
      </w:r>
      <w:r>
        <w:rPr>
          <w:rFonts w:hint="eastAsia" w:ascii="宋体" w:hAnsi="宋体" w:eastAsia="宋体" w:cs="宋体"/>
          <w:b/>
          <w:color w:val="000000"/>
          <w:kern w:val="0"/>
          <w:sz w:val="21"/>
          <w:szCs w:val="21"/>
          <w:highlight w:val="none"/>
          <w:u w:val="single"/>
        </w:rPr>
        <w:t>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p>
    <w:p w14:paraId="6D3CD39F">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18.2 其他保险</w:t>
      </w:r>
    </w:p>
    <w:p w14:paraId="593AE669">
      <w:pPr>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关于其他保险的约定：</w:t>
      </w:r>
      <w:r>
        <w:rPr>
          <w:rFonts w:hint="eastAsia" w:ascii="宋体" w:hAnsi="宋体" w:eastAsia="宋体" w:cs="宋体"/>
          <w:color w:val="000000"/>
          <w:kern w:val="0"/>
          <w:sz w:val="21"/>
          <w:szCs w:val="21"/>
          <w:highlight w:val="none"/>
          <w:u w:val="single"/>
        </w:rPr>
        <w:t xml:space="preserve"> / </w:t>
      </w:r>
      <w:r>
        <w:rPr>
          <w:rFonts w:hint="eastAsia" w:ascii="宋体" w:hAnsi="宋体" w:eastAsia="宋体" w:cs="宋体"/>
          <w:color w:val="000000"/>
          <w:kern w:val="0"/>
          <w:sz w:val="21"/>
          <w:szCs w:val="21"/>
          <w:highlight w:val="none"/>
        </w:rPr>
        <w:t>。</w:t>
      </w:r>
    </w:p>
    <w:p w14:paraId="1064BFA6">
      <w:pPr>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承包人是否应为其施工设备等办理财产保险：</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kern w:val="0"/>
          <w:sz w:val="21"/>
          <w:szCs w:val="21"/>
          <w:highlight w:val="none"/>
          <w:u w:val="single"/>
        </w:rPr>
        <w:t>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0682514">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18.3 通知义务</w:t>
      </w:r>
    </w:p>
    <w:p w14:paraId="3BA40E5B">
      <w:pPr>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kern w:val="0"/>
          <w:sz w:val="21"/>
          <w:szCs w:val="21"/>
          <w:highlight w:val="none"/>
        </w:rPr>
        <w:t>关于变更保险合同时的通知义务的约定：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kern w:val="0"/>
          <w:sz w:val="21"/>
          <w:szCs w:val="21"/>
          <w:highlight w:val="none"/>
          <w:u w:val="single"/>
        </w:rPr>
        <w:t>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bookmarkEnd w:id="569"/>
    <w:bookmarkEnd w:id="570"/>
    <w:bookmarkEnd w:id="571"/>
    <w:bookmarkEnd w:id="572"/>
    <w:bookmarkEnd w:id="573"/>
    <w:bookmarkEnd w:id="574"/>
    <w:bookmarkEnd w:id="575"/>
    <w:bookmarkEnd w:id="576"/>
    <w:bookmarkEnd w:id="577"/>
    <w:bookmarkEnd w:id="578"/>
    <w:bookmarkEnd w:id="579"/>
    <w:bookmarkEnd w:id="580"/>
    <w:p w14:paraId="0C088DDC">
      <w:pPr>
        <w:pStyle w:val="22"/>
        <w:ind w:firstLine="420" w:firstLineChars="200"/>
        <w:rPr>
          <w:rFonts w:hint="eastAsia" w:ascii="宋体" w:hAnsi="宋体" w:eastAsia="宋体" w:cs="宋体"/>
          <w:b/>
          <w:sz w:val="21"/>
          <w:szCs w:val="21"/>
          <w:highlight w:val="none"/>
        </w:rPr>
      </w:pPr>
      <w:bookmarkStart w:id="596" w:name="_Toc351203651"/>
      <w:r>
        <w:rPr>
          <w:rFonts w:hint="eastAsia" w:ascii="宋体" w:hAnsi="宋体" w:eastAsia="宋体" w:cs="宋体"/>
          <w:sz w:val="21"/>
          <w:szCs w:val="21"/>
          <w:highlight w:val="none"/>
        </w:rPr>
        <w:t>19. 争议解决</w:t>
      </w:r>
      <w:bookmarkEnd w:id="596"/>
    </w:p>
    <w:bookmarkEnd w:id="581"/>
    <w:bookmarkEnd w:id="582"/>
    <w:bookmarkEnd w:id="583"/>
    <w:bookmarkEnd w:id="584"/>
    <w:p w14:paraId="24B67BD0">
      <w:pPr>
        <w:pStyle w:val="22"/>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因合同及合同有关事项发生的争议，可向 </w:t>
      </w:r>
      <w:r>
        <w:rPr>
          <w:rFonts w:hint="eastAsia" w:ascii="宋体" w:hAnsi="宋体" w:eastAsia="宋体" w:cs="宋体"/>
          <w:b/>
          <w:sz w:val="21"/>
          <w:szCs w:val="21"/>
          <w:highlight w:val="none"/>
          <w:u w:val="single"/>
        </w:rPr>
        <w:t xml:space="preserve">工程所在地 </w:t>
      </w:r>
      <w:r>
        <w:rPr>
          <w:rFonts w:hint="eastAsia" w:ascii="宋体" w:hAnsi="宋体" w:eastAsia="宋体" w:cs="宋体"/>
          <w:sz w:val="21"/>
          <w:szCs w:val="21"/>
          <w:highlight w:val="none"/>
        </w:rPr>
        <w:t>人民法院起诉。</w:t>
      </w:r>
      <w:bookmarkEnd w:id="585"/>
      <w:bookmarkEnd w:id="586"/>
      <w:bookmarkEnd w:id="587"/>
      <w:bookmarkEnd w:id="588"/>
      <w:bookmarkEnd w:id="589"/>
      <w:bookmarkEnd w:id="590"/>
    </w:p>
    <w:p w14:paraId="619DC07E">
      <w:pPr>
        <w:ind w:firstLine="420" w:firstLineChars="200"/>
        <w:jc w:val="left"/>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20. 补充条款：</w:t>
      </w:r>
    </w:p>
    <w:bookmarkEnd w:id="187"/>
    <w:p w14:paraId="5DA7D7CD">
      <w:pPr>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kern w:val="0"/>
          <w:sz w:val="21"/>
          <w:szCs w:val="21"/>
          <w:highlight w:val="none"/>
          <w:u w:val="single"/>
          <w:lang w:val="zh-CN"/>
        </w:rPr>
        <w:t>2</w:t>
      </w:r>
      <w:r>
        <w:rPr>
          <w:rFonts w:hint="eastAsia" w:ascii="宋体" w:hAnsi="宋体" w:eastAsia="宋体" w:cs="宋体"/>
          <w:b/>
          <w:kern w:val="0"/>
          <w:sz w:val="21"/>
          <w:szCs w:val="21"/>
          <w:highlight w:val="none"/>
          <w:u w:val="single"/>
        </w:rPr>
        <w:t>0</w:t>
      </w:r>
      <w:r>
        <w:rPr>
          <w:rFonts w:hint="eastAsia" w:ascii="宋体" w:hAnsi="宋体" w:eastAsia="宋体" w:cs="宋体"/>
          <w:b/>
          <w:kern w:val="0"/>
          <w:sz w:val="21"/>
          <w:szCs w:val="21"/>
          <w:highlight w:val="none"/>
          <w:u w:val="single"/>
          <w:lang w:val="zh-CN"/>
        </w:rPr>
        <w:t>.1发包方负责提供水源电源接点，施工用电、用水费用由承包方装表据实缴纳或审计时扣除。</w:t>
      </w:r>
    </w:p>
    <w:p w14:paraId="56251A64">
      <w:pPr>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20.2承包人在投标文件中拟定的施工项目经理、主要技术人员、管理人员的有关证件，进驻现场之日起应交发包人对照审验，凡与招标文件不相符的人员，一律不准进入施工现场参与施工工作，由此造成的一切后果，均由承包人负责。</w:t>
      </w:r>
    </w:p>
    <w:p w14:paraId="0B7C3002">
      <w:pPr>
        <w:ind w:firstLine="422" w:firstLineChars="200"/>
        <w:rPr>
          <w:rFonts w:hint="eastAsia" w:ascii="宋体" w:hAnsi="宋体" w:eastAsia="宋体" w:cs="宋体"/>
          <w:b/>
          <w:sz w:val="21"/>
          <w:szCs w:val="21"/>
          <w:highlight w:val="none"/>
          <w:u w:val="single"/>
        </w:rPr>
      </w:pPr>
      <w:r>
        <w:rPr>
          <w:rFonts w:hint="eastAsia" w:ascii="宋体" w:hAnsi="宋体" w:eastAsia="宋体" w:cs="宋体"/>
          <w:b/>
          <w:kern w:val="0"/>
          <w:sz w:val="21"/>
          <w:szCs w:val="21"/>
          <w:highlight w:val="none"/>
          <w:u w:val="single"/>
          <w:lang w:val="zh-CN"/>
        </w:rPr>
        <w:t>2</w:t>
      </w:r>
      <w:r>
        <w:rPr>
          <w:rFonts w:hint="eastAsia" w:ascii="宋体" w:hAnsi="宋体" w:eastAsia="宋体" w:cs="宋体"/>
          <w:b/>
          <w:kern w:val="0"/>
          <w:sz w:val="21"/>
          <w:szCs w:val="21"/>
          <w:highlight w:val="none"/>
          <w:u w:val="single"/>
        </w:rPr>
        <w:t>0</w:t>
      </w:r>
      <w:r>
        <w:rPr>
          <w:rFonts w:hint="eastAsia" w:ascii="宋体" w:hAnsi="宋体" w:eastAsia="宋体" w:cs="宋体"/>
          <w:b/>
          <w:kern w:val="0"/>
          <w:sz w:val="21"/>
          <w:szCs w:val="21"/>
          <w:highlight w:val="none"/>
          <w:u w:val="single"/>
          <w:lang w:val="zh-CN"/>
        </w:rPr>
        <w:t>.3</w:t>
      </w:r>
      <w:r>
        <w:rPr>
          <w:rFonts w:hint="eastAsia" w:ascii="宋体" w:hAnsi="宋体" w:eastAsia="宋体" w:cs="宋体"/>
          <w:b/>
          <w:sz w:val="21"/>
          <w:szCs w:val="21"/>
          <w:highlight w:val="none"/>
          <w:u w:val="single"/>
        </w:rPr>
        <w:t>承包方对施工人员应加强管理，严格遵守国家和学校的有关法律法规和制度，施工期间发生任何事故及其费用均与发包人无关。</w:t>
      </w:r>
    </w:p>
    <w:p w14:paraId="5CA00A5A">
      <w:pPr>
        <w:ind w:firstLine="422" w:firstLineChars="200"/>
        <w:jc w:val="lef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20.4施工垃圾应按指发包方指定地点堆放，及时清理。工程竣工3天内，承包人要全部清除运出施工现场的一切垃圾、废料、设备等，保持场地整洁，费用由承包人自理。</w:t>
      </w:r>
    </w:p>
    <w:p w14:paraId="58E826AB">
      <w:pPr>
        <w:ind w:firstLine="422" w:firstLineChars="200"/>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 xml:space="preserve">20.5其它                 </w:t>
      </w:r>
    </w:p>
    <w:p w14:paraId="330AB1FB">
      <w:pPr>
        <w:ind w:firstLine="422" w:firstLineChars="200"/>
        <w:rPr>
          <w:rFonts w:hint="eastAsia" w:ascii="宋体" w:hAnsi="宋体" w:eastAsia="宋体" w:cs="宋体"/>
          <w:b/>
          <w:color w:val="FF0000"/>
          <w:sz w:val="21"/>
          <w:szCs w:val="21"/>
          <w:highlight w:val="none"/>
          <w:u w:val="single"/>
        </w:rPr>
      </w:pPr>
    </w:p>
    <w:p w14:paraId="4942EC3B">
      <w:pPr>
        <w:spacing w:line="300" w:lineRule="exact"/>
        <w:ind w:firstLine="422" w:firstLineChars="200"/>
        <w:jc w:val="center"/>
        <w:rPr>
          <w:rFonts w:hint="eastAsia" w:ascii="宋体" w:hAnsi="宋体" w:eastAsia="宋体" w:cs="宋体"/>
          <w:b/>
          <w:sz w:val="21"/>
          <w:szCs w:val="21"/>
          <w:highlight w:val="none"/>
        </w:rPr>
      </w:pPr>
    </w:p>
    <w:p w14:paraId="210A03D0">
      <w:pPr>
        <w:spacing w:line="300" w:lineRule="exact"/>
        <w:ind w:firstLine="422" w:firstLineChars="200"/>
        <w:jc w:val="center"/>
        <w:rPr>
          <w:rFonts w:hint="eastAsia" w:ascii="宋体" w:hAnsi="宋体" w:eastAsia="宋体" w:cs="宋体"/>
          <w:b/>
          <w:sz w:val="21"/>
          <w:szCs w:val="21"/>
          <w:highlight w:val="none"/>
        </w:rPr>
      </w:pPr>
    </w:p>
    <w:p w14:paraId="18140127">
      <w:pPr>
        <w:spacing w:line="300" w:lineRule="exact"/>
        <w:ind w:firstLine="422" w:firstLineChars="200"/>
        <w:jc w:val="center"/>
        <w:rPr>
          <w:rFonts w:hint="eastAsia" w:ascii="宋体" w:hAnsi="宋体" w:eastAsia="宋体" w:cs="宋体"/>
          <w:b/>
          <w:sz w:val="21"/>
          <w:szCs w:val="21"/>
          <w:highlight w:val="none"/>
        </w:rPr>
      </w:pPr>
    </w:p>
    <w:p w14:paraId="6A63598A">
      <w:pPr>
        <w:spacing w:line="300" w:lineRule="exact"/>
        <w:ind w:firstLine="422" w:firstLineChars="200"/>
        <w:jc w:val="center"/>
        <w:rPr>
          <w:rFonts w:hint="eastAsia" w:ascii="宋体" w:hAnsi="宋体" w:eastAsia="宋体" w:cs="宋体"/>
          <w:b/>
          <w:sz w:val="21"/>
          <w:szCs w:val="21"/>
          <w:highlight w:val="none"/>
        </w:rPr>
      </w:pPr>
    </w:p>
    <w:p w14:paraId="15CC3E5D">
      <w:pPr>
        <w:spacing w:line="300" w:lineRule="exact"/>
        <w:ind w:firstLine="422" w:firstLineChars="200"/>
        <w:jc w:val="center"/>
        <w:rPr>
          <w:rFonts w:hint="eastAsia" w:ascii="宋体" w:hAnsi="宋体" w:eastAsia="宋体" w:cs="宋体"/>
          <w:b/>
          <w:sz w:val="21"/>
          <w:szCs w:val="21"/>
          <w:highlight w:val="none"/>
        </w:rPr>
      </w:pPr>
    </w:p>
    <w:p w14:paraId="6620DD70">
      <w:pPr>
        <w:spacing w:line="300" w:lineRule="exact"/>
        <w:ind w:firstLine="422" w:firstLineChars="200"/>
        <w:jc w:val="center"/>
        <w:rPr>
          <w:rFonts w:hint="eastAsia" w:ascii="宋体" w:hAnsi="宋体" w:eastAsia="宋体" w:cs="宋体"/>
          <w:b/>
          <w:sz w:val="21"/>
          <w:szCs w:val="21"/>
          <w:highlight w:val="none"/>
        </w:rPr>
      </w:pPr>
    </w:p>
    <w:p w14:paraId="2A503B82">
      <w:pPr>
        <w:spacing w:line="300" w:lineRule="exact"/>
        <w:ind w:firstLine="422" w:firstLineChars="200"/>
        <w:jc w:val="center"/>
        <w:rPr>
          <w:rFonts w:hint="eastAsia" w:ascii="宋体" w:hAnsi="宋体" w:eastAsia="宋体" w:cs="宋体"/>
          <w:b/>
          <w:sz w:val="21"/>
          <w:szCs w:val="21"/>
          <w:highlight w:val="none"/>
        </w:rPr>
      </w:pPr>
    </w:p>
    <w:p w14:paraId="2B3D9E9E">
      <w:pPr>
        <w:spacing w:line="300" w:lineRule="exact"/>
        <w:ind w:firstLine="422" w:firstLineChars="200"/>
        <w:jc w:val="center"/>
        <w:rPr>
          <w:rFonts w:hint="eastAsia" w:ascii="宋体" w:hAnsi="宋体" w:eastAsia="宋体" w:cs="宋体"/>
          <w:b/>
          <w:sz w:val="21"/>
          <w:szCs w:val="21"/>
          <w:highlight w:val="none"/>
        </w:rPr>
      </w:pPr>
    </w:p>
    <w:p w14:paraId="0D14121A">
      <w:pPr>
        <w:spacing w:line="300" w:lineRule="exact"/>
        <w:ind w:firstLine="422" w:firstLineChars="200"/>
        <w:jc w:val="center"/>
        <w:rPr>
          <w:rFonts w:hint="eastAsia" w:ascii="宋体" w:hAnsi="宋体" w:eastAsia="宋体" w:cs="宋体"/>
          <w:b/>
          <w:sz w:val="21"/>
          <w:szCs w:val="21"/>
          <w:highlight w:val="none"/>
        </w:rPr>
      </w:pPr>
    </w:p>
    <w:p w14:paraId="068B13F5">
      <w:pPr>
        <w:spacing w:line="300" w:lineRule="exact"/>
        <w:ind w:firstLine="422" w:firstLineChars="200"/>
        <w:jc w:val="center"/>
        <w:rPr>
          <w:rFonts w:hint="eastAsia" w:ascii="宋体" w:hAnsi="宋体" w:eastAsia="宋体" w:cs="宋体"/>
          <w:b/>
          <w:sz w:val="21"/>
          <w:szCs w:val="21"/>
          <w:highlight w:val="none"/>
        </w:rPr>
      </w:pPr>
    </w:p>
    <w:p w14:paraId="5F46C986">
      <w:pPr>
        <w:spacing w:line="300" w:lineRule="exact"/>
        <w:ind w:firstLine="422" w:firstLineChars="200"/>
        <w:jc w:val="center"/>
        <w:rPr>
          <w:rFonts w:hint="eastAsia" w:ascii="宋体" w:hAnsi="宋体" w:eastAsia="宋体" w:cs="宋体"/>
          <w:b/>
          <w:sz w:val="21"/>
          <w:szCs w:val="21"/>
          <w:highlight w:val="none"/>
        </w:rPr>
      </w:pPr>
    </w:p>
    <w:p w14:paraId="1F273059">
      <w:pPr>
        <w:spacing w:line="300" w:lineRule="exact"/>
        <w:ind w:firstLine="422" w:firstLineChars="200"/>
        <w:jc w:val="center"/>
        <w:rPr>
          <w:rFonts w:hint="eastAsia" w:ascii="宋体" w:hAnsi="宋体" w:eastAsia="宋体" w:cs="宋体"/>
          <w:b/>
          <w:sz w:val="21"/>
          <w:szCs w:val="21"/>
          <w:highlight w:val="none"/>
        </w:rPr>
      </w:pPr>
    </w:p>
    <w:p w14:paraId="0422701D">
      <w:pPr>
        <w:spacing w:line="300" w:lineRule="exact"/>
        <w:ind w:firstLine="422" w:firstLineChars="200"/>
        <w:jc w:val="center"/>
        <w:rPr>
          <w:rFonts w:hint="eastAsia" w:ascii="宋体" w:hAnsi="宋体" w:eastAsia="宋体" w:cs="宋体"/>
          <w:b/>
          <w:sz w:val="21"/>
          <w:szCs w:val="21"/>
          <w:highlight w:val="none"/>
        </w:rPr>
      </w:pPr>
    </w:p>
    <w:p w14:paraId="7FC73630">
      <w:pPr>
        <w:spacing w:line="300" w:lineRule="exact"/>
        <w:ind w:firstLine="422" w:firstLineChars="200"/>
        <w:jc w:val="center"/>
        <w:rPr>
          <w:rFonts w:hint="eastAsia" w:ascii="宋体" w:hAnsi="宋体" w:eastAsia="宋体" w:cs="宋体"/>
          <w:b/>
          <w:sz w:val="21"/>
          <w:szCs w:val="21"/>
          <w:highlight w:val="none"/>
        </w:rPr>
      </w:pPr>
    </w:p>
    <w:p w14:paraId="01BE4CDE">
      <w:pPr>
        <w:spacing w:line="300" w:lineRule="exact"/>
        <w:ind w:firstLine="422" w:firstLineChars="200"/>
        <w:jc w:val="center"/>
        <w:rPr>
          <w:rFonts w:hint="eastAsia" w:ascii="宋体" w:hAnsi="宋体" w:eastAsia="宋体" w:cs="宋体"/>
          <w:b/>
          <w:sz w:val="21"/>
          <w:szCs w:val="21"/>
          <w:highlight w:val="none"/>
        </w:rPr>
      </w:pPr>
    </w:p>
    <w:p w14:paraId="3E96C7D0">
      <w:pPr>
        <w:spacing w:line="300" w:lineRule="exact"/>
        <w:ind w:firstLine="422" w:firstLineChars="200"/>
        <w:jc w:val="center"/>
        <w:rPr>
          <w:rFonts w:hint="eastAsia" w:ascii="宋体" w:hAnsi="宋体" w:eastAsia="宋体" w:cs="宋体"/>
          <w:b/>
          <w:sz w:val="21"/>
          <w:szCs w:val="21"/>
          <w:highlight w:val="none"/>
        </w:rPr>
      </w:pPr>
    </w:p>
    <w:p w14:paraId="16A67811">
      <w:pPr>
        <w:spacing w:line="300" w:lineRule="exact"/>
        <w:ind w:firstLine="422" w:firstLineChars="200"/>
        <w:jc w:val="center"/>
        <w:rPr>
          <w:rFonts w:hint="eastAsia" w:ascii="宋体" w:hAnsi="宋体" w:eastAsia="宋体" w:cs="宋体"/>
          <w:b/>
          <w:sz w:val="21"/>
          <w:szCs w:val="21"/>
          <w:highlight w:val="none"/>
        </w:rPr>
      </w:pPr>
    </w:p>
    <w:p w14:paraId="7446779F">
      <w:pPr>
        <w:pStyle w:val="16"/>
        <w:rPr>
          <w:rFonts w:hint="eastAsia" w:ascii="宋体" w:hAnsi="宋体" w:eastAsia="宋体" w:cs="宋体"/>
          <w:sz w:val="21"/>
          <w:szCs w:val="21"/>
          <w:highlight w:val="none"/>
        </w:rPr>
      </w:pPr>
    </w:p>
    <w:p w14:paraId="0E049204">
      <w:pPr>
        <w:rPr>
          <w:rFonts w:hint="eastAsia" w:ascii="宋体" w:hAnsi="宋体" w:eastAsia="宋体" w:cs="宋体"/>
          <w:sz w:val="21"/>
          <w:szCs w:val="21"/>
          <w:highlight w:val="none"/>
        </w:rPr>
      </w:pPr>
    </w:p>
    <w:p w14:paraId="027E67DB">
      <w:pPr>
        <w:spacing w:line="300" w:lineRule="exact"/>
        <w:ind w:firstLine="422" w:firstLineChars="200"/>
        <w:jc w:val="center"/>
        <w:rPr>
          <w:rFonts w:hint="eastAsia" w:ascii="宋体" w:hAnsi="宋体" w:eastAsia="宋体" w:cs="宋体"/>
          <w:b/>
          <w:sz w:val="21"/>
          <w:szCs w:val="21"/>
          <w:highlight w:val="none"/>
        </w:rPr>
      </w:pPr>
    </w:p>
    <w:p w14:paraId="6BEABDBF">
      <w:pPr>
        <w:spacing w:line="300" w:lineRule="exact"/>
        <w:ind w:firstLine="422" w:firstLineChars="200"/>
        <w:jc w:val="center"/>
        <w:rPr>
          <w:rFonts w:hint="eastAsia" w:ascii="宋体" w:hAnsi="宋体" w:eastAsia="宋体" w:cs="宋体"/>
          <w:b/>
          <w:sz w:val="21"/>
          <w:szCs w:val="21"/>
          <w:highlight w:val="none"/>
        </w:rPr>
      </w:pPr>
    </w:p>
    <w:p w14:paraId="2E56D143">
      <w:pPr>
        <w:spacing w:line="300" w:lineRule="exact"/>
        <w:ind w:firstLine="422" w:firstLineChars="200"/>
        <w:jc w:val="center"/>
        <w:rPr>
          <w:rFonts w:hint="eastAsia" w:ascii="宋体" w:hAnsi="宋体" w:eastAsia="宋体" w:cs="宋体"/>
          <w:b/>
          <w:sz w:val="21"/>
          <w:szCs w:val="21"/>
          <w:highlight w:val="none"/>
        </w:rPr>
      </w:pPr>
    </w:p>
    <w:p w14:paraId="3DF6E3B7">
      <w:pPr>
        <w:spacing w:line="300" w:lineRule="exact"/>
        <w:ind w:firstLine="422" w:firstLineChars="200"/>
        <w:jc w:val="center"/>
        <w:rPr>
          <w:rFonts w:hint="eastAsia" w:ascii="宋体" w:hAnsi="宋体" w:eastAsia="宋体" w:cs="宋体"/>
          <w:b/>
          <w:sz w:val="21"/>
          <w:szCs w:val="21"/>
          <w:highlight w:val="none"/>
        </w:rPr>
      </w:pPr>
    </w:p>
    <w:p w14:paraId="78C00414">
      <w:pPr>
        <w:spacing w:line="300" w:lineRule="exact"/>
        <w:ind w:firstLine="422" w:firstLineChars="200"/>
        <w:jc w:val="center"/>
        <w:rPr>
          <w:rFonts w:hint="eastAsia" w:ascii="宋体" w:hAnsi="宋体" w:eastAsia="宋体" w:cs="宋体"/>
          <w:b/>
          <w:sz w:val="21"/>
          <w:szCs w:val="21"/>
          <w:highlight w:val="none"/>
        </w:rPr>
      </w:pPr>
    </w:p>
    <w:p w14:paraId="1425A988">
      <w:pPr>
        <w:spacing w:line="300" w:lineRule="exact"/>
        <w:ind w:firstLine="422" w:firstLineChars="200"/>
        <w:jc w:val="center"/>
        <w:rPr>
          <w:rFonts w:hint="eastAsia" w:ascii="宋体" w:hAnsi="宋体" w:eastAsia="宋体" w:cs="宋体"/>
          <w:b/>
          <w:sz w:val="21"/>
          <w:szCs w:val="21"/>
          <w:highlight w:val="none"/>
        </w:rPr>
      </w:pPr>
    </w:p>
    <w:p w14:paraId="13FE70A4">
      <w:pPr>
        <w:spacing w:line="300" w:lineRule="exact"/>
        <w:ind w:firstLine="422" w:firstLineChars="200"/>
        <w:jc w:val="center"/>
        <w:rPr>
          <w:rFonts w:hint="eastAsia" w:ascii="宋体" w:hAnsi="宋体" w:eastAsia="宋体" w:cs="宋体"/>
          <w:b/>
          <w:sz w:val="21"/>
          <w:szCs w:val="21"/>
          <w:highlight w:val="none"/>
        </w:rPr>
      </w:pPr>
    </w:p>
    <w:p w14:paraId="01143B3F">
      <w:pPr>
        <w:spacing w:line="300" w:lineRule="exact"/>
        <w:ind w:firstLine="422" w:firstLineChars="200"/>
        <w:jc w:val="center"/>
        <w:rPr>
          <w:rFonts w:hint="eastAsia" w:ascii="宋体" w:hAnsi="宋体" w:eastAsia="宋体" w:cs="宋体"/>
          <w:b/>
          <w:sz w:val="21"/>
          <w:szCs w:val="21"/>
          <w:highlight w:val="none"/>
        </w:rPr>
      </w:pPr>
    </w:p>
    <w:p w14:paraId="13A1F106">
      <w:pPr>
        <w:spacing w:line="300" w:lineRule="exact"/>
        <w:ind w:firstLine="422" w:firstLineChars="200"/>
        <w:jc w:val="center"/>
        <w:rPr>
          <w:rFonts w:hint="eastAsia" w:ascii="宋体" w:hAnsi="宋体" w:eastAsia="宋体" w:cs="宋体"/>
          <w:b/>
          <w:sz w:val="21"/>
          <w:szCs w:val="21"/>
          <w:highlight w:val="none"/>
        </w:rPr>
      </w:pPr>
    </w:p>
    <w:p w14:paraId="7196C593">
      <w:pPr>
        <w:spacing w:line="300" w:lineRule="exact"/>
        <w:ind w:firstLine="422" w:firstLineChars="200"/>
        <w:jc w:val="center"/>
        <w:rPr>
          <w:rFonts w:hint="eastAsia" w:ascii="宋体" w:hAnsi="宋体" w:eastAsia="宋体" w:cs="宋体"/>
          <w:b/>
          <w:sz w:val="21"/>
          <w:szCs w:val="21"/>
          <w:highlight w:val="none"/>
        </w:rPr>
      </w:pPr>
    </w:p>
    <w:p w14:paraId="7EF3DBEB">
      <w:pPr>
        <w:spacing w:line="300" w:lineRule="exact"/>
        <w:ind w:firstLine="422" w:firstLineChars="200"/>
        <w:jc w:val="center"/>
        <w:rPr>
          <w:rFonts w:hint="eastAsia" w:ascii="宋体" w:hAnsi="宋体" w:eastAsia="宋体" w:cs="宋体"/>
          <w:b/>
          <w:sz w:val="21"/>
          <w:szCs w:val="21"/>
          <w:highlight w:val="none"/>
        </w:rPr>
      </w:pPr>
    </w:p>
    <w:p w14:paraId="0FBDE799">
      <w:pPr>
        <w:spacing w:line="300" w:lineRule="exact"/>
        <w:ind w:firstLine="422" w:firstLineChars="200"/>
        <w:jc w:val="center"/>
        <w:rPr>
          <w:rFonts w:hint="eastAsia" w:ascii="宋体" w:hAnsi="宋体" w:eastAsia="宋体" w:cs="宋体"/>
          <w:b/>
          <w:sz w:val="21"/>
          <w:szCs w:val="21"/>
          <w:highlight w:val="none"/>
        </w:rPr>
      </w:pPr>
    </w:p>
    <w:p w14:paraId="483D03F4">
      <w:pPr>
        <w:spacing w:line="300" w:lineRule="exact"/>
        <w:ind w:firstLine="422" w:firstLineChars="200"/>
        <w:jc w:val="center"/>
        <w:rPr>
          <w:rFonts w:hint="eastAsia" w:ascii="宋体" w:hAnsi="宋体" w:eastAsia="宋体" w:cs="宋体"/>
          <w:b/>
          <w:sz w:val="21"/>
          <w:szCs w:val="21"/>
          <w:highlight w:val="none"/>
        </w:rPr>
      </w:pPr>
    </w:p>
    <w:p w14:paraId="51EC1E38">
      <w:pPr>
        <w:keepNext w:val="0"/>
        <w:keepLines w:val="0"/>
        <w:pageBreakBefore w:val="0"/>
        <w:kinsoku/>
        <w:wordWrap/>
        <w:overflowPunct/>
        <w:topLinePunct w:val="0"/>
        <w:autoSpaceDE/>
        <w:autoSpaceDN/>
        <w:bidi w:val="0"/>
        <w:adjustRightInd/>
        <w:snapToGrid/>
        <w:spacing w:line="276"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工程安全生产责任状</w:t>
      </w:r>
    </w:p>
    <w:p w14:paraId="1AFEAB57">
      <w:pPr>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sz w:val="21"/>
          <w:szCs w:val="21"/>
          <w:highlight w:val="none"/>
        </w:rPr>
      </w:pPr>
    </w:p>
    <w:p w14:paraId="13938614">
      <w:pPr>
        <w:keepNext w:val="0"/>
        <w:keepLines w:val="0"/>
        <w:pageBreakBefore w:val="0"/>
        <w:widowControl/>
        <w:kinsoku/>
        <w:wordWrap/>
        <w:overflowPunct/>
        <w:topLinePunct w:val="0"/>
        <w:autoSpaceDE/>
        <w:autoSpaceDN/>
        <w:bidi w:val="0"/>
        <w:adjustRightInd/>
        <w:snapToGrid/>
        <w:spacing w:line="276"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发包人：</w:t>
      </w:r>
      <w:r>
        <w:rPr>
          <w:rFonts w:hint="eastAsia" w:ascii="宋体" w:hAnsi="宋体" w:eastAsia="宋体" w:cs="Times New Roman"/>
          <w:color w:val="auto"/>
          <w:sz w:val="21"/>
          <w:szCs w:val="21"/>
          <w:highlight w:val="none"/>
          <w:u w:val="single"/>
        </w:rPr>
        <w:t>江苏医药职业学院</w:t>
      </w:r>
    </w:p>
    <w:p w14:paraId="64FED0B8">
      <w:pPr>
        <w:keepNext w:val="0"/>
        <w:keepLines w:val="0"/>
        <w:pageBreakBefore w:val="0"/>
        <w:widowControl/>
        <w:kinsoku/>
        <w:wordWrap/>
        <w:overflowPunct/>
        <w:topLinePunct w:val="0"/>
        <w:autoSpaceDE/>
        <w:autoSpaceDN/>
        <w:bidi w:val="0"/>
        <w:adjustRightInd/>
        <w:snapToGrid/>
        <w:spacing w:line="276"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承包人：</w:t>
      </w:r>
      <w:r>
        <w:rPr>
          <w:rFonts w:hint="eastAsia" w:ascii="宋体" w:hAnsi="宋体" w:eastAsia="宋体" w:cs="Times New Roman"/>
          <w:color w:val="auto"/>
          <w:sz w:val="21"/>
          <w:szCs w:val="21"/>
          <w:highlight w:val="none"/>
          <w:u w:val="single"/>
          <w:lang w:val="en-US" w:eastAsia="zh-CN"/>
        </w:rPr>
        <w:t xml:space="preserve">                </w:t>
      </w:r>
    </w:p>
    <w:p w14:paraId="7449ABB5">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为贯彻“安全第一，预防为主”方针，明确双方的安全责任，切实加强工程管理，确保施工中人身和设备安全，根据国家有关法律法规，经双方协商一致签订工程安全生产管理目标责任状如下：</w:t>
      </w:r>
    </w:p>
    <w:p w14:paraId="70301700">
      <w:pPr>
        <w:keepNext w:val="0"/>
        <w:keepLines w:val="0"/>
        <w:pageBreakBefore w:val="0"/>
        <w:widowControl/>
        <w:kinsoku/>
        <w:wordWrap/>
        <w:overflowPunct/>
        <w:topLinePunct w:val="0"/>
        <w:autoSpaceDE/>
        <w:autoSpaceDN/>
        <w:bidi w:val="0"/>
        <w:adjustRightInd/>
        <w:snapToGrid/>
        <w:spacing w:line="276"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一、工程名称：</w:t>
      </w:r>
      <w:r>
        <w:rPr>
          <w:rFonts w:hint="eastAsia" w:ascii="宋体" w:hAnsi="宋体" w:eastAsia="宋体" w:cs="Times New Roman"/>
          <w:color w:val="auto"/>
          <w:sz w:val="21"/>
          <w:szCs w:val="21"/>
          <w:highlight w:val="none"/>
          <w:u w:val="single"/>
          <w:lang w:val="en-US" w:eastAsia="zh-CN"/>
        </w:rPr>
        <w:t xml:space="preserve">                </w:t>
      </w:r>
    </w:p>
    <w:p w14:paraId="1075DD04">
      <w:pPr>
        <w:keepNext w:val="0"/>
        <w:keepLines w:val="0"/>
        <w:pageBreakBefore w:val="0"/>
        <w:widowControl/>
        <w:kinsoku/>
        <w:wordWrap/>
        <w:overflowPunct/>
        <w:topLinePunct w:val="0"/>
        <w:autoSpaceDE/>
        <w:autoSpaceDN/>
        <w:bidi w:val="0"/>
        <w:adjustRightInd/>
        <w:snapToGrid/>
        <w:spacing w:line="276"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二、发包人的主要安全责任：</w:t>
      </w:r>
    </w:p>
    <w:p w14:paraId="5157EB0E">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1、及时宣传贯彻国家、省、市有关安全生产的方针、政策、法律、法规。</w:t>
      </w:r>
    </w:p>
    <w:p w14:paraId="131F24C9">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2、严肃查处工程各类安全隐患并落实整改责任单位和责任人，涉及查处等事项及时通报承包人。</w:t>
      </w:r>
    </w:p>
    <w:p w14:paraId="126C23C0">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3、指派跟踪人员深入施工现场，加强工程安全行为和建筑实体的安全督查。 </w:t>
      </w:r>
    </w:p>
    <w:p w14:paraId="7965BE70">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4、根据招标文件以及工程施工合同明确的文明工地创建目标，督促和鼓励本工程施工、监理单位做好施工现场安全和文明施工管理。</w:t>
      </w:r>
    </w:p>
    <w:p w14:paraId="153070AB">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三、承包人的主要安全责任</w:t>
      </w:r>
    </w:p>
    <w:p w14:paraId="0328D65C">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1、承包人所提供的承包工程要求的相关资质证明材料应真实、合法、有效。</w:t>
      </w:r>
    </w:p>
    <w:p w14:paraId="65346549">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2、现场施工应遵守国家和地方关于劳动安全，劳务用工法律法规及规章制度，保证其用工的合法性。承包人必须按国家有关规定，为施工人员进行人身保险，配备合格的劳动防护用品、安全用具。</w:t>
      </w:r>
    </w:p>
    <w:p w14:paraId="480DEB7A">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3、材料进场需要检查是否有出厂合格证，同时应经发包人现场负责人或监理工程师验证后方可使用。</w:t>
      </w:r>
    </w:p>
    <w:p w14:paraId="6BB5F662">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4、施工期间，承包人应指派专职安全员作为安全工作联系和现场安全管理。</w:t>
      </w:r>
    </w:p>
    <w:p w14:paraId="0FE7171E">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5、承包人一切施工活动，必须编制安全施工措施，施工前对全体施工人员进行全面的安全技术交底，并在整个施工过程正确、完整地执行，无措施或未交底严禁施工。</w:t>
      </w:r>
    </w:p>
    <w:p w14:paraId="42467CE1">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6、开工前，承包人应组织全体施工人员进行安全教育。特种作业人员必须有有关部门核发的合格有效的上岗资格证书。</w:t>
      </w:r>
    </w:p>
    <w:p w14:paraId="6F5B3FA4">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7、承包人应在施工范围装设临时围栏或警告标志，不得超越指定的施工范围进行施工，禁止无关人员进入施工现场。</w:t>
      </w:r>
    </w:p>
    <w:p w14:paraId="46A0079B">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8、承包人施工过程中应做到日产、日清，确保施工场地卫生整洁。</w:t>
      </w:r>
    </w:p>
    <w:p w14:paraId="53600D41">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9、做好文明施工、安全施工;施工过程中需使用电、水源，应事先与发包人取得联系，不得私拉乱接;做好施工临时用电;按规范要求搭设脚手架做好安全防护工作，确保施工人员安全。</w:t>
      </w:r>
    </w:p>
    <w:p w14:paraId="7D173E1D">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10、办理施工现场作业人员意外伤害保险。</w:t>
      </w:r>
    </w:p>
    <w:p w14:paraId="4FFB6479">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11、工程实行施工总承包的，由总承包单位对施工现场的安全生产负总责。总承包单位依法将工程分包给其他单位的，分包合同中应明确各自的安全生产方面的权利、义务。总承包单位和分承包单位对分包工程的安全生产承担连带责任。分包单位应当服从总承包单位的安全生产管理，分包单位不服从管理导致生产安全事故的，由分包单位承担主</w:t>
      </w:r>
      <w:r>
        <w:rPr>
          <w:rFonts w:hint="eastAsia" w:ascii="宋体" w:hAnsi="宋体" w:eastAsia="宋体" w:cs="宋体"/>
          <w:sz w:val="21"/>
          <w:szCs w:val="21"/>
          <w:highlight w:val="none"/>
        </w:rPr>
        <w:t>要责任。</w:t>
      </w:r>
    </w:p>
    <w:p w14:paraId="4B74F1D4">
      <w:pPr>
        <w:keepNext w:val="0"/>
        <w:keepLines w:val="0"/>
        <w:pageBreakBefore w:val="0"/>
        <w:widowControl/>
        <w:kinsoku/>
        <w:wordWrap/>
        <w:overflowPunct/>
        <w:topLinePunct w:val="0"/>
        <w:autoSpaceDE/>
        <w:autoSpaceDN/>
        <w:bidi w:val="0"/>
        <w:adjustRightInd/>
        <w:snapToGrid/>
        <w:spacing w:after="100" w:line="276" w:lineRule="auto"/>
        <w:ind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12、建立整改责任制，对检查中发现的质量安全隐患，采取有效措施立即进行整改，落实专人负责监控，确保质量安全。</w:t>
      </w:r>
    </w:p>
    <w:p w14:paraId="0908CEA3">
      <w:pPr>
        <w:keepNext w:val="0"/>
        <w:keepLines w:val="0"/>
        <w:pageBreakBefore w:val="0"/>
        <w:widowControl/>
        <w:kinsoku/>
        <w:wordWrap/>
        <w:overflowPunct/>
        <w:topLinePunct w:val="0"/>
        <w:autoSpaceDE/>
        <w:autoSpaceDN/>
        <w:bidi w:val="0"/>
        <w:adjustRightInd/>
        <w:snapToGrid/>
        <w:spacing w:after="100" w:line="276" w:lineRule="auto"/>
        <w:ind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13、现场工地要切实加强节日期间安全、文明生产工作，一旦发生各类突发事故和紧急情况，要立即启动预案，并按照有关规定及时上报和妥善处置。</w:t>
      </w:r>
    </w:p>
    <w:p w14:paraId="0A90D9C3">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14、保障本工程安全负责人联络电话（移动电话）24小时开机。</w:t>
      </w:r>
    </w:p>
    <w:p w14:paraId="39AB5624">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四、考核目标：无安全生产事故。</w:t>
      </w:r>
    </w:p>
    <w:p w14:paraId="606DB3F0">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五、考核奖惩</w:t>
      </w:r>
    </w:p>
    <w:p w14:paraId="72AA932F">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发包人认真行使安全生产“一票否决权”，对造成安全生产重大事故的责任单位和个人，发包人会同相关部门视情节轻重，给予通报批评、警告、责令限期整改、停业整顿等处罚。责任单位和个人不得参加评优、评先。</w:t>
      </w:r>
    </w:p>
    <w:p w14:paraId="5875D756">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2、对安全生产管理渎职行为造成重大安全事故的责任人，由司法机关依法追究其刑事责任。</w:t>
      </w:r>
    </w:p>
    <w:p w14:paraId="151B2A52">
      <w:pPr>
        <w:keepNext w:val="0"/>
        <w:keepLines w:val="0"/>
        <w:pageBreakBefore w:val="0"/>
        <w:widowControl/>
        <w:kinsoku/>
        <w:wordWrap/>
        <w:overflowPunct/>
        <w:topLinePunct w:val="0"/>
        <w:autoSpaceDE/>
        <w:autoSpaceDN/>
        <w:bidi w:val="0"/>
        <w:adjustRightInd/>
        <w:snapToGrid/>
        <w:spacing w:line="276"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六、其他</w:t>
      </w:r>
    </w:p>
    <w:p w14:paraId="743FBD81">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1、本责任状一式</w:t>
      </w:r>
      <w:r>
        <w:rPr>
          <w:rFonts w:hint="eastAsia" w:ascii="宋体" w:hAnsi="宋体" w:eastAsia="宋体" w:cs="宋体"/>
          <w:sz w:val="21"/>
          <w:szCs w:val="21"/>
          <w:highlight w:val="none"/>
          <w:lang w:val="en-US" w:eastAsia="zh-CN"/>
        </w:rPr>
        <w:t>六</w:t>
      </w:r>
      <w:r>
        <w:rPr>
          <w:rFonts w:hint="eastAsia" w:ascii="宋体" w:hAnsi="宋体" w:eastAsia="宋体" w:cs="宋体"/>
          <w:sz w:val="21"/>
          <w:szCs w:val="21"/>
          <w:highlight w:val="none"/>
        </w:rPr>
        <w:t>份，甲乙双方各执</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份。</w:t>
      </w:r>
    </w:p>
    <w:p w14:paraId="69C22450">
      <w:pPr>
        <w:keepNext w:val="0"/>
        <w:keepLines w:val="0"/>
        <w:pageBreakBefore w:val="0"/>
        <w:widowControl/>
        <w:kinsoku/>
        <w:wordWrap/>
        <w:overflowPunct/>
        <w:topLinePunct w:val="0"/>
        <w:autoSpaceDE/>
        <w:autoSpaceDN/>
        <w:bidi w:val="0"/>
        <w:adjustRightInd/>
        <w:snapToGrid/>
        <w:spacing w:line="276" w:lineRule="auto"/>
        <w:ind w:firstLine="409" w:firstLineChars="195"/>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2、本责任状自签订之日起生效，工程竣工验收并且移交后自动失效。</w:t>
      </w:r>
    </w:p>
    <w:p w14:paraId="73867397">
      <w:pPr>
        <w:pStyle w:val="16"/>
        <w:keepNext w:val="0"/>
        <w:keepLines w:val="0"/>
        <w:pageBreakBefore w:val="0"/>
        <w:kinsoku/>
        <w:wordWrap/>
        <w:overflowPunct/>
        <w:topLinePunct w:val="0"/>
        <w:autoSpaceDE/>
        <w:autoSpaceDN/>
        <w:bidi w:val="0"/>
        <w:adjustRightInd/>
        <w:snapToGrid/>
        <w:spacing w:line="276" w:lineRule="auto"/>
        <w:textAlignment w:val="auto"/>
        <w:rPr>
          <w:rFonts w:hint="eastAsia" w:ascii="宋体" w:hAnsi="宋体" w:eastAsia="宋体" w:cs="宋体"/>
          <w:sz w:val="21"/>
          <w:szCs w:val="21"/>
          <w:highlight w:val="none"/>
        </w:rPr>
      </w:pPr>
    </w:p>
    <w:p w14:paraId="1209F919">
      <w:pPr>
        <w:keepNext w:val="0"/>
        <w:keepLines w:val="0"/>
        <w:pageBreakBefore w:val="0"/>
        <w:kinsoku/>
        <w:wordWrap/>
        <w:overflowPunct/>
        <w:topLinePunct w:val="0"/>
        <w:autoSpaceDE/>
        <w:autoSpaceDN/>
        <w:bidi w:val="0"/>
        <w:adjustRightInd/>
        <w:snapToGrid/>
        <w:spacing w:line="276" w:lineRule="auto"/>
        <w:ind w:firstLine="825" w:firstLineChars="393"/>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承包人：（施工单位）</w:t>
      </w:r>
    </w:p>
    <w:p w14:paraId="47F666FE">
      <w:pPr>
        <w:keepNext w:val="0"/>
        <w:keepLines w:val="0"/>
        <w:pageBreakBefore w:val="0"/>
        <w:kinsoku/>
        <w:wordWrap/>
        <w:overflowPunct/>
        <w:topLinePunct w:val="0"/>
        <w:autoSpaceDE/>
        <w:autoSpaceDN/>
        <w:bidi w:val="0"/>
        <w:adjustRightInd/>
        <w:snapToGrid/>
        <w:spacing w:line="276" w:lineRule="auto"/>
        <w:ind w:firstLine="827" w:firstLineChars="394"/>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（单位印鉴）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（单位印鉴）</w:t>
      </w:r>
    </w:p>
    <w:p w14:paraId="7210DCB6">
      <w:pPr>
        <w:keepNext w:val="0"/>
        <w:keepLines w:val="0"/>
        <w:pageBreakBefore w:val="0"/>
        <w:kinsoku/>
        <w:wordWrap/>
        <w:overflowPunct/>
        <w:topLinePunct w:val="0"/>
        <w:autoSpaceDE/>
        <w:autoSpaceDN/>
        <w:bidi w:val="0"/>
        <w:adjustRightInd/>
        <w:snapToGrid/>
        <w:spacing w:line="276" w:lineRule="auto"/>
        <w:ind w:firstLine="200"/>
        <w:textAlignment w:val="auto"/>
        <w:rPr>
          <w:rFonts w:hint="eastAsia" w:ascii="宋体" w:hAnsi="宋体" w:eastAsia="宋体" w:cs="宋体"/>
          <w:sz w:val="21"/>
          <w:szCs w:val="21"/>
          <w:highlight w:val="none"/>
        </w:rPr>
      </w:pPr>
    </w:p>
    <w:p w14:paraId="251BB061">
      <w:pPr>
        <w:spacing w:line="480" w:lineRule="exact"/>
        <w:ind w:firstLine="6300" w:firstLineChars="3000"/>
        <w:rPr>
          <w:rFonts w:ascii="楷体" w:hAnsi="楷体" w:eastAsia="楷体"/>
          <w:sz w:val="28"/>
          <w:szCs w:val="28"/>
        </w:rPr>
      </w:pPr>
      <w:r>
        <w:rPr>
          <w:rFonts w:hint="eastAsia" w:ascii="宋体" w:hAnsi="宋体" w:eastAsia="宋体" w:cs="宋体"/>
          <w:kern w:val="2"/>
          <w:sz w:val="21"/>
          <w:szCs w:val="21"/>
          <w:highlight w:val="none"/>
        </w:rPr>
        <w:t>202</w:t>
      </w:r>
      <w:r>
        <w:rPr>
          <w:rFonts w:hint="eastAsia" w:ascii="宋体" w:hAnsi="宋体" w:eastAsia="宋体" w:cs="宋体"/>
          <w:kern w:val="2"/>
          <w:sz w:val="21"/>
          <w:szCs w:val="21"/>
          <w:highlight w:val="none"/>
          <w:lang w:val="en-US" w:eastAsia="zh-CN"/>
        </w:rPr>
        <w:t>6</w:t>
      </w:r>
      <w:r>
        <w:rPr>
          <w:rFonts w:hint="eastAsia" w:ascii="宋体" w:hAnsi="宋体" w:eastAsia="宋体" w:cs="宋体"/>
          <w:kern w:val="2"/>
          <w:sz w:val="21"/>
          <w:szCs w:val="21"/>
          <w:highlight w:val="none"/>
        </w:rPr>
        <w:t xml:space="preserve">年  </w:t>
      </w:r>
      <w:r>
        <w:rPr>
          <w:rFonts w:hint="eastAsia" w:ascii="宋体" w:hAnsi="宋体" w:eastAsia="宋体" w:cs="宋体"/>
          <w:kern w:val="2"/>
          <w:sz w:val="21"/>
          <w:szCs w:val="21"/>
          <w:highlight w:val="none"/>
          <w:lang w:val="en-US" w:eastAsia="zh-CN"/>
        </w:rPr>
        <w:t xml:space="preserve"> </w:t>
      </w:r>
      <w:r>
        <w:rPr>
          <w:rFonts w:hint="eastAsia" w:ascii="宋体" w:hAnsi="宋体" w:eastAsia="宋体" w:cs="宋体"/>
          <w:kern w:val="2"/>
          <w:sz w:val="21"/>
          <w:szCs w:val="21"/>
          <w:highlight w:val="none"/>
        </w:rPr>
        <w:t xml:space="preserve">月 </w:t>
      </w:r>
      <w:r>
        <w:rPr>
          <w:rFonts w:hint="eastAsia" w:ascii="宋体" w:hAnsi="宋体" w:eastAsia="宋体" w:cs="宋体"/>
          <w:kern w:val="2"/>
          <w:sz w:val="21"/>
          <w:szCs w:val="21"/>
          <w:highlight w:val="none"/>
          <w:lang w:val="en-US" w:eastAsia="zh-CN"/>
        </w:rPr>
        <w:t xml:space="preserve">  </w:t>
      </w:r>
      <w:r>
        <w:rPr>
          <w:rFonts w:hint="eastAsia" w:ascii="宋体" w:hAnsi="宋体" w:eastAsia="宋体" w:cs="宋体"/>
          <w:kern w:val="2"/>
          <w:sz w:val="21"/>
          <w:szCs w:val="21"/>
          <w:highlight w:val="none"/>
        </w:rPr>
        <w:t>日</w:t>
      </w:r>
    </w:p>
    <w:p w14:paraId="4561187C">
      <w:pPr>
        <w:pStyle w:val="36"/>
        <w:spacing w:before="120" w:beforeAutospacing="0" w:after="120" w:afterAutospacing="0" w:line="0" w:lineRule="atLeast"/>
        <w:jc w:val="center"/>
        <w:rPr>
          <w:rFonts w:hint="eastAsia" w:ascii="黑体" w:hAnsi="宋体" w:eastAsia="黑体" w:cs="黑体"/>
          <w:color w:val="000000"/>
          <w:sz w:val="36"/>
          <w:szCs w:val="36"/>
          <w:highlight w:val="none"/>
        </w:rPr>
        <w:sectPr>
          <w:footerReference r:id="rId5" w:type="default"/>
          <w:pgSz w:w="11906" w:h="16838"/>
          <w:pgMar w:top="1460" w:right="1486" w:bottom="1518" w:left="1800" w:header="851" w:footer="992" w:gutter="0"/>
          <w:pgNumType w:start="20"/>
          <w:cols w:space="425" w:num="1"/>
          <w:docGrid w:linePitch="360" w:charSpace="0"/>
        </w:sectPr>
      </w:pPr>
    </w:p>
    <w:p w14:paraId="163D89FA">
      <w:pPr>
        <w:pStyle w:val="36"/>
        <w:keepNext/>
        <w:spacing w:beforeAutospacing="0" w:afterAutospacing="0"/>
        <w:jc w:val="center"/>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第</w:t>
      </w:r>
      <w:bookmarkEnd w:id="162"/>
      <w:r>
        <w:rPr>
          <w:rFonts w:hint="eastAsia" w:ascii="黑体" w:hAnsi="宋体" w:eastAsia="黑体" w:cs="黑体"/>
          <w:b/>
          <w:color w:val="000000"/>
          <w:sz w:val="32"/>
          <w:szCs w:val="32"/>
          <w:highlight w:val="none"/>
          <w:lang w:val="en-US" w:eastAsia="zh-CN" w:bidi="ar-SA"/>
        </w:rPr>
        <w:t>四章  采购需求</w:t>
      </w:r>
      <w:bookmarkEnd w:id="163"/>
      <w:bookmarkEnd w:id="164"/>
      <w:bookmarkEnd w:id="165"/>
      <w:bookmarkEnd w:id="166"/>
      <w:bookmarkEnd w:id="167"/>
    </w:p>
    <w:p w14:paraId="5B441CD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597" w:name="_Toc26554093"/>
      <w:bookmarkStart w:id="598" w:name="_Toc49090575"/>
      <w:bookmarkStart w:id="599" w:name="_Toc120614281"/>
      <w:r>
        <w:rPr>
          <w:rFonts w:hint="eastAsia" w:ascii="宋体" w:hAnsi="宋体" w:eastAsia="宋体" w:cs="宋体"/>
          <w:b/>
          <w:bCs/>
          <w:sz w:val="21"/>
          <w:szCs w:val="21"/>
          <w:lang w:val="en-US" w:eastAsia="zh-CN"/>
        </w:rPr>
        <w:t>项目属性:工程类项目。</w:t>
      </w:r>
      <w:bookmarkEnd w:id="597"/>
      <w:bookmarkEnd w:id="598"/>
    </w:p>
    <w:p w14:paraId="5F9AD5B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一、项目概况</w:t>
      </w:r>
    </w:p>
    <w:p w14:paraId="7C331E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西园食堂建于2007年，建成后，作为师生用餐场所，使用较为频繁。近几年，食堂屋面漏水，导致食堂三楼区域无法正常使用。</w:t>
      </w:r>
    </w:p>
    <w:p w14:paraId="12B875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次拟通过屋面整体改造及局部外墙改造，彻底解决屋面漏水问题，确保排水畅通、无积水，内部无漏水现象，同时彻底消除屋面漏水和外墙饰面脱落造成的安全隐患，给师生提供安全、舒适的食堂就餐环境，提升学校的整体办学条件。详见清单及图纸。</w:t>
      </w:r>
    </w:p>
    <w:p w14:paraId="09BDD6E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二、工程技术要求</w:t>
      </w:r>
    </w:p>
    <w:p w14:paraId="625E61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本工程须严格遵守《中华人民共和国建筑法》《中华人民共和国安全生产法》《中华人民共和国消防法》《中华人民共和国特种设备安全法》《建设工程安全生产管理条例》《安全生产许可证条例》《生产安全事故报告和调查处理条例》《工伤保险条例》《特种设备安全监察条例》及其他国家、地方现行安全生产、工程建设、消防、特种设备管理相关法律法规、标准规范，规范开展安全文明施工。</w:t>
      </w:r>
    </w:p>
    <w:p w14:paraId="5B93B0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2.基本改造方案：</w:t>
      </w:r>
    </w:p>
    <w:p w14:paraId="70A7241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default" w:ascii="宋体" w:hAnsi="宋体" w:eastAsia="宋体" w:cs="宋体"/>
          <w:sz w:val="21"/>
          <w:szCs w:val="21"/>
          <w:lang w:val="en-US" w:eastAsia="zh-CN"/>
        </w:rPr>
        <w:t>平屋面面层铲除至基层，按规范重新实施，总面积约5000平方米；</w:t>
      </w:r>
    </w:p>
    <w:p w14:paraId="06A12A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default" w:ascii="宋体" w:hAnsi="宋体" w:eastAsia="宋体" w:cs="宋体"/>
          <w:sz w:val="21"/>
          <w:szCs w:val="21"/>
          <w:lang w:val="en-US" w:eastAsia="zh-CN"/>
        </w:rPr>
        <w:t>局部外墙砖铲除后，重新做真石漆，总面积约800平方米。</w:t>
      </w:r>
    </w:p>
    <w:p w14:paraId="4DB685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bCs/>
          <w:i/>
          <w:iCs/>
          <w:sz w:val="21"/>
          <w:szCs w:val="21"/>
          <w:u w:val="single"/>
          <w:lang w:val="en-US" w:eastAsia="zh-CN"/>
        </w:rPr>
      </w:pPr>
      <w:r>
        <w:rPr>
          <w:rFonts w:hint="eastAsia" w:ascii="宋体" w:hAnsi="宋体" w:cs="宋体"/>
          <w:b/>
          <w:bCs/>
          <w:i/>
          <w:iCs/>
          <w:sz w:val="21"/>
          <w:szCs w:val="21"/>
          <w:u w:val="single"/>
          <w:lang w:val="en-US" w:eastAsia="zh-CN"/>
        </w:rPr>
        <w:t>★</w:t>
      </w:r>
      <w:r>
        <w:rPr>
          <w:rFonts w:hint="eastAsia" w:ascii="宋体" w:hAnsi="宋体" w:eastAsia="宋体" w:cs="宋体"/>
          <w:b/>
          <w:bCs/>
          <w:i/>
          <w:iCs/>
          <w:sz w:val="21"/>
          <w:szCs w:val="21"/>
          <w:u w:val="single"/>
          <w:lang w:val="en-US" w:eastAsia="zh-CN"/>
        </w:rPr>
        <w:t>具体工艺要求见图纸和清单要求。</w:t>
      </w:r>
    </w:p>
    <w:p w14:paraId="1574AF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注：1、项目施工过程中的主要材料检测服务费用（如有）由施工单位承担（检测项目由校方核定，数量参照国家有关标准）。</w:t>
      </w:r>
    </w:p>
    <w:p w14:paraId="486F43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施工过程中造成原建筑设施、室外道路、绿化、墙体等损坏的，由中标人进行修复或按实赔偿，或由采购人委托第三方修复，所产生费用由中标人支付。</w:t>
      </w:r>
    </w:p>
    <w:p w14:paraId="2A01AC1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三、商务要求</w:t>
      </w:r>
    </w:p>
    <w:p w14:paraId="79E09A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1.项目内容：西园食堂屋面整体维修项目（二次）。</w:t>
      </w:r>
    </w:p>
    <w:p w14:paraId="79F6A6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合同履行期限</w:t>
      </w:r>
      <w:r>
        <w:rPr>
          <w:rFonts w:hint="eastAsia" w:ascii="宋体" w:hAnsi="宋体" w:eastAsia="宋体" w:cs="宋体"/>
          <w:sz w:val="21"/>
          <w:szCs w:val="21"/>
          <w:lang w:val="en-US" w:eastAsia="zh-CN"/>
        </w:rPr>
        <w:t>:工期60日历天。</w:t>
      </w:r>
    </w:p>
    <w:p w14:paraId="23272D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（1）工期要求：工期60日历天，同时保证开学后做好防护措施，确保不影响学生正常教学生活。</w:t>
      </w:r>
    </w:p>
    <w:p w14:paraId="1D3A13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（2）如因施工单位自身施工组织问题造成工期延误的，每延误1天，处罚1000元，如因工期延误，造成学校重大影响的，学校有权追究责任。（工期延误处罚款项在审计时直接扣除）</w:t>
      </w:r>
    </w:p>
    <w:p w14:paraId="03C803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3.质保期要求：</w:t>
      </w:r>
    </w:p>
    <w:p w14:paraId="6C6F36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（1）质保期 5 年。质保期自验收合格之日起算。</w:t>
      </w:r>
    </w:p>
    <w:p w14:paraId="778AD6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（2）质保要求：工程因自然力等主客观因素出现松动、脱落等现象，乙方需在3日内到场免费维修。</w:t>
      </w:r>
    </w:p>
    <w:p w14:paraId="261889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4.验收要求：</w:t>
      </w:r>
    </w:p>
    <w:p w14:paraId="17F7E8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（1）本工程以做法说明、国家指定的施工及验收规范、乙方投标响应文件的承诺等为质量评定验收标准。</w:t>
      </w:r>
    </w:p>
    <w:p w14:paraId="1E2B5A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（2）本工程质量达到国家质量评定合格标准。</w:t>
      </w:r>
    </w:p>
    <w:p w14:paraId="7FAB7D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（3）由于中标人原因造成质量事故，其返工费用由中标人承担，工期不顺延。</w:t>
      </w:r>
    </w:p>
    <w:p w14:paraId="241B5E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（4）工程竣工后，中标人应书面通知招标人验收，由招标人组织相关部门验收，并填写江苏医药职业学院工程竣工验收单。</w:t>
      </w:r>
    </w:p>
    <w:p w14:paraId="62057A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5.质量要求：国家“合格”标准并满足招标人要求。</w:t>
      </w:r>
    </w:p>
    <w:p w14:paraId="7FBA8C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6.付款方式：项目验收合格后支付合同价的60%款项，审计后付至审计价的80%，验收合格一年后无质量问题付至审计价的90%，验收合格三年后无质量问题付至95%，余款待质保结束后无质量问题一次性无息付清。</w:t>
      </w:r>
    </w:p>
    <w:p w14:paraId="12B50F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7.履约担保：</w:t>
      </w:r>
      <w:r>
        <w:rPr>
          <w:rFonts w:hint="default" w:ascii="宋体" w:hAnsi="宋体" w:eastAsia="宋体" w:cs="宋体"/>
          <w:sz w:val="21"/>
          <w:szCs w:val="21"/>
          <w:lang w:val="en-US" w:eastAsia="zh-CN"/>
        </w:rPr>
        <w:t>承包人在收到成交通知书后，签订合同前，向发包人缴纳成交金额</w:t>
      </w:r>
      <w:r>
        <w:rPr>
          <w:rFonts w:hint="eastAsia" w:ascii="宋体" w:hAnsi="宋体" w:eastAsia="宋体" w:cs="宋体"/>
          <w:sz w:val="21"/>
          <w:szCs w:val="21"/>
          <w:lang w:val="en-US" w:eastAsia="zh-CN"/>
        </w:rPr>
        <w:t>5</w:t>
      </w:r>
      <w:r>
        <w:rPr>
          <w:rFonts w:hint="default" w:ascii="宋体" w:hAnsi="宋体" w:eastAsia="宋体" w:cs="宋体"/>
          <w:sz w:val="21"/>
          <w:szCs w:val="21"/>
          <w:lang w:val="en-US" w:eastAsia="zh-CN"/>
        </w:rPr>
        <w:t>%的履约保证金。履约保证金用以约束成交供应商在合同履行中的行为，弥补合同执行中由于自身行为可能给采购人带来的各种损失。履约保证金以支票、汇票、本票、保函等非现金形式或转账方式缴纳或提交。</w:t>
      </w:r>
    </w:p>
    <w:p w14:paraId="061241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cs="宋体"/>
          <w:b/>
          <w:bCs/>
          <w:color w:val="auto"/>
          <w:sz w:val="21"/>
          <w:szCs w:val="21"/>
          <w:lang w:val="en-US" w:eastAsia="zh-CN"/>
        </w:rPr>
        <w:t>四、</w:t>
      </w:r>
      <w:r>
        <w:rPr>
          <w:rFonts w:hint="eastAsia" w:asciiTheme="minorEastAsia" w:hAnsiTheme="minorEastAsia" w:eastAsiaTheme="minorEastAsia" w:cstheme="minorEastAsia"/>
          <w:b/>
          <w:bCs/>
          <w:color w:val="auto"/>
          <w:sz w:val="21"/>
          <w:szCs w:val="21"/>
          <w:highlight w:val="none"/>
          <w:lang w:val="en-US" w:eastAsia="zh-CN"/>
        </w:rPr>
        <w:t>施工组织方案要求</w:t>
      </w:r>
    </w:p>
    <w:p w14:paraId="0DE025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投标人应根据本项目的特点，编制详细、科学、可行的施工组织方案。方案应具有针对性，充分考虑到食堂的特殊性、施工场地的局限性以及与周边环境的协调性。</w:t>
      </w:r>
    </w:p>
    <w:p w14:paraId="7DA211F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1.施工方案与技术措施方案</w:t>
      </w:r>
    </w:p>
    <w:p w14:paraId="3A3715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投标人应提供本项目的施工方案与技术措施方案，至少包含以下内容：</w:t>
      </w:r>
    </w:p>
    <w:p w14:paraId="592812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1.1施工准备方案</w:t>
      </w:r>
    </w:p>
    <w:p w14:paraId="6D506F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1.1.1技术准备：组织技术人员熟悉施工图纸，进行图纸会审，编制详细的施工组织设计、专项施工方案及技术交底文件，明确各工序的施工工艺和质量控制要点。</w:t>
      </w:r>
    </w:p>
    <w:p w14:paraId="308B6C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1.1.2现场准备：根据现场踏勘情况，合理布置施工总平面，明确施工通道、材料堆放区、设备存放区、加工区、临时办公区、临时用水用电接入点的具体位置。</w:t>
      </w:r>
    </w:p>
    <w:p w14:paraId="3D0361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1.1.3资源准备：编制劳动力投入计划，明确各工种人员数量及进场时间；编制主要材料、设备进场计划，明确规格、数量、进场时间；编制施工机具配置计划，确保设备满足施工需求。</w:t>
      </w:r>
    </w:p>
    <w:p w14:paraId="5B98C6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1.2施工项目目标控制方案</w:t>
      </w:r>
    </w:p>
    <w:p w14:paraId="0EA54D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1.2.1质量目标控制：确保工程质量符合国家合格标准。明确各分项工程的质量控制标准。</w:t>
      </w:r>
    </w:p>
    <w:p w14:paraId="2D949E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1.2.2安全目标控制：确保施工期间无重大伤亡事故，轻伤事故频率≤1.5‰。明确安全责任体系及安全管理目标。</w:t>
      </w:r>
    </w:p>
    <w:p w14:paraId="401857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1.2.3进度目标控制：确保不大于60日历天内完成全部采购、施工工作。明确各阶段节点工期及考核标准。</w:t>
      </w:r>
    </w:p>
    <w:p w14:paraId="6235CB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1.2.4文明施工目标控制：确保施工现场整洁有序，明确文明施工的具体措施及检查标准，降低对校园与食堂运营干扰。</w:t>
      </w:r>
    </w:p>
    <w:p w14:paraId="455134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1.2.5环保目标控制：确保施工噪音、扬尘、废弃物排放符合国家及地方环保要求，明确环保控制措施及监测标准。</w:t>
      </w:r>
    </w:p>
    <w:p w14:paraId="11E3482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1.3技术措施方案</w:t>
      </w:r>
    </w:p>
    <w:p w14:paraId="349343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1.3.1施工技术措施：统一规定全工序施工工艺、进场材料质量标准，严格执行隐蔽工程报验、验收流程，验收合格后方可开展下道工序。</w:t>
      </w:r>
    </w:p>
    <w:p w14:paraId="7C7007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1.3.2防水工程施工技术措施：明确屋面防水涂料、防水卷材施工工艺流程，规定防水材料进场质量标准；制定防水分部工程验收规范、隐蔽工程专项验收流程。</w:t>
      </w:r>
    </w:p>
    <w:p w14:paraId="6DB09F7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TW" w:eastAsia="zh-TW"/>
        </w:rPr>
        <w:t>工程进度计划与保证措施</w:t>
      </w:r>
      <w:r>
        <w:rPr>
          <w:rFonts w:hint="eastAsia" w:ascii="宋体" w:hAnsi="宋体" w:eastAsia="宋体" w:cs="宋体"/>
          <w:b/>
          <w:bCs/>
          <w:sz w:val="21"/>
          <w:szCs w:val="21"/>
          <w:lang w:val="en-US" w:eastAsia="zh-CN"/>
        </w:rPr>
        <w:t>方案</w:t>
      </w:r>
    </w:p>
    <w:p w14:paraId="28BC4C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投标人应提供本项目的进度计划及保证措施方案，至少包含以下内容：</w:t>
      </w:r>
    </w:p>
    <w:p w14:paraId="58CD0E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 进度计划</w:t>
      </w:r>
    </w:p>
    <w:p w14:paraId="677DEF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2.1.1 整体工期管控：以合同 60 日历天总工期为基准，合理拆分多段施工阶段，明确各阶段施工任务清单，保障全部工程按期完工。</w:t>
      </w:r>
    </w:p>
    <w:p w14:paraId="70A459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2.1.2 进度偏差管控体系：建立分级进度控制目标体系，设置 3 天进度偏差预警阈值，一旦超偏差立即启动纠偏机制；安排专职人员每日统计、跟踪施工进度，对比计划进度查找偏差，分析滞后原因，通过增减施工人员、增补机具、优化工序流程完成纠偏。</w:t>
      </w:r>
    </w:p>
    <w:p w14:paraId="03214F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2.1.3提供主要设备及主要材料的采购周期、供货周期及分批进场时间表。明确进场验收程序，包括需提交的产品合格证、质量检测报告、复检报告等资料，验收标准严格按设计要求及规范执行。</w:t>
      </w:r>
    </w:p>
    <w:p w14:paraId="3AB0AA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2.1.4分部分项施工计划：制定施工总进度计划安排，明确各分部分项的施工顺序安排、工序衔接及交叉作业的协调方案。明确分部分项工程中间自检、报检的具体安排及时间节点。</w:t>
      </w:r>
    </w:p>
    <w:p w14:paraId="1B7816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2.1.5工期总控计划：明确各阶段计划起止时间、持续时间、关键节点，确保工期安排科学合理。每个关键节点设置考核标准，确保各节点按期完成，保障整体工期。</w:t>
      </w:r>
    </w:p>
    <w:p w14:paraId="4838F4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2.2保证措施</w:t>
      </w:r>
    </w:p>
    <w:p w14:paraId="548C04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2.2.1进度保证措施：明确劳动力、材料、机具的投入保障措施；明确赶工措施（加班安排、人员调配、资源优先保障）；明确进度偏差的纠偏机制及责任人。</w:t>
      </w:r>
    </w:p>
    <w:p w14:paraId="4C060B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2.2.1.1资源保障措施：明确劳动力、材料、机具的投入保障计划，根据施工进度合理调配人力、物力、财力，确保各阶段资源充足。提前与供应商沟通，确保材料按时进场，避免因材料短缺延误工期；加强施工机具维护、保养，确保设备正常运行，避免因设备故障影响施工进度。</w:t>
      </w:r>
    </w:p>
    <w:p w14:paraId="5759F8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2.2.1.2 赶工措施：若出现进度偏差，立即启动赶工措施，合理安排加班作业，延长有效施工时间；调整施工人员调配，增加关键工序作业人员；优先保障关键节点施工资源，优化施工流程，减少工序衔接时间；安排专人负责进度跟踪，确保赶工措施落实到位。</w:t>
      </w:r>
    </w:p>
    <w:p w14:paraId="4CE442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2.2.1.3 进度偏差纠偏机制：明确纠偏责任人、纠偏措施、纠偏时限，发现进度偏差后，及时分析偏差原因，有针对性制定纠偏措施，如调整施工计划、优化施工工艺、增加施工资源等，确保进度偏差及时纠正，不影响整体工期。</w:t>
      </w:r>
    </w:p>
    <w:p w14:paraId="5F996A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2.2.2质量保证措施：明确原材料、半成品、成品的检验制度，明确工序交接验收制度，明确隐蔽工程验收制度，验收合格后方可进行下道工序；明确不合格品的处理程序，返工后重新验收合格率需达到100%。</w:t>
      </w:r>
    </w:p>
    <w:p w14:paraId="65F1BB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2.2.3专项验收保证措施：</w:t>
      </w:r>
    </w:p>
    <w:p w14:paraId="3B8679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2.2.3.1检测准备：提前与检测机构沟通，确保检测工作顺利开展，检测一次性合格。</w:t>
      </w:r>
    </w:p>
    <w:p w14:paraId="05883E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2.2.3.2资料准备：明确需提交的验收资料清单、责任人及完成时限，确保资料完整率达到100%，资料规范、真实，满足验收要求。</w:t>
      </w:r>
    </w:p>
    <w:p w14:paraId="1AFE80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2.2.3.3验收配合：安排项目经理全程配合验收工作，及时解答验收过程中提出的问题，确保验收顺利推进。</w:t>
      </w:r>
    </w:p>
    <w:p w14:paraId="485CA6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2.2.3.4验收承诺：承诺一次性通过专项验收，若验收不合格，整改时限≤15个日历天，专人负责闭环。</w:t>
      </w:r>
    </w:p>
    <w:p w14:paraId="3C5AC8F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3.安全管理和措施方案</w:t>
      </w:r>
    </w:p>
    <w:p w14:paraId="0B1776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投标人应提供详细的安全管理方案和措施方案，至少包含以下内容：</w:t>
      </w:r>
    </w:p>
    <w:p w14:paraId="799A61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3.1安全管理方案</w:t>
      </w:r>
    </w:p>
    <w:p w14:paraId="1A27B7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3.1.1安全生产责任制：制定安全生产责任制，明确项目负责人、技术负责人、安全员、施工员等各岗位的安全生产职责。</w:t>
      </w:r>
    </w:p>
    <w:p w14:paraId="166EB4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3.1.2安全管理制度：制定安全管理制度，包括安全教育培训制度、安全检查制度、安全技术交底制度、安全奖惩制度、安全事故报告制度等。</w:t>
      </w:r>
    </w:p>
    <w:p w14:paraId="31FADC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3.1.3安全教育培训：制定安全教育培训安排，包括新入场人员三级安全教育、转岗人员安全教育、特种作业人员专项教育培训，全员考核合格上岗。</w:t>
      </w:r>
    </w:p>
    <w:p w14:paraId="6690AF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3.2安全保证措施</w:t>
      </w:r>
    </w:p>
    <w:p w14:paraId="7A304F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3.2.1临时用电安全措施：制定临时用电安全措施，采用TN-S系统，实行三级配电两级保护，电缆线路敷设规范，配电箱上锁。</w:t>
      </w:r>
    </w:p>
    <w:p w14:paraId="64C5CD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3.2.2高处作业安全措施：制定高处作业安全措施，脚手架搭设验收合格后方可使用，作业人员佩戴安全帽、安全带，设置安全网，防护用品配备率100%。</w:t>
      </w:r>
    </w:p>
    <w:p w14:paraId="756A70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3.2.3机械作业安全措施：制定机械作业安全措施，吊车等大型机械操作人员持证上岗，作业时设置警戒区，专人指挥，持证上岗率100%。</w:t>
      </w:r>
    </w:p>
    <w:p w14:paraId="7F0FC8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3.2.4消防安全措施：制定消防安全措施，施工现场配备足够数量的灭火器，明确存放位置及责任人；动火作业办理动火审批手续，配备监护人员。</w:t>
      </w:r>
    </w:p>
    <w:p w14:paraId="642693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3.3现场安全防护</w:t>
      </w:r>
    </w:p>
    <w:p w14:paraId="4601D2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施工前 5 个工作日在工地出入口、师生生活区张贴施工公示；接到师生、周边居民投诉2小时内响应对接，24小时内反馈处理结果；施工期间设置临时通行通道，专人引导师生安全通行，投诉处理及时率 100%，所有投诉处理过程、结果留存书面记录。</w:t>
      </w:r>
    </w:p>
    <w:p w14:paraId="67D18A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3.4安全检查与隐患整改</w:t>
      </w:r>
    </w:p>
    <w:p w14:paraId="073403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3.4.1说明安全检查安排，包括每日开工前安全交底、每周组织一次安全检查、每月组织一次全面安全检查。</w:t>
      </w:r>
    </w:p>
    <w:p w14:paraId="3DC8C7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3.4.2明确检查内容（临时用电、高处作业、机械作业、消防安全等）、检查标准、检查记录要求。</w:t>
      </w:r>
    </w:p>
    <w:p w14:paraId="63ABFB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3.4.3说明隐患排查整改机制，对发现的隐患建立台账，明确整改责任人、整改措施、整改时限，一般隐患整改时限≤24小时，重大隐患立即停工整改，整改完成率达100%。</w:t>
      </w:r>
    </w:p>
    <w:p w14:paraId="1B4709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3.5应急处置</w:t>
      </w:r>
    </w:p>
    <w:p w14:paraId="0935A4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3.5.1应急预案编制：编制火灾、触电、管线破坏、人员伤亡等突发事件的应急预案，明确应急组织机构、人员职责、响应流程、处置措施。</w:t>
      </w:r>
    </w:p>
    <w:p w14:paraId="544BB5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3.5.2应急物资配备：配备灭火器、急救箱、围挡材料、发电机、应急照明等应急物资和设备，明确存放位置及责任人。</w:t>
      </w:r>
    </w:p>
    <w:p w14:paraId="1647418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zh-TW" w:eastAsia="zh-TW"/>
        </w:rPr>
        <w:t>4.质量管理和措施</w:t>
      </w:r>
      <w:r>
        <w:rPr>
          <w:rFonts w:hint="eastAsia" w:ascii="宋体" w:hAnsi="宋体" w:eastAsia="宋体" w:cs="宋体"/>
          <w:b/>
          <w:bCs/>
          <w:sz w:val="21"/>
          <w:szCs w:val="21"/>
          <w:lang w:val="en-US" w:eastAsia="zh-CN"/>
        </w:rPr>
        <w:t>方案</w:t>
      </w:r>
    </w:p>
    <w:p w14:paraId="6EAD6B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投标人应提供详细的</w:t>
      </w:r>
      <w:r>
        <w:rPr>
          <w:rFonts w:hint="eastAsia" w:ascii="宋体" w:hAnsi="宋体" w:eastAsia="宋体" w:cs="宋体"/>
          <w:sz w:val="21"/>
          <w:szCs w:val="21"/>
          <w:lang w:val="zh-TW" w:eastAsia="zh-TW"/>
        </w:rPr>
        <w:t>质量管理和措施</w:t>
      </w:r>
      <w:r>
        <w:rPr>
          <w:rFonts w:hint="eastAsia" w:ascii="宋体" w:hAnsi="宋体" w:eastAsia="宋体" w:cs="宋体"/>
          <w:sz w:val="21"/>
          <w:szCs w:val="21"/>
          <w:lang w:val="en-US" w:eastAsia="zh-CN"/>
        </w:rPr>
        <w:t>方案，至少包含以下内容：</w:t>
      </w:r>
    </w:p>
    <w:p w14:paraId="1AA8C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4.1质量管理方案</w:t>
      </w:r>
    </w:p>
    <w:p w14:paraId="377B81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4.1.1质量管理制度：建立质量责任、质量检查、质量奖惩、质量例会制度；项目经理为质量第一责任人，技术负责人、质量员、班组长、作业人员各负其责；落实每日巡检、每周专检、每月全检，对质量不合格、违规操作的给予处罚；定期例会分析问题、部署管控重点。</w:t>
      </w:r>
    </w:p>
    <w:p w14:paraId="1F0E25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4.1.2质量手册：明确质量方针、质量目标、组织结构、职责分工、程序文件、过程控制要求。</w:t>
      </w:r>
    </w:p>
    <w:p w14:paraId="3E9D8ED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4.1.3过程质量控制：关键工序设质量控制点，专人全程跟踪检查，明确控制内容、检查方法与验收标准，问题及时整改，保障工序质量。</w:t>
      </w:r>
    </w:p>
    <w:p w14:paraId="652365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4.1.4质量记录管理：明确质量记录的填写、收集、整理、归档要求，确保质量记录覆盖“人、机、料、法、环、测”六大环节，并满足监理“六性”要求（完整、真实、可追溯、可验证、可检索、可归档）；安排专人负责质量记录的整理、归档，确保记录完整、规范，便于后续查阅、追溯。</w:t>
      </w:r>
    </w:p>
    <w:p w14:paraId="7D715D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4.2 具体质量措施</w:t>
      </w:r>
    </w:p>
    <w:p w14:paraId="084896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严格材料进场验收与复检，不合格材料严禁使用；执行样板引路、工序交接验收、隐蔽工程验收制度；加强成品保护，杜绝质量缺陷；落实质量奖惩，强化全员质量意识。</w:t>
      </w:r>
    </w:p>
    <w:p w14:paraId="0150E4B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zh-TW" w:eastAsia="zh-TW"/>
        </w:rPr>
      </w:pPr>
      <w:r>
        <w:rPr>
          <w:rFonts w:hint="eastAsia" w:ascii="宋体" w:hAnsi="宋体" w:eastAsia="宋体" w:cs="宋体"/>
          <w:b/>
          <w:bCs/>
          <w:sz w:val="21"/>
          <w:szCs w:val="21"/>
          <w:lang w:val="zh-TW" w:eastAsia="zh-TW"/>
        </w:rPr>
        <w:t>5.文明施工及环境保护方案</w:t>
      </w:r>
    </w:p>
    <w:p w14:paraId="100D96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投标人应提供详细的</w:t>
      </w:r>
      <w:r>
        <w:rPr>
          <w:rFonts w:hint="eastAsia" w:ascii="宋体" w:hAnsi="宋体" w:eastAsia="宋体" w:cs="宋体"/>
          <w:sz w:val="21"/>
          <w:szCs w:val="21"/>
          <w:lang w:val="zh-TW" w:eastAsia="zh-TW"/>
        </w:rPr>
        <w:t>文明施工及环境保护方案</w:t>
      </w:r>
      <w:r>
        <w:rPr>
          <w:rFonts w:hint="eastAsia" w:ascii="宋体" w:hAnsi="宋体" w:eastAsia="宋体" w:cs="宋体"/>
          <w:sz w:val="21"/>
          <w:szCs w:val="21"/>
          <w:lang w:val="en-US" w:eastAsia="zh-CN"/>
        </w:rPr>
        <w:t>，至少包含以下内容：</w:t>
      </w:r>
    </w:p>
    <w:p w14:paraId="1E7B08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5.1 文明施工方案</w:t>
      </w:r>
    </w:p>
    <w:p w14:paraId="561852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施工现场实施封闭围挡管理，施工材料分区堆放、标识清晰，场内道路定期清扫洒水，保持场地整洁；落实师生沟通、投诉处理、通行保障相关文明施工管控措施，降低施工对校园正常教学、食堂就餐干扰。</w:t>
      </w:r>
    </w:p>
    <w:p w14:paraId="0B64FD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5.2 环境保护方案</w:t>
      </w:r>
    </w:p>
    <w:p w14:paraId="6263FD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针对施工扬尘、噪音、建筑垃圾、施工废水制定专项环保管控措施；选用低噪音施工机具，施工垃圾密闭清运，施工废水经沉淀后排放；全过程符合国家及盐城市环保监测标准。</w:t>
      </w:r>
    </w:p>
    <w:p w14:paraId="5C9A2B9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6.质保期服务方案</w:t>
      </w:r>
    </w:p>
    <w:p w14:paraId="04561D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投标人应提供详细的质保期服务方案，至少包含以下内容：</w:t>
      </w:r>
    </w:p>
    <w:p w14:paraId="0F1DF3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6.1服务内容</w:t>
      </w:r>
    </w:p>
    <w:p w14:paraId="304073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6.1.1质保范围与期限：屋面保温层、防水层及防水节点；屋面设备拆除、恢复安装与调试；避雷、照明、桥架、管路等附属设施；质保期限自竣工验收合格之日起不低于5年。</w:t>
      </w:r>
    </w:p>
    <w:p w14:paraId="7A245B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6.1.2常规巡检与专项排查：每6个月全面巡检一次，雨季前专项排查渗漏风险，每次留下影像资料，提前处置隐患。</w:t>
      </w:r>
    </w:p>
    <w:p w14:paraId="24820C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6.1.3免费维修与更换：施工及材料质量问题无条件免费维修、更换、返工；免费提供屋面使用、维护、保养指导，协助制定日常巡查要点。</w:t>
      </w:r>
    </w:p>
    <w:p w14:paraId="1010EC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6.2响应机制</w:t>
      </w:r>
    </w:p>
    <w:p w14:paraId="5E484C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6.2.1服务目标：7×24小时在线，2小时响应，紧急情况2小时到场；维修不影响食堂24小时运行；质量问题全免费。</w:t>
      </w:r>
    </w:p>
    <w:p w14:paraId="07FD97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6.2.2报修渠道：开通7×24小时服务电话、微信等报修方式，便捷畅通。</w:t>
      </w:r>
    </w:p>
    <w:p w14:paraId="429805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6.2.3维修时效：一般故障2小时响应、12小时到场、24小时修复；紧急故障（渗漏等）：2小时到场、12小时内修复。</w:t>
      </w:r>
    </w:p>
    <w:p w14:paraId="5DA0E3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6.3问题处理流程</w:t>
      </w:r>
    </w:p>
    <w:p w14:paraId="262636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6.3.1标准维修流程：报修受理→信息登记→快速响应→现场排查→制定方案→错峰施工→质量验收→清理复原→归档回访。</w:t>
      </w:r>
    </w:p>
    <w:p w14:paraId="0C5423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6.3.2紧急故障流程：立即接报→2小时到场→临时控制→彻底修复→验收闭环→报告说明→强化巡检。</w:t>
      </w:r>
    </w:p>
    <w:p w14:paraId="17515A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6.4保障措施</w:t>
      </w:r>
    </w:p>
    <w:p w14:paraId="376085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6.4.1服务组织机构：质保总负责人（项目经理）、技术质保工程师、现场维修班组、回访专员，各司其职、快速联动。</w:t>
      </w:r>
    </w:p>
    <w:p w14:paraId="5A6C2B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6.4.2期满衔接服务：质保期满前1个月全面终期巡检，出具评估报告，平稳衔接后续服务。</w:t>
      </w:r>
    </w:p>
    <w:p w14:paraId="290040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6.4.3质保服务承诺：维修施工零干扰、零影响；维修与验收资料完整存档、可追溯；质保期内问题闭环处置，定期主动巡检排查隐患。</w:t>
      </w:r>
    </w:p>
    <w:p w14:paraId="0903E23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五、其他要求</w:t>
      </w:r>
    </w:p>
    <w:p w14:paraId="448598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（一）踏勘要求</w:t>
      </w:r>
    </w:p>
    <w:p w14:paraId="1110DF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在投标前可自行进行现场踏勘，并对相关数据、要求进行确认，责任和风险自行承担。技术咨询及现场踏勘联系人：贾老师，联系方式：18262395908。投标人踏勘现场发生的费用自理，投标人自行负责在踏勘现场中所发生的人员伤亡和财产损失。</w:t>
      </w:r>
    </w:p>
    <w:p w14:paraId="2B93F7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（二）安全施工</w:t>
      </w:r>
    </w:p>
    <w:p w14:paraId="2FA045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投标人应遵守工程建设安全生产有关管理规定，严格按安全标准组织施工，并随时接受行业安全检查人员依法实施的监督检查，采取必要的安全防护措施，消除事故隐患。由于投标人安全措施不力造成事故的责任和因此发生的费用，由投标人承担。</w:t>
      </w:r>
    </w:p>
    <w:p w14:paraId="6A2F0F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2、投标人应对其在施工场地的工作人员进行安全教育，并对他们的安全负责。招标人不得要求投标人违反安全管理的规定进行施工。</w:t>
      </w:r>
    </w:p>
    <w:p w14:paraId="0F8956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3、发生重大伤亡及其他安全事故，投标人应按有关规定立即通知招标人并上报有关部门，同时按政府有关部门要求处理，由投标人承担发生的费用。</w:t>
      </w:r>
    </w:p>
    <w:p w14:paraId="5FC819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4、此工程必须确保安全，若因投标人原因发生的不安全问题，由投标人自行负责处理并承担一切责任。</w:t>
      </w:r>
    </w:p>
    <w:p w14:paraId="146ECB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sz w:val="21"/>
          <w:szCs w:val="21"/>
          <w:lang w:val="en-US" w:eastAsia="zh-CN"/>
        </w:rPr>
        <w:t>5、招标人、投标人对事故责任有争议时，应按政府有关部门认定处理。</w:t>
      </w:r>
    </w:p>
    <w:p w14:paraId="28FB2C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六</w:t>
      </w:r>
      <w:r>
        <w:rPr>
          <w:rFonts w:hint="eastAsia" w:asciiTheme="minorEastAsia" w:hAnsiTheme="minorEastAsia" w:eastAsiaTheme="minorEastAsia" w:cstheme="minorEastAsia"/>
          <w:b/>
          <w:bCs/>
          <w:sz w:val="21"/>
          <w:szCs w:val="21"/>
        </w:rPr>
        <w:t>、</w:t>
      </w:r>
      <w:r>
        <w:rPr>
          <w:rFonts w:hint="eastAsia" w:asciiTheme="minorEastAsia" w:hAnsiTheme="minorEastAsia" w:eastAsiaTheme="minorEastAsia" w:cstheme="minorEastAsia"/>
          <w:b/>
          <w:bCs/>
          <w:sz w:val="21"/>
          <w:szCs w:val="21"/>
          <w:lang w:val="en-US" w:eastAsia="zh-CN"/>
        </w:rPr>
        <w:t>报价要求</w:t>
      </w:r>
    </w:p>
    <w:p w14:paraId="092896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 投标人应按招标人提供的“招标工程量清单”的要求填写价格清单，不得改变工程量清单的格式。</w:t>
      </w:r>
    </w:p>
    <w:p w14:paraId="75233D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5C31AB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789B08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4.投标报价的计价方法</w:t>
      </w:r>
    </w:p>
    <w:p w14:paraId="6EB0D0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本工程投标报价采用“工程量清单计价”法（工程量计算规则依据《建设工程量清单计价规范》（GB50500-2013）及其工程量计算规范）。投标人应根据采购人提供的招标工程量清单计算工程项目的综合单价和合价。</w:t>
      </w:r>
    </w:p>
    <w:p w14:paraId="1049BD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工程量清单中每一个清单项均需计算并填写综合单价、合价。对施工中发生的所有措施费及可预见费用等，由施工单位自行考虑，计入单价和总价。</w:t>
      </w:r>
    </w:p>
    <w:p w14:paraId="780228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5.投标报价文件编制的依据</w:t>
      </w:r>
    </w:p>
    <w:p w14:paraId="05E317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5.1 招标人提供的招标文件、招标工程量清单及其补充通知；</w:t>
      </w:r>
    </w:p>
    <w:p w14:paraId="740C9F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5.2 招标人设定的最高限价；</w:t>
      </w:r>
    </w:p>
    <w:p w14:paraId="234DBC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5.3《建设工程量清单计价规范》(GB50500-2013) 及其工程量计算规范； </w:t>
      </w:r>
    </w:p>
    <w:p w14:paraId="785746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5.4 有关的施工规范与工程验收规范；</w:t>
      </w:r>
    </w:p>
    <w:p w14:paraId="474965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5.5 施工现场情况、工程特点及投标人拟采用的施工组织方案；</w:t>
      </w:r>
    </w:p>
    <w:p w14:paraId="65B51F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5.6 投标人的企业定额；</w:t>
      </w:r>
    </w:p>
    <w:p w14:paraId="7091AA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5.7 投标人可同时参考2014年《江苏省建筑与装饰工程计价定额》、2014年《江苏省安装工程计价定额》、《江苏省建设工程费用定额（2014年）》及江苏省关于营改增的计价文件等最高限价（预算）的编制依据。</w:t>
      </w:r>
    </w:p>
    <w:p w14:paraId="1F4D99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6.投标报价文件编制的要求</w:t>
      </w:r>
    </w:p>
    <w:p w14:paraId="6B03F7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6.1招标人提供的施工图纸、招标工程量清单应与招标文件一起参照阅读。</w:t>
      </w:r>
    </w:p>
    <w:p w14:paraId="2E2C74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七</w:t>
      </w:r>
      <w:r>
        <w:rPr>
          <w:rFonts w:hint="eastAsia" w:ascii="宋体" w:hAnsi="宋体" w:eastAsia="宋体" w:cs="宋体"/>
          <w:b/>
          <w:bCs/>
          <w:sz w:val="21"/>
          <w:szCs w:val="21"/>
          <w:lang w:val="en-US" w:eastAsia="zh-CN"/>
        </w:rPr>
        <w:t>、采购标的对应的中小企业划分标准所属行业一览表</w:t>
      </w:r>
    </w:p>
    <w:tbl>
      <w:tblPr>
        <w:tblStyle w:val="39"/>
        <w:tblW w:w="8394" w:type="dxa"/>
        <w:jc w:val="center"/>
        <w:tblCellSpacing w:w="0" w:type="dxa"/>
        <w:tblLayout w:type="fixed"/>
        <w:tblCellMar>
          <w:top w:w="0" w:type="dxa"/>
          <w:left w:w="108" w:type="dxa"/>
          <w:bottom w:w="0" w:type="dxa"/>
          <w:right w:w="108" w:type="dxa"/>
        </w:tblCellMar>
      </w:tblPr>
      <w:tblGrid>
        <w:gridCol w:w="835"/>
        <w:gridCol w:w="3850"/>
        <w:gridCol w:w="3709"/>
      </w:tblGrid>
      <w:tr w14:paraId="34C181C8">
        <w:tblPrEx>
          <w:tblCellMar>
            <w:top w:w="0" w:type="dxa"/>
            <w:left w:w="108" w:type="dxa"/>
            <w:bottom w:w="0" w:type="dxa"/>
            <w:right w:w="108" w:type="dxa"/>
          </w:tblCellMar>
        </w:tblPrEx>
        <w:trPr>
          <w:trHeight w:val="546"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51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C79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采购标的</w:t>
            </w:r>
          </w:p>
        </w:tc>
        <w:tc>
          <w:tcPr>
            <w:tcW w:w="3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2B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对应中小企业划分标准所属行业</w:t>
            </w:r>
          </w:p>
        </w:tc>
      </w:tr>
      <w:tr w14:paraId="11067E91">
        <w:tblPrEx>
          <w:tblCellMar>
            <w:top w:w="0" w:type="dxa"/>
            <w:left w:w="108" w:type="dxa"/>
            <w:bottom w:w="0" w:type="dxa"/>
            <w:right w:w="108" w:type="dxa"/>
          </w:tblCellMar>
        </w:tblPrEx>
        <w:trPr>
          <w:trHeight w:val="646" w:hRule="atLeast"/>
          <w:tblCellSpacing w:w="0" w:type="dxa"/>
          <w:jc w:val="center"/>
        </w:trPr>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9A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AF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Theme="minorEastAsia" w:hAnsiTheme="minorEastAsia" w:eastAsiaTheme="minorEastAsia" w:cstheme="minorEastAsia"/>
                <w:color w:val="auto"/>
                <w:sz w:val="21"/>
                <w:szCs w:val="21"/>
                <w:highlight w:val="none"/>
                <w:lang w:eastAsia="zh-CN"/>
              </w:rPr>
              <w:t>西园食堂屋面整体维修项目</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cstheme="minorEastAsia"/>
                <w:color w:val="auto"/>
                <w:sz w:val="21"/>
                <w:szCs w:val="21"/>
                <w:highlight w:val="none"/>
                <w:lang w:val="en-US" w:eastAsia="zh-CN"/>
              </w:rPr>
              <w:t>二次</w:t>
            </w:r>
            <w:r>
              <w:rPr>
                <w:rFonts w:hint="eastAsia" w:asciiTheme="minorEastAsia" w:hAnsiTheme="minorEastAsia" w:cstheme="minorEastAsia"/>
                <w:color w:val="auto"/>
                <w:sz w:val="21"/>
                <w:szCs w:val="21"/>
                <w:highlight w:val="none"/>
                <w:lang w:eastAsia="zh-CN"/>
              </w:rPr>
              <w:t>）</w:t>
            </w:r>
          </w:p>
        </w:tc>
        <w:tc>
          <w:tcPr>
            <w:tcW w:w="3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4A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建筑业</w:t>
            </w:r>
          </w:p>
        </w:tc>
      </w:tr>
    </w:tbl>
    <w:p w14:paraId="5C771C29">
      <w:pPr>
        <w:numPr>
          <w:ilvl w:val="0"/>
          <w:numId w:val="0"/>
        </w:numPr>
        <w:rPr>
          <w:rFonts w:hint="eastAsia" w:ascii="宋体" w:hAnsi="宋体" w:cs="宋体"/>
          <w:b/>
          <w:bCs/>
          <w:sz w:val="21"/>
          <w:szCs w:val="21"/>
          <w:lang w:val="en-US" w:eastAsia="zh-CN"/>
        </w:rPr>
      </w:pPr>
    </w:p>
    <w:p w14:paraId="346397EB">
      <w:pPr>
        <w:numPr>
          <w:ilvl w:val="0"/>
          <w:numId w:val="0"/>
        </w:numPr>
        <w:ind w:firstLine="420" w:firstLineChars="200"/>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八、</w:t>
      </w:r>
      <w:r>
        <w:rPr>
          <w:rFonts w:hint="eastAsia" w:ascii="宋体" w:hAnsi="宋体" w:eastAsia="宋体" w:cs="宋体"/>
          <w:b/>
          <w:bCs/>
          <w:sz w:val="21"/>
          <w:szCs w:val="21"/>
          <w:lang w:val="en-US" w:eastAsia="zh-CN"/>
        </w:rPr>
        <w:t>主要设备材料招标人推荐品牌一览表</w:t>
      </w:r>
    </w:p>
    <w:p w14:paraId="0812DEE2">
      <w:pPr>
        <w:jc w:val="both"/>
        <w:rPr>
          <w:rFonts w:hint="eastAsia"/>
          <w:b/>
          <w:sz w:val="32"/>
          <w:szCs w:val="32"/>
          <w:u w:val="none"/>
        </w:rPr>
      </w:pPr>
    </w:p>
    <w:p w14:paraId="4E86CA9B">
      <w:pPr>
        <w:jc w:val="center"/>
        <w:rPr>
          <w:rFonts w:hint="eastAsia"/>
          <w:b/>
          <w:sz w:val="32"/>
          <w:szCs w:val="32"/>
          <w:u w:val="none"/>
        </w:rPr>
      </w:pPr>
      <w:r>
        <w:rPr>
          <w:rFonts w:hint="eastAsia"/>
          <w:b/>
          <w:sz w:val="32"/>
          <w:szCs w:val="32"/>
          <w:u w:val="none"/>
        </w:rPr>
        <w:t>主要设备材料招标人推荐品牌一览表</w:t>
      </w:r>
    </w:p>
    <w:tbl>
      <w:tblPr>
        <w:tblStyle w:val="39"/>
        <w:tblW w:w="9702"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3"/>
        <w:gridCol w:w="1650"/>
        <w:gridCol w:w="2242"/>
        <w:gridCol w:w="3358"/>
        <w:gridCol w:w="1769"/>
      </w:tblGrid>
      <w:tr w14:paraId="4B4B4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683" w:type="dxa"/>
            <w:tcBorders>
              <w:top w:val="single" w:color="000000" w:sz="4" w:space="0"/>
              <w:left w:val="single" w:color="000000" w:sz="4" w:space="0"/>
              <w:bottom w:val="single" w:color="auto" w:sz="4" w:space="0"/>
              <w:right w:val="single" w:color="auto" w:sz="4" w:space="0"/>
            </w:tcBorders>
            <w:vAlign w:val="center"/>
          </w:tcPr>
          <w:p w14:paraId="3C4AD2E3">
            <w:pPr>
              <w:jc w:val="center"/>
              <w:rPr>
                <w:rFonts w:hint="eastAsia" w:cs="宋体"/>
                <w:b/>
                <w:bCs/>
                <w:u w:val="none"/>
              </w:rPr>
            </w:pPr>
            <w:r>
              <w:rPr>
                <w:rFonts w:hint="eastAsia" w:cs="宋体"/>
                <w:b/>
                <w:bCs/>
                <w:u w:val="none"/>
              </w:rPr>
              <w:t>序号</w:t>
            </w:r>
          </w:p>
        </w:tc>
        <w:tc>
          <w:tcPr>
            <w:tcW w:w="1650" w:type="dxa"/>
            <w:tcBorders>
              <w:top w:val="single" w:color="000000" w:sz="4" w:space="0"/>
              <w:left w:val="single" w:color="auto" w:sz="4" w:space="0"/>
              <w:bottom w:val="single" w:color="auto" w:sz="4" w:space="0"/>
              <w:right w:val="single" w:color="000000" w:sz="4" w:space="0"/>
            </w:tcBorders>
            <w:vAlign w:val="center"/>
          </w:tcPr>
          <w:p w14:paraId="6F27A979">
            <w:pPr>
              <w:jc w:val="center"/>
              <w:rPr>
                <w:rFonts w:hint="eastAsia" w:cs="宋体"/>
                <w:b/>
                <w:bCs/>
                <w:u w:val="none"/>
              </w:rPr>
            </w:pPr>
            <w:r>
              <w:rPr>
                <w:rFonts w:hint="eastAsia" w:cs="宋体"/>
                <w:b/>
                <w:bCs/>
                <w:u w:val="none"/>
              </w:rPr>
              <w:t>材料设备名称</w:t>
            </w:r>
          </w:p>
        </w:tc>
        <w:tc>
          <w:tcPr>
            <w:tcW w:w="2242" w:type="dxa"/>
            <w:tcBorders>
              <w:top w:val="single" w:color="000000" w:sz="4" w:space="0"/>
              <w:left w:val="single" w:color="000000" w:sz="4" w:space="0"/>
              <w:bottom w:val="single" w:color="auto" w:sz="4" w:space="0"/>
              <w:right w:val="single" w:color="000000" w:sz="4" w:space="0"/>
            </w:tcBorders>
            <w:vAlign w:val="center"/>
          </w:tcPr>
          <w:p w14:paraId="75648E17">
            <w:pPr>
              <w:jc w:val="center"/>
              <w:rPr>
                <w:rFonts w:hint="eastAsia" w:cs="宋体"/>
                <w:b/>
                <w:bCs/>
                <w:u w:val="none"/>
              </w:rPr>
            </w:pPr>
            <w:r>
              <w:rPr>
                <w:rFonts w:hint="eastAsia" w:cs="宋体"/>
                <w:b/>
                <w:bCs/>
                <w:u w:val="none"/>
              </w:rPr>
              <w:t>材料主要性能要求</w:t>
            </w:r>
          </w:p>
        </w:tc>
        <w:tc>
          <w:tcPr>
            <w:tcW w:w="3358" w:type="dxa"/>
            <w:tcBorders>
              <w:top w:val="single" w:color="000000" w:sz="4" w:space="0"/>
              <w:left w:val="single" w:color="000000" w:sz="4" w:space="0"/>
              <w:bottom w:val="single" w:color="auto" w:sz="4" w:space="0"/>
              <w:right w:val="single" w:color="000000" w:sz="4" w:space="0"/>
            </w:tcBorders>
            <w:vAlign w:val="center"/>
          </w:tcPr>
          <w:p w14:paraId="2169606B">
            <w:pPr>
              <w:jc w:val="center"/>
              <w:rPr>
                <w:rFonts w:hint="eastAsia" w:cs="宋体"/>
                <w:b/>
                <w:bCs/>
                <w:u w:val="none"/>
              </w:rPr>
            </w:pPr>
            <w:r>
              <w:rPr>
                <w:rFonts w:hint="eastAsia" w:cs="宋体"/>
                <w:b/>
                <w:bCs/>
                <w:u w:val="none"/>
              </w:rPr>
              <w:t>招标人推荐品牌</w:t>
            </w:r>
          </w:p>
        </w:tc>
        <w:tc>
          <w:tcPr>
            <w:tcW w:w="1769" w:type="dxa"/>
            <w:tcBorders>
              <w:top w:val="single" w:color="000000" w:sz="4" w:space="0"/>
              <w:left w:val="single" w:color="000000" w:sz="4" w:space="0"/>
              <w:bottom w:val="single" w:color="auto" w:sz="4" w:space="0"/>
              <w:right w:val="single" w:color="000000" w:sz="4" w:space="0"/>
            </w:tcBorders>
            <w:vAlign w:val="center"/>
          </w:tcPr>
          <w:p w14:paraId="00680818">
            <w:pPr>
              <w:jc w:val="center"/>
              <w:rPr>
                <w:rFonts w:hint="eastAsia" w:cs="宋体"/>
                <w:b/>
                <w:bCs/>
                <w:u w:val="none"/>
              </w:rPr>
            </w:pPr>
            <w:r>
              <w:rPr>
                <w:rFonts w:hint="eastAsia" w:cs="宋体"/>
                <w:b/>
                <w:bCs/>
                <w:u w:val="none"/>
              </w:rPr>
              <w:t>投标人选用品牌</w:t>
            </w:r>
          </w:p>
        </w:tc>
      </w:tr>
      <w:tr w14:paraId="388FD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683" w:type="dxa"/>
            <w:tcBorders>
              <w:top w:val="single" w:color="000000" w:sz="4" w:space="0"/>
              <w:left w:val="single" w:color="000000" w:sz="4" w:space="0"/>
              <w:bottom w:val="single" w:color="000000" w:sz="4" w:space="0"/>
              <w:right w:val="single" w:color="auto" w:sz="4" w:space="0"/>
            </w:tcBorders>
            <w:vAlign w:val="center"/>
          </w:tcPr>
          <w:p w14:paraId="6F3ABBE2">
            <w:pPr>
              <w:jc w:val="center"/>
              <w:rPr>
                <w:rFonts w:hint="default" w:eastAsia="宋体" w:cs="宋体"/>
                <w:sz w:val="21"/>
                <w:szCs w:val="21"/>
                <w:u w:val="none"/>
                <w:lang w:val="en-US" w:eastAsia="zh-CN"/>
              </w:rPr>
            </w:pPr>
            <w:r>
              <w:rPr>
                <w:rFonts w:hint="eastAsia" w:cs="宋体"/>
                <w:sz w:val="21"/>
                <w:szCs w:val="21"/>
                <w:u w:val="none"/>
                <w:lang w:val="en-US" w:eastAsia="zh-CN"/>
              </w:rPr>
              <w:t>1</w:t>
            </w:r>
          </w:p>
        </w:tc>
        <w:tc>
          <w:tcPr>
            <w:tcW w:w="1650" w:type="dxa"/>
            <w:tcBorders>
              <w:top w:val="single" w:color="000000" w:sz="4" w:space="0"/>
              <w:left w:val="single" w:color="auto" w:sz="4" w:space="0"/>
              <w:bottom w:val="single" w:color="000000" w:sz="4" w:space="0"/>
              <w:right w:val="single" w:color="000000" w:sz="4" w:space="0"/>
            </w:tcBorders>
            <w:vAlign w:val="center"/>
          </w:tcPr>
          <w:p w14:paraId="53135BB8">
            <w:pPr>
              <w:widowControl/>
              <w:jc w:val="center"/>
              <w:rPr>
                <w:rFonts w:hint="eastAsia" w:cs="宋体"/>
                <w:kern w:val="0"/>
                <w:sz w:val="21"/>
                <w:szCs w:val="21"/>
                <w:u w:val="none"/>
              </w:rPr>
            </w:pPr>
            <w:r>
              <w:rPr>
                <w:rFonts w:hint="eastAsia" w:cs="宋体"/>
                <w:kern w:val="0"/>
                <w:sz w:val="21"/>
                <w:szCs w:val="21"/>
                <w:u w:val="none"/>
              </w:rPr>
              <w:t>防水材料</w:t>
            </w:r>
          </w:p>
        </w:tc>
        <w:tc>
          <w:tcPr>
            <w:tcW w:w="2242" w:type="dxa"/>
            <w:tcBorders>
              <w:top w:val="single" w:color="000000" w:sz="4" w:space="0"/>
              <w:left w:val="single" w:color="000000" w:sz="4" w:space="0"/>
              <w:bottom w:val="single" w:color="000000" w:sz="4" w:space="0"/>
              <w:right w:val="single" w:color="000000" w:sz="4" w:space="0"/>
            </w:tcBorders>
            <w:vAlign w:val="center"/>
          </w:tcPr>
          <w:p w14:paraId="17870111">
            <w:pPr>
              <w:jc w:val="center"/>
              <w:rPr>
                <w:rFonts w:hint="eastAsia" w:cs="宋体"/>
                <w:sz w:val="21"/>
                <w:szCs w:val="21"/>
                <w:u w:val="none"/>
              </w:rPr>
            </w:pPr>
            <w:r>
              <w:rPr>
                <w:rFonts w:hint="eastAsia" w:cs="宋体"/>
                <w:sz w:val="21"/>
                <w:szCs w:val="21"/>
                <w:u w:val="none"/>
              </w:rPr>
              <w:t>合格品及其以上等级</w:t>
            </w:r>
          </w:p>
        </w:tc>
        <w:tc>
          <w:tcPr>
            <w:tcW w:w="3358" w:type="dxa"/>
            <w:tcBorders>
              <w:top w:val="single" w:color="000000" w:sz="4" w:space="0"/>
              <w:left w:val="single" w:color="000000" w:sz="4" w:space="0"/>
              <w:bottom w:val="single" w:color="000000" w:sz="4" w:space="0"/>
              <w:right w:val="single" w:color="000000" w:sz="4" w:space="0"/>
            </w:tcBorders>
            <w:vAlign w:val="center"/>
          </w:tcPr>
          <w:p w14:paraId="2935805F">
            <w:pPr>
              <w:jc w:val="center"/>
              <w:rPr>
                <w:rFonts w:hint="eastAsia" w:cs="宋体"/>
                <w:sz w:val="21"/>
                <w:szCs w:val="21"/>
                <w:u w:val="none"/>
              </w:rPr>
            </w:pPr>
            <w:r>
              <w:rPr>
                <w:rFonts w:hint="eastAsia" w:cs="宋体"/>
                <w:sz w:val="21"/>
                <w:szCs w:val="21"/>
                <w:u w:val="none"/>
              </w:rPr>
              <w:t>北京东方雨虹、德高、卓宝、科顺</w:t>
            </w:r>
          </w:p>
        </w:tc>
        <w:tc>
          <w:tcPr>
            <w:tcW w:w="1769" w:type="dxa"/>
            <w:tcBorders>
              <w:top w:val="single" w:color="000000" w:sz="4" w:space="0"/>
              <w:left w:val="single" w:color="000000" w:sz="4" w:space="0"/>
              <w:bottom w:val="single" w:color="000000" w:sz="4" w:space="0"/>
              <w:right w:val="single" w:color="000000" w:sz="4" w:space="0"/>
            </w:tcBorders>
          </w:tcPr>
          <w:p w14:paraId="484AB4AA">
            <w:pPr>
              <w:jc w:val="center"/>
              <w:rPr>
                <w:rFonts w:hint="eastAsia" w:cs="宋体"/>
                <w:sz w:val="21"/>
                <w:szCs w:val="21"/>
                <w:u w:val="none"/>
              </w:rPr>
            </w:pPr>
          </w:p>
        </w:tc>
      </w:tr>
      <w:tr w14:paraId="5957E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683" w:type="dxa"/>
            <w:tcBorders>
              <w:top w:val="single" w:color="000000" w:sz="4" w:space="0"/>
              <w:left w:val="single" w:color="000000" w:sz="4" w:space="0"/>
              <w:bottom w:val="single" w:color="000000" w:sz="4" w:space="0"/>
              <w:right w:val="single" w:color="auto" w:sz="4" w:space="0"/>
            </w:tcBorders>
            <w:vAlign w:val="center"/>
          </w:tcPr>
          <w:p w14:paraId="2FA7EAA3">
            <w:pPr>
              <w:jc w:val="center"/>
              <w:rPr>
                <w:rFonts w:hint="default" w:cs="宋体"/>
                <w:sz w:val="21"/>
                <w:szCs w:val="21"/>
                <w:u w:val="none"/>
                <w:lang w:val="en-US" w:eastAsia="zh-CN"/>
              </w:rPr>
            </w:pPr>
            <w:r>
              <w:rPr>
                <w:rFonts w:hint="eastAsia" w:cs="宋体"/>
                <w:sz w:val="21"/>
                <w:szCs w:val="21"/>
                <w:u w:val="none"/>
                <w:lang w:val="en-US" w:eastAsia="zh-CN"/>
              </w:rPr>
              <w:t>2</w:t>
            </w:r>
          </w:p>
        </w:tc>
        <w:tc>
          <w:tcPr>
            <w:tcW w:w="1650" w:type="dxa"/>
            <w:tcBorders>
              <w:top w:val="single" w:color="000000" w:sz="4" w:space="0"/>
              <w:left w:val="single" w:color="auto" w:sz="4" w:space="0"/>
              <w:bottom w:val="single" w:color="000000" w:sz="4" w:space="0"/>
              <w:right w:val="single" w:color="000000" w:sz="4" w:space="0"/>
            </w:tcBorders>
            <w:vAlign w:val="center"/>
          </w:tcPr>
          <w:p w14:paraId="0D1DF851">
            <w:pPr>
              <w:widowControl/>
              <w:jc w:val="center"/>
              <w:rPr>
                <w:rFonts w:hint="eastAsia" w:eastAsia="宋体" w:cs="宋体"/>
                <w:kern w:val="0"/>
                <w:sz w:val="21"/>
                <w:szCs w:val="21"/>
                <w:u w:val="none"/>
                <w:lang w:val="en-US" w:eastAsia="zh-CN"/>
              </w:rPr>
            </w:pPr>
            <w:r>
              <w:rPr>
                <w:rFonts w:hint="eastAsia" w:cs="宋体"/>
                <w:kern w:val="0"/>
                <w:sz w:val="21"/>
                <w:szCs w:val="21"/>
                <w:u w:val="none"/>
                <w:lang w:val="en-US" w:eastAsia="zh-CN"/>
              </w:rPr>
              <w:t>真石漆</w:t>
            </w:r>
          </w:p>
        </w:tc>
        <w:tc>
          <w:tcPr>
            <w:tcW w:w="2242" w:type="dxa"/>
            <w:tcBorders>
              <w:top w:val="single" w:color="000000" w:sz="4" w:space="0"/>
              <w:left w:val="single" w:color="000000" w:sz="4" w:space="0"/>
              <w:bottom w:val="single" w:color="000000" w:sz="4" w:space="0"/>
              <w:right w:val="single" w:color="000000" w:sz="4" w:space="0"/>
            </w:tcBorders>
            <w:vAlign w:val="center"/>
          </w:tcPr>
          <w:p w14:paraId="790B6B77">
            <w:pPr>
              <w:jc w:val="center"/>
              <w:rPr>
                <w:rFonts w:hint="eastAsia" w:cs="宋体"/>
                <w:sz w:val="21"/>
                <w:szCs w:val="21"/>
                <w:u w:val="none"/>
              </w:rPr>
            </w:pPr>
            <w:r>
              <w:rPr>
                <w:rFonts w:hint="eastAsia" w:cs="宋体"/>
                <w:sz w:val="21"/>
                <w:szCs w:val="21"/>
                <w:u w:val="none"/>
              </w:rPr>
              <w:t>合格品及其以上等级</w:t>
            </w:r>
          </w:p>
        </w:tc>
        <w:tc>
          <w:tcPr>
            <w:tcW w:w="3358" w:type="dxa"/>
            <w:tcBorders>
              <w:top w:val="single" w:color="000000" w:sz="4" w:space="0"/>
              <w:left w:val="single" w:color="000000" w:sz="4" w:space="0"/>
              <w:bottom w:val="single" w:color="000000" w:sz="4" w:space="0"/>
              <w:right w:val="single" w:color="000000" w:sz="4" w:space="0"/>
            </w:tcBorders>
            <w:vAlign w:val="center"/>
          </w:tcPr>
          <w:p w14:paraId="25ED24D2">
            <w:pPr>
              <w:jc w:val="center"/>
              <w:rPr>
                <w:rFonts w:hint="eastAsia" w:cs="宋体"/>
                <w:color w:val="auto"/>
                <w:sz w:val="21"/>
                <w:szCs w:val="21"/>
                <w:u w:val="none"/>
              </w:rPr>
            </w:pPr>
            <w:r>
              <w:rPr>
                <w:rFonts w:hint="eastAsia" w:cs="宋体"/>
                <w:color w:val="auto"/>
                <w:sz w:val="21"/>
                <w:szCs w:val="21"/>
                <w:u w:val="none"/>
              </w:rPr>
              <w:t>立邦、</w:t>
            </w:r>
            <w:r>
              <w:rPr>
                <w:rFonts w:hint="eastAsia" w:cs="宋体"/>
                <w:color w:val="auto"/>
                <w:sz w:val="21"/>
                <w:szCs w:val="21"/>
                <w:u w:val="none"/>
                <w:lang w:eastAsia="zh-CN"/>
              </w:rPr>
              <w:t>嘉宝莉</w:t>
            </w:r>
            <w:r>
              <w:rPr>
                <w:rFonts w:hint="eastAsia" w:cs="宋体"/>
                <w:color w:val="auto"/>
                <w:sz w:val="21"/>
                <w:szCs w:val="21"/>
                <w:u w:val="none"/>
              </w:rPr>
              <w:t>、</w:t>
            </w:r>
            <w:r>
              <w:rPr>
                <w:rFonts w:hint="eastAsia" w:cs="宋体"/>
                <w:color w:val="auto"/>
                <w:sz w:val="21"/>
                <w:szCs w:val="21"/>
                <w:u w:val="none"/>
                <w:lang w:eastAsia="zh-CN"/>
              </w:rPr>
              <w:t>久诺</w:t>
            </w:r>
            <w:r>
              <w:rPr>
                <w:rFonts w:hint="eastAsia" w:cs="宋体"/>
                <w:color w:val="auto"/>
                <w:sz w:val="21"/>
                <w:szCs w:val="21"/>
                <w:u w:val="none"/>
              </w:rPr>
              <w:t>、三棵树</w:t>
            </w:r>
          </w:p>
        </w:tc>
        <w:tc>
          <w:tcPr>
            <w:tcW w:w="1769" w:type="dxa"/>
            <w:tcBorders>
              <w:top w:val="single" w:color="000000" w:sz="4" w:space="0"/>
              <w:left w:val="single" w:color="000000" w:sz="4" w:space="0"/>
              <w:bottom w:val="single" w:color="000000" w:sz="4" w:space="0"/>
              <w:right w:val="single" w:color="000000" w:sz="4" w:space="0"/>
            </w:tcBorders>
          </w:tcPr>
          <w:p w14:paraId="277F0B34">
            <w:pPr>
              <w:jc w:val="center"/>
              <w:rPr>
                <w:rFonts w:hint="eastAsia" w:cs="宋体"/>
                <w:sz w:val="21"/>
                <w:szCs w:val="21"/>
                <w:u w:val="none"/>
              </w:rPr>
            </w:pPr>
          </w:p>
        </w:tc>
      </w:tr>
      <w:tr w14:paraId="26E05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7" w:hRule="atLeast"/>
        </w:trPr>
        <w:tc>
          <w:tcPr>
            <w:tcW w:w="683" w:type="dxa"/>
            <w:tcBorders>
              <w:top w:val="single" w:color="000000" w:sz="4" w:space="0"/>
              <w:left w:val="single" w:color="000000" w:sz="4" w:space="0"/>
              <w:bottom w:val="single" w:color="000000" w:sz="4" w:space="0"/>
              <w:right w:val="single" w:color="auto" w:sz="4" w:space="0"/>
            </w:tcBorders>
            <w:vAlign w:val="center"/>
          </w:tcPr>
          <w:p w14:paraId="0A6C844D">
            <w:pPr>
              <w:jc w:val="center"/>
              <w:rPr>
                <w:rFonts w:hint="default" w:cs="宋体"/>
                <w:sz w:val="21"/>
                <w:szCs w:val="21"/>
                <w:u w:val="none"/>
                <w:lang w:val="en-US" w:eastAsia="zh-CN"/>
              </w:rPr>
            </w:pPr>
            <w:r>
              <w:rPr>
                <w:rFonts w:hint="eastAsia" w:cs="宋体"/>
                <w:sz w:val="21"/>
                <w:szCs w:val="21"/>
                <w:u w:val="none"/>
                <w:lang w:val="en-US" w:eastAsia="zh-CN"/>
              </w:rPr>
              <w:t>3</w:t>
            </w:r>
          </w:p>
        </w:tc>
        <w:tc>
          <w:tcPr>
            <w:tcW w:w="1650" w:type="dxa"/>
            <w:tcBorders>
              <w:top w:val="single" w:color="000000" w:sz="4" w:space="0"/>
              <w:left w:val="single" w:color="auto" w:sz="4" w:space="0"/>
              <w:bottom w:val="single" w:color="000000" w:sz="4" w:space="0"/>
              <w:right w:val="single" w:color="000000" w:sz="4" w:space="0"/>
            </w:tcBorders>
            <w:vAlign w:val="center"/>
          </w:tcPr>
          <w:p w14:paraId="2536071A">
            <w:pPr>
              <w:widowControl/>
              <w:jc w:val="center"/>
              <w:rPr>
                <w:rFonts w:hint="default" w:cs="宋体"/>
                <w:kern w:val="0"/>
                <w:sz w:val="21"/>
                <w:szCs w:val="21"/>
                <w:u w:val="none"/>
                <w:lang w:val="en-US" w:eastAsia="zh-CN"/>
              </w:rPr>
            </w:pPr>
            <w:r>
              <w:rPr>
                <w:rFonts w:hint="eastAsia" w:cs="宋体"/>
                <w:kern w:val="0"/>
                <w:sz w:val="21"/>
                <w:szCs w:val="21"/>
                <w:u w:val="none"/>
                <w:lang w:val="en-US" w:eastAsia="zh-CN"/>
              </w:rPr>
              <w:t>外墙涂料</w:t>
            </w:r>
          </w:p>
        </w:tc>
        <w:tc>
          <w:tcPr>
            <w:tcW w:w="2242" w:type="dxa"/>
            <w:tcBorders>
              <w:top w:val="single" w:color="000000" w:sz="4" w:space="0"/>
              <w:left w:val="single" w:color="000000" w:sz="4" w:space="0"/>
              <w:bottom w:val="single" w:color="000000" w:sz="4" w:space="0"/>
              <w:right w:val="single" w:color="000000" w:sz="4" w:space="0"/>
            </w:tcBorders>
            <w:vAlign w:val="center"/>
          </w:tcPr>
          <w:p w14:paraId="2FEA1470">
            <w:pPr>
              <w:jc w:val="center"/>
              <w:rPr>
                <w:rFonts w:hint="eastAsia" w:cs="宋体"/>
                <w:sz w:val="21"/>
                <w:szCs w:val="21"/>
                <w:u w:val="none"/>
              </w:rPr>
            </w:pPr>
            <w:r>
              <w:rPr>
                <w:rFonts w:hint="eastAsia" w:cs="宋体"/>
                <w:sz w:val="21"/>
                <w:szCs w:val="21"/>
                <w:u w:val="none"/>
              </w:rPr>
              <w:t>合格品及其以上等级</w:t>
            </w:r>
          </w:p>
        </w:tc>
        <w:tc>
          <w:tcPr>
            <w:tcW w:w="3358" w:type="dxa"/>
            <w:tcBorders>
              <w:top w:val="single" w:color="000000" w:sz="4" w:space="0"/>
              <w:left w:val="single" w:color="000000" w:sz="4" w:space="0"/>
              <w:bottom w:val="single" w:color="000000" w:sz="4" w:space="0"/>
              <w:right w:val="single" w:color="000000" w:sz="4" w:space="0"/>
            </w:tcBorders>
            <w:vAlign w:val="center"/>
          </w:tcPr>
          <w:p w14:paraId="65BAC30C">
            <w:pPr>
              <w:jc w:val="center"/>
              <w:rPr>
                <w:rFonts w:hint="eastAsia" w:cs="宋体"/>
                <w:color w:val="auto"/>
                <w:sz w:val="21"/>
                <w:szCs w:val="21"/>
                <w:u w:val="none"/>
              </w:rPr>
            </w:pPr>
            <w:r>
              <w:rPr>
                <w:rFonts w:hint="eastAsia" w:cs="宋体"/>
                <w:color w:val="auto"/>
                <w:sz w:val="21"/>
                <w:szCs w:val="21"/>
                <w:u w:val="none"/>
              </w:rPr>
              <w:t>立邦、</w:t>
            </w:r>
            <w:r>
              <w:rPr>
                <w:rFonts w:hint="eastAsia" w:cs="宋体"/>
                <w:color w:val="auto"/>
                <w:sz w:val="21"/>
                <w:szCs w:val="21"/>
                <w:u w:val="none"/>
                <w:lang w:eastAsia="zh-CN"/>
              </w:rPr>
              <w:t>嘉宝莉</w:t>
            </w:r>
            <w:r>
              <w:rPr>
                <w:rFonts w:hint="eastAsia" w:cs="宋体"/>
                <w:color w:val="auto"/>
                <w:sz w:val="21"/>
                <w:szCs w:val="21"/>
                <w:u w:val="none"/>
              </w:rPr>
              <w:t>、</w:t>
            </w:r>
            <w:r>
              <w:rPr>
                <w:rFonts w:hint="eastAsia" w:cs="宋体"/>
                <w:color w:val="auto"/>
                <w:sz w:val="21"/>
                <w:szCs w:val="21"/>
                <w:u w:val="none"/>
                <w:lang w:eastAsia="zh-CN"/>
              </w:rPr>
              <w:t>久诺</w:t>
            </w:r>
            <w:r>
              <w:rPr>
                <w:rFonts w:hint="eastAsia" w:cs="宋体"/>
                <w:color w:val="auto"/>
                <w:sz w:val="21"/>
                <w:szCs w:val="21"/>
                <w:u w:val="none"/>
              </w:rPr>
              <w:t>、三棵树</w:t>
            </w:r>
          </w:p>
        </w:tc>
        <w:tc>
          <w:tcPr>
            <w:tcW w:w="1769" w:type="dxa"/>
            <w:tcBorders>
              <w:top w:val="single" w:color="000000" w:sz="4" w:space="0"/>
              <w:left w:val="single" w:color="000000" w:sz="4" w:space="0"/>
              <w:bottom w:val="single" w:color="000000" w:sz="4" w:space="0"/>
              <w:right w:val="single" w:color="000000" w:sz="4" w:space="0"/>
            </w:tcBorders>
          </w:tcPr>
          <w:p w14:paraId="7A1953D9">
            <w:pPr>
              <w:jc w:val="center"/>
              <w:rPr>
                <w:rFonts w:hint="eastAsia" w:cs="宋体"/>
                <w:sz w:val="21"/>
                <w:szCs w:val="21"/>
                <w:u w:val="none"/>
              </w:rPr>
            </w:pPr>
          </w:p>
        </w:tc>
      </w:tr>
    </w:tbl>
    <w:p w14:paraId="430969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p>
    <w:p w14:paraId="15FE0A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注：1、以上材料在进场前须经建设单位和设计单位认可，建设单位有权在颜色、样式、用量、材质、配置等方面做出适当调整，但价格不予调整。</w:t>
      </w:r>
    </w:p>
    <w:p w14:paraId="007EC7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zh-CN" w:eastAsia="zh-CN"/>
        </w:rPr>
        <w:sectPr>
          <w:footerReference r:id="rId6" w:type="default"/>
          <w:pgSz w:w="11906" w:h="16838"/>
          <w:pgMar w:top="1460" w:right="1486" w:bottom="1518" w:left="1800" w:header="851" w:footer="992" w:gutter="0"/>
          <w:pgNumType w:start="32"/>
          <w:cols w:space="425" w:num="1"/>
          <w:docGrid w:linePitch="360" w:charSpace="0"/>
        </w:sectPr>
      </w:pPr>
      <w:r>
        <w:rPr>
          <w:rFonts w:hint="eastAsia" w:ascii="宋体" w:hAnsi="宋体" w:eastAsia="宋体" w:cs="宋体"/>
          <w:sz w:val="21"/>
          <w:szCs w:val="21"/>
          <w:lang w:val="en-US" w:eastAsia="zh-CN"/>
        </w:rPr>
        <w:t>2、投标人投标时需选择某一具体品牌。如投标人采用推荐品牌以外的其他产品供货的，质量和性能等技术指标必须优于或者相当于推荐品牌。一旦中标，中标人不得以任何理由更换选用品牌,并于领取中标通知书后三天内向建设单位提供样品，经建设单位认可后方可签订合同。</w:t>
      </w:r>
      <w:r>
        <w:rPr>
          <w:rFonts w:hint="eastAsia" w:ascii="宋体" w:hAnsi="宋体" w:eastAsia="宋体" w:cs="宋体"/>
          <w:sz w:val="21"/>
          <w:szCs w:val="21"/>
          <w:lang w:val="zh-CN" w:eastAsia="zh-CN"/>
        </w:rPr>
        <w:t>如选定品牌的产品因停产或特殊原因导致无法采购，投标人需提供书面依据，并补充同档次品牌且必须报招标人确认后采购，优先选择招标文件推荐品牌，投标人不得由此而提出对合同价格进行调整。</w:t>
      </w:r>
    </w:p>
    <w:p w14:paraId="275E22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32"/>
          <w:szCs w:val="32"/>
          <w:highlight w:val="none"/>
        </w:rPr>
      </w:pPr>
      <w:r>
        <w:rPr>
          <w:rFonts w:hint="eastAsia" w:ascii="黑体" w:hAnsi="宋体" w:eastAsia="黑体" w:cs="黑体"/>
          <w:b/>
          <w:color w:val="000000"/>
          <w:sz w:val="32"/>
          <w:szCs w:val="32"/>
          <w:highlight w:val="none"/>
        </w:rPr>
        <w:t>第五章</w:t>
      </w:r>
      <w:r>
        <w:rPr>
          <w:rFonts w:hint="eastAsia" w:ascii="黑体" w:hAnsi="宋体" w:eastAsia="黑体" w:cs="黑体"/>
          <w:b/>
          <w:color w:val="000000"/>
          <w:sz w:val="32"/>
          <w:szCs w:val="32"/>
          <w:highlight w:val="none"/>
          <w:lang w:val="en-US" w:eastAsia="zh-CN"/>
        </w:rPr>
        <w:t xml:space="preserve">  </w:t>
      </w:r>
      <w:r>
        <w:rPr>
          <w:rFonts w:hint="eastAsia" w:ascii="黑体" w:hAnsi="宋体" w:eastAsia="黑体" w:cs="黑体"/>
          <w:b/>
          <w:color w:val="000000"/>
          <w:sz w:val="32"/>
          <w:szCs w:val="32"/>
          <w:highlight w:val="none"/>
        </w:rPr>
        <w:t>评标方法与评标标准</w:t>
      </w:r>
    </w:p>
    <w:p w14:paraId="270A6E1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一、定标原则</w:t>
      </w:r>
    </w:p>
    <w:p w14:paraId="437CFC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本项目采用</w:t>
      </w:r>
      <w:r>
        <w:rPr>
          <w:rFonts w:hint="eastAsia" w:ascii="宋体" w:hAnsi="宋体" w:eastAsia="宋体" w:cs="宋体"/>
          <w:b/>
          <w:bCs w:val="0"/>
          <w:color w:val="000000"/>
          <w:sz w:val="21"/>
          <w:szCs w:val="21"/>
          <w:highlight w:val="none"/>
          <w:u w:val="single"/>
        </w:rPr>
        <w:t>综合评分法</w:t>
      </w:r>
      <w:r>
        <w:rPr>
          <w:rFonts w:hint="eastAsia" w:ascii="宋体" w:hAnsi="宋体" w:eastAsia="宋体" w:cs="宋体"/>
          <w:bCs/>
          <w:color w:val="000000"/>
          <w:sz w:val="21"/>
          <w:szCs w:val="21"/>
          <w:highlight w:val="none"/>
        </w:rPr>
        <w:t>。</w:t>
      </w:r>
      <w:r>
        <w:rPr>
          <w:rFonts w:hint="eastAsia" w:ascii="宋体" w:hAnsi="宋体" w:eastAsia="宋体" w:cs="宋体"/>
          <w:color w:val="000000"/>
          <w:sz w:val="21"/>
          <w:szCs w:val="21"/>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C797A4F">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41"/>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政府采购政策功能落实</w:t>
      </w:r>
    </w:p>
    <w:p w14:paraId="61B324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1、中小微型企业</w:t>
      </w:r>
    </w:p>
    <w:p w14:paraId="48C0D3C9">
      <w:pPr>
        <w:pStyle w:val="2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（1）本项目专门面向中小企业采购，不再对小型和微型企业服务给予价格扣除。</w:t>
      </w:r>
    </w:p>
    <w:p w14:paraId="53AC69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（2）投标人需按照采购文件的要求提供相应的《中小微企业声明函》。</w:t>
      </w:r>
    </w:p>
    <w:p w14:paraId="7024F33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（3）企业标准请参照《关于印发中小企业划型标准规定的通知》（工信部联企业〔2011〕300号）文件规定自行填写。</w:t>
      </w:r>
    </w:p>
    <w:p w14:paraId="441E1B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2、残疾人福利单位</w:t>
      </w:r>
    </w:p>
    <w:p w14:paraId="0C42C8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（1）本项目对残疾人福利性单位视同小型、微型企业。</w:t>
      </w:r>
    </w:p>
    <w:p w14:paraId="4C356B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（2）残疾人福利单位需按照采购文件的要求提供《残疾人福利性单位声明函》。</w:t>
      </w:r>
    </w:p>
    <w:p w14:paraId="1F72E90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（3）残疾人福利单位标准请参照《关于促进残疾人就业政府采购政策的通知》（财库〔2017〕141号）。</w:t>
      </w:r>
    </w:p>
    <w:p w14:paraId="030D743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3、监狱和戒毒企业</w:t>
      </w:r>
    </w:p>
    <w:p w14:paraId="21F35B7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（1）本项目对监狱和戒毒企业（简称监狱企业）视同小型、微型企业。</w:t>
      </w:r>
    </w:p>
    <w:p w14:paraId="7B4BE0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（2）监狱企业参加政府采购活动时，需提供由省级以上监狱管理局、戒毒管理局(含新疆生产建设兵团)出具的属于监狱企业的证明文件。</w:t>
      </w:r>
    </w:p>
    <w:p w14:paraId="5DE5C8E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（3）监狱企业标准请参照《关于政府采购支持监狱企业发展有关问题的通知》（财库〔2014〕68号）。</w:t>
      </w:r>
    </w:p>
    <w:p w14:paraId="16ADDC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4、残疾人福利单位、监狱企业属于小型、微型企业的，不重复享受政策。</w:t>
      </w:r>
    </w:p>
    <w:p w14:paraId="3FFE87A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kern w:val="2"/>
          <w:sz w:val="21"/>
          <w:szCs w:val="21"/>
          <w:lang w:val="en-US" w:eastAsia="zh-CN" w:bidi="ar-SA"/>
        </w:rPr>
        <w:t>5、严格执行政府采购关于支持节能产品、环境标志产品的相关政策规定。如本次采购</w:t>
      </w:r>
      <w:r>
        <w:rPr>
          <w:rFonts w:hint="eastAsia" w:ascii="宋体" w:hAnsi="宋体" w:eastAsia="宋体" w:cs="宋体"/>
          <w:bCs/>
          <w:color w:val="000000" w:themeColor="text1"/>
          <w:sz w:val="21"/>
          <w:szCs w:val="21"/>
          <w14:textFill>
            <w14:solidFill>
              <w14:schemeClr w14:val="tx1"/>
            </w14:solidFill>
          </w14:textFill>
        </w:rPr>
        <w:t>的产品属于财政部</w:t>
      </w:r>
      <w:r>
        <w:rPr>
          <w:rFonts w:hint="eastAsia" w:ascii="宋体" w:hAnsi="宋体" w:eastAsia="宋体" w:cs="宋体"/>
          <w:color w:val="000000"/>
          <w:sz w:val="21"/>
          <w:szCs w:val="21"/>
          <w:highlight w:val="none"/>
        </w:rPr>
        <w:t>、国家发展改革委、生态环境部、市场监管总局等部门发布的节能产品、环境标志产品品目清单政府强制采购范围的，</w:t>
      </w: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1"/>
          <w:szCs w:val="21"/>
          <w:highlight w:val="none"/>
        </w:rPr>
        <w:t>如属政府强制采购产品未提供认证证书的或认证证书提供不全的将视为未实质性响应采购要求</w:t>
      </w:r>
      <w:r>
        <w:rPr>
          <w:rFonts w:hint="eastAsia" w:ascii="宋体" w:hAnsi="宋体" w:eastAsia="宋体" w:cs="宋体"/>
          <w:i/>
          <w:color w:val="000000"/>
          <w:sz w:val="21"/>
          <w:szCs w:val="21"/>
          <w:highlight w:val="none"/>
        </w:rPr>
        <w:t>。</w:t>
      </w:r>
      <w:r>
        <w:rPr>
          <w:rFonts w:hint="eastAsia" w:ascii="宋体" w:hAnsi="宋体" w:eastAsia="宋体" w:cs="宋体"/>
          <w:color w:val="000000"/>
          <w:sz w:val="21"/>
          <w:szCs w:val="21"/>
          <w:highlight w:val="none"/>
        </w:rPr>
        <w:t>其他条件相同情况下，应当优先采购节能产品、环境标志产品。</w:t>
      </w:r>
      <w:r>
        <w:rPr>
          <w:rFonts w:hint="eastAsia" w:ascii="宋体" w:hAnsi="宋体" w:eastAsia="宋体" w:cs="宋体"/>
          <w:color w:val="000000"/>
          <w:sz w:val="21"/>
          <w:szCs w:val="21"/>
          <w:highlight w:val="none"/>
          <w:lang w:val="en-US" w:eastAsia="zh-CN"/>
        </w:rPr>
        <w:t xml:space="preserve">            </w:t>
      </w:r>
    </w:p>
    <w:p w14:paraId="54729D6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rPr>
        <w:t>二、评标标准</w:t>
      </w:r>
      <w:r>
        <w:rPr>
          <w:rFonts w:hint="eastAsia" w:ascii="宋体" w:hAnsi="宋体" w:eastAsia="宋体" w:cs="宋体"/>
          <w:b/>
          <w:bCs/>
          <w:color w:val="000000"/>
          <w:sz w:val="21"/>
          <w:szCs w:val="21"/>
          <w:lang w:val="en-US" w:eastAsia="zh-CN"/>
        </w:rPr>
        <w:t xml:space="preserve">                                                        </w:t>
      </w:r>
    </w:p>
    <w:p w14:paraId="7CE3B1A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本项目评分总分值为100分</w:t>
      </w:r>
      <w:r>
        <w:rPr>
          <w:rFonts w:hint="eastAsia" w:ascii="宋体" w:hAnsi="宋体" w:eastAsia="宋体" w:cs="宋体"/>
          <w:bCs/>
          <w:color w:val="000000"/>
          <w:sz w:val="21"/>
          <w:szCs w:val="21"/>
          <w:lang w:eastAsia="zh-CN"/>
        </w:rPr>
        <w:t>，</w:t>
      </w:r>
      <w:r>
        <w:rPr>
          <w:rFonts w:hint="eastAsia" w:ascii="宋体" w:hAnsi="宋体" w:eastAsia="宋体" w:cs="宋体"/>
          <w:color w:val="auto"/>
          <w:sz w:val="21"/>
          <w:szCs w:val="21"/>
          <w:highlight w:val="none"/>
          <w:lang w:val="zh-CN"/>
        </w:rPr>
        <w:t>小数点</w:t>
      </w:r>
      <w:r>
        <w:rPr>
          <w:rFonts w:hint="eastAsia" w:ascii="宋体" w:hAnsi="宋体" w:eastAsia="宋体" w:cs="宋体"/>
          <w:color w:val="auto"/>
          <w:sz w:val="21"/>
          <w:szCs w:val="21"/>
          <w:highlight w:val="none"/>
          <w:lang w:val="en-US" w:eastAsia="zh-CN"/>
        </w:rPr>
        <w:t>四舍五入</w:t>
      </w:r>
      <w:r>
        <w:rPr>
          <w:rFonts w:hint="eastAsia" w:ascii="宋体" w:hAnsi="宋体" w:eastAsia="宋体" w:cs="宋体"/>
          <w:color w:val="auto"/>
          <w:sz w:val="21"/>
          <w:szCs w:val="21"/>
          <w:highlight w:val="none"/>
          <w:lang w:val="zh-CN"/>
        </w:rPr>
        <w:t>后保留两位</w:t>
      </w:r>
      <w:r>
        <w:rPr>
          <w:rFonts w:hint="eastAsia" w:ascii="宋体" w:hAnsi="宋体" w:eastAsia="宋体" w:cs="宋体"/>
          <w:bCs/>
          <w:color w:val="000000"/>
          <w:sz w:val="21"/>
          <w:szCs w:val="21"/>
        </w:rPr>
        <w:t>。</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1240"/>
        <w:gridCol w:w="6116"/>
      </w:tblGrid>
      <w:tr w14:paraId="1159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166" w:type="dxa"/>
          </w:tcPr>
          <w:p w14:paraId="50480F6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b/>
                <w:bCs/>
                <w:sz w:val="21"/>
                <w:szCs w:val="21"/>
              </w:rPr>
              <w:t>评</w:t>
            </w:r>
            <w:r>
              <w:rPr>
                <w:rFonts w:hint="eastAsia" w:ascii="宋体" w:hAnsi="宋体" w:eastAsia="宋体" w:cs="宋体"/>
                <w:b/>
                <w:bCs/>
                <w:sz w:val="21"/>
                <w:szCs w:val="21"/>
                <w:lang w:val="en-US" w:eastAsia="zh-CN"/>
              </w:rPr>
              <w:t>分项</w:t>
            </w:r>
          </w:p>
        </w:tc>
        <w:tc>
          <w:tcPr>
            <w:tcW w:w="1240" w:type="dxa"/>
          </w:tcPr>
          <w:p w14:paraId="27BAD55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b/>
                <w:bCs/>
                <w:sz w:val="21"/>
                <w:szCs w:val="21"/>
              </w:rPr>
              <w:t>分值</w:t>
            </w:r>
          </w:p>
        </w:tc>
        <w:tc>
          <w:tcPr>
            <w:tcW w:w="6116" w:type="dxa"/>
          </w:tcPr>
          <w:p w14:paraId="0FD62B53">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b/>
                <w:bCs/>
                <w:sz w:val="21"/>
                <w:szCs w:val="21"/>
              </w:rPr>
              <w:t>评分</w:t>
            </w:r>
            <w:r>
              <w:rPr>
                <w:rFonts w:hint="eastAsia" w:ascii="宋体" w:hAnsi="宋体" w:eastAsia="宋体" w:cs="宋体"/>
                <w:b/>
                <w:bCs/>
                <w:sz w:val="21"/>
                <w:szCs w:val="21"/>
                <w:lang w:val="en-US" w:eastAsia="zh-CN"/>
              </w:rPr>
              <w:t>标准</w:t>
            </w:r>
          </w:p>
        </w:tc>
      </w:tr>
      <w:tr w14:paraId="215D1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1166" w:type="dxa"/>
          </w:tcPr>
          <w:p w14:paraId="0AD5089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5ED4612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233B24C">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报价</w:t>
            </w:r>
          </w:p>
        </w:tc>
        <w:tc>
          <w:tcPr>
            <w:tcW w:w="1240" w:type="dxa"/>
          </w:tcPr>
          <w:p w14:paraId="320BCD5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784CD8A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880EC4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40</w:t>
            </w:r>
            <w:r>
              <w:rPr>
                <w:rFonts w:hint="eastAsia" w:ascii="宋体" w:hAnsi="宋体" w:eastAsia="宋体" w:cs="宋体"/>
                <w:sz w:val="21"/>
                <w:szCs w:val="21"/>
              </w:rPr>
              <w:t>分</w:t>
            </w:r>
          </w:p>
        </w:tc>
        <w:tc>
          <w:tcPr>
            <w:tcW w:w="6116" w:type="dxa"/>
          </w:tcPr>
          <w:p w14:paraId="09C2416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lang w:val="zh-TW" w:eastAsia="zh-TW"/>
              </w:rPr>
              <w:t>采用低价优先法计算，即满足招标文件要求且投标价格最低的投标报价为评标基准价，其价格分为满分</w:t>
            </w:r>
            <w:r>
              <w:rPr>
                <w:rFonts w:hint="eastAsia" w:ascii="宋体" w:hAnsi="宋体" w:eastAsia="宋体" w:cs="宋体"/>
                <w:color w:val="000000"/>
                <w:sz w:val="21"/>
                <w:szCs w:val="21"/>
                <w:lang w:val="en-US" w:eastAsia="zh-CN"/>
              </w:rPr>
              <w:t>40</w:t>
            </w:r>
            <w:r>
              <w:rPr>
                <w:rFonts w:hint="eastAsia" w:ascii="宋体" w:hAnsi="宋体" w:eastAsia="宋体" w:cs="宋体"/>
                <w:color w:val="000000"/>
                <w:sz w:val="21"/>
                <w:szCs w:val="21"/>
                <w:lang w:val="zh-TW" w:eastAsia="zh-TW"/>
              </w:rPr>
              <w:t>分。其他投标人的价格分统一按照下列公式计算：投标报价得分</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val="zh-TW" w:eastAsia="zh-TW"/>
              </w:rPr>
              <w:t>评标基准价／投标报价</w:t>
            </w: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lang w:val="zh-TW" w:eastAsia="zh-TW"/>
              </w:rPr>
              <w:t>×</w:t>
            </w:r>
            <w:r>
              <w:rPr>
                <w:rFonts w:hint="eastAsia" w:ascii="宋体" w:hAnsi="宋体" w:eastAsia="宋体" w:cs="宋体"/>
                <w:color w:val="000000"/>
                <w:sz w:val="21"/>
                <w:szCs w:val="21"/>
                <w:lang w:val="en-US" w:eastAsia="zh-CN"/>
              </w:rPr>
              <w:t>40</w:t>
            </w:r>
            <w:r>
              <w:rPr>
                <w:rFonts w:hint="eastAsia" w:ascii="宋体" w:hAnsi="宋体" w:eastAsia="宋体" w:cs="宋体"/>
                <w:color w:val="000000"/>
                <w:sz w:val="21"/>
                <w:szCs w:val="21"/>
                <w:lang w:val="zh-TW" w:eastAsia="zh-TW"/>
              </w:rPr>
              <w:t>（按四舍五入取至小数点后两位）。（按四舍五入取至小数点后两位）。</w:t>
            </w:r>
          </w:p>
        </w:tc>
      </w:tr>
      <w:tr w14:paraId="0413C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trPr>
        <w:tc>
          <w:tcPr>
            <w:tcW w:w="1166" w:type="dxa"/>
          </w:tcPr>
          <w:p w14:paraId="22B3A02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133B127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11CED3D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企业</w:t>
            </w:r>
            <w:r>
              <w:rPr>
                <w:rFonts w:hint="eastAsia" w:ascii="宋体" w:hAnsi="宋体" w:eastAsia="宋体" w:cs="宋体"/>
                <w:sz w:val="21"/>
                <w:szCs w:val="21"/>
              </w:rPr>
              <w:t>业绩</w:t>
            </w:r>
          </w:p>
        </w:tc>
        <w:tc>
          <w:tcPr>
            <w:tcW w:w="1240" w:type="dxa"/>
          </w:tcPr>
          <w:p w14:paraId="0C89B1C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06549F58">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08B0DD0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12</w:t>
            </w:r>
            <w:r>
              <w:rPr>
                <w:rFonts w:hint="eastAsia" w:ascii="宋体" w:hAnsi="宋体" w:eastAsia="宋体" w:cs="宋体"/>
                <w:sz w:val="21"/>
                <w:szCs w:val="21"/>
              </w:rPr>
              <w:t>分</w:t>
            </w:r>
          </w:p>
        </w:tc>
        <w:tc>
          <w:tcPr>
            <w:tcW w:w="6116" w:type="dxa"/>
          </w:tcPr>
          <w:p w14:paraId="0D13F15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投标人自2023年1月1日以来（以竣工验收时间为准），承担过类似工程维修改造项目业绩的，每提供一个有效业绩的得3分，本项最多得12分。</w:t>
            </w:r>
          </w:p>
          <w:p w14:paraId="3287F81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lang w:val="zh-TW" w:eastAsia="zh-TW"/>
              </w:rPr>
              <w:t>注：</w:t>
            </w:r>
            <w:r>
              <w:rPr>
                <w:rFonts w:hint="eastAsia" w:ascii="宋体" w:hAnsi="宋体" w:eastAsia="宋体" w:cs="宋体"/>
                <w:color w:val="000000"/>
                <w:sz w:val="21"/>
                <w:szCs w:val="21"/>
                <w:lang w:val="en-US" w:eastAsia="zh-CN"/>
              </w:rPr>
              <w:t>业绩需同时提供合同及竣工验收证明材料原件彩色扫描件加盖</w:t>
            </w:r>
            <w:r>
              <w:rPr>
                <w:rFonts w:hint="eastAsia" w:ascii="宋体" w:hAnsi="宋体" w:eastAsia="宋体" w:cs="宋体"/>
                <w:color w:val="000000"/>
                <w:sz w:val="21"/>
                <w:szCs w:val="21"/>
                <w:lang w:val="zh-TW" w:eastAsia="zh-TW"/>
              </w:rPr>
              <w:t>供应商</w:t>
            </w:r>
            <w:r>
              <w:rPr>
                <w:rFonts w:hint="eastAsia" w:ascii="宋体" w:hAnsi="宋体" w:eastAsia="宋体" w:cs="宋体"/>
                <w:color w:val="000000"/>
                <w:sz w:val="21"/>
                <w:szCs w:val="21"/>
                <w:lang w:val="en-US" w:eastAsia="zh-CN"/>
              </w:rPr>
              <w:t>公章为准。</w:t>
            </w:r>
            <w:r>
              <w:rPr>
                <w:rFonts w:hint="eastAsia" w:ascii="宋体" w:hAnsi="宋体" w:eastAsia="宋体" w:cs="宋体"/>
                <w:color w:val="000000"/>
                <w:sz w:val="21"/>
                <w:szCs w:val="21"/>
                <w:lang w:val="zh-TW" w:eastAsia="zh-TW"/>
              </w:rPr>
              <w:t>提供不全或未提供的不得分</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（同一采购人签订的多份合同，不重复计分）</w:t>
            </w:r>
          </w:p>
        </w:tc>
      </w:tr>
      <w:tr w14:paraId="0657A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4" w:hRule="atLeast"/>
        </w:trPr>
        <w:tc>
          <w:tcPr>
            <w:tcW w:w="1166" w:type="dxa"/>
          </w:tcPr>
          <w:p w14:paraId="20E90D2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1CDBFBF4">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69CE396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37C7BCF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企业实力</w:t>
            </w:r>
          </w:p>
        </w:tc>
        <w:tc>
          <w:tcPr>
            <w:tcW w:w="1240" w:type="dxa"/>
          </w:tcPr>
          <w:p w14:paraId="6B60C62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4479D590">
            <w:pPr>
              <w:pStyle w:val="2"/>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lang w:val="en-US" w:eastAsia="zh-CN"/>
              </w:rPr>
            </w:pPr>
          </w:p>
          <w:p w14:paraId="120D7AD4">
            <w:pPr>
              <w:pStyle w:val="2"/>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1"/>
                <w:szCs w:val="21"/>
                <w:lang w:val="en-US" w:eastAsia="zh-CN"/>
              </w:rPr>
            </w:pPr>
          </w:p>
          <w:p w14:paraId="77A54642">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3分</w:t>
            </w:r>
          </w:p>
        </w:tc>
        <w:tc>
          <w:tcPr>
            <w:tcW w:w="6116" w:type="dxa"/>
            <w:vAlign w:val="top"/>
          </w:tcPr>
          <w:p w14:paraId="0ACF2F1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投标人具有有效的质量管理体系认证、环境管理体系认证、职业健康体系认证；每具有一项得1分，共3分。</w:t>
            </w:r>
          </w:p>
          <w:p w14:paraId="62805DE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注：投标时提供相关证书复印件及国家认证认可监督管理委员的“全国认证认可信息公共服务平台http://cx.cnca.cn/CertECloud/result/skipResultList”查询结果截图并加盖投标单位公章，不提供或提供不全的不得分，已失效或撤销或暂停的不得分</w:t>
            </w:r>
            <w:r>
              <w:rPr>
                <w:rFonts w:hint="eastAsia" w:ascii="宋体" w:hAnsi="宋体" w:eastAsia="宋体" w:cs="宋体"/>
                <w:color w:val="000000"/>
                <w:sz w:val="21"/>
                <w:szCs w:val="21"/>
                <w:lang w:val="zh-CN" w:eastAsia="zh-CN"/>
              </w:rPr>
              <w:t>，投标人应当确保证书开标当天处于有效期内，否则不予认可。</w:t>
            </w:r>
            <w:r>
              <w:rPr>
                <w:rFonts w:hint="eastAsia" w:ascii="宋体" w:hAnsi="宋体" w:eastAsia="宋体" w:cs="宋体"/>
                <w:color w:val="000000"/>
                <w:sz w:val="21"/>
                <w:szCs w:val="21"/>
                <w:lang w:val="en-US" w:eastAsia="zh-CN"/>
              </w:rPr>
              <w:t>）</w:t>
            </w:r>
          </w:p>
        </w:tc>
      </w:tr>
      <w:tr w14:paraId="2308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14:paraId="3A85280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3C54355C">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DF0499C">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5557075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564D040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2AED58E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20A5F038">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人员配备</w:t>
            </w:r>
          </w:p>
        </w:tc>
        <w:tc>
          <w:tcPr>
            <w:tcW w:w="1240" w:type="dxa"/>
          </w:tcPr>
          <w:p w14:paraId="012A136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1B6B822F">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285D7CF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7CDE43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1C3113E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4252AA3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617796F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10</w:t>
            </w:r>
            <w:r>
              <w:rPr>
                <w:rFonts w:hint="eastAsia" w:ascii="宋体" w:hAnsi="宋体" w:eastAsia="宋体" w:cs="宋体"/>
                <w:sz w:val="21"/>
                <w:szCs w:val="21"/>
              </w:rPr>
              <w:t>分</w:t>
            </w:r>
          </w:p>
        </w:tc>
        <w:tc>
          <w:tcPr>
            <w:tcW w:w="6116" w:type="dxa"/>
          </w:tcPr>
          <w:p w14:paraId="0E053B7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拟投入本项目的项目负责人具有其他国家注册工程师证书的得2分，具有建设工程类中级及以上工程师职称的得2分，本项最高得4分。(需提供证书复印件及该人员近三个月以来任意一个月在投标单位缴纳社保的证明材料复印件并加盖投标人公章)</w:t>
            </w:r>
          </w:p>
          <w:p w14:paraId="3FF2CF7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拟投入本项目的技术负责人（项目负责人除外），具有建设工程类中级及以上工程师职称的得2分。(需提供证书复印件及该人员近三个月以来任意一个月在投标单位缴纳社保的证明材料复印件并加盖投标人公章)</w:t>
            </w:r>
          </w:p>
          <w:p w14:paraId="5F94146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lang w:val="en-US" w:eastAsia="zh-CN"/>
              </w:rPr>
              <w:t>3、项目组成员中（除项目负责人和技术负责人外），每提供一个材料员、质量员、施工员、机械员、资料员、标准员、劳务员、安全员证书得0.5分，最高得4分，如有一人多证、一证多人的，仅计取一次，不重复计分。(需提供证书复印件及该人员近三个月以来任意一个月在投标单位缴纳社保的证明材料复印件并加盖投标人公章)</w:t>
            </w:r>
          </w:p>
        </w:tc>
      </w:tr>
      <w:tr w14:paraId="2B73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14:paraId="59E8A903">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018522D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0A7F50D3">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5058F30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0A5D0D8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273DB5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304E19B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施工组织方案</w:t>
            </w:r>
          </w:p>
        </w:tc>
        <w:tc>
          <w:tcPr>
            <w:tcW w:w="1240" w:type="dxa"/>
          </w:tcPr>
          <w:p w14:paraId="03726C8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340AB6D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3A5F24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4720BE53">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64950BF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5A72E08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p>
          <w:p w14:paraId="32963E80">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32</w:t>
            </w:r>
            <w:r>
              <w:rPr>
                <w:rFonts w:hint="eastAsia" w:ascii="宋体" w:hAnsi="宋体" w:eastAsia="宋体" w:cs="宋体"/>
                <w:sz w:val="21"/>
                <w:szCs w:val="21"/>
              </w:rPr>
              <w:t>分</w:t>
            </w:r>
          </w:p>
        </w:tc>
        <w:tc>
          <w:tcPr>
            <w:tcW w:w="6116" w:type="dxa"/>
          </w:tcPr>
          <w:p w14:paraId="5F54BAB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评委</w:t>
            </w:r>
            <w:r>
              <w:rPr>
                <w:rFonts w:hint="eastAsia" w:ascii="宋体" w:hAnsi="宋体" w:eastAsia="宋体" w:cs="宋体"/>
                <w:color w:val="000000"/>
                <w:sz w:val="21"/>
                <w:szCs w:val="21"/>
                <w:lang w:val="zh-TW" w:eastAsia="zh-TW"/>
              </w:rPr>
              <w:t>小组根据以下评审要点，对实施方案进行评审计分。</w:t>
            </w:r>
          </w:p>
          <w:p w14:paraId="5283E7A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1.施工方案</w:t>
            </w:r>
            <w:r>
              <w:rPr>
                <w:rFonts w:hint="eastAsia" w:ascii="宋体" w:hAnsi="宋体" w:eastAsia="宋体" w:cs="宋体"/>
                <w:b/>
                <w:bCs/>
                <w:color w:val="000000"/>
                <w:sz w:val="21"/>
                <w:szCs w:val="21"/>
                <w:lang w:val="en-US" w:eastAsia="zh-CN"/>
              </w:rPr>
              <w:t>与</w:t>
            </w:r>
            <w:r>
              <w:rPr>
                <w:rFonts w:hint="eastAsia" w:ascii="宋体" w:hAnsi="宋体" w:eastAsia="宋体" w:cs="宋体"/>
                <w:b/>
                <w:bCs/>
                <w:color w:val="000000"/>
                <w:sz w:val="21"/>
                <w:szCs w:val="21"/>
                <w:lang w:val="zh-TW" w:eastAsia="zh-TW"/>
              </w:rPr>
              <w:t>技术措施</w:t>
            </w:r>
            <w:r>
              <w:rPr>
                <w:rFonts w:hint="eastAsia" w:ascii="宋体" w:hAnsi="宋体" w:eastAsia="宋体" w:cs="宋体"/>
                <w:b/>
                <w:bCs/>
                <w:color w:val="000000"/>
                <w:sz w:val="21"/>
                <w:szCs w:val="21"/>
                <w:lang w:val="en-US" w:eastAsia="zh-CN"/>
              </w:rPr>
              <w:t>方案</w:t>
            </w:r>
            <w:r>
              <w:rPr>
                <w:rFonts w:hint="eastAsia" w:ascii="宋体" w:hAnsi="宋体" w:eastAsia="宋体" w:cs="宋体"/>
                <w:b/>
                <w:bCs/>
                <w:color w:val="000000"/>
                <w:sz w:val="21"/>
                <w:szCs w:val="21"/>
                <w:lang w:val="zh-TW" w:eastAsia="zh-TW"/>
              </w:rPr>
              <w:t>（</w:t>
            </w:r>
            <w:r>
              <w:rPr>
                <w:rFonts w:hint="eastAsia" w:ascii="宋体" w:hAnsi="宋体" w:eastAsia="宋体" w:cs="宋体"/>
                <w:b/>
                <w:bCs/>
                <w:color w:val="000000"/>
                <w:sz w:val="21"/>
                <w:szCs w:val="21"/>
                <w:lang w:val="en-US" w:eastAsia="zh-CN"/>
              </w:rPr>
              <w:t>6</w:t>
            </w:r>
            <w:r>
              <w:rPr>
                <w:rFonts w:hint="eastAsia" w:ascii="宋体" w:hAnsi="宋体" w:eastAsia="宋体" w:cs="宋体"/>
                <w:b/>
                <w:bCs/>
                <w:color w:val="000000"/>
                <w:sz w:val="21"/>
                <w:szCs w:val="21"/>
                <w:lang w:val="zh-TW" w:eastAsia="zh-TW"/>
              </w:rPr>
              <w:t>分）</w:t>
            </w:r>
          </w:p>
          <w:p w14:paraId="6343212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“施工方案</w:t>
            </w:r>
            <w:r>
              <w:rPr>
                <w:rFonts w:hint="eastAsia" w:ascii="宋体" w:hAnsi="宋体" w:eastAsia="宋体" w:cs="宋体"/>
                <w:color w:val="000000"/>
                <w:sz w:val="21"/>
                <w:szCs w:val="21"/>
                <w:lang w:val="en-US" w:eastAsia="zh-CN"/>
              </w:rPr>
              <w:t>与</w:t>
            </w:r>
            <w:r>
              <w:rPr>
                <w:rFonts w:hint="eastAsia" w:ascii="宋体" w:hAnsi="宋体" w:eastAsia="宋体" w:cs="宋体"/>
                <w:color w:val="000000"/>
                <w:sz w:val="21"/>
                <w:szCs w:val="21"/>
                <w:lang w:val="zh-TW" w:eastAsia="zh-TW"/>
              </w:rPr>
              <w:t>技术措施方案”内容应包括但不限于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①施工准备方案；②施工项目目标控制方案；③技术措施方案等方面内容进行综合评定：优于项目需求的得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val="zh-TW" w:eastAsia="zh-TW"/>
              </w:rPr>
              <w:t>分；不满足或无此项内容的本项不得分。</w:t>
            </w:r>
          </w:p>
          <w:p w14:paraId="53A5058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2.工程进度计划与保证措施</w:t>
            </w:r>
            <w:r>
              <w:rPr>
                <w:rFonts w:hint="eastAsia" w:ascii="宋体" w:hAnsi="宋体" w:eastAsia="宋体" w:cs="宋体"/>
                <w:b/>
                <w:bCs/>
                <w:color w:val="000000"/>
                <w:sz w:val="21"/>
                <w:szCs w:val="21"/>
                <w:lang w:val="en-US" w:eastAsia="zh-CN"/>
              </w:rPr>
              <w:t>方案</w:t>
            </w:r>
            <w:r>
              <w:rPr>
                <w:rFonts w:hint="eastAsia" w:ascii="宋体" w:hAnsi="宋体" w:eastAsia="宋体" w:cs="宋体"/>
                <w:b/>
                <w:bCs/>
                <w:color w:val="000000"/>
                <w:sz w:val="21"/>
                <w:szCs w:val="21"/>
                <w:lang w:val="zh-TW" w:eastAsia="zh-TW"/>
              </w:rPr>
              <w:t>（</w:t>
            </w:r>
            <w:r>
              <w:rPr>
                <w:rFonts w:hint="eastAsia" w:ascii="宋体" w:hAnsi="宋体" w:eastAsia="宋体" w:cs="宋体"/>
                <w:b/>
                <w:bCs/>
                <w:color w:val="000000"/>
                <w:sz w:val="21"/>
                <w:szCs w:val="21"/>
                <w:lang w:val="en-US" w:eastAsia="zh-CN"/>
              </w:rPr>
              <w:t>6</w:t>
            </w:r>
            <w:r>
              <w:rPr>
                <w:rFonts w:hint="eastAsia" w:ascii="宋体" w:hAnsi="宋体" w:eastAsia="宋体" w:cs="宋体"/>
                <w:b/>
                <w:bCs/>
                <w:color w:val="000000"/>
                <w:sz w:val="21"/>
                <w:szCs w:val="21"/>
                <w:lang w:val="zh-TW" w:eastAsia="zh-TW"/>
              </w:rPr>
              <w:t>分）</w:t>
            </w:r>
          </w:p>
          <w:p w14:paraId="267C192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“工程进度计划与保证措施方案”内容应包括但不限于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①进度计划；②保证措施等方面内容进行综合评定：优于项目需求的得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val="zh-TW" w:eastAsia="zh-TW"/>
              </w:rPr>
              <w:t>分；不满足或无此项内容的本项不得分。</w:t>
            </w:r>
          </w:p>
          <w:p w14:paraId="14DBA28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3.安全管理和措施</w:t>
            </w:r>
            <w:r>
              <w:rPr>
                <w:rFonts w:hint="eastAsia" w:ascii="宋体" w:hAnsi="宋体" w:eastAsia="宋体" w:cs="宋体"/>
                <w:b/>
                <w:bCs/>
                <w:color w:val="000000"/>
                <w:sz w:val="21"/>
                <w:szCs w:val="21"/>
                <w:lang w:val="en-US" w:eastAsia="zh-CN"/>
              </w:rPr>
              <w:t>方案</w:t>
            </w:r>
            <w:r>
              <w:rPr>
                <w:rFonts w:hint="eastAsia" w:ascii="宋体" w:hAnsi="宋体" w:eastAsia="宋体" w:cs="宋体"/>
                <w:b/>
                <w:bCs/>
                <w:color w:val="000000"/>
                <w:sz w:val="21"/>
                <w:szCs w:val="21"/>
                <w:lang w:val="zh-TW" w:eastAsia="zh-TW"/>
              </w:rPr>
              <w:t>（</w:t>
            </w:r>
            <w:r>
              <w:rPr>
                <w:rFonts w:hint="eastAsia" w:ascii="宋体" w:hAnsi="宋体" w:eastAsia="宋体" w:cs="宋体"/>
                <w:b/>
                <w:bCs/>
                <w:color w:val="000000"/>
                <w:sz w:val="21"/>
                <w:szCs w:val="21"/>
                <w:lang w:val="en-US" w:eastAsia="zh-CN"/>
              </w:rPr>
              <w:t>5</w:t>
            </w:r>
            <w:r>
              <w:rPr>
                <w:rFonts w:hint="eastAsia" w:ascii="宋体" w:hAnsi="宋体" w:eastAsia="宋体" w:cs="宋体"/>
                <w:b/>
                <w:bCs/>
                <w:color w:val="000000"/>
                <w:sz w:val="21"/>
                <w:szCs w:val="21"/>
                <w:lang w:val="zh-TW" w:eastAsia="zh-TW"/>
              </w:rPr>
              <w:t>分）</w:t>
            </w:r>
          </w:p>
          <w:p w14:paraId="6EF4DF3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“安全管理和措施</w:t>
            </w:r>
            <w:r>
              <w:rPr>
                <w:rFonts w:hint="eastAsia" w:ascii="宋体" w:hAnsi="宋体" w:eastAsia="宋体" w:cs="宋体"/>
                <w:color w:val="000000"/>
                <w:sz w:val="21"/>
                <w:szCs w:val="21"/>
                <w:lang w:val="en-US" w:eastAsia="zh-CN"/>
              </w:rPr>
              <w:t>方案</w:t>
            </w:r>
            <w:r>
              <w:rPr>
                <w:rFonts w:hint="eastAsia" w:ascii="宋体" w:hAnsi="宋体" w:eastAsia="宋体" w:cs="宋体"/>
                <w:color w:val="000000"/>
                <w:sz w:val="21"/>
                <w:szCs w:val="21"/>
                <w:lang w:val="zh-TW" w:eastAsia="zh-TW"/>
              </w:rPr>
              <w:t>”内容应包括但不限于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①安全管理方案；②安全保证措施；③现场安全防护；④安全检查与隐患整改；⑤应急处置等方面内容。进行综合评定：</w:t>
            </w:r>
            <w:bookmarkStart w:id="600" w:name="OLE_LINK147"/>
            <w:r>
              <w:rPr>
                <w:rFonts w:hint="eastAsia" w:ascii="宋体" w:hAnsi="宋体" w:eastAsia="宋体" w:cs="宋体"/>
                <w:color w:val="000000"/>
                <w:sz w:val="21"/>
                <w:szCs w:val="21"/>
                <w:lang w:val="zh-TW" w:eastAsia="zh-TW"/>
              </w:rPr>
              <w:t>优于项目需求的得</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TW" w:eastAsia="zh-TW"/>
              </w:rPr>
              <w:t>分；不满足或无此项内容的本项不得分。</w:t>
            </w:r>
          </w:p>
          <w:bookmarkEnd w:id="600"/>
          <w:p w14:paraId="7F709CB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4.质量管理和措施</w:t>
            </w:r>
            <w:r>
              <w:rPr>
                <w:rFonts w:hint="eastAsia" w:ascii="宋体" w:hAnsi="宋体" w:eastAsia="宋体" w:cs="宋体"/>
                <w:b/>
                <w:bCs/>
                <w:color w:val="000000"/>
                <w:sz w:val="21"/>
                <w:szCs w:val="21"/>
                <w:lang w:val="en-US" w:eastAsia="zh-CN"/>
              </w:rPr>
              <w:t>方案</w:t>
            </w:r>
            <w:r>
              <w:rPr>
                <w:rFonts w:hint="eastAsia" w:ascii="宋体" w:hAnsi="宋体" w:eastAsia="宋体" w:cs="宋体"/>
                <w:b/>
                <w:bCs/>
                <w:color w:val="000000"/>
                <w:sz w:val="21"/>
                <w:szCs w:val="21"/>
                <w:lang w:val="zh-TW" w:eastAsia="zh-TW"/>
              </w:rPr>
              <w:t>（</w:t>
            </w:r>
            <w:r>
              <w:rPr>
                <w:rFonts w:hint="eastAsia" w:ascii="宋体" w:hAnsi="宋体" w:eastAsia="宋体" w:cs="宋体"/>
                <w:b/>
                <w:bCs/>
                <w:color w:val="000000"/>
                <w:sz w:val="21"/>
                <w:szCs w:val="21"/>
                <w:lang w:val="en-US" w:eastAsia="zh-CN"/>
              </w:rPr>
              <w:t>5</w:t>
            </w:r>
            <w:r>
              <w:rPr>
                <w:rFonts w:hint="eastAsia" w:ascii="宋体" w:hAnsi="宋体" w:eastAsia="宋体" w:cs="宋体"/>
                <w:b/>
                <w:bCs/>
                <w:color w:val="000000"/>
                <w:sz w:val="21"/>
                <w:szCs w:val="21"/>
                <w:lang w:val="zh-TW" w:eastAsia="zh-TW"/>
              </w:rPr>
              <w:t>分）</w:t>
            </w:r>
          </w:p>
          <w:p w14:paraId="566DDE7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“质量管理和措施</w:t>
            </w:r>
            <w:r>
              <w:rPr>
                <w:rFonts w:hint="eastAsia" w:ascii="宋体" w:hAnsi="宋体" w:eastAsia="宋体" w:cs="宋体"/>
                <w:color w:val="000000"/>
                <w:sz w:val="21"/>
                <w:szCs w:val="21"/>
                <w:lang w:val="en-US" w:eastAsia="zh-CN"/>
              </w:rPr>
              <w:t>方案</w:t>
            </w:r>
            <w:r>
              <w:rPr>
                <w:rFonts w:hint="eastAsia" w:ascii="宋体" w:hAnsi="宋体" w:eastAsia="宋体" w:cs="宋体"/>
                <w:color w:val="000000"/>
                <w:sz w:val="21"/>
                <w:szCs w:val="21"/>
                <w:lang w:val="zh-TW" w:eastAsia="zh-TW"/>
              </w:rPr>
              <w:t>”内容应包括但不限于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①质量管理方案；②具体质量措施等方面内容进行综合评定：优于项目需求的得</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TW" w:eastAsia="zh-TW"/>
              </w:rPr>
              <w:t>分；不满足或无此项内容的本项不得分。</w:t>
            </w:r>
          </w:p>
          <w:p w14:paraId="75EE75D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5.文明施工及环境保护方案（</w:t>
            </w:r>
            <w:r>
              <w:rPr>
                <w:rFonts w:hint="eastAsia" w:ascii="宋体" w:hAnsi="宋体" w:eastAsia="宋体" w:cs="宋体"/>
                <w:b/>
                <w:bCs/>
                <w:color w:val="000000"/>
                <w:sz w:val="21"/>
                <w:szCs w:val="21"/>
                <w:lang w:val="en-US" w:eastAsia="zh-CN"/>
              </w:rPr>
              <w:t>5</w:t>
            </w:r>
            <w:r>
              <w:rPr>
                <w:rFonts w:hint="eastAsia" w:ascii="宋体" w:hAnsi="宋体" w:eastAsia="宋体" w:cs="宋体"/>
                <w:b/>
                <w:bCs/>
                <w:color w:val="000000"/>
                <w:sz w:val="21"/>
                <w:szCs w:val="21"/>
                <w:lang w:val="zh-TW" w:eastAsia="zh-TW"/>
              </w:rPr>
              <w:t>分）</w:t>
            </w:r>
          </w:p>
          <w:p w14:paraId="65DE2CF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“文明施工及环境保护方案”内容应包括但不限于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①文明施工方案；②环境保护方案等方面内容进行综合评定：优于项目需求的</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TW" w:eastAsia="zh-TW"/>
              </w:rPr>
              <w:t>分；不满足或无此项内容的本项不得分。</w:t>
            </w:r>
          </w:p>
          <w:p w14:paraId="547409F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6.质量保修期内的服务方案（</w:t>
            </w:r>
            <w:r>
              <w:rPr>
                <w:rFonts w:hint="eastAsia" w:ascii="宋体" w:hAnsi="宋体" w:eastAsia="宋体" w:cs="宋体"/>
                <w:b/>
                <w:bCs/>
                <w:color w:val="000000"/>
                <w:sz w:val="21"/>
                <w:szCs w:val="21"/>
                <w:lang w:val="en-US" w:eastAsia="zh-CN"/>
              </w:rPr>
              <w:t>5</w:t>
            </w:r>
            <w:r>
              <w:rPr>
                <w:rFonts w:hint="eastAsia" w:ascii="宋体" w:hAnsi="宋体" w:eastAsia="宋体" w:cs="宋体"/>
                <w:b/>
                <w:bCs/>
                <w:color w:val="000000"/>
                <w:sz w:val="21"/>
                <w:szCs w:val="21"/>
                <w:lang w:val="zh-TW" w:eastAsia="zh-TW"/>
              </w:rPr>
              <w:t>分）</w:t>
            </w:r>
          </w:p>
          <w:p w14:paraId="06334A9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sz w:val="21"/>
                <w:szCs w:val="21"/>
                <w:lang w:val="zh-TW" w:eastAsia="zh-TW"/>
              </w:rPr>
            </w:pPr>
            <w:r>
              <w:rPr>
                <w:rFonts w:hint="eastAsia" w:ascii="宋体" w:hAnsi="宋体" w:eastAsia="宋体" w:cs="宋体"/>
                <w:color w:val="000000"/>
                <w:sz w:val="21"/>
                <w:szCs w:val="21"/>
                <w:lang w:val="en-US" w:eastAsia="zh-CN"/>
              </w:rPr>
              <w:t>投标人针对本项目提供</w:t>
            </w:r>
            <w:r>
              <w:rPr>
                <w:rFonts w:hint="eastAsia" w:ascii="宋体" w:hAnsi="宋体" w:eastAsia="宋体" w:cs="宋体"/>
                <w:color w:val="000000"/>
                <w:sz w:val="21"/>
                <w:szCs w:val="21"/>
                <w:lang w:val="zh-TW" w:eastAsia="zh-TW"/>
              </w:rPr>
              <w:t>“质量保修期内的服务方案”内容应包括但不限于</w:t>
            </w:r>
            <w:r>
              <w:rPr>
                <w:rFonts w:hint="eastAsia" w:ascii="宋体" w:hAnsi="宋体" w:eastAsia="宋体" w:cs="宋体"/>
                <w:color w:val="000000"/>
                <w:sz w:val="21"/>
                <w:szCs w:val="21"/>
                <w:lang w:val="zh-TW" w:eastAsia="zh-CN"/>
              </w:rPr>
              <w:t>：</w:t>
            </w:r>
            <w:r>
              <w:rPr>
                <w:rFonts w:hint="eastAsia" w:ascii="宋体" w:hAnsi="宋体" w:eastAsia="宋体" w:cs="宋体"/>
                <w:color w:val="000000"/>
                <w:sz w:val="21"/>
                <w:szCs w:val="21"/>
                <w:lang w:val="zh-TW" w:eastAsia="zh-TW"/>
              </w:rPr>
              <w:t>①服务内容；②响应机制；③问题处理流程；④保障措施相关内容进行综合评定；优于项目需求的得</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val="zh-TW" w:eastAsia="zh-TW"/>
              </w:rPr>
              <w:t>分；满足项目需求的得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TW" w:eastAsia="zh-TW"/>
              </w:rPr>
              <w:t>分；不满足或无此项内容的本项不得分。</w:t>
            </w:r>
          </w:p>
          <w:p w14:paraId="259AC11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000000"/>
                <w:sz w:val="21"/>
                <w:szCs w:val="21"/>
                <w:lang w:val="zh-TW" w:eastAsia="zh-TW"/>
              </w:rPr>
            </w:pPr>
            <w:r>
              <w:rPr>
                <w:rFonts w:hint="eastAsia" w:ascii="宋体" w:hAnsi="宋体" w:eastAsia="宋体" w:cs="宋体"/>
                <w:b/>
                <w:bCs/>
                <w:color w:val="000000"/>
                <w:sz w:val="21"/>
                <w:szCs w:val="21"/>
                <w:lang w:val="zh-TW" w:eastAsia="zh-TW"/>
              </w:rPr>
              <w:t>注：1、</w:t>
            </w:r>
            <w:r>
              <w:rPr>
                <w:rFonts w:hint="eastAsia" w:ascii="宋体" w:hAnsi="宋体" w:eastAsia="宋体" w:cs="宋体"/>
                <w:b/>
                <w:bCs/>
                <w:color w:val="000000"/>
                <w:sz w:val="21"/>
                <w:szCs w:val="21"/>
                <w:lang w:val="en-US" w:eastAsia="zh-CN"/>
              </w:rPr>
              <w:t>投标人</w:t>
            </w:r>
            <w:r>
              <w:rPr>
                <w:rFonts w:hint="eastAsia" w:ascii="宋体" w:hAnsi="宋体" w:eastAsia="宋体" w:cs="宋体"/>
                <w:b/>
                <w:bCs/>
                <w:color w:val="000000"/>
                <w:sz w:val="21"/>
                <w:szCs w:val="21"/>
                <w:lang w:val="zh-TW" w:eastAsia="zh-TW"/>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77622F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vertAlign w:val="baseline"/>
              </w:rPr>
            </w:pPr>
            <w:r>
              <w:rPr>
                <w:rFonts w:hint="eastAsia" w:ascii="宋体" w:hAnsi="宋体" w:eastAsia="宋体" w:cs="宋体"/>
                <w:b/>
                <w:bCs/>
                <w:color w:val="000000"/>
                <w:sz w:val="21"/>
                <w:szCs w:val="21"/>
                <w:lang w:val="zh-TW" w:eastAsia="zh-TW"/>
              </w:rPr>
              <w:t>2、</w:t>
            </w:r>
            <w:bookmarkStart w:id="601" w:name="OLE_LINK111"/>
            <w:bookmarkStart w:id="602" w:name="OLE_LINK110"/>
            <w:r>
              <w:rPr>
                <w:rFonts w:hint="eastAsia" w:ascii="宋体" w:hAnsi="宋体" w:eastAsia="宋体" w:cs="宋体"/>
                <w:b/>
                <w:bCs/>
                <w:color w:val="000000"/>
                <w:sz w:val="21"/>
                <w:szCs w:val="21"/>
                <w:lang w:val="zh-TW" w:eastAsia="zh-TW"/>
              </w:rPr>
              <w:t>施工方案应表述简洁，</w:t>
            </w:r>
            <w:r>
              <w:rPr>
                <w:rFonts w:hint="eastAsia" w:ascii="宋体" w:hAnsi="宋体" w:eastAsia="宋体" w:cs="宋体"/>
                <w:b/>
                <w:bCs/>
                <w:color w:val="FF0000"/>
                <w:sz w:val="21"/>
                <w:szCs w:val="21"/>
                <w:highlight w:val="yellow"/>
                <w:lang w:val="zh-TW" w:eastAsia="zh-TW"/>
              </w:rPr>
              <w:t>方案总页数不得超过100页，</w:t>
            </w:r>
            <w:r>
              <w:rPr>
                <w:rFonts w:hint="eastAsia" w:ascii="宋体" w:hAnsi="宋体" w:eastAsia="宋体" w:cs="宋体"/>
                <w:b/>
                <w:bCs/>
                <w:color w:val="FF0000"/>
                <w:sz w:val="21"/>
                <w:szCs w:val="21"/>
                <w:highlight w:val="yellow"/>
                <w:lang w:val="en-US" w:eastAsia="zh-CN"/>
              </w:rPr>
              <w:t>否则每超过1页扣1分，扣完为止。</w:t>
            </w:r>
            <w:bookmarkEnd w:id="601"/>
            <w:bookmarkEnd w:id="602"/>
          </w:p>
        </w:tc>
      </w:tr>
      <w:tr w14:paraId="78C0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6" w:type="dxa"/>
          </w:tcPr>
          <w:p w14:paraId="58A9892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sz w:val="21"/>
                <w:szCs w:val="21"/>
                <w:lang w:val="en-US" w:eastAsia="zh-CN"/>
              </w:rPr>
            </w:pPr>
          </w:p>
          <w:p w14:paraId="1328160C">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rPr>
            </w:pPr>
            <w:r>
              <w:rPr>
                <w:rFonts w:hint="eastAsia" w:ascii="宋体" w:hAnsi="宋体" w:eastAsia="宋体" w:cs="宋体"/>
                <w:color w:val="000000"/>
                <w:sz w:val="21"/>
                <w:szCs w:val="21"/>
                <w:lang w:val="en-US" w:eastAsia="zh-CN"/>
              </w:rPr>
              <w:t>环保认证</w:t>
            </w:r>
          </w:p>
        </w:tc>
        <w:tc>
          <w:tcPr>
            <w:tcW w:w="1240" w:type="dxa"/>
          </w:tcPr>
          <w:p w14:paraId="439F6007">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p>
          <w:p w14:paraId="581050EA">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3分</w:t>
            </w:r>
          </w:p>
        </w:tc>
        <w:tc>
          <w:tcPr>
            <w:tcW w:w="6116" w:type="dxa"/>
          </w:tcPr>
          <w:p w14:paraId="21CB714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bCs/>
                <w:color w:val="000000"/>
                <w:sz w:val="21"/>
                <w:szCs w:val="21"/>
                <w:lang w:val="zh-TW" w:eastAsia="zh-TW"/>
              </w:rPr>
            </w:pPr>
            <w:r>
              <w:rPr>
                <w:rFonts w:hint="eastAsia" w:ascii="宋体" w:hAnsi="宋体" w:eastAsia="宋体" w:cs="宋体"/>
                <w:color w:val="000000"/>
                <w:sz w:val="21"/>
                <w:szCs w:val="21"/>
                <w:lang w:val="en-US" w:eastAsia="zh-CN"/>
              </w:rPr>
              <w:t>投标人</w:t>
            </w:r>
            <w:r>
              <w:rPr>
                <w:rFonts w:hint="eastAsia" w:ascii="宋体" w:hAnsi="宋体" w:eastAsia="宋体" w:cs="宋体"/>
                <w:color w:val="000000"/>
                <w:sz w:val="21"/>
                <w:szCs w:val="21"/>
                <w:lang w:val="zh-TW" w:eastAsia="zh-TW"/>
              </w:rPr>
              <w:t>拟投入本项目所使用的施工主要材料中的产品</w:t>
            </w:r>
            <w:r>
              <w:rPr>
                <w:rFonts w:hint="eastAsia" w:ascii="宋体" w:hAnsi="宋体" w:eastAsia="宋体" w:cs="宋体"/>
                <w:color w:val="000000"/>
                <w:sz w:val="21"/>
                <w:szCs w:val="21"/>
                <w:lang w:val="zh-TW" w:eastAsia="zh-CN"/>
              </w:rPr>
              <w:t>属于财政部、生态环境部公布的“环境标志产品品目清单”范围内的，投标人提供国家确定的认证机构出具的、处于有效期内的该环保产品认证证书复印件的，有1个得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val="zh-TW" w:eastAsia="zh-CN"/>
              </w:rPr>
              <w:t>分，最多得</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val="zh-TW" w:eastAsia="zh-CN"/>
              </w:rPr>
              <w:t>分。</w:t>
            </w:r>
          </w:p>
        </w:tc>
      </w:tr>
    </w:tbl>
    <w:p w14:paraId="6E7393C0">
      <w:pPr>
        <w:pStyle w:val="3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bookmarkStart w:id="603" w:name="_Toc26554094"/>
      <w:bookmarkStart w:id="604" w:name="_Hlt26955039"/>
      <w:bookmarkStart w:id="605" w:name="_Hlt26671244"/>
    </w:p>
    <w:p w14:paraId="77348F22">
      <w:pPr>
        <w:pStyle w:val="3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p>
    <w:p w14:paraId="40E39861">
      <w:pPr>
        <w:pStyle w:val="36"/>
        <w:keepNext/>
        <w:spacing w:beforeAutospacing="0" w:afterAutospacing="0"/>
        <w:jc w:val="both"/>
        <w:rPr>
          <w:rFonts w:hint="eastAsia" w:ascii="黑体" w:hAnsi="宋体" w:eastAsia="黑体" w:cs="黑体"/>
          <w:b/>
          <w:color w:val="000000"/>
          <w:sz w:val="36"/>
          <w:szCs w:val="36"/>
          <w:highlight w:val="none"/>
        </w:rPr>
      </w:pPr>
    </w:p>
    <w:p w14:paraId="380A57F5">
      <w:pPr>
        <w:pStyle w:val="36"/>
        <w:spacing w:beforeAutospacing="0" w:afterAutospacing="0" w:line="0" w:lineRule="atLeast"/>
        <w:jc w:val="center"/>
        <w:rPr>
          <w:highlight w:val="none"/>
        </w:rPr>
      </w:pPr>
    </w:p>
    <w:p w14:paraId="390F4AE3">
      <w:pPr>
        <w:pStyle w:val="36"/>
        <w:spacing w:beforeAutospacing="0" w:afterAutospacing="0" w:line="0" w:lineRule="atLeast"/>
        <w:jc w:val="center"/>
        <w:rPr>
          <w:highlight w:val="none"/>
        </w:rPr>
      </w:pPr>
    </w:p>
    <w:p w14:paraId="33B61BD0">
      <w:pPr>
        <w:pStyle w:val="36"/>
        <w:spacing w:beforeAutospacing="0" w:afterAutospacing="0" w:line="0" w:lineRule="atLeast"/>
        <w:jc w:val="center"/>
        <w:rPr>
          <w:highlight w:val="none"/>
        </w:rPr>
      </w:pPr>
    </w:p>
    <w:p w14:paraId="716F0ABC">
      <w:pP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br w:type="page"/>
      </w:r>
    </w:p>
    <w:p w14:paraId="1011226C">
      <w:pPr>
        <w:pStyle w:val="36"/>
        <w:keepNext/>
        <w:spacing w:beforeAutospacing="0" w:afterAutospacing="0"/>
        <w:jc w:val="center"/>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第六章  投标文件格式</w:t>
      </w:r>
    </w:p>
    <w:p w14:paraId="340397D5">
      <w:pPr>
        <w:pStyle w:val="36"/>
        <w:tabs>
          <w:tab w:val="left" w:pos="473"/>
        </w:tabs>
        <w:spacing w:beforeAutospacing="0" w:afterAutospacing="0"/>
        <w:jc w:val="left"/>
        <w:rPr>
          <w:rFonts w:hint="eastAsia" w:ascii="宋体" w:hAnsi="宋体" w:eastAsia="宋体" w:cs="宋体"/>
          <w:b/>
          <w:color w:val="000000"/>
          <w:sz w:val="72"/>
          <w:szCs w:val="72"/>
          <w:highlight w:val="none"/>
          <w:lang w:eastAsia="zh-CN"/>
        </w:rPr>
      </w:pPr>
    </w:p>
    <w:p w14:paraId="1DEE6958">
      <w:pPr>
        <w:pStyle w:val="36"/>
        <w:spacing w:beforeAutospacing="0" w:afterAutospacing="0"/>
        <w:jc w:val="center"/>
        <w:rPr>
          <w:rFonts w:hint="eastAsia" w:ascii="宋体" w:hAnsi="宋体" w:eastAsia="宋体" w:cs="宋体"/>
          <w:b/>
          <w:color w:val="000000"/>
          <w:sz w:val="72"/>
          <w:szCs w:val="72"/>
          <w:highlight w:val="none"/>
        </w:rPr>
      </w:pPr>
    </w:p>
    <w:p w14:paraId="1F74E37C">
      <w:pPr>
        <w:pStyle w:val="36"/>
        <w:spacing w:beforeAutospacing="0" w:afterAutospacing="0"/>
        <w:jc w:val="center"/>
        <w:rPr>
          <w:highlight w:val="none"/>
        </w:rPr>
      </w:pPr>
      <w:r>
        <w:rPr>
          <w:rFonts w:hint="eastAsia" w:ascii="宋体" w:hAnsi="宋体" w:eastAsia="宋体" w:cs="宋体"/>
          <w:b/>
          <w:color w:val="000000"/>
          <w:sz w:val="72"/>
          <w:szCs w:val="72"/>
          <w:highlight w:val="none"/>
        </w:rPr>
        <w:t>投</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件</w:t>
      </w:r>
    </w:p>
    <w:p w14:paraId="4DE325B1">
      <w:pPr>
        <w:pStyle w:val="36"/>
        <w:spacing w:beforeAutospacing="0" w:afterAutospacing="0"/>
        <w:jc w:val="center"/>
        <w:rPr>
          <w:highlight w:val="none"/>
        </w:rPr>
      </w:pPr>
      <w:r>
        <w:rPr>
          <w:highlight w:val="none"/>
        </w:rPr>
        <w:t> </w:t>
      </w:r>
    </w:p>
    <w:p w14:paraId="5BEA3715">
      <w:pPr>
        <w:pStyle w:val="36"/>
        <w:spacing w:beforeAutospacing="0" w:afterAutospacing="0"/>
        <w:jc w:val="center"/>
        <w:rPr>
          <w:highlight w:val="none"/>
        </w:rPr>
      </w:pPr>
      <w:r>
        <w:rPr>
          <w:highlight w:val="none"/>
        </w:rPr>
        <w:t> </w:t>
      </w:r>
    </w:p>
    <w:p w14:paraId="202DDE25">
      <w:pPr>
        <w:pStyle w:val="36"/>
        <w:spacing w:beforeAutospacing="0" w:afterAutospacing="0"/>
        <w:jc w:val="center"/>
        <w:rPr>
          <w:highlight w:val="none"/>
        </w:rPr>
      </w:pPr>
      <w:r>
        <w:rPr>
          <w:highlight w:val="none"/>
        </w:rPr>
        <w:t> </w:t>
      </w:r>
    </w:p>
    <w:p w14:paraId="551CE7B5">
      <w:pPr>
        <w:pStyle w:val="36"/>
        <w:spacing w:beforeAutospacing="0" w:afterAutospacing="0"/>
        <w:jc w:val="center"/>
        <w:rPr>
          <w:highlight w:val="none"/>
        </w:rPr>
      </w:pPr>
      <w:r>
        <w:rPr>
          <w:highlight w:val="none"/>
        </w:rPr>
        <w:t> </w:t>
      </w:r>
    </w:p>
    <w:p w14:paraId="31062ED3">
      <w:pPr>
        <w:pStyle w:val="36"/>
        <w:spacing w:beforeAutospacing="0" w:afterAutospacing="0"/>
        <w:jc w:val="center"/>
        <w:rPr>
          <w:highlight w:val="none"/>
        </w:rPr>
      </w:pPr>
      <w:r>
        <w:rPr>
          <w:highlight w:val="none"/>
        </w:rPr>
        <w:t> </w:t>
      </w:r>
    </w:p>
    <w:p w14:paraId="0EDA67F7">
      <w:pPr>
        <w:pStyle w:val="36"/>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1847F3AF">
      <w:pPr>
        <w:pStyle w:val="36"/>
        <w:spacing w:beforeAutospacing="0" w:afterAutospacing="0"/>
        <w:ind w:firstLine="1084"/>
        <w:jc w:val="both"/>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6F4850FF">
      <w:pPr>
        <w:pStyle w:val="36"/>
        <w:spacing w:beforeAutospacing="0" w:afterAutospacing="0"/>
        <w:ind w:firstLine="1084"/>
        <w:jc w:val="both"/>
        <w:rPr>
          <w:rFonts w:hint="default" w:ascii="宋体" w:hAnsi="宋体" w:eastAsia="宋体" w:cs="宋体"/>
          <w:b/>
          <w:color w:val="000000"/>
          <w:sz w:val="36"/>
          <w:szCs w:val="36"/>
          <w:highlight w:val="none"/>
          <w:u w:val="single"/>
          <w:lang w:val="en-US" w:eastAsia="zh-CN"/>
        </w:rPr>
      </w:pPr>
      <w:r>
        <w:rPr>
          <w:rFonts w:hint="eastAsia" w:ascii="宋体" w:hAnsi="宋体" w:eastAsia="宋体" w:cs="宋体"/>
          <w:b/>
          <w:color w:val="000000"/>
          <w:sz w:val="36"/>
          <w:szCs w:val="36"/>
          <w:highlight w:val="none"/>
        </w:rPr>
        <w:t>投标人名称</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（加盖CA电子公章）</w:t>
      </w:r>
      <w:r>
        <w:rPr>
          <w:rFonts w:hint="eastAsia" w:ascii="宋体" w:hAnsi="宋体" w:eastAsia="宋体" w:cs="宋体"/>
          <w:b/>
          <w:color w:val="000000"/>
          <w:sz w:val="36"/>
          <w:szCs w:val="36"/>
          <w:highlight w:val="none"/>
          <w:u w:val="single"/>
          <w:lang w:val="en-US" w:eastAsia="zh-CN"/>
        </w:rPr>
        <w:t xml:space="preserve">       </w:t>
      </w:r>
    </w:p>
    <w:p w14:paraId="4A6A66A4">
      <w:pPr>
        <w:pStyle w:val="36"/>
        <w:spacing w:beforeAutospacing="0" w:afterAutospacing="0"/>
        <w:ind w:firstLine="1084"/>
        <w:jc w:val="both"/>
        <w:rPr>
          <w:highlight w:val="none"/>
        </w:rPr>
      </w:pPr>
      <w:r>
        <w:rPr>
          <w:rFonts w:hint="eastAsia" w:ascii="宋体" w:hAnsi="宋体" w:eastAsia="宋体" w:cs="宋体"/>
          <w:b/>
          <w:color w:val="000000"/>
          <w:sz w:val="36"/>
          <w:szCs w:val="36"/>
          <w:highlight w:val="none"/>
        </w:rPr>
        <w:t>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             </w:t>
      </w:r>
    </w:p>
    <w:p w14:paraId="786AB93B">
      <w:pPr>
        <w:pStyle w:val="36"/>
        <w:spacing w:beforeAutospacing="0" w:afterAutospacing="0" w:line="0" w:lineRule="atLeast"/>
        <w:jc w:val="center"/>
        <w:rPr>
          <w:highlight w:val="none"/>
        </w:rPr>
      </w:pPr>
    </w:p>
    <w:p w14:paraId="3196831A">
      <w:pPr>
        <w:pStyle w:val="36"/>
        <w:spacing w:beforeAutospacing="0" w:afterAutospacing="0" w:line="0" w:lineRule="atLeast"/>
        <w:jc w:val="center"/>
        <w:rPr>
          <w:highlight w:val="none"/>
        </w:rPr>
      </w:pPr>
    </w:p>
    <w:p w14:paraId="56088B73">
      <w:pPr>
        <w:pStyle w:val="36"/>
        <w:spacing w:beforeAutospacing="0" w:afterAutospacing="0" w:line="0" w:lineRule="atLeast"/>
        <w:jc w:val="center"/>
        <w:rPr>
          <w:highlight w:val="none"/>
        </w:rPr>
      </w:pPr>
    </w:p>
    <w:p w14:paraId="1D6F8275">
      <w:pPr>
        <w:pStyle w:val="36"/>
        <w:spacing w:beforeAutospacing="0" w:afterAutospacing="0" w:line="0" w:lineRule="atLeast"/>
        <w:jc w:val="center"/>
        <w:rPr>
          <w:highlight w:val="none"/>
        </w:rPr>
      </w:pPr>
    </w:p>
    <w:p w14:paraId="2EC588E6">
      <w:pPr>
        <w:pStyle w:val="36"/>
        <w:spacing w:beforeAutospacing="0" w:afterAutospacing="0" w:line="0" w:lineRule="atLeast"/>
        <w:jc w:val="center"/>
        <w:rPr>
          <w:highlight w:val="none"/>
        </w:rPr>
      </w:pPr>
    </w:p>
    <w:p w14:paraId="4DB2917F">
      <w:pPr>
        <w:pStyle w:val="36"/>
        <w:spacing w:beforeAutospacing="0" w:afterAutospacing="0" w:line="0" w:lineRule="atLeast"/>
        <w:jc w:val="center"/>
        <w:rPr>
          <w:highlight w:val="none"/>
        </w:rPr>
      </w:pPr>
    </w:p>
    <w:p w14:paraId="1BF118BE">
      <w:pPr>
        <w:pStyle w:val="36"/>
        <w:spacing w:beforeAutospacing="0" w:afterAutospacing="0" w:line="0" w:lineRule="atLeast"/>
        <w:jc w:val="center"/>
        <w:rPr>
          <w:highlight w:val="none"/>
        </w:rPr>
      </w:pPr>
    </w:p>
    <w:p w14:paraId="2D92B83B">
      <w:pPr>
        <w:pStyle w:val="36"/>
        <w:spacing w:beforeAutospacing="0" w:afterAutospacing="0" w:line="0" w:lineRule="atLeast"/>
        <w:jc w:val="both"/>
        <w:rPr>
          <w:highlight w:val="none"/>
        </w:rPr>
      </w:pPr>
    </w:p>
    <w:p w14:paraId="30D07C18">
      <w:pPr>
        <w:pStyle w:val="36"/>
        <w:spacing w:beforeAutospacing="0" w:afterAutospacing="0" w:line="0" w:lineRule="atLeast"/>
        <w:jc w:val="center"/>
        <w:rPr>
          <w:highlight w:val="none"/>
        </w:rPr>
      </w:pPr>
    </w:p>
    <w:p w14:paraId="1A02C4A9">
      <w:pPr>
        <w:pStyle w:val="36"/>
        <w:spacing w:beforeAutospacing="0" w:afterAutospacing="0" w:line="0" w:lineRule="atLeast"/>
        <w:jc w:val="center"/>
        <w:rPr>
          <w:highlight w:val="none"/>
        </w:rPr>
      </w:pPr>
    </w:p>
    <w:p w14:paraId="0FC4366E">
      <w:pPr>
        <w:pStyle w:val="36"/>
        <w:spacing w:beforeAutospacing="0" w:afterAutospacing="0" w:line="0" w:lineRule="atLeast"/>
        <w:jc w:val="center"/>
        <w:rPr>
          <w:highlight w:val="none"/>
        </w:rPr>
      </w:pPr>
    </w:p>
    <w:p w14:paraId="005BFFE0">
      <w:pPr>
        <w:pStyle w:val="36"/>
        <w:spacing w:beforeAutospacing="0" w:afterAutospacing="0" w:line="0" w:lineRule="atLeast"/>
        <w:jc w:val="center"/>
        <w:rPr>
          <w:highlight w:val="none"/>
        </w:rPr>
      </w:pPr>
    </w:p>
    <w:p w14:paraId="3E5C4B81">
      <w:pPr>
        <w:pStyle w:val="36"/>
        <w:spacing w:beforeAutospacing="0" w:afterAutospacing="0" w:line="0" w:lineRule="atLeast"/>
        <w:jc w:val="center"/>
        <w:rPr>
          <w:highlight w:val="none"/>
        </w:rPr>
      </w:pPr>
    </w:p>
    <w:p w14:paraId="7025D715">
      <w:pPr>
        <w:rPr>
          <w:highlight w:val="none"/>
        </w:rPr>
      </w:pPr>
      <w:r>
        <w:rPr>
          <w:rFonts w:hint="eastAsia" w:ascii="宋体" w:hAnsi="宋体" w:eastAsia="宋体" w:cs="宋体"/>
          <w:b/>
          <w:color w:val="000000"/>
          <w:sz w:val="32"/>
          <w:szCs w:val="32"/>
          <w:highlight w:val="none"/>
        </w:rPr>
        <w:br w:type="page" w:clear="all"/>
      </w:r>
    </w:p>
    <w:p w14:paraId="71046713">
      <w:pPr>
        <w:pStyle w:val="36"/>
        <w:spacing w:beforeAutospacing="0" w:afterAutospacing="0" w:line="0" w:lineRule="atLeast"/>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投标文件目录</w:t>
      </w:r>
    </w:p>
    <w:p w14:paraId="657FE531">
      <w:pPr>
        <w:pStyle w:val="36"/>
        <w:spacing w:beforeAutospacing="0" w:afterAutospacing="0" w:line="0" w:lineRule="atLeast"/>
        <w:jc w:val="center"/>
        <w:rPr>
          <w:highlight w:val="none"/>
        </w:rPr>
      </w:pPr>
      <w:r>
        <w:rPr>
          <w:highlight w:val="none"/>
        </w:rPr>
        <w:t> </w:t>
      </w:r>
    </w:p>
    <w:p w14:paraId="55681F13">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一、法人或者其他组织的营业执照等证明文件，自然人的身份证明</w:t>
      </w:r>
    </w:p>
    <w:p w14:paraId="10A0D248">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二、上一年度的财务状况报表（提供2025年度，至少提供资产负债表、利润表、现金流量表，投标人成立不满一年无需提供</w:t>
      </w:r>
      <w:r>
        <w:rPr>
          <w:rFonts w:hint="eastAsia" w:ascii="宋体" w:hAnsi="宋体" w:eastAsia="宋体" w:cs="宋体"/>
          <w:i/>
          <w:iCs/>
          <w:u w:val="single"/>
        </w:rPr>
        <w:t>）</w:t>
      </w:r>
    </w:p>
    <w:p w14:paraId="415CC06E">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三</w:t>
      </w:r>
      <w:r>
        <w:rPr>
          <w:rFonts w:hint="eastAsia" w:ascii="宋体" w:hAnsi="宋体" w:eastAsia="宋体" w:cs="宋体"/>
          <w:i/>
          <w:iCs/>
          <w:u w:val="single"/>
        </w:rPr>
        <w:t>、具备履行合同所必需的设备和专业技术能力的书面声明</w:t>
      </w:r>
    </w:p>
    <w:p w14:paraId="11BED49A">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四</w:t>
      </w:r>
      <w:r>
        <w:rPr>
          <w:rFonts w:hint="eastAsia" w:ascii="宋体" w:hAnsi="宋体" w:eastAsia="宋体" w:cs="宋体"/>
          <w:i/>
          <w:iCs/>
          <w:u w:val="single"/>
        </w:rPr>
        <w:t>、依法缴纳税收和社会保障资金的相关材料（</w:t>
      </w:r>
      <w:r>
        <w:rPr>
          <w:rFonts w:hint="eastAsia" w:ascii="宋体" w:hAnsi="宋体" w:eastAsia="宋体" w:cs="宋体"/>
          <w:i/>
          <w:iCs/>
          <w:u w:val="single"/>
          <w:lang w:val="en-US" w:eastAsia="zh-CN"/>
        </w:rPr>
        <w:t>提供提交响应文件截止时间前一年内至少一个月依法缴纳税收及缴纳社会保障资金的证明材料。供应商依法享受缓缴、免缴税收、社会保障资金的提供证明材料。）</w:t>
      </w:r>
    </w:p>
    <w:p w14:paraId="3572E58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五、参加政府采购活动前3年内在经营活动中没有重大违法记录的书面声明</w:t>
      </w:r>
    </w:p>
    <w:p w14:paraId="701B9CD4">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单位负责人为同一人或者存在直接控股、管理关系的不同供应商，不得参加同一合同项下的政府采购活动。</w:t>
      </w:r>
      <w:r>
        <w:rPr>
          <w:rFonts w:hint="eastAsia" w:ascii="宋体" w:hAnsi="宋体" w:eastAsia="宋体" w:cs="宋体"/>
          <w:i/>
          <w:iCs/>
          <w:u w:val="single"/>
          <w:lang w:eastAsia="zh-CN"/>
        </w:rPr>
        <w:t>（</w:t>
      </w:r>
      <w:r>
        <w:rPr>
          <w:rFonts w:hint="eastAsia" w:ascii="宋体" w:hAnsi="宋体" w:eastAsia="宋体" w:cs="宋体"/>
          <w:i/>
          <w:iCs/>
          <w:u w:val="single"/>
          <w:lang w:val="en-US" w:eastAsia="zh-CN"/>
        </w:rPr>
        <w:t>自行承诺，格式自拟</w:t>
      </w:r>
      <w:r>
        <w:rPr>
          <w:rFonts w:hint="eastAsia" w:ascii="宋体" w:hAnsi="宋体" w:eastAsia="宋体" w:cs="宋体"/>
          <w:i/>
          <w:iCs/>
          <w:u w:val="single"/>
          <w:lang w:eastAsia="zh-CN"/>
        </w:rPr>
        <w:t>）</w:t>
      </w:r>
    </w:p>
    <w:p w14:paraId="2973AE6D">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六、特定资格要求的证明文件（如果本项目设置特定资格要求，则需要提供）</w:t>
      </w:r>
    </w:p>
    <w:p w14:paraId="2503CFE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文件1  供应商施工资质证书、安全生产许可证、项目负责人建造师证书及安全生产考核合格证书（B类）（原件彩色扫描件）</w:t>
      </w:r>
    </w:p>
    <w:p w14:paraId="78D71FC4">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lang w:eastAsia="zh-CN"/>
        </w:rPr>
      </w:pPr>
      <w:r>
        <w:rPr>
          <w:rFonts w:hint="eastAsia" w:ascii="宋体" w:hAnsi="宋体" w:eastAsia="宋体" w:cs="宋体"/>
          <w:i/>
          <w:iCs/>
          <w:u w:val="single"/>
        </w:rPr>
        <w:t>文件</w:t>
      </w:r>
      <w:r>
        <w:rPr>
          <w:rFonts w:hint="eastAsia" w:ascii="宋体" w:hAnsi="宋体" w:eastAsia="宋体" w:cs="宋体"/>
          <w:i/>
          <w:iCs/>
          <w:u w:val="single"/>
          <w:lang w:val="en-US" w:eastAsia="zh-CN"/>
        </w:rPr>
        <w:t xml:space="preserve">2  </w:t>
      </w:r>
      <w:r>
        <w:rPr>
          <w:rFonts w:hint="eastAsia" w:ascii="宋体" w:hAnsi="宋体" w:eastAsia="宋体" w:cs="宋体"/>
          <w:i/>
          <w:iCs/>
          <w:u w:val="single"/>
        </w:rPr>
        <w:t>项目负责人养老保险证明彩色扫描件</w:t>
      </w:r>
      <w:r>
        <w:rPr>
          <w:rFonts w:hint="eastAsia" w:ascii="宋体" w:hAnsi="宋体" w:eastAsia="宋体" w:cs="宋体"/>
          <w:i/>
          <w:iCs/>
          <w:u w:val="single"/>
          <w:lang w:eastAsia="zh-CN"/>
        </w:rPr>
        <w:t>、</w:t>
      </w:r>
      <w:r>
        <w:rPr>
          <w:rFonts w:hint="eastAsia" w:ascii="宋体" w:hAnsi="宋体" w:eastAsia="宋体" w:cs="宋体"/>
          <w:i/>
          <w:iCs/>
          <w:u w:val="single"/>
          <w:lang w:val="en-US" w:eastAsia="zh-CN"/>
        </w:rPr>
        <w:t>无</w:t>
      </w:r>
      <w:r>
        <w:rPr>
          <w:rFonts w:hint="eastAsia" w:ascii="宋体" w:hAnsi="宋体" w:eastAsia="宋体" w:cs="宋体"/>
          <w:i/>
          <w:iCs/>
          <w:u w:val="single"/>
          <w:lang w:eastAsia="zh-CN"/>
        </w:rPr>
        <w:t>在建承诺函。</w:t>
      </w:r>
    </w:p>
    <w:p w14:paraId="699B76D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七、法人授权书</w:t>
      </w:r>
    </w:p>
    <w:p w14:paraId="3511B2BD">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八、投标函</w:t>
      </w:r>
    </w:p>
    <w:p w14:paraId="34233CB0">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iCs w:val="0"/>
          <w:highlight w:val="none"/>
          <w:u w:val="single"/>
        </w:rPr>
      </w:pPr>
      <w:r>
        <w:rPr>
          <w:rFonts w:hint="eastAsia" w:ascii="宋体" w:hAnsi="宋体" w:eastAsia="宋体" w:cs="宋体"/>
          <w:i/>
          <w:iCs w:val="0"/>
          <w:color w:val="000000"/>
          <w:highlight w:val="none"/>
          <w:u w:val="single"/>
        </w:rPr>
        <w:t>九、</w:t>
      </w:r>
      <w:r>
        <w:rPr>
          <w:rFonts w:hint="eastAsia" w:ascii="宋体" w:hAnsi="宋体" w:eastAsia="宋体" w:cs="宋体"/>
          <w:i/>
          <w:iCs w:val="0"/>
          <w:color w:val="auto"/>
          <w:highlight w:val="none"/>
          <w:u w:val="single"/>
          <w:lang w:val="en-US" w:eastAsia="zh-CN"/>
        </w:rPr>
        <w:t>中小</w:t>
      </w:r>
      <w:r>
        <w:rPr>
          <w:rFonts w:hint="eastAsia" w:ascii="宋体" w:hAnsi="宋体" w:eastAsia="宋体" w:cs="宋体"/>
          <w:i/>
          <w:iCs w:val="0"/>
          <w:color w:val="auto"/>
          <w:highlight w:val="none"/>
          <w:u w:val="single"/>
        </w:rPr>
        <w:t>企业声明函</w:t>
      </w:r>
    </w:p>
    <w:p w14:paraId="0CA378CB">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十、残疾人福利性单位声明函</w:t>
      </w:r>
    </w:p>
    <w:p w14:paraId="264AB1FF">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iCs w:val="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一</w:t>
      </w:r>
      <w:r>
        <w:rPr>
          <w:rFonts w:hint="eastAsia" w:ascii="宋体" w:hAnsi="宋体" w:eastAsia="宋体" w:cs="宋体"/>
          <w:i/>
          <w:iCs w:val="0"/>
          <w:color w:val="000000"/>
          <w:highlight w:val="none"/>
          <w:u w:val="single"/>
        </w:rPr>
        <w:t>、已标价的工程量清单报价表</w:t>
      </w:r>
    </w:p>
    <w:p w14:paraId="12318F60">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iCs w:val="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二</w:t>
      </w:r>
      <w:r>
        <w:rPr>
          <w:rFonts w:hint="eastAsia" w:ascii="宋体" w:hAnsi="宋体" w:eastAsia="宋体" w:cs="宋体"/>
          <w:i/>
          <w:iCs w:val="0"/>
          <w:color w:val="000000"/>
          <w:highlight w:val="none"/>
          <w:u w:val="single"/>
        </w:rPr>
        <w:t>、技术要求响应及偏离表</w:t>
      </w:r>
    </w:p>
    <w:p w14:paraId="1A235041">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iCs w:val="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三</w:t>
      </w:r>
      <w:r>
        <w:rPr>
          <w:rFonts w:hint="eastAsia" w:ascii="宋体" w:hAnsi="宋体" w:eastAsia="宋体" w:cs="宋体"/>
          <w:i/>
          <w:iCs w:val="0"/>
          <w:color w:val="000000"/>
          <w:highlight w:val="none"/>
          <w:u w:val="single"/>
        </w:rPr>
        <w:t>、商务要求响应及偏离表</w:t>
      </w:r>
    </w:p>
    <w:p w14:paraId="46EC2FB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十</w:t>
      </w:r>
      <w:r>
        <w:rPr>
          <w:rFonts w:hint="eastAsia" w:ascii="宋体" w:hAnsi="宋体" w:eastAsia="宋体" w:cs="宋体"/>
          <w:i/>
          <w:iCs/>
          <w:u w:val="single"/>
          <w:lang w:val="en-US" w:eastAsia="zh-CN"/>
        </w:rPr>
        <w:t>四</w:t>
      </w:r>
      <w:r>
        <w:rPr>
          <w:rFonts w:hint="eastAsia" w:ascii="宋体" w:hAnsi="宋体" w:eastAsia="宋体" w:cs="宋体"/>
          <w:i/>
          <w:iCs/>
          <w:u w:val="single"/>
        </w:rPr>
        <w:t>、开标一览表</w:t>
      </w:r>
    </w:p>
    <w:p w14:paraId="68D2C792">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五</w:t>
      </w:r>
      <w:r>
        <w:rPr>
          <w:rFonts w:hint="eastAsia" w:ascii="宋体" w:hAnsi="宋体" w:eastAsia="宋体" w:cs="宋体"/>
          <w:i w:val="0"/>
          <w:iCs/>
          <w:color w:val="000000"/>
          <w:sz w:val="24"/>
          <w:highlight w:val="none"/>
          <w:u w:val="none"/>
        </w:rPr>
        <w:t>、</w:t>
      </w:r>
      <w:r>
        <w:rPr>
          <w:rFonts w:hint="eastAsia" w:ascii="宋体" w:hAnsi="宋体" w:eastAsia="宋体" w:cs="宋体"/>
          <w:i w:val="0"/>
          <w:iCs/>
          <w:color w:val="000000"/>
          <w:highlight w:val="none"/>
          <w:u w:val="none"/>
        </w:rPr>
        <w:t>项目组成员一览表</w:t>
      </w:r>
    </w:p>
    <w:p w14:paraId="51ECC4B7">
      <w:pPr>
        <w:keepNext w:val="0"/>
        <w:keepLines w:val="0"/>
        <w:pageBreakBefore w:val="0"/>
        <w:widowControl/>
        <w:kinsoku/>
        <w:wordWrap/>
        <w:overflowPunct/>
        <w:topLinePunct w:val="0"/>
        <w:autoSpaceDE/>
        <w:autoSpaceDN/>
        <w:bidi w:val="0"/>
        <w:adjustRightInd/>
        <w:snapToGrid/>
        <w:spacing w:before="50" w:after="50" w:line="360" w:lineRule="auto"/>
        <w:ind w:firstLine="482"/>
        <w:textAlignment w:val="auto"/>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六</w:t>
      </w:r>
      <w:r>
        <w:rPr>
          <w:rFonts w:hint="eastAsia" w:ascii="宋体" w:hAnsi="宋体" w:eastAsia="宋体" w:cs="宋体"/>
          <w:i w:val="0"/>
          <w:iCs/>
          <w:color w:val="000000"/>
          <w:sz w:val="24"/>
          <w:highlight w:val="none"/>
          <w:u w:val="none"/>
        </w:rPr>
        <w:t>、</w:t>
      </w:r>
      <w:r>
        <w:rPr>
          <w:rFonts w:hint="eastAsia" w:ascii="宋体" w:hAnsi="宋体" w:eastAsia="宋体" w:cs="宋体"/>
          <w:bCs/>
          <w:sz w:val="24"/>
          <w:szCs w:val="24"/>
          <w:lang w:val="en-US" w:eastAsia="zh-CN" w:bidi="ar-SA"/>
        </w:rPr>
        <w:t>投标人类似业绩一览表</w:t>
      </w:r>
    </w:p>
    <w:p w14:paraId="0FCEC0BD">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、盐城市政府采购事前信用承诺书</w:t>
      </w:r>
    </w:p>
    <w:p w14:paraId="521D3C68">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十八、</w:t>
      </w:r>
      <w:r>
        <w:rPr>
          <w:rFonts w:hint="eastAsia" w:ascii="宋体" w:hAnsi="宋体" w:cs="宋体"/>
          <w:bCs/>
          <w:sz w:val="24"/>
          <w:szCs w:val="24"/>
          <w:lang w:val="en-US" w:eastAsia="zh-CN" w:bidi="ar-SA"/>
        </w:rPr>
        <w:t>施工组织方案</w:t>
      </w:r>
    </w:p>
    <w:p w14:paraId="41DFAF6C">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bCs/>
          <w:sz w:val="24"/>
          <w:szCs w:val="24"/>
          <w:lang w:val="en-US" w:eastAsia="zh-CN" w:bidi="ar-SA"/>
        </w:rPr>
        <w:t>十九、投标人认为需要提供的其他证明材料及文件</w:t>
      </w:r>
    </w:p>
    <w:p w14:paraId="042E4846">
      <w:pPr>
        <w:pStyle w:val="213"/>
        <w:keepNext w:val="0"/>
        <w:keepLines w:val="0"/>
        <w:pageBreakBefore w:val="0"/>
        <w:widowControl w:val="0"/>
        <w:spacing w:beforeAutospacing="0" w:afterAutospacing="0" w:line="360" w:lineRule="auto"/>
        <w:ind w:firstLine="0"/>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特别提示：电子投标文件制作时建议将本项目投标文件“封面”上传至“目录”项内。</w:t>
      </w:r>
    </w:p>
    <w:p w14:paraId="69A30E2C">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u w:val="single"/>
          <w:lang w:val="en-US" w:eastAsia="zh-CN" w:bidi="ar-SA"/>
        </w:rPr>
        <w:t>一、</w:t>
      </w:r>
      <w:r>
        <w:rPr>
          <w:rFonts w:hint="eastAsia" w:ascii="黑体" w:hAnsi="宋体" w:eastAsia="黑体" w:cs="黑体"/>
          <w:i/>
          <w:color w:val="000000"/>
          <w:sz w:val="32"/>
          <w:szCs w:val="32"/>
          <w:highlight w:val="none"/>
          <w:u w:val="single"/>
        </w:rPr>
        <w:t>法人或者其他组织的营业执照等证明文件，自然人的身份证明</w:t>
      </w:r>
    </w:p>
    <w:p w14:paraId="75E7DE9B">
      <w:pPr>
        <w:pStyle w:val="36"/>
        <w:numPr>
          <w:ilvl w:val="0"/>
          <w:numId w:val="0"/>
        </w:numPr>
        <w:spacing w:beforeAutospacing="0" w:afterAutospacing="0"/>
        <w:jc w:val="both"/>
        <w:rPr>
          <w:rFonts w:hint="eastAsia" w:ascii="黑体" w:hAnsi="宋体" w:eastAsia="黑体" w:cs="黑体"/>
          <w:i/>
          <w:color w:val="000000"/>
          <w:sz w:val="32"/>
          <w:szCs w:val="32"/>
          <w:highlight w:val="none"/>
          <w:u w:val="single"/>
        </w:rPr>
      </w:pPr>
    </w:p>
    <w:p w14:paraId="58A1E17E">
      <w:pPr>
        <w:pStyle w:val="36"/>
        <w:spacing w:beforeAutospacing="0" w:afterAutospacing="0" w:line="0" w:lineRule="atLeast"/>
        <w:ind w:firstLine="480"/>
        <w:jc w:val="both"/>
        <w:rPr>
          <w:highlight w:val="none"/>
        </w:rPr>
      </w:pPr>
      <w:r>
        <w:rPr>
          <w:highlight w:val="none"/>
        </w:rPr>
        <w:t> </w:t>
      </w:r>
    </w:p>
    <w:p w14:paraId="10E9452B">
      <w:pPr>
        <w:pStyle w:val="36"/>
        <w:spacing w:beforeAutospacing="0" w:afterAutospacing="0"/>
        <w:jc w:val="both"/>
        <w:rPr>
          <w:rFonts w:hint="eastAsia" w:eastAsia="黑体"/>
          <w:highlight w:val="none"/>
          <w:lang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5A28FC1B">
      <w:pPr>
        <w:pStyle w:val="36"/>
        <w:spacing w:beforeAutospacing="0" w:afterAutospacing="0" w:line="0" w:lineRule="atLeast"/>
        <w:ind w:firstLine="492"/>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提供提供2025年度，至少提供资产负债表、利润表、现金流量表，投标人成立不满一年无需提供。</w:t>
      </w:r>
    </w:p>
    <w:p w14:paraId="70DD688D">
      <w:pPr>
        <w:pStyle w:val="36"/>
        <w:spacing w:beforeAutospacing="0" w:afterAutospacing="0" w:line="0" w:lineRule="atLeast"/>
        <w:ind w:firstLine="492"/>
        <w:jc w:val="both"/>
        <w:rPr>
          <w:rFonts w:hint="eastAsia" w:ascii="宋体" w:hAnsi="宋体" w:eastAsia="宋体" w:cs="宋体"/>
          <w:color w:val="000000"/>
          <w:highlight w:val="none"/>
          <w:lang w:eastAsia="zh-CN"/>
        </w:rPr>
      </w:pPr>
    </w:p>
    <w:p w14:paraId="655F7140">
      <w:pPr>
        <w:pStyle w:val="2"/>
        <w:rPr>
          <w:rFonts w:hint="eastAsia"/>
          <w:lang w:eastAsia="zh-CN"/>
        </w:rPr>
      </w:pPr>
    </w:p>
    <w:p w14:paraId="033A55A4">
      <w:pPr>
        <w:pStyle w:val="3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003D1B86">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5082525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8DEB15D">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eastAsia="宋体"/>
          <w:lang w:val="en-US" w:eastAsia="zh-CN"/>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r>
        <w:rPr>
          <w:rFonts w:hint="eastAsia" w:eastAsia="宋体"/>
          <w:lang w:val="en-US" w:eastAsia="zh-CN"/>
        </w:rPr>
        <w:t xml:space="preserve"> </w:t>
      </w:r>
    </w:p>
    <w:p w14:paraId="649F1062">
      <w:pPr>
        <w:pStyle w:val="36"/>
        <w:spacing w:beforeAutospacing="0" w:afterAutospacing="0"/>
        <w:jc w:val="both"/>
        <w:rPr>
          <w:rFonts w:hint="eastAsia" w:ascii="宋体" w:hAnsi="宋体" w:eastAsia="宋体" w:cs="宋体"/>
          <w:color w:val="000000"/>
          <w:highlight w:val="none"/>
        </w:rPr>
      </w:pPr>
    </w:p>
    <w:p w14:paraId="16AB516C">
      <w:pPr>
        <w:pStyle w:val="3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00B2F36C">
      <w:pPr>
        <w:pStyle w:val="36"/>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5D9E9295">
      <w:pPr>
        <w:pStyle w:val="36"/>
        <w:spacing w:beforeAutospacing="0" w:afterAutospacing="0"/>
        <w:ind w:firstLine="480"/>
        <w:jc w:val="both"/>
        <w:rPr>
          <w:rFonts w:hint="eastAsia" w:ascii="宋体" w:hAnsi="宋体" w:eastAsia="宋体" w:cs="宋体"/>
          <w:color w:val="000000"/>
          <w:highlight w:val="none"/>
        </w:rPr>
      </w:pPr>
    </w:p>
    <w:p w14:paraId="2511A5B9">
      <w:pPr>
        <w:pStyle w:val="36"/>
        <w:spacing w:beforeAutospacing="0" w:afterAutospacing="0"/>
        <w:jc w:val="both"/>
        <w:rPr>
          <w:highlight w:val="none"/>
        </w:rPr>
      </w:pPr>
      <w:r>
        <w:rPr>
          <w:highlight w:val="none"/>
        </w:rPr>
        <w:t> </w:t>
      </w:r>
    </w:p>
    <w:p w14:paraId="226A02E2">
      <w:pPr>
        <w:pStyle w:val="36"/>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249D499E">
      <w:pPr>
        <w:pStyle w:val="36"/>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061AAED4">
      <w:pPr>
        <w:pStyle w:val="36"/>
        <w:spacing w:beforeAutospacing="0" w:afterAutospacing="0" w:line="0" w:lineRule="atLeast"/>
        <w:ind w:firstLine="3092"/>
        <w:jc w:val="both"/>
        <w:rPr>
          <w:highlight w:val="none"/>
        </w:rPr>
      </w:pPr>
      <w:r>
        <w:rPr>
          <w:rFonts w:hint="eastAsia" w:ascii="宋体" w:hAnsi="宋体" w:eastAsia="宋体" w:cs="宋体"/>
          <w:b/>
          <w:color w:val="000000"/>
          <w:sz w:val="44"/>
          <w:szCs w:val="44"/>
          <w:highlight w:val="none"/>
        </w:rPr>
        <w:t xml:space="preserve"> 声  明</w:t>
      </w:r>
    </w:p>
    <w:p w14:paraId="392066A3">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AFB730C">
      <w:pPr>
        <w:pStyle w:val="36"/>
        <w:spacing w:beforeAutospacing="0" w:afterAutospacing="0"/>
        <w:jc w:val="both"/>
        <w:rPr>
          <w:rFonts w:hint="eastAsia"/>
        </w:rPr>
      </w:pPr>
    </w:p>
    <w:p w14:paraId="21386B10">
      <w:pPr>
        <w:pStyle w:val="213"/>
        <w:spacing w:beforeAutospacing="0" w:afterAutospacing="0" w:line="360" w:lineRule="auto"/>
        <w:ind w:firstLine="480" w:firstLineChars="2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单位负责人为同一人或者存在直接控股、管理关系的不同供应商，不得参加同一合同项下的政府采购活动(自行承诺)。</w:t>
      </w:r>
    </w:p>
    <w:p w14:paraId="0F096150">
      <w:pPr>
        <w:pStyle w:val="36"/>
        <w:spacing w:beforeAutospacing="0" w:afterAutospacing="0"/>
        <w:jc w:val="both"/>
        <w:rPr>
          <w:rFonts w:hint="eastAsia" w:ascii="黑体" w:hAnsi="宋体" w:eastAsia="黑体" w:cs="黑体"/>
          <w:i/>
          <w:color w:val="000000"/>
          <w:sz w:val="32"/>
          <w:szCs w:val="32"/>
          <w:highlight w:val="none"/>
          <w:u w:val="single"/>
        </w:rPr>
      </w:pPr>
    </w:p>
    <w:p w14:paraId="6573E419">
      <w:pPr>
        <w:pStyle w:val="36"/>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53F5B76F">
      <w:pPr>
        <w:pStyle w:val="36"/>
        <w:spacing w:beforeAutospacing="0" w:afterAutospacing="0" w:line="0" w:lineRule="atLeast"/>
        <w:jc w:val="both"/>
        <w:rPr>
          <w:rFonts w:ascii="黑体" w:hAnsi="宋体" w:eastAsia="黑体" w:cs="黑体"/>
          <w:i/>
          <w:color w:val="000000"/>
          <w:sz w:val="32"/>
          <w:szCs w:val="32"/>
          <w:highlight w:val="none"/>
          <w:u w:val="single"/>
        </w:rPr>
      </w:pPr>
      <w:r>
        <w:rPr>
          <w:rFonts w:hint="eastAsia" w:ascii="宋体" w:hAnsi="宋体" w:eastAsia="宋体" w:cs="宋体"/>
          <w:color w:val="000000"/>
          <w:highlight w:val="none"/>
        </w:rPr>
        <w:t>   如果本项目申请人的特定资格要求中要求提供的，必须提供。</w:t>
      </w:r>
      <w:bookmarkStart w:id="606" w:name="_Toc120614284"/>
    </w:p>
    <w:p w14:paraId="43DF05FB">
      <w:pPr>
        <w:pStyle w:val="5"/>
        <w:shd w:val="clear" w:color="auto" w:fill="FFFFFF"/>
        <w:snapToGrid w:val="0"/>
        <w:ind w:firstLine="0" w:firstLineChars="0"/>
        <w:jc w:val="center"/>
        <w:rPr>
          <w:rFonts w:hint="eastAsia" w:ascii="黑体" w:hAnsi="宋体" w:eastAsia="黑体" w:cs="黑体"/>
          <w:i/>
          <w:color w:val="000000"/>
          <w:sz w:val="32"/>
          <w:szCs w:val="32"/>
          <w:highlight w:val="none"/>
          <w:u w:val="single"/>
          <w:lang w:val="en-US" w:eastAsia="zh-CN" w:bidi="ar-SA"/>
        </w:rPr>
      </w:pPr>
      <w:r>
        <w:rPr>
          <w:rFonts w:hint="eastAsia" w:ascii="黑体" w:hAnsi="宋体" w:eastAsia="黑体" w:cs="黑体"/>
          <w:i/>
          <w:color w:val="000000"/>
          <w:sz w:val="32"/>
          <w:szCs w:val="32"/>
          <w:highlight w:val="none"/>
          <w:u w:val="single"/>
          <w:lang w:val="en-US" w:eastAsia="zh-CN" w:bidi="ar-SA"/>
        </w:rPr>
        <w:t>项目负责人无在建工程承诺函</w:t>
      </w:r>
    </w:p>
    <w:p w14:paraId="766AE27D">
      <w:pPr>
        <w:pStyle w:val="224"/>
        <w:ind w:firstLine="480"/>
        <w:rPr>
          <w:rFonts w:hint="eastAsia" w:cs="宋体" w:asciiTheme="minorEastAsia" w:hAnsiTheme="minorEastAsia" w:eastAsiaTheme="minorEastAsia"/>
          <w:sz w:val="24"/>
        </w:rPr>
      </w:pPr>
    </w:p>
    <w:p w14:paraId="399BD45E">
      <w:pPr>
        <w:pStyle w:val="224"/>
        <w:keepNext w:val="0"/>
        <w:keepLines w:val="0"/>
        <w:pageBreakBefore w:val="0"/>
        <w:widowControl w:val="0"/>
        <w:kinsoku/>
        <w:wordWrap/>
        <w:overflowPunct/>
        <w:topLinePunct w:val="0"/>
        <w:bidi w:val="0"/>
        <w:snapToGrid/>
        <w:spacing w:line="360" w:lineRule="auto"/>
        <w:ind w:left="0" w:leftChars="0" w:firstLine="0" w:firstLineChars="0"/>
        <w:textAlignment w:val="auto"/>
        <w:rPr>
          <w:rFonts w:hint="eastAsia" w:cs="宋体" w:asciiTheme="minorEastAsia" w:hAnsiTheme="minorEastAsia" w:eastAsiaTheme="minorEastAsia"/>
          <w:sz w:val="24"/>
        </w:rPr>
      </w:pPr>
      <w:r>
        <w:rPr>
          <w:rFonts w:hint="eastAsia" w:cs="宋体" w:asciiTheme="minorEastAsia" w:hAnsiTheme="minorEastAsia" w:eastAsiaTheme="minorEastAsia"/>
          <w:sz w:val="24"/>
          <w:u w:val="single"/>
          <w:lang w:val="en-US" w:eastAsia="zh-CN"/>
        </w:rPr>
        <w:t>致：</w:t>
      </w:r>
      <w:r>
        <w:rPr>
          <w:rFonts w:hint="eastAsia" w:cs="宋体" w:asciiTheme="minorEastAsia" w:hAnsiTheme="minorEastAsia" w:eastAsiaTheme="minorEastAsia"/>
          <w:sz w:val="24"/>
          <w:u w:val="single"/>
        </w:rPr>
        <w:t xml:space="preserve">                        (招标人)：</w:t>
      </w:r>
    </w:p>
    <w:p w14:paraId="0420A8E6">
      <w:pPr>
        <w:pStyle w:val="224"/>
        <w:keepNext w:val="0"/>
        <w:keepLines w:val="0"/>
        <w:pageBreakBefore w:val="0"/>
        <w:widowControl w:val="0"/>
        <w:kinsoku/>
        <w:wordWrap/>
        <w:overflowPunct/>
        <w:topLinePunct w:val="0"/>
        <w:bidi w:val="0"/>
        <w:snapToGrid/>
        <w:spacing w:line="360" w:lineRule="auto"/>
        <w:ind w:firstLine="480"/>
        <w:textAlignment w:val="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我方在此承诺，我方派往</w:t>
      </w:r>
      <w:r>
        <w:rPr>
          <w:rFonts w:hint="eastAsia" w:cs="宋体" w:asciiTheme="minorEastAsia" w:hAnsiTheme="minorEastAsia" w:eastAsiaTheme="minorEastAsia"/>
          <w:sz w:val="24"/>
          <w:u w:val="single"/>
        </w:rPr>
        <w:t xml:space="preserve">            (项目名称)</w:t>
      </w:r>
      <w:r>
        <w:rPr>
          <w:rFonts w:hint="eastAsia" w:cs="宋体" w:asciiTheme="minorEastAsia" w:hAnsiTheme="minorEastAsia" w:eastAsiaTheme="minorEastAsia"/>
          <w:sz w:val="24"/>
        </w:rPr>
        <w:t>的项目负责人</w:t>
      </w:r>
      <w:r>
        <w:rPr>
          <w:rFonts w:hint="eastAsia" w:cs="宋体" w:asciiTheme="minorEastAsia" w:hAnsiTheme="minorEastAsia" w:eastAsiaTheme="minorEastAsia"/>
          <w:sz w:val="24"/>
          <w:u w:val="single"/>
        </w:rPr>
        <w:t xml:space="preserve">    （姓名）</w:t>
      </w:r>
    </w:p>
    <w:p w14:paraId="5430976C">
      <w:pPr>
        <w:pStyle w:val="224"/>
        <w:keepNext w:val="0"/>
        <w:keepLines w:val="0"/>
        <w:pageBreakBefore w:val="0"/>
        <w:widowControl w:val="0"/>
        <w:kinsoku/>
        <w:wordWrap/>
        <w:overflowPunct/>
        <w:topLinePunct w:val="0"/>
        <w:bidi w:val="0"/>
        <w:snapToGrid/>
        <w:spacing w:line="360" w:lineRule="auto"/>
        <w:ind w:left="0" w:leftChars="0" w:firstLine="0" w:firstLineChars="0"/>
        <w:textAlignment w:val="auto"/>
        <w:rPr>
          <w:rFonts w:hint="eastAsia" w:cs="宋体" w:asciiTheme="minorEastAsia" w:hAnsiTheme="minorEastAsia" w:eastAsiaTheme="minorEastAsia"/>
          <w:sz w:val="24"/>
        </w:rPr>
      </w:pPr>
      <w:r>
        <w:rPr>
          <w:rFonts w:hint="eastAsia" w:cs="宋体" w:asciiTheme="minorEastAsia" w:hAnsiTheme="minorEastAsia" w:eastAsiaTheme="minorEastAsia"/>
          <w:sz w:val="24"/>
          <w:u w:val="single"/>
        </w:rPr>
        <w:t xml:space="preserve">                      (身份证号码），截止本项目投标日</w:t>
      </w:r>
      <w:r>
        <w:rPr>
          <w:rFonts w:hint="eastAsia" w:cs="宋体" w:asciiTheme="minorEastAsia" w:hAnsiTheme="minorEastAsia" w:eastAsiaTheme="minorEastAsia"/>
          <w:sz w:val="24"/>
        </w:rPr>
        <w:t>没有担任任何在建项目的项目负责人。</w:t>
      </w:r>
    </w:p>
    <w:p w14:paraId="0EA89D9C">
      <w:pPr>
        <w:pStyle w:val="224"/>
        <w:keepNext w:val="0"/>
        <w:keepLines w:val="0"/>
        <w:pageBreakBefore w:val="0"/>
        <w:widowControl w:val="0"/>
        <w:kinsoku/>
        <w:wordWrap/>
        <w:overflowPunct/>
        <w:topLinePunct w:val="0"/>
        <w:bidi w:val="0"/>
        <w:snapToGrid/>
        <w:spacing w:line="360" w:lineRule="auto"/>
        <w:ind w:firstLine="480"/>
        <w:textAlignment w:val="auto"/>
        <w:rPr>
          <w:rFonts w:hint="eastAsia" w:cs="宋体" w:asciiTheme="minorEastAsia" w:hAnsiTheme="minorEastAsia" w:eastAsiaTheme="minorEastAsia"/>
          <w:sz w:val="24"/>
        </w:rPr>
      </w:pPr>
      <w:r>
        <w:rPr>
          <w:rFonts w:hint="eastAsia" w:cs="宋体" w:asciiTheme="minorEastAsia" w:hAnsiTheme="minorEastAsia" w:eastAsiaTheme="minorEastAsia"/>
          <w:sz w:val="24"/>
        </w:rPr>
        <w:t>我方保证上述信息的真实和准确，并愿意承担因为我方弄虚作假引起的一切法律后果，三年内不参加</w:t>
      </w:r>
      <w:r>
        <w:rPr>
          <w:rFonts w:hint="eastAsia" w:cs="宋体" w:asciiTheme="minorEastAsia" w:hAnsiTheme="minorEastAsia" w:eastAsiaTheme="minorEastAsia"/>
          <w:sz w:val="24"/>
          <w:lang w:val="en-US" w:eastAsia="zh-CN"/>
        </w:rPr>
        <w:t>江苏医药职业学院</w:t>
      </w:r>
      <w:r>
        <w:rPr>
          <w:rFonts w:hint="eastAsia" w:cs="宋体" w:asciiTheme="minorEastAsia" w:hAnsiTheme="minorEastAsia" w:eastAsiaTheme="minorEastAsia"/>
          <w:sz w:val="24"/>
        </w:rPr>
        <w:t>的投标活动。</w:t>
      </w:r>
    </w:p>
    <w:p w14:paraId="6AA11B07">
      <w:pPr>
        <w:pStyle w:val="224"/>
        <w:keepNext w:val="0"/>
        <w:keepLines w:val="0"/>
        <w:pageBreakBefore w:val="0"/>
        <w:widowControl w:val="0"/>
        <w:kinsoku/>
        <w:wordWrap/>
        <w:overflowPunct/>
        <w:topLinePunct w:val="0"/>
        <w:bidi w:val="0"/>
        <w:snapToGrid/>
        <w:spacing w:line="360" w:lineRule="auto"/>
        <w:ind w:firstLine="480"/>
        <w:textAlignment w:val="auto"/>
        <w:rPr>
          <w:rFonts w:hint="eastAsia" w:cs="宋体" w:asciiTheme="minorEastAsia" w:hAnsiTheme="minorEastAsia" w:eastAsiaTheme="minorEastAsia"/>
          <w:sz w:val="24"/>
        </w:rPr>
      </w:pPr>
      <w:r>
        <w:rPr>
          <w:rFonts w:hint="eastAsia" w:cs="宋体" w:asciiTheme="minorEastAsia" w:hAnsiTheme="minorEastAsia" w:eastAsiaTheme="minorEastAsia"/>
          <w:sz w:val="24"/>
        </w:rPr>
        <w:t>特此承诺!</w:t>
      </w:r>
    </w:p>
    <w:p w14:paraId="1BF69F84">
      <w:pPr>
        <w:pStyle w:val="224"/>
        <w:keepNext w:val="0"/>
        <w:keepLines w:val="0"/>
        <w:pageBreakBefore w:val="0"/>
        <w:widowControl w:val="0"/>
        <w:kinsoku/>
        <w:wordWrap/>
        <w:overflowPunct/>
        <w:topLinePunct w:val="0"/>
        <w:bidi w:val="0"/>
        <w:snapToGrid/>
        <w:spacing w:line="360" w:lineRule="auto"/>
        <w:ind w:firstLine="480"/>
        <w:textAlignment w:val="auto"/>
        <w:rPr>
          <w:rFonts w:hint="eastAsia" w:cs="宋体" w:asciiTheme="minorEastAsia" w:hAnsiTheme="minorEastAsia" w:eastAsiaTheme="minorEastAsia"/>
          <w:sz w:val="24"/>
        </w:rPr>
      </w:pPr>
    </w:p>
    <w:p w14:paraId="79C823C9">
      <w:pPr>
        <w:pStyle w:val="17"/>
        <w:keepNext w:val="0"/>
        <w:keepLines w:val="0"/>
        <w:pageBreakBefore w:val="0"/>
        <w:widowControl w:val="0"/>
        <w:kinsoku/>
        <w:wordWrap/>
        <w:overflowPunct/>
        <w:topLinePunct w:val="0"/>
        <w:bidi w:val="0"/>
        <w:snapToGrid/>
        <w:spacing w:line="360" w:lineRule="auto"/>
        <w:ind w:firstLine="4588" w:firstLineChars="1912"/>
        <w:textAlignment w:val="auto"/>
        <w:rPr>
          <w:rFonts w:hint="eastAsia" w:cs="宋体" w:asciiTheme="minorEastAsia" w:hAnsiTheme="minorEastAsia" w:eastAsiaTheme="minorEastAsia"/>
          <w:kern w:val="0"/>
          <w:sz w:val="24"/>
          <w:szCs w:val="20"/>
          <w:lang w:val="en-US" w:eastAsia="zh-CN" w:bidi="ar-SA"/>
        </w:rPr>
      </w:pPr>
      <w:r>
        <w:rPr>
          <w:rFonts w:hint="eastAsia" w:cs="宋体" w:asciiTheme="minorEastAsia" w:hAnsiTheme="minorEastAsia" w:eastAsiaTheme="minorEastAsia"/>
          <w:kern w:val="0"/>
          <w:sz w:val="24"/>
          <w:szCs w:val="20"/>
          <w:lang w:val="en-US" w:eastAsia="zh-CN" w:bidi="ar-SA"/>
        </w:rPr>
        <w:t>投标人（加盖CA电子公章）：　　　　　　　　　　　　　　　   　　　　　　　　　 　　</w:t>
      </w:r>
    </w:p>
    <w:p w14:paraId="347CA6BE">
      <w:pPr>
        <w:keepNext w:val="0"/>
        <w:keepLines w:val="0"/>
        <w:pageBreakBefore w:val="0"/>
        <w:widowControl w:val="0"/>
        <w:kinsoku/>
        <w:wordWrap/>
        <w:overflowPunct/>
        <w:topLinePunct w:val="0"/>
        <w:bidi w:val="0"/>
        <w:snapToGrid/>
        <w:spacing w:line="360" w:lineRule="auto"/>
        <w:ind w:firstLine="4560" w:firstLineChars="1900"/>
        <w:jc w:val="left"/>
        <w:textAlignment w:val="auto"/>
        <w:rPr>
          <w:rFonts w:hint="eastAsia" w:cs="宋体" w:asciiTheme="minorEastAsia" w:hAnsiTheme="minorEastAsia" w:eastAsiaTheme="minorEastAsia"/>
        </w:rPr>
      </w:pPr>
      <w:r>
        <w:rPr>
          <w:rFonts w:hint="eastAsia" w:cs="宋体" w:asciiTheme="minorEastAsia" w:hAnsiTheme="minorEastAsia" w:eastAsiaTheme="minorEastAsia"/>
          <w:kern w:val="0"/>
          <w:sz w:val="24"/>
          <w:szCs w:val="20"/>
          <w:lang w:val="en-US" w:eastAsia="zh-CN" w:bidi="ar-SA"/>
        </w:rPr>
        <w:t>日期：　　　年　  月　　日</w:t>
      </w:r>
    </w:p>
    <w:p w14:paraId="05D28FD3">
      <w:pPr>
        <w:numPr>
          <w:ilvl w:val="0"/>
          <w:numId w:val="1"/>
        </w:numPr>
        <w:jc w:val="center"/>
        <w:rPr>
          <w:rFonts w:hint="eastAsia" w:ascii="黑体" w:hAnsi="宋体" w:eastAsia="黑体" w:cs="黑体"/>
          <w:i/>
          <w:color w:val="000000"/>
          <w:sz w:val="32"/>
          <w:szCs w:val="32"/>
          <w:highlight w:val="none"/>
          <w:u w:val="single"/>
        </w:rPr>
        <w:sectPr>
          <w:footerReference r:id="rId7" w:type="default"/>
          <w:pgSz w:w="11906" w:h="16838"/>
          <w:pgMar w:top="1460" w:right="1486" w:bottom="1518" w:left="1800" w:header="851" w:footer="992" w:gutter="0"/>
          <w:pgNumType w:start="40"/>
          <w:cols w:space="425" w:num="1"/>
          <w:docGrid w:linePitch="360" w:charSpace="0"/>
        </w:sectPr>
      </w:pPr>
    </w:p>
    <w:p w14:paraId="6EDA681F">
      <w:pPr>
        <w:numPr>
          <w:ilvl w:val="0"/>
          <w:numId w:val="1"/>
        </w:numPr>
        <w:jc w:val="cente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法人授权书</w:t>
      </w:r>
    </w:p>
    <w:p w14:paraId="3D6C2626">
      <w:pPr>
        <w:numPr>
          <w:ilvl w:val="0"/>
          <w:numId w:val="0"/>
        </w:numPr>
        <w:jc w:val="both"/>
        <w:rPr>
          <w:rFonts w:hint="eastAsia" w:ascii="黑体" w:hAnsi="宋体" w:eastAsia="黑体" w:cs="黑体"/>
          <w:i/>
          <w:color w:val="000000"/>
          <w:sz w:val="32"/>
          <w:szCs w:val="32"/>
          <w:highlight w:val="none"/>
          <w:u w:val="single"/>
        </w:rPr>
      </w:pPr>
    </w:p>
    <w:p w14:paraId="051CADD0">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ascii="Times New Roman" w:hAnsi="Times New Roman"/>
          <w:color w:val="000000"/>
          <w:highlight w:val="none"/>
        </w:rPr>
        <w:t>本授权书声明：____________（投标人名称）授权________________（被授权人的姓名）为我方就</w:t>
      </w:r>
      <w:r>
        <w:rPr>
          <w:rFonts w:ascii="Times New Roman" w:hAnsi="Times New Roman"/>
        </w:rPr>
        <w:t>JSZC-</w:t>
      </w:r>
      <w:r>
        <w:rPr>
          <w:rFonts w:ascii="Times New Roman" w:hAnsi="Times New Roman"/>
          <w:u w:val="single"/>
        </w:rPr>
        <w:t xml:space="preserve">        </w:t>
      </w:r>
      <w:r>
        <w:rPr>
          <w:rFonts w:ascii="Times New Roman" w:hAnsi="Times New Roman"/>
          <w:color w:val="000000"/>
          <w:highlight w:val="none"/>
        </w:rPr>
        <w:t>号________________项目采购活动的合法代理人，以本单位名义全权处理一切与该项目采购有关的事务。</w:t>
      </w:r>
    </w:p>
    <w:p w14:paraId="7525A84A">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rPr>
      </w:pPr>
      <w:r>
        <w:rPr>
          <w:rFonts w:ascii="Times New Roman" w:hAnsi="Times New Roman"/>
          <w:color w:val="000000"/>
          <w:highlight w:val="none"/>
        </w:rPr>
        <w:t>本授权书于______年____月____日起生效，特此声明。</w:t>
      </w:r>
    </w:p>
    <w:p w14:paraId="2BD7BF44">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被授权人身份证号码：</w:t>
      </w:r>
      <w:r>
        <w:rPr>
          <w:rFonts w:ascii="Times New Roman" w:hAnsi="Times New Roman"/>
          <w:color w:val="000000"/>
          <w:highlight w:val="none"/>
          <w:u w:val="single"/>
        </w:rPr>
        <w:t xml:space="preserve">                              </w:t>
      </w:r>
    </w:p>
    <w:p w14:paraId="59DE71FD">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被授权人联系电话：（手机）</w:t>
      </w:r>
      <w:r>
        <w:rPr>
          <w:rFonts w:ascii="Times New Roman" w:hAnsi="Times New Roman"/>
          <w:color w:val="000000"/>
          <w:highlight w:val="none"/>
          <w:u w:val="single"/>
        </w:rPr>
        <w:t xml:space="preserve">                          </w:t>
      </w:r>
    </w:p>
    <w:p w14:paraId="77F247DE">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5B0EFC7">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6B54352">
      <w:pPr>
        <w:pStyle w:val="213"/>
        <w:tabs>
          <w:tab w:val="left" w:pos="360"/>
        </w:tabs>
        <w:spacing w:beforeAutospacing="0" w:afterAutospacing="0" w:line="360" w:lineRule="auto"/>
        <w:ind w:firstLine="480"/>
        <w:jc w:val="both"/>
        <w:rPr>
          <w:rFonts w:hint="default" w:ascii="Times New Roman" w:hAnsi="Times New Roman" w:cs="Times New Roman" w:eastAsiaTheme="minorEastAsia"/>
          <w:color w:val="000000"/>
          <w:sz w:val="24"/>
          <w:szCs w:val="24"/>
          <w:highlight w:val="none"/>
          <w:lang w:val="en-US" w:eastAsia="zh-CN" w:bidi="ar-SA"/>
        </w:rPr>
      </w:pPr>
      <w:bookmarkStart w:id="607" w:name="_Hlt26955070"/>
      <w:bookmarkStart w:id="608" w:name="_Hlt26671380"/>
      <w:bookmarkStart w:id="609" w:name="_格式3__银行出具的资信证明"/>
      <w:r>
        <w:rPr>
          <w:color w:val="000000" w:themeColor="text1"/>
          <w:sz w:val="21"/>
          <w:szCs w:val="21"/>
          <w14:textFill>
            <w14:solidFill>
              <w14:schemeClr w14:val="tx1"/>
            </w14:solidFill>
          </w14:textFill>
        </w:rPr>
        <w:t> </w:t>
      </w:r>
      <w:r>
        <w:rPr>
          <w:rFonts w:hint="default" w:ascii="Times New Roman" w:hAnsi="Times New Roman" w:cs="Times New Roman" w:eastAsiaTheme="minorEastAsia"/>
          <w:color w:val="000000"/>
          <w:sz w:val="24"/>
          <w:szCs w:val="24"/>
          <w:highlight w:val="none"/>
          <w:lang w:val="en-US" w:eastAsia="zh-CN" w:bidi="ar-SA"/>
        </w:rPr>
        <w:t>日期：</w:t>
      </w:r>
      <w:r>
        <w:rPr>
          <w:rFonts w:ascii="Times New Roman" w:hAnsi="Times New Roman"/>
          <w:color w:val="000000"/>
          <w:highlight w:val="none"/>
          <w:u w:val="single"/>
        </w:rPr>
        <w:t xml:space="preserve">                                        </w:t>
      </w:r>
      <w:r>
        <w:rPr>
          <w:rFonts w:hint="default" w:ascii="Times New Roman" w:hAnsi="Times New Roman" w:cs="Times New Roman" w:eastAsiaTheme="minorEastAsia"/>
          <w:color w:val="000000"/>
          <w:sz w:val="24"/>
          <w:szCs w:val="24"/>
          <w:highlight w:val="none"/>
          <w:lang w:val="en-US" w:eastAsia="zh-CN" w:bidi="ar-SA"/>
        </w:rPr>
        <w:t>  </w:t>
      </w:r>
    </w:p>
    <w:p w14:paraId="420EDB5F">
      <w:pPr>
        <w:pStyle w:val="213"/>
        <w:tabs>
          <w:tab w:val="left" w:pos="360"/>
        </w:tabs>
        <w:spacing w:beforeAutospacing="0" w:afterAutospacing="0" w:line="360" w:lineRule="auto"/>
        <w:ind w:firstLine="480"/>
        <w:jc w:val="both"/>
        <w:rPr>
          <w:rFonts w:hint="default" w:ascii="Times New Roman" w:hAnsi="Times New Roman" w:cs="Times New Roman" w:eastAsiaTheme="minorEastAsia"/>
          <w:color w:val="000000"/>
          <w:sz w:val="24"/>
          <w:szCs w:val="24"/>
          <w:highlight w:val="none"/>
          <w:lang w:val="en-US" w:eastAsia="zh-CN" w:bidi="ar-SA"/>
        </w:rPr>
      </w:pPr>
    </w:p>
    <w:p w14:paraId="2070A935">
      <w:pPr>
        <w:spacing w:line="600" w:lineRule="exact"/>
        <w:rPr>
          <w:rFonts w:ascii="宋体" w:hAnsi="宋体" w:cs="宋体"/>
          <w:color w:val="auto"/>
        </w:rPr>
      </w:pPr>
      <w:r>
        <w:rPr>
          <w:rFonts w:hint="eastAsia" w:ascii="宋体" w:hAnsi="宋体" w:cs="宋体"/>
          <w:color w:val="auto"/>
        </w:rPr>
        <w:t>法定代表人及被授权人身份证：</w:t>
      </w:r>
    </w:p>
    <w:p w14:paraId="70C2186B">
      <w:pPr>
        <w:pStyle w:val="213"/>
        <w:tabs>
          <w:tab w:val="left" w:pos="360"/>
        </w:tabs>
        <w:spacing w:beforeAutospacing="0" w:afterAutospacing="0" w:line="360" w:lineRule="auto"/>
        <w:ind w:firstLine="480"/>
        <w:jc w:val="both"/>
        <w:rPr>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sz w:val="24"/>
          <w:szCs w:val="24"/>
          <w:highlight w:val="none"/>
          <w:lang w:val="en-US" w:eastAsia="zh-CN" w:bidi="ar-SA"/>
        </w:rPr>
        <w:t xml:space="preserve">                                       </w:t>
      </w:r>
    </w:p>
    <w:p w14:paraId="0192F85F">
      <w:pPr>
        <w:pStyle w:val="36"/>
        <w:keepNext/>
        <w:keepLines/>
        <w:spacing w:before="260" w:beforeAutospacing="0" w:after="260" w:afterAutospacing="0" w:line="415" w:lineRule="auto"/>
        <w:ind w:firstLine="3390"/>
        <w:jc w:val="both"/>
        <w:rPr>
          <w:rFonts w:hint="eastAsia" w:ascii="黑体" w:hAnsi="宋体" w:eastAsia="黑体" w:cs="黑体"/>
          <w:b/>
          <w:i/>
          <w:color w:val="000000"/>
          <w:sz w:val="32"/>
          <w:szCs w:val="32"/>
          <w:highlight w:val="none"/>
          <w:u w:val="single"/>
        </w:rPr>
        <w:sectPr>
          <w:footerReference r:id="rId8" w:type="default"/>
          <w:pgSz w:w="11906" w:h="16838"/>
          <w:pgMar w:top="1460" w:right="1486" w:bottom="1518" w:left="1800" w:header="851" w:footer="992" w:gutter="0"/>
          <w:pgNumType w:start="48"/>
          <w:cols w:space="425" w:num="1"/>
          <w:docGrid w:linePitch="360" w:charSpace="0"/>
        </w:sectPr>
      </w:pPr>
    </w:p>
    <w:p w14:paraId="4B81E3FF">
      <w:pPr>
        <w:pStyle w:val="36"/>
        <w:keepNext/>
        <w:keepLines/>
        <w:spacing w:before="260" w:beforeAutospacing="0" w:after="260" w:afterAutospacing="0" w:line="415" w:lineRule="auto"/>
        <w:jc w:val="center"/>
        <w:rPr>
          <w:highlight w:val="none"/>
        </w:rPr>
      </w:pPr>
      <w:r>
        <w:rPr>
          <w:rFonts w:hint="eastAsia" w:ascii="黑体" w:hAnsi="宋体" w:eastAsia="黑体" w:cs="黑体"/>
          <w:b/>
          <w:i/>
          <w:color w:val="000000"/>
          <w:sz w:val="32"/>
          <w:szCs w:val="32"/>
          <w:highlight w:val="none"/>
          <w:u w:val="single"/>
        </w:rPr>
        <w:t>八、投标函</w:t>
      </w:r>
    </w:p>
    <w:p w14:paraId="6FC379A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eastAsia="宋体"/>
          <w:highlight w:val="none"/>
          <w:lang w:val="en-US" w:eastAsia="zh-CN"/>
        </w:rPr>
      </w:pPr>
      <w:r>
        <w:rPr>
          <w:rFonts w:hint="eastAsia" w:ascii="宋体" w:hAnsi="宋体" w:eastAsia="宋体" w:cs="宋体"/>
          <w:color w:val="000000"/>
          <w:highlight w:val="none"/>
        </w:rPr>
        <w:t>致：</w:t>
      </w:r>
      <w:r>
        <w:rPr>
          <w:rFonts w:hint="eastAsia" w:ascii="宋体" w:hAnsi="宋体" w:eastAsia="宋体" w:cs="宋体"/>
          <w:lang w:eastAsia="zh-CN"/>
        </w:rPr>
        <w:t>江苏医药职业学院</w:t>
      </w:r>
    </w:p>
    <w:p w14:paraId="4215D982">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eastAsia="宋体" w:cs="宋体"/>
          <w:u w:val="single"/>
        </w:rPr>
        <w:t>JSZC-</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（投标人的名称），全权处理本次项目投标的有关事宜。</w:t>
      </w:r>
    </w:p>
    <w:p w14:paraId="709AD83A">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据此函，</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签字人兹宣布同意如下：</w:t>
      </w:r>
    </w:p>
    <w:p w14:paraId="467DE771">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1.按招标文件规定的各项要求，向买方提供所需</w:t>
      </w:r>
      <w:r>
        <w:rPr>
          <w:rFonts w:hint="eastAsia" w:ascii="宋体" w:hAnsi="宋体" w:cs="宋体"/>
          <w:color w:val="auto"/>
          <w:sz w:val="24"/>
        </w:rPr>
        <w:t>服务</w:t>
      </w:r>
      <w:r>
        <w:rPr>
          <w:rFonts w:hint="eastAsia" w:ascii="宋体" w:hAnsi="宋体" w:eastAsia="宋体" w:cs="宋体"/>
          <w:color w:val="000000"/>
          <w:highlight w:val="none"/>
        </w:rPr>
        <w:t>。</w:t>
      </w:r>
    </w:p>
    <w:p w14:paraId="0DC3E996">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6BB1CC03">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53CF6AD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0F65C488">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717C094">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5C72B4D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5"/>
        <w:textAlignment w:val="auto"/>
        <w:rPr>
          <w:highlight w:val="none"/>
        </w:rPr>
      </w:pPr>
      <w:r>
        <w:rPr>
          <w:rFonts w:hint="eastAsia" w:ascii="宋体" w:hAnsi="宋体" w:eastAsia="宋体" w:cs="宋体"/>
          <w:color w:val="000000"/>
          <w:highlight w:val="none"/>
        </w:rPr>
        <w:t>7.与本投标有关的正式通讯地址为：</w:t>
      </w:r>
    </w:p>
    <w:p w14:paraId="142A496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址：</w:t>
      </w:r>
    </w:p>
    <w:p w14:paraId="2A82EBB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邮    编：</w:t>
      </w:r>
    </w:p>
    <w:p w14:paraId="4A678B94">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电    话：</w:t>
      </w:r>
    </w:p>
    <w:p w14:paraId="5467E88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传    真：</w:t>
      </w:r>
    </w:p>
    <w:p w14:paraId="167B076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投标人开户行：</w:t>
      </w:r>
    </w:p>
    <w:p w14:paraId="6C839041">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 xml:space="preserve">账    号： </w:t>
      </w:r>
    </w:p>
    <w:p w14:paraId="6AD7CE0C">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日    期：________年____月____日</w:t>
      </w:r>
    </w:p>
    <w:p w14:paraId="2712F9C4">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25DFE974">
      <w:pPr>
        <w:pStyle w:val="36"/>
        <w:keepNext/>
        <w:keepLines/>
        <w:spacing w:before="260" w:beforeAutospacing="0" w:after="260" w:afterAutospacing="0" w:line="240" w:lineRule="auto"/>
        <w:jc w:val="cente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t>九、</w:t>
      </w:r>
      <w:r>
        <w:rPr>
          <w:rFonts w:hint="eastAsia" w:ascii="黑体" w:hAnsi="宋体" w:eastAsia="黑体" w:cs="黑体"/>
          <w:b/>
          <w:i/>
          <w:color w:val="000000"/>
          <w:sz w:val="32"/>
          <w:szCs w:val="32"/>
          <w:highlight w:val="none"/>
          <w:u w:val="single"/>
          <w:lang w:val="en-US" w:eastAsia="zh-CN"/>
        </w:rPr>
        <w:t>中小</w:t>
      </w:r>
      <w:r>
        <w:rPr>
          <w:rFonts w:hint="eastAsia" w:ascii="黑体" w:hAnsi="宋体" w:eastAsia="黑体" w:cs="黑体"/>
          <w:b/>
          <w:i/>
          <w:color w:val="000000"/>
          <w:sz w:val="32"/>
          <w:szCs w:val="32"/>
          <w:highlight w:val="none"/>
          <w:u w:val="single"/>
        </w:rPr>
        <w:t>企业声明函（工程）</w:t>
      </w:r>
    </w:p>
    <w:p w14:paraId="62F895FB">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ascii="宋体" w:hAnsi="宋体" w:eastAsia="宋体" w:cs="宋体"/>
          <w:bCs/>
          <w:sz w:val="24"/>
          <w:u w:val="single"/>
          <w:lang w:val="en-US" w:eastAsia="zh-CN"/>
        </w:rPr>
        <w:t>江苏医药职业学院</w:t>
      </w:r>
      <w:r>
        <w:rPr>
          <w:rFonts w:hint="eastAsia" w:ascii="宋体" w:hAnsi="宋体" w:eastAsia="宋体" w:cs="宋体"/>
          <w:bCs/>
          <w:sz w:val="24"/>
          <w:u w:val="none"/>
          <w:lang w:val="en-US" w:eastAsia="zh-CN"/>
        </w:rPr>
        <w:t>单位的</w:t>
      </w:r>
      <w:r>
        <w:rPr>
          <w:rFonts w:hint="eastAsia"/>
          <w:color w:val="auto"/>
          <w:sz w:val="24"/>
          <w:highlight w:val="none"/>
        </w:rPr>
        <w:t>采购编号</w:t>
      </w:r>
      <w:r>
        <w:rPr>
          <w:rFonts w:hint="eastAsia" w:ascii="宋体" w:hAnsi="宋体" w:eastAsia="宋体" w:cs="宋体"/>
          <w:sz w:val="22"/>
          <w:szCs w:val="28"/>
          <w:u w:val="single"/>
          <w:lang w:eastAsia="zh-CN"/>
        </w:rPr>
        <w:t>JSZC-320000-JSQG-G2026-0006</w:t>
      </w:r>
      <w:r>
        <w:rPr>
          <w:rFonts w:hint="eastAsia"/>
          <w:color w:val="auto"/>
          <w:sz w:val="24"/>
          <w:highlight w:val="none"/>
          <w:lang w:val="en-US" w:eastAsia="zh-CN"/>
        </w:rPr>
        <w:t>的</w:t>
      </w:r>
      <w:bookmarkStart w:id="624" w:name="_GoBack"/>
      <w:r>
        <w:rPr>
          <w:rFonts w:hint="eastAsia" w:ascii="宋体" w:hAnsi="宋体" w:eastAsia="宋体" w:cs="宋体"/>
          <w:bCs/>
          <w:sz w:val="24"/>
          <w:u w:val="single"/>
          <w:lang w:val="en-US" w:eastAsia="zh-CN"/>
        </w:rPr>
        <w:t>西园食堂屋面整体维修项目</w:t>
      </w:r>
      <w:bookmarkEnd w:id="624"/>
      <w:r>
        <w:rPr>
          <w:rFonts w:hint="eastAsia" w:ascii="宋体" w:hAnsi="宋体" w:eastAsia="宋体" w:cs="宋体"/>
          <w:bCs/>
          <w:sz w:val="24"/>
          <w:u w:val="single"/>
          <w:lang w:val="en-US" w:eastAsia="zh-CN"/>
        </w:rPr>
        <w:t>（二次）</w:t>
      </w:r>
      <w:r>
        <w:rPr>
          <w:rFonts w:hint="eastAsia"/>
          <w:color w:val="auto"/>
          <w:sz w:val="24"/>
          <w:highlight w:val="none"/>
        </w:rPr>
        <w:t>的采购活动，</w:t>
      </w:r>
      <w:r>
        <w:rPr>
          <w:rFonts w:hint="eastAsia"/>
          <w:color w:val="auto"/>
          <w:sz w:val="24"/>
          <w:highlight w:val="none"/>
          <w:lang w:val="en-US" w:eastAsia="zh-CN"/>
        </w:rPr>
        <w:t>服务</w:t>
      </w:r>
      <w:r>
        <w:rPr>
          <w:rFonts w:hint="eastAsia"/>
          <w:color w:val="auto"/>
          <w:sz w:val="24"/>
          <w:highlight w:val="none"/>
        </w:rPr>
        <w:t>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D87CF61">
      <w:pPr>
        <w:numPr>
          <w:ilvl w:val="0"/>
          <w:numId w:val="0"/>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D10BB46">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0327D789">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34E99482">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26B503E2">
      <w:pPr>
        <w:pStyle w:val="36"/>
        <w:spacing w:beforeAutospacing="0" w:afterAutospacing="0" w:line="0" w:lineRule="atLeast"/>
        <w:ind w:right="720"/>
        <w:jc w:val="both"/>
        <w:rPr>
          <w:color w:val="auto"/>
          <w:highlight w:val="none"/>
        </w:rPr>
      </w:pPr>
      <w:r>
        <w:rPr>
          <w:color w:val="auto"/>
          <w:highlight w:val="none"/>
        </w:rPr>
        <w:t> </w:t>
      </w:r>
    </w:p>
    <w:p w14:paraId="43BC1897">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5623B4EA">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535F4121">
      <w:pPr>
        <w:pStyle w:val="36"/>
        <w:spacing w:beforeAutospacing="0" w:afterAutospacing="0" w:line="0" w:lineRule="atLeast"/>
        <w:ind w:firstLine="240"/>
        <w:jc w:val="both"/>
        <w:rPr>
          <w:color w:val="auto"/>
          <w:highlight w:val="none"/>
        </w:rPr>
      </w:pPr>
      <w:r>
        <w:rPr>
          <w:color w:val="auto"/>
          <w:highlight w:val="none"/>
        </w:rPr>
        <w:t> </w:t>
      </w:r>
    </w:p>
    <w:p w14:paraId="5E8FBA42">
      <w:pPr>
        <w:pStyle w:val="36"/>
        <w:spacing w:beforeAutospacing="0" w:afterAutospacing="0" w:line="0" w:lineRule="atLeast"/>
        <w:ind w:firstLine="480"/>
        <w:jc w:val="both"/>
        <w:rPr>
          <w:rFonts w:hint="eastAsia" w:ascii="宋体" w:hAnsi="宋体" w:eastAsia="宋体" w:cs="宋体"/>
          <w:color w:val="auto"/>
          <w:highlight w:val="none"/>
        </w:rPr>
      </w:pPr>
    </w:p>
    <w:p w14:paraId="7823A5CC">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3189E75">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DA7B4D1">
      <w:pPr>
        <w:pStyle w:val="36"/>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十、残疾人福利性单位声明函</w:t>
      </w:r>
    </w:p>
    <w:p w14:paraId="40AD2CD4">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单位的采购文件编号为</w:t>
      </w:r>
      <w:r>
        <w:rPr>
          <w:rFonts w:hint="eastAsia" w:ascii="宋体" w:hAnsi="宋体" w:eastAsia="宋体" w:cs="宋体"/>
          <w:color w:val="000000"/>
          <w:highlight w:val="none"/>
          <w:u w:val="single"/>
          <w:lang w:eastAsia="zh-CN"/>
        </w:rPr>
        <w:t>JSZC-320000-JSQG-G2026-0006</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36"/>
        <w:spacing w:beforeAutospacing="0" w:afterAutospacing="0" w:line="0" w:lineRule="atLeast"/>
        <w:ind w:firstLine="480"/>
        <w:jc w:val="both"/>
        <w:rPr>
          <w:highlight w:val="none"/>
        </w:rPr>
      </w:pPr>
      <w:r>
        <w:rPr>
          <w:highlight w:val="none"/>
        </w:rPr>
        <w:t> </w:t>
      </w:r>
    </w:p>
    <w:p w14:paraId="2FAF371E">
      <w:pPr>
        <w:pStyle w:val="36"/>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20641D17">
      <w:pPr>
        <w:pStyle w:val="36"/>
        <w:spacing w:beforeAutospacing="0" w:afterAutospacing="0" w:line="0" w:lineRule="atLeast"/>
        <w:ind w:firstLine="624"/>
        <w:jc w:val="both"/>
        <w:rPr>
          <w:highlight w:val="none"/>
        </w:rPr>
      </w:pPr>
      <w:r>
        <w:rPr>
          <w:highlight w:val="none"/>
        </w:rPr>
        <w:t> </w:t>
      </w:r>
    </w:p>
    <w:p w14:paraId="707517C5">
      <w:pPr>
        <w:pStyle w:val="36"/>
        <w:tabs>
          <w:tab w:val="left" w:pos="4864"/>
        </w:tabs>
        <w:spacing w:beforeAutospacing="0" w:afterAutospacing="0" w:line="0" w:lineRule="atLeast"/>
        <w:ind w:right="200" w:rightChars="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6A7CD415">
      <w:pPr>
        <w:pStyle w:val="36"/>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379F2FFA">
      <w:pPr>
        <w:pStyle w:val="36"/>
        <w:spacing w:beforeAutospacing="0" w:afterAutospacing="0" w:line="0" w:lineRule="atLeast"/>
        <w:jc w:val="center"/>
        <w:rPr>
          <w:highlight w:val="none"/>
        </w:rPr>
      </w:pPr>
      <w:r>
        <w:rPr>
          <w:highlight w:val="none"/>
        </w:rPr>
        <w:t> </w:t>
      </w:r>
    </w:p>
    <w:p w14:paraId="23155AE1">
      <w:pPr>
        <w:rPr>
          <w:highlight w:val="none"/>
        </w:rPr>
      </w:pPr>
      <w:r>
        <w:rPr>
          <w:highlight w:val="none"/>
        </w:rPr>
        <w:t> </w:t>
      </w:r>
    </w:p>
    <w:p w14:paraId="6035F873">
      <w:pPr>
        <w:pStyle w:val="36"/>
        <w:spacing w:beforeAutospacing="0" w:afterAutospacing="0" w:line="0" w:lineRule="atLeast"/>
        <w:jc w:val="both"/>
        <w:rPr>
          <w:highlight w:val="none"/>
        </w:rPr>
      </w:pPr>
      <w:r>
        <w:rPr>
          <w:highlight w:val="none"/>
        </w:rPr>
        <w:t> </w:t>
      </w:r>
    </w:p>
    <w:p w14:paraId="3EA50F44">
      <w:pPr>
        <w:pStyle w:val="36"/>
        <w:spacing w:beforeAutospacing="0" w:afterAutospacing="0" w:line="0" w:lineRule="atLeast"/>
        <w:jc w:val="both"/>
        <w:rPr>
          <w:highlight w:val="none"/>
        </w:rPr>
      </w:pPr>
      <w:r>
        <w:rPr>
          <w:highlight w:val="none"/>
        </w:rPr>
        <w:t> </w:t>
      </w:r>
    </w:p>
    <w:p w14:paraId="52B300A9">
      <w:pPr>
        <w:pStyle w:val="36"/>
        <w:spacing w:beforeAutospacing="0" w:afterAutospacing="0" w:line="0" w:lineRule="atLeast"/>
        <w:jc w:val="both"/>
        <w:rPr>
          <w:highlight w:val="none"/>
        </w:rPr>
      </w:pPr>
      <w:r>
        <w:rPr>
          <w:highlight w:val="none"/>
        </w:rPr>
        <w:t> </w:t>
      </w:r>
    </w:p>
    <w:p w14:paraId="0C638BBD">
      <w:pPr>
        <w:pStyle w:val="36"/>
        <w:spacing w:beforeAutospacing="0" w:afterAutospacing="0" w:line="0" w:lineRule="atLeast"/>
        <w:jc w:val="both"/>
        <w:rPr>
          <w:highlight w:val="none"/>
        </w:rPr>
      </w:pPr>
      <w:r>
        <w:rPr>
          <w:highlight w:val="none"/>
        </w:rPr>
        <w:t> </w:t>
      </w:r>
    </w:p>
    <w:p w14:paraId="7B3F1376">
      <w:pPr>
        <w:pStyle w:val="36"/>
        <w:spacing w:beforeAutospacing="0" w:afterAutospacing="0" w:line="0" w:lineRule="atLeast"/>
        <w:jc w:val="both"/>
        <w:rPr>
          <w:highlight w:val="none"/>
        </w:rPr>
      </w:pPr>
    </w:p>
    <w:p w14:paraId="793CB7EA">
      <w:pPr>
        <w:pStyle w:val="36"/>
        <w:spacing w:beforeAutospacing="0" w:afterAutospacing="0" w:line="0" w:lineRule="atLeast"/>
        <w:jc w:val="both"/>
        <w:rPr>
          <w:highlight w:val="none"/>
        </w:rPr>
      </w:pPr>
    </w:p>
    <w:p w14:paraId="16B60785">
      <w:pPr>
        <w:pStyle w:val="36"/>
        <w:spacing w:beforeAutospacing="0" w:afterAutospacing="0" w:line="0" w:lineRule="atLeast"/>
        <w:jc w:val="both"/>
        <w:rPr>
          <w:highlight w:val="none"/>
        </w:rPr>
      </w:pPr>
    </w:p>
    <w:p w14:paraId="4B7CAA54">
      <w:pPr>
        <w:pStyle w:val="36"/>
        <w:spacing w:beforeAutospacing="0" w:afterAutospacing="0" w:line="0" w:lineRule="atLeast"/>
        <w:jc w:val="both"/>
        <w:rPr>
          <w:highlight w:val="none"/>
        </w:rPr>
      </w:pPr>
    </w:p>
    <w:p w14:paraId="658F94D6">
      <w:pPr>
        <w:pStyle w:val="36"/>
        <w:spacing w:beforeAutospacing="0" w:afterAutospacing="0" w:line="0" w:lineRule="atLeast"/>
        <w:jc w:val="both"/>
        <w:rPr>
          <w:highlight w:val="none"/>
        </w:rPr>
      </w:pPr>
    </w:p>
    <w:p w14:paraId="2808E859">
      <w:pPr>
        <w:pStyle w:val="36"/>
        <w:spacing w:beforeAutospacing="0" w:afterAutospacing="0" w:line="0" w:lineRule="atLeast"/>
        <w:jc w:val="both"/>
        <w:rPr>
          <w:highlight w:val="none"/>
        </w:rPr>
      </w:pPr>
    </w:p>
    <w:p w14:paraId="3FB26D4C">
      <w:pPr>
        <w:pStyle w:val="36"/>
        <w:spacing w:beforeAutospacing="0" w:afterAutospacing="0" w:line="0" w:lineRule="atLeast"/>
        <w:jc w:val="both"/>
        <w:rPr>
          <w:highlight w:val="none"/>
        </w:rPr>
      </w:pPr>
    </w:p>
    <w:p w14:paraId="1F233775">
      <w:pPr>
        <w:pStyle w:val="36"/>
        <w:spacing w:beforeAutospacing="0" w:afterAutospacing="0" w:line="0" w:lineRule="atLeast"/>
        <w:jc w:val="both"/>
        <w:rPr>
          <w:highlight w:val="none"/>
        </w:rPr>
      </w:pPr>
    </w:p>
    <w:p w14:paraId="647FCF91">
      <w:pPr>
        <w:pStyle w:val="36"/>
        <w:spacing w:beforeAutospacing="0" w:afterAutospacing="0" w:line="0" w:lineRule="atLeast"/>
        <w:jc w:val="both"/>
        <w:rPr>
          <w:highlight w:val="none"/>
        </w:rPr>
      </w:pPr>
    </w:p>
    <w:p w14:paraId="49191EB7">
      <w:pPr>
        <w:pStyle w:val="36"/>
        <w:spacing w:beforeAutospacing="0" w:afterAutospacing="0" w:line="0" w:lineRule="atLeast"/>
        <w:jc w:val="both"/>
        <w:rPr>
          <w:highlight w:val="none"/>
        </w:rPr>
      </w:pPr>
    </w:p>
    <w:p w14:paraId="63835318">
      <w:pPr>
        <w:pStyle w:val="36"/>
        <w:spacing w:beforeAutospacing="0" w:afterAutospacing="0" w:line="0" w:lineRule="atLeast"/>
        <w:jc w:val="both"/>
        <w:rPr>
          <w:highlight w:val="none"/>
        </w:rPr>
      </w:pPr>
    </w:p>
    <w:p w14:paraId="16B63B28">
      <w:pPr>
        <w:pStyle w:val="36"/>
        <w:spacing w:beforeAutospacing="0" w:afterAutospacing="0" w:line="0" w:lineRule="atLeast"/>
        <w:jc w:val="both"/>
        <w:rPr>
          <w:highlight w:val="none"/>
        </w:rPr>
      </w:pPr>
    </w:p>
    <w:p w14:paraId="67BA62C0">
      <w:pPr>
        <w:pStyle w:val="36"/>
        <w:spacing w:beforeAutospacing="0" w:afterAutospacing="0" w:line="0" w:lineRule="atLeast"/>
        <w:jc w:val="both"/>
        <w:rPr>
          <w:highlight w:val="none"/>
        </w:rPr>
      </w:pPr>
    </w:p>
    <w:p w14:paraId="3255725E">
      <w:pPr>
        <w:pStyle w:val="36"/>
        <w:spacing w:beforeAutospacing="0" w:afterAutospacing="0" w:line="0" w:lineRule="atLeast"/>
        <w:jc w:val="both"/>
        <w:rPr>
          <w:highlight w:val="none"/>
        </w:rPr>
      </w:pPr>
    </w:p>
    <w:p w14:paraId="77C9BB99">
      <w:pPr>
        <w:pStyle w:val="36"/>
        <w:spacing w:beforeAutospacing="0" w:afterAutospacing="0" w:line="0" w:lineRule="atLeast"/>
        <w:jc w:val="both"/>
        <w:rPr>
          <w:highlight w:val="none"/>
        </w:rPr>
      </w:pPr>
    </w:p>
    <w:p w14:paraId="583EE80E">
      <w:pPr>
        <w:pStyle w:val="36"/>
        <w:spacing w:beforeAutospacing="0" w:afterAutospacing="0" w:line="0" w:lineRule="atLeast"/>
        <w:jc w:val="both"/>
        <w:rPr>
          <w:highlight w:val="none"/>
        </w:rPr>
      </w:pPr>
    </w:p>
    <w:p w14:paraId="6E1E0EEC">
      <w:pPr>
        <w:pStyle w:val="36"/>
        <w:spacing w:beforeAutospacing="0" w:afterAutospacing="0" w:line="0" w:lineRule="atLeast"/>
        <w:jc w:val="both"/>
        <w:rPr>
          <w:highlight w:val="none"/>
        </w:rPr>
      </w:pPr>
      <w:r>
        <w:rPr>
          <w:highlight w:val="none"/>
        </w:rPr>
        <w:t> </w:t>
      </w:r>
    </w:p>
    <w:p w14:paraId="0B05129F">
      <w:pPr>
        <w:pStyle w:val="36"/>
        <w:spacing w:beforeAutospacing="0" w:afterAutospacing="0" w:line="0" w:lineRule="atLeast"/>
        <w:jc w:val="both"/>
        <w:rPr>
          <w:highlight w:val="none"/>
        </w:rPr>
      </w:pPr>
      <w:r>
        <w:rPr>
          <w:highlight w:val="none"/>
        </w:rPr>
        <w:t> </w:t>
      </w:r>
    </w:p>
    <w:p w14:paraId="704A58CC">
      <w:pPr>
        <w:pStyle w:val="36"/>
        <w:spacing w:beforeAutospacing="0" w:afterAutospacing="0"/>
        <w:jc w:val="both"/>
        <w:rPr>
          <w:highlight w:val="none"/>
        </w:rPr>
      </w:pPr>
      <w:r>
        <w:rPr>
          <w:highlight w:val="none"/>
        </w:rPr>
        <w:t> </w:t>
      </w:r>
    </w:p>
    <w:p w14:paraId="5975E588">
      <w:pPr>
        <w:rPr>
          <w:highlight w:val="none"/>
        </w:rPr>
      </w:pPr>
      <w:r>
        <w:rPr>
          <w:rFonts w:hint="eastAsia" w:ascii="黑体" w:hAnsi="宋体" w:eastAsia="黑体" w:cs="黑体"/>
          <w:b/>
          <w:color w:val="000000"/>
          <w:sz w:val="32"/>
          <w:szCs w:val="32"/>
          <w:highlight w:val="none"/>
        </w:rPr>
        <w:br w:type="page" w:clear="all"/>
      </w:r>
    </w:p>
    <w:p w14:paraId="400BC634">
      <w:pPr>
        <w:pStyle w:val="36"/>
        <w:keepNext/>
        <w:keepLines/>
        <w:spacing w:before="260" w:beforeAutospacing="0" w:after="260" w:afterAutospacing="0" w:line="240" w:lineRule="auto"/>
        <w:jc w:val="cente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lang w:val="en-US" w:eastAsia="zh-CN"/>
        </w:rPr>
        <w:t>十一、</w:t>
      </w:r>
      <w:r>
        <w:rPr>
          <w:rFonts w:hint="eastAsia" w:ascii="黑体" w:hAnsi="宋体" w:eastAsia="黑体" w:cs="黑体"/>
          <w:b/>
          <w:i/>
          <w:color w:val="000000"/>
          <w:sz w:val="32"/>
          <w:szCs w:val="32"/>
          <w:highlight w:val="none"/>
          <w:u w:val="single"/>
        </w:rPr>
        <w:t>已标价的工程量清单报价表</w:t>
      </w:r>
    </w:p>
    <w:p w14:paraId="6FBAFDDB">
      <w:pPr>
        <w:pStyle w:val="36"/>
        <w:tabs>
          <w:tab w:val="left" w:pos="4864"/>
        </w:tabs>
        <w:spacing w:beforeAutospacing="0" w:afterAutospacing="0" w:line="0" w:lineRule="atLeast"/>
        <w:ind w:right="200" w:rightChars="0" w:firstLine="624"/>
        <w:jc w:val="center"/>
        <w:rPr>
          <w:highlight w:val="none"/>
        </w:rPr>
      </w:pPr>
    </w:p>
    <w:p w14:paraId="5683CB3E">
      <w:pPr>
        <w:pStyle w:val="209"/>
        <w:numPr>
          <w:ilvl w:val="0"/>
          <w:numId w:val="0"/>
        </w:numPr>
        <w:ind w:leftChars="0"/>
        <w:jc w:val="center"/>
        <w:rPr>
          <w:rFonts w:hint="eastAsia" w:ascii="Times New Roman" w:hAnsi="Times New Roman" w:eastAsia="宋体" w:cs="Times New Roman"/>
          <w:b w:val="0"/>
          <w:bCs/>
          <w:sz w:val="24"/>
          <w:szCs w:val="24"/>
          <w:lang w:val="en-US" w:eastAsia="zh-CN"/>
        </w:rPr>
      </w:pPr>
    </w:p>
    <w:p w14:paraId="70219A8F">
      <w:pPr>
        <w:pStyle w:val="209"/>
        <w:numPr>
          <w:ilvl w:val="0"/>
          <w:numId w:val="0"/>
        </w:numPr>
        <w:ind w:leftChars="0"/>
        <w:jc w:val="center"/>
        <w:rPr>
          <w:rFonts w:hint="eastAsia"/>
          <w:b w:val="0"/>
          <w:bCs/>
          <w:sz w:val="28"/>
          <w:szCs w:val="28"/>
          <w:lang w:val="en-US" w:eastAsia="zh-CN"/>
        </w:rPr>
      </w:pPr>
      <w:r>
        <w:rPr>
          <w:rFonts w:hint="eastAsia" w:ascii="Times New Roman" w:hAnsi="Times New Roman" w:eastAsia="宋体" w:cs="Times New Roman"/>
          <w:b w:val="0"/>
          <w:bCs/>
          <w:sz w:val="24"/>
          <w:szCs w:val="24"/>
        </w:rPr>
        <w:t>注：</w:t>
      </w:r>
      <w:r>
        <w:rPr>
          <w:rFonts w:hint="eastAsia"/>
          <w:b w:val="0"/>
          <w:bCs/>
          <w:sz w:val="24"/>
          <w:szCs w:val="24"/>
        </w:rPr>
        <w:t>根据</w:t>
      </w:r>
      <w:r>
        <w:rPr>
          <w:rFonts w:hint="eastAsia"/>
          <w:b w:val="0"/>
          <w:bCs/>
          <w:sz w:val="24"/>
          <w:szCs w:val="24"/>
          <w:lang w:val="en-US" w:eastAsia="zh-CN"/>
        </w:rPr>
        <w:t>招标</w:t>
      </w:r>
      <w:r>
        <w:rPr>
          <w:rFonts w:hint="eastAsia"/>
          <w:b w:val="0"/>
          <w:bCs/>
          <w:sz w:val="24"/>
          <w:szCs w:val="24"/>
        </w:rPr>
        <w:t>人提供的清单填写报价及汇总价格。</w:t>
      </w:r>
    </w:p>
    <w:p w14:paraId="176DBDB4">
      <w:pPr>
        <w:pStyle w:val="36"/>
        <w:tabs>
          <w:tab w:val="left" w:pos="4864"/>
        </w:tabs>
        <w:spacing w:beforeAutospacing="0" w:afterAutospacing="0" w:line="0" w:lineRule="atLeast"/>
        <w:ind w:right="200" w:rightChars="0" w:firstLine="624"/>
        <w:jc w:val="center"/>
        <w:rPr>
          <w:highlight w:val="none"/>
        </w:rPr>
      </w:pPr>
    </w:p>
    <w:p w14:paraId="6ADEEAB5">
      <w:pPr>
        <w:pStyle w:val="36"/>
        <w:tabs>
          <w:tab w:val="left" w:pos="4864"/>
        </w:tabs>
        <w:spacing w:beforeAutospacing="0" w:afterAutospacing="0" w:line="0" w:lineRule="atLeast"/>
        <w:ind w:right="200" w:rightChars="0" w:firstLine="624"/>
        <w:jc w:val="center"/>
        <w:rPr>
          <w:rFonts w:hint="eastAsia" w:eastAsia="宋体"/>
          <w:highlight w:val="none"/>
          <w:lang w:val="en-US" w:eastAsia="zh-CN"/>
        </w:rPr>
      </w:pPr>
      <w:r>
        <w:rPr>
          <w:rFonts w:hint="eastAsia" w:eastAsia="宋体"/>
          <w:highlight w:val="none"/>
          <w:lang w:val="en-US" w:eastAsia="zh-CN"/>
        </w:rPr>
        <w:t xml:space="preserve">          </w:t>
      </w:r>
    </w:p>
    <w:p w14:paraId="0A3BC4B2">
      <w:pPr>
        <w:pStyle w:val="36"/>
        <w:tabs>
          <w:tab w:val="left" w:pos="4864"/>
        </w:tabs>
        <w:spacing w:beforeAutospacing="0" w:afterAutospacing="0" w:line="0" w:lineRule="atLeast"/>
        <w:ind w:right="200" w:rightChars="0" w:firstLine="624"/>
        <w:jc w:val="center"/>
        <w:rPr>
          <w:rFonts w:hint="eastAsia" w:eastAsia="宋体"/>
          <w:highlight w:val="none"/>
          <w:lang w:val="en-US" w:eastAsia="zh-CN"/>
        </w:rPr>
      </w:pPr>
    </w:p>
    <w:p w14:paraId="500C7478">
      <w:pPr>
        <w:pStyle w:val="36"/>
        <w:tabs>
          <w:tab w:val="left" w:pos="4864"/>
        </w:tabs>
        <w:spacing w:beforeAutospacing="0" w:afterAutospacing="0" w:line="0" w:lineRule="atLeast"/>
        <w:ind w:right="200" w:rightChars="0" w:firstLine="624"/>
        <w:jc w:val="center"/>
        <w:rPr>
          <w:rFonts w:hint="eastAsia" w:eastAsia="宋体"/>
          <w:highlight w:val="none"/>
          <w:lang w:val="en-US" w:eastAsia="zh-CN"/>
        </w:rPr>
      </w:pPr>
    </w:p>
    <w:p w14:paraId="536EB263">
      <w:pPr>
        <w:pStyle w:val="36"/>
        <w:tabs>
          <w:tab w:val="left" w:pos="4864"/>
        </w:tabs>
        <w:spacing w:beforeAutospacing="0" w:afterAutospacing="0" w:line="0" w:lineRule="atLeast"/>
        <w:ind w:right="200" w:rightChars="0" w:firstLine="624"/>
        <w:jc w:val="center"/>
        <w:rPr>
          <w:rFonts w:hint="eastAsia" w:eastAsia="宋体"/>
          <w:highlight w:val="none"/>
          <w:lang w:val="en-US" w:eastAsia="zh-CN"/>
        </w:rPr>
      </w:pPr>
    </w:p>
    <w:p w14:paraId="0D377E3F">
      <w:pPr>
        <w:pStyle w:val="36"/>
        <w:tabs>
          <w:tab w:val="left" w:pos="4864"/>
        </w:tabs>
        <w:spacing w:beforeAutospacing="0" w:afterAutospacing="0" w:line="0" w:lineRule="atLeast"/>
        <w:ind w:right="200" w:rightChars="0" w:firstLine="624"/>
        <w:jc w:val="center"/>
        <w:rPr>
          <w:highlight w:val="none"/>
        </w:rPr>
      </w:pPr>
      <w:r>
        <w:rPr>
          <w:rFonts w:hint="eastAsia" w:eastAsia="宋体"/>
          <w:highlight w:val="none"/>
          <w:lang w:val="en-US" w:eastAsia="zh-CN"/>
        </w:rPr>
        <w:t xml:space="preserve">         </w:t>
      </w:r>
      <w:r>
        <w:rPr>
          <w:highlight w:val="none"/>
        </w:rPr>
        <w:t> </w:t>
      </w:r>
    </w:p>
    <w:p w14:paraId="12BE9202">
      <w:pPr>
        <w:pStyle w:val="36"/>
        <w:tabs>
          <w:tab w:val="left" w:pos="4864"/>
        </w:tabs>
        <w:spacing w:beforeAutospacing="0" w:afterAutospacing="0" w:line="0" w:lineRule="atLeast"/>
        <w:ind w:right="200" w:rightChars="0" w:firstLine="624"/>
        <w:jc w:val="center"/>
        <w:rPr>
          <w:highlight w:val="none"/>
        </w:rPr>
      </w:pPr>
    </w:p>
    <w:p w14:paraId="4DC37C7C">
      <w:pPr>
        <w:pStyle w:val="36"/>
        <w:tabs>
          <w:tab w:val="left" w:pos="4864"/>
        </w:tabs>
        <w:spacing w:beforeAutospacing="0" w:afterAutospacing="0" w:line="0" w:lineRule="atLeast"/>
        <w:ind w:right="200" w:rightChars="0" w:firstLine="624"/>
        <w:jc w:val="center"/>
        <w:rPr>
          <w:highlight w:val="none"/>
        </w:rPr>
      </w:pPr>
      <w:r>
        <w:rPr>
          <w:rFonts w:hint="eastAsia" w:eastAsia="宋体"/>
          <w:highlight w:val="none"/>
          <w:lang w:val="en-US" w:eastAsia="zh-CN"/>
        </w:rPr>
        <w:t xml:space="preserve">                     投标人</w:t>
      </w:r>
      <w:r>
        <w:rPr>
          <w:rFonts w:hint="eastAsia" w:ascii="宋体" w:hAnsi="宋体" w:eastAsia="宋体" w:cs="宋体"/>
          <w:color w:val="000000"/>
          <w:highlight w:val="none"/>
        </w:rPr>
        <w:t>全称（加盖CA电子公章）：</w:t>
      </w:r>
    </w:p>
    <w:p w14:paraId="351625D5">
      <w:pPr>
        <w:pStyle w:val="36"/>
        <w:spacing w:beforeAutospacing="0" w:afterAutospacing="0"/>
        <w:jc w:val="center"/>
        <w:rPr>
          <w:rFonts w:hint="default" w:eastAsia="宋体"/>
          <w:highlight w:val="none"/>
          <w:lang w:val="en-US" w:eastAsia="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r>
        <w:rPr>
          <w:rFonts w:hint="eastAsia" w:ascii="宋体" w:hAnsi="宋体" w:eastAsia="宋体" w:cs="宋体"/>
          <w:color w:val="000000"/>
          <w:highlight w:val="none"/>
          <w:lang w:val="en-US" w:eastAsia="zh-CN"/>
        </w:rPr>
        <w:t xml:space="preserve">    年    月    日</w:t>
      </w:r>
    </w:p>
    <w:p w14:paraId="4DC7E6D7">
      <w:pPr>
        <w:pStyle w:val="36"/>
        <w:spacing w:beforeAutospacing="0" w:afterAutospacing="0"/>
        <w:ind w:firstLine="643" w:firstLineChars="200"/>
        <w:jc w:val="both"/>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p>
    <w:p w14:paraId="6F531A38">
      <w:pPr>
        <w:pStyle w:val="36"/>
        <w:keepNext/>
        <w:keepLines/>
        <w:spacing w:before="260" w:beforeAutospacing="0" w:after="260" w:afterAutospacing="0" w:line="240" w:lineRule="auto"/>
        <w:jc w:val="center"/>
        <w:rPr>
          <w:rFonts w:hint="eastAsia" w:ascii="黑体" w:hAnsi="宋体" w:eastAsia="黑体" w:cs="黑体"/>
          <w:b/>
          <w:i/>
          <w:color w:val="000000"/>
          <w:sz w:val="32"/>
          <w:szCs w:val="32"/>
          <w:highlight w:val="none"/>
          <w:u w:val="single"/>
          <w:lang w:val="en-US" w:eastAsia="zh-CN"/>
        </w:rPr>
      </w:pPr>
      <w:r>
        <w:rPr>
          <w:rFonts w:hint="eastAsia" w:ascii="黑体" w:hAnsi="宋体" w:eastAsia="黑体" w:cs="黑体"/>
          <w:b/>
          <w:i/>
          <w:color w:val="000000"/>
          <w:sz w:val="32"/>
          <w:szCs w:val="32"/>
          <w:highlight w:val="none"/>
          <w:u w:val="single"/>
          <w:lang w:val="en-US" w:eastAsia="zh-CN"/>
        </w:rPr>
        <w:t>十二、技术要求响应及偏离表</w:t>
      </w:r>
    </w:p>
    <w:p w14:paraId="75370161">
      <w:pPr>
        <w:pStyle w:val="36"/>
        <w:spacing w:beforeAutospacing="0" w:afterAutospacing="0"/>
        <w:jc w:val="left"/>
        <w:rPr>
          <w:rFonts w:hint="eastAsia" w:ascii="黑体" w:hAnsi="宋体" w:eastAsia="黑体" w:cs="黑体"/>
          <w:b/>
          <w:color w:val="000000"/>
          <w:sz w:val="32"/>
          <w:szCs w:val="32"/>
          <w:highlight w:val="none"/>
        </w:rPr>
      </w:pPr>
      <w:r>
        <w:rPr>
          <w:rFonts w:hint="eastAsia" w:ascii="宋体" w:hAnsi="宋体" w:eastAsia="宋体" w:cs="宋体"/>
          <w:color w:val="000000"/>
          <w:highlight w:val="none"/>
        </w:rPr>
        <w:t>供应商全称（加盖CA电子公章）：</w:t>
      </w:r>
    </w:p>
    <w:tbl>
      <w:tblPr>
        <w:tblStyle w:val="3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501CD2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05B3E">
            <w:pPr>
              <w:pStyle w:val="36"/>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043CA">
            <w:pPr>
              <w:pStyle w:val="36"/>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F1EE0">
            <w:pPr>
              <w:pStyle w:val="36"/>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94299">
            <w:pPr>
              <w:pStyle w:val="36"/>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5354D">
            <w:pPr>
              <w:pStyle w:val="36"/>
              <w:spacing w:beforeAutospacing="0" w:afterAutospacing="0"/>
              <w:jc w:val="center"/>
              <w:rPr>
                <w:highlight w:val="none"/>
              </w:rPr>
            </w:pPr>
            <w:r>
              <w:rPr>
                <w:rFonts w:hint="eastAsia" w:ascii="宋体" w:hAnsi="宋体" w:eastAsia="宋体" w:cs="宋体"/>
                <w:color w:val="000000"/>
                <w:highlight w:val="none"/>
              </w:rPr>
              <w:t>证明</w:t>
            </w:r>
          </w:p>
          <w:p w14:paraId="4742AB54">
            <w:pPr>
              <w:pStyle w:val="36"/>
              <w:spacing w:beforeAutospacing="0" w:afterAutospacing="0"/>
              <w:jc w:val="center"/>
              <w:rPr>
                <w:highlight w:val="none"/>
              </w:rPr>
            </w:pPr>
            <w:r>
              <w:rPr>
                <w:rFonts w:hint="eastAsia" w:ascii="宋体" w:hAnsi="宋体" w:eastAsia="宋体" w:cs="宋体"/>
                <w:color w:val="000000"/>
                <w:highlight w:val="none"/>
              </w:rPr>
              <w:t>材料</w:t>
            </w:r>
          </w:p>
        </w:tc>
      </w:tr>
      <w:tr w14:paraId="7EEC259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DD3E8">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8C2F3">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D66A4">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19713">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DAC8D">
            <w:pPr>
              <w:pStyle w:val="36"/>
              <w:spacing w:beforeAutospacing="0" w:afterAutospacing="0"/>
              <w:jc w:val="center"/>
              <w:rPr>
                <w:highlight w:val="none"/>
              </w:rPr>
            </w:pPr>
            <w:r>
              <w:rPr>
                <w:highlight w:val="none"/>
              </w:rPr>
              <w:t> </w:t>
            </w:r>
          </w:p>
        </w:tc>
      </w:tr>
      <w:tr w14:paraId="654DCED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1BE0E">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D44BB">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6A915">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6AE6F">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CF0EB">
            <w:pPr>
              <w:pStyle w:val="36"/>
              <w:spacing w:beforeAutospacing="0" w:afterAutospacing="0"/>
              <w:jc w:val="center"/>
              <w:rPr>
                <w:highlight w:val="none"/>
              </w:rPr>
            </w:pPr>
            <w:r>
              <w:rPr>
                <w:highlight w:val="none"/>
              </w:rPr>
              <w:t> </w:t>
            </w:r>
          </w:p>
        </w:tc>
      </w:tr>
      <w:tr w14:paraId="76A074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22F184">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DAA40">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FDAB5">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99FB6">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1F2A4">
            <w:pPr>
              <w:pStyle w:val="36"/>
              <w:spacing w:beforeAutospacing="0" w:afterAutospacing="0"/>
              <w:jc w:val="center"/>
              <w:rPr>
                <w:highlight w:val="none"/>
              </w:rPr>
            </w:pPr>
            <w:r>
              <w:rPr>
                <w:highlight w:val="none"/>
              </w:rPr>
              <w:t> </w:t>
            </w:r>
          </w:p>
        </w:tc>
      </w:tr>
      <w:tr w14:paraId="4D4D56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BFCA8">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3437B">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A147D">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B6B84">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CEE08">
            <w:pPr>
              <w:pStyle w:val="36"/>
              <w:spacing w:beforeAutospacing="0" w:afterAutospacing="0"/>
              <w:jc w:val="center"/>
              <w:rPr>
                <w:highlight w:val="none"/>
              </w:rPr>
            </w:pPr>
            <w:r>
              <w:rPr>
                <w:highlight w:val="none"/>
              </w:rPr>
              <w:t> </w:t>
            </w:r>
          </w:p>
        </w:tc>
      </w:tr>
      <w:tr w14:paraId="20B8DE1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CEA17">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22297">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62429">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CD7AB">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26672E">
            <w:pPr>
              <w:pStyle w:val="36"/>
              <w:spacing w:beforeAutospacing="0" w:afterAutospacing="0"/>
              <w:jc w:val="center"/>
              <w:rPr>
                <w:highlight w:val="none"/>
              </w:rPr>
            </w:pPr>
            <w:r>
              <w:rPr>
                <w:highlight w:val="none"/>
              </w:rPr>
              <w:t> </w:t>
            </w:r>
          </w:p>
        </w:tc>
      </w:tr>
      <w:tr w14:paraId="51C931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5C6EC">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32B16">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66F8F">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9170F">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6A340">
            <w:pPr>
              <w:pStyle w:val="36"/>
              <w:spacing w:beforeAutospacing="0" w:afterAutospacing="0"/>
              <w:jc w:val="center"/>
              <w:rPr>
                <w:highlight w:val="none"/>
              </w:rPr>
            </w:pPr>
            <w:r>
              <w:rPr>
                <w:highlight w:val="none"/>
              </w:rPr>
              <w:t> </w:t>
            </w:r>
          </w:p>
        </w:tc>
      </w:tr>
      <w:tr w14:paraId="3FD7C24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D0657">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90D36">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C5674">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4D08D">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CA337">
            <w:pPr>
              <w:pStyle w:val="36"/>
              <w:spacing w:beforeAutospacing="0" w:afterAutospacing="0"/>
              <w:jc w:val="center"/>
              <w:rPr>
                <w:highlight w:val="none"/>
              </w:rPr>
            </w:pPr>
            <w:r>
              <w:rPr>
                <w:highlight w:val="none"/>
              </w:rPr>
              <w:t> </w:t>
            </w:r>
          </w:p>
        </w:tc>
      </w:tr>
      <w:tr w14:paraId="2999CD9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EBFE4">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E946F">
            <w:pPr>
              <w:pStyle w:val="36"/>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E8401">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C441A">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19F76">
            <w:pPr>
              <w:pStyle w:val="36"/>
              <w:spacing w:beforeAutospacing="0" w:afterAutospacing="0"/>
              <w:jc w:val="center"/>
              <w:rPr>
                <w:highlight w:val="none"/>
              </w:rPr>
            </w:pPr>
            <w:r>
              <w:rPr>
                <w:highlight w:val="none"/>
              </w:rPr>
              <w:t> </w:t>
            </w:r>
          </w:p>
        </w:tc>
      </w:tr>
    </w:tbl>
    <w:p w14:paraId="008F07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color w:val="000000"/>
          <w:sz w:val="24"/>
          <w:szCs w:val="24"/>
          <w:highlight w:val="none"/>
          <w:lang w:val="en-US" w:eastAsia="zh-CN" w:bidi="ar-SA"/>
        </w:rPr>
        <w:t>注：1、按照第四章 采购需求中的“二、工程技术要求”“五、其他要求”“八、主要设备材料招标人推荐品牌一览表”中的技术内容逐条响应。</w:t>
      </w:r>
    </w:p>
    <w:p w14:paraId="26CFA033">
      <w:pPr>
        <w:pStyle w:val="36"/>
        <w:spacing w:beforeAutospacing="0" w:afterAutospacing="0"/>
        <w:ind w:firstLine="480" w:firstLineChars="200"/>
        <w:jc w:val="both"/>
        <w:rPr>
          <w:highlight w:val="none"/>
        </w:rPr>
      </w:pP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行数不够，可自行添加。</w:t>
      </w:r>
    </w:p>
    <w:p w14:paraId="53AB09BE">
      <w:pPr>
        <w:pStyle w:val="36"/>
        <w:spacing w:beforeAutospacing="0" w:afterAutospacing="0"/>
        <w:jc w:val="both"/>
        <w:rPr>
          <w:highlight w:val="none"/>
        </w:rPr>
      </w:pPr>
      <w:r>
        <w:rPr>
          <w:highlight w:val="none"/>
        </w:rPr>
        <w:t> </w:t>
      </w:r>
    </w:p>
    <w:p w14:paraId="11DFEA37">
      <w:pPr>
        <w:rPr>
          <w:rFonts w:hint="eastAsia" w:ascii="黑体" w:hAnsi="宋体" w:eastAsia="黑体" w:cs="黑体"/>
          <w:b/>
          <w:color w:val="000000"/>
          <w:sz w:val="32"/>
          <w:szCs w:val="32"/>
          <w:highlight w:val="none"/>
        </w:rPr>
      </w:pPr>
      <w:bookmarkStart w:id="610" w:name="_Hlt26955054"/>
      <w:r>
        <w:rPr>
          <w:rFonts w:hint="eastAsia" w:ascii="黑体" w:hAnsi="宋体" w:eastAsia="黑体" w:cs="黑体"/>
          <w:b/>
          <w:color w:val="000000"/>
          <w:sz w:val="32"/>
          <w:szCs w:val="32"/>
          <w:highlight w:val="none"/>
        </w:rPr>
        <w:br w:type="page" w:clear="all"/>
      </w:r>
    </w:p>
    <w:p w14:paraId="0C7A81BD">
      <w:pPr>
        <w:pStyle w:val="36"/>
        <w:numPr>
          <w:ilvl w:val="0"/>
          <w:numId w:val="0"/>
        </w:numPr>
        <w:spacing w:beforeAutospacing="0" w:afterAutospacing="0" w:line="360" w:lineRule="auto"/>
        <w:ind w:left="0" w:leftChars="0" w:firstLine="0" w:firstLineChars="0"/>
        <w:jc w:val="center"/>
        <w:rPr>
          <w:rFonts w:hint="eastAsia" w:ascii="黑体" w:hAnsi="宋体" w:eastAsia="黑体" w:cs="黑体"/>
          <w:b/>
          <w:color w:val="000000"/>
          <w:sz w:val="32"/>
          <w:szCs w:val="32"/>
          <w:lang w:val="en-US" w:eastAsia="zh-CN" w:bidi="ar-SA"/>
        </w:rPr>
        <w:sectPr>
          <w:footerReference r:id="rId9" w:type="default"/>
          <w:pgSz w:w="11906" w:h="16838"/>
          <w:pgMar w:top="1460" w:right="1486" w:bottom="1518" w:left="1800" w:header="851" w:footer="992" w:gutter="0"/>
          <w:pgNumType w:start="49"/>
          <w:cols w:space="425" w:num="1"/>
          <w:docGrid w:linePitch="360" w:charSpace="0"/>
        </w:sectPr>
      </w:pPr>
    </w:p>
    <w:p w14:paraId="2515F8E3">
      <w:pPr>
        <w:jc w:val="both"/>
        <w:rPr>
          <w:rFonts w:hint="eastAsia" w:eastAsia="宋体"/>
          <w:b w:val="0"/>
          <w:bCs/>
          <w:sz w:val="24"/>
          <w:szCs w:val="24"/>
          <w:u w:val="none"/>
          <w:lang w:val="en-US" w:eastAsia="zh-CN"/>
        </w:rPr>
      </w:pPr>
      <w:r>
        <w:rPr>
          <w:rFonts w:hint="eastAsia"/>
          <w:b w:val="0"/>
          <w:bCs/>
          <w:sz w:val="24"/>
          <w:szCs w:val="24"/>
          <w:u w:val="none"/>
          <w:lang w:val="en-US" w:eastAsia="zh-CN"/>
        </w:rPr>
        <w:t>附件：</w:t>
      </w:r>
    </w:p>
    <w:p w14:paraId="4C43826B">
      <w:pPr>
        <w:jc w:val="center"/>
        <w:rPr>
          <w:rFonts w:hint="eastAsia"/>
          <w:b/>
          <w:sz w:val="32"/>
          <w:szCs w:val="32"/>
          <w:u w:val="none"/>
        </w:rPr>
      </w:pPr>
      <w:r>
        <w:rPr>
          <w:rFonts w:hint="eastAsia"/>
          <w:b/>
          <w:sz w:val="32"/>
          <w:szCs w:val="32"/>
          <w:u w:val="none"/>
        </w:rPr>
        <w:t>主要设备材料招标人推荐品牌一览表</w:t>
      </w:r>
    </w:p>
    <w:p w14:paraId="13520D08">
      <w:pPr>
        <w:jc w:val="center"/>
        <w:rPr>
          <w:rFonts w:hint="eastAsia"/>
          <w:b/>
          <w:sz w:val="32"/>
          <w:szCs w:val="32"/>
          <w:u w:val="none"/>
        </w:rPr>
      </w:pPr>
    </w:p>
    <w:tbl>
      <w:tblPr>
        <w:tblStyle w:val="39"/>
        <w:tblW w:w="9961" w:type="dxa"/>
        <w:tblInd w:w="-5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656"/>
        <w:gridCol w:w="2376"/>
        <w:gridCol w:w="3451"/>
        <w:gridCol w:w="1769"/>
      </w:tblGrid>
      <w:tr w14:paraId="5E2D4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709" w:type="dxa"/>
            <w:tcBorders>
              <w:top w:val="single" w:color="000000" w:sz="4" w:space="0"/>
              <w:left w:val="single" w:color="000000" w:sz="4" w:space="0"/>
              <w:bottom w:val="single" w:color="auto" w:sz="4" w:space="0"/>
              <w:right w:val="single" w:color="auto" w:sz="4" w:space="0"/>
            </w:tcBorders>
            <w:vAlign w:val="center"/>
          </w:tcPr>
          <w:p w14:paraId="75B10846">
            <w:pPr>
              <w:jc w:val="center"/>
              <w:rPr>
                <w:rFonts w:hint="eastAsia" w:cs="宋体"/>
                <w:b/>
                <w:bCs/>
                <w:u w:val="none"/>
              </w:rPr>
            </w:pPr>
            <w:r>
              <w:rPr>
                <w:rFonts w:hint="eastAsia" w:cs="宋体"/>
                <w:b/>
                <w:bCs/>
                <w:u w:val="none"/>
              </w:rPr>
              <w:t>序号</w:t>
            </w:r>
          </w:p>
        </w:tc>
        <w:tc>
          <w:tcPr>
            <w:tcW w:w="1656" w:type="dxa"/>
            <w:tcBorders>
              <w:top w:val="single" w:color="000000" w:sz="4" w:space="0"/>
              <w:left w:val="single" w:color="auto" w:sz="4" w:space="0"/>
              <w:bottom w:val="single" w:color="auto" w:sz="4" w:space="0"/>
              <w:right w:val="single" w:color="000000" w:sz="4" w:space="0"/>
            </w:tcBorders>
            <w:vAlign w:val="center"/>
          </w:tcPr>
          <w:p w14:paraId="65337BEA">
            <w:pPr>
              <w:jc w:val="center"/>
              <w:rPr>
                <w:rFonts w:hint="eastAsia" w:cs="宋体"/>
                <w:b/>
                <w:bCs/>
                <w:u w:val="none"/>
              </w:rPr>
            </w:pPr>
            <w:r>
              <w:rPr>
                <w:rFonts w:hint="eastAsia" w:cs="宋体"/>
                <w:b/>
                <w:bCs/>
                <w:u w:val="none"/>
              </w:rPr>
              <w:t>材料设备名称</w:t>
            </w:r>
          </w:p>
        </w:tc>
        <w:tc>
          <w:tcPr>
            <w:tcW w:w="2376" w:type="dxa"/>
            <w:tcBorders>
              <w:top w:val="single" w:color="000000" w:sz="4" w:space="0"/>
              <w:left w:val="single" w:color="000000" w:sz="4" w:space="0"/>
              <w:bottom w:val="single" w:color="auto" w:sz="4" w:space="0"/>
              <w:right w:val="single" w:color="000000" w:sz="4" w:space="0"/>
            </w:tcBorders>
            <w:vAlign w:val="center"/>
          </w:tcPr>
          <w:p w14:paraId="0C073B9C">
            <w:pPr>
              <w:jc w:val="center"/>
              <w:rPr>
                <w:rFonts w:hint="eastAsia" w:cs="宋体"/>
                <w:b/>
                <w:bCs/>
                <w:u w:val="none"/>
              </w:rPr>
            </w:pPr>
            <w:r>
              <w:rPr>
                <w:rFonts w:hint="eastAsia" w:cs="宋体"/>
                <w:b/>
                <w:bCs/>
                <w:u w:val="none"/>
              </w:rPr>
              <w:t>材料主要性能要求</w:t>
            </w:r>
          </w:p>
        </w:tc>
        <w:tc>
          <w:tcPr>
            <w:tcW w:w="3451" w:type="dxa"/>
            <w:tcBorders>
              <w:top w:val="single" w:color="000000" w:sz="4" w:space="0"/>
              <w:left w:val="single" w:color="000000" w:sz="4" w:space="0"/>
              <w:bottom w:val="single" w:color="auto" w:sz="4" w:space="0"/>
              <w:right w:val="single" w:color="000000" w:sz="4" w:space="0"/>
            </w:tcBorders>
            <w:vAlign w:val="center"/>
          </w:tcPr>
          <w:p w14:paraId="6AD8D488">
            <w:pPr>
              <w:jc w:val="center"/>
              <w:rPr>
                <w:rFonts w:hint="eastAsia" w:cs="宋体"/>
                <w:b/>
                <w:bCs/>
                <w:u w:val="none"/>
              </w:rPr>
            </w:pPr>
            <w:r>
              <w:rPr>
                <w:rFonts w:hint="eastAsia" w:cs="宋体"/>
                <w:b/>
                <w:bCs/>
                <w:u w:val="none"/>
              </w:rPr>
              <w:t>招标人推荐品牌</w:t>
            </w:r>
          </w:p>
        </w:tc>
        <w:tc>
          <w:tcPr>
            <w:tcW w:w="1769" w:type="dxa"/>
            <w:tcBorders>
              <w:top w:val="single" w:color="000000" w:sz="4" w:space="0"/>
              <w:left w:val="single" w:color="000000" w:sz="4" w:space="0"/>
              <w:bottom w:val="single" w:color="auto" w:sz="4" w:space="0"/>
              <w:right w:val="single" w:color="000000" w:sz="4" w:space="0"/>
            </w:tcBorders>
            <w:vAlign w:val="center"/>
          </w:tcPr>
          <w:p w14:paraId="6EC522A8">
            <w:pPr>
              <w:jc w:val="center"/>
              <w:rPr>
                <w:rFonts w:hint="eastAsia" w:cs="宋体"/>
                <w:b/>
                <w:bCs/>
                <w:u w:val="none"/>
              </w:rPr>
            </w:pPr>
            <w:r>
              <w:rPr>
                <w:rFonts w:hint="eastAsia" w:cs="宋体"/>
                <w:b/>
                <w:bCs/>
                <w:u w:val="none"/>
              </w:rPr>
              <w:t>投标人选用品牌</w:t>
            </w:r>
          </w:p>
        </w:tc>
      </w:tr>
      <w:tr w14:paraId="595DD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709" w:type="dxa"/>
            <w:tcBorders>
              <w:top w:val="single" w:color="000000" w:sz="4" w:space="0"/>
              <w:left w:val="single" w:color="000000" w:sz="4" w:space="0"/>
              <w:bottom w:val="single" w:color="000000" w:sz="4" w:space="0"/>
              <w:right w:val="single" w:color="auto" w:sz="4" w:space="0"/>
            </w:tcBorders>
            <w:vAlign w:val="center"/>
          </w:tcPr>
          <w:p w14:paraId="18092B57">
            <w:pPr>
              <w:jc w:val="center"/>
              <w:rPr>
                <w:rFonts w:hint="default" w:eastAsia="宋体" w:cs="宋体"/>
                <w:sz w:val="21"/>
                <w:szCs w:val="21"/>
                <w:u w:val="none"/>
                <w:lang w:val="en-US" w:eastAsia="zh-CN"/>
              </w:rPr>
            </w:pPr>
            <w:r>
              <w:rPr>
                <w:rFonts w:hint="eastAsia" w:cs="宋体"/>
                <w:sz w:val="21"/>
                <w:szCs w:val="21"/>
                <w:u w:val="none"/>
                <w:lang w:val="en-US" w:eastAsia="zh-CN"/>
              </w:rPr>
              <w:t>1</w:t>
            </w:r>
          </w:p>
        </w:tc>
        <w:tc>
          <w:tcPr>
            <w:tcW w:w="1656" w:type="dxa"/>
            <w:tcBorders>
              <w:top w:val="single" w:color="000000" w:sz="4" w:space="0"/>
              <w:left w:val="single" w:color="auto" w:sz="4" w:space="0"/>
              <w:bottom w:val="single" w:color="000000" w:sz="4" w:space="0"/>
              <w:right w:val="single" w:color="000000" w:sz="4" w:space="0"/>
            </w:tcBorders>
            <w:vAlign w:val="center"/>
          </w:tcPr>
          <w:p w14:paraId="2BB513B4">
            <w:pPr>
              <w:widowControl/>
              <w:jc w:val="center"/>
              <w:rPr>
                <w:rFonts w:hint="eastAsia" w:cs="宋体"/>
                <w:kern w:val="0"/>
                <w:sz w:val="21"/>
                <w:szCs w:val="21"/>
                <w:u w:val="none"/>
              </w:rPr>
            </w:pPr>
            <w:r>
              <w:rPr>
                <w:rFonts w:hint="eastAsia" w:cs="宋体"/>
                <w:kern w:val="0"/>
                <w:sz w:val="21"/>
                <w:szCs w:val="21"/>
                <w:u w:val="none"/>
              </w:rPr>
              <w:t>防水材料</w:t>
            </w:r>
          </w:p>
        </w:tc>
        <w:tc>
          <w:tcPr>
            <w:tcW w:w="2376" w:type="dxa"/>
            <w:tcBorders>
              <w:top w:val="single" w:color="000000" w:sz="4" w:space="0"/>
              <w:left w:val="single" w:color="000000" w:sz="4" w:space="0"/>
              <w:bottom w:val="single" w:color="000000" w:sz="4" w:space="0"/>
              <w:right w:val="single" w:color="000000" w:sz="4" w:space="0"/>
            </w:tcBorders>
            <w:vAlign w:val="center"/>
          </w:tcPr>
          <w:p w14:paraId="7A1A7D6F">
            <w:pPr>
              <w:jc w:val="center"/>
              <w:rPr>
                <w:rFonts w:hint="eastAsia" w:cs="宋体"/>
                <w:sz w:val="21"/>
                <w:szCs w:val="21"/>
                <w:u w:val="none"/>
              </w:rPr>
            </w:pPr>
            <w:r>
              <w:rPr>
                <w:rFonts w:hint="eastAsia" w:cs="宋体"/>
                <w:sz w:val="21"/>
                <w:szCs w:val="21"/>
                <w:u w:val="none"/>
              </w:rPr>
              <w:t>合格品及其以上等级</w:t>
            </w:r>
          </w:p>
        </w:tc>
        <w:tc>
          <w:tcPr>
            <w:tcW w:w="3451" w:type="dxa"/>
            <w:tcBorders>
              <w:top w:val="single" w:color="000000" w:sz="4" w:space="0"/>
              <w:left w:val="single" w:color="000000" w:sz="4" w:space="0"/>
              <w:bottom w:val="single" w:color="000000" w:sz="4" w:space="0"/>
              <w:right w:val="single" w:color="000000" w:sz="4" w:space="0"/>
            </w:tcBorders>
            <w:vAlign w:val="center"/>
          </w:tcPr>
          <w:p w14:paraId="26FE5F0F">
            <w:pPr>
              <w:jc w:val="center"/>
              <w:rPr>
                <w:rFonts w:hint="eastAsia" w:cs="宋体"/>
                <w:sz w:val="21"/>
                <w:szCs w:val="21"/>
                <w:u w:val="none"/>
              </w:rPr>
            </w:pPr>
            <w:r>
              <w:rPr>
                <w:rFonts w:hint="eastAsia" w:cs="宋体"/>
                <w:sz w:val="21"/>
                <w:szCs w:val="21"/>
                <w:u w:val="none"/>
              </w:rPr>
              <w:t>北京东方雨虹、德高、卓宝、科顺</w:t>
            </w:r>
          </w:p>
        </w:tc>
        <w:tc>
          <w:tcPr>
            <w:tcW w:w="1769" w:type="dxa"/>
            <w:tcBorders>
              <w:top w:val="single" w:color="000000" w:sz="4" w:space="0"/>
              <w:left w:val="single" w:color="000000" w:sz="4" w:space="0"/>
              <w:bottom w:val="single" w:color="000000" w:sz="4" w:space="0"/>
              <w:right w:val="single" w:color="000000" w:sz="4" w:space="0"/>
            </w:tcBorders>
          </w:tcPr>
          <w:p w14:paraId="42312D81">
            <w:pPr>
              <w:jc w:val="center"/>
              <w:rPr>
                <w:rFonts w:hint="eastAsia" w:cs="宋体"/>
                <w:sz w:val="21"/>
                <w:szCs w:val="21"/>
                <w:u w:val="none"/>
              </w:rPr>
            </w:pPr>
          </w:p>
        </w:tc>
      </w:tr>
      <w:tr w14:paraId="705A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709" w:type="dxa"/>
            <w:tcBorders>
              <w:top w:val="single" w:color="000000" w:sz="4" w:space="0"/>
              <w:left w:val="single" w:color="000000" w:sz="4" w:space="0"/>
              <w:bottom w:val="single" w:color="000000" w:sz="4" w:space="0"/>
              <w:right w:val="single" w:color="auto" w:sz="4" w:space="0"/>
            </w:tcBorders>
            <w:vAlign w:val="center"/>
          </w:tcPr>
          <w:p w14:paraId="1936402B">
            <w:pPr>
              <w:jc w:val="center"/>
              <w:rPr>
                <w:rFonts w:hint="default" w:cs="宋体"/>
                <w:sz w:val="21"/>
                <w:szCs w:val="21"/>
                <w:u w:val="none"/>
                <w:lang w:val="en-US" w:eastAsia="zh-CN"/>
              </w:rPr>
            </w:pPr>
            <w:r>
              <w:rPr>
                <w:rFonts w:hint="eastAsia" w:cs="宋体"/>
                <w:sz w:val="21"/>
                <w:szCs w:val="21"/>
                <w:u w:val="none"/>
                <w:lang w:val="en-US" w:eastAsia="zh-CN"/>
              </w:rPr>
              <w:t>2</w:t>
            </w:r>
          </w:p>
        </w:tc>
        <w:tc>
          <w:tcPr>
            <w:tcW w:w="1656" w:type="dxa"/>
            <w:tcBorders>
              <w:top w:val="single" w:color="000000" w:sz="4" w:space="0"/>
              <w:left w:val="single" w:color="auto" w:sz="4" w:space="0"/>
              <w:bottom w:val="single" w:color="000000" w:sz="4" w:space="0"/>
              <w:right w:val="single" w:color="000000" w:sz="4" w:space="0"/>
            </w:tcBorders>
            <w:vAlign w:val="center"/>
          </w:tcPr>
          <w:p w14:paraId="3FFBB74A">
            <w:pPr>
              <w:widowControl/>
              <w:jc w:val="center"/>
              <w:rPr>
                <w:rFonts w:hint="eastAsia" w:eastAsia="宋体" w:cs="宋体"/>
                <w:kern w:val="0"/>
                <w:sz w:val="21"/>
                <w:szCs w:val="21"/>
                <w:u w:val="none"/>
                <w:lang w:val="en-US" w:eastAsia="zh-CN"/>
              </w:rPr>
            </w:pPr>
            <w:r>
              <w:rPr>
                <w:rFonts w:hint="eastAsia" w:cs="宋体"/>
                <w:kern w:val="0"/>
                <w:sz w:val="21"/>
                <w:szCs w:val="21"/>
                <w:u w:val="none"/>
                <w:lang w:val="en-US" w:eastAsia="zh-CN"/>
              </w:rPr>
              <w:t>真石漆</w:t>
            </w:r>
          </w:p>
        </w:tc>
        <w:tc>
          <w:tcPr>
            <w:tcW w:w="2376" w:type="dxa"/>
            <w:tcBorders>
              <w:top w:val="single" w:color="000000" w:sz="4" w:space="0"/>
              <w:left w:val="single" w:color="000000" w:sz="4" w:space="0"/>
              <w:bottom w:val="single" w:color="000000" w:sz="4" w:space="0"/>
              <w:right w:val="single" w:color="000000" w:sz="4" w:space="0"/>
            </w:tcBorders>
            <w:vAlign w:val="center"/>
          </w:tcPr>
          <w:p w14:paraId="4712EE8C">
            <w:pPr>
              <w:jc w:val="center"/>
              <w:rPr>
                <w:rFonts w:hint="eastAsia" w:cs="宋体"/>
                <w:sz w:val="21"/>
                <w:szCs w:val="21"/>
                <w:u w:val="none"/>
              </w:rPr>
            </w:pPr>
            <w:r>
              <w:rPr>
                <w:rFonts w:hint="eastAsia" w:cs="宋体"/>
                <w:sz w:val="21"/>
                <w:szCs w:val="21"/>
                <w:u w:val="none"/>
              </w:rPr>
              <w:t>合格品及其以上等级</w:t>
            </w:r>
          </w:p>
        </w:tc>
        <w:tc>
          <w:tcPr>
            <w:tcW w:w="3451" w:type="dxa"/>
            <w:tcBorders>
              <w:top w:val="single" w:color="000000" w:sz="4" w:space="0"/>
              <w:left w:val="single" w:color="000000" w:sz="4" w:space="0"/>
              <w:bottom w:val="single" w:color="000000" w:sz="4" w:space="0"/>
              <w:right w:val="single" w:color="000000" w:sz="4" w:space="0"/>
            </w:tcBorders>
            <w:vAlign w:val="center"/>
          </w:tcPr>
          <w:p w14:paraId="0799AD0C">
            <w:pPr>
              <w:jc w:val="center"/>
              <w:rPr>
                <w:rFonts w:hint="eastAsia" w:cs="宋体"/>
                <w:sz w:val="21"/>
                <w:szCs w:val="21"/>
                <w:u w:val="none"/>
              </w:rPr>
            </w:pPr>
            <w:r>
              <w:rPr>
                <w:rFonts w:hint="eastAsia" w:cs="宋体"/>
                <w:sz w:val="21"/>
                <w:szCs w:val="21"/>
                <w:u w:val="none"/>
              </w:rPr>
              <w:t>立邦、</w:t>
            </w:r>
            <w:r>
              <w:rPr>
                <w:rFonts w:hint="eastAsia" w:cs="宋体"/>
                <w:sz w:val="21"/>
                <w:szCs w:val="21"/>
                <w:u w:val="none"/>
                <w:lang w:eastAsia="zh-CN"/>
              </w:rPr>
              <w:t>嘉宝莉</w:t>
            </w:r>
            <w:r>
              <w:rPr>
                <w:rFonts w:hint="eastAsia" w:cs="宋体"/>
                <w:sz w:val="21"/>
                <w:szCs w:val="21"/>
                <w:u w:val="none"/>
              </w:rPr>
              <w:t>、</w:t>
            </w:r>
            <w:r>
              <w:rPr>
                <w:rFonts w:hint="eastAsia" w:cs="宋体"/>
                <w:sz w:val="21"/>
                <w:szCs w:val="21"/>
                <w:u w:val="none"/>
                <w:lang w:eastAsia="zh-CN"/>
              </w:rPr>
              <w:t>久诺</w:t>
            </w:r>
            <w:r>
              <w:rPr>
                <w:rFonts w:hint="eastAsia" w:cs="宋体"/>
                <w:sz w:val="21"/>
                <w:szCs w:val="21"/>
                <w:u w:val="none"/>
              </w:rPr>
              <w:t>、三棵树</w:t>
            </w:r>
          </w:p>
        </w:tc>
        <w:tc>
          <w:tcPr>
            <w:tcW w:w="1769" w:type="dxa"/>
            <w:tcBorders>
              <w:top w:val="single" w:color="000000" w:sz="4" w:space="0"/>
              <w:left w:val="single" w:color="000000" w:sz="4" w:space="0"/>
              <w:bottom w:val="single" w:color="000000" w:sz="4" w:space="0"/>
              <w:right w:val="single" w:color="000000" w:sz="4" w:space="0"/>
            </w:tcBorders>
          </w:tcPr>
          <w:p w14:paraId="0A51B85C">
            <w:pPr>
              <w:jc w:val="center"/>
              <w:rPr>
                <w:rFonts w:hint="eastAsia" w:cs="宋体"/>
                <w:sz w:val="21"/>
                <w:szCs w:val="21"/>
                <w:u w:val="none"/>
              </w:rPr>
            </w:pPr>
          </w:p>
        </w:tc>
      </w:tr>
      <w:tr w14:paraId="080DE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trPr>
        <w:tc>
          <w:tcPr>
            <w:tcW w:w="709" w:type="dxa"/>
            <w:tcBorders>
              <w:top w:val="single" w:color="000000" w:sz="4" w:space="0"/>
              <w:left w:val="single" w:color="000000" w:sz="4" w:space="0"/>
              <w:bottom w:val="single" w:color="000000" w:sz="4" w:space="0"/>
              <w:right w:val="single" w:color="auto" w:sz="4" w:space="0"/>
            </w:tcBorders>
            <w:vAlign w:val="center"/>
          </w:tcPr>
          <w:p w14:paraId="570B2D28">
            <w:pPr>
              <w:jc w:val="center"/>
              <w:rPr>
                <w:rFonts w:hint="default" w:cs="宋体"/>
                <w:sz w:val="21"/>
                <w:szCs w:val="21"/>
                <w:u w:val="none"/>
                <w:lang w:val="en-US" w:eastAsia="zh-CN"/>
              </w:rPr>
            </w:pPr>
            <w:r>
              <w:rPr>
                <w:rFonts w:hint="eastAsia" w:cs="宋体"/>
                <w:sz w:val="21"/>
                <w:szCs w:val="21"/>
                <w:u w:val="none"/>
                <w:lang w:val="en-US" w:eastAsia="zh-CN"/>
              </w:rPr>
              <w:t>3</w:t>
            </w:r>
          </w:p>
        </w:tc>
        <w:tc>
          <w:tcPr>
            <w:tcW w:w="1656" w:type="dxa"/>
            <w:tcBorders>
              <w:top w:val="single" w:color="000000" w:sz="4" w:space="0"/>
              <w:left w:val="single" w:color="auto" w:sz="4" w:space="0"/>
              <w:bottom w:val="single" w:color="000000" w:sz="4" w:space="0"/>
              <w:right w:val="single" w:color="000000" w:sz="4" w:space="0"/>
            </w:tcBorders>
            <w:vAlign w:val="center"/>
          </w:tcPr>
          <w:p w14:paraId="385A66DD">
            <w:pPr>
              <w:widowControl/>
              <w:jc w:val="center"/>
              <w:rPr>
                <w:rFonts w:hint="default" w:cs="宋体"/>
                <w:kern w:val="0"/>
                <w:sz w:val="21"/>
                <w:szCs w:val="21"/>
                <w:u w:val="none"/>
                <w:lang w:val="en-US" w:eastAsia="zh-CN"/>
              </w:rPr>
            </w:pPr>
            <w:r>
              <w:rPr>
                <w:rFonts w:hint="eastAsia" w:cs="宋体"/>
                <w:kern w:val="0"/>
                <w:sz w:val="21"/>
                <w:szCs w:val="21"/>
                <w:u w:val="none"/>
                <w:lang w:val="en-US" w:eastAsia="zh-CN"/>
              </w:rPr>
              <w:t>外墙涂料</w:t>
            </w:r>
          </w:p>
        </w:tc>
        <w:tc>
          <w:tcPr>
            <w:tcW w:w="2376" w:type="dxa"/>
            <w:tcBorders>
              <w:top w:val="single" w:color="000000" w:sz="4" w:space="0"/>
              <w:left w:val="single" w:color="000000" w:sz="4" w:space="0"/>
              <w:bottom w:val="single" w:color="000000" w:sz="4" w:space="0"/>
              <w:right w:val="single" w:color="000000" w:sz="4" w:space="0"/>
            </w:tcBorders>
            <w:vAlign w:val="center"/>
          </w:tcPr>
          <w:p w14:paraId="4173A323">
            <w:pPr>
              <w:jc w:val="center"/>
              <w:rPr>
                <w:rFonts w:hint="eastAsia" w:cs="宋体"/>
                <w:sz w:val="21"/>
                <w:szCs w:val="21"/>
                <w:u w:val="none"/>
              </w:rPr>
            </w:pPr>
            <w:r>
              <w:rPr>
                <w:rFonts w:hint="eastAsia" w:cs="宋体"/>
                <w:sz w:val="21"/>
                <w:szCs w:val="21"/>
                <w:u w:val="none"/>
              </w:rPr>
              <w:t>合格品及其以上等级</w:t>
            </w:r>
          </w:p>
        </w:tc>
        <w:tc>
          <w:tcPr>
            <w:tcW w:w="3451" w:type="dxa"/>
            <w:tcBorders>
              <w:top w:val="single" w:color="000000" w:sz="4" w:space="0"/>
              <w:left w:val="single" w:color="000000" w:sz="4" w:space="0"/>
              <w:bottom w:val="single" w:color="000000" w:sz="4" w:space="0"/>
              <w:right w:val="single" w:color="000000" w:sz="4" w:space="0"/>
            </w:tcBorders>
            <w:vAlign w:val="center"/>
          </w:tcPr>
          <w:p w14:paraId="2E241C49">
            <w:pPr>
              <w:jc w:val="center"/>
              <w:rPr>
                <w:rFonts w:hint="eastAsia" w:cs="宋体"/>
                <w:sz w:val="21"/>
                <w:szCs w:val="21"/>
                <w:u w:val="none"/>
              </w:rPr>
            </w:pPr>
            <w:r>
              <w:rPr>
                <w:rFonts w:hint="eastAsia" w:cs="宋体"/>
                <w:sz w:val="21"/>
                <w:szCs w:val="21"/>
                <w:u w:val="none"/>
              </w:rPr>
              <w:t>立邦、</w:t>
            </w:r>
            <w:r>
              <w:rPr>
                <w:rFonts w:hint="eastAsia" w:cs="宋体"/>
                <w:sz w:val="21"/>
                <w:szCs w:val="21"/>
                <w:u w:val="none"/>
                <w:lang w:eastAsia="zh-CN"/>
              </w:rPr>
              <w:t>嘉宝莉</w:t>
            </w:r>
            <w:r>
              <w:rPr>
                <w:rFonts w:hint="eastAsia" w:cs="宋体"/>
                <w:sz w:val="21"/>
                <w:szCs w:val="21"/>
                <w:u w:val="none"/>
              </w:rPr>
              <w:t>、</w:t>
            </w:r>
            <w:r>
              <w:rPr>
                <w:rFonts w:hint="eastAsia" w:cs="宋体"/>
                <w:sz w:val="21"/>
                <w:szCs w:val="21"/>
                <w:u w:val="none"/>
                <w:lang w:eastAsia="zh-CN"/>
              </w:rPr>
              <w:t>久诺</w:t>
            </w:r>
            <w:r>
              <w:rPr>
                <w:rFonts w:hint="eastAsia" w:cs="宋体"/>
                <w:sz w:val="21"/>
                <w:szCs w:val="21"/>
                <w:u w:val="none"/>
              </w:rPr>
              <w:t>、三棵树</w:t>
            </w:r>
          </w:p>
        </w:tc>
        <w:tc>
          <w:tcPr>
            <w:tcW w:w="1769" w:type="dxa"/>
            <w:tcBorders>
              <w:top w:val="single" w:color="000000" w:sz="4" w:space="0"/>
              <w:left w:val="single" w:color="000000" w:sz="4" w:space="0"/>
              <w:bottom w:val="single" w:color="000000" w:sz="4" w:space="0"/>
              <w:right w:val="single" w:color="000000" w:sz="4" w:space="0"/>
            </w:tcBorders>
          </w:tcPr>
          <w:p w14:paraId="6736A6B5">
            <w:pPr>
              <w:jc w:val="center"/>
              <w:rPr>
                <w:rFonts w:hint="eastAsia" w:cs="宋体"/>
                <w:sz w:val="21"/>
                <w:szCs w:val="21"/>
                <w:u w:val="none"/>
              </w:rPr>
            </w:pPr>
          </w:p>
        </w:tc>
      </w:tr>
    </w:tbl>
    <w:p w14:paraId="3690B4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p>
    <w:p w14:paraId="3B8294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w:t>
      </w:r>
    </w:p>
    <w:p w14:paraId="02C8D3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1、以上材料在进场前须经建设单位和设计单位认可，建设单位有权在颜色、样式、用量、材质、配置等方面做出适当调整，但价格不予调整。</w:t>
      </w:r>
    </w:p>
    <w:p w14:paraId="424FF4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pPr>
      <w:r>
        <w:rPr>
          <w:rFonts w:hint="eastAsia" w:asciiTheme="minorEastAsia" w:hAnsiTheme="minorEastAsia" w:eastAsiaTheme="minorEastAsia" w:cstheme="minorEastAsia"/>
          <w:color w:val="auto"/>
          <w:sz w:val="21"/>
          <w:szCs w:val="21"/>
          <w:highlight w:val="none"/>
          <w:lang w:eastAsia="zh-CN"/>
        </w:rPr>
        <w:t>2、投标人投标时需选择某一具体品牌。如投标人采用推荐品牌以外的其他产品供货的，质量和性能等技术指标必须优于或者相当于推荐品牌。一旦中标，中标人不得以任何理由更换</w:t>
      </w:r>
      <w:r>
        <w:rPr>
          <w:rFonts w:hint="eastAsia" w:asciiTheme="minorEastAsia" w:hAnsiTheme="minorEastAsia" w:eastAsiaTheme="minorEastAsia" w:cstheme="minorEastAsia"/>
          <w:color w:val="auto"/>
          <w:sz w:val="21"/>
          <w:szCs w:val="21"/>
          <w:highlight w:val="none"/>
          <w:lang w:val="en-US" w:eastAsia="zh-CN"/>
        </w:rPr>
        <w:t>选用</w:t>
      </w:r>
      <w:r>
        <w:rPr>
          <w:rFonts w:hint="eastAsia" w:asciiTheme="minorEastAsia" w:hAnsiTheme="minorEastAsia" w:eastAsiaTheme="minorEastAsia" w:cstheme="minorEastAsia"/>
          <w:color w:val="auto"/>
          <w:sz w:val="21"/>
          <w:szCs w:val="21"/>
          <w:highlight w:val="none"/>
          <w:lang w:eastAsia="zh-CN"/>
        </w:rPr>
        <w:t>品牌,并于领取中标通知书后三天内向建设单位提供样品，经建设单位认可后方可签订合同。</w:t>
      </w:r>
      <w:r>
        <w:rPr>
          <w:rFonts w:hint="eastAsia" w:asciiTheme="minorEastAsia" w:hAnsiTheme="minorEastAsia" w:eastAsiaTheme="minorEastAsia" w:cstheme="minorEastAsia"/>
          <w:color w:val="auto"/>
          <w:sz w:val="21"/>
          <w:szCs w:val="21"/>
          <w:highlight w:val="none"/>
          <w:lang w:val="zh-CN" w:eastAsia="zh-CN"/>
        </w:rPr>
        <w:t>如选定品牌的产品因停产或特殊原因导致无法采购，投标人需提供书面依据，并补充同档次品牌且必须报招标人确认后采购，优先选择招标文件推荐品牌，投标人不得由此而提出对合同价格进行调整。</w:t>
      </w:r>
    </w:p>
    <w:p w14:paraId="39AC40CD">
      <w:pPr>
        <w:keepNext w:val="0"/>
        <w:keepLines w:val="0"/>
        <w:pageBreakBefore w:val="0"/>
        <w:widowControl w:val="0"/>
        <w:numPr>
          <w:ilvl w:val="0"/>
          <w:numId w:val="0"/>
        </w:numPr>
        <w:kinsoku/>
        <w:wordWrap/>
        <w:overflowPunct/>
        <w:topLinePunct w:val="0"/>
        <w:autoSpaceDE/>
        <w:autoSpaceDN/>
        <w:bidi w:val="0"/>
        <w:adjustRightInd/>
        <w:snapToGrid w:val="0"/>
        <w:spacing w:before="50" w:after="50" w:line="360" w:lineRule="auto"/>
        <w:jc w:val="both"/>
        <w:textAlignment w:val="auto"/>
        <w:rPr>
          <w:rFonts w:hint="eastAsia" w:ascii="宋体" w:hAnsi="宋体" w:eastAsia="宋体" w:cs="宋体"/>
          <w:b/>
          <w:bCs w:val="0"/>
          <w:sz w:val="28"/>
          <w:szCs w:val="28"/>
          <w:lang w:val="en-US" w:eastAsia="zh-CN" w:bidi="ar-SA"/>
        </w:rPr>
      </w:pPr>
    </w:p>
    <w:p w14:paraId="4FE43D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 </w:t>
      </w:r>
      <w:r>
        <w:rPr>
          <w:rFonts w:hint="eastAsia" w:asciiTheme="minorEastAsia" w:hAnsiTheme="minorEastAsia" w:cstheme="minorEastAsia"/>
          <w:color w:val="auto"/>
          <w:sz w:val="21"/>
          <w:szCs w:val="21"/>
          <w:highlight w:val="none"/>
          <w:lang w:val="en-US" w:eastAsia="zh-CN"/>
        </w:rPr>
        <w:t>投标人全称</w:t>
      </w:r>
      <w:r>
        <w:rPr>
          <w:rFonts w:hint="eastAsia" w:asciiTheme="minorEastAsia" w:hAnsiTheme="minorEastAsia" w:eastAsiaTheme="minorEastAsia" w:cstheme="minorEastAsia"/>
          <w:color w:val="auto"/>
          <w:sz w:val="21"/>
          <w:szCs w:val="21"/>
          <w:highlight w:val="none"/>
          <w:lang w:val="zh-CN" w:eastAsia="zh-CN"/>
        </w:rPr>
        <w:t>（</w:t>
      </w:r>
      <w:r>
        <w:rPr>
          <w:rFonts w:hint="eastAsia" w:ascii="宋体" w:hAnsi="宋体" w:eastAsia="宋体" w:cs="宋体"/>
          <w:color w:val="000000"/>
          <w:highlight w:val="none"/>
        </w:rPr>
        <w:t>加盖CA电子公章</w:t>
      </w:r>
      <w:r>
        <w:rPr>
          <w:rFonts w:hint="eastAsia" w:asciiTheme="minorEastAsia" w:hAnsiTheme="minorEastAsia" w:eastAsiaTheme="minorEastAsia" w:cstheme="minorEastAsia"/>
          <w:color w:val="auto"/>
          <w:sz w:val="21"/>
          <w:szCs w:val="21"/>
          <w:highlight w:val="none"/>
          <w:lang w:val="zh-CN" w:eastAsia="zh-CN"/>
        </w:rPr>
        <w:t>）：</w:t>
      </w:r>
    </w:p>
    <w:p w14:paraId="3686F568">
      <w:pPr>
        <w:pStyle w:val="36"/>
        <w:numPr>
          <w:ilvl w:val="0"/>
          <w:numId w:val="0"/>
        </w:numPr>
        <w:spacing w:beforeAutospacing="0" w:afterAutospacing="0" w:line="360" w:lineRule="auto"/>
        <w:ind w:left="0" w:leftChars="0" w:firstLine="6090" w:firstLineChars="2900"/>
        <w:jc w:val="both"/>
        <w:rPr>
          <w:rFonts w:hint="eastAsia" w:ascii="黑体" w:hAnsi="宋体" w:eastAsia="黑体" w:cs="黑体"/>
          <w:b/>
          <w:color w:val="000000"/>
          <w:sz w:val="32"/>
          <w:szCs w:val="32"/>
          <w:lang w:val="en-US" w:eastAsia="zh-CN" w:bidi="ar-SA"/>
        </w:rPr>
        <w:sectPr>
          <w:footerReference r:id="rId10" w:type="default"/>
          <w:pgSz w:w="11906" w:h="16838"/>
          <w:pgMar w:top="1460" w:right="1486" w:bottom="1518" w:left="1800" w:header="851" w:footer="992" w:gutter="0"/>
          <w:pgNumType w:start="54"/>
          <w:cols w:space="425" w:num="1"/>
          <w:docGrid w:linePitch="360" w:charSpace="0"/>
        </w:sectPr>
      </w:pPr>
      <w:r>
        <w:rPr>
          <w:rFonts w:hint="eastAsia" w:asciiTheme="minorEastAsia" w:hAnsiTheme="minorEastAsia" w:eastAsiaTheme="minorEastAsia" w:cstheme="minorEastAsia"/>
          <w:color w:val="auto"/>
          <w:sz w:val="21"/>
          <w:szCs w:val="21"/>
          <w:highlight w:val="none"/>
          <w:lang w:val="zh-CN" w:eastAsia="zh-CN"/>
        </w:rPr>
        <w:t>年   月   日</w:t>
      </w:r>
    </w:p>
    <w:p w14:paraId="06ADC23B">
      <w:pPr>
        <w:pStyle w:val="36"/>
        <w:keepNext/>
        <w:keepLines/>
        <w:spacing w:before="260" w:beforeAutospacing="0" w:after="260" w:afterAutospacing="0" w:line="240" w:lineRule="auto"/>
        <w:jc w:val="center"/>
        <w:rPr>
          <w:rFonts w:hint="eastAsia" w:ascii="黑体" w:hAnsi="宋体" w:eastAsia="黑体" w:cs="黑体"/>
          <w:b/>
          <w:i/>
          <w:color w:val="000000"/>
          <w:sz w:val="32"/>
          <w:szCs w:val="32"/>
          <w:highlight w:val="none"/>
          <w:u w:val="single"/>
          <w:lang w:val="en-US" w:eastAsia="zh-CN"/>
        </w:rPr>
      </w:pPr>
      <w:r>
        <w:rPr>
          <w:rFonts w:hint="eastAsia" w:ascii="黑体" w:hAnsi="宋体" w:eastAsia="黑体" w:cs="黑体"/>
          <w:b/>
          <w:i/>
          <w:color w:val="000000"/>
          <w:sz w:val="32"/>
          <w:szCs w:val="32"/>
          <w:highlight w:val="none"/>
          <w:u w:val="single"/>
          <w:lang w:val="en-US" w:eastAsia="zh-CN"/>
        </w:rPr>
        <w:t>十三、商务要求响应及偏离表</w:t>
      </w:r>
    </w:p>
    <w:p w14:paraId="6A46B530">
      <w:pPr>
        <w:pStyle w:val="36"/>
        <w:numPr>
          <w:ilvl w:val="0"/>
          <w:numId w:val="0"/>
        </w:numPr>
        <w:spacing w:beforeAutospacing="0" w:afterAutospacing="0"/>
        <w:ind w:leftChars="0"/>
        <w:jc w:val="both"/>
        <w:rPr>
          <w:rFonts w:hint="eastAsia" w:ascii="黑体" w:hAnsi="宋体" w:eastAsia="黑体" w:cs="黑体"/>
          <w:b/>
          <w:color w:val="000000"/>
          <w:sz w:val="32"/>
          <w:szCs w:val="32"/>
          <w:highlight w:val="none"/>
        </w:rPr>
      </w:pPr>
      <w:r>
        <w:rPr>
          <w:rFonts w:hint="eastAsia" w:ascii="宋体" w:hAnsi="宋体" w:eastAsia="宋体" w:cs="宋体"/>
          <w:color w:val="000000"/>
          <w:highlight w:val="none"/>
        </w:rPr>
        <w:t>供应商全称（加盖CA电子公章）：</w:t>
      </w:r>
    </w:p>
    <w:tbl>
      <w:tblPr>
        <w:tblStyle w:val="3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1CB8AF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D145B">
            <w:pPr>
              <w:pStyle w:val="36"/>
              <w:spacing w:beforeAutospacing="0" w:afterAutospacing="0"/>
              <w:jc w:val="center"/>
              <w:rPr>
                <w:highlight w:val="none"/>
              </w:rPr>
            </w:pPr>
            <w:bookmarkStart w:id="611" w:name="_Hlt26955056"/>
            <w:bookmarkStart w:id="612" w:name="_Hlt24879081"/>
            <w:bookmarkStart w:id="613" w:name="_Hlt26955064"/>
            <w:bookmarkStart w:id="614" w:name="_Hlt26671372"/>
            <w:bookmarkStart w:id="615" w:name="_Hlt26609391"/>
            <w:bookmarkStart w:id="616" w:name="_Hlt26671343"/>
            <w:bookmarkStart w:id="617" w:name="_Hlt26580838"/>
            <w:bookmarkStart w:id="618" w:name="_Hlt26782999"/>
            <w:r>
              <w:rPr>
                <w:rFonts w:hint="eastAsia" w:ascii="宋体" w:hAnsi="宋体" w:eastAsia="宋体" w:cs="宋体"/>
                <w:color w:val="000000"/>
                <w:highlight w:val="none"/>
              </w:rPr>
              <w:t>序号</w:t>
            </w:r>
            <w:bookmarkEnd w:id="611"/>
            <w:bookmarkEnd w:id="612"/>
            <w:bookmarkEnd w:id="613"/>
            <w:bookmarkEnd w:id="614"/>
            <w:bookmarkEnd w:id="615"/>
            <w:bookmarkEnd w:id="616"/>
            <w:bookmarkEnd w:id="617"/>
            <w:bookmarkEnd w:id="618"/>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9F6FB">
            <w:pPr>
              <w:pStyle w:val="36"/>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62DE0">
            <w:pPr>
              <w:pStyle w:val="36"/>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4E190">
            <w:pPr>
              <w:pStyle w:val="36"/>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AF2C2">
            <w:pPr>
              <w:pStyle w:val="36"/>
              <w:spacing w:beforeAutospacing="0" w:afterAutospacing="0"/>
              <w:jc w:val="center"/>
              <w:rPr>
                <w:highlight w:val="none"/>
              </w:rPr>
            </w:pPr>
            <w:r>
              <w:rPr>
                <w:rFonts w:hint="eastAsia" w:ascii="宋体" w:hAnsi="宋体" w:eastAsia="宋体" w:cs="宋体"/>
                <w:color w:val="000000"/>
                <w:highlight w:val="none"/>
              </w:rPr>
              <w:t>证明</w:t>
            </w:r>
          </w:p>
          <w:p w14:paraId="3F22DC20">
            <w:pPr>
              <w:pStyle w:val="36"/>
              <w:spacing w:beforeAutospacing="0" w:afterAutospacing="0"/>
              <w:jc w:val="center"/>
              <w:rPr>
                <w:highlight w:val="none"/>
              </w:rPr>
            </w:pPr>
            <w:r>
              <w:rPr>
                <w:rFonts w:hint="eastAsia" w:ascii="宋体" w:hAnsi="宋体" w:eastAsia="宋体" w:cs="宋体"/>
                <w:color w:val="000000"/>
                <w:highlight w:val="none"/>
              </w:rPr>
              <w:t>材料</w:t>
            </w:r>
          </w:p>
        </w:tc>
      </w:tr>
      <w:tr w14:paraId="783C828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9398D">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25625">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1C154">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1B46E4">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099BA">
            <w:pPr>
              <w:pStyle w:val="36"/>
              <w:spacing w:beforeAutospacing="0" w:afterAutospacing="0"/>
              <w:jc w:val="center"/>
              <w:rPr>
                <w:highlight w:val="none"/>
              </w:rPr>
            </w:pPr>
            <w:r>
              <w:rPr>
                <w:highlight w:val="none"/>
              </w:rPr>
              <w:t> </w:t>
            </w:r>
          </w:p>
        </w:tc>
      </w:tr>
      <w:tr w14:paraId="6F54C0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96D82">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DC415">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CD1C6">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29F98">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2AA71">
            <w:pPr>
              <w:pStyle w:val="36"/>
              <w:spacing w:beforeAutospacing="0" w:afterAutospacing="0"/>
              <w:jc w:val="center"/>
              <w:rPr>
                <w:highlight w:val="none"/>
              </w:rPr>
            </w:pPr>
            <w:r>
              <w:rPr>
                <w:highlight w:val="none"/>
              </w:rPr>
              <w:t> </w:t>
            </w:r>
          </w:p>
        </w:tc>
      </w:tr>
      <w:tr w14:paraId="3C7D31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E73DA">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37B6A">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C3503">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85D88">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8C2CE">
            <w:pPr>
              <w:pStyle w:val="36"/>
              <w:spacing w:beforeAutospacing="0" w:afterAutospacing="0"/>
              <w:jc w:val="center"/>
              <w:rPr>
                <w:highlight w:val="none"/>
              </w:rPr>
            </w:pPr>
            <w:r>
              <w:rPr>
                <w:highlight w:val="none"/>
              </w:rPr>
              <w:t> </w:t>
            </w:r>
          </w:p>
        </w:tc>
      </w:tr>
      <w:tr w14:paraId="48345C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D0CD2">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52F67">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9D22B">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74A7C">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28694">
            <w:pPr>
              <w:pStyle w:val="36"/>
              <w:spacing w:beforeAutospacing="0" w:afterAutospacing="0"/>
              <w:jc w:val="center"/>
              <w:rPr>
                <w:highlight w:val="none"/>
              </w:rPr>
            </w:pPr>
            <w:r>
              <w:rPr>
                <w:highlight w:val="none"/>
              </w:rPr>
              <w:t> </w:t>
            </w:r>
          </w:p>
        </w:tc>
      </w:tr>
      <w:tr w14:paraId="1CAA17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97BB5">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B64CC">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2A44B">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1C829">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80287">
            <w:pPr>
              <w:pStyle w:val="36"/>
              <w:spacing w:beforeAutospacing="0" w:afterAutospacing="0"/>
              <w:jc w:val="center"/>
              <w:rPr>
                <w:highlight w:val="none"/>
              </w:rPr>
            </w:pPr>
            <w:r>
              <w:rPr>
                <w:highlight w:val="none"/>
              </w:rPr>
              <w:t> </w:t>
            </w:r>
          </w:p>
        </w:tc>
      </w:tr>
      <w:tr w14:paraId="563454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BFC0A">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9B988">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F5F38">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B77E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CC177">
            <w:pPr>
              <w:pStyle w:val="36"/>
              <w:spacing w:beforeAutospacing="0" w:afterAutospacing="0"/>
              <w:jc w:val="center"/>
              <w:rPr>
                <w:highlight w:val="none"/>
              </w:rPr>
            </w:pPr>
            <w:r>
              <w:rPr>
                <w:highlight w:val="none"/>
              </w:rPr>
              <w:t> </w:t>
            </w:r>
          </w:p>
        </w:tc>
      </w:tr>
      <w:tr w14:paraId="7EB92D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353B0">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2B6F5">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97FCB2">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02ED6">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41BFA">
            <w:pPr>
              <w:pStyle w:val="36"/>
              <w:spacing w:beforeAutospacing="0" w:afterAutospacing="0"/>
              <w:jc w:val="center"/>
              <w:rPr>
                <w:highlight w:val="none"/>
              </w:rPr>
            </w:pPr>
            <w:r>
              <w:rPr>
                <w:highlight w:val="none"/>
              </w:rPr>
              <w:t> </w:t>
            </w:r>
          </w:p>
        </w:tc>
      </w:tr>
      <w:tr w14:paraId="594DBA7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D4F6D">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B8CF0">
            <w:pPr>
              <w:pStyle w:val="36"/>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D6FD5">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4E294">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52A6A">
            <w:pPr>
              <w:pStyle w:val="36"/>
              <w:spacing w:beforeAutospacing="0" w:afterAutospacing="0"/>
              <w:jc w:val="center"/>
              <w:rPr>
                <w:highlight w:val="none"/>
              </w:rPr>
            </w:pPr>
            <w:r>
              <w:rPr>
                <w:highlight w:val="none"/>
              </w:rPr>
              <w:t> </w:t>
            </w:r>
          </w:p>
        </w:tc>
      </w:tr>
    </w:tbl>
    <w:p w14:paraId="2472E451">
      <w:pPr>
        <w:pStyle w:val="36"/>
        <w:spacing w:beforeAutospacing="0" w:afterAutospacing="0"/>
        <w:jc w:val="both"/>
        <w:rPr>
          <w:highlight w:val="none"/>
        </w:rPr>
      </w:pPr>
      <w:r>
        <w:rPr>
          <w:rFonts w:hint="eastAsia" w:ascii="宋体" w:hAnsi="宋体" w:eastAsia="宋体" w:cs="宋体"/>
          <w:color w:val="000000"/>
          <w:highlight w:val="none"/>
        </w:rPr>
        <w:t>注： 行数不够，可自行添加。</w:t>
      </w:r>
    </w:p>
    <w:p w14:paraId="72C0161C">
      <w:pPr>
        <w:pStyle w:val="36"/>
        <w:spacing w:beforeAutospacing="0" w:afterAutospacing="0"/>
        <w:jc w:val="both"/>
        <w:rPr>
          <w:highlight w:val="none"/>
        </w:rPr>
      </w:pPr>
      <w:bookmarkStart w:id="619" w:name="_Hlt26671374"/>
      <w:bookmarkStart w:id="620" w:name="_Hlt26955066"/>
      <w:bookmarkStart w:id="621" w:name="_Toc462564146"/>
      <w:bookmarkStart w:id="622" w:name="_格式2__法定代表人授权书"/>
      <w:bookmarkStart w:id="623" w:name="_Hlt26609389"/>
    </w:p>
    <w:p w14:paraId="57B6EC8E">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p>
    <w:p w14:paraId="337BA4B7">
      <w:pPr>
        <w:widowControl/>
        <w:spacing w:before="50" w:after="50"/>
        <w:jc w:val="center"/>
        <w:rPr>
          <w:highlight w:val="none"/>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r>
        <w:rPr>
          <w:highlight w:val="none"/>
        </w:rPr>
        <w:tab/>
      </w:r>
    </w:p>
    <w:p w14:paraId="34800596">
      <w:pPr>
        <w:widowControl/>
        <w:spacing w:before="50" w:after="50"/>
        <w:jc w:val="center"/>
        <w:rPr>
          <w:highlight w:val="none"/>
        </w:rPr>
      </w:pPr>
    </w:p>
    <w:p w14:paraId="252DC2EE">
      <w:pPr>
        <w:pStyle w:val="213"/>
        <w:spacing w:beforeAutospacing="0" w:afterAutospacing="0"/>
        <w:ind w:firstLine="480"/>
        <w:jc w:val="both"/>
        <w:rPr>
          <w:rFonts w:hint="eastAsia"/>
          <w:color w:val="auto"/>
        </w:rPr>
      </w:pPr>
    </w:p>
    <w:p w14:paraId="3BE6FEFB">
      <w:pPr>
        <w:pStyle w:val="2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投标人全称（加盖CA电子签章）：</w:t>
      </w:r>
    </w:p>
    <w:p w14:paraId="1915D224">
      <w:pPr>
        <w:pStyle w:val="2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项目名称：</w:t>
      </w:r>
      <w:r>
        <w:rPr>
          <w:rFonts w:hint="eastAsia" w:cstheme="minorBidi"/>
          <w:color w:val="auto"/>
          <w:sz w:val="24"/>
          <w:szCs w:val="24"/>
          <w:highlight w:val="none"/>
          <w:lang w:val="en-US" w:eastAsia="zh-CN" w:bidi="ar-SA"/>
        </w:rPr>
        <w:t>西园食堂屋面整体维修项目（二次）</w:t>
      </w:r>
    </w:p>
    <w:p w14:paraId="1CD6AD99">
      <w:pPr>
        <w:pStyle w:val="2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招标编号：</w:t>
      </w:r>
      <w:r>
        <w:rPr>
          <w:rFonts w:hint="eastAsia" w:cstheme="minorBidi"/>
          <w:color w:val="auto"/>
          <w:sz w:val="24"/>
          <w:szCs w:val="24"/>
          <w:highlight w:val="none"/>
          <w:lang w:val="en-US" w:eastAsia="zh-CN" w:bidi="ar-SA"/>
        </w:rPr>
        <w:t>JSZC-320000-JSQG-G2026-0006</w:t>
      </w:r>
    </w:p>
    <w:p w14:paraId="6E591EC1">
      <w:pPr>
        <w:pStyle w:val="2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分包号：1</w:t>
      </w:r>
    </w:p>
    <w:p w14:paraId="71DAE037">
      <w:pPr>
        <w:pStyle w:val="213"/>
        <w:spacing w:beforeAutospacing="0" w:afterAutospacing="0"/>
        <w:jc w:val="both"/>
        <w:rPr>
          <w:color w:val="auto"/>
        </w:rPr>
      </w:pPr>
      <w:r>
        <w:rPr>
          <w:color w:val="auto"/>
        </w:rPr>
        <w:t> </w:t>
      </w:r>
    </w:p>
    <w:tbl>
      <w:tblPr>
        <w:tblStyle w:val="39"/>
        <w:tblW w:w="8440" w:type="dxa"/>
        <w:tblCellSpacing w:w="0" w:type="dxa"/>
        <w:tblInd w:w="118" w:type="dxa"/>
        <w:tblLayout w:type="fixed"/>
        <w:tblCellMar>
          <w:top w:w="0" w:type="dxa"/>
          <w:left w:w="108" w:type="dxa"/>
          <w:bottom w:w="0" w:type="dxa"/>
          <w:right w:w="108" w:type="dxa"/>
        </w:tblCellMar>
      </w:tblPr>
      <w:tblGrid>
        <w:gridCol w:w="8440"/>
      </w:tblGrid>
      <w:tr w14:paraId="6A8EF03C">
        <w:tblPrEx>
          <w:tblCellMar>
            <w:top w:w="0" w:type="dxa"/>
            <w:left w:w="108" w:type="dxa"/>
            <w:bottom w:w="0" w:type="dxa"/>
            <w:right w:w="108" w:type="dxa"/>
          </w:tblCellMar>
        </w:tblPrEx>
        <w:trPr>
          <w:trHeight w:val="913"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2D45">
            <w:pPr>
              <w:pStyle w:val="36"/>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63448244">
        <w:tblPrEx>
          <w:tblCellMar>
            <w:top w:w="0" w:type="dxa"/>
            <w:left w:w="108" w:type="dxa"/>
            <w:bottom w:w="0" w:type="dxa"/>
            <w:right w:w="108" w:type="dxa"/>
          </w:tblCellMar>
        </w:tblPrEx>
        <w:trPr>
          <w:trHeight w:val="777"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3C3C">
            <w:pPr>
              <w:pStyle w:val="3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32E22075">
        <w:tblPrEx>
          <w:tblCellMar>
            <w:top w:w="0" w:type="dxa"/>
            <w:left w:w="108" w:type="dxa"/>
            <w:bottom w:w="0" w:type="dxa"/>
            <w:right w:w="108" w:type="dxa"/>
          </w:tblCellMar>
        </w:tblPrEx>
        <w:trPr>
          <w:trHeight w:val="789" w:hRule="atLeast"/>
          <w:tblCellSpacing w:w="0" w:type="dxa"/>
        </w:trPr>
        <w:tc>
          <w:tcPr>
            <w:tcW w:w="8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B0F0">
            <w:pPr>
              <w:pStyle w:val="36"/>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549196C7">
      <w:pPr>
        <w:pStyle w:val="213"/>
        <w:spacing w:beforeAutospacing="0" w:afterAutospacing="0"/>
        <w:jc w:val="both"/>
        <w:rPr>
          <w:color w:val="auto"/>
        </w:rPr>
      </w:pPr>
    </w:p>
    <w:p w14:paraId="1E87B006">
      <w:pPr>
        <w:pStyle w:val="36"/>
        <w:keepNext w:val="0"/>
        <w:keepLines w:val="0"/>
        <w:widowControl/>
        <w:suppressLineNumbers w:val="0"/>
        <w:jc w:val="center"/>
        <w:rPr>
          <w:rFonts w:hint="eastAsia" w:ascii="宋体" w:hAnsi="宋体" w:eastAsia="宋体" w:cs="宋体"/>
        </w:rPr>
      </w:pPr>
      <w:r>
        <w:rPr>
          <w:rFonts w:hint="eastAsia"/>
          <w:color w:val="auto"/>
        </w:rPr>
        <w:t xml:space="preserve">                                              日期：  </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年</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月</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日</w:t>
      </w:r>
    </w:p>
    <w:p w14:paraId="4989E0AA">
      <w:pPr>
        <w:rPr>
          <w:highlight w:val="none"/>
        </w:rPr>
      </w:pPr>
    </w:p>
    <w:p w14:paraId="412F143D">
      <w:pPr>
        <w:pStyle w:val="2"/>
        <w:rPr>
          <w:highlight w:val="none"/>
        </w:rPr>
      </w:pPr>
    </w:p>
    <w:p w14:paraId="11F7CD5F">
      <w:pPr>
        <w:pStyle w:val="46"/>
      </w:pPr>
    </w:p>
    <w:p w14:paraId="0F2F7AEC">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47611CC9">
      <w:pPr>
        <w:widowControl/>
        <w:spacing w:before="50" w:after="50"/>
        <w:jc w:val="center"/>
        <w:rPr>
          <w:rFonts w:hint="eastAsia" w:ascii="宋体" w:hAnsi="宋体" w:eastAsia="宋体" w:cs="宋体"/>
          <w:color w:val="000000"/>
          <w:sz w:val="32"/>
          <w:szCs w:val="32"/>
          <w:highlight w:val="none"/>
        </w:rPr>
        <w:sectPr>
          <w:footerReference r:id="rId11" w:type="default"/>
          <w:pgSz w:w="11906" w:h="16838"/>
          <w:pgMar w:top="1460" w:right="1486" w:bottom="1518" w:left="1800" w:header="851" w:footer="992" w:gutter="0"/>
          <w:pgNumType w:start="55"/>
          <w:cols w:space="425" w:num="1"/>
          <w:docGrid w:linePitch="360" w:charSpace="0"/>
        </w:sectPr>
      </w:pPr>
    </w:p>
    <w:p w14:paraId="3A9A1D36">
      <w:pPr>
        <w:widowControl/>
        <w:spacing w:before="50" w:after="5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lang w:val="en-US" w:eastAsia="zh-CN"/>
        </w:rPr>
        <w:t>十五、</w:t>
      </w:r>
      <w:r>
        <w:rPr>
          <w:rFonts w:hint="eastAsia" w:ascii="宋体" w:hAnsi="宋体" w:eastAsia="宋体" w:cs="宋体"/>
          <w:color w:val="000000"/>
          <w:sz w:val="32"/>
          <w:szCs w:val="32"/>
          <w:highlight w:val="none"/>
        </w:rPr>
        <w:t>项目组成员一览表</w:t>
      </w:r>
    </w:p>
    <w:p w14:paraId="68562D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项目名称：</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4F0235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项目编号：</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6248F6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sz w:val="24"/>
          <w:szCs w:val="24"/>
        </w:rPr>
      </w:pPr>
      <w:r>
        <w:rPr>
          <w:rFonts w:hint="eastAsia" w:ascii="宋体" w:hAnsi="宋体" w:cs="宋体"/>
          <w:color w:val="000000"/>
          <w:sz w:val="24"/>
          <w:szCs w:val="24"/>
        </w:rPr>
        <w:t>投标人全称（</w:t>
      </w:r>
      <w:r>
        <w:rPr>
          <w:rFonts w:hint="eastAsia" w:asciiTheme="minorHAnsi" w:hAnsiTheme="minorHAnsi" w:eastAsiaTheme="minorEastAsia" w:cstheme="minorBidi"/>
          <w:color w:val="auto"/>
          <w:sz w:val="24"/>
          <w:szCs w:val="24"/>
          <w:highlight w:val="none"/>
          <w:lang w:val="en-US" w:eastAsia="zh-CN" w:bidi="ar-SA"/>
        </w:rPr>
        <w:t>加盖CA电子签章</w:t>
      </w:r>
      <w:r>
        <w:rPr>
          <w:rFonts w:hint="eastAsia" w:ascii="宋体" w:hAnsi="宋体" w:cs="宋体"/>
          <w:color w:val="000000"/>
          <w:sz w:val="24"/>
          <w:szCs w:val="24"/>
        </w:rPr>
        <w:t xml:space="preserve">）：  </w:t>
      </w:r>
    </w:p>
    <w:p w14:paraId="527E2940">
      <w:pPr>
        <w:rPr>
          <w:rFonts w:ascii="宋体" w:hAnsi="宋体" w:cs="宋体"/>
          <w:color w:val="000000"/>
          <w:sz w:val="24"/>
          <w:szCs w:val="24"/>
        </w:rPr>
      </w:pPr>
      <w:r>
        <w:rPr>
          <w:rFonts w:hint="eastAsia" w:ascii="宋体" w:hAnsi="宋体" w:cs="宋体"/>
          <w:color w:val="000000"/>
          <w:sz w:val="24"/>
          <w:szCs w:val="24"/>
        </w:rPr>
        <w:t xml:space="preserve">  </w:t>
      </w:r>
    </w:p>
    <w:tbl>
      <w:tblPr>
        <w:tblStyle w:val="39"/>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157"/>
        <w:gridCol w:w="1073"/>
        <w:gridCol w:w="1108"/>
        <w:gridCol w:w="2619"/>
        <w:gridCol w:w="1627"/>
        <w:gridCol w:w="1129"/>
      </w:tblGrid>
      <w:tr w14:paraId="12F5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5FB734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6FC666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73" w:type="dxa"/>
            <w:tcBorders>
              <w:top w:val="single" w:color="auto" w:sz="4" w:space="0"/>
              <w:left w:val="single" w:color="auto" w:sz="4" w:space="0"/>
              <w:bottom w:val="single" w:color="auto" w:sz="4" w:space="0"/>
              <w:right w:val="single" w:color="auto" w:sz="4" w:space="0"/>
            </w:tcBorders>
            <w:noWrap w:val="0"/>
            <w:vAlign w:val="center"/>
          </w:tcPr>
          <w:p w14:paraId="098225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性别</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06C96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年龄</w:t>
            </w:r>
          </w:p>
        </w:tc>
        <w:tc>
          <w:tcPr>
            <w:tcW w:w="2619" w:type="dxa"/>
            <w:tcBorders>
              <w:top w:val="single" w:color="auto" w:sz="4" w:space="0"/>
              <w:left w:val="single" w:color="auto" w:sz="4" w:space="0"/>
              <w:bottom w:val="single" w:color="auto" w:sz="4" w:space="0"/>
              <w:right w:val="single" w:color="auto" w:sz="4" w:space="0"/>
            </w:tcBorders>
            <w:noWrap w:val="0"/>
            <w:vAlign w:val="center"/>
          </w:tcPr>
          <w:p w14:paraId="67354F0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持证情况</w:t>
            </w:r>
          </w:p>
        </w:tc>
        <w:tc>
          <w:tcPr>
            <w:tcW w:w="1627" w:type="dxa"/>
            <w:tcBorders>
              <w:top w:val="single" w:color="auto" w:sz="4" w:space="0"/>
              <w:left w:val="single" w:color="auto" w:sz="4" w:space="0"/>
              <w:bottom w:val="single" w:color="auto" w:sz="4" w:space="0"/>
              <w:right w:val="single" w:color="auto" w:sz="4" w:space="0"/>
            </w:tcBorders>
            <w:noWrap w:val="0"/>
            <w:vAlign w:val="center"/>
          </w:tcPr>
          <w:p w14:paraId="39FFD6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p>
        </w:tc>
        <w:tc>
          <w:tcPr>
            <w:tcW w:w="1129" w:type="dxa"/>
            <w:tcBorders>
              <w:top w:val="single" w:color="auto" w:sz="4" w:space="0"/>
              <w:left w:val="single" w:color="auto" w:sz="4" w:space="0"/>
              <w:bottom w:val="single" w:color="auto" w:sz="4" w:space="0"/>
              <w:right w:val="single" w:color="auto" w:sz="4" w:space="0"/>
            </w:tcBorders>
            <w:noWrap w:val="0"/>
            <w:vAlign w:val="center"/>
          </w:tcPr>
          <w:p w14:paraId="0CC70F8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CCA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1FCE5D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11D404F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42F0143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6B24AD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6712E56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50652D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3109E5E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54E6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0D16090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498EAC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33C416E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B6E4C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7F5D71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0655F1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1A34EDB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4834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055C6F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72E73D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0941F0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2D21BC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5CC0F3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2B94AE2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49B4853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6C32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0A9DFF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5D5604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41E8C62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6C05F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00314AD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2D035EA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73AA8A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56347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73C478C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24A40C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17E1272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B8010E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79F0C72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36E7F9B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05C017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1FB6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09FD0B8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3138E6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5465E13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7462F22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67AA926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08EA848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266250D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64A77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58A4051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14:paraId="22E9D4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7DD00F4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60804B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3F47C9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457EEED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6D6BE92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77DC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DFF72F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157" w:type="dxa"/>
            <w:tcBorders>
              <w:top w:val="single" w:color="auto" w:sz="4" w:space="0"/>
              <w:left w:val="single" w:color="auto" w:sz="4" w:space="0"/>
              <w:bottom w:val="single" w:color="auto" w:sz="4" w:space="0"/>
              <w:right w:val="single" w:color="auto" w:sz="4" w:space="0"/>
            </w:tcBorders>
            <w:noWrap w:val="0"/>
            <w:vAlign w:val="center"/>
          </w:tcPr>
          <w:p w14:paraId="2ADCD3C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40216DD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0E312F5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619" w:type="dxa"/>
            <w:tcBorders>
              <w:top w:val="single" w:color="auto" w:sz="4" w:space="0"/>
              <w:left w:val="single" w:color="auto" w:sz="4" w:space="0"/>
              <w:bottom w:val="single" w:color="auto" w:sz="4" w:space="0"/>
              <w:right w:val="single" w:color="auto" w:sz="4" w:space="0"/>
            </w:tcBorders>
            <w:noWrap w:val="0"/>
            <w:vAlign w:val="center"/>
          </w:tcPr>
          <w:p w14:paraId="7F8DB6A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vAlign w:val="center"/>
          </w:tcPr>
          <w:p w14:paraId="1A9BCF2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129" w:type="dxa"/>
            <w:tcBorders>
              <w:top w:val="single" w:color="auto" w:sz="4" w:space="0"/>
              <w:left w:val="single" w:color="auto" w:sz="4" w:space="0"/>
              <w:bottom w:val="single" w:color="auto" w:sz="4" w:space="0"/>
              <w:right w:val="single" w:color="auto" w:sz="4" w:space="0"/>
            </w:tcBorders>
            <w:noWrap w:val="0"/>
            <w:vAlign w:val="center"/>
          </w:tcPr>
          <w:p w14:paraId="4C153E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bl>
    <w:p w14:paraId="291A763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w:t>
      </w:r>
    </w:p>
    <w:p w14:paraId="4FF3FEA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1.须提供相关</w:t>
      </w:r>
      <w:r>
        <w:rPr>
          <w:rFonts w:hint="eastAsia" w:ascii="宋体" w:hAnsi="宋体" w:eastAsia="宋体" w:cs="宋体"/>
          <w:color w:val="000000"/>
          <w:sz w:val="24"/>
          <w:szCs w:val="24"/>
          <w:highlight w:val="none"/>
          <w:lang w:val="en-US" w:eastAsia="zh-CN"/>
        </w:rPr>
        <w:t>证书及社保</w:t>
      </w:r>
      <w:r>
        <w:rPr>
          <w:rFonts w:hint="eastAsia" w:ascii="宋体" w:hAnsi="宋体" w:eastAsia="宋体" w:cs="宋体"/>
          <w:color w:val="000000"/>
          <w:sz w:val="24"/>
          <w:szCs w:val="24"/>
          <w:highlight w:val="none"/>
        </w:rPr>
        <w:t>证明材料；</w:t>
      </w:r>
    </w:p>
    <w:p w14:paraId="50F83D9B">
      <w:pPr>
        <w:keepNext w:val="0"/>
        <w:keepLines w:val="0"/>
        <w:pageBreakBefore w:val="0"/>
        <w:kinsoku/>
        <w:wordWrap/>
        <w:overflowPunct/>
        <w:topLinePunct w:val="0"/>
        <w:autoSpaceDE/>
        <w:autoSpaceDN/>
        <w:bidi w:val="0"/>
        <w:adjustRightInd/>
        <w:snapToGrid/>
        <w:spacing w:before="50" w:after="50" w:line="360" w:lineRule="auto"/>
        <w:ind w:firstLine="480" w:firstLineChars="200"/>
        <w:textAlignment w:val="auto"/>
        <w:rPr>
          <w:rFonts w:ascii="宋体" w:hAnsi="宋体"/>
          <w:sz w:val="24"/>
          <w:szCs w:val="24"/>
        </w:rPr>
      </w:pPr>
      <w:r>
        <w:rPr>
          <w:rFonts w:hint="eastAsia" w:ascii="宋体" w:hAnsi="宋体" w:eastAsia="宋体" w:cs="宋体"/>
          <w:color w:val="000000"/>
          <w:sz w:val="24"/>
          <w:szCs w:val="24"/>
          <w:highlight w:val="none"/>
        </w:rPr>
        <w:t>2.人员一旦确定，成交后原则上不再变更，若变更</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须征得采购人同意。</w:t>
      </w:r>
    </w:p>
    <w:p w14:paraId="4881A1E1">
      <w:pPr>
        <w:spacing w:before="50" w:after="50"/>
        <w:ind w:firstLine="5040"/>
        <w:rPr>
          <w:rFonts w:ascii="宋体" w:hAnsi="宋体" w:cs="宋体"/>
          <w:color w:val="000000"/>
          <w:sz w:val="32"/>
          <w:szCs w:val="32"/>
        </w:rPr>
      </w:pPr>
      <w:r>
        <w:rPr>
          <w:rFonts w:hint="eastAsia" w:ascii="宋体" w:hAnsi="宋体"/>
          <w:sz w:val="24"/>
        </w:rPr>
        <w:t xml:space="preserve">              </w:t>
      </w:r>
    </w:p>
    <w:p w14:paraId="54CD8F69">
      <w:pPr>
        <w:widowControl/>
        <w:spacing w:before="50" w:after="50"/>
        <w:jc w:val="center"/>
        <w:rPr>
          <w:rFonts w:hint="eastAsia" w:ascii="宋体" w:hAnsi="宋体" w:eastAsia="宋体" w:cs="宋体"/>
          <w:color w:val="000000"/>
          <w:sz w:val="32"/>
          <w:szCs w:val="32"/>
          <w:highlight w:val="none"/>
        </w:rPr>
        <w:sectPr>
          <w:footerReference r:id="rId12" w:type="default"/>
          <w:pgSz w:w="11906" w:h="16838"/>
          <w:pgMar w:top="1460" w:right="1486" w:bottom="1518" w:left="1800" w:header="851" w:footer="992" w:gutter="0"/>
          <w:pgNumType w:start="57"/>
          <w:cols w:space="425" w:num="1"/>
          <w:docGrid w:linePitch="360" w:charSpace="0"/>
        </w:sectPr>
      </w:pPr>
    </w:p>
    <w:p w14:paraId="5CDF5200">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w:t>
      </w:r>
      <w:r>
        <w:rPr>
          <w:rFonts w:hint="eastAsia" w:ascii="宋体" w:hAnsi="宋体" w:eastAsia="宋体" w:cs="宋体"/>
          <w:color w:val="000000"/>
          <w:sz w:val="32"/>
          <w:szCs w:val="32"/>
          <w:highlight w:val="none"/>
          <w:lang w:val="en-US" w:eastAsia="zh-CN"/>
        </w:rPr>
        <w:t>投标人类似业绩一览表</w:t>
      </w:r>
    </w:p>
    <w:p w14:paraId="6530919C">
      <w:pPr>
        <w:pStyle w:val="36"/>
        <w:spacing w:beforeAutospacing="0" w:afterAutospacing="0"/>
        <w:jc w:val="center"/>
        <w:rPr>
          <w:rFonts w:ascii="宋体" w:hAnsi="宋体" w:eastAsia="宋体" w:cs="宋体"/>
          <w:b/>
          <w:color w:val="000000"/>
          <w:sz w:val="32"/>
          <w:szCs w:val="32"/>
          <w:highlight w:val="none"/>
        </w:rPr>
      </w:pPr>
    </w:p>
    <w:p w14:paraId="199756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4BA1FF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0C6F0F8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rPr>
        <w:t>投标人全称（</w:t>
      </w:r>
      <w:r>
        <w:rPr>
          <w:rFonts w:hint="eastAsia" w:ascii="宋体" w:hAnsi="宋体" w:eastAsia="宋体" w:cs="宋体"/>
          <w:color w:val="auto"/>
          <w:sz w:val="24"/>
          <w:szCs w:val="24"/>
          <w:highlight w:val="none"/>
          <w:lang w:val="en-US" w:eastAsia="zh-CN" w:bidi="ar-SA"/>
        </w:rPr>
        <w:t>加盖CA电子签章</w:t>
      </w:r>
      <w:r>
        <w:rPr>
          <w:rFonts w:hint="eastAsia" w:ascii="宋体" w:hAnsi="宋体" w:eastAsia="宋体" w:cs="宋体"/>
          <w:color w:val="000000"/>
          <w:sz w:val="24"/>
          <w:szCs w:val="24"/>
        </w:rPr>
        <w:t>）：</w:t>
      </w:r>
    </w:p>
    <w:tbl>
      <w:tblPr>
        <w:tblStyle w:val="39"/>
        <w:tblW w:w="10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480"/>
        <w:gridCol w:w="1536"/>
        <w:gridCol w:w="1627"/>
        <w:gridCol w:w="2158"/>
        <w:gridCol w:w="1713"/>
      </w:tblGrid>
      <w:tr w14:paraId="3519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794072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480" w:type="dxa"/>
            <w:tcBorders>
              <w:top w:val="single" w:color="auto" w:sz="4" w:space="0"/>
              <w:left w:val="single" w:color="auto" w:sz="4" w:space="0"/>
              <w:bottom w:val="single" w:color="auto" w:sz="4" w:space="0"/>
              <w:right w:val="single" w:color="auto" w:sz="4" w:space="0"/>
            </w:tcBorders>
            <w:noWrap w:val="0"/>
            <w:vAlign w:val="center"/>
          </w:tcPr>
          <w:p w14:paraId="1A182F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536" w:type="dxa"/>
            <w:tcBorders>
              <w:top w:val="single" w:color="auto" w:sz="4" w:space="0"/>
              <w:left w:val="single" w:color="auto" w:sz="4" w:space="0"/>
              <w:bottom w:val="single" w:color="auto" w:sz="4" w:space="0"/>
              <w:right w:val="single" w:color="auto" w:sz="4" w:space="0"/>
            </w:tcBorders>
            <w:noWrap w:val="0"/>
            <w:vAlign w:val="center"/>
          </w:tcPr>
          <w:p w14:paraId="7A4C69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627" w:type="dxa"/>
            <w:tcBorders>
              <w:top w:val="single" w:color="auto" w:sz="4" w:space="0"/>
              <w:left w:val="single" w:color="auto" w:sz="4" w:space="0"/>
              <w:bottom w:val="single" w:color="auto" w:sz="4" w:space="0"/>
              <w:right w:val="single" w:color="auto" w:sz="4" w:space="0"/>
            </w:tcBorders>
            <w:noWrap w:val="0"/>
            <w:vAlign w:val="center"/>
          </w:tcPr>
          <w:p w14:paraId="370C9E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2158" w:type="dxa"/>
            <w:tcBorders>
              <w:top w:val="single" w:color="auto" w:sz="4" w:space="0"/>
              <w:left w:val="single" w:color="auto" w:sz="4" w:space="0"/>
              <w:bottom w:val="single" w:color="auto" w:sz="4" w:space="0"/>
              <w:right w:val="single" w:color="auto" w:sz="4" w:space="0"/>
            </w:tcBorders>
            <w:noWrap w:val="0"/>
            <w:vAlign w:val="center"/>
          </w:tcPr>
          <w:p w14:paraId="4A7DAE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1713" w:type="dxa"/>
            <w:tcBorders>
              <w:top w:val="single" w:color="auto" w:sz="4" w:space="0"/>
              <w:left w:val="single" w:color="auto" w:sz="4" w:space="0"/>
              <w:bottom w:val="single" w:color="auto" w:sz="4" w:space="0"/>
              <w:right w:val="single" w:color="auto" w:sz="4" w:space="0"/>
            </w:tcBorders>
            <w:noWrap w:val="0"/>
            <w:vAlign w:val="center"/>
          </w:tcPr>
          <w:p w14:paraId="0EDED1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合同签订时间</w:t>
            </w:r>
          </w:p>
        </w:tc>
      </w:tr>
      <w:tr w14:paraId="19E2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7" w:type="dxa"/>
            <w:tcBorders>
              <w:top w:val="single" w:color="auto" w:sz="4" w:space="0"/>
              <w:left w:val="single" w:color="auto" w:sz="4" w:space="0"/>
              <w:bottom w:val="single" w:color="auto" w:sz="4" w:space="0"/>
              <w:right w:val="single" w:color="auto" w:sz="4" w:space="0"/>
            </w:tcBorders>
            <w:noWrap w:val="0"/>
          </w:tcPr>
          <w:p w14:paraId="42242D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480" w:type="dxa"/>
            <w:tcBorders>
              <w:top w:val="single" w:color="auto" w:sz="4" w:space="0"/>
              <w:left w:val="single" w:color="auto" w:sz="4" w:space="0"/>
              <w:bottom w:val="single" w:color="auto" w:sz="4" w:space="0"/>
              <w:right w:val="single" w:color="auto" w:sz="4" w:space="0"/>
            </w:tcBorders>
            <w:noWrap w:val="0"/>
          </w:tcPr>
          <w:p w14:paraId="62F53F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36" w:type="dxa"/>
            <w:tcBorders>
              <w:top w:val="single" w:color="auto" w:sz="4" w:space="0"/>
              <w:left w:val="single" w:color="auto" w:sz="4" w:space="0"/>
              <w:bottom w:val="single" w:color="auto" w:sz="4" w:space="0"/>
              <w:right w:val="single" w:color="auto" w:sz="4" w:space="0"/>
            </w:tcBorders>
            <w:noWrap w:val="0"/>
          </w:tcPr>
          <w:p w14:paraId="7E1BFE57">
            <w:pPr>
              <w:keepNext w:val="0"/>
              <w:keepLines w:val="0"/>
              <w:pageBreakBefore w:val="0"/>
              <w:widowControl w:val="0"/>
              <w:kinsoku/>
              <w:wordWrap/>
              <w:overflowPunct/>
              <w:topLinePunct w:val="0"/>
              <w:autoSpaceDE/>
              <w:autoSpaceDN/>
              <w:bidi w:val="0"/>
              <w:adjustRightInd/>
              <w:snapToGrid/>
              <w:spacing w:line="360" w:lineRule="auto"/>
              <w:ind w:firstLine="105"/>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tcPr>
          <w:p w14:paraId="7FE8E0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0"/>
          </w:tcPr>
          <w:p w14:paraId="668E9A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713" w:type="dxa"/>
            <w:tcBorders>
              <w:top w:val="single" w:color="auto" w:sz="4" w:space="0"/>
              <w:left w:val="single" w:color="auto" w:sz="4" w:space="0"/>
              <w:bottom w:val="single" w:color="auto" w:sz="4" w:space="0"/>
              <w:right w:val="single" w:color="auto" w:sz="4" w:space="0"/>
            </w:tcBorders>
            <w:noWrap w:val="0"/>
          </w:tcPr>
          <w:p w14:paraId="2D1150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307B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7" w:type="dxa"/>
            <w:tcBorders>
              <w:top w:val="single" w:color="auto" w:sz="4" w:space="0"/>
              <w:left w:val="single" w:color="auto" w:sz="4" w:space="0"/>
              <w:bottom w:val="single" w:color="auto" w:sz="4" w:space="0"/>
              <w:right w:val="single" w:color="auto" w:sz="4" w:space="0"/>
            </w:tcBorders>
            <w:noWrap w:val="0"/>
          </w:tcPr>
          <w:p w14:paraId="18B96E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480" w:type="dxa"/>
            <w:tcBorders>
              <w:top w:val="single" w:color="auto" w:sz="4" w:space="0"/>
              <w:left w:val="single" w:color="auto" w:sz="4" w:space="0"/>
              <w:bottom w:val="single" w:color="auto" w:sz="4" w:space="0"/>
              <w:right w:val="single" w:color="auto" w:sz="4" w:space="0"/>
            </w:tcBorders>
            <w:noWrap w:val="0"/>
          </w:tcPr>
          <w:p w14:paraId="77511D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36" w:type="dxa"/>
            <w:tcBorders>
              <w:top w:val="single" w:color="auto" w:sz="4" w:space="0"/>
              <w:left w:val="single" w:color="auto" w:sz="4" w:space="0"/>
              <w:bottom w:val="single" w:color="auto" w:sz="4" w:space="0"/>
              <w:right w:val="single" w:color="auto" w:sz="4" w:space="0"/>
            </w:tcBorders>
            <w:noWrap w:val="0"/>
          </w:tcPr>
          <w:p w14:paraId="5F96B1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tcPr>
          <w:p w14:paraId="2C98FA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0"/>
          </w:tcPr>
          <w:p w14:paraId="7A7575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713" w:type="dxa"/>
            <w:tcBorders>
              <w:top w:val="single" w:color="auto" w:sz="4" w:space="0"/>
              <w:left w:val="single" w:color="auto" w:sz="4" w:space="0"/>
              <w:bottom w:val="single" w:color="auto" w:sz="4" w:space="0"/>
              <w:right w:val="single" w:color="auto" w:sz="4" w:space="0"/>
            </w:tcBorders>
            <w:noWrap w:val="0"/>
          </w:tcPr>
          <w:p w14:paraId="36B1D3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1F7F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7" w:type="dxa"/>
            <w:tcBorders>
              <w:top w:val="single" w:color="auto" w:sz="4" w:space="0"/>
              <w:left w:val="single" w:color="auto" w:sz="4" w:space="0"/>
              <w:bottom w:val="single" w:color="auto" w:sz="4" w:space="0"/>
              <w:right w:val="single" w:color="auto" w:sz="4" w:space="0"/>
            </w:tcBorders>
            <w:noWrap w:val="0"/>
          </w:tcPr>
          <w:p w14:paraId="78EB51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480" w:type="dxa"/>
            <w:tcBorders>
              <w:top w:val="single" w:color="auto" w:sz="4" w:space="0"/>
              <w:left w:val="single" w:color="auto" w:sz="4" w:space="0"/>
              <w:bottom w:val="single" w:color="auto" w:sz="4" w:space="0"/>
              <w:right w:val="single" w:color="auto" w:sz="4" w:space="0"/>
            </w:tcBorders>
            <w:noWrap w:val="0"/>
          </w:tcPr>
          <w:p w14:paraId="376232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36" w:type="dxa"/>
            <w:tcBorders>
              <w:top w:val="single" w:color="auto" w:sz="4" w:space="0"/>
              <w:left w:val="single" w:color="auto" w:sz="4" w:space="0"/>
              <w:bottom w:val="single" w:color="auto" w:sz="4" w:space="0"/>
              <w:right w:val="single" w:color="auto" w:sz="4" w:space="0"/>
            </w:tcBorders>
            <w:noWrap w:val="0"/>
          </w:tcPr>
          <w:p w14:paraId="436591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tcPr>
          <w:p w14:paraId="4B41D2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0"/>
          </w:tcPr>
          <w:p w14:paraId="22F8D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713" w:type="dxa"/>
            <w:tcBorders>
              <w:top w:val="single" w:color="auto" w:sz="4" w:space="0"/>
              <w:left w:val="single" w:color="auto" w:sz="4" w:space="0"/>
              <w:bottom w:val="single" w:color="auto" w:sz="4" w:space="0"/>
              <w:right w:val="single" w:color="auto" w:sz="4" w:space="0"/>
            </w:tcBorders>
            <w:noWrap w:val="0"/>
          </w:tcPr>
          <w:p w14:paraId="0BF44A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r w14:paraId="0AA4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7" w:type="dxa"/>
            <w:tcBorders>
              <w:top w:val="single" w:color="auto" w:sz="4" w:space="0"/>
              <w:left w:val="single" w:color="auto" w:sz="4" w:space="0"/>
              <w:bottom w:val="single" w:color="auto" w:sz="4" w:space="0"/>
              <w:right w:val="single" w:color="auto" w:sz="4" w:space="0"/>
            </w:tcBorders>
            <w:noWrap w:val="0"/>
          </w:tcPr>
          <w:p w14:paraId="0C31CA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480" w:type="dxa"/>
            <w:tcBorders>
              <w:top w:val="single" w:color="auto" w:sz="4" w:space="0"/>
              <w:left w:val="single" w:color="auto" w:sz="4" w:space="0"/>
              <w:bottom w:val="single" w:color="auto" w:sz="4" w:space="0"/>
              <w:right w:val="single" w:color="auto" w:sz="4" w:space="0"/>
            </w:tcBorders>
            <w:noWrap w:val="0"/>
          </w:tcPr>
          <w:p w14:paraId="7B143B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536" w:type="dxa"/>
            <w:tcBorders>
              <w:top w:val="single" w:color="auto" w:sz="4" w:space="0"/>
              <w:left w:val="single" w:color="auto" w:sz="4" w:space="0"/>
              <w:bottom w:val="single" w:color="auto" w:sz="4" w:space="0"/>
              <w:right w:val="single" w:color="auto" w:sz="4" w:space="0"/>
            </w:tcBorders>
            <w:noWrap w:val="0"/>
          </w:tcPr>
          <w:p w14:paraId="28A94F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627" w:type="dxa"/>
            <w:tcBorders>
              <w:top w:val="single" w:color="auto" w:sz="4" w:space="0"/>
              <w:left w:val="single" w:color="auto" w:sz="4" w:space="0"/>
              <w:bottom w:val="single" w:color="auto" w:sz="4" w:space="0"/>
              <w:right w:val="single" w:color="auto" w:sz="4" w:space="0"/>
            </w:tcBorders>
            <w:noWrap w:val="0"/>
          </w:tcPr>
          <w:p w14:paraId="2B1BC4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noWrap w:val="0"/>
          </w:tcPr>
          <w:p w14:paraId="7FF07C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1713" w:type="dxa"/>
            <w:tcBorders>
              <w:top w:val="single" w:color="auto" w:sz="4" w:space="0"/>
              <w:left w:val="single" w:color="auto" w:sz="4" w:space="0"/>
              <w:bottom w:val="single" w:color="auto" w:sz="4" w:space="0"/>
              <w:right w:val="single" w:color="auto" w:sz="4" w:space="0"/>
            </w:tcBorders>
            <w:noWrap w:val="0"/>
          </w:tcPr>
          <w:p w14:paraId="333EC2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r>
    </w:tbl>
    <w:p w14:paraId="01CE2C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558E449A">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color w:val="000000"/>
          <w:sz w:val="24"/>
          <w:szCs w:val="24"/>
          <w:highlight w:val="none"/>
        </w:rPr>
      </w:pPr>
      <w:r>
        <w:rPr>
          <w:rFonts w:hint="eastAsia" w:ascii="宋体" w:hAnsi="宋体" w:eastAsia="宋体" w:cs="宋体"/>
          <w:bCs/>
          <w:color w:val="auto"/>
          <w:sz w:val="24"/>
          <w:szCs w:val="24"/>
          <w:highlight w:val="none"/>
        </w:rPr>
        <w:t>说明：供应商根据本格式要求如实填写业绩情况表，并附</w:t>
      </w:r>
      <w:r>
        <w:rPr>
          <w:rFonts w:hint="eastAsia" w:ascii="宋体" w:hAnsi="宋体" w:eastAsia="宋体" w:cs="宋体"/>
          <w:bCs/>
          <w:color w:val="auto"/>
          <w:sz w:val="24"/>
          <w:szCs w:val="24"/>
          <w:highlight w:val="none"/>
          <w:lang w:val="en-US" w:eastAsia="zh-CN"/>
        </w:rPr>
        <w:t>相关证明材料</w:t>
      </w:r>
      <w:r>
        <w:rPr>
          <w:rFonts w:hint="eastAsia" w:ascii="宋体" w:hAnsi="宋体" w:eastAsia="宋体" w:cs="宋体"/>
          <w:bCs/>
          <w:color w:val="auto"/>
          <w:sz w:val="24"/>
          <w:szCs w:val="24"/>
          <w:highlight w:val="none"/>
        </w:rPr>
        <w:t>复印件。</w:t>
      </w:r>
    </w:p>
    <w:p w14:paraId="2A470A6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color w:val="000000"/>
          <w:sz w:val="24"/>
          <w:szCs w:val="24"/>
          <w:highlight w:val="none"/>
        </w:rPr>
      </w:pPr>
    </w:p>
    <w:p w14:paraId="73A8FC41">
      <w:pPr>
        <w:pStyle w:val="36"/>
        <w:spacing w:beforeAutospacing="0" w:afterAutospacing="0"/>
        <w:jc w:val="center"/>
        <w:rPr>
          <w:rFonts w:ascii="宋体" w:hAnsi="宋体" w:eastAsia="宋体" w:cs="宋体"/>
          <w:b/>
          <w:color w:val="000000"/>
          <w:sz w:val="32"/>
          <w:szCs w:val="32"/>
          <w:highlight w:val="none"/>
        </w:rPr>
      </w:pPr>
    </w:p>
    <w:p w14:paraId="598345CB">
      <w:pPr>
        <w:pStyle w:val="36"/>
        <w:spacing w:beforeAutospacing="0" w:afterAutospacing="0"/>
        <w:jc w:val="center"/>
        <w:rPr>
          <w:rFonts w:ascii="宋体" w:hAnsi="宋体" w:eastAsia="宋体" w:cs="宋体"/>
          <w:b/>
          <w:color w:val="000000"/>
          <w:sz w:val="32"/>
          <w:szCs w:val="32"/>
          <w:highlight w:val="none"/>
        </w:rPr>
      </w:pPr>
    </w:p>
    <w:p w14:paraId="2162238E">
      <w:pPr>
        <w:pStyle w:val="36"/>
        <w:spacing w:beforeAutospacing="0" w:afterAutospacing="0"/>
        <w:jc w:val="center"/>
        <w:rPr>
          <w:rFonts w:ascii="宋体" w:hAnsi="宋体" w:eastAsia="宋体" w:cs="宋体"/>
          <w:b/>
          <w:color w:val="000000"/>
          <w:sz w:val="32"/>
          <w:szCs w:val="32"/>
          <w:highlight w:val="none"/>
        </w:rPr>
      </w:pPr>
    </w:p>
    <w:p w14:paraId="3FF007E3">
      <w:pPr>
        <w:pStyle w:val="36"/>
        <w:spacing w:beforeAutospacing="0" w:afterAutospacing="0"/>
        <w:jc w:val="center"/>
        <w:rPr>
          <w:rFonts w:ascii="宋体" w:hAnsi="宋体" w:eastAsia="宋体" w:cs="宋体"/>
          <w:b/>
          <w:color w:val="000000"/>
          <w:sz w:val="32"/>
          <w:szCs w:val="32"/>
          <w:highlight w:val="none"/>
        </w:rPr>
      </w:pPr>
    </w:p>
    <w:p w14:paraId="5DFD2AFE">
      <w:pPr>
        <w:pStyle w:val="36"/>
        <w:spacing w:beforeAutospacing="0" w:afterAutospacing="0"/>
        <w:jc w:val="center"/>
        <w:rPr>
          <w:rFonts w:ascii="宋体" w:hAnsi="宋体" w:eastAsia="宋体" w:cs="宋体"/>
          <w:b/>
          <w:color w:val="000000"/>
          <w:sz w:val="32"/>
          <w:szCs w:val="32"/>
          <w:highlight w:val="none"/>
        </w:rPr>
      </w:pPr>
    </w:p>
    <w:p w14:paraId="4609FA5C">
      <w:pPr>
        <w:pStyle w:val="36"/>
        <w:spacing w:beforeAutospacing="0" w:afterAutospacing="0"/>
        <w:jc w:val="center"/>
        <w:rPr>
          <w:rFonts w:ascii="宋体" w:hAnsi="宋体" w:eastAsia="宋体" w:cs="宋体"/>
          <w:b/>
          <w:color w:val="000000"/>
          <w:sz w:val="32"/>
          <w:szCs w:val="32"/>
          <w:highlight w:val="none"/>
        </w:rPr>
      </w:pPr>
    </w:p>
    <w:p w14:paraId="38149DC8">
      <w:pPr>
        <w:pStyle w:val="36"/>
        <w:spacing w:beforeAutospacing="0" w:afterAutospacing="0"/>
        <w:jc w:val="center"/>
        <w:rPr>
          <w:rFonts w:ascii="宋体" w:hAnsi="宋体" w:eastAsia="宋体" w:cs="宋体"/>
          <w:b/>
          <w:color w:val="000000"/>
          <w:sz w:val="32"/>
          <w:szCs w:val="32"/>
          <w:highlight w:val="none"/>
        </w:rPr>
      </w:pPr>
    </w:p>
    <w:p w14:paraId="0D1FE0BD">
      <w:pPr>
        <w:pStyle w:val="36"/>
        <w:spacing w:beforeAutospacing="0" w:afterAutospacing="0"/>
        <w:jc w:val="center"/>
        <w:rPr>
          <w:rFonts w:ascii="宋体" w:hAnsi="宋体" w:eastAsia="宋体" w:cs="宋体"/>
          <w:b/>
          <w:color w:val="000000"/>
          <w:sz w:val="32"/>
          <w:szCs w:val="32"/>
          <w:highlight w:val="none"/>
        </w:rPr>
      </w:pPr>
    </w:p>
    <w:p w14:paraId="617EE071">
      <w:pPr>
        <w:pStyle w:val="36"/>
        <w:spacing w:beforeAutospacing="0" w:afterAutospacing="0"/>
        <w:jc w:val="center"/>
        <w:rPr>
          <w:rFonts w:ascii="宋体" w:hAnsi="宋体" w:eastAsia="宋体" w:cs="宋体"/>
          <w:b/>
          <w:color w:val="000000"/>
          <w:sz w:val="32"/>
          <w:szCs w:val="32"/>
          <w:highlight w:val="none"/>
        </w:rPr>
      </w:pPr>
    </w:p>
    <w:p w14:paraId="413BD6BD">
      <w:pPr>
        <w:pStyle w:val="36"/>
        <w:spacing w:beforeAutospacing="0" w:afterAutospacing="0"/>
        <w:jc w:val="center"/>
        <w:rPr>
          <w:rFonts w:ascii="宋体" w:hAnsi="宋体" w:eastAsia="宋体" w:cs="宋体"/>
          <w:b/>
          <w:color w:val="000000"/>
          <w:sz w:val="32"/>
          <w:szCs w:val="32"/>
          <w:highlight w:val="none"/>
        </w:rPr>
      </w:pPr>
    </w:p>
    <w:p w14:paraId="489EF7BC">
      <w:pPr>
        <w:pStyle w:val="36"/>
        <w:spacing w:beforeAutospacing="0" w:afterAutospacing="0"/>
        <w:jc w:val="center"/>
        <w:rPr>
          <w:rFonts w:ascii="宋体" w:hAnsi="宋体" w:eastAsia="宋体" w:cs="宋体"/>
          <w:b/>
          <w:color w:val="000000"/>
          <w:sz w:val="32"/>
          <w:szCs w:val="32"/>
          <w:highlight w:val="none"/>
        </w:rPr>
      </w:pPr>
    </w:p>
    <w:p w14:paraId="59439E44">
      <w:pPr>
        <w:pStyle w:val="36"/>
        <w:spacing w:beforeAutospacing="0" w:afterAutospacing="0"/>
        <w:jc w:val="center"/>
        <w:rPr>
          <w:rFonts w:ascii="宋体" w:hAnsi="宋体" w:eastAsia="宋体" w:cs="宋体"/>
          <w:b/>
          <w:color w:val="000000"/>
          <w:sz w:val="32"/>
          <w:szCs w:val="32"/>
          <w:highlight w:val="none"/>
        </w:rPr>
      </w:pPr>
    </w:p>
    <w:p w14:paraId="2A68C1B8">
      <w:pPr>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七</w:t>
      </w:r>
      <w:r>
        <w:rPr>
          <w:rFonts w:hint="eastAsia" w:ascii="宋体" w:hAnsi="宋体" w:eastAsia="宋体" w:cs="宋体"/>
          <w:color w:val="000000"/>
          <w:sz w:val="32"/>
          <w:szCs w:val="32"/>
          <w:highlight w:val="none"/>
        </w:rPr>
        <w:t>、盐城市政府采购事前信用承诺书</w:t>
      </w:r>
    </w:p>
    <w:p w14:paraId="75217F13">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18DD8FBA">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34412F7">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90A485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58E56AF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（四）严格遵守即时信息公示规定，及时维护和更新维护和更新盐城市政府采购网中与本单位相关的信息；</w:t>
      </w:r>
    </w:p>
    <w:p w14:paraId="1BF40E8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CF516D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0F59AEFC">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0A0314B">
      <w:pPr>
        <w:widowControl/>
        <w:spacing w:line="499" w:lineRule="atLeas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36DCEF3F">
      <w:pPr>
        <w:widowControl/>
        <w:spacing w:line="499" w:lineRule="atLeast"/>
        <w:jc w:val="left"/>
        <w:rPr>
          <w:rFonts w:hint="eastAsia" w:ascii="宋体" w:hAnsi="宋体" w:eastAsia="宋体" w:cs="宋体"/>
          <w:color w:val="000000"/>
          <w:sz w:val="24"/>
          <w:highlight w:val="none"/>
        </w:rPr>
      </w:pPr>
    </w:p>
    <w:p w14:paraId="75FB451F">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0AD3473C">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2748A81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6"/>
    <w:bookmarkEnd w:id="50"/>
    <w:bookmarkEnd w:id="97"/>
    <w:bookmarkEnd w:id="98"/>
    <w:bookmarkEnd w:id="99"/>
    <w:bookmarkEnd w:id="100"/>
    <w:bookmarkEnd w:id="101"/>
    <w:bookmarkEnd w:id="102"/>
    <w:bookmarkEnd w:id="103"/>
    <w:bookmarkEnd w:id="104"/>
    <w:bookmarkEnd w:id="113"/>
    <w:bookmarkEnd w:id="114"/>
    <w:bookmarkEnd w:id="121"/>
    <w:bookmarkEnd w:id="168"/>
    <w:bookmarkEnd w:id="599"/>
    <w:bookmarkEnd w:id="603"/>
    <w:bookmarkEnd w:id="604"/>
    <w:bookmarkEnd w:id="605"/>
    <w:bookmarkEnd w:id="606"/>
    <w:bookmarkEnd w:id="607"/>
    <w:bookmarkEnd w:id="608"/>
    <w:bookmarkEnd w:id="609"/>
    <w:bookmarkEnd w:id="610"/>
    <w:bookmarkEnd w:id="619"/>
    <w:bookmarkEnd w:id="620"/>
    <w:bookmarkEnd w:id="621"/>
    <w:bookmarkEnd w:id="622"/>
    <w:bookmarkEnd w:id="623"/>
    <w:p w14:paraId="46741A53">
      <w:pPr>
        <w:pStyle w:val="36"/>
        <w:spacing w:beforeAutospacing="0" w:afterAutospacing="0"/>
        <w:jc w:val="center"/>
        <w:rPr>
          <w:highlight w:val="none"/>
        </w:rPr>
      </w:pPr>
    </w:p>
    <w:p w14:paraId="004B59B4">
      <w:pPr>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p>
    <w:p w14:paraId="7BE8AE62">
      <w:pPr>
        <w:pStyle w:val="36"/>
        <w:spacing w:beforeAutospacing="0" w:afterAutospacing="0"/>
        <w:jc w:val="center"/>
        <w:rPr>
          <w:rFonts w:hint="eastAsia" w:ascii="宋体" w:hAnsi="宋体" w:eastAsia="宋体" w:cs="宋体"/>
          <w:b/>
          <w:color w:val="000000"/>
          <w:sz w:val="32"/>
          <w:szCs w:val="32"/>
          <w:highlight w:val="none"/>
        </w:rPr>
        <w:sectPr>
          <w:footerReference r:id="rId13" w:type="default"/>
          <w:pgSz w:w="11906" w:h="16838"/>
          <w:pgMar w:top="1460" w:right="1486" w:bottom="1518" w:left="1800" w:header="851" w:footer="992" w:gutter="0"/>
          <w:pgNumType w:start="58"/>
          <w:cols w:space="425" w:num="1"/>
          <w:docGrid w:linePitch="360" w:charSpace="0"/>
        </w:sectPr>
      </w:pPr>
    </w:p>
    <w:p w14:paraId="6630C88A">
      <w:pPr>
        <w:pStyle w:val="36"/>
        <w:spacing w:beforeAutospacing="0" w:afterAutospacing="0"/>
        <w:jc w:val="center"/>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十八、施工组织方案</w:t>
      </w:r>
    </w:p>
    <w:p w14:paraId="434874D2">
      <w:pPr>
        <w:pStyle w:val="36"/>
        <w:spacing w:beforeAutospacing="0" w:afterAutospacing="0"/>
        <w:jc w:val="center"/>
        <w:rPr>
          <w:rFonts w:hint="eastAsia" w:ascii="宋体" w:hAnsi="宋体" w:eastAsia="宋体" w:cs="宋体"/>
          <w:color w:val="000000"/>
          <w:sz w:val="32"/>
          <w:szCs w:val="32"/>
          <w:highlight w:val="none"/>
          <w:lang w:val="en-US" w:eastAsia="zh-CN" w:bidi="ar-SA"/>
        </w:rPr>
        <w:sectPr>
          <w:footerReference r:id="rId14" w:type="default"/>
          <w:pgSz w:w="11906" w:h="16838"/>
          <w:pgMar w:top="1440" w:right="1706" w:bottom="1440" w:left="1800" w:header="851" w:footer="992" w:gutter="0"/>
          <w:pgNumType w:start="60"/>
          <w:cols w:space="425" w:num="1"/>
          <w:docGrid w:linePitch="360" w:charSpace="0"/>
        </w:sectPr>
      </w:pPr>
    </w:p>
    <w:p w14:paraId="355610A9">
      <w:pPr>
        <w:pStyle w:val="36"/>
        <w:spacing w:beforeAutospacing="0" w:afterAutospacing="0"/>
        <w:jc w:val="center"/>
        <w:rPr>
          <w:rFonts w:hint="eastAsia" w:ascii="宋体" w:hAnsi="宋体" w:eastAsia="宋体" w:cs="宋体"/>
          <w:color w:val="000000"/>
          <w:sz w:val="32"/>
          <w:szCs w:val="32"/>
          <w:highlight w:val="none"/>
          <w:lang w:val="en-US" w:eastAsia="zh-CN" w:bidi="ar-SA"/>
        </w:rPr>
        <w:sectPr>
          <w:pgSz w:w="11906" w:h="16838"/>
          <w:pgMar w:top="1440" w:right="1706" w:bottom="1440" w:left="1800" w:header="851" w:footer="992" w:gutter="0"/>
          <w:pgNumType w:start="61"/>
          <w:cols w:space="425" w:num="1"/>
          <w:docGrid w:linePitch="360" w:charSpace="0"/>
        </w:sectPr>
      </w:pPr>
      <w:r>
        <w:rPr>
          <w:rFonts w:hint="eastAsia" w:ascii="宋体" w:hAnsi="宋体" w:eastAsia="宋体" w:cs="宋体"/>
          <w:color w:val="000000"/>
          <w:sz w:val="32"/>
          <w:szCs w:val="32"/>
          <w:highlight w:val="none"/>
          <w:lang w:val="en-US" w:eastAsia="zh-CN" w:bidi="ar-SA"/>
        </w:rPr>
        <w:t>十九、投标人认为需要提供的其他证明材料及文件</w:t>
      </w:r>
    </w:p>
    <w:p w14:paraId="229CACDF">
      <w:pPr>
        <w:pStyle w:val="36"/>
        <w:spacing w:beforeAutospacing="0" w:afterAutospacing="0"/>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质疑函范本</w:t>
      </w:r>
    </w:p>
    <w:p w14:paraId="61E1C7E6">
      <w:pPr>
        <w:pStyle w:val="36"/>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5053B3DE">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894ED0D">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8BD15EB">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2E32ECF">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6994E1">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63B0CE18">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988BC6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117873C">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06DF23C">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1A69CFE1">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4E51F12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70430278">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5BC7D6B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EC1A42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165AF4CE">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48995FF">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118F9B64">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0F0500A6">
      <w:pPr>
        <w:pStyle w:val="3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4E0521EB">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7C1BA07D">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327AB83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3D1FD59F">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238266C4">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11662BFA">
      <w:pPr>
        <w:pStyle w:val="36"/>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0DC2665B">
      <w:pPr>
        <w:pStyle w:val="36"/>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60FD11A2">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032636A3">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52D451E">
      <w:pPr>
        <w:pStyle w:val="36"/>
        <w:widowControl/>
        <w:spacing w:beforeAutospacing="0" w:afterAutospacing="0" w:line="0" w:lineRule="atLeast"/>
        <w:ind w:firstLine="480"/>
        <w:rPr>
          <w:rFonts w:hint="eastAsia" w:ascii="宋体" w:hAnsi="宋体" w:eastAsia="宋体" w:cs="宋体"/>
          <w:color w:val="000000"/>
          <w:highlight w:val="none"/>
        </w:rPr>
        <w:sectPr>
          <w:footerReference r:id="rId15" w:type="default"/>
          <w:pgSz w:w="11906" w:h="16838"/>
          <w:pgMar w:top="1440" w:right="1706" w:bottom="1440" w:left="1800" w:header="851" w:footer="992" w:gutter="0"/>
          <w:pgNumType w:fmt="decimal" w:start="1"/>
          <w:cols w:space="425" w:num="1"/>
          <w:docGrid w:linePitch="360" w:charSpace="0"/>
        </w:sectPr>
      </w:pPr>
    </w:p>
    <w:p w14:paraId="14F08858">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2478E4F7">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14DF87C6">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23C2A895">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7512426F">
      <w:pPr>
        <w:pStyle w:val="36"/>
        <w:spacing w:beforeAutospacing="0" w:afterAutospacing="0"/>
        <w:rPr>
          <w:highlight w:val="none"/>
        </w:rPr>
      </w:pPr>
    </w:p>
    <w:sectPr>
      <w:footerReference r:id="rId16" w:type="default"/>
      <w:pgSz w:w="11906" w:h="16838"/>
      <w:pgMar w:top="1440" w:right="1706" w:bottom="1440" w:left="1800" w:header="851" w:footer="992" w:gutter="0"/>
      <w:pgNumType w:fmt="decimal" w:start="2"/>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B0121">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8459B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18459B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0EB40">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C3787">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78C3787">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F251F">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32128">
                          <w:pPr>
                            <w:pStyle w:val="2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4732128">
                    <w:pPr>
                      <w:pStyle w:val="2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FD25E">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5E511">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045E511">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8F8F3">
    <w:pPr>
      <w:pStyle w:val="26"/>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09094">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9009094">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EF6A7">
    <w:pPr>
      <w:pStyle w:val="26"/>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05945">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3605945">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CE3E3">
    <w:pPr>
      <w:pStyle w:val="26"/>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A4FD3">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07A4FD3">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9C32C">
    <w:pPr>
      <w:pStyle w:val="26"/>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DA56C">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B0DA56C">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906D3">
    <w:pPr>
      <w:pStyle w:val="26"/>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6F0ED">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B66F0ED">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D7375">
    <w:pPr>
      <w:pStyle w:val="2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D613C">
                          <w:pPr>
                            <w:pStyle w:val="26"/>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6FD613C">
                    <w:pPr>
                      <w:pStyle w:val="26"/>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41F89">
    <w:pPr>
      <w:pStyle w:val="2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15F4F">
                          <w:pPr>
                            <w:pStyle w:val="2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C15F4F">
                    <w:pPr>
                      <w:pStyle w:val="2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AD78B">
    <w:pPr>
      <w:pStyle w:val="26"/>
      <w:jc w:val="center"/>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posOffset>2572385</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B6455">
                          <w:pPr>
                            <w:pStyle w:val="2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55pt;margin-top:0pt;height:144pt;width:144pt;mso-position-horizontal-relative:margin;mso-wrap-style:none;z-index:251665408;mso-width-relative:page;mso-height-relative:page;" filled="f" stroked="f" coordsize="21600,21600" o:gfxdata="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6ZhAzVAAAACAEAAA8AAAAAAAAAAQAgAAAAIgAAAGRycy9kb3ducmV2LnhtbFBL&#10;AQIUABQAAAAIAIdO4kAClSD0MgIAAGEEAAAOAAAAAAAAAAEAIAAAACQBAABkcnMvZTJvRG9jLnht&#10;bFBLBQYAAAAABgAGAFkBAADIBQAAAAA=&#10;">
              <v:fill on="f" focussize="0,0"/>
              <v:stroke on="f" weight="0.5pt"/>
              <v:imagedata o:title=""/>
              <o:lock v:ext="edit" aspectratio="f"/>
              <v:textbox inset="0mm,0mm,0mm,0mm" style="mso-fit-shape-to-text:t;">
                <w:txbxContent>
                  <w:p w14:paraId="6D3B6455">
                    <w:pPr>
                      <w:pStyle w:val="2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38113">
    <w:pPr>
      <w:pStyle w:val="26"/>
      <w:jc w:val="both"/>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AA626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9AA626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9C1F6">
    <w:pPr>
      <w:pStyle w:val="26"/>
      <w:jc w:val="center"/>
      <w:rPr>
        <w:rFonts w:hint="default"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67957">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5567957">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62156"/>
    <w:multiLevelType w:val="singleLevel"/>
    <w:tmpl w:val="80962156"/>
    <w:lvl w:ilvl="0" w:tentative="0">
      <w:start w:val="7"/>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A5010"/>
    <w:rsid w:val="0026130D"/>
    <w:rsid w:val="00382DEE"/>
    <w:rsid w:val="006E05BE"/>
    <w:rsid w:val="007A51B4"/>
    <w:rsid w:val="0083050D"/>
    <w:rsid w:val="009049D8"/>
    <w:rsid w:val="013730A5"/>
    <w:rsid w:val="01AA3877"/>
    <w:rsid w:val="01AF5332"/>
    <w:rsid w:val="029D7F20"/>
    <w:rsid w:val="03C71A9D"/>
    <w:rsid w:val="04220966"/>
    <w:rsid w:val="05263B5D"/>
    <w:rsid w:val="053973EC"/>
    <w:rsid w:val="054A15F9"/>
    <w:rsid w:val="056417BC"/>
    <w:rsid w:val="059473BF"/>
    <w:rsid w:val="05F61781"/>
    <w:rsid w:val="070D0B30"/>
    <w:rsid w:val="07383697"/>
    <w:rsid w:val="077A4FDF"/>
    <w:rsid w:val="08213C43"/>
    <w:rsid w:val="08CE42EF"/>
    <w:rsid w:val="08F2252A"/>
    <w:rsid w:val="095D5673"/>
    <w:rsid w:val="0A961E32"/>
    <w:rsid w:val="0B622A40"/>
    <w:rsid w:val="0B884C29"/>
    <w:rsid w:val="0BE65DF4"/>
    <w:rsid w:val="0C496A85"/>
    <w:rsid w:val="0CA21D1B"/>
    <w:rsid w:val="0F8C2646"/>
    <w:rsid w:val="0FB26719"/>
    <w:rsid w:val="0FF52AA9"/>
    <w:rsid w:val="101E35C0"/>
    <w:rsid w:val="104F401F"/>
    <w:rsid w:val="10526250"/>
    <w:rsid w:val="11B501C3"/>
    <w:rsid w:val="12681311"/>
    <w:rsid w:val="13852EBD"/>
    <w:rsid w:val="139B74C4"/>
    <w:rsid w:val="13DA0846"/>
    <w:rsid w:val="13F2564A"/>
    <w:rsid w:val="13FD3CDB"/>
    <w:rsid w:val="144361C6"/>
    <w:rsid w:val="145C3F76"/>
    <w:rsid w:val="15B01F70"/>
    <w:rsid w:val="17341583"/>
    <w:rsid w:val="182757CA"/>
    <w:rsid w:val="18793362"/>
    <w:rsid w:val="19190CAD"/>
    <w:rsid w:val="1A7A79AD"/>
    <w:rsid w:val="1B8F6630"/>
    <w:rsid w:val="1C136791"/>
    <w:rsid w:val="1C5841A4"/>
    <w:rsid w:val="1C5C2604"/>
    <w:rsid w:val="1C783649"/>
    <w:rsid w:val="1C931680"/>
    <w:rsid w:val="1CAC58C4"/>
    <w:rsid w:val="1D81772B"/>
    <w:rsid w:val="1F887A0E"/>
    <w:rsid w:val="203734CF"/>
    <w:rsid w:val="206550E2"/>
    <w:rsid w:val="20B34F18"/>
    <w:rsid w:val="20DD2E76"/>
    <w:rsid w:val="218F41BA"/>
    <w:rsid w:val="222A45DB"/>
    <w:rsid w:val="22BF31CF"/>
    <w:rsid w:val="234C2589"/>
    <w:rsid w:val="238E0DF3"/>
    <w:rsid w:val="23922691"/>
    <w:rsid w:val="23E43550"/>
    <w:rsid w:val="24015121"/>
    <w:rsid w:val="24BE5DAB"/>
    <w:rsid w:val="252F3F10"/>
    <w:rsid w:val="25D2119F"/>
    <w:rsid w:val="260234B4"/>
    <w:rsid w:val="261F5D33"/>
    <w:rsid w:val="27627D81"/>
    <w:rsid w:val="27FE6547"/>
    <w:rsid w:val="28433F5A"/>
    <w:rsid w:val="29EE7EF6"/>
    <w:rsid w:val="2A215FFF"/>
    <w:rsid w:val="2A8736F0"/>
    <w:rsid w:val="2AE952F3"/>
    <w:rsid w:val="2BCF6677"/>
    <w:rsid w:val="2BF81500"/>
    <w:rsid w:val="2CF117AF"/>
    <w:rsid w:val="2D355E3C"/>
    <w:rsid w:val="2D7603DD"/>
    <w:rsid w:val="2E031520"/>
    <w:rsid w:val="2ECE6548"/>
    <w:rsid w:val="2F3748AB"/>
    <w:rsid w:val="2F6A6270"/>
    <w:rsid w:val="2F8C5E77"/>
    <w:rsid w:val="302D1406"/>
    <w:rsid w:val="314E2716"/>
    <w:rsid w:val="31662EB4"/>
    <w:rsid w:val="31D56F67"/>
    <w:rsid w:val="31DF7FEB"/>
    <w:rsid w:val="327A0EC0"/>
    <w:rsid w:val="32972B34"/>
    <w:rsid w:val="330F2009"/>
    <w:rsid w:val="33392BE6"/>
    <w:rsid w:val="33F702EF"/>
    <w:rsid w:val="343D0270"/>
    <w:rsid w:val="34823C46"/>
    <w:rsid w:val="34A75871"/>
    <w:rsid w:val="34B70320"/>
    <w:rsid w:val="34D16D92"/>
    <w:rsid w:val="355754E9"/>
    <w:rsid w:val="35E13004"/>
    <w:rsid w:val="36940077"/>
    <w:rsid w:val="36EA5EE9"/>
    <w:rsid w:val="39162FC5"/>
    <w:rsid w:val="391C7BFB"/>
    <w:rsid w:val="3D9A2B2F"/>
    <w:rsid w:val="3E5A7DF8"/>
    <w:rsid w:val="3ECC225C"/>
    <w:rsid w:val="3EF207DB"/>
    <w:rsid w:val="3F6105E1"/>
    <w:rsid w:val="3F8E7D59"/>
    <w:rsid w:val="3FC90D91"/>
    <w:rsid w:val="4021297B"/>
    <w:rsid w:val="40221C05"/>
    <w:rsid w:val="40572841"/>
    <w:rsid w:val="408970AB"/>
    <w:rsid w:val="40F77B80"/>
    <w:rsid w:val="411E335F"/>
    <w:rsid w:val="41D57EC1"/>
    <w:rsid w:val="4287643B"/>
    <w:rsid w:val="431775D1"/>
    <w:rsid w:val="44684579"/>
    <w:rsid w:val="44B02D1D"/>
    <w:rsid w:val="44EC1B33"/>
    <w:rsid w:val="450E5498"/>
    <w:rsid w:val="453E7AC9"/>
    <w:rsid w:val="45BB318C"/>
    <w:rsid w:val="45C25319"/>
    <w:rsid w:val="45F621B4"/>
    <w:rsid w:val="47126B7C"/>
    <w:rsid w:val="47290367"/>
    <w:rsid w:val="485A0330"/>
    <w:rsid w:val="48817F77"/>
    <w:rsid w:val="49237327"/>
    <w:rsid w:val="4A0D1596"/>
    <w:rsid w:val="4A9329E8"/>
    <w:rsid w:val="4AA1441B"/>
    <w:rsid w:val="4ABA1391"/>
    <w:rsid w:val="4AC72371"/>
    <w:rsid w:val="4ADA6548"/>
    <w:rsid w:val="4ADC78FF"/>
    <w:rsid w:val="4BC36FDC"/>
    <w:rsid w:val="4BE11211"/>
    <w:rsid w:val="4C4071F4"/>
    <w:rsid w:val="4CDB65A8"/>
    <w:rsid w:val="4D115B26"/>
    <w:rsid w:val="4DDC25D7"/>
    <w:rsid w:val="4E1963C9"/>
    <w:rsid w:val="4E65437B"/>
    <w:rsid w:val="4EDD6607"/>
    <w:rsid w:val="4F622668"/>
    <w:rsid w:val="501E2A33"/>
    <w:rsid w:val="51F93709"/>
    <w:rsid w:val="52C06024"/>
    <w:rsid w:val="53212AEB"/>
    <w:rsid w:val="53871E1A"/>
    <w:rsid w:val="538738D0"/>
    <w:rsid w:val="54292B6D"/>
    <w:rsid w:val="544E765F"/>
    <w:rsid w:val="546649A9"/>
    <w:rsid w:val="555335BA"/>
    <w:rsid w:val="55B05380"/>
    <w:rsid w:val="55E70757"/>
    <w:rsid w:val="56002BDB"/>
    <w:rsid w:val="5818420C"/>
    <w:rsid w:val="583A0626"/>
    <w:rsid w:val="59056F40"/>
    <w:rsid w:val="598A2EE8"/>
    <w:rsid w:val="5A4412E8"/>
    <w:rsid w:val="5A736072"/>
    <w:rsid w:val="5AE144AC"/>
    <w:rsid w:val="5B2D4472"/>
    <w:rsid w:val="5C35178B"/>
    <w:rsid w:val="5C6902C9"/>
    <w:rsid w:val="5C8D7923"/>
    <w:rsid w:val="5CB40ABE"/>
    <w:rsid w:val="5D1F603D"/>
    <w:rsid w:val="5DBB3FB7"/>
    <w:rsid w:val="5FAF33D9"/>
    <w:rsid w:val="5FD27396"/>
    <w:rsid w:val="614F1904"/>
    <w:rsid w:val="624125B1"/>
    <w:rsid w:val="64CF20F6"/>
    <w:rsid w:val="65B17A4E"/>
    <w:rsid w:val="665F56FC"/>
    <w:rsid w:val="674635B6"/>
    <w:rsid w:val="683C7AA3"/>
    <w:rsid w:val="688F3BAF"/>
    <w:rsid w:val="68CF35B2"/>
    <w:rsid w:val="69514123"/>
    <w:rsid w:val="6ABE0C43"/>
    <w:rsid w:val="6B364C7D"/>
    <w:rsid w:val="6BBD714D"/>
    <w:rsid w:val="6BD9385B"/>
    <w:rsid w:val="6CBA3248"/>
    <w:rsid w:val="6D001FEB"/>
    <w:rsid w:val="6D631F76"/>
    <w:rsid w:val="6E1964D3"/>
    <w:rsid w:val="6E242666"/>
    <w:rsid w:val="6E453429"/>
    <w:rsid w:val="6ECD71E7"/>
    <w:rsid w:val="6FF375E1"/>
    <w:rsid w:val="70815550"/>
    <w:rsid w:val="70C80CCB"/>
    <w:rsid w:val="71A034EE"/>
    <w:rsid w:val="7212278A"/>
    <w:rsid w:val="734D5E3A"/>
    <w:rsid w:val="737F73DD"/>
    <w:rsid w:val="73A746CE"/>
    <w:rsid w:val="74662C01"/>
    <w:rsid w:val="749B1FF5"/>
    <w:rsid w:val="74DB0643"/>
    <w:rsid w:val="74DD43BC"/>
    <w:rsid w:val="74E45643"/>
    <w:rsid w:val="76546DCA"/>
    <w:rsid w:val="76BB0225"/>
    <w:rsid w:val="76CC46E8"/>
    <w:rsid w:val="77664F0C"/>
    <w:rsid w:val="77A80CB1"/>
    <w:rsid w:val="77A91655"/>
    <w:rsid w:val="77FD47D8"/>
    <w:rsid w:val="78454752"/>
    <w:rsid w:val="78CE2999"/>
    <w:rsid w:val="78DD0E2E"/>
    <w:rsid w:val="790028C1"/>
    <w:rsid w:val="7A006FB8"/>
    <w:rsid w:val="7A4078C7"/>
    <w:rsid w:val="7A952101"/>
    <w:rsid w:val="7B0A1050"/>
    <w:rsid w:val="7B9F061D"/>
    <w:rsid w:val="7BFA49D6"/>
    <w:rsid w:val="7C2C785D"/>
    <w:rsid w:val="7CAB2FF1"/>
    <w:rsid w:val="7D80086E"/>
    <w:rsid w:val="7E4B0FEF"/>
    <w:rsid w:val="7E5C0E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7"/>
    <w:next w:val="1"/>
    <w:qFormat/>
    <w:uiPriority w:val="0"/>
    <w:pPr>
      <w:keepNext/>
      <w:keepLines/>
      <w:spacing w:before="280" w:after="290" w:line="376" w:lineRule="auto"/>
      <w:outlineLvl w:val="3"/>
    </w:pPr>
    <w:rPr>
      <w:rFonts w:ascii="Arial" w:hAnsi="Arial" w:eastAsia="黑体"/>
      <w:b w:val="0"/>
      <w:bCs w:val="0"/>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unhideWhenUsed/>
    <w:qFormat/>
    <w:uiPriority w:val="0"/>
    <w:pPr>
      <w:spacing w:after="120"/>
    </w:pPr>
    <w:rPr>
      <w:rFonts w:ascii="Calibri" w:hAnsi="Calibri"/>
      <w:szCs w:val="22"/>
    </w:rPr>
  </w:style>
  <w:style w:type="paragraph" w:styleId="17">
    <w:name w:val="Body Text Indent"/>
    <w:basedOn w:val="1"/>
    <w:next w:val="18"/>
    <w:qFormat/>
    <w:uiPriority w:val="99"/>
    <w:pPr>
      <w:ind w:left="-105" w:firstLine="232"/>
    </w:pPr>
    <w:rPr>
      <w:rFonts w:eastAsia="仿宋_GB2312"/>
      <w:sz w:val="32"/>
      <w:szCs w:val="32"/>
    </w:rPr>
  </w:style>
  <w:style w:type="paragraph" w:styleId="18">
    <w:name w:val="envelope return"/>
    <w:basedOn w:val="1"/>
    <w:qFormat/>
    <w:uiPriority w:val="0"/>
    <w:rPr>
      <w:rFonts w:ascii="Arial" w:hAnsi="Arial" w:cs="Arial"/>
    </w:rPr>
  </w:style>
  <w:style w:type="paragraph" w:styleId="19">
    <w:name w:val="index 4"/>
    <w:basedOn w:val="1"/>
    <w:next w:val="1"/>
    <w:qFormat/>
    <w:uiPriority w:val="0"/>
    <w:pPr>
      <w:ind w:left="126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unhideWhenUsed/>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99"/>
    <w:rPr>
      <w:sz w:val="24"/>
    </w:rPr>
  </w:style>
  <w:style w:type="paragraph" w:styleId="25">
    <w:name w:val="endnote text"/>
    <w:basedOn w:val="1"/>
    <w:link w:val="192"/>
    <w:semiHidden/>
    <w:unhideWhenUsed/>
    <w:qFormat/>
    <w:uiPriority w:val="99"/>
    <w:pPr>
      <w:spacing w:after="0" w:line="240" w:lineRule="auto"/>
    </w:pPr>
    <w:rPr>
      <w:sz w:val="20"/>
    </w:rPr>
  </w:style>
  <w:style w:type="paragraph" w:styleId="26">
    <w:name w:val="footer"/>
    <w:basedOn w:val="1"/>
    <w:link w:val="200"/>
    <w:qFormat/>
    <w:uiPriority w:val="0"/>
    <w:pPr>
      <w:tabs>
        <w:tab w:val="center" w:pos="4153"/>
        <w:tab w:val="right" w:pos="8306"/>
      </w:tabs>
      <w:jc w:val="left"/>
    </w:pPr>
    <w:rPr>
      <w:sz w:val="18"/>
      <w:szCs w:val="18"/>
    </w:rPr>
  </w:style>
  <w:style w:type="paragraph" w:styleId="27">
    <w:name w:val="header"/>
    <w:basedOn w:val="1"/>
    <w:link w:val="199"/>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7"/>
    <w:next w:val="1"/>
    <w:qFormat/>
    <w:uiPriority w:val="0"/>
    <w:pPr>
      <w:spacing w:after="120"/>
      <w:ind w:left="420" w:firstLine="420"/>
    </w:pPr>
    <w:rPr>
      <w:sz w:val="21"/>
      <w:szCs w:val="24"/>
    </w:rPr>
  </w:style>
  <w:style w:type="table" w:styleId="40">
    <w:name w:val="Table Grid"/>
    <w:basedOn w:val="3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footnote reference"/>
    <w:basedOn w:val="41"/>
    <w:unhideWhenUsed/>
    <w:qFormat/>
    <w:uiPriority w:val="99"/>
    <w:rPr>
      <w:vertAlign w:val="superscript"/>
    </w:rPr>
  </w:style>
  <w:style w:type="paragraph" w:customStyle="1" w:styleId="46">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47">
    <w:name w:val="Heading 1 Char"/>
    <w:basedOn w:val="41"/>
    <w:link w:val="3"/>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link w:val="5"/>
    <w:qFormat/>
    <w:uiPriority w:val="9"/>
    <w:rPr>
      <w:rFonts w:ascii="Arial" w:hAnsi="Arial" w:eastAsia="Arial" w:cs="Arial"/>
      <w:sz w:val="30"/>
      <w:szCs w:val="30"/>
    </w:rPr>
  </w:style>
  <w:style w:type="character" w:customStyle="1" w:styleId="50">
    <w:name w:val="Heading 4 Char"/>
    <w:basedOn w:val="41"/>
    <w:qFormat/>
    <w:uiPriority w:val="9"/>
    <w:rPr>
      <w:rFonts w:ascii="Arial" w:hAnsi="Arial" w:eastAsia="Arial" w:cs="Arial"/>
      <w:b/>
      <w:bCs/>
      <w:sz w:val="26"/>
      <w:szCs w:val="26"/>
    </w:rPr>
  </w:style>
  <w:style w:type="character" w:customStyle="1" w:styleId="51">
    <w:name w:val="Heading 5 Char"/>
    <w:basedOn w:val="41"/>
    <w:qFormat/>
    <w:uiPriority w:val="9"/>
    <w:rPr>
      <w:rFonts w:ascii="Arial" w:hAnsi="Arial" w:eastAsia="Arial" w:cs="Arial"/>
      <w:b/>
      <w:bCs/>
      <w:sz w:val="24"/>
      <w:szCs w:val="24"/>
    </w:rPr>
  </w:style>
  <w:style w:type="character" w:customStyle="1" w:styleId="52">
    <w:name w:val="Heading 6 Char"/>
    <w:basedOn w:val="41"/>
    <w:link w:val="8"/>
    <w:qFormat/>
    <w:uiPriority w:val="9"/>
    <w:rPr>
      <w:rFonts w:ascii="Arial" w:hAnsi="Arial" w:eastAsia="Arial" w:cs="Arial"/>
      <w:b/>
      <w:bCs/>
      <w:sz w:val="22"/>
      <w:szCs w:val="22"/>
    </w:rPr>
  </w:style>
  <w:style w:type="character" w:customStyle="1" w:styleId="53">
    <w:name w:val="Heading 7 Char"/>
    <w:basedOn w:val="41"/>
    <w:link w:val="9"/>
    <w:qFormat/>
    <w:uiPriority w:val="9"/>
    <w:rPr>
      <w:rFonts w:ascii="Arial" w:hAnsi="Arial" w:eastAsia="Arial" w:cs="Arial"/>
      <w:b/>
      <w:bCs/>
      <w:i/>
      <w:iCs/>
      <w:sz w:val="22"/>
      <w:szCs w:val="22"/>
    </w:rPr>
  </w:style>
  <w:style w:type="character" w:customStyle="1" w:styleId="54">
    <w:name w:val="Heading 8 Char"/>
    <w:basedOn w:val="41"/>
    <w:link w:val="10"/>
    <w:qFormat/>
    <w:uiPriority w:val="9"/>
    <w:rPr>
      <w:rFonts w:ascii="Arial" w:hAnsi="Arial" w:eastAsia="Arial" w:cs="Arial"/>
      <w:i/>
      <w:iCs/>
      <w:sz w:val="22"/>
      <w:szCs w:val="22"/>
    </w:rPr>
  </w:style>
  <w:style w:type="character" w:customStyle="1" w:styleId="55">
    <w:name w:val="Heading 9 Char"/>
    <w:basedOn w:val="41"/>
    <w:link w:val="11"/>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1"/>
    <w:link w:val="37"/>
    <w:qFormat/>
    <w:uiPriority w:val="10"/>
    <w:rPr>
      <w:sz w:val="48"/>
      <w:szCs w:val="48"/>
    </w:rPr>
  </w:style>
  <w:style w:type="character" w:customStyle="1" w:styleId="58">
    <w:name w:val="Subtitle Char"/>
    <w:basedOn w:val="41"/>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1"/>
    <w:qFormat/>
    <w:uiPriority w:val="99"/>
  </w:style>
  <w:style w:type="character" w:customStyle="1" w:styleId="64">
    <w:name w:val="Footer Char"/>
    <w:basedOn w:val="41"/>
    <w:qFormat/>
    <w:uiPriority w:val="99"/>
  </w:style>
  <w:style w:type="character" w:customStyle="1" w:styleId="65">
    <w:name w:val="Caption Char"/>
    <w:qFormat/>
    <w:uiPriority w:val="99"/>
  </w:style>
  <w:style w:type="table" w:customStyle="1" w:styleId="66">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5"/>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41"/>
    <w:basedOn w:val="195"/>
    <w:next w:val="1"/>
    <w:qFormat/>
    <w:uiPriority w:val="0"/>
    <w:pPr>
      <w:keepNext/>
      <w:keepLines/>
      <w:spacing w:before="280" w:after="290" w:line="376" w:lineRule="auto"/>
      <w:outlineLvl w:val="3"/>
    </w:pPr>
    <w:rPr>
      <w:rFonts w:ascii="Cambria" w:hAnsi="Cambria"/>
      <w:b/>
      <w:bCs/>
      <w:sz w:val="28"/>
      <w:szCs w:val="28"/>
    </w:rPr>
  </w:style>
  <w:style w:type="paragraph" w:customStyle="1" w:styleId="195">
    <w:name w:val="正文12"/>
    <w:next w:val="196"/>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196">
    <w:name w:val="正文文本111"/>
    <w:basedOn w:val="195"/>
    <w:next w:val="195"/>
    <w:qFormat/>
    <w:uiPriority w:val="0"/>
  </w:style>
  <w:style w:type="paragraph" w:customStyle="1" w:styleId="197">
    <w:name w:val="正文首行缩进11"/>
    <w:basedOn w:val="198"/>
    <w:next w:val="1"/>
    <w:unhideWhenUsed/>
    <w:qFormat/>
    <w:uiPriority w:val="99"/>
    <w:pPr>
      <w:ind w:firstLine="420"/>
    </w:pPr>
    <w:rPr>
      <w:rFonts w:ascii="Times New Roman" w:hAnsi="Times New Roman"/>
    </w:rPr>
  </w:style>
  <w:style w:type="paragraph" w:customStyle="1" w:styleId="198">
    <w:name w:val="正文文本11"/>
    <w:basedOn w:val="1"/>
    <w:next w:val="1"/>
    <w:qFormat/>
    <w:uiPriority w:val="0"/>
    <w:rPr>
      <w:rFonts w:ascii="楷体_GB2312" w:hAnsi="Arial" w:eastAsia="楷体_GB2312"/>
      <w:sz w:val="28"/>
      <w:szCs w:val="28"/>
      <w:lang w:eastAsia="en-US"/>
    </w:rPr>
  </w:style>
  <w:style w:type="character" w:customStyle="1" w:styleId="199">
    <w:name w:val="页眉 Char"/>
    <w:basedOn w:val="41"/>
    <w:link w:val="27"/>
    <w:qFormat/>
    <w:uiPriority w:val="0"/>
    <w:rPr>
      <w:rFonts w:asciiTheme="minorHAnsi" w:hAnsiTheme="minorHAnsi" w:eastAsiaTheme="minorEastAsia" w:cstheme="minorBidi"/>
      <w:sz w:val="18"/>
      <w:szCs w:val="18"/>
    </w:rPr>
  </w:style>
  <w:style w:type="character" w:customStyle="1" w:styleId="200">
    <w:name w:val="页脚 Char"/>
    <w:basedOn w:val="41"/>
    <w:link w:val="26"/>
    <w:qFormat/>
    <w:uiPriority w:val="0"/>
    <w:rPr>
      <w:rFonts w:asciiTheme="minorHAnsi" w:hAnsiTheme="minorHAnsi" w:eastAsiaTheme="minorEastAsia" w:cstheme="minorBidi"/>
      <w:sz w:val="18"/>
      <w:szCs w:val="18"/>
    </w:rPr>
  </w:style>
  <w:style w:type="paragraph" w:customStyle="1" w:styleId="20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2">
    <w:name w:val="页脚1"/>
    <w:basedOn w:val="1"/>
    <w:unhideWhenUsed/>
    <w:qFormat/>
    <w:uiPriority w:val="99"/>
    <w:pPr>
      <w:tabs>
        <w:tab w:val="center" w:pos="4153"/>
        <w:tab w:val="right" w:pos="8306"/>
      </w:tabs>
      <w:jc w:val="left"/>
    </w:pPr>
    <w:rPr>
      <w:sz w:val="18"/>
      <w:szCs w:val="18"/>
    </w:rPr>
  </w:style>
  <w:style w:type="paragraph" w:customStyle="1" w:styleId="203">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04">
    <w:name w:val="正文首行缩进 21"/>
    <w:basedOn w:val="205"/>
    <w:qFormat/>
    <w:uiPriority w:val="0"/>
    <w:pPr>
      <w:ind w:firstLine="420"/>
    </w:pPr>
  </w:style>
  <w:style w:type="paragraph" w:customStyle="1" w:styleId="205">
    <w:name w:val="正文文本缩进1"/>
    <w:basedOn w:val="1"/>
    <w:next w:val="206"/>
    <w:qFormat/>
    <w:uiPriority w:val="0"/>
    <w:pPr>
      <w:spacing w:after="120"/>
      <w:ind w:left="420"/>
    </w:pPr>
  </w:style>
  <w:style w:type="paragraph" w:customStyle="1" w:styleId="206">
    <w:name w:val="寄信人地址1"/>
    <w:basedOn w:val="207"/>
    <w:qFormat/>
    <w:uiPriority w:val="0"/>
    <w:rPr>
      <w:rFonts w:ascii="Arial" w:hAnsi="Arial"/>
    </w:rPr>
  </w:style>
  <w:style w:type="paragraph" w:customStyle="1" w:styleId="207">
    <w:name w:val="正文11"/>
    <w:next w:val="2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8">
    <w:name w:val="文本块1"/>
    <w:basedOn w:val="209"/>
    <w:next w:val="194"/>
    <w:qFormat/>
    <w:uiPriority w:val="0"/>
    <w:pPr>
      <w:ind w:left="420" w:right="33"/>
      <w:jc w:val="left"/>
    </w:pPr>
    <w:rPr>
      <w:sz w:val="24"/>
      <w:szCs w:val="20"/>
    </w:rPr>
  </w:style>
  <w:style w:type="paragraph" w:customStyle="1" w:styleId="209">
    <w:name w:val="正文1"/>
    <w:basedOn w:val="2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10">
    <w:name w:val="正文111"/>
    <w:next w:val="20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1">
    <w:name w:val="目录 11"/>
    <w:basedOn w:val="209"/>
    <w:next w:val="195"/>
    <w:qFormat/>
    <w:uiPriority w:val="0"/>
  </w:style>
  <w:style w:type="paragraph" w:customStyle="1" w:styleId="212">
    <w:name w:val="普通(网站)11"/>
    <w:basedOn w:val="1"/>
    <w:qFormat/>
    <w:uiPriority w:val="0"/>
    <w:pPr>
      <w:spacing w:beforeAutospacing="1" w:afterAutospacing="1"/>
      <w:jc w:val="left"/>
    </w:pPr>
    <w:rPr>
      <w:rFonts w:cs="Times New Roman"/>
      <w:sz w:val="24"/>
    </w:rPr>
  </w:style>
  <w:style w:type="paragraph" w:customStyle="1" w:styleId="213">
    <w:name w:val="普通(网站)1"/>
    <w:basedOn w:val="1"/>
    <w:qFormat/>
    <w:uiPriority w:val="0"/>
    <w:pPr>
      <w:spacing w:beforeAutospacing="1" w:afterAutospacing="1"/>
      <w:jc w:val="left"/>
    </w:pPr>
    <w:rPr>
      <w:rFonts w:cs="Times New Roman"/>
      <w:sz w:val="24"/>
    </w:rPr>
  </w:style>
  <w:style w:type="character" w:customStyle="1" w:styleId="214">
    <w:name w:val="font11"/>
    <w:qFormat/>
    <w:uiPriority w:val="0"/>
    <w:rPr>
      <w:rFonts w:hint="eastAsia" w:ascii="仿宋" w:hAnsi="仿宋" w:eastAsia="仿宋" w:cs="仿宋"/>
      <w:color w:val="000000"/>
      <w:sz w:val="20"/>
      <w:szCs w:val="20"/>
      <w:u w:val="none"/>
    </w:rPr>
  </w:style>
  <w:style w:type="paragraph" w:customStyle="1" w:styleId="215">
    <w:name w:val="正文文本1"/>
    <w:basedOn w:val="1"/>
    <w:next w:val="1"/>
    <w:unhideWhenUsed/>
    <w:qFormat/>
    <w:uiPriority w:val="0"/>
    <w:pPr>
      <w:spacing w:after="120"/>
    </w:pPr>
    <w:rPr>
      <w:rFonts w:ascii="Calibri" w:hAnsi="Calibri"/>
      <w:szCs w:val="22"/>
    </w:rPr>
  </w:style>
  <w:style w:type="paragraph" w:styleId="216">
    <w:name w:val="List Paragraph"/>
    <w:basedOn w:val="1"/>
    <w:qFormat/>
    <w:uiPriority w:val="34"/>
    <w:pPr>
      <w:ind w:firstLine="420"/>
    </w:pPr>
  </w:style>
  <w:style w:type="paragraph" w:customStyle="1" w:styleId="217">
    <w:name w:val="段"/>
    <w:next w:val="1"/>
    <w:qFormat/>
    <w:uiPriority w:val="0"/>
    <w:pPr>
      <w:ind w:firstLine="200"/>
      <w:jc w:val="both"/>
    </w:pPr>
    <w:rPr>
      <w:rFonts w:hint="default" w:ascii="宋体" w:hAnsi="Calibri" w:eastAsia="Times New Roman" w:cs="宋体"/>
      <w:sz w:val="21"/>
    </w:rPr>
  </w:style>
  <w:style w:type="table" w:customStyle="1" w:styleId="218">
    <w:name w:val="网格型1"/>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9">
    <w:name w:val="font51"/>
    <w:basedOn w:val="41"/>
    <w:qFormat/>
    <w:uiPriority w:val="0"/>
    <w:rPr>
      <w:rFonts w:hint="eastAsia" w:ascii="仿宋" w:hAnsi="仿宋" w:eastAsia="仿宋" w:cs="仿宋"/>
      <w:color w:val="000000"/>
      <w:sz w:val="24"/>
      <w:szCs w:val="24"/>
      <w:u w:val="none"/>
    </w:rPr>
  </w:style>
  <w:style w:type="character" w:customStyle="1" w:styleId="220">
    <w:name w:val="font81"/>
    <w:basedOn w:val="41"/>
    <w:qFormat/>
    <w:uiPriority w:val="0"/>
    <w:rPr>
      <w:rFonts w:ascii="Arial" w:hAnsi="Arial" w:cs="Arial"/>
      <w:color w:val="000000"/>
      <w:sz w:val="22"/>
      <w:szCs w:val="22"/>
      <w:u w:val="none"/>
    </w:rPr>
  </w:style>
  <w:style w:type="character" w:customStyle="1" w:styleId="221">
    <w:name w:val="font01"/>
    <w:basedOn w:val="41"/>
    <w:qFormat/>
    <w:uiPriority w:val="0"/>
    <w:rPr>
      <w:rFonts w:hint="eastAsia" w:ascii="宋体" w:hAnsi="宋体" w:eastAsia="宋体" w:cs="宋体"/>
      <w:color w:val="000000"/>
      <w:sz w:val="22"/>
      <w:szCs w:val="22"/>
      <w:u w:val="none"/>
    </w:rPr>
  </w:style>
  <w:style w:type="paragraph" w:customStyle="1" w:styleId="222">
    <w:name w:val="列出段落1"/>
    <w:basedOn w:val="1"/>
    <w:qFormat/>
    <w:uiPriority w:val="0"/>
    <w:pPr>
      <w:widowControl/>
      <w:ind w:left="720"/>
      <w:contextualSpacing/>
    </w:pPr>
    <w:rPr>
      <w:rFonts w:ascii="Calibri" w:hAnsi="Calibri"/>
      <w:sz w:val="24"/>
      <w:lang w:eastAsia="en-US" w:bidi="en-US"/>
    </w:rPr>
  </w:style>
  <w:style w:type="paragraph" w:customStyle="1" w:styleId="223">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24">
    <w:name w:val="正文缩进1"/>
    <w:basedOn w:val="1"/>
    <w:qFormat/>
    <w:uiPriority w:val="0"/>
    <w:pPr>
      <w:autoSpaceDE w:val="0"/>
      <w:autoSpaceDN w:val="0"/>
      <w:adjustRightInd w:val="0"/>
      <w:ind w:firstLine="420"/>
      <w:jc w:val="left"/>
    </w:pPr>
    <w:rPr>
      <w:rFonts w:asci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63</Pages>
  <Words>28371</Words>
  <Characters>30286</Characters>
  <TotalTime>6</TotalTime>
  <ScaleCrop>false</ScaleCrop>
  <LinksUpToDate>false</LinksUpToDate>
  <CharactersWithSpaces>31818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李想</cp:lastModifiedBy>
  <dcterms:modified xsi:type="dcterms:W3CDTF">2026-07-14T06:40:47Z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2A1CD4C41FC448899BBA29BFC229CBA6</vt:lpwstr>
  </property>
  <property fmtid="{D5CDD505-2E9C-101B-9397-08002B2CF9AE}" pid="4" name="KSOTemplateDocerSaveRecord">
    <vt:lpwstr>eyJoZGlkIjoiZjlmZTM0ZGMxZDQ4NTg1YTBhZDhhZGQxYWIwMmZkMGUiLCJ1c2VySWQiOiIxMTc3MDM5MTI1In0=</vt:lpwstr>
  </property>
</Properties>
</file>