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w:t>
      </w:r>
      <w:r>
        <w:rPr>
          <w:rFonts w:hint="eastAsia" w:ascii="宋体" w:hAnsi="宋体" w:cs="宋体"/>
          <w:b/>
          <w:bCs/>
          <w:color w:val="auto"/>
          <w:sz w:val="32"/>
          <w:szCs w:val="21"/>
          <w:highlight w:val="none"/>
          <w:lang w:eastAsia="zh-CN"/>
        </w:rPr>
        <w:t xml:space="preserve">JSZC-321002-JSWC-C2026-0026</w:t>
      </w:r>
      <w:r/>
    </w:p>
    <w:p>
      <w:pPr>
        <w:pStyle w:val="737"/>
        <w:spacing w:before="0" w:after="0" w:line="360" w:lineRule="auto"/>
        <w:rPr>
          <w:color w:val="auto"/>
          <w:highlight w:val="none"/>
        </w:rPr>
      </w:pPr>
      <w:r>
        <w:rPr>
          <w:color w:val="auto"/>
          <w:highlight w:val="none"/>
        </w:rPr>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扬州市社区干部进修中心后勤管理服务采购项目</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384800" cy="3550285"/>
                <wp:effectExtent l="0" t="0" r="635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5384800" cy="3550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4.0pt;height:279.6pt;mso-wrap-distance-left:0.0pt;mso-wrap-distance-top:0.0pt;mso-wrap-distance-right:0.0pt;mso-wrap-distance-bottom:0.0pt;" stroked="f">
                <v:path textboxrect="0,0,0,0"/>
                <v:imagedata r:id="rId11"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pStyle w:val="717"/>
        <w:rPr>
          <w:color w:val="auto"/>
          <w:highlight w:val="none"/>
        </w:rPr>
      </w:pPr>
      <w:r>
        <w:rPr>
          <w:color w:val="auto"/>
          <w:highlight w:val="none"/>
        </w:rPr>
      </w:r>
      <w:r/>
    </w:p>
    <w:p>
      <w:pPr>
        <w:jc w:val="center"/>
        <w:spacing w:line="360" w:lineRule="auto"/>
        <w:rPr>
          <w:rFonts w:ascii="宋体" w:hAnsi="宋体" w:cs="宋体"/>
          <w:b/>
          <w:bCs/>
          <w:color w:val="auto"/>
          <w:sz w:val="36"/>
          <w:highlight w:val="none"/>
        </w:rPr>
      </w:pPr>
      <w:r/>
      <w:bookmarkStart w:id="3" w:name="FMFBSJ_1"/>
      <w:r>
        <w:rPr>
          <w:rFonts w:hint="eastAsia" w:ascii="宋体" w:hAnsi="宋体" w:cs="宋体"/>
          <w:b/>
          <w:bCs/>
          <w:color w:val="auto"/>
          <w:sz w:val="36"/>
          <w:highlight w:val="none"/>
        </w:rPr>
        <w:t xml:space="preserve">江苏唯诚建设咨询有限公司</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202</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8</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3</w:t>
      </w:r>
      <w:r>
        <w:rPr>
          <w:rFonts w:hint="eastAsia" w:ascii="宋体" w:hAnsi="宋体" w:cs="宋体"/>
          <w:b/>
          <w:bCs/>
          <w:color w:val="auto"/>
          <w:sz w:val="36"/>
          <w:highlight w:val="none"/>
        </w:rPr>
        <w:t xml:space="preserve">日</w:t>
      </w:r>
      <w:bookmarkEnd w:id="3"/>
      <w:r/>
      <w:r/>
    </w:p>
    <w:p>
      <w:pPr>
        <w:jc w:val="center"/>
        <w:spacing w:line="360" w:lineRule="auto"/>
        <w:rPr>
          <w:color w:val="auto"/>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目 录</w:t>
      </w:r>
      <w:r/>
    </w:p>
    <w:p>
      <w:pPr>
        <w:pStyle w:val="722"/>
        <w:tabs>
          <w:tab w:val="right" w:pos="8306" w:leader="dot"/>
        </w:tabs>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Cs w:val="36"/>
          <w:highlight w:val="none"/>
        </w:rPr>
        <w:t xml:space="preserve">第一章 竞争性磋商采购公告</w:t>
      </w:r>
      <w:r>
        <w:tab/>
      </w:r>
      <w:r>
        <w:fldChar w:fldCharType="begin"/>
      </w:r>
      <w:r>
        <w:instrText xml:space="preserve"> PAGEREF _Toc20270 \h </w:instrText>
      </w:r>
      <w:r>
        <w:fldChar w:fldCharType="separate"/>
      </w:r>
      <w:r>
        <w:t xml:space="preserve">3</w:t>
      </w:r>
      <w:r>
        <w:fldChar w:fldCharType="end"/>
      </w:r>
      <w:r/>
    </w:p>
    <w:p>
      <w:pPr>
        <w:pStyle w:val="722"/>
        <w:tabs>
          <w:tab w:val="right" w:pos="8306" w:leader="dot"/>
        </w:tabs>
      </w:pPr>
      <w:r>
        <w:rPr>
          <w:rFonts w:hint="eastAsia" w:ascii="宋体" w:hAnsi="宋体" w:cs="宋体"/>
          <w:color w:val="auto"/>
          <w:highlight w:val="none"/>
        </w:rPr>
        <w:t xml:space="preserve">第二章 磋商须知</w:t>
      </w:r>
      <w:r>
        <w:tab/>
      </w:r>
      <w:r>
        <w:fldChar w:fldCharType="begin"/>
      </w:r>
      <w:r>
        <w:instrText xml:space="preserve"> PAGEREF _Toc9821 \h </w:instrText>
      </w:r>
      <w:r>
        <w:fldChar w:fldCharType="separate"/>
      </w:r>
      <w:r>
        <w:t xml:space="preserve">7</w:t>
      </w:r>
      <w:r>
        <w:fldChar w:fldCharType="end"/>
      </w:r>
      <w:r/>
    </w:p>
    <w:p>
      <w:pPr>
        <w:pStyle w:val="722"/>
        <w:tabs>
          <w:tab w:val="right" w:pos="8306" w:leader="dot"/>
        </w:tabs>
      </w:pPr>
      <w:r>
        <w:rPr>
          <w:rFonts w:hint="eastAsia" w:ascii="宋体" w:hAnsi="宋体" w:cs="宋体"/>
          <w:color w:val="auto"/>
          <w:highlight w:val="none"/>
        </w:rPr>
        <w:t xml:space="preserve">第三章 合同条款及格式</w:t>
      </w:r>
      <w:r>
        <w:tab/>
      </w:r>
      <w:r>
        <w:fldChar w:fldCharType="begin"/>
      </w:r>
      <w:r>
        <w:instrText xml:space="preserve"> PAGEREF _Toc5462 \h </w:instrText>
      </w:r>
      <w:r>
        <w:fldChar w:fldCharType="separate"/>
      </w:r>
      <w:r>
        <w:t xml:space="preserve">17</w:t>
      </w:r>
      <w:r>
        <w:fldChar w:fldCharType="end"/>
      </w:r>
      <w:r/>
    </w:p>
    <w:p>
      <w:pPr>
        <w:pStyle w:val="722"/>
        <w:tabs>
          <w:tab w:val="right" w:pos="8306" w:leader="dot"/>
        </w:tabs>
      </w:pPr>
      <w:r>
        <w:rPr>
          <w:rFonts w:hint="eastAsia" w:ascii="宋体" w:hAnsi="宋体" w:cs="宋体"/>
          <w:color w:val="auto"/>
          <w:highlight w:val="none"/>
        </w:rPr>
        <w:t xml:space="preserve">第四章 项目需求</w:t>
      </w:r>
      <w:r>
        <w:tab/>
      </w:r>
      <w:r>
        <w:fldChar w:fldCharType="begin"/>
      </w:r>
      <w:r>
        <w:instrText xml:space="preserve"> PAGEREF _Toc32723 \h </w:instrText>
      </w:r>
      <w:r>
        <w:fldChar w:fldCharType="separate"/>
      </w:r>
      <w:r>
        <w:t xml:space="preserve">22</w:t>
      </w:r>
      <w:r>
        <w:fldChar w:fldCharType="end"/>
      </w:r>
      <w:r/>
    </w:p>
    <w:p>
      <w:pPr>
        <w:pStyle w:val="722"/>
        <w:tabs>
          <w:tab w:val="right" w:pos="8306" w:leader="dot"/>
        </w:tabs>
      </w:pPr>
      <w:r>
        <w:rPr>
          <w:rFonts w:hint="eastAsia" w:ascii="宋体" w:hAnsi="宋体" w:cs="宋体"/>
          <w:color w:val="auto"/>
          <w:highlight w:val="none"/>
        </w:rPr>
        <w:t xml:space="preserve">第五章 评审方法及评审标准</w:t>
      </w:r>
      <w:r>
        <w:tab/>
      </w:r>
      <w:r>
        <w:fldChar w:fldCharType="begin"/>
      </w:r>
      <w:r>
        <w:instrText xml:space="preserve"> PAGEREF _Toc23572 \h </w:instrText>
      </w:r>
      <w:r>
        <w:fldChar w:fldCharType="separate"/>
      </w:r>
      <w:r>
        <w:t xml:space="preserve">2</w:t>
      </w:r>
      <w:r>
        <w:rPr>
          <w:rFonts w:hint="eastAsia"/>
          <w:lang w:val="en-US" w:eastAsia="zh-CN"/>
        </w:rPr>
        <w:t xml:space="preserve">8</w:t>
      </w:r>
      <w:r>
        <w:fldChar w:fldCharType="end"/>
      </w:r>
      <w:r/>
    </w:p>
    <w:p>
      <w:pPr>
        <w:pStyle w:val="722"/>
        <w:tabs>
          <w:tab w:val="right" w:pos="8306" w:leader="dot"/>
        </w:tabs>
      </w:pPr>
      <w:r>
        <w:rPr>
          <w:rFonts w:hint="eastAsia" w:ascii="宋体" w:hAnsi="宋体" w:cs="宋体"/>
          <w:color w:val="auto"/>
          <w:highlight w:val="none"/>
        </w:rPr>
        <w:t xml:space="preserve">第六章 竞争性磋商响应文件格式</w:t>
      </w:r>
      <w:r>
        <w:tab/>
      </w:r>
      <w:r>
        <w:fldChar w:fldCharType="begin"/>
      </w:r>
      <w:r>
        <w:instrText xml:space="preserve"> PAGEREF _Toc28246 \h </w:instrText>
      </w:r>
      <w:r>
        <w:fldChar w:fldCharType="separate"/>
      </w:r>
      <w:r>
        <w:t xml:space="preserve">31</w:t>
      </w:r>
      <w:r>
        <w:fldChar w:fldCharType="end"/>
      </w:r>
      <w:r/>
    </w:p>
    <w:p>
      <w:pPr>
        <w:jc w:val="center"/>
        <w:spacing w:line="360" w:lineRule="auto"/>
        <w:rPr>
          <w:rFonts w:ascii="宋体" w:hAnsi="宋体" w:cs="宋体"/>
          <w:color w:val="auto"/>
          <w:sz w:val="28"/>
          <w:highlight w:val="none"/>
        </w:rPr>
      </w:pPr>
      <w:r>
        <w:rPr>
          <w:rFonts w:hint="eastAsia" w:ascii="宋体" w:hAnsi="宋体" w:cs="宋体"/>
          <w:color w:val="auto"/>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912"/>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20270"/>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扬州市社区干部进修中心</w:t>
      </w:r>
      <w:r>
        <w:rPr>
          <w:rFonts w:hint="eastAsia" w:ascii="宋体" w:hAnsi="宋体" w:cs="宋体"/>
          <w:color w:val="auto"/>
          <w:szCs w:val="21"/>
          <w:highlight w:val="none"/>
        </w:rPr>
        <w:t xml:space="preserve">的委托，江苏唯诚建设咨询有限公司就</w:t>
      </w:r>
      <w:r>
        <w:rPr>
          <w:rFonts w:hint="eastAsia" w:ascii="宋体" w:hAnsi="宋体" w:cs="宋体"/>
          <w:color w:val="auto"/>
          <w:szCs w:val="21"/>
          <w:highlight w:val="none"/>
          <w:lang w:eastAsia="zh-CN"/>
        </w:rPr>
        <w:t xml:space="preserve">扬州市社区干部进修中心后勤管理服务采购项目</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扬州市社区干部进修中心后勤管理服务采购项目</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可在“扬州市广陵区政府采购网”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13"/>
        <w:ind w:firstLine="422"/>
        <w:jc w:val="both"/>
        <w:pageBreakBefore w:val="0"/>
        <w:spacing w:before="0" w:after="0" w:line="360" w:lineRule="auto"/>
        <w:rPr>
          <w:rFonts w:ascii="宋体" w:hAnsi="宋体" w:cs="宋体"/>
          <w:bCs w:val="0"/>
          <w:color w:val="auto"/>
          <w:sz w:val="21"/>
          <w:szCs w:val="21"/>
          <w:highlight w:val="none"/>
        </w:rPr>
      </w:pPr>
      <w:r/>
      <w:bookmarkStart w:id="6" w:name="_Toc109304963"/>
      <w:r/>
      <w:bookmarkStart w:id="7" w:name="_Toc23034"/>
      <w:r>
        <w:rPr>
          <w:rFonts w:hint="eastAsia" w:ascii="宋体" w:hAnsi="宋体" w:cs="宋体"/>
          <w:bCs w:val="0"/>
          <w:color w:val="auto"/>
          <w:sz w:val="21"/>
          <w:szCs w:val="21"/>
          <w:highlight w:val="none"/>
        </w:rPr>
        <w:t xml:space="preserve">一、项目基本情况</w:t>
      </w:r>
      <w:bookmarkEnd w:id="6"/>
      <w:r/>
      <w:bookmarkEnd w:id="7"/>
      <w:r/>
      <w:r/>
    </w:p>
    <w:p>
      <w:pPr>
        <w:ind w:firstLine="420"/>
        <w:jc w:val="both"/>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JSZC-321002-JSWC-C2026-0026</w:t>
      </w:r>
      <w:r/>
    </w:p>
    <w:p>
      <w:pPr>
        <w:ind w:firstLine="420"/>
        <w:jc w:val="both"/>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扬州市社区干部进修中心后勤管理服务采购项目</w:t>
      </w:r>
      <w:r/>
    </w:p>
    <w:p>
      <w:pPr>
        <w:ind w:firstLine="420"/>
        <w:jc w:val="both"/>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jc w:val="both"/>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158</w:t>
      </w:r>
      <w:r>
        <w:rPr>
          <w:rFonts w:hint="eastAsia" w:ascii="宋体" w:hAnsi="宋体" w:cs="宋体"/>
          <w:color w:val="auto"/>
          <w:szCs w:val="21"/>
          <w:highlight w:val="none"/>
        </w:rPr>
        <w:t xml:space="preserve">万元（</w:t>
      </w:r>
      <w:r>
        <w:rPr>
          <w:rFonts w:hint="eastAsia" w:ascii="宋体" w:hAnsi="宋体" w:cs="宋体"/>
          <w:color w:val="auto"/>
          <w:highlight w:val="none"/>
        </w:rPr>
        <w:t xml:space="preserve">本项目设置最高限价，</w:t>
      </w:r>
      <w:r>
        <w:rPr>
          <w:rFonts w:hint="eastAsia" w:ascii="宋体" w:hAnsi="宋体" w:cs="宋体"/>
          <w:color w:val="auto"/>
          <w:highlight w:val="none"/>
          <w:lang w:val="en-US" w:eastAsia="zh-CN"/>
        </w:rPr>
        <w:t xml:space="preserve">158</w:t>
      </w:r>
      <w:r>
        <w:rPr>
          <w:rFonts w:hint="eastAsia" w:ascii="宋体" w:hAnsi="宋体" w:cs="宋体"/>
          <w:color w:val="auto"/>
          <w:highlight w:val="none"/>
        </w:rPr>
        <w:t xml:space="preserve">万元</w:t>
      </w:r>
      <w:r>
        <w:rPr>
          <w:rFonts w:hint="eastAsia" w:ascii="宋体" w:hAnsi="宋体" w:cs="宋体"/>
          <w:color w:val="auto"/>
          <w:szCs w:val="21"/>
          <w:highlight w:val="none"/>
        </w:rPr>
        <w:t xml:space="preserve">）</w:t>
      </w:r>
      <w:r/>
    </w:p>
    <w:p>
      <w:pPr>
        <w:ind w:firstLine="420"/>
        <w:jc w:val="both"/>
        <w:pageBreakBefore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5.采购需求：见采购文件第四章</w:t>
      </w:r>
      <w:r/>
    </w:p>
    <w:p>
      <w:pPr>
        <w:ind w:firstLine="420"/>
        <w:jc w:val="both"/>
        <w:pageBreakBefore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6.合同履行期限：详见磋商文件第四章</w:t>
      </w:r>
      <w:r/>
    </w:p>
    <w:p>
      <w:pPr>
        <w:ind w:firstLine="420"/>
        <w:jc w:val="both"/>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7.本项目不接受联合体响应。</w:t>
      </w:r>
      <w:r/>
    </w:p>
    <w:p>
      <w:pPr>
        <w:pStyle w:val="913"/>
        <w:ind w:firstLine="422"/>
        <w:jc w:val="both"/>
        <w:pageBreakBefore w:val="0"/>
        <w:spacing w:before="0" w:after="0" w:line="360" w:lineRule="auto"/>
        <w:rPr>
          <w:rFonts w:ascii="宋体" w:hAnsi="宋体" w:cs="宋体"/>
          <w:bCs w:val="0"/>
          <w:color w:val="auto"/>
          <w:sz w:val="21"/>
          <w:szCs w:val="21"/>
          <w:highlight w:val="none"/>
        </w:rPr>
      </w:pPr>
      <w:r/>
      <w:bookmarkStart w:id="8" w:name="_Toc109304964"/>
      <w:r/>
      <w:bookmarkStart w:id="9" w:name="_Toc24320"/>
      <w:r>
        <w:rPr>
          <w:rFonts w:hint="eastAsia" w:ascii="宋体" w:hAnsi="宋体" w:cs="宋体"/>
          <w:bCs w:val="0"/>
          <w:color w:val="auto"/>
          <w:sz w:val="21"/>
          <w:szCs w:val="21"/>
          <w:highlight w:val="none"/>
        </w:rPr>
        <w:t xml:space="preserve">二、申请人的资格要求：</w:t>
      </w:r>
      <w:bookmarkEnd w:id="8"/>
      <w:r/>
      <w:bookmarkEnd w:id="9"/>
      <w:r/>
      <w:r/>
    </w:p>
    <w:p>
      <w:pPr>
        <w:ind w:firstLine="420"/>
        <w:jc w:val="both"/>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jc w:val="both"/>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jc w:val="both"/>
        <w:pageBreakBefore w:val="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eastAsia="zh-CN"/>
        </w:rPr>
        <w:t xml:space="preserve">依法缴纳职工社会保障资金的证明材料(税务、银行或社会保险基金管理部门出具的提交投标响应文件截止时间前一年内至少一个月缴纳职工社会保障资金的缴款凭证或缴款证明)（投标人依法享受缓缴、免缴的提供证明材料）</w:t>
      </w:r>
      <w:r/>
    </w:p>
    <w:p>
      <w:pPr>
        <w:ind w:firstLine="420"/>
        <w:jc w:val="both"/>
        <w:pageBreakBefore w:val="0"/>
        <w:spacing w:line="360" w:lineRule="auto"/>
        <w:rPr>
          <w:rFonts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供应商提交投标响应文件截止时间前一年内至少一个月依法纳税的缴款凭证（投标人依法享受缓缴、免缴的提供证明材料</w:t>
      </w:r>
      <w:r>
        <w:rPr>
          <w:rFonts w:hint="eastAsia" w:ascii="宋体" w:hAnsi="宋体" w:cs="宋体"/>
          <w:b/>
          <w:bCs/>
          <w:i/>
          <w:iCs/>
          <w:color w:val="auto"/>
          <w:szCs w:val="21"/>
          <w:highlight w:val="none"/>
          <w:u w:val="single"/>
        </w:rPr>
        <w:t xml:space="preserve">）</w:t>
      </w:r>
      <w:r/>
    </w:p>
    <w:p>
      <w:pPr>
        <w:ind w:firstLine="420"/>
        <w:jc w:val="both"/>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jc w:val="both"/>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jc w:val="both"/>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jc w:val="both"/>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www.ccgp.gov.cn</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列入失信被执行人、重大税收违法案件当事人名单、政府采购严重违法失信行为记录名单</w:t>
      </w:r>
      <w:r/>
    </w:p>
    <w:p>
      <w:pPr>
        <w:ind w:firstLine="420"/>
        <w:jc w:val="both"/>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jc w:val="both"/>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jc w:val="both"/>
        <w:pageBreakBefore w:val="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本项目采购标的按中小企业划分标准所属行业区分为：租赁和商务服务业（中小微企业划型标准网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Fonts w:hint="eastAsia" w:ascii="宋体" w:hAnsi="宋体" w:cs="宋体"/>
          <w:bCs/>
          <w:iCs/>
          <w:color w:val="auto"/>
          <w:highlight w:val="none"/>
        </w:rPr>
        <w:t xml:space="preserve">http</w:t>
      </w:r>
      <w:r>
        <w:rPr>
          <w:rFonts w:hint="eastAsia" w:ascii="宋体" w:hAnsi="宋体" w:cs="宋体"/>
          <w:bCs/>
          <w:iCs/>
          <w:color w:val="auto"/>
          <w:highlight w:val="none"/>
          <w:lang w:eastAsia="zh-CN"/>
        </w:rPr>
        <w:t xml:space="preserve">：</w:t>
      </w:r>
      <w:r>
        <w:rPr>
          <w:rFonts w:hint="eastAsia" w:ascii="宋体" w:hAnsi="宋体" w:cs="宋体"/>
          <w:bCs/>
          <w:iCs/>
          <w:color w:val="auto"/>
          <w:highlight w:val="none"/>
        </w:rPr>
        <w:t xml:space="preserve">//www.ccgp.gov.cn/zcfg/mof/201310/t20131029_3587674.htm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jc w:val="both"/>
        <w:pageBreakBefore w:val="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lang w:val="en-US" w:eastAsia="zh-CN"/>
        </w:rPr>
        <w:t xml:space="preserve">无</w:t>
      </w:r>
      <w:r/>
    </w:p>
    <w:p>
      <w:pPr>
        <w:pStyle w:val="913"/>
        <w:ind w:firstLine="422"/>
        <w:jc w:val="both"/>
        <w:pageBreakBefore w:val="0"/>
        <w:spacing w:before="0" w:after="0" w:line="360" w:lineRule="auto"/>
        <w:rPr>
          <w:rFonts w:ascii="宋体" w:hAnsi="宋体" w:cs="宋体"/>
          <w:bCs w:val="0"/>
          <w:color w:val="auto"/>
          <w:sz w:val="21"/>
          <w:szCs w:val="21"/>
          <w:highlight w:val="none"/>
        </w:rPr>
      </w:pPr>
      <w:r/>
      <w:bookmarkStart w:id="10" w:name="_Toc109304965"/>
      <w:r/>
      <w:bookmarkStart w:id="11" w:name="_Toc30747"/>
      <w:r>
        <w:rPr>
          <w:rFonts w:hint="eastAsia" w:ascii="宋体" w:hAnsi="宋体" w:cs="宋体"/>
          <w:bCs w:val="0"/>
          <w:color w:val="auto"/>
          <w:sz w:val="21"/>
          <w:szCs w:val="21"/>
          <w:highlight w:val="none"/>
        </w:rPr>
        <w:t xml:space="preserve">三、获取采购文件</w:t>
      </w:r>
      <w:bookmarkEnd w:id="10"/>
      <w:r/>
      <w:bookmarkEnd w:id="11"/>
      <w:r/>
      <w:r/>
    </w:p>
    <w:p>
      <w:pPr>
        <w:ind w:firstLine="420"/>
        <w:jc w:val="both"/>
        <w:pageBreakBefore w:val="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w:t>
      </w:r>
      <w:r/>
    </w:p>
    <w:p>
      <w:pPr>
        <w:ind w:firstLine="420"/>
        <w:jc w:val="both"/>
        <w:pageBreakBefore w:val="0"/>
        <w:spacing w:line="360" w:lineRule="auto"/>
        <w:rPr>
          <w:rFonts w:ascii="宋体" w:hAnsi="宋体" w:cs="宋体"/>
          <w:b w:val="0"/>
          <w:bCs w:val="0"/>
          <w:color w:val="auto"/>
          <w:sz w:val="24"/>
          <w:szCs w:val="24"/>
          <w:highlight w:val="none"/>
        </w:rPr>
      </w:pPr>
      <w:r>
        <w:rPr>
          <w:rFonts w:hint="eastAsia" w:ascii="宋体" w:hAnsi="宋体" w:cs="宋体"/>
          <w:b w:val="0"/>
          <w:bCs w:val="0"/>
          <w:color w:val="auto"/>
          <w:highlight w:val="none"/>
        </w:rPr>
        <w:t xml:space="preserve">2.获取方式：</w:t>
      </w:r>
      <w:r>
        <w:rPr>
          <w:rFonts w:hint="eastAsia" w:ascii="宋体" w:hAnsi="宋体" w:cs="宋体"/>
          <w:b w:val="0"/>
          <w:bCs w:val="0"/>
          <w:color w:val="auto"/>
          <w:szCs w:val="21"/>
          <w:highlight w:val="none"/>
        </w:rPr>
        <w:t xml:space="preserve">本项目采用网上注册登记方式。</w:t>
      </w:r>
      <w:r/>
    </w:p>
    <w:p>
      <w:pPr>
        <w:ind w:firstLine="420"/>
        <w:jc w:val="both"/>
        <w:pageBreakBefore w:val="0"/>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3.潜在供应商访问</w:t>
      </w:r>
      <w:r>
        <w:rPr>
          <w:rFonts w:hint="eastAsia" w:ascii="宋体" w:hAnsi="宋体" w:cs="宋体"/>
          <w:b w:val="0"/>
          <w:bCs w:val="0"/>
          <w:color w:val="auto"/>
          <w:szCs w:val="21"/>
          <w:highlight w:val="none"/>
        </w:rPr>
        <w:t xml:space="preserve">政府采购管理交易系统（苏采云）</w:t>
      </w:r>
      <w:r>
        <w:rPr>
          <w:rFonts w:hint="eastAsia" w:ascii="宋体" w:hAnsi="宋体" w:cs="宋体"/>
          <w:b w:val="0"/>
          <w:bCs w:val="0"/>
          <w:color w:val="auto"/>
          <w:highlight w:val="none"/>
        </w:rPr>
        <w:t xml:space="preserve">的网络地址和方法：</w:t>
      </w:r>
      <w:r/>
    </w:p>
    <w:p>
      <w:pPr>
        <w:ind w:firstLine="420"/>
        <w:jc w:val="both"/>
        <w:pageBreakBefore w:val="0"/>
        <w:spacing w:line="360" w:lineRule="auto"/>
        <w:rPr>
          <w:rFonts w:ascii="宋体" w:hAnsi="宋体" w:cs="宋体"/>
          <w:b w:val="0"/>
          <w:bCs w:val="0"/>
          <w:color w:val="auto"/>
          <w:szCs w:val="21"/>
          <w:highlight w:val="none"/>
        </w:rPr>
      </w:pPr>
      <w:r/>
      <w:bookmarkStart w:id="12" w:name="_Toc109304966"/>
      <w:r>
        <w:rPr>
          <w:rFonts w:hint="eastAsia" w:ascii="宋体" w:hAnsi="宋体" w:cs="宋体"/>
          <w:b w:val="0"/>
          <w:b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jc w:val="both"/>
        <w:keepLines w:val="0"/>
        <w:keepNext w:val="0"/>
        <w:pageBreakBefore w:val="0"/>
        <w:spacing w:line="360" w:lineRule="auto"/>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（3）“CA数字证书”的办理材料以及供应商操作手册详见：http</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//zfcg.yangzhou.gov.cn/zfcg/xzzx/202309/4d7de1f7865f4a2894fc22bc452f94d8.shtml。</w:t>
      </w:r>
      <w:r/>
    </w:p>
    <w:p>
      <w:pPr>
        <w:ind w:firstLine="420"/>
        <w:jc w:val="both"/>
        <w:keepLines w:val="0"/>
        <w:keepNext w:val="0"/>
        <w:pageBreakBefore w:val="0"/>
        <w:spacing w:line="360" w:lineRule="auto"/>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（4）潜在供应商访问“苏采云”系统的网络地址和方法：“苏采云”系统的网址：http</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//jszfcg.jsczt.cn/。</w:t>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（6）招标代理机构（采购代理机构）将数据电文形式的采购文件加载至“苏采云”系统，供潜在供应商下载或者查阅。</w:t>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（7）苏采云系统使用谷歌浏览器参与不见面开标。</w:t>
      </w:r>
      <w:r/>
    </w:p>
    <w:p>
      <w:pPr>
        <w:pStyle w:val="913"/>
        <w:ind w:firstLine="422"/>
        <w:jc w:val="both"/>
        <w:pageBreakBefore w:val="0"/>
        <w:spacing w:before="0" w:after="0" w:line="360" w:lineRule="auto"/>
        <w:rPr>
          <w:rFonts w:ascii="宋体" w:hAnsi="宋体" w:cs="宋体"/>
          <w:bCs w:val="0"/>
          <w:color w:val="auto"/>
          <w:sz w:val="21"/>
          <w:szCs w:val="21"/>
          <w:highlight w:val="none"/>
        </w:rPr>
      </w:pPr>
      <w:r/>
      <w:bookmarkStart w:id="13" w:name="_Toc10994"/>
      <w:r>
        <w:rPr>
          <w:rFonts w:hint="eastAsia" w:ascii="宋体" w:hAnsi="宋体" w:cs="宋体"/>
          <w:bCs w:val="0"/>
          <w:color w:val="auto"/>
          <w:sz w:val="21"/>
          <w:szCs w:val="21"/>
          <w:highlight w:val="none"/>
        </w:rPr>
        <w:t xml:space="preserve">四、响应文件提交</w:t>
      </w:r>
      <w:bookmarkEnd w:id="12"/>
      <w:r/>
      <w:bookmarkEnd w:id="13"/>
      <w:r/>
      <w:r/>
    </w:p>
    <w:p>
      <w:pPr>
        <w:ind w:firstLine="420"/>
        <w:jc w:val="both"/>
        <w:pageBreakBefore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点30分</w:t>
      </w:r>
      <w:r>
        <w:rPr>
          <w:rFonts w:hint="eastAsia" w:ascii="宋体" w:hAnsi="宋体" w:cs="宋体"/>
          <w:color w:val="auto"/>
          <w:szCs w:val="21"/>
          <w:highlight w:val="none"/>
        </w:rPr>
        <w:t xml:space="preserve">（北京时间）</w:t>
      </w:r>
      <w:r/>
    </w:p>
    <w:p>
      <w:pPr>
        <w:ind w:firstLine="420"/>
        <w:jc w:val="both"/>
        <w:pageBreakBefore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//jszfcg.jsczt.cn/）“报名详情”</w:t>
      </w:r>
      <w:r/>
    </w:p>
    <w:p>
      <w:pPr>
        <w:pStyle w:val="913"/>
        <w:ind w:firstLine="422"/>
        <w:jc w:val="both"/>
        <w:pageBreakBefore w:val="0"/>
        <w:spacing w:before="0" w:after="0" w:line="360" w:lineRule="auto"/>
        <w:rPr>
          <w:rFonts w:ascii="宋体" w:hAnsi="宋体" w:cs="宋体"/>
          <w:bCs w:val="0"/>
          <w:color w:val="auto"/>
          <w:sz w:val="21"/>
          <w:szCs w:val="21"/>
          <w:highlight w:val="none"/>
        </w:rPr>
      </w:pPr>
      <w:r/>
      <w:bookmarkStart w:id="14" w:name="_Toc29675"/>
      <w:r/>
      <w:bookmarkStart w:id="15" w:name="_Toc109304967"/>
      <w:r>
        <w:rPr>
          <w:rFonts w:hint="eastAsia" w:ascii="宋体" w:hAnsi="宋体" w:cs="宋体"/>
          <w:bCs w:val="0"/>
          <w:color w:val="auto"/>
          <w:sz w:val="21"/>
          <w:szCs w:val="21"/>
          <w:highlight w:val="none"/>
        </w:rPr>
        <w:t xml:space="preserve">五、开启</w:t>
      </w:r>
      <w:bookmarkEnd w:id="14"/>
      <w:r/>
      <w:bookmarkEnd w:id="15"/>
      <w:r/>
      <w:r/>
    </w:p>
    <w:p>
      <w:pPr>
        <w:pStyle w:val="914"/>
        <w:ind w:firstLine="420"/>
        <w:jc w:val="both"/>
        <w:pageBreakBefore w:val="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w:t>
      </w:r>
      <w:r/>
    </w:p>
    <w:p>
      <w:pPr>
        <w:ind w:firstLine="420"/>
        <w:jc w:val="both"/>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//jszfcg.jsczt.cn/）“开标大厅”</w:t>
      </w:r>
      <w:r/>
    </w:p>
    <w:p>
      <w:pPr>
        <w:pStyle w:val="913"/>
        <w:ind w:firstLine="422"/>
        <w:jc w:val="both"/>
        <w:pageBreakBefore w:val="0"/>
        <w:spacing w:before="0" w:after="0" w:line="360" w:lineRule="auto"/>
        <w:rPr>
          <w:rFonts w:ascii="宋体" w:hAnsi="宋体" w:cs="宋体"/>
          <w:bCs w:val="0"/>
          <w:color w:val="auto"/>
          <w:sz w:val="21"/>
          <w:szCs w:val="21"/>
          <w:highlight w:val="none"/>
        </w:rPr>
      </w:pPr>
      <w:r/>
      <w:bookmarkStart w:id="16" w:name="_Toc109304968"/>
      <w:r/>
      <w:bookmarkStart w:id="17" w:name="_Toc8376"/>
      <w:r>
        <w:rPr>
          <w:rFonts w:hint="eastAsia" w:ascii="宋体" w:hAnsi="宋体" w:cs="宋体"/>
          <w:bCs w:val="0"/>
          <w:color w:val="auto"/>
          <w:sz w:val="21"/>
          <w:szCs w:val="21"/>
          <w:highlight w:val="none"/>
        </w:rPr>
        <w:t xml:space="preserve">六、公告期限</w:t>
      </w:r>
      <w:bookmarkEnd w:id="16"/>
      <w:r/>
      <w:bookmarkEnd w:id="17"/>
      <w:r/>
      <w:r/>
    </w:p>
    <w:p>
      <w:pPr>
        <w:ind w:firstLine="420"/>
        <w:jc w:val="both"/>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个工作日。</w:t>
      </w:r>
      <w:r/>
    </w:p>
    <w:p>
      <w:pPr>
        <w:pStyle w:val="913"/>
        <w:ind w:firstLine="422"/>
        <w:jc w:val="both"/>
        <w:pageBreakBefore w:val="0"/>
        <w:spacing w:before="0" w:after="0" w:line="360" w:lineRule="auto"/>
        <w:rPr>
          <w:rFonts w:ascii="宋体" w:hAnsi="宋体" w:cs="宋体"/>
          <w:color w:val="auto"/>
          <w:sz w:val="21"/>
          <w:szCs w:val="21"/>
          <w:highlight w:val="none"/>
        </w:rPr>
      </w:pPr>
      <w:r/>
      <w:bookmarkStart w:id="18" w:name="_Toc109304969"/>
      <w:r/>
      <w:bookmarkStart w:id="19" w:name="_Toc16024"/>
      <w:r>
        <w:rPr>
          <w:rFonts w:hint="eastAsia" w:ascii="宋体" w:hAnsi="宋体" w:cs="宋体"/>
          <w:color w:val="auto"/>
          <w:sz w:val="21"/>
          <w:szCs w:val="21"/>
          <w:highlight w:val="none"/>
        </w:rPr>
        <w:t xml:space="preserve">七、其他补充事宜</w:t>
      </w:r>
      <w:bookmarkEnd w:id="18"/>
      <w:r/>
      <w:bookmarkEnd w:id="19"/>
      <w:r/>
      <w:r/>
    </w:p>
    <w:p>
      <w:pPr>
        <w:ind w:firstLine="420"/>
        <w:jc w:val="both"/>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p>
      <w:pPr>
        <w:pStyle w:val="913"/>
        <w:ind w:firstLine="422"/>
        <w:jc w:val="both"/>
        <w:pageBreakBefore w:val="0"/>
        <w:spacing w:before="0" w:after="0" w:line="360" w:lineRule="auto"/>
        <w:rPr>
          <w:rFonts w:ascii="宋体" w:hAnsi="宋体" w:cs="宋体"/>
          <w:bCs w:val="0"/>
          <w:color w:val="auto"/>
          <w:sz w:val="21"/>
          <w:szCs w:val="21"/>
          <w:highlight w:val="none"/>
        </w:rPr>
      </w:pPr>
      <w:r/>
      <w:bookmarkStart w:id="20" w:name="_Toc1489"/>
      <w:r/>
      <w:bookmarkStart w:id="21" w:name="_Toc109304970"/>
      <w:r>
        <w:rPr>
          <w:rFonts w:hint="eastAsia" w:ascii="宋体" w:hAnsi="宋体" w:cs="宋体"/>
          <w:bCs w:val="0"/>
          <w:color w:val="auto"/>
          <w:sz w:val="21"/>
          <w:szCs w:val="21"/>
          <w:highlight w:val="none"/>
        </w:rPr>
        <w:t xml:space="preserve">八、本次竞争性磋商联系方式</w:t>
      </w:r>
      <w:bookmarkEnd w:id="20"/>
      <w:r/>
      <w:bookmarkEnd w:id="21"/>
      <w:r/>
      <w:r/>
    </w:p>
    <w:p>
      <w:pPr>
        <w:pStyle w:val="929"/>
        <w:ind w:firstLine="420"/>
        <w:jc w:val="both"/>
        <w:pageBreakBefore w:val="0"/>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both"/>
        <w:pageBreakBefore w:val="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扬州市社区干部进修中心</w:t>
      </w:r>
      <w:r/>
    </w:p>
    <w:p>
      <w:pPr>
        <w:ind w:firstLine="420"/>
        <w:jc w:val="both"/>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地    址：扬州市广陵区</w:t>
      </w:r>
      <w:r/>
    </w:p>
    <w:p>
      <w:pPr>
        <w:ind w:firstLine="420"/>
        <w:jc w:val="both"/>
        <w:pageBreakBefore w:val="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联系方式：</w:t>
      </w:r>
      <w:r>
        <w:rPr>
          <w:rFonts w:hint="eastAsia" w:ascii="宋体" w:hAnsi="宋体" w:cs="宋体"/>
          <w:bCs/>
          <w:color w:val="auto"/>
          <w:szCs w:val="21"/>
          <w:highlight w:val="none"/>
          <w:lang w:val="en-US" w:eastAsia="zh-CN"/>
        </w:rPr>
        <w:t xml:space="preserve">0514-87668507</w:t>
      </w:r>
      <w:r/>
    </w:p>
    <w:p>
      <w:pPr>
        <w:pStyle w:val="929"/>
        <w:ind w:firstLine="420"/>
        <w:jc w:val="both"/>
        <w:pageBreakBefore w:val="0"/>
        <w:spacing w:line="360" w:lineRule="auto"/>
        <w:rPr>
          <w:rFonts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29"/>
        <w:ind w:firstLine="420"/>
        <w:jc w:val="both"/>
        <w:pageBreakBefore w:val="0"/>
        <w:spacing w:line="360" w:lineRule="auto"/>
        <w:rPr>
          <w:rFonts w:hAnsi="宋体" w:cs="宋体"/>
          <w:color w:val="auto"/>
          <w:sz w:val="21"/>
          <w:szCs w:val="21"/>
          <w:highlight w:val="none"/>
        </w:rPr>
      </w:pPr>
      <w:r>
        <w:rPr>
          <w:rFonts w:hint="eastAsia" w:hAnsi="宋体" w:cs="宋体"/>
          <w:color w:val="auto"/>
          <w:sz w:val="21"/>
          <w:szCs w:val="21"/>
          <w:highlight w:val="none"/>
        </w:rPr>
        <w:t xml:space="preserve">地</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址：扬州市维扬路106-1号19楼</w:t>
      </w:r>
      <w:r/>
    </w:p>
    <w:p>
      <w:pPr>
        <w:pStyle w:val="929"/>
        <w:ind w:firstLine="420"/>
        <w:jc w:val="both"/>
        <w:pageBreakBefore w:val="0"/>
        <w:spacing w:line="360" w:lineRule="auto"/>
        <w:rPr>
          <w:rFonts w:hAnsi="宋体" w:cs="宋体"/>
          <w:color w:val="auto"/>
          <w:sz w:val="21"/>
          <w:szCs w:val="21"/>
          <w:highlight w:val="none"/>
        </w:rPr>
      </w:pPr>
      <w:r>
        <w:rPr>
          <w:rFonts w:hint="eastAsia" w:hAnsi="宋体" w:cs="宋体"/>
          <w:color w:val="auto"/>
          <w:sz w:val="21"/>
          <w:szCs w:val="21"/>
          <w:highlight w:val="none"/>
        </w:rPr>
        <w:t xml:space="preserve">联 系 人：林祖超</w:t>
      </w:r>
      <w:r/>
    </w:p>
    <w:p>
      <w:pPr>
        <w:pStyle w:val="929"/>
        <w:ind w:firstLine="420"/>
        <w:jc w:val="both"/>
        <w:pageBreakBefore w:val="0"/>
        <w:spacing w:line="360" w:lineRule="auto"/>
        <w:rPr>
          <w:rFonts w:hAnsi="宋体" w:cs="宋体"/>
          <w:color w:val="auto"/>
          <w:sz w:val="21"/>
          <w:szCs w:val="21"/>
          <w:highlight w:val="none"/>
        </w:rPr>
      </w:pPr>
      <w:r>
        <w:rPr>
          <w:rFonts w:hint="eastAsia" w:hAnsi="宋体" w:cs="宋体"/>
          <w:color w:val="auto"/>
          <w:sz w:val="21"/>
          <w:szCs w:val="21"/>
          <w:highlight w:val="none"/>
        </w:rPr>
        <w:t xml:space="preserve">联系方式：18652401357</w:t>
      </w:r>
      <w:r/>
    </w:p>
    <w:p>
      <w:pPr>
        <w:ind w:firstLine="422"/>
        <w:jc w:val="both"/>
        <w:pageBreakBefore w:val="0"/>
        <w:spacing w:line="360" w:lineRule="auto"/>
        <w:tabs>
          <w:tab w:val="left" w:pos="266" w:leader="none"/>
        </w:tabs>
        <w:rPr>
          <w:rFonts w:ascii="宋体" w:hAnsi="宋体" w:cs="宋体"/>
          <w:b/>
          <w:bCs/>
          <w:color w:val="auto"/>
          <w:highlight w:val="none"/>
        </w:rPr>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t>
      </w:r>
      <w:r>
        <w:rPr>
          <w:rFonts w:hint="eastAsia" w:hAnsi="宋体" w:cs="宋体"/>
          <w:b/>
          <w:color w:val="auto"/>
          <w:szCs w:val="21"/>
          <w:highlight w:val="none"/>
          <w:lang w:eastAsia="zh-CN"/>
        </w:rPr>
        <w:t xml:space="preserve">：</w:t>
      </w:r>
      <w:r>
        <w:rPr>
          <w:rFonts w:hint="eastAsia" w:hAnsi="宋体" w:cs="宋体"/>
          <w:b/>
          <w:color w:val="auto"/>
          <w:szCs w:val="21"/>
          <w:highlight w:val="none"/>
        </w:rPr>
        <w:t xml:space="preserve">//www.crcrfsp.com）”向参与政府采购融资业务的金融机构申请线上融资，相关事宜可向市人民银行咨询，联系电话：0514-87936653。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13"/>
        <w:ind w:firstLine="422"/>
        <w:jc w:val="both"/>
        <w:pageBreakBefore w:val="0"/>
        <w:spacing w:before="0" w:after="0" w:line="360" w:lineRule="auto"/>
        <w:rPr>
          <w:rFonts w:ascii="宋体" w:hAnsi="宋体" w:cs="宋体"/>
          <w:color w:val="auto"/>
          <w:sz w:val="21"/>
          <w:szCs w:val="21"/>
          <w:highlight w:val="none"/>
        </w:rPr>
      </w:pPr>
      <w:r/>
      <w:bookmarkStart w:id="22" w:name="_Toc25739"/>
      <w:r/>
      <w:bookmarkStart w:id="23" w:name="_Toc109304971"/>
      <w:r>
        <w:rPr>
          <w:rFonts w:hint="eastAsia" w:ascii="宋体" w:hAnsi="宋体" w:cs="宋体"/>
          <w:color w:val="auto"/>
          <w:sz w:val="21"/>
          <w:szCs w:val="21"/>
          <w:highlight w:val="none"/>
        </w:rPr>
        <w:t xml:space="preserve">十、其他</w:t>
      </w:r>
      <w:bookmarkEnd w:id="22"/>
      <w:r/>
      <w:bookmarkEnd w:id="23"/>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0"/>
        <w:jc w:val="both"/>
        <w:pageBreakBefore w:val="0"/>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52"/>
        <w:ind w:firstLine="420"/>
        <w:jc w:val="both"/>
        <w:pageBreakBefore w:val="0"/>
        <w:spacing w:line="360" w:lineRule="auto"/>
        <w:shd w:val="clear" w:color="auto" w:fill="ffff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由国家确定的认证机构出具的、处于有效期之内的节能产品、环境标志产品认证证书</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both"/>
        <w:pageBreakBefore w:val="0"/>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0"/>
        <w:jc w:val="both"/>
        <w:pageBreakBefore w:val="0"/>
        <w:spacing w:line="360" w:lineRule="auto"/>
        <w:widowControl/>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6.潜在供应商对采购文件项目需求部分的询问、质疑请向采购人提出，由采购人负责答复。</w:t>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7.本次采购不收取保证金。</w:t>
      </w:r>
      <w:r/>
    </w:p>
    <w:p>
      <w:pPr>
        <w:ind w:firstLine="420"/>
        <w:jc w:val="both"/>
        <w:pageBreakBefore w:val="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8.有关本次采购的事项若存在变动或修改，敬请及时关注“扬州市广陵区政府采购网”</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“扬州市政府采购网”、“江苏省政府采购网”、“中国政府采购网”发布的信息。</w:t>
      </w:r>
      <w:r/>
    </w:p>
    <w:p>
      <w:pPr>
        <w:ind w:firstLine="420"/>
        <w:jc w:val="both"/>
        <w:pageBreakBefore w:val="0"/>
        <w:spacing w:line="360" w:lineRule="auto"/>
        <w:rPr>
          <w:rFonts w:ascii="宋体" w:hAnsi="宋体" w:cs="宋体"/>
          <w:b w:val="0"/>
          <w:bCs w:val="0"/>
          <w:i/>
          <w:iCs/>
          <w:color w:val="auto"/>
          <w:szCs w:val="21"/>
          <w:highlight w:val="none"/>
          <w:u w:val="single"/>
        </w:rPr>
      </w:pPr>
      <w:r>
        <w:rPr>
          <w:rFonts w:hint="eastAsia" w:ascii="宋体" w:hAnsi="宋体" w:cs="宋体"/>
          <w:b w:val="0"/>
          <w:bCs w:val="0"/>
          <w:i/>
          <w:iCs/>
          <w:color w:val="auto"/>
          <w:szCs w:val="21"/>
          <w:highlight w:val="none"/>
          <w:u w:val="single"/>
        </w:rPr>
        <w:t xml:space="preserve">9.本项目采购文件中所有斜体下划线部分为实质性条款，如不满足，则为无效响应。</w:t>
      </w:r>
      <w:bookmarkEnd w:id="0"/>
      <w:r/>
      <w:r/>
    </w:p>
    <w:p>
      <w:pPr>
        <w:pStyle w:val="912"/>
        <w:jc w:val="center"/>
        <w:spacing w:line="360" w:lineRule="auto"/>
        <w:rPr>
          <w:rFonts w:ascii="宋体" w:hAnsi="宋体" w:cs="宋体"/>
          <w:color w:val="auto"/>
          <w:highlight w:val="none"/>
        </w:rPr>
      </w:pPr>
      <w:r>
        <w:rPr>
          <w:rFonts w:hint="eastAsia" w:ascii="宋体" w:hAnsi="宋体" w:cs="宋体"/>
          <w:color w:val="auto"/>
          <w:sz w:val="36"/>
          <w:highlight w:val="none"/>
        </w:rPr>
        <w:br w:type="page" w:clear="all"/>
      </w:r>
      <w:bookmarkStart w:id="24" w:name="_Toc9821"/>
      <w:r>
        <w:rPr>
          <w:rFonts w:hint="eastAsia" w:ascii="宋体" w:hAnsi="宋体" w:cs="宋体"/>
          <w:color w:val="auto"/>
          <w:highlight w:val="none"/>
        </w:rPr>
        <w:t xml:space="preserve">第二章 磋商须知</w:t>
      </w:r>
      <w:bookmarkEnd w:id="24"/>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1、采购方式</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JSZC-321002-JSWC-C2026-0026</w:t>
      </w:r>
      <w:r>
        <w:rPr>
          <w:rFonts w:hint="eastAsia" w:ascii="宋体" w:hAnsi="宋体" w:cs="宋体"/>
          <w:color w:val="auto"/>
          <w:highlight w:val="none"/>
        </w:rPr>
        <w:t xml:space="preserve">号项目。</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2、供应商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2.2合格的供应商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3、适用法律</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以下简称代理机构</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在任何情况下均无义务和责任承担这些费用。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4.2</w:t>
      </w:r>
      <w:bookmarkStart w:id="25" w:name="_Hlk115095815"/>
      <w:r>
        <w:rPr>
          <w:rFonts w:hint="eastAsia" w:ascii="宋体" w:hAnsi="宋体" w:cs="宋体"/>
          <w:color w:val="auto"/>
          <w:highlight w:val="none"/>
        </w:rPr>
        <w:t xml:space="preserve">本次采购由成交单位在领取成交通知书前按照国家计委印发的《招标代理服务收费管理暂行办法》</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计价格【2002】1980 号文</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服务类的标准</w:t>
      </w:r>
      <w:r>
        <w:rPr>
          <w:rFonts w:hint="eastAsia" w:ascii="宋体" w:hAnsi="宋体" w:cs="宋体"/>
          <w:color w:val="auto"/>
          <w:highlight w:val="none"/>
          <w:lang w:val="en-US" w:eastAsia="zh-CN"/>
        </w:rPr>
        <w:t xml:space="preserve">64%</w:t>
      </w:r>
      <w:r>
        <w:rPr>
          <w:rFonts w:hint="eastAsia" w:ascii="宋体" w:hAnsi="宋体" w:cs="宋体"/>
          <w:color w:val="auto"/>
          <w:highlight w:val="none"/>
        </w:rPr>
        <w:t xml:space="preserve">一次性支付给招标代理机构代理服务费。</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（3）招标代理服务费不在磋商报价中单列，包含在磋商总价中，由成交单位支付给代理机构。 </w:t>
      </w:r>
      <w:bookmarkEnd w:id="25"/>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招标代理服务费开户银行：江苏银行扬州广陵支行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开户名称：江苏唯诚建设咨询有限公司</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开户帐号：05001340900000685</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5、采购文件的约束力</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6、采购文件构成</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（1）采购公告</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（2）磋商须知</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（3）合同条款及格式</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（4）项目需求</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（5）评审方法与评审标准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7、采购文件的澄清</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8、采购文件的修改</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8.2采购文件的修改将在“扬州市广陵区政府采购网”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“扬州市政府采购网”、“江苏省政府采购网”、“中国政府采购网”公布，补充文件将作为采购文件的组成部分，并对供应商具有约束力。</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10、响应文件构成</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（1）资格审查响应对照表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（3）非实质性响应对照表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（4）磋商响应报价表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（5）技术参数响应及偏离表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（6）商务条款响应及偏离表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12、磋商响应报价表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12.2 标的物</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12.3其它费用处理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15、磋商响应函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16、磋商响应有效期</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widowControl w:val="off"/>
        <w:rPr>
          <w:rFonts w:ascii="宋体" w:hAnsi="宋体" w:cs="宋体"/>
          <w:color w:val="auto"/>
          <w:highlight w:val="none"/>
        </w:rPr>
      </w:pPr>
      <w:r/>
      <w:bookmarkStart w:id="26" w:name="_Toc20823297"/>
      <w:r/>
      <w:bookmarkStart w:id="27" w:name="_Toc16938541"/>
      <w:r>
        <w:rPr>
          <w:rFonts w:hint="eastAsia" w:ascii="宋体" w:hAnsi="宋体" w:cs="宋体"/>
          <w:color w:val="auto"/>
          <w:highlight w:val="none"/>
        </w:rPr>
        <w:t xml:space="preserve">17、响应文件</w:t>
      </w:r>
      <w:bookmarkEnd w:id="26"/>
      <w:r/>
      <w:bookmarkEnd w:id="27"/>
      <w:r>
        <w:rPr>
          <w:rFonts w:hint="eastAsia" w:ascii="宋体" w:hAnsi="宋体" w:cs="宋体"/>
          <w:color w:val="auto"/>
          <w:highlight w:val="none"/>
        </w:rPr>
        <w:t xml:space="preserve">的递交</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28" w:name="_Toc20823298"/>
      <w:r/>
      <w:bookmarkStart w:id="29" w:name="_Toc16938542"/>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证书妥善保管，如被他人盗用投标，因此带来的结果均由供应商自行承担。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highlight w:val="none"/>
        </w:rPr>
        <w:t xml:space="preserve">18、磋商响应截止日期</w:t>
      </w:r>
      <w:bookmarkEnd w:id="28"/>
      <w:r/>
      <w:bookmarkEnd w:id="29"/>
      <w:r/>
      <w:r/>
    </w:p>
    <w:p>
      <w:pPr>
        <w:ind w:firstLine="420"/>
        <w:keepLines w:val="0"/>
        <w:keepNext w:val="0"/>
        <w:pageBreakBefore w:val="0"/>
        <w:spacing w:line="360" w:lineRule="auto"/>
        <w:widowControl w:val="off"/>
        <w:rPr>
          <w:rFonts w:ascii="宋体" w:hAnsi="宋体" w:cs="宋体"/>
          <w:i/>
          <w:color w:val="auto"/>
          <w:highlight w:val="none"/>
          <w:u w:val="single"/>
        </w:rPr>
      </w:pPr>
      <w:r>
        <w:rPr>
          <w:rFonts w:hint="eastAsia" w:ascii="宋体" w:hAnsi="宋体" w:cs="宋体"/>
          <w:i/>
          <w:color w:val="auto"/>
          <w:highlight w:val="none"/>
          <w:u w:val="single"/>
        </w:rPr>
        <w:t xml:space="preserve">18.1 供应商上传电子响应文件的时间不得迟于采购公告中规定的磋商响应截止时间。</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ascii="宋体" w:hAnsi="宋体" w:cs="宋体"/>
          <w:color w:val="auto"/>
          <w:highlight w:val="none"/>
        </w:rPr>
      </w:pPr>
      <w:r/>
      <w:bookmarkStart w:id="30" w:name="_Toc20823299"/>
      <w:r/>
      <w:bookmarkStart w:id="31" w:name="_Toc16938543"/>
      <w:r>
        <w:rPr>
          <w:rFonts w:hint="eastAsia" w:ascii="宋体" w:hAnsi="宋体" w:cs="宋体"/>
          <w:color w:val="auto"/>
          <w:highlight w:val="none"/>
        </w:rPr>
        <w:t xml:space="preserve">19、响应文件</w:t>
      </w:r>
      <w:bookmarkEnd w:id="30"/>
      <w:r/>
      <w:bookmarkEnd w:id="31"/>
      <w:r>
        <w:rPr>
          <w:rFonts w:hint="eastAsia" w:ascii="宋体" w:hAnsi="宋体" w:cs="宋体"/>
          <w:color w:val="auto"/>
          <w:highlight w:val="none"/>
        </w:rPr>
        <w:t xml:space="preserve">的拒收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keepLines w:val="0"/>
        <w:keepNext w:val="0"/>
        <w:pageBreakBefore w:val="0"/>
        <w:spacing w:line="360" w:lineRule="auto"/>
        <w:widowControl w:val="off"/>
        <w:rPr>
          <w:rFonts w:ascii="宋体" w:hAnsi="宋体" w:cs="宋体"/>
          <w:color w:val="auto"/>
          <w:highlight w:val="none"/>
        </w:rPr>
      </w:pPr>
      <w:r/>
      <w:bookmarkStart w:id="32" w:name="_Toc16938544"/>
      <w:r/>
      <w:bookmarkStart w:id="33" w:name="_Toc20823300"/>
      <w:r>
        <w:rPr>
          <w:rFonts w:hint="eastAsia" w:ascii="宋体" w:hAnsi="宋体" w:cs="宋体"/>
          <w:color w:val="auto"/>
          <w:highlight w:val="none"/>
        </w:rPr>
        <w:t xml:space="preserve">20、响应文件的撤回和修改</w:t>
      </w:r>
      <w:bookmarkEnd w:id="32"/>
      <w:r/>
      <w:bookmarkEnd w:id="33"/>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20.1 响应文件的撤回</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20.2 响应文件的修改</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21、磋商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22、磋商小组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24、磋商的澄清</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25、对响应文件的初审</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26.1磋商程序</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26.2 评审方法和标准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26.2.2评审标准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27.1无效响应条款</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keepLines w:val="0"/>
        <w:keepNext w:val="0"/>
        <w:pageBreakBefore w:val="0"/>
        <w:spacing w:line="360" w:lineRule="auto"/>
        <w:widowControl w:val="off"/>
        <w:rPr>
          <w:rFonts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keepLines w:val="0"/>
        <w:keepNext w:val="0"/>
        <w:pageBreakBefore w:val="0"/>
        <w:spacing w:line="360" w:lineRule="auto"/>
        <w:widowControl w:val="off"/>
        <w:rPr>
          <w:rFonts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www.ccgp.gov.cn</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keepLines w:val="0"/>
        <w:keepNext w:val="0"/>
        <w:pageBreakBefore w:val="0"/>
        <w:spacing w:line="360" w:lineRule="auto"/>
        <w:widowControl w:val="off"/>
        <w:rPr>
          <w:rFonts w:hint="eastAsia" w:ascii="宋体" w:hAnsi="宋体" w:cs="宋体"/>
        </w:rPr>
      </w:pPr>
      <w:r>
        <w:rPr>
          <w:rFonts w:ascii="宋体" w:hAnsi="宋体" w:cs="宋体"/>
        </w:rPr>
        <w:t xml:space="preserve">2</w:t>
      </w:r>
      <w:r>
        <w:rPr>
          <w:rFonts w:hint="eastAsia" w:ascii="宋体" w:hAnsi="宋体" w:cs="宋体"/>
        </w:rPr>
        <w:t xml:space="preserve">7</w:t>
      </w:r>
      <w:r>
        <w:rPr>
          <w:rFonts w:ascii="宋体" w:hAnsi="宋体" w:cs="宋体"/>
        </w:rPr>
        <w:t xml:space="preserve">.1.</w:t>
      </w:r>
      <w:r>
        <w:rPr>
          <w:rFonts w:hint="eastAsia" w:ascii="宋体" w:hAnsi="宋体" w:cs="宋体"/>
        </w:rPr>
        <w:t xml:space="preserve">9</w:t>
      </w:r>
      <w:r>
        <w:rPr>
          <w:rFonts w:ascii="宋体" w:hAnsi="宋体" w:cs="宋体"/>
        </w:rPr>
        <w:t xml:space="preserve">异常低价投标（响应）</w:t>
      </w:r>
      <w:r/>
    </w:p>
    <w:p>
      <w:pPr>
        <w:ind w:firstLine="420"/>
        <w:keepLines w:val="0"/>
        <w:keepNext w:val="0"/>
        <w:pageBreakBefore w:val="0"/>
        <w:spacing w:line="360" w:lineRule="auto"/>
        <w:widowControl w:val="off"/>
        <w:rPr>
          <w:rFonts w:ascii="宋体" w:hAnsi="宋体" w:cs="宋体"/>
        </w:rPr>
      </w:pPr>
      <w:r>
        <w:rPr>
          <w:rFonts w:ascii="宋体" w:hAnsi="宋体" w:cs="宋体"/>
        </w:rPr>
        <w:t xml:space="preserve">2</w:t>
      </w:r>
      <w:r>
        <w:rPr>
          <w:rFonts w:hint="eastAsia" w:ascii="宋体" w:hAnsi="宋体" w:cs="宋体"/>
        </w:rPr>
        <w:t xml:space="preserve">7</w:t>
      </w:r>
      <w:r>
        <w:rPr>
          <w:rFonts w:ascii="宋体" w:hAnsi="宋体" w:cs="宋体"/>
        </w:rPr>
        <w:t xml:space="preserve">.1.</w:t>
      </w:r>
      <w:r>
        <w:rPr>
          <w:rFonts w:hint="eastAsia" w:ascii="宋体" w:hAnsi="宋体" w:cs="宋体"/>
        </w:rPr>
        <w:t xml:space="preserve">9</w:t>
      </w:r>
      <w:r>
        <w:rPr>
          <w:rFonts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ascii="宋体" w:hAnsi="宋体" w:cs="宋体"/>
        </w:rPr>
      </w:pPr>
      <w:r>
        <w:rPr>
          <w:rFonts w:hint="eastAsia" w:ascii="宋体" w:hAnsi="宋体" w:cs="宋体"/>
        </w:rPr>
        <w:t xml:space="preserve">27.1.9.2</w:t>
      </w:r>
      <w:r>
        <w:rPr>
          <w:rFonts w:ascii="宋体" w:hAnsi="宋体" w:cs="宋体"/>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ascii="宋体" w:hAnsi="宋体" w:cs="宋体"/>
          <w:highlight w:val="yellow"/>
        </w:rPr>
      </w:pPr>
      <w:r>
        <w:rPr>
          <w:rFonts w:hint="eastAsia" w:ascii="宋体" w:hAnsi="宋体" w:cs="宋体"/>
        </w:rPr>
        <w:t xml:space="preserve">27.1.9.3</w:t>
      </w:r>
      <w:r>
        <w:rPr>
          <w:rFonts w:ascii="宋体" w:hAnsi="宋体" w:cs="宋体"/>
        </w:rPr>
        <w:t xml:space="preserve">投标（响应）报价低于采购项目最高限价 45% 的，即投标（响应）报价&lt;采购项目最高限价×45%；</w:t>
      </w:r>
      <w:r/>
    </w:p>
    <w:p>
      <w:pPr>
        <w:ind w:firstLine="420"/>
        <w:keepLines w:val="0"/>
        <w:keepNext w:val="0"/>
        <w:pageBreakBefore w:val="0"/>
        <w:spacing w:line="360" w:lineRule="auto"/>
        <w:widowControl w:val="off"/>
        <w:rPr>
          <w:rFonts w:hint="eastAsia" w:ascii="宋体" w:hAnsi="宋体" w:cs="宋体"/>
        </w:rPr>
      </w:pPr>
      <w:r>
        <w:rPr>
          <w:rFonts w:ascii="宋体" w:hAnsi="宋体" w:cs="宋体"/>
        </w:rPr>
        <w:t xml:space="preserve">2</w:t>
      </w:r>
      <w:r>
        <w:rPr>
          <w:rFonts w:hint="eastAsia" w:ascii="宋体" w:hAnsi="宋体" w:cs="宋体"/>
        </w:rPr>
        <w:t xml:space="preserve">7</w:t>
      </w:r>
      <w:r>
        <w:rPr>
          <w:rFonts w:ascii="宋体" w:hAnsi="宋体" w:cs="宋体"/>
        </w:rPr>
        <w:t xml:space="preserve">.1.</w:t>
      </w:r>
      <w:r>
        <w:rPr>
          <w:rFonts w:hint="eastAsia" w:ascii="宋体" w:hAnsi="宋体" w:cs="宋体"/>
        </w:rPr>
        <w:t xml:space="preserve">9</w:t>
      </w:r>
      <w:r>
        <w:rPr>
          <w:rFonts w:ascii="宋体" w:hAnsi="宋体" w:cs="宋体"/>
        </w:rPr>
        <w:t xml:space="preserve">.</w:t>
      </w:r>
      <w:r>
        <w:rPr>
          <w:rFonts w:hint="eastAsia" w:ascii="宋体" w:hAnsi="宋体" w:cs="宋体"/>
        </w:rPr>
        <w:t xml:space="preserve">4</w:t>
      </w:r>
      <w:r>
        <w:rPr>
          <w:rFonts w:ascii="宋体" w:hAnsi="宋体" w:cs="宋体"/>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s="宋体"/>
        </w:rPr>
      </w:pPr>
      <w:r>
        <w:rPr>
          <w:rFonts w:ascii="宋体" w:hAnsi="宋体" w:cs="宋体"/>
        </w:rPr>
        <w:t xml:space="preserve">2</w:t>
      </w:r>
      <w:r>
        <w:rPr>
          <w:rFonts w:hint="eastAsia" w:ascii="宋体" w:hAnsi="宋体" w:cs="宋体"/>
        </w:rPr>
        <w:t xml:space="preserve">7</w:t>
      </w:r>
      <w:r>
        <w:rPr>
          <w:rFonts w:ascii="宋体" w:hAnsi="宋体" w:cs="宋体"/>
        </w:rPr>
        <w:t xml:space="preserve">.1.</w:t>
      </w:r>
      <w:r>
        <w:rPr>
          <w:rFonts w:hint="eastAsia" w:ascii="宋体" w:hAnsi="宋体" w:cs="宋体"/>
        </w:rPr>
        <w:t xml:space="preserve">9</w:t>
      </w:r>
      <w:r>
        <w:rPr>
          <w:rFonts w:ascii="宋体" w:hAnsi="宋体" w:cs="宋体"/>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27.1.10 其他法律、法规及本采购文件规定的属无效响应的情形。</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28、确定成交单位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28.3 代理机构将在“扬州市广陵区政府采购网”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“扬州市政府采购网”、”江苏省政府采购网”、“中国政府采购网”发布成交公告，公告期限为1个工作日。</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29、质疑处理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30、成交通知书</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31、 签订合同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32、其他</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912"/>
        <w:jc w:val="center"/>
        <w:spacing w:line="360" w:lineRule="auto"/>
        <w:rPr>
          <w:rFonts w:ascii="宋体" w:hAnsi="宋体" w:cs="宋体"/>
          <w:color w:val="auto"/>
          <w:highlight w:val="none"/>
        </w:rPr>
      </w:pPr>
      <w:r>
        <w:rPr>
          <w:rFonts w:hint="eastAsia" w:ascii="宋体" w:hAnsi="宋体" w:cs="宋体"/>
          <w:color w:val="auto"/>
          <w:highlight w:val="none"/>
        </w:rPr>
        <w:br w:type="page" w:clear="all"/>
      </w:r>
      <w:bookmarkStart w:id="34" w:name="_Toc5462"/>
      <w:r>
        <w:rPr>
          <w:rFonts w:hint="eastAsia" w:ascii="宋体" w:hAnsi="宋体" w:cs="宋体"/>
          <w:color w:val="auto"/>
          <w:highlight w:val="none"/>
        </w:rPr>
        <w:t xml:space="preserve">第三章 合同条款及格式</w:t>
      </w:r>
      <w:bookmarkEnd w:id="34"/>
      <w:r/>
      <w:r/>
    </w:p>
    <w:p>
      <w:pPr>
        <w:pStyle w:val="929"/>
        <w:ind w:firstLine="422"/>
        <w:jc w:val="center"/>
        <w:spacing w:before="120" w:after="120" w:line="360" w:lineRule="auto"/>
        <w:rPr>
          <w:rFonts w:hAnsi="宋体" w:cs="宋体"/>
          <w:b/>
          <w:bCs/>
          <w:color w:val="auto"/>
          <w:sz w:val="21"/>
          <w:szCs w:val="21"/>
          <w:highlight w:val="none"/>
        </w:rPr>
      </w:pPr>
      <w:r>
        <w:rPr>
          <w:rFonts w:hint="eastAsia" w:hAnsi="宋体" w:cs="宋体"/>
          <w:b/>
          <w:bCs/>
          <w:color w:val="auto"/>
          <w:sz w:val="21"/>
          <w:szCs w:val="21"/>
          <w:highlight w:val="none"/>
        </w:rPr>
        <w:t xml:space="preserve">扬州市政府采购合同（服务）（合同编号）</w:t>
      </w:r>
      <w:r/>
    </w:p>
    <w:p>
      <w:pPr>
        <w:pStyle w:val="929"/>
        <w:keepLines w:val="0"/>
        <w:keepNext w:val="0"/>
        <w:pageBreakBefore w:val="0"/>
        <w:spacing w:before="120" w:after="120"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扬州市社区干部进修中心后勤管理服务采购项目</w:t>
      </w:r>
      <w:r/>
    </w:p>
    <w:p>
      <w:pPr>
        <w:pStyle w:val="929"/>
        <w:keepLines w:val="0"/>
        <w:keepNext w:val="0"/>
        <w:pageBreakBefore w:val="0"/>
        <w:spacing w:before="120" w:after="120" w:line="360" w:lineRule="auto"/>
        <w:widowControl w:val="off"/>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JSZC-321002-JSWC-C2026-0026</w:t>
      </w:r>
      <w:r/>
    </w:p>
    <w:p>
      <w:pPr>
        <w:pStyle w:val="929"/>
        <w:keepLines w:val="0"/>
        <w:keepNext w:val="0"/>
        <w:pageBreakBefore w:val="0"/>
        <w:spacing w:before="120" w:after="120" w:line="360" w:lineRule="auto"/>
        <w:widowControl w:val="off"/>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甲方：（买方）</w:t>
      </w:r>
      <w:r>
        <w:rPr>
          <w:rFonts w:hint="eastAsia" w:hAnsi="宋体" w:cs="宋体"/>
          <w:color w:val="auto"/>
          <w:sz w:val="21"/>
          <w:szCs w:val="21"/>
          <w:highlight w:val="none"/>
          <w:lang w:eastAsia="zh-CN"/>
        </w:rPr>
        <w:t xml:space="preserve">扬州市社区干部进修中心</w:t>
      </w:r>
      <w:r/>
    </w:p>
    <w:p>
      <w:pPr>
        <w:pStyle w:val="929"/>
        <w:keepLines w:val="0"/>
        <w:keepNext w:val="0"/>
        <w:pageBreakBefore w:val="0"/>
        <w:spacing w:before="120" w:after="120"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乙方：（卖方）_________</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甲、乙双方根据江苏唯诚建设咨询有限公司组织竞争性磋商的结果，签署本合同。</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一、服务及产品内容</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1.1 项目（产品）名称：</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1.2 项目服务内容：</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二、合同金额</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2.1 本合同金额为（大写）：______________圆（____________元）人民币。</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三、技术资料</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3.1乙方应按采购文件规定的时间向甲方提供使用服务或产品的有关技术资料。</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四、知识产权</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五、产权担保</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5.1 乙方保证所交付的服务或产品的所有权完全属于乙方且无任何抵押、查封等产权瑕疵。</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六、履约保证金</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本项目不收取履约保证金。</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七、转包或分包</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7.1本合同范围的服务或产品，应由乙方直接供应，不得转让他人供应；</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7.2 除非得到甲方的书面同意，乙方不得部分分包给他人供应。</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7.3如有转让和未经甲方同意的分包行为，甲方有权给予终止合同。</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八、服务期</w:t>
      </w:r>
      <w:r/>
    </w:p>
    <w:p>
      <w:pPr>
        <w:pStyle w:val="929"/>
        <w:ind w:firstLine="420"/>
        <w:keepLines w:val="0"/>
        <w:keepNext w:val="0"/>
        <w:pageBreakBefore w:val="0"/>
        <w:spacing w:line="360" w:lineRule="auto"/>
        <w:widowControl w:val="off"/>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8.1 服务期：</w:t>
      </w:r>
      <w:r>
        <w:rPr>
          <w:rFonts w:hint="eastAsia" w:hAnsi="宋体" w:cs="宋体"/>
          <w:color w:val="auto"/>
          <w:sz w:val="21"/>
          <w:szCs w:val="21"/>
          <w:highlight w:val="none"/>
          <w:u w:val="single"/>
          <w:shd w:val="clear" w:color="auto" w:fill="ffffff"/>
        </w:rPr>
        <w:t xml:space="preserve">自合同签订之日起</w:t>
      </w:r>
      <w:r>
        <w:rPr>
          <w:rFonts w:hint="eastAsia" w:hAnsi="宋体" w:cs="宋体"/>
          <w:color w:val="auto"/>
          <w:sz w:val="21"/>
          <w:szCs w:val="21"/>
          <w:highlight w:val="none"/>
          <w:u w:val="single"/>
          <w:shd w:val="clear" w:color="auto" w:fill="ffffff"/>
          <w:lang w:val="en-US" w:eastAsia="zh-CN"/>
        </w:rPr>
        <w:t xml:space="preserve">一年</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九、交付期、交付方式及交付地点</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9.1 交付期：_________</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9.2 交付方式：_________</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9.3 交付地点：_________</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十、支付方式</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929"/>
        <w:ind w:firstLine="420"/>
        <w:keepLines w:val="0"/>
        <w:keepNext w:val="0"/>
        <w:pageBreakBefore w:val="0"/>
        <w:spacing w:line="360" w:lineRule="auto"/>
        <w:shd w:val="clear" w:color="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合同签订后，乙方向甲方开具发票，甲方自收到发票之日起10个工作日内支付当年合同金额30%的预付款。</w:t>
      </w:r>
      <w:r/>
    </w:p>
    <w:p>
      <w:pPr>
        <w:pStyle w:val="929"/>
        <w:ind w:firstLine="420"/>
        <w:keepLines w:val="0"/>
        <w:keepNext w:val="0"/>
        <w:pageBreakBefore w:val="0"/>
        <w:spacing w:line="360" w:lineRule="auto"/>
        <w:shd w:val="clear" w:color="auto"/>
        <w:widowControl w:val="off"/>
        <w:rPr>
          <w:rFonts w:hint="eastAsia" w:ascii="宋体" w:hAnsi="宋体" w:cs="宋体"/>
          <w:color w:val="auto"/>
          <w:sz w:val="21"/>
          <w:szCs w:val="22"/>
          <w:highlight w:val="none"/>
        </w:rPr>
      </w:pPr>
      <w:r>
        <w:rPr>
          <w:rFonts w:hint="eastAsia" w:ascii="宋体" w:hAnsi="宋体" w:cs="宋体"/>
          <w:color w:val="auto"/>
          <w:sz w:val="21"/>
          <w:szCs w:val="22"/>
          <w:highlight w:val="none"/>
        </w:rPr>
        <w:t xml:space="preserve">服务开始后，每季度（三个月）第一个月支付上季度（三个月）的实际服务费用（预付款在上季度实际服务费用中扣除，扣完为止），服务期满达到离场要求且按时撤场后，结清全部账目。每次付款前，乙方向甲方开具发票，甲方自收到发票之日起10个工作日内支付。</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十一、税费</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11.1本合同执行中相关的一切税费均由乙方负担。</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十二、质量保证及售后服务</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12.1 乙方应按采购文件规定的服务或产品性能、技术要求、质量标准向甲方提供。</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⑴更换：由乙方承担所发生的全部费用。</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⑵贬值处理：由甲乙双方合议定价。</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⑶退还处理：乙方应退还甲方支付的合同款，同时应承担该服务或产品的直接费用（运输、保险、检验、款项利息及银行手续费等）。</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十三、调试和验收</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13.4 对技术复杂的服务或产品，甲方可请国家认可的专业检测机构参与初步验收及最终验收，并由其出具质量检测报告。</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13.5 验收时乙方必须在现场，验收完毕后作出验收结果报告；验收费用由甲乙双方协商解决。</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十四、服务或产品包装、发运及运输</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14.1 乙方应在服务或产品发运前对其进行满足运输距离、防潮、防震、防锈和防破损装卸等要求包装，以保证服务或产品安全运达甲方指定地点。</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14.2 使用说明书、质量检验证明书、随配附件和工具以及清单一并交付甲方。</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14.3 乙方在服务或产品发运手续办理完毕后24小时内或交付到甲方48小时前通知甲方，以准备接受交付。</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14.4 服务在交付甲方前发生的风险均由乙方负责。</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14.5 服务或产品在规定的交付期限内由乙方送达甲方指定的地点视为交付，乙方同时需通知甲方服务或产品已送达。</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十五、违约责任</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15.1 甲方无正当理由拒收服务或产品的，甲方向乙方偿付拒收款项总值的百分之五违约金。</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15.2 甲方无故逾期验收和办理款项支付手续的,甲方应按逾期付款总额每日万分之五向乙方支付违约金。</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十六、不可抗力事件处理</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16.2 不可抗力事件发生后，应立即通知对方，并寄送有关权威机构出具的证明。</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16.3 不可抗力事件延续120天以上，双方应通过友好协商，确定是否继续履行合同。</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十七、诉讼</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29"/>
        <w:ind w:firstLine="422"/>
        <w:keepLines w:val="0"/>
        <w:keepNext w:val="0"/>
        <w:pageBreakBefore w:val="0"/>
        <w:spacing w:line="360" w:lineRule="auto"/>
        <w:widowControl w:val="off"/>
        <w:rPr>
          <w:rFonts w:hAnsi="宋体" w:cs="宋体"/>
          <w:b/>
          <w:bCs/>
          <w:color w:val="auto"/>
          <w:sz w:val="21"/>
          <w:szCs w:val="21"/>
          <w:highlight w:val="none"/>
        </w:rPr>
      </w:pPr>
      <w:r>
        <w:rPr>
          <w:rFonts w:hint="eastAsia" w:hAnsi="宋体" w:cs="宋体"/>
          <w:b/>
          <w:bCs/>
          <w:color w:val="auto"/>
          <w:sz w:val="21"/>
          <w:szCs w:val="21"/>
          <w:highlight w:val="none"/>
        </w:rPr>
        <w:t xml:space="preserve">十九、合同生效及其它</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19.1 合同经双方法定代表人签章并加盖单位公章，并经江苏唯诚建设咨询有限公司见证盖章后生效。</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19.2本合同未尽事宜，遵照《</w:t>
      </w:r>
      <w:r>
        <w:rPr>
          <w:rFonts w:hint="eastAsia" w:hAnsi="宋体" w:cs="宋体"/>
          <w:color w:val="auto"/>
          <w:sz w:val="21"/>
          <w:szCs w:val="21"/>
          <w:highlight w:val="none"/>
          <w:lang w:val="en-US" w:eastAsia="zh-CN"/>
        </w:rPr>
        <w:t xml:space="preserve">中华人民共和国</w:t>
      </w:r>
      <w:r>
        <w:rPr>
          <w:rFonts w:hint="eastAsia" w:hAnsi="宋体" w:cs="宋体"/>
          <w:color w:val="auto"/>
          <w:sz w:val="21"/>
          <w:szCs w:val="21"/>
          <w:highlight w:val="none"/>
        </w:rPr>
        <w:t xml:space="preserve">民法典》有关条文执行。</w:t>
      </w:r>
      <w:r/>
    </w:p>
    <w:p>
      <w:pPr>
        <w:pStyle w:val="929"/>
        <w:ind w:firstLine="420"/>
        <w:keepLines w:val="0"/>
        <w:keepNext w:val="0"/>
        <w:pageBreakBefore w:val="0"/>
        <w:spacing w:line="360" w:lineRule="auto"/>
        <w:widowControl w:val="off"/>
        <w:rPr>
          <w:rFonts w:hAnsi="宋体" w:cs="宋体"/>
          <w:color w:val="auto"/>
          <w:sz w:val="21"/>
          <w:szCs w:val="21"/>
          <w:highlight w:val="none"/>
        </w:rPr>
      </w:pPr>
      <w:r>
        <w:rPr>
          <w:rFonts w:hint="eastAsia" w:hAnsi="宋体" w:cs="宋体"/>
          <w:color w:val="auto"/>
          <w:sz w:val="21"/>
          <w:szCs w:val="21"/>
          <w:highlight w:val="none"/>
        </w:rPr>
        <w:t xml:space="preserve">19.3 本合同正本一式伍份，具有同等法律效力，甲方、乙方各执贰份、见证方执壹份。  </w:t>
      </w:r>
      <w:r/>
    </w:p>
    <w:tbl>
      <w:tblPr>
        <w:tblStyle w:val="70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29"/>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w:t>
            </w:r>
            <w:r/>
          </w:p>
        </w:tc>
      </w:tr>
    </w:tbl>
    <w:p>
      <w:pPr>
        <w:pStyle w:val="929"/>
        <w:spacing w:before="120" w:after="120" w:line="360" w:lineRule="auto"/>
        <w:rPr>
          <w:rFonts w:hAnsi="宋体" w:cs="宋体"/>
          <w:color w:val="auto"/>
          <w:sz w:val="21"/>
          <w:szCs w:val="21"/>
          <w:highlight w:val="none"/>
        </w:rPr>
      </w:pPr>
      <w:r>
        <w:rPr>
          <w:rFonts w:hAnsi="宋体" w:cs="宋体"/>
          <w:color w:val="auto"/>
          <w:sz w:val="21"/>
          <w:szCs w:val="21"/>
          <w:highlight w:val="none"/>
        </w:rPr>
      </w:r>
      <w:r/>
    </w:p>
    <w:p>
      <w:pPr>
        <w:pStyle w:val="929"/>
        <w:ind w:firstLine="21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见证方：江苏唯诚建设咨询有限公司</w:t>
      </w:r>
      <w:r/>
    </w:p>
    <w:p>
      <w:pPr>
        <w:pStyle w:val="929"/>
        <w:ind w:firstLine="21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项目经办人：</w:t>
      </w:r>
      <w:r/>
    </w:p>
    <w:p>
      <w:pPr>
        <w:pStyle w:val="929"/>
        <w:ind w:firstLine="210"/>
        <w:spacing w:before="120" w:after="120" w:line="360" w:lineRule="auto"/>
        <w:rPr>
          <w:rFonts w:hAnsi="宋体" w:cs="宋体"/>
          <w:color w:val="auto"/>
          <w:sz w:val="21"/>
          <w:szCs w:val="21"/>
          <w:highlight w:val="none"/>
        </w:rPr>
      </w:pPr>
      <w:r>
        <w:rPr>
          <w:rFonts w:hint="eastAsia" w:hAnsi="宋体" w:cs="宋体"/>
          <w:color w:val="auto"/>
          <w:sz w:val="21"/>
          <w:szCs w:val="21"/>
          <w:highlight w:val="none"/>
        </w:rPr>
        <w:t xml:space="preserve">日期：     年   月   日</w:t>
      </w:r>
      <w:r/>
    </w:p>
    <w:p>
      <w:pPr>
        <w:ind w:firstLine="84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929"/>
        <w:ind w:firstLine="210"/>
        <w:spacing w:before="120" w:after="120"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912"/>
        <w:jc w:val="center"/>
        <w:spacing w:line="360" w:lineRule="auto"/>
        <w:rPr>
          <w:rFonts w:ascii="宋体" w:hAnsi="宋体" w:cs="宋体"/>
          <w:color w:val="auto"/>
          <w:highlight w:val="none"/>
        </w:rPr>
      </w:pPr>
      <w:r>
        <w:rPr>
          <w:rFonts w:hint="eastAsia" w:ascii="宋体" w:hAnsi="宋体" w:cs="宋体"/>
          <w:color w:val="auto"/>
          <w:highlight w:val="none"/>
        </w:rPr>
        <w:br w:type="page" w:clear="all"/>
      </w:r>
      <w:bookmarkStart w:id="35" w:name="_Toc32723"/>
      <w:r>
        <w:rPr>
          <w:rFonts w:hint="eastAsia" w:ascii="宋体" w:hAnsi="宋体" w:cs="宋体"/>
          <w:color w:val="auto"/>
          <w:highlight w:val="none"/>
        </w:rPr>
        <w:t xml:space="preserve">第四章 项目需求</w:t>
      </w:r>
      <w:bookmarkEnd w:id="35"/>
      <w:r/>
      <w:r/>
    </w:p>
    <w:p>
      <w:pPr>
        <w:contextualSpacing/>
        <w:ind w:right="0" w:firstLine="422"/>
        <w:jc w:val="both"/>
        <w:keepLines w:val="0"/>
        <w:keepNext w:val="0"/>
        <w:pageBreakBefore w:val="0"/>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、项目基本概况</w:t>
      </w:r>
      <w:r/>
    </w:p>
    <w:p>
      <w:pPr>
        <w:contextualSpacing/>
        <w:ind w:right="0" w:firstLine="420"/>
        <w:jc w:val="both"/>
        <w:keepLines w:val="0"/>
        <w:keepNext w:val="0"/>
        <w:pageBreakBefore w:val="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扬州市社区干部进修中心</w:t>
      </w:r>
      <w:r>
        <w:rPr>
          <w:rFonts w:hint="eastAsia" w:ascii="宋体" w:hAnsi="宋体" w:cs="宋体"/>
          <w:sz w:val="21"/>
          <w:szCs w:val="21"/>
          <w:lang w:val="en-US" w:eastAsia="zh-CN"/>
        </w:rPr>
        <w:t xml:space="preserve">位于</w:t>
      </w:r>
      <w:r>
        <w:rPr>
          <w:rFonts w:hint="eastAsia" w:ascii="宋体" w:hAnsi="宋体" w:eastAsia="宋体" w:cs="宋体"/>
          <w:sz w:val="21"/>
          <w:szCs w:val="21"/>
          <w:lang w:val="en-US" w:eastAsia="zh-CN"/>
        </w:rPr>
        <w:t xml:space="preserve">盐阜路与弥陀巷交叉口正南方向38米</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建筑面积</w:t>
      </w:r>
      <w:r>
        <w:rPr>
          <w:rFonts w:hint="eastAsia" w:ascii="宋体" w:hAnsi="宋体" w:cs="宋体"/>
          <w:sz w:val="21"/>
          <w:szCs w:val="21"/>
          <w:lang w:val="en-US" w:eastAsia="zh-CN"/>
        </w:rPr>
        <w:t xml:space="preserve">约</w:t>
      </w:r>
      <w:r>
        <w:rPr>
          <w:rFonts w:hint="eastAsia" w:ascii="宋体" w:hAnsi="宋体" w:cs="宋体"/>
          <w:sz w:val="21"/>
          <w:szCs w:val="21"/>
          <w:highlight w:val="none"/>
          <w:lang w:val="en-US" w:eastAsia="zh-CN"/>
        </w:rPr>
        <w:t xml:space="preserve">8030</w:t>
      </w:r>
      <w:r>
        <w:rPr>
          <w:rFonts w:hint="eastAsia" w:ascii="宋体" w:hAnsi="宋体" w:eastAsia="宋体" w:cs="宋体"/>
          <w:sz w:val="21"/>
          <w:szCs w:val="21"/>
          <w:highlight w:val="none"/>
        </w:rPr>
        <w:t xml:space="preserve">平方</w:t>
      </w:r>
      <w:r>
        <w:rPr>
          <w:rFonts w:hint="eastAsia" w:ascii="宋体" w:hAnsi="宋体" w:cs="宋体"/>
          <w:sz w:val="21"/>
          <w:szCs w:val="21"/>
          <w:highlight w:val="none"/>
          <w:lang w:val="en-US" w:eastAsia="zh-CN"/>
        </w:rPr>
        <w:t xml:space="preserve">米</w:t>
      </w:r>
      <w:r>
        <w:rPr>
          <w:rFonts w:hint="eastAsia" w:ascii="宋体" w:hAnsi="宋体" w:eastAsia="宋体" w:cs="宋体"/>
          <w:sz w:val="21"/>
          <w:szCs w:val="21"/>
          <w:highlight w:val="none"/>
        </w:rPr>
        <w:t xml:space="preserve">。</w:t>
      </w:r>
      <w:r/>
    </w:p>
    <w:p>
      <w:pPr>
        <w:contextualSpacing/>
        <w:ind w:right="0" w:firstLine="420"/>
        <w:jc w:val="both"/>
        <w:keepLines w:val="0"/>
        <w:keepNext w:val="0"/>
        <w:pageBreakBefore w:val="0"/>
        <w:spacing w:line="360" w:lineRule="auto"/>
        <w:shd w:val="clear" w:color="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管理区域的服务范围：</w:t>
      </w:r>
      <w:r>
        <w:rPr>
          <w:rFonts w:hint="eastAsia" w:ascii="宋体" w:hAnsi="宋体" w:eastAsia="宋体" w:cs="宋体"/>
          <w:sz w:val="21"/>
          <w:szCs w:val="21"/>
          <w:highlight w:val="none"/>
          <w:lang w:val="en-US" w:eastAsia="zh-CN"/>
        </w:rPr>
        <w:t xml:space="preserve">扬州市社区干部进修中心</w:t>
      </w:r>
      <w:r>
        <w:rPr>
          <w:rFonts w:hint="eastAsia" w:ascii="宋体" w:hAnsi="宋体" w:eastAsia="宋体" w:cs="宋体"/>
          <w:sz w:val="21"/>
          <w:szCs w:val="21"/>
          <w:highlight w:val="none"/>
        </w:rPr>
        <w:t xml:space="preserve">及其附属环境设施，服务内容：安全保卫（含安保、消防安全、停车管理）、配套设施使用与管理、环境卫生、绿化管理、会务服务、</w:t>
      </w:r>
      <w:r>
        <w:rPr>
          <w:rFonts w:hint="eastAsia" w:ascii="宋体" w:hAnsi="宋体" w:cs="宋体"/>
          <w:sz w:val="21"/>
          <w:szCs w:val="21"/>
          <w:highlight w:val="none"/>
          <w:lang w:eastAsia="zh-CN"/>
        </w:rPr>
        <w:t xml:space="preserve">后勤服务保障</w:t>
      </w:r>
      <w:r>
        <w:rPr>
          <w:rFonts w:hint="eastAsia" w:ascii="宋体" w:hAnsi="宋体" w:eastAsia="宋体" w:cs="宋体"/>
          <w:sz w:val="21"/>
          <w:szCs w:val="21"/>
          <w:highlight w:val="none"/>
        </w:rPr>
        <w:t xml:space="preserve">、学员宿舍服务及管理、餐饮服务及管理等</w:t>
      </w:r>
      <w:r>
        <w:rPr>
          <w:rFonts w:hint="eastAsia" w:ascii="宋体" w:hAnsi="宋体" w:eastAsia="宋体" w:cs="宋体"/>
          <w:sz w:val="21"/>
          <w:szCs w:val="21"/>
          <w:highlight w:val="none"/>
          <w:lang w:eastAsia="zh-CN"/>
        </w:rPr>
        <w:t xml:space="preserve">。</w:t>
      </w:r>
      <w:r/>
    </w:p>
    <w:p>
      <w:pPr>
        <w:ind w:right="0" w:firstLine="422"/>
        <w:jc w:val="both"/>
        <w:keepLines w:val="0"/>
        <w:keepNext w:val="0"/>
        <w:pageBreakBefore w:val="0"/>
        <w:spacing w:line="360" w:lineRule="auto"/>
        <w:rPr>
          <w:rFonts w:hint="eastAsia" w:ascii="宋体" w:hAnsi="宋体" w:eastAsia="宋体" w:cs="宋体"/>
          <w:b/>
          <w:bCs/>
          <w:i w:val="0"/>
          <w:iCs w:val="0"/>
          <w:sz w:val="21"/>
          <w:szCs w:val="21"/>
        </w:rPr>
      </w:pPr>
      <w:r>
        <w:rPr>
          <w:rFonts w:hint="eastAsia" w:ascii="宋体" w:hAnsi="宋体" w:eastAsia="宋体" w:cs="宋体"/>
          <w:b/>
          <w:bCs/>
          <w:i w:val="0"/>
          <w:iCs w:val="0"/>
          <w:sz w:val="21"/>
          <w:szCs w:val="21"/>
          <w:lang w:val="en-US" w:eastAsia="zh-CN"/>
        </w:rPr>
        <w:t xml:space="preserve">二、</w:t>
      </w:r>
      <w:r>
        <w:rPr>
          <w:rFonts w:hint="eastAsia" w:ascii="宋体" w:hAnsi="宋体" w:eastAsia="宋体" w:cs="宋体"/>
          <w:b/>
          <w:bCs/>
          <w:i w:val="0"/>
          <w:iCs w:val="0"/>
          <w:sz w:val="21"/>
          <w:szCs w:val="21"/>
        </w:rPr>
        <w:t xml:space="preserve">服务范围及标准</w:t>
      </w:r>
      <w:r/>
    </w:p>
    <w:p>
      <w:pPr>
        <w:ind w:right="0" w:firstLine="420"/>
        <w:jc w:val="both"/>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（一）服务范围</w:t>
      </w:r>
      <w:r/>
    </w:p>
    <w:p>
      <w:pPr>
        <w:ind w:right="0" w:firstLine="420"/>
        <w:jc w:val="both"/>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1.全校教职工及培训会议用餐及接待服务；</w:t>
      </w:r>
      <w:r/>
    </w:p>
    <w:p>
      <w:pPr>
        <w:ind w:right="0" w:firstLine="420"/>
        <w:jc w:val="both"/>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2.培训会议会务服务及前期准备工作；</w:t>
      </w:r>
      <w:r/>
    </w:p>
    <w:p>
      <w:pPr>
        <w:ind w:right="0" w:firstLine="420"/>
        <w:jc w:val="both"/>
        <w:keepLines w:val="0"/>
        <w:keepNext w:val="0"/>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3.住宿和午休客房服务；</w:t>
      </w:r>
      <w:r/>
    </w:p>
    <w:p>
      <w:pPr>
        <w:ind w:right="0" w:firstLine="420"/>
        <w:jc w:val="both"/>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4.门卫、安保、消防管理及停车场管理服务；</w:t>
      </w:r>
      <w:r/>
    </w:p>
    <w:p>
      <w:pPr>
        <w:ind w:right="0" w:firstLine="420"/>
        <w:jc w:val="both"/>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5.日常设施设备、信息化设备管理维护及维修服务；</w:t>
      </w:r>
      <w:r/>
    </w:p>
    <w:p>
      <w:pPr>
        <w:ind w:right="0" w:firstLine="420"/>
        <w:jc w:val="both"/>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lang w:val="en-US" w:eastAsia="zh-CN"/>
        </w:rPr>
        <w:t xml:space="preserve">环境</w:t>
      </w:r>
      <w:r>
        <w:rPr>
          <w:rFonts w:hint="eastAsia" w:ascii="宋体" w:hAnsi="宋体" w:eastAsia="宋体" w:cs="宋体"/>
          <w:b w:val="0"/>
          <w:bCs w:val="0"/>
          <w:sz w:val="21"/>
          <w:szCs w:val="21"/>
        </w:rPr>
        <w:t xml:space="preserve">保洁服务；</w:t>
      </w:r>
      <w:r/>
    </w:p>
    <w:p>
      <w:pPr>
        <w:pStyle w:val="979"/>
        <w:ind w:left="0" w:right="0" w:firstLine="420"/>
        <w:jc w:val="both"/>
        <w:keepLines w:val="0"/>
        <w:keepNext w:val="0"/>
        <w:pageBreakBefore w:val="0"/>
        <w:spacing w:after="0"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7.</w:t>
      </w:r>
      <w:r>
        <w:rPr>
          <w:rFonts w:hint="eastAsia" w:ascii="宋体" w:hAnsi="宋体" w:eastAsia="宋体" w:cs="宋体"/>
          <w:b w:val="0"/>
          <w:bCs w:val="0"/>
          <w:sz w:val="21"/>
          <w:szCs w:val="21"/>
          <w:lang w:val="en-US" w:eastAsia="zh-CN" w:bidi="ar-SA"/>
        </w:rPr>
        <w:t xml:space="preserve">其他必要的服务。</w:t>
      </w:r>
      <w:r/>
    </w:p>
    <w:p>
      <w:pPr>
        <w:ind w:right="0" w:firstLine="420"/>
        <w:jc w:val="both"/>
        <w:keepLines w:val="0"/>
        <w:keepNext w:val="0"/>
        <w:pageBreakBefore w:val="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（二）服务标准</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会务管理服务：根据培训、会议安排，提前备好茶具、茶水、餐巾纸等用品，提前检查调试音响、话筒、投影等设备，协助带班老师布置会议现场、培训教室，准备会议所用相关用具（会议使用的各类标识、签到登记的表格、文具用品、学习资料袋、座签牌等）。</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住宿管理服务：提供住宿楼等24小时客服服务，包括前台接待、客房管理、学员入住办理、住宿清单、安全管理等。同时包括住宿楼及辅楼的保洁、布草更换、洗漱等生活用品更换、管理，内部电器检修、维修等。</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3.餐饮管理服务：提供早中晚餐饮服务，包括菜肴烹制、开菜单、列食材清单、验收食材、餐具清洗等。同时包括餐饮楼及辅楼厨房和用餐区域的保洁等。每月要有新菜式提供。</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.环境卫生管理：确保办公楼环境优美，整洁卫生；保持室内外各公共物管理区域的清洁卫生、无垃圾、无杂物；做好校内的蚊虫、老鼠等消杀工作；对区委党校办公区域提供保洁清洁服务；</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安全秩序管理：建立严格管理制度，控制闲杂人员进入校园，做好访客登记；遇突发事件按紧急预案处置；值班岗位有值班记录随时查阅；监控资料随时查看；配合进行安全生产管理，定期进行安全检查、设备房检查等。</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.档案资料管理：与</w:t>
      </w:r>
      <w:r>
        <w:rPr>
          <w:rFonts w:hint="eastAsia" w:ascii="宋体" w:hAnsi="宋体" w:cs="宋体"/>
          <w:sz w:val="21"/>
          <w:szCs w:val="21"/>
          <w:lang w:val="en-US" w:eastAsia="zh-CN"/>
        </w:rPr>
        <w:t xml:space="preserve">后勤</w:t>
      </w:r>
      <w:r>
        <w:rPr>
          <w:rFonts w:hint="eastAsia" w:ascii="宋体" w:hAnsi="宋体" w:eastAsia="宋体" w:cs="宋体"/>
          <w:sz w:val="21"/>
          <w:szCs w:val="21"/>
        </w:rPr>
        <w:t xml:space="preserve">服务业务相关的所有资料及</w:t>
      </w:r>
      <w:r>
        <w:rPr>
          <w:rFonts w:hint="eastAsia" w:ascii="宋体" w:hAnsi="宋体" w:cs="宋体"/>
          <w:sz w:val="21"/>
          <w:szCs w:val="21"/>
          <w:lang w:val="en-US" w:eastAsia="zh-CN"/>
        </w:rPr>
        <w:t xml:space="preserve">后勤</w:t>
      </w:r>
      <w:r>
        <w:rPr>
          <w:rFonts w:hint="eastAsia" w:ascii="宋体" w:hAnsi="宋体" w:eastAsia="宋体" w:cs="宋体"/>
          <w:sz w:val="21"/>
          <w:szCs w:val="21"/>
        </w:rPr>
        <w:t xml:space="preserve">管理范围内的所有设施设备档案的建册立账工作；设施设备台账根据事实情况每月更新。</w:t>
      </w:r>
      <w:r/>
    </w:p>
    <w:p>
      <w:pPr>
        <w:contextualSpacing/>
        <w:ind w:right="0" w:firstLine="422"/>
        <w:jc w:val="both"/>
        <w:keepLines w:val="0"/>
        <w:keepNext w:val="0"/>
        <w:pageBreakBefore w:val="0"/>
        <w:spacing w:line="360" w:lineRule="auto"/>
        <w:rPr>
          <w:rFonts w:hint="eastAsia" w:ascii="宋体" w:hAnsi="宋体" w:eastAsia="宋体" w:cs="宋体"/>
          <w:b/>
          <w:bCs/>
          <w:sz w:val="21"/>
          <w:szCs w:val="21"/>
        </w:rPr>
      </w:pPr>
      <w:r>
        <w:rPr>
          <w:rFonts w:hint="eastAsia" w:ascii="宋体" w:hAnsi="宋体" w:cs="宋体"/>
          <w:b/>
          <w:bCs/>
          <w:sz w:val="21"/>
          <w:szCs w:val="21"/>
          <w:lang w:val="en-US" w:eastAsia="zh-CN"/>
        </w:rPr>
        <w:t xml:space="preserve">三</w:t>
      </w: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后勤</w:t>
      </w:r>
      <w:r>
        <w:rPr>
          <w:rFonts w:hint="eastAsia" w:ascii="宋体" w:hAnsi="宋体" w:eastAsia="宋体" w:cs="宋体"/>
          <w:b/>
          <w:bCs/>
          <w:sz w:val="21"/>
          <w:szCs w:val="21"/>
        </w:rPr>
        <w:t xml:space="preserve">管理及客房餐饮服务工作要求</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一</w:t>
      </w:r>
      <w:r>
        <w:rPr>
          <w:rFonts w:hint="eastAsia" w:ascii="宋体" w:hAnsi="宋体" w:cs="宋体"/>
          <w:sz w:val="21"/>
          <w:szCs w:val="21"/>
          <w:lang w:eastAsia="zh-CN"/>
        </w:rPr>
        <w:t xml:space="preserve">）</w:t>
      </w:r>
      <w:r>
        <w:rPr>
          <w:rFonts w:hint="eastAsia" w:ascii="宋体" w:hAnsi="宋体" w:eastAsia="宋体" w:cs="宋体"/>
          <w:sz w:val="21"/>
          <w:szCs w:val="21"/>
        </w:rPr>
        <w:t xml:space="preserve">管理服务工作具体要求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.环境卫生的管理服务要求</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保洁人员上班时间根据采购人要求执行，坚持标准式工作要求。公共场所要求在服务单位员工上班前打扫到位，并在服务单位工作时间以内不间断地打扫，实行随叫随打扫，真正做到区域内动态保洁，做到“四无”，即无尘、无水、无痰、无烟头；</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室外区域（含屋顶，楼梯，大楼外墙，大楼外侧门窗高空作业除外，大门，道路，地面，绿地，标识标志，照明等和公共设施）。应保持完整，有效，无变形，无划痕，无污迹、杂物，无积水，无褪色，干净，整齐，美观。其中，电动门、消防栓、围栏及单位标志和公共图形符号标识、标志，机关大门和大楼各门应保持整洁；窖井、明沟、垃圾箱（房）有卫生消毒措施；室外停车场停车位卫生整洁干净。屋顶、楼盖保持整洁无污泥、排雨水道畅通。</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（3）室内区域楼梯、电梯轿箱、走廊等公共场所</w:t>
      </w:r>
      <w:r>
        <w:rPr>
          <w:rFonts w:hint="eastAsia" w:ascii="宋体" w:hAnsi="宋体" w:cs="宋体"/>
          <w:sz w:val="21"/>
          <w:szCs w:val="21"/>
          <w:lang w:eastAsia="zh-CN"/>
        </w:rPr>
        <w:t xml:space="preserve">：</w:t>
      </w:r>
      <w:r>
        <w:rPr>
          <w:rFonts w:hint="eastAsia" w:ascii="宋体" w:hAnsi="宋体" w:eastAsia="宋体" w:cs="宋体"/>
          <w:sz w:val="21"/>
          <w:szCs w:val="21"/>
        </w:rPr>
        <w:t xml:space="preserve">本区域内（含电梯等候区，电梯轿厢，楼梯前堂及门窗和扶手，走廊两边墙面包括玻璃隔墙，吊顶，照明，消防箱，装饰品，装饰盆景，地面，标识标志，废纸篓或垃圾箱等和公共设施）。应保持完整，整齐，有效，平整，无破损，无变形，无划痕，无卷边，无污迹和杂物，无异味，无灰尘，干净，光亮。</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（4）公共卫生间</w:t>
      </w:r>
      <w:r>
        <w:rPr>
          <w:rFonts w:hint="eastAsia" w:ascii="宋体" w:hAnsi="宋体" w:cs="宋体"/>
          <w:sz w:val="21"/>
          <w:szCs w:val="21"/>
          <w:lang w:eastAsia="zh-CN"/>
        </w:rPr>
        <w:t xml:space="preserve">：</w:t>
      </w:r>
      <w:r>
        <w:rPr>
          <w:rFonts w:hint="eastAsia" w:ascii="宋体" w:hAnsi="宋体" w:eastAsia="宋体" w:cs="宋体"/>
          <w:sz w:val="21"/>
          <w:szCs w:val="21"/>
        </w:rPr>
        <w:t xml:space="preserve">本区域内（含盥洗室，茶水废弃物桶，大小便器具，龙头，洗手池、衣帽架、毛巾架等和公共设施）。应保持完好、无堵塞、无滴漏，平整无破损、无污物、污迹，无异味，无脱落，无灰尘，干净，其中，梳妆镜应保持玻璃镜明亮无印痕；龙头和洗手台无污迹、光亮。厕位、洗手台无磨损和无污迹、无灰尘；整个地面光亮无积水；卫生洁具有消毒措施。</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.会务接待管理服务要求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（1）会议服务：会议前准备工作、会议期间及会后收尾的工作。</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（2）按照会务礼仪和规范，做好会务接待工作。</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二</w:t>
      </w:r>
      <w:r>
        <w:rPr>
          <w:rFonts w:hint="eastAsia" w:ascii="宋体" w:hAnsi="宋体" w:cs="宋体"/>
          <w:sz w:val="21"/>
          <w:szCs w:val="21"/>
          <w:lang w:eastAsia="zh-CN"/>
        </w:rPr>
        <w:t xml:space="preserve">）</w:t>
      </w:r>
      <w:r>
        <w:rPr>
          <w:rFonts w:hint="eastAsia" w:ascii="宋体" w:hAnsi="宋体" w:eastAsia="宋体" w:cs="宋体"/>
          <w:sz w:val="21"/>
          <w:szCs w:val="21"/>
        </w:rPr>
        <w:t xml:space="preserve">客房服务工作具体要求</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1.总台提前准备好房间并制作住宿安排表及房卡，提前到仓库领取客房配备物品。</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2.报到当天，做好入住登记工作，协助客人做好报到物品的分发工作。</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3.做好宾客入住的欢迎标语的制作。</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4.做好客房的物品放置、服务工作。</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5.客房及卫生间每天进行整理1次，走客房或应客人要求随时进行房全面清扫整理。走客房或应客人要求更换床单、被单及枕套，客用品和消耗品补充齐全。</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6.做好易耗品、清洗床单等客房物品的交接、清点、保管等工作。</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7.根据特殊情况要求，提供相应专业服务。</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三</w:t>
      </w:r>
      <w:r>
        <w:rPr>
          <w:rFonts w:hint="eastAsia" w:ascii="宋体" w:hAnsi="宋体" w:cs="宋体"/>
          <w:sz w:val="21"/>
          <w:szCs w:val="21"/>
          <w:lang w:eastAsia="zh-CN"/>
        </w:rPr>
        <w:t xml:space="preserve">）</w:t>
      </w:r>
      <w:r>
        <w:rPr>
          <w:rFonts w:hint="eastAsia" w:ascii="宋体" w:hAnsi="宋体" w:eastAsia="宋体" w:cs="宋体"/>
          <w:sz w:val="21"/>
          <w:szCs w:val="21"/>
        </w:rPr>
        <w:t xml:space="preserve">餐饮服务工作具体要求</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根据采购人</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rPr>
        <w:t xml:space="preserve">对自助餐、桌餐的要求进行准备工作，餐厅保持清洁干净。厨房应根据所定的自助餐、桌餐标准，提前制作好菜单，并与甲方沟通确认，具体要求如下：</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1.餐厅服务要求</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（1）餐厅卫生管理控制要求</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要求包括但不限于食品卫生，人员卫生，环境卫生，垃圾处理、餐厅环境管理等方面内容。</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（2）餐厅摆台要求</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餐前餐厅要检查台布、椅套是否洁净、完好；根据菜单要求准备餐具，用具。</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（3）其他要求</w:t>
      </w:r>
      <w:r/>
    </w:p>
    <w:p>
      <w:pPr>
        <w:contextualSpacing/>
        <w:ind w:right="0" w:firstLine="420"/>
        <w:jc w:val="both"/>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应在开餐前5分钟左右把所有菜肴准备完毕</w:t>
      </w:r>
      <w:r>
        <w:rPr>
          <w:rFonts w:hint="eastAsia" w:ascii="宋体" w:hAnsi="宋体" w:eastAsia="宋体" w:cs="宋体"/>
          <w:sz w:val="21"/>
          <w:szCs w:val="21"/>
          <w:lang w:eastAsia="zh-CN"/>
        </w:rPr>
        <w:t xml:space="preserve">。</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根据用餐快慢与厨房联系，掌握好上菜时间。如用餐人突然感到身体不舒服，应立即请示领导，把食物原样保留以待化验。</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2.厨房服务要求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（1）严格遵守采购人的用餐时间，保证—日三（四）餐按时正点开餐，在开餐前15分钟确保所有饭菜品全部摆放到位，开餐前5分钟所有服务人员站立到指定岗位等待开餐。</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（2）厨房人员要持有《健康证》，工作服装整洁，待人礼貌。确保饭菜质量，厨师要了解市场主副食品价格根据本单位伙食费情况及时调剂膳食结构。每周制定周食谱交付采购人审阅。</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确保厨房设施及环境安全卫生，各种餐具用品需及时清洗，做到卫生、洁净、消毒；餐室（厨房）无蝇、无虫；排油烟设施罩清洁不滴油；每次餐后餐具各类物品摆放整齐、规范；操作间每天大清洗一次；垃圾处理及时妥当；食堂环境保持整洁无污染，符合卫生防疫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（4）协助采购人管理好各类食品餐具仓库存储，食品须新鲜干净，保存妥善。</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（5）服从采购人管理调配，因工作需要安排的加班加点工作必服从采购人安排，尤其是要无条件服从疫情期间的封闭管理要求。</w:t>
      </w:r>
      <w:r/>
    </w:p>
    <w:p>
      <w:pPr>
        <w:pStyle w:val="979"/>
        <w:ind w:right="0" w:firstLine="420"/>
        <w:jc w:val="both"/>
        <w:keepLines w:val="0"/>
        <w:keepNext w:val="0"/>
        <w:pageBreakBefore w:val="0"/>
        <w:spacing w:after="0"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特别要求：要求投标人承诺在中标后履行合同前办理《食品经营许可证》，否则将被取消中标资格（承诺格式自拟）。</w:t>
      </w:r>
      <w:r/>
    </w:p>
    <w:p>
      <w:pPr>
        <w:ind w:right="0"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（7）厨房食品质量控制要求</w:t>
      </w:r>
      <w:r/>
    </w:p>
    <w:p>
      <w:pPr>
        <w:pStyle w:val="918"/>
        <w:ind w:left="0" w:right="0" w:firstLine="420"/>
        <w:jc w:val="both"/>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所需工具、设备、物耗等均由采购人提供。厨师长负责食材的质量与安全，并负责提供食材申购和领用报表，协助采购人做好采购工作。</w:t>
      </w:r>
      <w:r/>
    </w:p>
    <w:p>
      <w:pPr>
        <w:pStyle w:val="918"/>
        <w:ind w:left="0" w:right="0" w:firstLine="420"/>
        <w:jc w:val="both"/>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要求从食品采购、运输、验收、贮存各环节以及现场加工食品的场所、设施、人员的基本卫生要求和管理准则。</w:t>
      </w:r>
      <w:r/>
    </w:p>
    <w:p>
      <w:pPr>
        <w:ind w:right="0"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（8）厨房卫生管理控制要求</w:t>
      </w:r>
      <w:r/>
    </w:p>
    <w:p>
      <w:pPr>
        <w:pStyle w:val="918"/>
        <w:ind w:left="0" w:right="0" w:firstLine="420"/>
        <w:jc w:val="both"/>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要求包括但不限于食品卫生，人员卫生，环境卫生，垃圾处理、厨房环境管理等方面内容。</w:t>
      </w:r>
      <w:r/>
    </w:p>
    <w:p>
      <w:pPr>
        <w:pStyle w:val="918"/>
        <w:ind w:left="0" w:right="0" w:firstLine="420"/>
        <w:jc w:val="both"/>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（9）菜品要求</w:t>
      </w:r>
      <w:r/>
    </w:p>
    <w:p>
      <w:pPr>
        <w:pStyle w:val="918"/>
        <w:ind w:left="0" w:right="0" w:firstLine="420"/>
        <w:jc w:val="both"/>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sz w:val="21"/>
          <w:szCs w:val="21"/>
        </w:rPr>
        <w:t xml:space="preserve">服务内容：中标人向采购人提供早餐、午餐、晚餐、临时</w:t>
      </w:r>
      <w:r>
        <w:rPr>
          <w:rFonts w:hint="eastAsia" w:ascii="宋体" w:hAnsi="宋体" w:eastAsia="宋体" w:cs="宋体"/>
          <w:bCs/>
          <w:sz w:val="21"/>
          <w:szCs w:val="21"/>
        </w:rPr>
        <w:t xml:space="preserve">用餐等不同标准餐饮需求的服务。</w:t>
      </w:r>
      <w:r/>
    </w:p>
    <w:p>
      <w:pPr>
        <w:pStyle w:val="918"/>
        <w:ind w:left="0" w:right="0" w:firstLine="420"/>
        <w:jc w:val="both"/>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t xml:space="preserve">服务形式及食品标准：</w:t>
      </w:r>
      <w:r/>
    </w:p>
    <w:p>
      <w:pPr>
        <w:pStyle w:val="918"/>
        <w:ind w:left="0" w:right="0" w:firstLine="420"/>
        <w:jc w:val="both"/>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 1 \* GB3 \* MERGEFORMAT </w:instrText>
      </w:r>
      <w:r>
        <w:rPr>
          <w:rFonts w:hint="eastAsia" w:ascii="宋体" w:hAnsi="宋体" w:eastAsia="宋体" w:cs="宋体"/>
          <w:bCs/>
          <w:sz w:val="21"/>
          <w:szCs w:val="21"/>
        </w:rPr>
        <w:fldChar w:fldCharType="separate"/>
      </w:r>
      <w:r>
        <w:rPr>
          <w:rFonts w:hint="eastAsia" w:ascii="宋体" w:hAnsi="宋体" w:eastAsia="宋体" w:cs="宋体"/>
          <w:bCs/>
          <w:sz w:val="21"/>
          <w:szCs w:val="21"/>
        </w:rPr>
        <w:t xml:space="preserve">①</w:t>
      </w:r>
      <w:r>
        <w:rPr>
          <w:rFonts w:hint="eastAsia" w:ascii="宋体" w:hAnsi="宋体" w:eastAsia="宋体" w:cs="宋体"/>
          <w:bCs/>
          <w:sz w:val="21"/>
          <w:szCs w:val="21"/>
        </w:rPr>
        <w:fldChar w:fldCharType="end"/>
      </w:r>
      <w:r>
        <w:rPr>
          <w:rFonts w:hint="eastAsia" w:ascii="宋体" w:hAnsi="宋体" w:eastAsia="宋体" w:cs="宋体"/>
          <w:bCs/>
          <w:sz w:val="21"/>
          <w:szCs w:val="21"/>
        </w:rPr>
        <w:t xml:space="preserve">学员用餐：主要为各类班次的学员提供就餐服务。按采购人提供的标准进行准备，供餐时间：早餐，7</w:t>
      </w:r>
      <w:r>
        <w:rPr>
          <w:rFonts w:hint="eastAsia" w:ascii="宋体" w:hAnsi="宋体" w:cs="宋体"/>
          <w:bCs/>
          <w:sz w:val="21"/>
          <w:szCs w:val="21"/>
          <w:lang w:eastAsia="zh-CN"/>
        </w:rPr>
        <w:t xml:space="preserve">：</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0～09</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00；午餐，11</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30～13</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00；晚餐：17</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30～19</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00。用餐时间有特殊要求时另行通知。合同执行期间，采购人有权根据实际情况对本项要求进行调整。</w:t>
      </w:r>
      <w:r/>
    </w:p>
    <w:p>
      <w:pPr>
        <w:pStyle w:val="918"/>
        <w:ind w:left="0" w:right="0" w:firstLine="420"/>
        <w:jc w:val="both"/>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 2 \* GB3 \* MERGEFORMAT </w:instrText>
      </w:r>
      <w:r>
        <w:rPr>
          <w:rFonts w:hint="eastAsia" w:ascii="宋体" w:hAnsi="宋体" w:eastAsia="宋体" w:cs="宋体"/>
          <w:bCs/>
          <w:sz w:val="21"/>
          <w:szCs w:val="21"/>
        </w:rPr>
        <w:fldChar w:fldCharType="separate"/>
      </w:r>
      <w:r>
        <w:rPr>
          <w:rFonts w:hint="eastAsia" w:ascii="宋体" w:hAnsi="宋体" w:eastAsia="宋体" w:cs="宋体"/>
          <w:bCs/>
          <w:sz w:val="21"/>
          <w:szCs w:val="21"/>
        </w:rPr>
        <w:t xml:space="preserve">②</w:t>
      </w:r>
      <w:r>
        <w:rPr>
          <w:rFonts w:hint="eastAsia" w:ascii="宋体" w:hAnsi="宋体" w:eastAsia="宋体" w:cs="宋体"/>
          <w:bCs/>
          <w:sz w:val="21"/>
          <w:szCs w:val="21"/>
        </w:rPr>
        <w:fldChar w:fldCharType="end"/>
      </w:r>
      <w:r>
        <w:rPr>
          <w:rFonts w:hint="eastAsia" w:ascii="宋体" w:hAnsi="宋体" w:eastAsia="宋体" w:cs="宋体"/>
          <w:bCs/>
          <w:sz w:val="21"/>
          <w:szCs w:val="21"/>
        </w:rPr>
        <w:t xml:space="preserve">教职工用餐：主要为全校教职工提供就餐服务。按采购人提供的标准进行准备，供餐时间：早餐，7</w:t>
      </w:r>
      <w:r>
        <w:rPr>
          <w:rFonts w:hint="eastAsia" w:ascii="宋体" w:hAnsi="宋体" w:cs="宋体"/>
          <w:bCs/>
          <w:sz w:val="21"/>
          <w:szCs w:val="21"/>
          <w:lang w:eastAsia="zh-CN"/>
        </w:rPr>
        <w:t xml:space="preserve">：</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0～09</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00；午餐，11</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30～13</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00。用餐时间有特殊要求时另行通知。</w:t>
      </w:r>
      <w:r/>
    </w:p>
    <w:p>
      <w:pPr>
        <w:pStyle w:val="918"/>
        <w:ind w:left="0" w:right="0" w:firstLine="420"/>
        <w:jc w:val="both"/>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 3 \* GB3 \* MERGEFORMAT </w:instrText>
      </w:r>
      <w:r>
        <w:rPr>
          <w:rFonts w:hint="eastAsia" w:ascii="宋体" w:hAnsi="宋体" w:eastAsia="宋体" w:cs="宋体"/>
          <w:bCs/>
          <w:sz w:val="21"/>
          <w:szCs w:val="21"/>
        </w:rPr>
        <w:fldChar w:fldCharType="separate"/>
      </w:r>
      <w:r>
        <w:rPr>
          <w:rFonts w:hint="eastAsia" w:ascii="宋体" w:hAnsi="宋体" w:eastAsia="宋体" w:cs="宋体"/>
          <w:bCs/>
          <w:sz w:val="21"/>
          <w:szCs w:val="21"/>
        </w:rPr>
        <w:t xml:space="preserve">③</w:t>
      </w:r>
      <w:r>
        <w:rPr>
          <w:rFonts w:hint="eastAsia" w:ascii="宋体" w:hAnsi="宋体" w:eastAsia="宋体" w:cs="宋体"/>
          <w:bCs/>
          <w:sz w:val="21"/>
          <w:szCs w:val="21"/>
        </w:rPr>
        <w:fldChar w:fldCharType="end"/>
      </w:r>
      <w:r>
        <w:rPr>
          <w:rFonts w:hint="eastAsia" w:ascii="宋体" w:hAnsi="宋体" w:eastAsia="宋体" w:cs="宋体"/>
          <w:bCs/>
          <w:sz w:val="21"/>
          <w:szCs w:val="21"/>
        </w:rPr>
        <w:t xml:space="preserve">包间用餐：根据采购人及客人要求制定工作餐和商务菜单，菜单要符合国家有关规定，中标人随着季节变化变更菜肴，每周应推出至少1个以上新菜，由采购人确认后使用。</w:t>
      </w:r>
      <w:r/>
    </w:p>
    <w:p>
      <w:pPr>
        <w:pStyle w:val="918"/>
        <w:ind w:left="0" w:right="0" w:firstLine="420"/>
        <w:jc w:val="both"/>
        <w:keepLines w:val="0"/>
        <w:keepNext w:val="0"/>
        <w:pageBreakBefore w:val="0"/>
        <w:spacing w:after="0" w:line="360" w:lineRule="auto"/>
        <w:rPr>
          <w:rFonts w:hint="eastAsia" w:ascii="宋体" w:hAnsi="宋体" w:eastAsia="宋体" w:cs="宋体"/>
          <w:bCs/>
          <w:sz w:val="21"/>
          <w:szCs w:val="21"/>
        </w:rPr>
      </w:pPr>
      <w:r>
        <w:rPr>
          <w:rFonts w:hint="eastAsia" w:ascii="宋体" w:hAnsi="宋体" w:eastAsia="宋体" w:cs="宋体"/>
          <w:bCs/>
          <w:sz w:val="21"/>
          <w:szCs w:val="21"/>
        </w:rPr>
        <w:fldChar w:fldCharType="begin"/>
      </w:r>
      <w:r>
        <w:rPr>
          <w:rFonts w:hint="eastAsia" w:ascii="宋体" w:hAnsi="宋体" w:eastAsia="宋体" w:cs="宋体"/>
          <w:bCs/>
          <w:sz w:val="21"/>
          <w:szCs w:val="21"/>
        </w:rPr>
        <w:instrText xml:space="preserve"> = 4 \* GB3 \* MERGEFORMAT </w:instrText>
      </w:r>
      <w:r>
        <w:rPr>
          <w:rFonts w:hint="eastAsia" w:ascii="宋体" w:hAnsi="宋体" w:eastAsia="宋体" w:cs="宋体"/>
          <w:bCs/>
          <w:sz w:val="21"/>
          <w:szCs w:val="21"/>
        </w:rPr>
        <w:fldChar w:fldCharType="separate"/>
      </w:r>
      <w:r>
        <w:rPr>
          <w:rFonts w:hint="eastAsia" w:ascii="宋体" w:hAnsi="宋体" w:eastAsia="宋体" w:cs="宋体"/>
          <w:bCs/>
          <w:sz w:val="21"/>
          <w:szCs w:val="21"/>
        </w:rPr>
        <w:t xml:space="preserve">④</w:t>
      </w:r>
      <w:r>
        <w:rPr>
          <w:rFonts w:hint="eastAsia" w:ascii="宋体" w:hAnsi="宋体" w:eastAsia="宋体" w:cs="宋体"/>
          <w:bCs/>
          <w:sz w:val="21"/>
          <w:szCs w:val="21"/>
        </w:rPr>
        <w:fldChar w:fldCharType="end"/>
      </w:r>
      <w:r>
        <w:rPr>
          <w:rFonts w:hint="eastAsia" w:ascii="宋体" w:hAnsi="宋体" w:eastAsia="宋体" w:cs="宋体"/>
          <w:bCs/>
          <w:sz w:val="21"/>
          <w:szCs w:val="21"/>
        </w:rPr>
        <w:t xml:space="preserve">临时用餐：临时用餐根据采购人及客人要求提供服务。供餐时间：按用餐要求时间用餐。</w:t>
      </w:r>
      <w:r/>
    </w:p>
    <w:p>
      <w:pPr>
        <w:pStyle w:val="918"/>
        <w:ind w:left="0" w:right="0" w:firstLine="420"/>
        <w:jc w:val="both"/>
        <w:keepLines w:val="0"/>
        <w:keepNext w:val="0"/>
        <w:pageBreakBefore w:val="0"/>
        <w:spacing w:after="0" w:line="360" w:lineRule="auto"/>
        <w:rPr>
          <w:rFonts w:hint="eastAsia" w:ascii="宋体" w:hAnsi="宋体" w:eastAsia="宋体" w:cs="宋体"/>
          <w:sz w:val="21"/>
          <w:szCs w:val="21"/>
        </w:rPr>
      </w:pPr>
      <w:r>
        <w:rPr>
          <w:rFonts w:hint="eastAsia" w:ascii="宋体" w:hAnsi="宋体" w:cs="宋体"/>
          <w:bCs/>
          <w:sz w:val="21"/>
          <w:szCs w:val="21"/>
          <w:lang w:val="en-US" w:eastAsia="zh-CN"/>
        </w:rPr>
        <w:t xml:space="preserve">供应商</w:t>
      </w:r>
      <w:r>
        <w:rPr>
          <w:rFonts w:hint="eastAsia" w:ascii="宋体" w:hAnsi="宋体" w:eastAsia="宋体" w:cs="宋体"/>
          <w:bCs/>
          <w:sz w:val="21"/>
          <w:szCs w:val="21"/>
        </w:rPr>
        <w:t xml:space="preserve">应建立有效的菜品质量保障措施，并在投标</w:t>
      </w:r>
      <w:r>
        <w:rPr>
          <w:rFonts w:hint="eastAsia" w:ascii="宋体" w:hAnsi="宋体" w:cs="宋体"/>
          <w:bCs/>
          <w:sz w:val="21"/>
          <w:szCs w:val="21"/>
          <w:lang w:val="en-US" w:eastAsia="zh-CN"/>
        </w:rPr>
        <w:t xml:space="preserve">响应</w:t>
      </w:r>
      <w:r>
        <w:rPr>
          <w:rFonts w:hint="eastAsia" w:ascii="宋体" w:hAnsi="宋体" w:eastAsia="宋体" w:cs="宋体"/>
          <w:bCs/>
          <w:sz w:val="21"/>
          <w:szCs w:val="21"/>
        </w:rPr>
        <w:t xml:space="preserve">文件中提供现有菜品种类清单、菜品保障措施、菜品更新方案及对外菜品交流机制。</w:t>
      </w:r>
      <w:r/>
    </w:p>
    <w:p>
      <w:pPr>
        <w:contextualSpacing/>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四</w:t>
      </w:r>
      <w:r>
        <w:rPr>
          <w:rFonts w:hint="eastAsia" w:ascii="宋体" w:hAnsi="宋体" w:cs="宋体"/>
          <w:sz w:val="21"/>
          <w:szCs w:val="21"/>
          <w:lang w:eastAsia="zh-CN"/>
        </w:rPr>
        <w:t xml:space="preserve">）</w:t>
      </w:r>
      <w:r>
        <w:rPr>
          <w:rFonts w:hint="eastAsia" w:ascii="宋体" w:hAnsi="宋体" w:eastAsia="宋体" w:cs="宋体"/>
          <w:sz w:val="21"/>
          <w:szCs w:val="21"/>
        </w:rPr>
        <w:t xml:space="preserve">其他工作服务要求</w:t>
      </w:r>
      <w:r/>
    </w:p>
    <w:p>
      <w:pPr>
        <w:ind w:right="0"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cs="宋体"/>
          <w:bCs/>
          <w:sz w:val="21"/>
          <w:szCs w:val="21"/>
          <w:lang w:val="en-US" w:eastAsia="zh-CN"/>
        </w:rPr>
        <w:t xml:space="preserve">后勤</w:t>
      </w:r>
      <w:r>
        <w:rPr>
          <w:rFonts w:hint="eastAsia" w:ascii="宋体" w:hAnsi="宋体" w:eastAsia="宋体" w:cs="宋体"/>
          <w:bCs/>
          <w:sz w:val="21"/>
          <w:szCs w:val="21"/>
        </w:rPr>
        <w:t xml:space="preserve">管理及客房餐饮服务规章制度的制定要求</w:t>
      </w:r>
      <w:r/>
    </w:p>
    <w:p>
      <w:pPr>
        <w:ind w:right="0"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要针对本项目要求，结合项目特点，制定切实可行的</w:t>
      </w:r>
      <w:r>
        <w:rPr>
          <w:rFonts w:hint="eastAsia" w:ascii="宋体" w:hAnsi="宋体" w:cs="宋体"/>
          <w:bCs/>
          <w:sz w:val="21"/>
          <w:szCs w:val="21"/>
          <w:lang w:val="en-US" w:eastAsia="zh-CN"/>
        </w:rPr>
        <w:t xml:space="preserve">后勤</w:t>
      </w:r>
      <w:r>
        <w:rPr>
          <w:rFonts w:hint="eastAsia" w:ascii="宋体" w:hAnsi="宋体" w:eastAsia="宋体" w:cs="宋体"/>
          <w:bCs/>
          <w:sz w:val="21"/>
          <w:szCs w:val="21"/>
        </w:rPr>
        <w:t xml:space="preserve">管理及客房餐饮服务规章制度。</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w:t>
      </w:r>
      <w:r>
        <w:rPr>
          <w:rFonts w:hint="eastAsia" w:ascii="宋体" w:hAnsi="宋体" w:eastAsia="宋体" w:cs="宋体"/>
          <w:sz w:val="21"/>
          <w:szCs w:val="21"/>
        </w:rPr>
        <w:t xml:space="preserve">档案资料的管理要求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专人管理；分类明确；明确档案资料的收集、整理、归档的分工和职责。</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3.公共设施节水节能的管理要求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巡查卫生间、浴室，发现跑、冒、滴、漏水情况迅速处理或报告；</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发现开门窗时开空调的情况及时提醒；</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发现长明灯的情况要及时采取相应措施；</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卫生间粘贴节水标识；</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配合采购人做好节能宣传工作。</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4.处理突发事件的要求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处理共用设备的突发事件;</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处理共用设施的突发事件;</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处理公共秩序的突发事件；</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对火灾突发事件的处理；</w:t>
      </w:r>
      <w:r/>
    </w:p>
    <w:p>
      <w:pPr>
        <w:ind w:right="0" w:firstLine="420"/>
        <w:jc w:val="both"/>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对大风、雨雪天气的处理</w:t>
      </w:r>
      <w:r>
        <w:rPr>
          <w:rFonts w:hint="eastAsia" w:ascii="宋体" w:hAnsi="宋体" w:eastAsia="宋体" w:cs="宋体"/>
          <w:sz w:val="21"/>
          <w:szCs w:val="21"/>
          <w:lang w:eastAsia="zh-CN"/>
        </w:rPr>
        <w:t xml:space="preserve">。</w:t>
      </w:r>
      <w:r/>
    </w:p>
    <w:p>
      <w:pPr>
        <w:ind w:right="0" w:firstLine="422"/>
        <w:jc w:val="both"/>
        <w:keepLines w:val="0"/>
        <w:keepNext w:val="0"/>
        <w:pageBreakBefore w:val="0"/>
        <w:spacing w:line="360" w:lineRule="auto"/>
        <w:rPr>
          <w:rFonts w:hint="eastAsia" w:ascii="宋体" w:hAnsi="宋体" w:eastAsia="宋体" w:cs="宋体"/>
          <w:b/>
          <w:bCs/>
          <w:sz w:val="21"/>
          <w:szCs w:val="21"/>
          <w:lang w:eastAsia="zh-CN"/>
        </w:rPr>
      </w:pPr>
      <w:r>
        <w:rPr>
          <w:rFonts w:hint="eastAsia" w:ascii="宋体" w:hAnsi="宋体" w:cs="宋体"/>
          <w:b/>
          <w:bCs/>
          <w:sz w:val="21"/>
          <w:szCs w:val="21"/>
          <w:lang w:val="en-US" w:eastAsia="zh-CN"/>
        </w:rPr>
        <w:t xml:space="preserve">四</w:t>
      </w:r>
      <w:r>
        <w:rPr>
          <w:rFonts w:hint="eastAsia" w:ascii="宋体" w:hAnsi="宋体" w:eastAsia="宋体" w:cs="宋体"/>
          <w:b/>
          <w:bCs/>
          <w:sz w:val="21"/>
          <w:szCs w:val="21"/>
        </w:rPr>
        <w:t xml:space="preserve">、组织机构设置及人员和设备配备要求</w:t>
      </w:r>
      <w:r/>
    </w:p>
    <w:p>
      <w:pPr>
        <w:ind w:right="0" w:firstLine="420"/>
        <w:jc w:val="both"/>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.人员配备要求</w:t>
      </w:r>
      <w:r/>
    </w:p>
    <w:tbl>
      <w:tblPr>
        <w:tblStyle w:val="7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3"/>
        <w:gridCol w:w="4102"/>
        <w:gridCol w:w="2224"/>
      </w:tblGrid>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岗位</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人数</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厨师长</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厨师</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帮厨工</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default" w:ascii="宋体" w:hAnsi="宋体" w:eastAsia="宋体" w:cs="宋体"/>
                <w:sz w:val="21"/>
                <w:szCs w:val="21"/>
                <w:lang w:val="en-US"/>
              </w:rPr>
            </w:pPr>
            <w:r>
              <w:rPr>
                <w:rFonts w:hint="eastAsia" w:ascii="宋体" w:hAnsi="宋体" w:cs="宋体"/>
                <w:sz w:val="21"/>
                <w:szCs w:val="21"/>
                <w:lang w:val="en-US" w:eastAsia="zh-CN"/>
              </w:rPr>
              <w:t xml:space="preserve">秩序维护人员</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公共区域保洁人员</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前台接待</w:t>
            </w:r>
            <w:r>
              <w:rPr>
                <w:rFonts w:hint="eastAsia" w:ascii="宋体" w:hAnsi="宋体" w:cs="宋体"/>
                <w:sz w:val="21"/>
                <w:szCs w:val="21"/>
                <w:lang w:val="en-US" w:eastAsia="zh-CN"/>
              </w:rPr>
              <w:t xml:space="preserve">员</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客房服务员</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r>
      <w:tr>
        <w:trPr>
          <w:jc w:val="center"/>
          <w:trHeight w:val="397"/>
        </w:trPr>
        <w:tc>
          <w:tcPr>
            <w:tcW w:w="1287" w:type="pct"/>
            <w:vAlign w:val="center"/>
            <w:textDirection w:val="lrTb"/>
            <w:noWrap w:val="false"/>
          </w:tcPr>
          <w:p>
            <w:pPr>
              <w:ind w:right="0"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8</w:t>
            </w:r>
            <w:r/>
          </w:p>
        </w:tc>
        <w:tc>
          <w:tcPr>
            <w:tcW w:w="2407" w:type="pct"/>
            <w:vAlign w:val="center"/>
            <w:textDirection w:val="lrTb"/>
            <w:noWrap w:val="false"/>
          </w:tcPr>
          <w:p>
            <w:pPr>
              <w:ind w:right="0"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会务服务员</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w:t>
            </w:r>
            <w:r/>
          </w:p>
        </w:tc>
      </w:tr>
      <w:tr>
        <w:trPr>
          <w:jc w:val="center"/>
          <w:trHeight w:val="397"/>
        </w:trPr>
        <w:tc>
          <w:tcPr>
            <w:gridSpan w:val="2"/>
            <w:tcW w:w="3694" w:type="pct"/>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tcW w:w="1305" w:type="pct"/>
            <w:vAlign w:val="center"/>
            <w:textDirection w:val="lrTb"/>
            <w:noWrap w:val="false"/>
          </w:tcPr>
          <w:p>
            <w:pPr>
              <w:ind w:right="0" w:firstLine="0"/>
              <w:jc w:val="center"/>
              <w:keepLines w:val="0"/>
              <w:keepNext w:val="0"/>
              <w:pageBreakBefore w:val="0"/>
              <w:spacing w:line="240" w:lineRule="auto"/>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cs="宋体"/>
                <w:b/>
                <w:bCs/>
                <w:sz w:val="21"/>
                <w:szCs w:val="21"/>
                <w:lang w:val="en-US" w:eastAsia="zh-CN"/>
              </w:rPr>
              <w:t xml:space="preserve">7</w:t>
            </w:r>
            <w:r/>
          </w:p>
        </w:tc>
      </w:tr>
    </w:tbl>
    <w:p>
      <w:pPr>
        <w:pStyle w:val="792"/>
        <w:numPr>
          <w:ilvl w:val="0"/>
          <w:numId w:val="0"/>
        </w:numPr>
        <w:contextualSpacing/>
        <w:ind w:right="0"/>
        <w:jc w:val="both"/>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五、</w:t>
      </w:r>
      <w:r>
        <w:rPr>
          <w:rFonts w:hint="eastAsia" w:ascii="宋体" w:hAnsi="宋体" w:eastAsia="宋体" w:cs="宋体"/>
          <w:b/>
          <w:bCs/>
          <w:sz w:val="21"/>
          <w:szCs w:val="21"/>
          <w:lang w:val="en-US" w:eastAsia="zh-CN"/>
        </w:rPr>
        <w:t xml:space="preserve">报价要求</w:t>
      </w:r>
      <w:r/>
    </w:p>
    <w:p>
      <w:pPr>
        <w:contextualSpacing/>
        <w:ind w:right="0"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.报价须充分考虑</w:t>
      </w:r>
      <w:r>
        <w:rPr>
          <w:rFonts w:hint="eastAsia" w:ascii="宋体" w:hAnsi="宋体" w:eastAsia="宋体" w:cs="宋体"/>
          <w:sz w:val="21"/>
          <w:szCs w:val="21"/>
          <w:lang w:val="en-US" w:eastAsia="zh-CN"/>
        </w:rPr>
        <w:t xml:space="preserve">后勤</w:t>
      </w:r>
      <w:r>
        <w:rPr>
          <w:rFonts w:hint="eastAsia" w:ascii="宋体" w:hAnsi="宋体" w:eastAsia="宋体" w:cs="宋体"/>
          <w:sz w:val="21"/>
          <w:szCs w:val="21"/>
        </w:rPr>
        <w:t xml:space="preserve">管理及客房餐饮服务期限（合同期限）</w:t>
      </w:r>
      <w:r>
        <w:rPr>
          <w:rFonts w:hint="eastAsia" w:ascii="宋体" w:hAnsi="宋体" w:eastAsia="宋体" w:cs="宋体"/>
          <w:bCs/>
          <w:sz w:val="21"/>
          <w:szCs w:val="21"/>
        </w:rPr>
        <w:t xml:space="preserve">内最低工资标准调整因素和社会保险基数调整因素。</w:t>
      </w:r>
      <w:r/>
    </w:p>
    <w:p>
      <w:pPr>
        <w:ind w:right="0"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.报价需充分考虑</w:t>
      </w:r>
      <w:r>
        <w:rPr>
          <w:rFonts w:hint="eastAsia" w:ascii="宋体" w:hAnsi="宋体" w:eastAsia="宋体" w:cs="宋体"/>
          <w:sz w:val="21"/>
          <w:szCs w:val="21"/>
          <w:lang w:val="en-US" w:eastAsia="zh-CN"/>
        </w:rPr>
        <w:t xml:space="preserve">后勤</w:t>
      </w:r>
      <w:r>
        <w:rPr>
          <w:rFonts w:hint="eastAsia" w:ascii="宋体" w:hAnsi="宋体" w:eastAsia="宋体" w:cs="宋体"/>
          <w:sz w:val="21"/>
          <w:szCs w:val="21"/>
        </w:rPr>
        <w:t xml:space="preserve">管理及客房餐饮服务期限（合同期限）</w:t>
      </w:r>
      <w:r>
        <w:rPr>
          <w:rFonts w:hint="eastAsia" w:ascii="宋体" w:hAnsi="宋体" w:eastAsia="宋体" w:cs="宋体"/>
          <w:bCs/>
          <w:sz w:val="21"/>
          <w:szCs w:val="21"/>
        </w:rPr>
        <w:t xml:space="preserve">内的市场因素和成本变化状况的风险。</w:t>
      </w:r>
      <w:r/>
    </w:p>
    <w:p>
      <w:pPr>
        <w:ind w:right="0" w:firstLine="420"/>
        <w:jc w:val="both"/>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.采购人不支付报价以外的任何费用。</w:t>
      </w:r>
      <w:r/>
    </w:p>
    <w:p>
      <w:pPr>
        <w:ind w:right="0"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.投标总报价一次报定</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报价应包含以下各项费用：</w:t>
      </w:r>
      <w:r/>
    </w:p>
    <w:p>
      <w:pPr>
        <w:ind w:right="0"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cs="宋体"/>
          <w:sz w:val="21"/>
          <w:szCs w:val="21"/>
          <w:lang w:val="en-US" w:eastAsia="zh-CN"/>
        </w:rPr>
        <w:t xml:space="preserve">成交供应商</w:t>
      </w:r>
      <w:r>
        <w:rPr>
          <w:rFonts w:hint="eastAsia" w:ascii="宋体" w:hAnsi="宋体" w:eastAsia="宋体" w:cs="宋体"/>
          <w:sz w:val="21"/>
          <w:szCs w:val="21"/>
        </w:rPr>
        <w:t xml:space="preserve">支付的如管理费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服务人员的工资、社会保险、</w:t>
      </w:r>
      <w:r>
        <w:rPr>
          <w:rFonts w:hint="eastAsia" w:ascii="宋体" w:hAnsi="宋体" w:eastAsia="宋体" w:cs="宋体"/>
          <w:sz w:val="21"/>
          <w:szCs w:val="21"/>
          <w:lang w:val="en-US" w:eastAsia="zh-CN"/>
        </w:rPr>
        <w:t xml:space="preserve">员工工作餐、</w:t>
      </w:r>
      <w:r>
        <w:rPr>
          <w:rFonts w:hint="eastAsia" w:ascii="宋体" w:hAnsi="宋体" w:eastAsia="宋体" w:cs="宋体"/>
          <w:sz w:val="21"/>
          <w:szCs w:val="21"/>
        </w:rPr>
        <w:t xml:space="preserve">员工教育培训费、员工体检费、服装费、福利费等符合劳动合同法规定的必须费用；税费；完成本次招标的所有含税费用以及完成招标文件规定的管理服务工作所涉及到的其他相关费用；采购人不再承担相关费用及因人员辞退、工伤事故等造成的赔偿金。</w:t>
      </w:r>
      <w:r/>
    </w:p>
    <w:p>
      <w:pPr>
        <w:ind w:right="0" w:firstLine="420"/>
        <w:jc w:val="both"/>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.下列费用由采购人承担：</w:t>
      </w:r>
      <w:r/>
    </w:p>
    <w:p>
      <w:pPr>
        <w:ind w:righ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（1）会议费用、餐具用品、保洁用品；</w:t>
      </w:r>
      <w:r/>
    </w:p>
    <w:p>
      <w:pPr>
        <w:ind w:righ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（2）日常性的维护和小修：照明设施的更换和水龙头、管件更换等维修材料费用；</w:t>
      </w:r>
      <w:r/>
    </w:p>
    <w:p>
      <w:pPr>
        <w:ind w:right="0" w:firstLine="420"/>
        <w:jc w:val="both"/>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（3）本次</w:t>
      </w:r>
      <w:r>
        <w:rPr>
          <w:rFonts w:hint="eastAsia" w:ascii="宋体" w:hAnsi="宋体" w:eastAsia="宋体" w:cs="宋体"/>
          <w:sz w:val="21"/>
          <w:szCs w:val="21"/>
          <w:highlight w:val="none"/>
          <w:lang w:val="en-US" w:eastAsia="zh-CN"/>
        </w:rPr>
        <w:t xml:space="preserve">后勤</w:t>
      </w:r>
      <w:r>
        <w:rPr>
          <w:rFonts w:hint="eastAsia" w:ascii="宋体" w:hAnsi="宋体" w:eastAsia="宋体" w:cs="宋体"/>
          <w:sz w:val="21"/>
          <w:szCs w:val="21"/>
          <w:highlight w:val="none"/>
        </w:rPr>
        <w:t xml:space="preserve">管理中所涉及工具、消耗品、保洁用品等（包括但不限于洗手液、擦手纸、卫生纸、办公用品、扫把、杀虫剂等）均由采购人提供，专业工具除外。</w:t>
      </w:r>
      <w:r/>
    </w:p>
    <w:p>
      <w:pPr>
        <w:ind w:righ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（4）本次餐饮服务中所涉及工具、消耗品、清洁用品等（包括但不限于洗洁精、卫生纸、厨师帽、口罩、一次性手套等）均由采购人提供。</w:t>
      </w:r>
      <w:r/>
    </w:p>
    <w:p>
      <w:pPr>
        <w:ind w:right="0" w:firstLine="420"/>
        <w:jc w:val="both"/>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本次客房服务中所涉及工具、消耗品、客用品、保洁用品等（包括但不限于拖鞋、洗发水、护发素、沐浴液、润肤乳、牙具、洗手液、擦手纸、卫生纸、办公用品、扫把、杀虫剂等）均由采购人提供，专业工具除外。</w:t>
      </w:r>
      <w:r/>
    </w:p>
    <w:p>
      <w:pPr>
        <w:pStyle w:val="912"/>
        <w:jc w:val="center"/>
        <w:spacing w:line="360" w:lineRule="auto"/>
        <w:rPr>
          <w:rFonts w:ascii="宋体" w:hAnsi="宋体" w:cs="宋体"/>
          <w:color w:val="auto"/>
          <w:highlight w:val="none"/>
        </w:rPr>
      </w:pPr>
      <w:r>
        <w:rPr>
          <w:rFonts w:hint="eastAsia" w:ascii="宋体" w:hAnsi="宋体" w:cs="宋体"/>
          <w:color w:val="auto"/>
          <w:sz w:val="36"/>
          <w:highlight w:val="none"/>
        </w:rPr>
        <w:br w:type="page" w:clear="all"/>
      </w:r>
      <w:bookmarkStart w:id="36" w:name="_Toc23572"/>
      <w:r>
        <w:rPr>
          <w:rFonts w:hint="eastAsia" w:ascii="宋体" w:hAnsi="宋体" w:cs="宋体"/>
          <w:color w:val="auto"/>
          <w:highlight w:val="none"/>
        </w:rPr>
        <w:t xml:space="preserve">第五章 评审方法及评审标准</w:t>
      </w:r>
      <w:bookmarkEnd w:id="1"/>
      <w:r/>
      <w:bookmarkEnd w:id="36"/>
      <w:r/>
      <w:r/>
    </w:p>
    <w:p>
      <w:pPr>
        <w:pStyle w:val="947"/>
        <w:ind w:firstLine="422"/>
        <w:keepLines w:val="0"/>
        <w:keepNext w:val="0"/>
        <w:pageBreakBefore w:val="0"/>
        <w:spacing w:before="0" w:after="0"/>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keepLines w:val="0"/>
        <w:keepNext w:val="0"/>
        <w:pageBreakBefore w:val="0"/>
        <w:spacing w:line="360" w:lineRule="auto"/>
        <w:widowControl w:val="off"/>
        <w:rPr>
          <w:rFonts w:ascii="宋体" w:hAnsi="宋体"/>
          <w:b/>
          <w:color w:val="auto"/>
          <w:szCs w:val="21"/>
          <w:highlight w:val="none"/>
        </w:rPr>
      </w:pPr>
      <w:r/>
      <w:bookmarkStart w:id="37" w:name="_Toc449016388"/>
      <w:r/>
      <w:bookmarkStart w:id="38" w:name="_Toc449017024"/>
      <w:r>
        <w:rPr>
          <w:rFonts w:hint="eastAsia" w:ascii="宋体" w:hAnsi="宋体"/>
          <w:b/>
          <w:color w:val="auto"/>
          <w:szCs w:val="21"/>
          <w:highlight w:val="none"/>
        </w:rPr>
        <w:t xml:space="preserve">二、政府采购政策功能落实</w:t>
      </w:r>
      <w:bookmarkEnd w:id="37"/>
      <w:r/>
      <w:bookmarkEnd w:id="38"/>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的扣除价格，用扣除后的价格参与评审。</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出具的属于监狱企业的证明文件。供应商如不提供上述证明文件，价格将不做相应扣除。</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 </w:t>
      </w:r>
      <w:r/>
    </w:p>
    <w:p>
      <w:pPr>
        <w:pStyle w:val="947"/>
        <w:ind w:firstLine="420"/>
        <w:jc w:val="both"/>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价格扣除，用扣除后的价格参与评审。</w:t>
      </w:r>
      <w:r/>
    </w:p>
    <w:p>
      <w:pPr>
        <w:pStyle w:val="947"/>
        <w:ind w:firstLine="422"/>
        <w:keepLines w:val="0"/>
        <w:keepNext w:val="0"/>
        <w:pageBreakBefore w:val="0"/>
        <w:spacing w:before="0" w:after="0"/>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7262"/>
      </w:tblGrid>
      <w:tr>
        <w:trPr>
          <w:trHeight w:val="540"/>
        </w:trPr>
        <w:tc>
          <w:tcPr>
            <w:tcBorders>
              <w:top w:val="single" w:color="auto" w:sz="4" w:space="0"/>
              <w:left w:val="single" w:color="auto" w:sz="4" w:space="0"/>
              <w:bottom w:val="single" w:color="auto" w:sz="4" w:space="0"/>
              <w:right w:val="single" w:color="auto" w:sz="4" w:space="0"/>
            </w:tcBorders>
            <w:tcW w:w="739" w:type="pct"/>
            <w:vAlign w:val="center"/>
            <w:textDirection w:val="lrTb"/>
            <w:noWrap/>
          </w:tcPr>
          <w:p>
            <w:pPr>
              <w:contextualSpacing/>
              <w:jc w:val="center"/>
              <w:widowControl/>
              <w:rPr>
                <w:rFonts w:ascii="宋体" w:hAnsi="宋体"/>
                <w:b/>
                <w:color w:val="000000"/>
                <w:sz w:val="24"/>
                <w:szCs w:val="24"/>
              </w:rPr>
            </w:pPr>
            <w:r>
              <w:rPr>
                <w:rFonts w:hint="eastAsia" w:ascii="宋体" w:hAnsi="宋体"/>
                <w:b/>
                <w:color w:val="000000"/>
                <w:sz w:val="24"/>
                <w:szCs w:val="24"/>
              </w:rPr>
              <w:t xml:space="preserve">项  目</w:t>
            </w:r>
            <w:r/>
          </w:p>
        </w:tc>
        <w:tc>
          <w:tcPr>
            <w:tcBorders>
              <w:top w:val="single" w:color="auto" w:sz="4" w:space="0"/>
              <w:left w:val="single" w:color="auto" w:sz="4" w:space="0"/>
              <w:bottom w:val="single" w:color="auto" w:sz="4" w:space="0"/>
              <w:right w:val="single" w:color="auto" w:sz="4" w:space="0"/>
            </w:tcBorders>
            <w:tcW w:w="4260" w:type="pct"/>
            <w:vAlign w:val="center"/>
            <w:textDirection w:val="lrTb"/>
            <w:noWrap/>
          </w:tcPr>
          <w:p>
            <w:pPr>
              <w:contextualSpacing/>
              <w:jc w:val="center"/>
              <w:rPr>
                <w:rFonts w:ascii="宋体" w:hAnsi="宋体"/>
                <w:b/>
                <w:color w:val="000000"/>
                <w:sz w:val="24"/>
                <w:szCs w:val="24"/>
              </w:rPr>
            </w:pPr>
            <w:r>
              <w:rPr>
                <w:rFonts w:hint="eastAsia" w:ascii="宋体" w:hAnsi="宋体"/>
                <w:b/>
                <w:color w:val="000000"/>
                <w:sz w:val="24"/>
                <w:szCs w:val="24"/>
              </w:rPr>
              <w:t xml:space="preserve">评  分  标  准</w:t>
            </w:r>
            <w:r/>
          </w:p>
        </w:tc>
      </w:tr>
      <w:tr>
        <w:trPr>
          <w:trHeight w:val="917"/>
        </w:trPr>
        <w:tc>
          <w:tcPr>
            <w:tcBorders>
              <w:top w:val="single" w:color="auto" w:sz="4" w:space="0"/>
              <w:left w:val="single" w:color="auto" w:sz="4" w:space="0"/>
              <w:bottom w:val="single" w:color="auto" w:sz="4" w:space="0"/>
              <w:right w:val="single" w:color="auto" w:sz="4" w:space="0"/>
            </w:tcBorders>
            <w:tcW w:w="739" w:type="pct"/>
            <w:vAlign w:val="center"/>
            <w:textDirection w:val="lrTb"/>
            <w:noWrap/>
          </w:tcPr>
          <w:p>
            <w:pPr>
              <w:contextualSpacing/>
              <w:jc w:val="center"/>
              <w:widowControl/>
              <w:rPr>
                <w:rFonts w:ascii="宋体" w:hAnsi="宋体"/>
                <w:b/>
                <w:color w:val="000000"/>
                <w:szCs w:val="21"/>
              </w:rPr>
            </w:pPr>
            <w:r>
              <w:rPr>
                <w:rFonts w:hint="eastAsia" w:ascii="宋体" w:hAnsi="宋体"/>
                <w:b/>
                <w:color w:val="000000"/>
                <w:szCs w:val="21"/>
              </w:rPr>
              <w:t xml:space="preserve">报价</w:t>
            </w:r>
            <w:r/>
          </w:p>
          <w:p>
            <w:pPr>
              <w:contextualSpacing/>
              <w:jc w:val="center"/>
              <w:widowControl/>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10</w:t>
            </w:r>
            <w:r>
              <w:rPr>
                <w:rFonts w:hint="eastAsia" w:ascii="宋体" w:hAnsi="宋体"/>
                <w:b/>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4260" w:type="pct"/>
            <w:vAlign w:val="center"/>
            <w:textDirection w:val="lrTb"/>
            <w:noWrap/>
          </w:tcPr>
          <w:p>
            <w:pPr>
              <w:contextualSpacing/>
              <w:jc w:val="left"/>
              <w:rPr>
                <w:rFonts w:ascii="宋体" w:hAnsi="宋体"/>
                <w:bCs/>
                <w:color w:val="000000"/>
                <w:szCs w:val="21"/>
              </w:rPr>
            </w:pPr>
            <w:r>
              <w:rPr>
                <w:rFonts w:ascii="宋体" w:hAnsi="宋体"/>
                <w:szCs w:val="21"/>
              </w:rPr>
              <w:t xml:space="preserve">以满足</w:t>
            </w:r>
            <w:r>
              <w:rPr>
                <w:rFonts w:hint="eastAsia" w:ascii="宋体" w:hAnsi="宋体"/>
                <w:szCs w:val="21"/>
              </w:rPr>
              <w:t xml:space="preserve">磋商</w:t>
            </w:r>
            <w:r>
              <w:rPr>
                <w:rFonts w:ascii="宋体" w:hAnsi="宋体"/>
                <w:szCs w:val="21"/>
              </w:rPr>
              <w:t xml:space="preserve">文件要求且最终报价最低的</w:t>
            </w:r>
            <w:r>
              <w:rPr>
                <w:rFonts w:hint="eastAsia" w:ascii="宋体" w:hAnsi="宋体"/>
                <w:szCs w:val="21"/>
              </w:rPr>
              <w:t xml:space="preserve">供应商的</w:t>
            </w:r>
            <w:r>
              <w:rPr>
                <w:rFonts w:ascii="宋体" w:hAnsi="宋体"/>
                <w:szCs w:val="21"/>
              </w:rPr>
              <w:t xml:space="preserve">价格为基准价，</w:t>
            </w:r>
            <w:r>
              <w:rPr>
                <w:rFonts w:hint="eastAsia" w:ascii="宋体" w:hAnsi="宋体"/>
                <w:szCs w:val="21"/>
              </w:rPr>
              <w:t xml:space="preserve">其价格分</w:t>
            </w:r>
            <w:r>
              <w:rPr>
                <w:rFonts w:ascii="宋体" w:hAnsi="宋体"/>
                <w:szCs w:val="21"/>
              </w:rPr>
              <w:t xml:space="preserve">得满分10分。其他</w:t>
            </w:r>
            <w:r>
              <w:rPr>
                <w:rFonts w:hint="eastAsia" w:ascii="宋体" w:hAnsi="宋体"/>
                <w:szCs w:val="21"/>
              </w:rPr>
              <w:t xml:space="preserve">供应商价格得分统一按下列公式计算：</w:t>
            </w:r>
            <w:r>
              <w:rPr>
                <w:rFonts w:ascii="宋体" w:hAnsi="宋体"/>
                <w:szCs w:val="21"/>
              </w:rPr>
              <w:t xml:space="preserve">投标报价得分=（基准价/其他最终报价）</w:t>
            </w: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w:t>
            </w:r>
            <w:r>
              <w:rPr>
                <w:rFonts w:ascii="宋体" w:hAnsi="宋体"/>
                <w:szCs w:val="21"/>
              </w:rPr>
              <w:t xml:space="preserve">100%</w:t>
            </w:r>
            <w:r>
              <w:rPr>
                <w:rFonts w:hint="eastAsia" w:ascii="宋体" w:hAnsi="宋体"/>
                <w:szCs w:val="21"/>
              </w:rPr>
              <w:t xml:space="preserve">（保留两位小数）</w:t>
            </w:r>
            <w:r/>
          </w:p>
        </w:tc>
      </w:tr>
      <w:tr>
        <w:trPr>
          <w:trHeight w:val="2479"/>
        </w:trPr>
        <w:tc>
          <w:tcPr>
            <w:tcBorders>
              <w:top w:val="single" w:color="auto" w:sz="4" w:space="0"/>
              <w:left w:val="single" w:color="auto" w:sz="4" w:space="0"/>
              <w:bottom w:val="single" w:color="auto" w:sz="4" w:space="0"/>
              <w:right w:val="single" w:color="auto" w:sz="4" w:space="0"/>
            </w:tcBorders>
            <w:tcW w:w="739" w:type="pct"/>
            <w:vAlign w:val="center"/>
            <w:textDirection w:val="lrTb"/>
            <w:noWrap/>
          </w:tcPr>
          <w:p>
            <w:pPr>
              <w:contextualSpacing/>
              <w:jc w:val="center"/>
              <w:widowControl/>
              <w:rPr>
                <w:rFonts w:ascii="宋体" w:hAnsi="宋体"/>
                <w:b/>
                <w:color w:val="000000"/>
                <w:szCs w:val="21"/>
              </w:rPr>
            </w:pPr>
            <w:r>
              <w:rPr>
                <w:rFonts w:hint="eastAsia" w:ascii="宋体" w:hAnsi="宋体"/>
                <w:b/>
                <w:color w:val="000000"/>
                <w:szCs w:val="21"/>
              </w:rPr>
              <w:t xml:space="preserve">服务方案（</w:t>
            </w:r>
            <w:r>
              <w:rPr>
                <w:rFonts w:hint="eastAsia" w:ascii="宋体" w:hAnsi="宋体"/>
                <w:b/>
                <w:color w:val="000000"/>
                <w:szCs w:val="21"/>
                <w:lang w:val="en-US" w:eastAsia="zh-CN"/>
              </w:rPr>
              <w:t xml:space="preserve">60</w:t>
            </w:r>
            <w:r>
              <w:rPr>
                <w:rFonts w:hint="eastAsia" w:ascii="宋体" w:hAnsi="宋体"/>
                <w:b/>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4260" w:type="pct"/>
            <w:vAlign w:val="center"/>
            <w:textDirection w:val="lrTb"/>
            <w:noWrap/>
          </w:tcPr>
          <w:p>
            <w:pPr>
              <w:pStyle w:val="947"/>
              <w:numPr>
                <w:ilvl w:val="0"/>
                <w:numId w:val="4"/>
              </w:numPr>
              <w:ind w:firstLine="0"/>
              <w:spacing w:before="0" w:after="0" w:line="320" w:lineRule="exact"/>
              <w:rPr>
                <w:rFonts w:ascii="宋体" w:hAnsi="宋体" w:cs="宋体"/>
                <w:sz w:val="21"/>
                <w:szCs w:val="21"/>
              </w:rPr>
            </w:pPr>
            <w:r>
              <w:rPr>
                <w:rFonts w:hint="eastAsia" w:ascii="宋体" w:hAnsi="宋体" w:cs="宋体"/>
                <w:sz w:val="21"/>
                <w:szCs w:val="21"/>
              </w:rPr>
              <w:t xml:space="preserve">项目总体方案（</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方案科学、严密、合理，描述详细且具有针对性的得</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方案较合理、严密、描述较为详细，不存在实施难度的得</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方案基本合理、描述一般、存在可操作性的得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方案具有不合理项、描述略欠缺、存在一定的实施难度的得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方案具有明显不合理项、描述欠缺、存在实施难度的得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其余或不提供不得分。</w:t>
            </w:r>
            <w:r/>
          </w:p>
          <w:p>
            <w:pPr>
              <w:pStyle w:val="947"/>
              <w:numPr>
                <w:ilvl w:val="0"/>
                <w:numId w:val="4"/>
              </w:numPr>
              <w:ind w:firstLine="0"/>
              <w:spacing w:before="0" w:after="0" w:line="320" w:lineRule="exact"/>
              <w:rPr>
                <w:rFonts w:ascii="宋体" w:hAnsi="宋体" w:cs="宋体"/>
                <w:sz w:val="21"/>
                <w:szCs w:val="21"/>
              </w:rPr>
            </w:pPr>
            <w:r>
              <w:rPr>
                <w:rFonts w:hint="eastAsia" w:ascii="宋体" w:hAnsi="宋体" w:cs="宋体"/>
                <w:sz w:val="21"/>
                <w:szCs w:val="21"/>
              </w:rPr>
              <w:t xml:space="preserve">服务质量保障方案（9分）：</w:t>
            </w:r>
            <w:r/>
          </w:p>
          <w:p>
            <w:pPr>
              <w:pStyle w:val="947"/>
              <w:ind w:firstLine="0"/>
              <w:spacing w:before="0" w:after="0" w:line="320" w:lineRule="exact"/>
              <w:rPr>
                <w:rFonts w:ascii="宋体" w:hAnsi="宋体" w:cs="宋体"/>
                <w:sz w:val="21"/>
                <w:szCs w:val="21"/>
              </w:rPr>
            </w:pPr>
            <w:r>
              <w:rPr>
                <w:rFonts w:ascii="宋体" w:hAnsi="宋体" w:cs="宋体"/>
                <w:sz w:val="21"/>
                <w:szCs w:val="21"/>
              </w:rPr>
              <w:t xml:space="preserve">方案科学、严密、合理，描述详细且具有针对性的得9分；</w:t>
            </w:r>
            <w:r/>
          </w:p>
          <w:p>
            <w:pPr>
              <w:pStyle w:val="947"/>
              <w:ind w:firstLine="0"/>
              <w:spacing w:before="0" w:after="0" w:line="320" w:lineRule="exact"/>
              <w:rPr>
                <w:rFonts w:ascii="宋体" w:hAnsi="宋体" w:cs="宋体"/>
                <w:sz w:val="21"/>
                <w:szCs w:val="21"/>
              </w:rPr>
            </w:pPr>
            <w:r>
              <w:rPr>
                <w:rFonts w:ascii="宋体" w:hAnsi="宋体" w:cs="宋体"/>
                <w:sz w:val="21"/>
                <w:szCs w:val="21"/>
              </w:rPr>
              <w:t xml:space="preserve">方案较合理、严密、描述较为详细，不存在实施难度的得7分；</w:t>
            </w:r>
            <w:r/>
          </w:p>
          <w:p>
            <w:pPr>
              <w:pStyle w:val="947"/>
              <w:ind w:firstLine="0"/>
              <w:spacing w:before="0" w:after="0" w:line="320" w:lineRule="exact"/>
              <w:rPr>
                <w:rFonts w:ascii="宋体" w:hAnsi="宋体" w:cs="宋体"/>
                <w:sz w:val="21"/>
                <w:szCs w:val="21"/>
              </w:rPr>
            </w:pPr>
            <w:r>
              <w:rPr>
                <w:rFonts w:ascii="宋体" w:hAnsi="宋体" w:cs="宋体"/>
                <w:sz w:val="21"/>
                <w:szCs w:val="21"/>
              </w:rPr>
              <w:t xml:space="preserve">方案基本合理、描述一般、存在可操作性的得5分；</w:t>
            </w:r>
            <w:r/>
          </w:p>
          <w:p>
            <w:pPr>
              <w:pStyle w:val="947"/>
              <w:ind w:firstLine="0"/>
              <w:spacing w:before="0" w:after="0" w:line="320" w:lineRule="exact"/>
              <w:rPr>
                <w:rFonts w:ascii="宋体" w:hAnsi="宋体" w:cs="宋体"/>
                <w:sz w:val="21"/>
                <w:szCs w:val="21"/>
              </w:rPr>
            </w:pPr>
            <w:r>
              <w:rPr>
                <w:rFonts w:ascii="宋体" w:hAnsi="宋体" w:cs="宋体"/>
                <w:sz w:val="21"/>
                <w:szCs w:val="21"/>
              </w:rPr>
              <w:t xml:space="preserve">方案具有不合理项、描述略欠缺、存在一定的实施难度的得3分；</w:t>
            </w:r>
            <w:r/>
          </w:p>
          <w:p>
            <w:pPr>
              <w:pStyle w:val="947"/>
              <w:ind w:firstLine="0"/>
              <w:spacing w:before="0" w:after="0" w:line="320" w:lineRule="exact"/>
              <w:rPr>
                <w:rFonts w:ascii="宋体" w:hAnsi="宋体" w:cs="宋体"/>
                <w:sz w:val="21"/>
                <w:szCs w:val="21"/>
              </w:rPr>
            </w:pPr>
            <w:r>
              <w:rPr>
                <w:rFonts w:ascii="宋体" w:hAnsi="宋体" w:cs="宋体"/>
                <w:sz w:val="21"/>
                <w:szCs w:val="21"/>
              </w:rPr>
              <w:t xml:space="preserve">方案具有明显不合理项、描述欠缺、存在实施难度的得1分；</w:t>
            </w:r>
            <w:r/>
          </w:p>
          <w:p>
            <w:pPr>
              <w:pStyle w:val="947"/>
              <w:ind w:firstLine="0"/>
              <w:spacing w:before="0" w:after="0" w:line="320" w:lineRule="exact"/>
              <w:rPr>
                <w:rFonts w:ascii="宋体" w:hAnsi="宋体" w:cs="宋体"/>
                <w:sz w:val="21"/>
                <w:szCs w:val="21"/>
              </w:rPr>
            </w:pPr>
            <w:r>
              <w:rPr>
                <w:rFonts w:ascii="宋体" w:hAnsi="宋体" w:cs="宋体"/>
                <w:sz w:val="21"/>
                <w:szCs w:val="21"/>
              </w:rPr>
              <w:t xml:space="preserve">其余或不提供不得分。</w:t>
            </w:r>
            <w:r/>
          </w:p>
          <w:p>
            <w:pPr>
              <w:pStyle w:val="947"/>
              <w:numPr>
                <w:ilvl w:val="0"/>
                <w:numId w:val="4"/>
              </w:numPr>
              <w:ind w:firstLine="0"/>
              <w:spacing w:before="0" w:after="0" w:line="320" w:lineRule="exact"/>
              <w:rPr>
                <w:rFonts w:ascii="宋体" w:hAnsi="宋体" w:cs="宋体"/>
                <w:sz w:val="21"/>
                <w:szCs w:val="21"/>
              </w:rPr>
            </w:pPr>
            <w:r>
              <w:rPr>
                <w:rFonts w:hint="eastAsia" w:ascii="宋体" w:hAnsi="宋体" w:cs="宋体"/>
                <w:sz w:val="21"/>
                <w:szCs w:val="21"/>
              </w:rPr>
              <w:t xml:space="preserve">组织架构及人员配备方案（9分）：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方案科学、严密、合理，描述详细且具有针对性的得9分；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方案较合理、严密、描述较为详细，不存在实施难度的得7分；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方案基本合理、描述一般、存在可操作性的得5分；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方案具有不合理项、描述略欠缺、存在一定的实施难度的得3分；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方案具有明显不合理项、描述欠缺、存在实施难度的得1分；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其余或不提供不得分。</w:t>
            </w:r>
            <w:r/>
          </w:p>
          <w:p>
            <w:pPr>
              <w:pStyle w:val="947"/>
              <w:numPr>
                <w:ilvl w:val="0"/>
                <w:numId w:val="4"/>
              </w:numPr>
              <w:ind w:firstLine="0"/>
              <w:spacing w:before="0" w:after="0" w:line="320" w:lineRule="exact"/>
              <w:rPr>
                <w:rFonts w:ascii="宋体" w:hAnsi="宋体" w:cs="宋体"/>
                <w:sz w:val="21"/>
                <w:szCs w:val="21"/>
              </w:rPr>
            </w:pPr>
            <w:r>
              <w:rPr>
                <w:rFonts w:hint="eastAsia" w:ascii="宋体" w:hAnsi="宋体" w:cs="宋体"/>
                <w:sz w:val="21"/>
                <w:szCs w:val="21"/>
              </w:rPr>
              <w:t xml:space="preserve">管理规章制度（8分）：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制度科学、严密、合理，描述详细且具有针对性的得8分；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制度较合理、严密、描述较为详细，不存在实施难度的得6分；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制度基本合理、描述一般、存在可操作性的得4分；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制度具有不合理项、描述略欠缺、存在一定的实施难度的得2分；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其余或不提供不得分。</w:t>
            </w:r>
            <w:r/>
          </w:p>
          <w:p>
            <w:pPr>
              <w:pStyle w:val="947"/>
              <w:numPr>
                <w:ilvl w:val="0"/>
                <w:numId w:val="4"/>
              </w:numPr>
              <w:ind w:firstLine="0"/>
              <w:spacing w:before="0" w:after="0" w:line="320" w:lineRule="exact"/>
              <w:rPr>
                <w:rFonts w:ascii="宋体" w:hAnsi="宋体" w:cs="宋体"/>
                <w:sz w:val="21"/>
                <w:szCs w:val="21"/>
              </w:rPr>
            </w:pPr>
            <w:r>
              <w:rPr>
                <w:rFonts w:hint="eastAsia" w:ascii="宋体" w:hAnsi="宋体" w:cs="宋体"/>
                <w:sz w:val="21"/>
                <w:szCs w:val="21"/>
              </w:rPr>
              <w:t xml:space="preserve">食堂配餐供给方案：制定“细中有粗，营养搭配”餐食，满足职工多样化需求，提高增值服务的性价比（8分）。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方案科学、严密、合理，描述详细且具有针对性的得8分；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方案较合理、严密、描述较为详细，不存在实施难度的得6分；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方案基本合理、描述一般、存在可操作性的得4分；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方案具有不合理项、描述略欠缺、存在一定的实施难度的得2分；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其余或不提供不得分。</w:t>
            </w:r>
            <w:r/>
          </w:p>
          <w:p>
            <w:pPr>
              <w:pStyle w:val="947"/>
              <w:numPr>
                <w:ilvl w:val="0"/>
                <w:numId w:val="4"/>
              </w:numPr>
              <w:ind w:firstLine="0"/>
              <w:spacing w:before="0" w:after="0" w:line="320" w:lineRule="exact"/>
              <w:rPr>
                <w:rFonts w:ascii="宋体" w:hAnsi="宋体" w:cs="宋体"/>
                <w:sz w:val="21"/>
                <w:szCs w:val="21"/>
              </w:rPr>
            </w:pPr>
            <w:r>
              <w:rPr>
                <w:rFonts w:hint="eastAsia" w:ascii="宋体" w:hAnsi="宋体" w:cs="宋体"/>
                <w:sz w:val="21"/>
                <w:szCs w:val="21"/>
              </w:rPr>
              <w:t xml:space="preserve">重大活动、突发事件应急预案（8分）：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方案科学、严密、合理，描述详细且具有针对性的得8分；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方案较合理、严密、描述较为详细，不存在实施难度的得6分；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方案基本合理、描述一般、存在可操作性的得4分；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方案具有不合理项、描述略欠缺、存在一定的实施难度的得2分；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其余或不提供不得分。</w:t>
            </w:r>
            <w:r/>
          </w:p>
          <w:p>
            <w:pPr>
              <w:pStyle w:val="947"/>
              <w:numPr>
                <w:ilvl w:val="0"/>
                <w:numId w:val="4"/>
              </w:numPr>
              <w:ind w:firstLine="0"/>
              <w:spacing w:before="0" w:after="0" w:line="320" w:lineRule="exact"/>
              <w:rPr>
                <w:rFonts w:ascii="宋体" w:hAnsi="宋体" w:cs="宋体"/>
                <w:sz w:val="21"/>
                <w:szCs w:val="21"/>
              </w:rPr>
            </w:pPr>
            <w:r>
              <w:rPr>
                <w:rFonts w:hint="eastAsia" w:ascii="宋体" w:hAnsi="宋体" w:cs="宋体"/>
                <w:sz w:val="21"/>
                <w:szCs w:val="21"/>
              </w:rPr>
              <w:t xml:space="preserve">安全事故处理方案（8分）：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方案科学、严密、合理，描述详细且具有针对性的得8分；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方案较合理、严密、描述较为详细，不存在实施难度的得6分；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方案基本合理、描述一般、存在可操作性的得4分；</w:t>
            </w:r>
            <w:r/>
          </w:p>
          <w:p>
            <w:pPr>
              <w:pStyle w:val="947"/>
              <w:ind w:firstLine="0"/>
              <w:spacing w:before="0" w:after="0" w:line="320" w:lineRule="exact"/>
              <w:rPr>
                <w:rFonts w:ascii="宋体" w:hAnsi="宋体" w:cs="宋体"/>
                <w:sz w:val="21"/>
                <w:szCs w:val="21"/>
              </w:rPr>
            </w:pPr>
            <w:r>
              <w:rPr>
                <w:rFonts w:hint="eastAsia" w:ascii="宋体" w:hAnsi="宋体" w:cs="宋体"/>
                <w:sz w:val="21"/>
                <w:szCs w:val="21"/>
              </w:rPr>
              <w:t xml:space="preserve">方案具有不合理项、描述略欠缺、存在一定的实施难度的得2分；</w:t>
            </w:r>
            <w:r/>
          </w:p>
          <w:p>
            <w:pPr>
              <w:rPr>
                <w:rFonts w:hint="eastAsia" w:ascii="宋体" w:hAnsi="宋体" w:cs="宋体"/>
                <w:color w:val="000000"/>
                <w:szCs w:val="21"/>
              </w:rPr>
            </w:pPr>
            <w:r>
              <w:rPr>
                <w:rFonts w:hint="eastAsia" w:ascii="宋体" w:hAnsi="宋体" w:cs="宋体"/>
                <w:szCs w:val="21"/>
              </w:rPr>
              <w:t xml:space="preserve">其余或不提供不得分。</w:t>
            </w:r>
            <w:r/>
          </w:p>
        </w:tc>
      </w:tr>
      <w:tr>
        <w:trPr>
          <w:trHeight w:val="2479"/>
        </w:trPr>
        <w:tc>
          <w:tcPr>
            <w:shd w:val="clear" w:color="auto" w:fill="auto"/>
            <w:tcBorders>
              <w:top w:val="single" w:color="auto" w:sz="4" w:space="0"/>
              <w:left w:val="single" w:color="auto" w:sz="4" w:space="0"/>
              <w:bottom w:val="single" w:color="auto" w:sz="4" w:space="0"/>
              <w:right w:val="single" w:color="auto" w:sz="4" w:space="0"/>
            </w:tcBorders>
            <w:tcW w:w="739" w:type="pct"/>
            <w:vAlign w:val="center"/>
            <w:textDirection w:val="lrTb"/>
            <w:noWrap/>
          </w:tcPr>
          <w:p>
            <w:pPr>
              <w:contextualSpacing/>
              <w:jc w:val="center"/>
              <w:widowControl/>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拟派人员</w:t>
            </w:r>
            <w:r/>
          </w:p>
          <w:p>
            <w:pPr>
              <w:contextualSpacing/>
              <w:jc w:val="center"/>
              <w:widowControl/>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4260" w:type="pct"/>
            <w:vAlign w:val="center"/>
            <w:textDirection w:val="lrTb"/>
            <w:noWrap/>
          </w:tcPr>
          <w:p>
            <w:pPr>
              <w:jc w:val="left"/>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1.拟派厨师</w:t>
            </w:r>
            <w:r>
              <w:rPr>
                <w:rFonts w:hint="eastAsia" w:ascii="宋体" w:hAnsi="宋体" w:eastAsia="宋体" w:cs="宋体"/>
                <w:b w:val="0"/>
                <w:bCs w:val="0"/>
                <w:color w:val="auto"/>
                <w:sz w:val="21"/>
                <w:szCs w:val="21"/>
                <w:highlight w:val="none"/>
                <w:lang w:val="en-US" w:eastAsia="zh-CN"/>
              </w:rPr>
              <w:t xml:space="preserve">长</w:t>
            </w:r>
            <w:r>
              <w:rPr>
                <w:rFonts w:hint="eastAsia" w:ascii="宋体" w:hAnsi="宋体" w:eastAsia="宋体" w:cs="宋体"/>
                <w:b w:val="0"/>
                <w:bCs w:val="0"/>
                <w:color w:val="auto"/>
                <w:sz w:val="21"/>
                <w:szCs w:val="21"/>
                <w:highlight w:val="none"/>
              </w:rPr>
              <w:t xml:space="preserve">（本项最高得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jc w:val="left"/>
              <w:spacing w:line="400" w:lineRule="exact"/>
              <w:widowControl/>
              <w:rPr>
                <w:rFonts w:hint="default" w:eastAsia="宋体"/>
                <w:color w:val="auto"/>
                <w:highlight w:val="none"/>
                <w:lang w:val="en-US" w:eastAsia="zh-CN"/>
              </w:rPr>
            </w:pPr>
            <w:r>
              <w:rPr>
                <w:rFonts w:hint="eastAsia" w:ascii="宋体" w:hAnsi="宋体" w:eastAsia="宋体" w:cs="宋体"/>
                <w:b w:val="0"/>
                <w:bCs w:val="0"/>
                <w:color w:val="auto"/>
                <w:sz w:val="21"/>
                <w:szCs w:val="21"/>
                <w:highlight w:val="none"/>
              </w:rPr>
              <w:t xml:space="preserve">拟派本项目厨师</w:t>
            </w:r>
            <w:r>
              <w:rPr>
                <w:rFonts w:hint="eastAsia" w:ascii="宋体" w:hAnsi="宋体" w:eastAsia="宋体" w:cs="宋体"/>
                <w:b w:val="0"/>
                <w:bCs w:val="0"/>
                <w:color w:val="auto"/>
                <w:sz w:val="21"/>
                <w:szCs w:val="21"/>
                <w:highlight w:val="none"/>
                <w:lang w:val="en-US" w:eastAsia="zh-CN"/>
              </w:rPr>
              <w:t xml:space="preserve">长</w:t>
            </w:r>
            <w:r>
              <w:rPr>
                <w:rFonts w:hint="eastAsia" w:ascii="宋体" w:hAnsi="宋体" w:eastAsia="宋体" w:cs="宋体"/>
                <w:b w:val="0"/>
                <w:bCs w:val="0"/>
                <w:color w:val="auto"/>
                <w:sz w:val="21"/>
                <w:szCs w:val="21"/>
                <w:highlight w:val="none"/>
              </w:rPr>
              <w:t xml:space="preserve">具厨师等级证书</w:t>
            </w:r>
            <w:r>
              <w:rPr>
                <w:rFonts w:hint="eastAsia" w:ascii="宋体" w:hAnsi="宋体" w:eastAsia="宋体" w:cs="宋体"/>
                <w:b w:val="0"/>
                <w:bCs w:val="0"/>
                <w:color w:val="auto"/>
                <w:sz w:val="21"/>
                <w:szCs w:val="21"/>
                <w:highlight w:val="none"/>
                <w:lang w:val="en-US" w:eastAsia="zh-CN"/>
              </w:rPr>
              <w:t xml:space="preserve">四级的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三级及以上的，得3分；</w:t>
            </w:r>
            <w:r/>
          </w:p>
          <w:p>
            <w:pPr>
              <w:jc w:val="left"/>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拟派厨师（本项最高得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jc w:val="left"/>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拟派本项目厨师具厨师等级证书</w:t>
            </w:r>
            <w:r>
              <w:rPr>
                <w:rFonts w:hint="eastAsia" w:ascii="宋体" w:hAnsi="宋体" w:eastAsia="宋体" w:cs="宋体"/>
                <w:b w:val="0"/>
                <w:bCs w:val="0"/>
                <w:color w:val="auto"/>
                <w:sz w:val="21"/>
                <w:szCs w:val="21"/>
                <w:highlight w:val="none"/>
                <w:lang w:val="en-US" w:eastAsia="zh-CN"/>
              </w:rPr>
              <w:t xml:space="preserve">四级的</w:t>
            </w:r>
            <w:r>
              <w:rPr>
                <w:rFonts w:hint="eastAsia" w:ascii="宋体" w:hAnsi="宋体" w:eastAsia="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三级及以上的，得3分；</w:t>
            </w:r>
            <w:r/>
          </w:p>
          <w:p>
            <w:pPr>
              <w:jc w:val="left"/>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3.秩序维护（本项最高得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分）</w:t>
            </w:r>
            <w:r/>
          </w:p>
          <w:p>
            <w:pPr>
              <w:jc w:val="left"/>
              <w:spacing w:line="4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拟派本项目</w:t>
            </w:r>
            <w:r>
              <w:rPr>
                <w:rFonts w:hint="eastAsia" w:ascii="宋体" w:hAnsi="宋体" w:eastAsia="宋体" w:cs="宋体"/>
                <w:b w:val="0"/>
                <w:bCs w:val="0"/>
                <w:color w:val="auto"/>
                <w:sz w:val="21"/>
                <w:szCs w:val="21"/>
                <w:highlight w:val="none"/>
                <w:lang w:val="en-US" w:eastAsia="zh-CN"/>
              </w:rPr>
              <w:t xml:space="preserve">的秩序维护人员</w:t>
            </w:r>
            <w:r>
              <w:rPr>
                <w:rFonts w:hint="eastAsia" w:ascii="宋体" w:hAnsi="宋体" w:eastAsia="宋体" w:cs="宋体"/>
                <w:b w:val="0"/>
                <w:bCs w:val="0"/>
                <w:color w:val="auto"/>
                <w:sz w:val="21"/>
                <w:szCs w:val="21"/>
                <w:highlight w:val="none"/>
              </w:rPr>
              <w:t xml:space="preserve">具有</w:t>
            </w:r>
            <w:r>
              <w:rPr>
                <w:rFonts w:hint="eastAsia" w:ascii="宋体" w:hAnsi="宋体" w:cs="宋体"/>
                <w:b w:val="0"/>
                <w:bCs w:val="0"/>
                <w:color w:val="auto"/>
                <w:sz w:val="21"/>
                <w:szCs w:val="21"/>
                <w:highlight w:val="none"/>
                <w:lang w:val="en-US" w:eastAsia="zh-CN"/>
              </w:rPr>
              <w:t xml:space="preserve">专科</w:t>
            </w:r>
            <w:r>
              <w:rPr>
                <w:rFonts w:hint="eastAsia" w:ascii="宋体" w:hAnsi="宋体" w:eastAsia="宋体" w:cs="宋体"/>
                <w:b w:val="0"/>
                <w:bCs w:val="0"/>
                <w:color w:val="auto"/>
                <w:sz w:val="21"/>
                <w:szCs w:val="21"/>
                <w:highlight w:val="none"/>
              </w:rPr>
              <w:t xml:space="preserve">及以上学历的，得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eastAsia="zh-CN"/>
              </w:rPr>
              <w:t xml:space="preserve">最高</w:t>
            </w:r>
            <w:r>
              <w:rPr>
                <w:rFonts w:hint="eastAsia" w:ascii="宋体" w:hAnsi="宋体" w:cs="宋体"/>
                <w:b w:val="0"/>
                <w:bCs w:val="0"/>
                <w:color w:val="auto"/>
                <w:sz w:val="21"/>
                <w:szCs w:val="21"/>
                <w:highlight w:val="none"/>
                <w:lang w:eastAsia="zh-CN"/>
              </w:rPr>
              <w:t xml:space="preserve">得1</w:t>
            </w:r>
            <w:r>
              <w:rPr>
                <w:rFonts w:hint="eastAsia" w:ascii="宋体" w:hAnsi="宋体" w:cs="宋体"/>
                <w:b w:val="0"/>
                <w:bCs w:val="0"/>
                <w:color w:val="auto"/>
                <w:sz w:val="21"/>
                <w:szCs w:val="21"/>
                <w:highlight w:val="none"/>
                <w:lang w:eastAsia="zh-CN"/>
              </w:rPr>
              <w:t xml:space="preserve">分</w:t>
            </w:r>
            <w:r>
              <w:rPr>
                <w:rFonts w:hint="eastAsia" w:ascii="宋体" w:hAnsi="宋体" w:cs="宋体"/>
                <w:b w:val="0"/>
                <w:bCs w:val="0"/>
                <w:color w:val="auto"/>
                <w:sz w:val="21"/>
                <w:szCs w:val="21"/>
                <w:highlight w:val="none"/>
                <w:lang w:eastAsia="zh-CN"/>
              </w:rPr>
              <w:t xml:space="preserve">；</w:t>
            </w:r>
            <w:r/>
          </w:p>
          <w:p>
            <w:pPr>
              <w:jc w:val="left"/>
              <w:spacing w:line="4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lang w:val="en-US" w:eastAsia="zh-CN"/>
              </w:rPr>
              <w:t xml:space="preserve">拟派本项目的秩序维护人员具有初</w:t>
            </w:r>
            <w:r>
              <w:rPr>
                <w:rFonts w:hint="default" w:ascii="宋体" w:hAnsi="宋体" w:eastAsia="宋体" w:cs="宋体"/>
                <w:b w:val="0"/>
                <w:bCs w:val="0"/>
                <w:color w:val="auto"/>
                <w:sz w:val="21"/>
                <w:szCs w:val="21"/>
                <w:highlight w:val="none"/>
                <w:lang w:val="en-US" w:eastAsia="zh-CN"/>
              </w:rPr>
              <w:t xml:space="preserve">级</w:t>
            </w:r>
            <w:r>
              <w:rPr>
                <w:rFonts w:hint="eastAsia" w:ascii="宋体" w:hAnsi="宋体" w:cs="宋体"/>
                <w:b w:val="0"/>
                <w:bCs w:val="0"/>
                <w:color w:val="auto"/>
                <w:sz w:val="21"/>
                <w:szCs w:val="21"/>
                <w:highlight w:val="none"/>
                <w:lang w:val="en-US" w:eastAsia="zh-CN"/>
              </w:rPr>
              <w:t xml:space="preserve">及以上</w:t>
            </w:r>
            <w:r>
              <w:rPr>
                <w:rFonts w:hint="default" w:ascii="宋体" w:hAnsi="宋体" w:eastAsia="宋体" w:cs="宋体"/>
                <w:b w:val="0"/>
                <w:bCs w:val="0"/>
                <w:color w:val="auto"/>
                <w:sz w:val="21"/>
                <w:szCs w:val="21"/>
                <w:highlight w:val="none"/>
                <w:lang w:val="en-US" w:eastAsia="zh-CN"/>
              </w:rPr>
              <w:t xml:space="preserve">保安员证书，每有一人得</w:t>
            </w:r>
            <w:r>
              <w:rPr>
                <w:rFonts w:hint="eastAsia" w:ascii="宋体" w:hAnsi="宋体" w:eastAsia="宋体" w:cs="宋体"/>
                <w:b w:val="0"/>
                <w:bCs w:val="0"/>
                <w:color w:val="auto"/>
                <w:sz w:val="21"/>
                <w:szCs w:val="21"/>
                <w:highlight w:val="none"/>
                <w:lang w:val="en-US" w:eastAsia="zh-CN"/>
              </w:rPr>
              <w:t xml:space="preserve">1</w:t>
            </w:r>
            <w:r>
              <w:rPr>
                <w:rFonts w:hint="default" w:ascii="宋体" w:hAnsi="宋体" w:eastAsia="宋体" w:cs="宋体"/>
                <w:b w:val="0"/>
                <w:bCs w:val="0"/>
                <w:color w:val="auto"/>
                <w:sz w:val="21"/>
                <w:szCs w:val="21"/>
                <w:highlight w:val="none"/>
                <w:lang w:val="en-US" w:eastAsia="zh-CN"/>
              </w:rPr>
              <w:t xml:space="preserve">分，</w:t>
            </w:r>
            <w:r>
              <w:rPr>
                <w:rFonts w:hint="eastAsia" w:ascii="宋体" w:hAnsi="宋体" w:cs="宋体"/>
                <w:b w:val="0"/>
                <w:bCs w:val="0"/>
                <w:color w:val="auto"/>
                <w:sz w:val="21"/>
                <w:szCs w:val="21"/>
                <w:highlight w:val="none"/>
                <w:lang w:val="en-US" w:eastAsia="zh-CN"/>
              </w:rPr>
              <w:t xml:space="preserve">最高得</w:t>
            </w:r>
            <w:r>
              <w:rPr>
                <w:rFonts w:hint="eastAsia" w:ascii="宋体" w:hAnsi="宋体" w:eastAsia="宋体" w:cs="宋体"/>
                <w:b w:val="0"/>
                <w:bCs w:val="0"/>
                <w:color w:val="auto"/>
                <w:sz w:val="21"/>
                <w:szCs w:val="21"/>
                <w:highlight w:val="none"/>
                <w:lang w:val="en-US" w:eastAsia="zh-CN"/>
              </w:rPr>
              <w:t xml:space="preserve">3</w:t>
            </w:r>
            <w:r>
              <w:rPr>
                <w:rFonts w:hint="default" w:ascii="宋体" w:hAnsi="宋体" w:eastAsia="宋体" w:cs="宋体"/>
                <w:b w:val="0"/>
                <w:bCs w:val="0"/>
                <w:color w:val="auto"/>
                <w:sz w:val="21"/>
                <w:szCs w:val="21"/>
                <w:highlight w:val="none"/>
                <w:lang w:val="en-US" w:eastAsia="zh-CN"/>
              </w:rPr>
              <w:t xml:space="preserve">分。</w:t>
            </w:r>
            <w:r/>
          </w:p>
          <w:p>
            <w:pPr>
              <w:jc w:val="left"/>
              <w:spacing w:line="400" w:lineRule="exact"/>
              <w:widowControl/>
              <w:rPr>
                <w:rFonts w:hint="eastAsia" w:ascii="宋体" w:hAnsi="宋体" w:cs="宋体"/>
                <w:color w:val="auto"/>
                <w:szCs w:val="21"/>
                <w:highlight w:val="none"/>
              </w:rPr>
            </w:pPr>
            <w:r>
              <w:rPr>
                <w:rFonts w:hint="eastAsia" w:ascii="宋体" w:hAnsi="宋体" w:eastAsia="宋体" w:cs="宋体"/>
                <w:b/>
                <w:bCs/>
                <w:color w:val="auto"/>
                <w:sz w:val="21"/>
                <w:szCs w:val="21"/>
                <w:highlight w:val="none"/>
              </w:rPr>
              <w:t xml:space="preserve">注：必须提供相关</w:t>
            </w: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color w:val="auto"/>
                <w:sz w:val="21"/>
                <w:szCs w:val="21"/>
                <w:highlight w:val="none"/>
              </w:rPr>
              <w:t xml:space="preserve">扫描件，否则不得分。</w:t>
            </w:r>
            <w:r/>
          </w:p>
        </w:tc>
      </w:tr>
      <w:tr>
        <w:trPr>
          <w:trHeight w:val="3018"/>
        </w:trPr>
        <w:tc>
          <w:tcPr>
            <w:tcBorders>
              <w:top w:val="single" w:color="auto" w:sz="4" w:space="0"/>
              <w:left w:val="single" w:color="auto" w:sz="4" w:space="0"/>
              <w:bottom w:val="single" w:color="auto" w:sz="4" w:space="0"/>
              <w:right w:val="single" w:color="auto" w:sz="4" w:space="0"/>
            </w:tcBorders>
            <w:tcW w:w="739" w:type="pct"/>
            <w:vAlign w:val="center"/>
            <w:textDirection w:val="lrTb"/>
            <w:noWrap/>
          </w:tcPr>
          <w:p>
            <w:pPr>
              <w:contextualSpacing/>
              <w:jc w:val="center"/>
              <w:widowControl/>
              <w:rPr>
                <w:rFonts w:hint="eastAsia" w:ascii="宋体" w:hAnsi="宋体"/>
                <w:b/>
                <w:color w:val="000000"/>
                <w:szCs w:val="21"/>
              </w:rPr>
            </w:pPr>
            <w:r>
              <w:rPr>
                <w:rFonts w:hint="eastAsia" w:ascii="宋体" w:hAnsi="宋体"/>
                <w:b/>
                <w:color w:val="000000"/>
                <w:szCs w:val="21"/>
              </w:rPr>
              <w:t xml:space="preserve">企业实力</w:t>
            </w:r>
            <w:r/>
          </w:p>
          <w:p>
            <w:pPr>
              <w:contextualSpacing/>
              <w:jc w:val="center"/>
              <w:widowControl/>
              <w:rPr>
                <w:rFonts w:ascii="宋体" w:hAnsi="宋体"/>
                <w:b/>
                <w:color w:val="000000"/>
                <w:szCs w:val="21"/>
              </w:rPr>
            </w:pPr>
            <w:r>
              <w:rPr>
                <w:rFonts w:hint="eastAsia" w:ascii="宋体" w:hAnsi="宋体"/>
                <w:b/>
                <w:color w:val="000000"/>
                <w:szCs w:val="21"/>
              </w:rPr>
              <w:t xml:space="preserve">（</w:t>
            </w:r>
            <w:r>
              <w:rPr>
                <w:rFonts w:hint="eastAsia" w:ascii="宋体" w:hAnsi="宋体"/>
                <w:b/>
                <w:color w:val="000000"/>
                <w:szCs w:val="21"/>
                <w:lang w:val="en-US" w:eastAsia="zh-CN"/>
              </w:rPr>
              <w:t xml:space="preserve">8</w:t>
            </w:r>
            <w:r>
              <w:rPr>
                <w:rFonts w:hint="eastAsia" w:ascii="宋体" w:hAnsi="宋体"/>
                <w:b/>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4260" w:type="pct"/>
            <w:vAlign w:val="center"/>
            <w:textDirection w:val="lrTb"/>
            <w:noWrap/>
          </w:tcPr>
          <w:p>
            <w:pPr>
              <w:numPr>
                <w:ilvl w:val="0"/>
                <w:numId w:val="0"/>
              </w:numPr>
              <w:spacing w:line="360" w:lineRule="exact"/>
              <w:shd w:val="clear" w:color="auto" w:fill="ffffff"/>
              <w:widowControl/>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供应商202</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年以来获得过行业主管部门颁发的</w:t>
            </w:r>
            <w:r>
              <w:rPr>
                <w:rFonts w:hint="eastAsia" w:ascii="宋体" w:hAnsi="宋体" w:cs="宋体"/>
                <w:color w:val="000000"/>
                <w:szCs w:val="21"/>
                <w:lang w:val="en-US" w:eastAsia="zh-CN"/>
              </w:rPr>
              <w:t xml:space="preserve">奖项或表彰的，</w:t>
            </w:r>
            <w:r>
              <w:rPr>
                <w:rFonts w:hint="eastAsia" w:ascii="宋体" w:hAnsi="宋体" w:cs="宋体"/>
                <w:color w:val="000000"/>
                <w:szCs w:val="21"/>
              </w:rPr>
              <w:t xml:space="preserve">得3分。</w:t>
            </w:r>
            <w:r>
              <w:rPr>
                <w:rFonts w:hint="eastAsia" w:ascii="宋体" w:hAnsi="宋体" w:cs="宋体"/>
                <w:b/>
                <w:color w:val="000000"/>
                <w:szCs w:val="21"/>
              </w:rPr>
              <w:t xml:space="preserve">（以相关证明资料颁发时间为准，提</w:t>
            </w:r>
            <w:r>
              <w:rPr>
                <w:rFonts w:hint="eastAsia" w:ascii="宋体" w:hAnsi="宋体" w:cs="宋体"/>
                <w:b/>
                <w:bCs/>
                <w:color w:val="000000"/>
                <w:szCs w:val="21"/>
              </w:rPr>
              <w:t xml:space="preserve">供</w:t>
            </w:r>
            <w:r>
              <w:rPr>
                <w:rFonts w:hint="eastAsia" w:ascii="宋体" w:hAnsi="宋体" w:cs="宋体"/>
                <w:b/>
                <w:color w:val="000000"/>
                <w:szCs w:val="21"/>
              </w:rPr>
              <w:t xml:space="preserve">相关证明资料</w:t>
            </w:r>
            <w:r>
              <w:rPr>
                <w:rFonts w:hint="eastAsia" w:ascii="宋体" w:hAnsi="宋体" w:cs="宋体"/>
                <w:b/>
                <w:bCs/>
                <w:color w:val="000000"/>
                <w:szCs w:val="21"/>
                <w:lang w:val="en-US" w:eastAsia="zh-CN"/>
              </w:rPr>
              <w:t xml:space="preserve">扫描件</w:t>
            </w:r>
            <w:r>
              <w:rPr>
                <w:rFonts w:hint="eastAsia" w:ascii="宋体" w:hAnsi="宋体" w:cs="宋体"/>
                <w:b/>
                <w:bCs/>
                <w:color w:val="000000"/>
                <w:szCs w:val="21"/>
              </w:rPr>
              <w:t xml:space="preserve">加盖供应商公章</w:t>
            </w:r>
            <w:r>
              <w:rPr>
                <w:rFonts w:hint="eastAsia" w:ascii="宋体" w:hAnsi="宋体" w:cs="宋体"/>
                <w:color w:val="000000"/>
                <w:szCs w:val="21"/>
              </w:rPr>
              <w:t xml:space="preserve">）；</w:t>
            </w:r>
            <w:r/>
          </w:p>
          <w:p>
            <w:pPr>
              <w:numPr>
                <w:ilvl w:val="0"/>
                <w:numId w:val="0"/>
              </w:numPr>
              <w:keepLines w:val="0"/>
              <w:keepNext w:val="0"/>
              <w:pageBreakBefore w:val="0"/>
              <w:spacing w:line="360" w:lineRule="exact"/>
              <w:shd w:val="clear" w:color="auto" w:fill="ffffff"/>
              <w:widowControl/>
              <w:rPr>
                <w:rFonts w:hint="eastAsia" w:ascii="宋体" w:hAnsi="宋体" w:cs="宋体"/>
                <w:b/>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供应商202</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年以来获得过</w:t>
            </w:r>
            <w:r>
              <w:rPr>
                <w:rFonts w:hint="eastAsia" w:ascii="宋体" w:hAnsi="宋体" w:cs="宋体"/>
                <w:color w:val="000000"/>
                <w:szCs w:val="21"/>
                <w:lang w:val="en-US" w:eastAsia="zh-CN"/>
              </w:rPr>
              <w:t xml:space="preserve">市级及以上</w:t>
            </w:r>
            <w:r>
              <w:rPr>
                <w:rFonts w:hint="eastAsia" w:ascii="宋体" w:hAnsi="宋体" w:cs="宋体"/>
                <w:color w:val="000000"/>
                <w:szCs w:val="21"/>
              </w:rPr>
              <w:t xml:space="preserve">政府机关颁发的</w:t>
            </w:r>
            <w:r>
              <w:rPr>
                <w:rFonts w:hint="eastAsia" w:ascii="宋体" w:hAnsi="宋体" w:cs="宋体"/>
                <w:color w:val="000000"/>
                <w:szCs w:val="21"/>
                <w:lang w:val="en-US" w:eastAsia="zh-CN"/>
              </w:rPr>
              <w:t xml:space="preserve">奖项或表彰的</w:t>
            </w:r>
            <w:r>
              <w:rPr>
                <w:rFonts w:hint="eastAsia" w:ascii="宋体" w:hAnsi="宋体" w:cs="宋体"/>
                <w:color w:val="000000"/>
                <w:szCs w:val="21"/>
              </w:rPr>
              <w:t xml:space="preserve">，得2分；</w:t>
            </w:r>
            <w:r>
              <w:rPr>
                <w:rFonts w:hint="eastAsia" w:ascii="宋体" w:hAnsi="宋体" w:cs="宋体"/>
                <w:b/>
                <w:color w:val="000000"/>
                <w:szCs w:val="21"/>
              </w:rPr>
              <w:t xml:space="preserve">（提供相关证明资料</w:t>
            </w:r>
            <w:r>
              <w:rPr>
                <w:rFonts w:hint="eastAsia" w:ascii="宋体" w:hAnsi="宋体" w:cs="宋体"/>
                <w:b/>
                <w:color w:val="000000"/>
                <w:szCs w:val="21"/>
                <w:lang w:val="en-US" w:eastAsia="zh-CN"/>
              </w:rPr>
              <w:t xml:space="preserve">扫描件</w:t>
            </w:r>
            <w:r>
              <w:rPr>
                <w:rFonts w:hint="eastAsia" w:ascii="宋体" w:hAnsi="宋体" w:cs="宋体"/>
                <w:b/>
                <w:color w:val="000000"/>
                <w:szCs w:val="21"/>
              </w:rPr>
              <w:t xml:space="preserve">加盖供应商公章）</w:t>
            </w:r>
            <w:r/>
          </w:p>
          <w:p>
            <w:pPr>
              <w:numPr>
                <w:ilvl w:val="0"/>
                <w:numId w:val="0"/>
              </w:numPr>
              <w:keepLines w:val="0"/>
              <w:keepNext w:val="0"/>
              <w:pageBreakBefore w:val="0"/>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供应商具有有限期内的质量管理体系、环境管理体系和职业健康安全管理体系证书的，每项证书加1分，满分3分。</w:t>
            </w:r>
            <w:r>
              <w:rPr>
                <w:rFonts w:hint="eastAsia" w:ascii="宋体" w:hAnsi="宋体" w:eastAsia="宋体" w:cs="宋体"/>
                <w:b/>
                <w:bCs/>
                <w:sz w:val="21"/>
                <w:szCs w:val="21"/>
                <w:highlight w:val="none"/>
              </w:rPr>
              <w:t xml:space="preserve">（认证证书须在有效期内，须提供以上认证证书</w:t>
            </w:r>
            <w:r>
              <w:rPr>
                <w:rFonts w:hint="eastAsia" w:ascii="宋体" w:hAnsi="宋体" w:eastAsia="宋体" w:cs="宋体"/>
                <w:b/>
                <w:bCs/>
                <w:sz w:val="21"/>
                <w:szCs w:val="21"/>
                <w:highlight w:val="none"/>
                <w:lang w:val="en-US" w:eastAsia="zh-CN"/>
              </w:rPr>
              <w:t xml:space="preserve">扫描件</w:t>
            </w:r>
            <w:r>
              <w:rPr>
                <w:rFonts w:hint="eastAsia" w:ascii="宋体" w:hAnsi="宋体" w:eastAsia="宋体" w:cs="宋体"/>
                <w:b/>
                <w:bCs/>
                <w:sz w:val="21"/>
                <w:szCs w:val="21"/>
                <w:highlight w:val="none"/>
              </w:rPr>
              <w:t xml:space="preserve">及以上证书在中国认证认可监督管理委员会官方网站平台www.cnca.gov.cn查询的页面网址</w:t>
            </w:r>
            <w:r>
              <w:rPr>
                <w:rFonts w:hint="eastAsia" w:ascii="宋体" w:hAnsi="宋体" w:cs="宋体"/>
                <w:b/>
                <w:bCs/>
                <w:sz w:val="21"/>
                <w:szCs w:val="21"/>
                <w:highlight w:val="none"/>
                <w:lang w:val="en-US" w:eastAsia="zh-CN"/>
              </w:rPr>
              <w:t xml:space="preserve">截图</w:t>
            </w:r>
            <w:r>
              <w:rPr>
                <w:rFonts w:hint="eastAsia" w:ascii="宋体" w:hAnsi="宋体" w:cs="宋体"/>
                <w:b/>
                <w:bCs/>
                <w:color w:val="000000"/>
                <w:szCs w:val="21"/>
                <w:highlight w:val="none"/>
              </w:rPr>
              <w:t xml:space="preserve">扫描上传</w:t>
            </w:r>
            <w:r>
              <w:rPr>
                <w:rFonts w:hint="eastAsia" w:ascii="宋体" w:hAnsi="宋体" w:eastAsia="宋体" w:cs="宋体"/>
                <w:b/>
                <w:bCs/>
                <w:sz w:val="21"/>
                <w:szCs w:val="21"/>
                <w:highlight w:val="none"/>
              </w:rPr>
              <w:t xml:space="preserve">，否则不得分）</w:t>
            </w:r>
            <w:r/>
          </w:p>
        </w:tc>
      </w:tr>
      <w:tr>
        <w:trPr/>
        <w:tc>
          <w:tcPr>
            <w:tcBorders>
              <w:top w:val="single" w:color="auto" w:sz="4" w:space="0"/>
              <w:left w:val="single" w:color="auto" w:sz="4" w:space="0"/>
              <w:bottom w:val="single" w:color="auto" w:sz="4" w:space="0"/>
              <w:right w:val="single" w:color="auto" w:sz="4" w:space="0"/>
            </w:tcBorders>
            <w:tcW w:w="739" w:type="pct"/>
            <w:vAlign w:val="center"/>
            <w:textDirection w:val="lrTb"/>
            <w:noWrap/>
          </w:tcPr>
          <w:p>
            <w:pPr>
              <w:contextualSpacing/>
              <w:jc w:val="center"/>
              <w:widowControl/>
              <w:rPr>
                <w:rFonts w:ascii="宋体" w:hAnsi="宋体" w:cs="宋体"/>
                <w:b/>
                <w:color w:val="000000"/>
                <w:szCs w:val="21"/>
                <w:highlight w:val="none"/>
              </w:rPr>
            </w:pPr>
            <w:r>
              <w:rPr>
                <w:rFonts w:hint="eastAsia" w:ascii="宋体" w:hAnsi="宋体"/>
                <w:b/>
                <w:color w:val="000000"/>
                <w:szCs w:val="21"/>
                <w:highlight w:val="none"/>
              </w:rPr>
              <w:t xml:space="preserve">业</w:t>
            </w:r>
            <w:r>
              <w:rPr>
                <w:rFonts w:hint="eastAsia" w:ascii="宋体" w:hAnsi="宋体" w:cs="宋体"/>
                <w:b/>
                <w:color w:val="000000"/>
                <w:szCs w:val="21"/>
                <w:highlight w:val="none"/>
              </w:rPr>
              <w:t xml:space="preserve">绩</w:t>
            </w:r>
            <w:r/>
          </w:p>
          <w:p>
            <w:pPr>
              <w:contextualSpacing/>
              <w:jc w:val="center"/>
              <w:widowControl/>
              <w:rPr>
                <w:rFonts w:ascii="宋体" w:hAnsi="宋体"/>
                <w:b/>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en-US" w:eastAsia="zh-CN"/>
              </w:rPr>
              <w:t xml:space="preserve">12</w:t>
            </w:r>
            <w:r>
              <w:rPr>
                <w:rFonts w:hint="eastAsia" w:ascii="宋体" w:hAnsi="宋体" w:cs="宋体"/>
                <w:b/>
                <w:color w:val="000000"/>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4260" w:type="pct"/>
            <w:vAlign w:val="center"/>
            <w:textDirection w:val="lrTb"/>
            <w:noWrap/>
          </w:tcPr>
          <w:p>
            <w:pPr>
              <w:spacing w:line="320" w:lineRule="exact"/>
              <w:rPr>
                <w:rFonts w:ascii="宋体" w:hAnsi="宋体" w:cs="宋体"/>
                <w:color w:val="000000"/>
                <w:szCs w:val="21"/>
                <w:highlight w:val="none"/>
              </w:rPr>
            </w:pPr>
            <w:r/>
            <w:bookmarkStart w:id="55" w:name="_GoBack"/>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自</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年1月1日以来（以合同签时间为准），承担过类似项目的，每有1个得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分，本项满分</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p>
          <w:p>
            <w:pPr>
              <w:contextualSpacing/>
              <w:jc w:val="left"/>
              <w:rPr>
                <w:rFonts w:ascii="宋体" w:hAnsi="宋体"/>
                <w:bCs/>
                <w:color w:val="000000"/>
                <w:szCs w:val="21"/>
                <w:highlight w:val="none"/>
              </w:rPr>
            </w:pPr>
            <w:r>
              <w:rPr>
                <w:rFonts w:hint="eastAsia" w:ascii="宋体" w:hAnsi="宋体" w:cs="宋体"/>
                <w:b/>
                <w:bCs/>
                <w:color w:val="000000"/>
                <w:szCs w:val="21"/>
                <w:highlight w:val="none"/>
              </w:rPr>
              <w:t xml:space="preserve">注：须提供合同</w:t>
            </w:r>
            <w:r>
              <w:rPr>
                <w:rFonts w:hint="eastAsia" w:ascii="宋体" w:hAnsi="宋体" w:cs="宋体"/>
                <w:b/>
                <w:bCs/>
                <w:color w:val="000000"/>
                <w:szCs w:val="21"/>
                <w:highlight w:val="none"/>
                <w:lang w:val="en-US" w:eastAsia="zh-CN"/>
              </w:rPr>
              <w:t xml:space="preserve">扫描件</w:t>
            </w:r>
            <w:r>
              <w:rPr>
                <w:rFonts w:hint="eastAsia" w:ascii="宋体" w:hAnsi="宋体" w:cs="宋体"/>
                <w:b/>
                <w:bCs/>
                <w:color w:val="000000"/>
                <w:szCs w:val="21"/>
                <w:highlight w:val="none"/>
              </w:rPr>
              <w:t xml:space="preserve">加盖供应商公章，不提供不得分，不同年份承担同一单位的项目不累计得分。</w:t>
            </w:r>
            <w:bookmarkEnd w:id="55"/>
            <w:r/>
            <w:r/>
          </w:p>
        </w:tc>
      </w:tr>
      <w:tr>
        <w:trPr>
          <w:trHeight w:val="668"/>
        </w:trPr>
        <w:tc>
          <w:tcPr>
            <w:tcBorders>
              <w:top w:val="single" w:color="auto" w:sz="4" w:space="0"/>
              <w:left w:val="single" w:color="auto" w:sz="4" w:space="0"/>
              <w:bottom w:val="single" w:color="auto" w:sz="4" w:space="0"/>
              <w:right w:val="single" w:color="auto" w:sz="4" w:space="0"/>
            </w:tcBorders>
            <w:tcW w:w="739" w:type="pct"/>
            <w:vAlign w:val="center"/>
            <w:textDirection w:val="lrTb"/>
            <w:noWrap/>
          </w:tcPr>
          <w:p>
            <w:pPr>
              <w:contextualSpacing/>
              <w:ind w:firstLine="316"/>
              <w:widowControl/>
              <w:rPr>
                <w:rFonts w:ascii="宋体" w:hAnsi="宋体"/>
                <w:bCs/>
                <w:color w:val="000000"/>
                <w:szCs w:val="21"/>
              </w:rPr>
            </w:pPr>
            <w:r>
              <w:rPr>
                <w:rFonts w:hint="eastAsia" w:ascii="宋体" w:hAnsi="宋体"/>
                <w:b/>
                <w:color w:val="000000"/>
                <w:szCs w:val="21"/>
              </w:rPr>
              <w:t xml:space="preserve">合计</w:t>
            </w:r>
            <w:r/>
          </w:p>
        </w:tc>
        <w:tc>
          <w:tcPr>
            <w:tcBorders>
              <w:top w:val="single" w:color="auto" w:sz="4" w:space="0"/>
              <w:left w:val="single" w:color="auto" w:sz="4" w:space="0"/>
              <w:bottom w:val="single" w:color="auto" w:sz="4" w:space="0"/>
              <w:right w:val="single" w:color="auto" w:sz="4" w:space="0"/>
            </w:tcBorders>
            <w:tcW w:w="4260" w:type="pct"/>
            <w:vAlign w:val="center"/>
            <w:textDirection w:val="lrTb"/>
            <w:noWrap/>
          </w:tcPr>
          <w:p>
            <w:pPr>
              <w:contextualSpacing/>
              <w:ind w:left="720"/>
              <w:jc w:val="center"/>
              <w:rPr>
                <w:rFonts w:ascii="宋体" w:hAnsi="宋体"/>
                <w:bCs/>
                <w:color w:val="000000"/>
                <w:szCs w:val="21"/>
              </w:rPr>
            </w:pPr>
            <w:r>
              <w:rPr>
                <w:rFonts w:hint="eastAsia" w:ascii="宋体" w:hAnsi="宋体"/>
                <w:bCs/>
                <w:color w:val="000000"/>
                <w:szCs w:val="21"/>
              </w:rPr>
              <w:t xml:space="preserve">100分</w:t>
            </w:r>
            <w:r/>
          </w:p>
        </w:tc>
      </w:tr>
    </w:tbl>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12"/>
        <w:jc w:val="center"/>
        <w:spacing w:line="360" w:lineRule="auto"/>
        <w:rPr>
          <w:rFonts w:ascii="宋体" w:hAnsi="宋体" w:cs="宋体"/>
          <w:color w:val="auto"/>
          <w:sz w:val="52"/>
          <w:highlight w:val="none"/>
        </w:rPr>
      </w:pPr>
      <w:r/>
      <w:bookmarkStart w:id="39" w:name="_Toc28246"/>
      <w:r>
        <w:rPr>
          <w:rFonts w:hint="eastAsia" w:ascii="宋体" w:hAnsi="宋体" w:cs="宋体"/>
          <w:color w:val="auto"/>
          <w:highlight w:val="none"/>
        </w:rPr>
        <w:t xml:space="preserve">第六章 竞争性磋商响应文件格式</w:t>
      </w:r>
      <w:bookmarkEnd w:id="2"/>
      <w:r/>
      <w:bookmarkEnd w:id="39"/>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05"/>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567"/>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67"/>
        </w:trPr>
        <w:tc>
          <w:tcPr>
            <w:gridSpan w:val="3"/>
            <w:tcW w:w="8110"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67"/>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jc w:val="both"/>
              <w:pageBreakBefore w:val="0"/>
              <w:spacing w:line="360" w:lineRule="auto"/>
              <w:rPr>
                <w:rFonts w:hint="eastAsia" w:ascii="宋体" w:hAnsi="宋体" w:eastAsia="宋体" w:cs="宋体"/>
                <w:i w:val="0"/>
                <w:iCs w:val="0"/>
                <w:color w:val="auto"/>
                <w:szCs w:val="21"/>
                <w:highlight w:val="none"/>
                <w:u w:val="none"/>
                <w:lang w:eastAsia="zh-CN"/>
              </w:rPr>
            </w:pPr>
            <w:r>
              <w:rPr>
                <w:rFonts w:hint="eastAsia" w:ascii="宋体" w:hAnsi="宋体" w:cs="宋体"/>
                <w:i w:val="0"/>
                <w:iCs w:val="0"/>
                <w:color w:val="auto"/>
                <w:szCs w:val="21"/>
                <w:highlight w:val="none"/>
                <w:u w:val="none"/>
                <w:lang w:eastAsia="zh-CN"/>
              </w:rPr>
              <w:t xml:space="preserve">依法缴纳职工社会保障资金的证明材料(税务、银行或社会保险基金管理部门出具的提交投标响应文件截止时间前一年内至少一个月缴纳职工社会保障资金的缴款凭证或缴款证明)（投标人依法享受缓缴、免缴的提供证明材料）</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jc w:val="both"/>
              <w:pageBreakBefore w:val="0"/>
              <w:spacing w:line="360" w:lineRule="auto"/>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供应商提交投标响应文件截止时间前一年内至少一个月依法纳税的缴款凭证（投标人依法享受缓缴、免缴的提供证明材料</w:t>
            </w:r>
            <w:r>
              <w:rPr>
                <w:rFonts w:hint="eastAsia" w:ascii="宋体" w:hAnsi="宋体" w:cs="宋体"/>
                <w:b/>
                <w:bCs/>
                <w:i w:val="0"/>
                <w:iCs w:val="0"/>
                <w:color w:val="auto"/>
                <w:szCs w:val="21"/>
                <w:highlight w:val="none"/>
                <w:u w:val="none"/>
              </w:rPr>
              <w:t xml:space="preserve">）</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列入失信被执行人、重大税收违法案件当事人名单、政府采购严重违法失信行为记录名单</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根据江苏省财政厅苏财购【2020】52号文规定，本项目专门面向中小企业采购。投标人投标时须提供《中小企业声明函》，《中小企业声明函》不符合要求或未提供的，投标文件无效。 本项目采购标的按中小企业划分标准所属行业区分为：租赁和商务服务业（中小微企业划型标准网http://www.ccgp.gov.cn/zcfg/mof/201310/t20131029_3587674.htm）</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无</w:t>
            </w:r>
            <w:r/>
          </w:p>
        </w:tc>
        <w:tc>
          <w:tcPr>
            <w:tcW w:w="1824" w:type="dxa"/>
            <w:vAlign w:val="center"/>
            <w:textDirection w:val="lrTb"/>
            <w:noWrap w:val="false"/>
          </w:tcPr>
          <w:p>
            <w:pPr>
              <w:pStyle w:val="737"/>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6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rPr>
        <w:t xml:space="preserve">。</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rPr>
        <w:t xml:space="preserve">。</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pStyle w:val="706"/>
      </w:p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95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根据贵方的号磋商文件，正式授权下述签字人_________ </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姓名和职务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代表我方______________（供应商的名称），全权处理本次项目磋商采购的有关事宜。</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58"/>
        <w:ind w:firstLine="0"/>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5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     </w:t>
      </w:r>
      <w:r/>
    </w:p>
    <w:p>
      <w:pPr>
        <w:pStyle w:val="95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联系电话（手机）：_______________________ </w:t>
      </w:r>
      <w:r/>
    </w:p>
    <w:p>
      <w:pPr>
        <w:pStyle w:val="958"/>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w:t>
      </w:r>
      <w:r/>
    </w:p>
    <w:p>
      <w:pPr>
        <w:pStyle w:val="95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单位地址：_______________________ </w:t>
      </w:r>
      <w:r/>
    </w:p>
    <w:p>
      <w:pPr>
        <w:pStyle w:val="958"/>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日期：_______________________ </w:t>
      </w:r>
      <w:r>
        <w:rPr>
          <w:rFonts w:hint="eastAsia" w:ascii="宋体" w:hAnsi="宋体" w:cs="宋体"/>
          <w:color w:val="auto"/>
          <w:sz w:val="21"/>
          <w:szCs w:val="21"/>
          <w:highlight w:val="none"/>
          <w:lang w:val="en-US" w:eastAsia="zh-CN"/>
        </w:rPr>
        <w:t xml:space="preserve"> </w:t>
      </w:r>
      <w:r/>
    </w:p>
    <w:p>
      <w:pPr>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hint="eastAsia" w:ascii="宋体" w:hAnsi="宋体" w:cs="宋体"/>
          <w:bCs/>
          <w:color w:val="auto"/>
          <w:highlight w:val="none"/>
          <w:lang w:eastAsia="zh-CN"/>
        </w:rPr>
      </w:pPr>
      <w:r>
        <w:rPr>
          <w:rFonts w:hint="eastAsia" w:ascii="宋体" w:hAnsi="宋体" w:cs="宋体"/>
          <w:bCs/>
          <w:color w:val="auto"/>
          <w:highlight w:val="none"/>
        </w:rPr>
        <w:t xml:space="preserve">被授权人身份证复印件</w:t>
      </w:r>
      <w:r>
        <w:rPr>
          <w:rFonts w:hint="eastAsia" w:ascii="宋体" w:hAnsi="宋体" w:cs="宋体"/>
          <w:bCs/>
          <w:color w:val="auto"/>
          <w:highlight w:val="none"/>
          <w:lang w:eastAsia="zh-CN"/>
        </w:rPr>
        <w:t xml:space="preserve">：</w:t>
      </w:r>
      <w:r/>
    </w:p>
    <w:p>
      <w:pPr>
        <w:ind w:firstLine="42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ind w:firstLine="42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ind w:firstLine="42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ind w:firstLine="42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ind w:firstLine="42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ind w:firstLine="42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法定代表人</w:t>
      </w:r>
      <w:r>
        <w:rPr>
          <w:rFonts w:hint="eastAsia" w:ascii="宋体" w:hAnsi="宋体" w:cs="宋体"/>
          <w:bCs/>
          <w:color w:val="auto"/>
          <w:highlight w:val="none"/>
        </w:rPr>
        <w:t xml:space="preserve">身份证复印件</w:t>
      </w:r>
      <w:r>
        <w:rPr>
          <w:rFonts w:hint="eastAsia" w:ascii="宋体" w:hAnsi="宋体" w:cs="宋体"/>
          <w:bCs/>
          <w:color w:val="auto"/>
          <w:highlight w:val="none"/>
          <w:lang w:eastAsia="zh-CN"/>
        </w:rPr>
        <w:t xml:space="preserve">：</w:t>
      </w:r>
      <w:r/>
    </w:p>
    <w:p>
      <w:pPr>
        <w:rPr>
          <w:rFonts w:hint="eastAsia"/>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lang w:eastAsia="zh-CN"/>
        </w:rPr>
      </w:r>
      <w:r/>
    </w:p>
    <w:p>
      <w:pPr>
        <w:numPr>
          <w:ilvl w:val="0"/>
          <w:numId w:val="5"/>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0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1</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2</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3</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4</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 xml:space="preserve">5</w:t>
            </w:r>
            <w:r/>
          </w:p>
        </w:tc>
        <w:tc>
          <w:tcPr>
            <w:tcW w:w="4644"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5"/>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tbl>
      <w:tblPr>
        <w:tblStyle w:val="70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4489" w:type="dxa"/>
            <w:vAlign w:val="center"/>
            <w:textDirection w:val="lrTb"/>
            <w:noWrap w:val="false"/>
          </w:tcPr>
          <w:p>
            <w:pPr>
              <w:spacing w:line="360" w:lineRule="auto"/>
              <w:rPr>
                <w:rFonts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65"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48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48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3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before="312" w:after="312"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szCs w:val="21"/>
          <w:highlight w:val="none"/>
          <w:u w:val="single"/>
        </w:rPr>
        <w:t xml:space="preserve">租赁和商务服务业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ascii="宋体" w:hAnsi="宋体" w:cs="宋体"/>
          <w:color w:val="auto"/>
          <w:highlight w:val="none"/>
        </w:rPr>
      </w:pPr>
      <w:r>
        <w:rPr>
          <w:rFonts w:ascii="宋体" w:hAnsi="宋体" w:cs="宋体"/>
          <w:color w:val="auto"/>
          <w:highlight w:val="none"/>
        </w:rPr>
      </w:r>
      <w:r/>
    </w:p>
    <w:p>
      <w:pPr>
        <w:pStyle w:val="913"/>
        <w:jc w:val="center"/>
        <w:spacing w:before="300" w:after="300" w:line="360" w:lineRule="auto"/>
        <w:widowControl/>
        <w:rPr>
          <w:rFonts w:ascii="宋体" w:hAnsi="宋体" w:cs="宋体"/>
          <w:color w:val="auto"/>
          <w:sz w:val="21"/>
          <w:szCs w:val="21"/>
          <w:highlight w:val="none"/>
        </w:rPr>
      </w:pPr>
      <w:r/>
      <w:bookmarkStart w:id="40" w:name="_Toc109304977"/>
      <w:r/>
      <w:bookmarkStart w:id="41" w:name="_Toc5105"/>
      <w:r>
        <w:rPr>
          <w:rFonts w:hint="eastAsia" w:ascii="宋体" w:hAnsi="宋体" w:cs="宋体"/>
          <w:bCs w:val="0"/>
          <w:color w:val="auto"/>
          <w:sz w:val="21"/>
          <w:szCs w:val="21"/>
          <w:highlight w:val="none"/>
        </w:rPr>
        <w:t xml:space="preserve">中小微企业划型标准</w:t>
      </w:r>
      <w:bookmarkEnd w:id="40"/>
      <w:r>
        <w:rPr>
          <w:rFonts w:hint="eastAsia" w:ascii="宋体" w:hAnsi="宋体" w:cs="宋体"/>
          <w:bCs w:val="0"/>
          <w:color w:val="auto"/>
          <w:sz w:val="21"/>
          <w:szCs w:val="21"/>
          <w:highlight w:val="none"/>
        </w:rPr>
        <w:t xml:space="preserve"> </w:t>
      </w:r>
      <w:bookmarkEnd w:id="41"/>
      <w:r/>
      <w:r/>
    </w:p>
    <w:p>
      <w:pPr>
        <w:pStyle w:val="942"/>
        <w:ind w:firstLine="420"/>
        <w:keepLines w:val="0"/>
        <w:keepNext w:val="0"/>
        <w:pageBreakBefore w:val="0"/>
        <w:spacing w:before="300"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中小微企业划型标准如下：</w:t>
      </w:r>
      <w:r/>
    </w:p>
    <w:tbl>
      <w:tblPr>
        <w:tblStyle w:val="705"/>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42"/>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42"/>
              <w:jc w:val="center"/>
              <w:spacing w:line="360" w:lineRule="auto"/>
              <w:widowControl/>
              <w:rPr>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X＜10</w:t>
            </w:r>
            <w:r/>
          </w:p>
        </w:tc>
      </w:tr>
    </w:tbl>
    <w:p>
      <w:pPr>
        <w:pStyle w:val="942"/>
        <w:ind w:firstLine="420"/>
        <w:keepLines w:val="0"/>
        <w:keepNext w:val="0"/>
        <w:pageBreakBefore w:val="0"/>
        <w:spacing w:before="300" w:after="452" w:line="360" w:lineRule="auto"/>
        <w:widowControl/>
        <w:rPr>
          <w:rStyle w:val="945"/>
          <w:rFonts w:ascii="宋体" w:hAnsi="宋体" w:cs="宋体"/>
          <w:color w:val="auto"/>
          <w:sz w:val="21"/>
          <w:szCs w:val="21"/>
          <w:highlight w:val="none"/>
        </w:rPr>
      </w:pPr>
      <w:r>
        <w:rPr>
          <w:rStyle w:val="945"/>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auto"/>
          <w:highlight w:val="none"/>
        </w:rPr>
      </w:pPr>
      <w:r>
        <w:rPr>
          <w:rStyle w:val="945"/>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w:t>
      </w:r>
      <w:r/>
    </w:p>
    <w:p>
      <w:pPr>
        <w:spacing w:line="360" w:lineRule="auto"/>
        <w:rPr>
          <w:rFonts w:ascii="宋体" w:hAnsi="宋体" w:cs="宋体"/>
          <w:color w:val="auto"/>
          <w:highlight w:val="none"/>
        </w:rPr>
      </w:pPr>
      <w:r>
        <w:rPr>
          <w:rFonts w:ascii="宋体" w:hAnsi="宋体" w:cs="宋体"/>
          <w:color w:val="auto"/>
          <w:highlight w:val="none"/>
        </w:rPr>
      </w:r>
      <w:r/>
    </w:p>
    <w:p>
      <w:pPr>
        <w:pStyle w:val="93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spacing w:line="360" w:lineRule="auto"/>
        <w:rPr>
          <w:rFonts w:ascii="宋体" w:hAnsi="宋体" w:cs="宋体"/>
          <w:color w:val="auto"/>
          <w:szCs w:val="21"/>
          <w:highlight w:val="none"/>
        </w:rPr>
      </w:pPr>
      <w:r>
        <w:rPr>
          <w:rFonts w:hint="eastAsia" w:ascii="宋体" w:hAnsi="宋体" w:cs="宋体"/>
          <w:color w:val="auto"/>
          <w:highlight w:val="none"/>
        </w:rPr>
        <w:t xml:space="preserve">项目编号：                                           分包号：                   </w:t>
      </w:r>
      <w:r/>
    </w:p>
    <w:tbl>
      <w:tblPr>
        <w:tblStyle w:val="70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028"/>
        <w:gridCol w:w="1457"/>
        <w:gridCol w:w="1244"/>
        <w:gridCol w:w="1340"/>
        <w:gridCol w:w="1694"/>
      </w:tblGrid>
      <w:tr>
        <w:trPr>
          <w:cantSplit/>
          <w:jc w:val="center"/>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序号</w:t>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产品、服务名称</w:t>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分项单位</w:t>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数量</w:t>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单价</w:t>
            </w:r>
            <w:r/>
          </w:p>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（元）</w:t>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单项</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合计价</w:t>
            </w:r>
            <w:r/>
          </w:p>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（元）</w:t>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tcW w:w="75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2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3"/>
            <w:tcW w:w="424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总报价</w:t>
            </w:r>
            <w:r/>
          </w:p>
        </w:tc>
        <w:tc>
          <w:tcPr>
            <w:gridSpan w:val="3"/>
            <w:tcW w:w="427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highlight w:val="none"/>
              </w:rPr>
              <w:t xml:space="preserve">人民币（大写）：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圆整</w:t>
            </w:r>
            <w:r/>
          </w:p>
          <w:p>
            <w:pPr>
              <w:spacing w:line="360" w:lineRule="auto"/>
              <w:rPr>
                <w:rFonts w:ascii="宋体" w:hAnsi="宋体" w:cs="宋体"/>
                <w:color w:val="auto"/>
                <w:szCs w:val="21"/>
                <w:highlight w:val="none"/>
                <w:u w:val="single"/>
              </w:rPr>
            </w:pPr>
            <w:r>
              <w:rPr>
                <w:rFonts w:hint="eastAsia" w:ascii="宋体" w:hAnsi="宋体" w:cs="宋体"/>
                <w:color w:val="auto"/>
                <w:highlight w:val="none"/>
              </w:rPr>
              <w:t xml:space="preserve">￥：</w:t>
            </w:r>
            <w:r/>
          </w:p>
        </w:tc>
      </w:tr>
    </w:tbl>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注：行数不够，可自行添加。</w:t>
      </w:r>
      <w:r/>
    </w:p>
    <w:p>
      <w:pPr>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913"/>
        <w:jc w:val="center"/>
        <w:spacing w:line="360" w:lineRule="auto"/>
        <w:rPr>
          <w:rFonts w:ascii="宋体" w:hAnsi="宋体" w:cs="宋体"/>
          <w:bCs w:val="0"/>
          <w:color w:val="auto"/>
          <w:highlight w:val="none"/>
        </w:rPr>
      </w:pPr>
      <w:r/>
      <w:bookmarkStart w:id="42" w:name="_Toc22962"/>
      <w:r/>
      <w:bookmarkStart w:id="43" w:name="_Toc109304978"/>
      <w:r>
        <w:rPr>
          <w:rFonts w:hint="eastAsia" w:ascii="宋体" w:hAnsi="宋体" w:cs="宋体"/>
          <w:bCs w:val="0"/>
          <w:color w:val="auto"/>
          <w:highlight w:val="none"/>
        </w:rPr>
        <w:t xml:space="preserve">五、技术参数响应及偏离表</w:t>
      </w:r>
      <w:bookmarkEnd w:id="42"/>
      <w:r/>
      <w:bookmarkEnd w:id="43"/>
      <w:r/>
      <w:r/>
    </w:p>
    <w:tbl>
      <w:tblPr>
        <w:tblStyle w:val="70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13"/>
        <w:jc w:val="center"/>
        <w:spacing w:line="360" w:lineRule="auto"/>
        <w:rPr>
          <w:rFonts w:ascii="宋体" w:hAnsi="宋体" w:cs="宋体"/>
          <w:bCs w:val="0"/>
          <w:color w:val="auto"/>
          <w:highlight w:val="none"/>
        </w:rPr>
      </w:pPr>
      <w:r/>
      <w:bookmarkStart w:id="44" w:name="_Hlt26955054"/>
      <w:r/>
      <w:bookmarkEnd w:id="44"/>
      <w:r/>
      <w:bookmarkStart w:id="45" w:name="_Toc109304979"/>
      <w:r>
        <w:rPr>
          <w:rFonts w:hint="eastAsia" w:ascii="宋体" w:hAnsi="宋体" w:cs="宋体"/>
          <w:bCs w:val="0"/>
          <w:color w:val="auto"/>
          <w:highlight w:val="none"/>
        </w:rPr>
        <w:br w:type="page" w:clear="all"/>
      </w:r>
      <w:bookmarkStart w:id="46" w:name="_Toc16807"/>
      <w:r>
        <w:rPr>
          <w:rFonts w:hint="eastAsia" w:ascii="宋体" w:hAnsi="宋体" w:cs="宋体"/>
          <w:bCs w:val="0"/>
          <w:color w:val="auto"/>
          <w:highlight w:val="none"/>
        </w:rPr>
        <w:t xml:space="preserve">六、商务条款响应及偏离表</w:t>
      </w:r>
      <w:bookmarkEnd w:id="45"/>
      <w:r/>
      <w:bookmarkEnd w:id="46"/>
      <w:r/>
      <w:r/>
    </w:p>
    <w:tbl>
      <w:tblPr>
        <w:tblStyle w:val="705"/>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widowControl/>
        <w:rPr>
          <w:rFonts w:ascii="宋体" w:hAnsi="宋体" w:cs="宋体"/>
          <w:b/>
          <w:color w:val="auto"/>
          <w:highlight w:val="none"/>
        </w:rPr>
      </w:pPr>
      <w:r/>
      <w:bookmarkStart w:id="47" w:name="_Hlt26609391"/>
      <w:r/>
      <w:bookmarkEnd w:id="47"/>
      <w:r/>
      <w:bookmarkStart w:id="48" w:name="_Hlt26955056"/>
      <w:r/>
      <w:bookmarkEnd w:id="48"/>
      <w:r/>
      <w:bookmarkStart w:id="49" w:name="_Hlt26955064"/>
      <w:r/>
      <w:bookmarkEnd w:id="49"/>
      <w:r/>
      <w:bookmarkStart w:id="50" w:name="_Hlt26671343"/>
      <w:r/>
      <w:bookmarkEnd w:id="50"/>
      <w:r/>
      <w:bookmarkStart w:id="51" w:name="_Hlt24879081"/>
      <w:r/>
      <w:bookmarkEnd w:id="51"/>
      <w:r/>
      <w:bookmarkStart w:id="52" w:name="_Hlt26580838"/>
      <w:r/>
      <w:bookmarkEnd w:id="52"/>
      <w:r/>
      <w:bookmarkStart w:id="53" w:name="_Hlt26671372"/>
      <w:r/>
      <w:bookmarkEnd w:id="53"/>
      <w:r/>
      <w:bookmarkStart w:id="54" w:name="_Hlt26782999"/>
      <w:r/>
      <w:bookmarkEnd w:id="54"/>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05"/>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rPr>
          <w:rFonts w:ascii="宋体" w:hAnsi="宋体" w:cs="宋体"/>
          <w:color w:val="auto"/>
          <w:highlight w:val="none"/>
        </w:rPr>
      </w:pPr>
      <w:r>
        <w:rPr>
          <w:rFonts w:ascii="宋体" w:hAnsi="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黑体">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fldChar w:fldCharType="begin"/>
    </w:r>
    <w:r>
      <w:instrText xml:space="preserve">PAGE   \* MERGEFORMAT</w:instrText>
    </w:r>
    <w:r>
      <w:fldChar w:fldCharType="separate"/>
    </w:r>
    <w:r>
      <w:rPr>
        <w:lang w:val="zh-CN"/>
      </w:rPr>
      <w:t xml:space="preserve">22</w:t>
    </w:r>
    <w:r>
      <w:fldChar w:fldCharType="end"/>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szCs w:val="22"/>
      </w:rPr>
    </w:pPr>
    <w:r>
      <w:rPr>
        <w:rFonts w:hint="eastAsia"/>
        <w:lang w:eastAsia="zh-CN"/>
      </w:rPr>
      <w:t xml:space="preserve">JSZC-321002-JSWC-C2026-0026</w:t>
    </w:r>
    <w:r>
      <w:rPr>
        <w:rFonts w:hint="eastAsia"/>
        <w:lang w:val="en-US" w:eastAsia="zh-CN"/>
      </w:rPr>
      <w:t xml:space="preserve">                                        </w:t>
    </w:r>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73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4">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3">
    <w:name w:val="TOC Heading"/>
    <w:uiPriority w:val="39"/>
    <w:unhideWhenUsed/>
  </w:style>
  <w:style w:type="paragraph" w:styleId="694" w:default="1">
    <w:name w:val="Normal"/>
    <w:next w:val="706"/>
    <w:uiPriority w:val="0"/>
    <w:qFormat/>
    <w:pPr>
      <w:jc w:val="both"/>
      <w:widowControl w:val="off"/>
    </w:pPr>
    <w:rPr>
      <w:rFonts w:ascii="Times New Roman" w:hAnsi="Times New Roman" w:eastAsia="宋体" w:cs="Times New Roman"/>
      <w:sz w:val="21"/>
      <w:szCs w:val="22"/>
      <w:lang w:val="en-US" w:eastAsia="zh-CN" w:bidi="ar-SA"/>
    </w:rPr>
  </w:style>
  <w:style w:type="paragraph" w:styleId="695">
    <w:name w:val="Heading 1"/>
    <w:basedOn w:val="694"/>
    <w:next w:val="694"/>
    <w:link w:val="783"/>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84"/>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85"/>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86"/>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87"/>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88"/>
    <w:uiPriority w:val="9"/>
    <w:unhideWhenUsed/>
    <w:qFormat/>
    <w:pPr>
      <w:keepLines/>
      <w:keepNext/>
      <w:spacing w:before="320" w:after="200"/>
      <w:outlineLvl w:val="5"/>
    </w:pPr>
    <w:rPr>
      <w:rFonts w:ascii="Arial" w:hAnsi="Arial" w:eastAsia="Arial" w:cs="Arial"/>
      <w:b/>
      <w:bCs/>
      <w:sz w:val="22"/>
    </w:rPr>
  </w:style>
  <w:style w:type="paragraph" w:styleId="701">
    <w:name w:val="Heading 7"/>
    <w:basedOn w:val="694"/>
    <w:next w:val="694"/>
    <w:link w:val="789"/>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790"/>
    <w:uiPriority w:val="9"/>
    <w:unhideWhenUsed/>
    <w:qFormat/>
    <w:pPr>
      <w:keepLines/>
      <w:keepNext/>
      <w:spacing w:before="320" w:after="200"/>
      <w:outlineLvl w:val="7"/>
    </w:pPr>
    <w:rPr>
      <w:rFonts w:ascii="Arial" w:hAnsi="Arial" w:eastAsia="Arial" w:cs="Arial"/>
      <w:i/>
      <w:iCs/>
      <w:sz w:val="22"/>
    </w:rPr>
  </w:style>
  <w:style w:type="paragraph" w:styleId="703">
    <w:name w:val="Heading 9"/>
    <w:basedOn w:val="694"/>
    <w:next w:val="694"/>
    <w:link w:val="791"/>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索引 41"/>
    <w:basedOn w:val="694"/>
    <w:next w:val="694"/>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paragraph" w:styleId="707">
    <w:name w:val="toc 7"/>
    <w:basedOn w:val="694"/>
    <w:next w:val="694"/>
    <w:uiPriority w:val="39"/>
    <w:unhideWhenUsed/>
    <w:qFormat/>
    <w:pPr>
      <w:ind w:left="1701"/>
      <w:spacing w:after="57"/>
    </w:pPr>
  </w:style>
  <w:style w:type="paragraph" w:styleId="708">
    <w:name w:val="Normal Indent"/>
    <w:basedOn w:val="694"/>
    <w:uiPriority w:val="0"/>
    <w:qFormat/>
    <w:pPr>
      <w:ind w:firstLine="482"/>
      <w:spacing w:line="360" w:lineRule="atLeast"/>
    </w:pPr>
    <w:rPr>
      <w:sz w:val="24"/>
      <w:szCs w:val="20"/>
    </w:rPr>
  </w:style>
  <w:style w:type="paragraph" w:styleId="709">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Body Text"/>
    <w:basedOn w:val="694"/>
    <w:uiPriority w:val="0"/>
    <w:qFormat/>
    <w:rPr>
      <w:rFonts w:ascii="楷体_GB2312" w:hAnsi="Arial" w:eastAsia="楷体_GB2312"/>
      <w:sz w:val="28"/>
      <w:szCs w:val="28"/>
    </w:rPr>
  </w:style>
  <w:style w:type="paragraph" w:styleId="711">
    <w:name w:val="Body Text Indent"/>
    <w:basedOn w:val="694"/>
    <w:uiPriority w:val="99"/>
    <w:semiHidden/>
    <w:unhideWhenUsed/>
    <w:qFormat/>
    <w:pPr>
      <w:ind w:left="420"/>
      <w:spacing w:after="120"/>
    </w:pPr>
  </w:style>
  <w:style w:type="paragraph" w:styleId="712">
    <w:name w:val="List Bullet 2"/>
    <w:basedOn w:val="694"/>
    <w:uiPriority w:val="99"/>
    <w:semiHidden/>
    <w:unhideWhenUsed/>
    <w:qFormat/>
    <w:pPr>
      <w:numPr>
        <w:ilvl w:val="0"/>
        <w:numId w:val="1"/>
      </w:numPr>
    </w:pPr>
  </w:style>
  <w:style w:type="paragraph" w:styleId="713">
    <w:name w:val="toc 5"/>
    <w:basedOn w:val="694"/>
    <w:next w:val="694"/>
    <w:uiPriority w:val="39"/>
    <w:unhideWhenUsed/>
    <w:qFormat/>
    <w:pPr>
      <w:ind w:left="1134"/>
      <w:spacing w:after="57"/>
    </w:pPr>
  </w:style>
  <w:style w:type="paragraph" w:styleId="714">
    <w:name w:val="toc 3"/>
    <w:basedOn w:val="694"/>
    <w:next w:val="694"/>
    <w:uiPriority w:val="39"/>
    <w:unhideWhenUsed/>
    <w:qFormat/>
    <w:pPr>
      <w:ind w:left="567"/>
      <w:spacing w:after="57"/>
    </w:pPr>
  </w:style>
  <w:style w:type="paragraph" w:styleId="715">
    <w:name w:val="Plain Text"/>
    <w:basedOn w:val="694"/>
    <w:uiPriority w:val="0"/>
    <w:qFormat/>
    <w:rPr>
      <w:rFonts w:ascii="宋体" w:hAnsi="Courier New"/>
      <w:sz w:val="20"/>
      <w:szCs w:val="21"/>
    </w:rPr>
  </w:style>
  <w:style w:type="paragraph" w:styleId="716">
    <w:name w:val="toc 8"/>
    <w:basedOn w:val="694"/>
    <w:next w:val="694"/>
    <w:uiPriority w:val="39"/>
    <w:unhideWhenUsed/>
    <w:qFormat/>
    <w:pPr>
      <w:ind w:left="1984"/>
      <w:spacing w:after="57"/>
    </w:pPr>
  </w:style>
  <w:style w:type="paragraph" w:styleId="717">
    <w:name w:val="Body Text Indent 2"/>
    <w:basedOn w:val="694"/>
    <w:uiPriority w:val="99"/>
    <w:qFormat/>
    <w:pPr>
      <w:ind w:firstLine="562"/>
      <w:spacing w:line="480" w:lineRule="exact"/>
    </w:pPr>
    <w:rPr>
      <w:rFonts w:ascii="楷体_GB2312" w:eastAsia="楷体_GB2312"/>
      <w:b/>
      <w:bCs/>
      <w:sz w:val="28"/>
      <w:szCs w:val="24"/>
    </w:rPr>
  </w:style>
  <w:style w:type="paragraph" w:styleId="718">
    <w:name w:val="endnote text"/>
    <w:basedOn w:val="694"/>
    <w:link w:val="910"/>
    <w:uiPriority w:val="99"/>
    <w:semiHidden/>
    <w:unhideWhenUsed/>
    <w:qFormat/>
    <w:rPr>
      <w:sz w:val="20"/>
    </w:rPr>
  </w:style>
  <w:style w:type="paragraph" w:styleId="719">
    <w:name w:val="Balloon Text"/>
    <w:basedOn w:val="694"/>
    <w:link w:val="978"/>
    <w:uiPriority w:val="99"/>
    <w:semiHidden/>
    <w:unhideWhenUsed/>
    <w:qFormat/>
    <w:rPr>
      <w:sz w:val="18"/>
      <w:szCs w:val="18"/>
    </w:rPr>
  </w:style>
  <w:style w:type="paragraph" w:styleId="720">
    <w:name w:val="Footer"/>
    <w:basedOn w:val="694"/>
    <w:link w:val="802"/>
    <w:uiPriority w:val="99"/>
    <w:unhideWhenUsed/>
    <w:qFormat/>
    <w:pPr>
      <w:tabs>
        <w:tab w:val="center" w:pos="7143" w:leader="none"/>
        <w:tab w:val="right" w:pos="14287" w:leader="none"/>
      </w:tabs>
    </w:pPr>
  </w:style>
  <w:style w:type="paragraph" w:styleId="721">
    <w:name w:val="Header"/>
    <w:basedOn w:val="694"/>
    <w:link w:val="800"/>
    <w:uiPriority w:val="99"/>
    <w:unhideWhenUsed/>
    <w:qFormat/>
    <w:pPr>
      <w:tabs>
        <w:tab w:val="center" w:pos="7143" w:leader="none"/>
        <w:tab w:val="right" w:pos="14287" w:leader="none"/>
      </w:tabs>
    </w:pPr>
  </w:style>
  <w:style w:type="paragraph" w:styleId="722">
    <w:name w:val="toc 1"/>
    <w:basedOn w:val="694"/>
    <w:next w:val="694"/>
    <w:uiPriority w:val="39"/>
    <w:unhideWhenUsed/>
    <w:qFormat/>
    <w:pPr>
      <w:spacing w:after="57"/>
    </w:pPr>
  </w:style>
  <w:style w:type="paragraph" w:styleId="723">
    <w:name w:val="toc 4"/>
    <w:basedOn w:val="694"/>
    <w:next w:val="694"/>
    <w:uiPriority w:val="39"/>
    <w:unhideWhenUsed/>
    <w:qFormat/>
    <w:pPr>
      <w:ind w:left="850"/>
      <w:spacing w:after="57"/>
    </w:pPr>
  </w:style>
  <w:style w:type="paragraph" w:styleId="724">
    <w:name w:val="Subtitle"/>
    <w:basedOn w:val="694"/>
    <w:next w:val="694"/>
    <w:link w:val="795"/>
    <w:uiPriority w:val="11"/>
    <w:qFormat/>
    <w:pPr>
      <w:spacing w:before="200" w:after="200"/>
    </w:pPr>
    <w:rPr>
      <w:sz w:val="24"/>
      <w:szCs w:val="24"/>
    </w:rPr>
  </w:style>
  <w:style w:type="paragraph" w:styleId="725">
    <w:name w:val="footnote text"/>
    <w:basedOn w:val="694"/>
    <w:link w:val="909"/>
    <w:uiPriority w:val="99"/>
    <w:semiHidden/>
    <w:unhideWhenUsed/>
    <w:qFormat/>
    <w:pPr>
      <w:spacing w:after="40"/>
    </w:pPr>
    <w:rPr>
      <w:sz w:val="18"/>
    </w:rPr>
  </w:style>
  <w:style w:type="paragraph" w:styleId="726">
    <w:name w:val="toc 6"/>
    <w:basedOn w:val="694"/>
    <w:next w:val="694"/>
    <w:uiPriority w:val="39"/>
    <w:unhideWhenUsed/>
    <w:qFormat/>
    <w:pPr>
      <w:ind w:left="1417"/>
      <w:spacing w:after="57"/>
    </w:pPr>
  </w:style>
  <w:style w:type="paragraph" w:styleId="727">
    <w:name w:val="table of figures"/>
    <w:basedOn w:val="694"/>
    <w:next w:val="694"/>
    <w:uiPriority w:val="99"/>
    <w:unhideWhenUsed/>
    <w:qFormat/>
  </w:style>
  <w:style w:type="paragraph" w:styleId="728">
    <w:name w:val="toc 2"/>
    <w:basedOn w:val="694"/>
    <w:next w:val="694"/>
    <w:uiPriority w:val="39"/>
    <w:unhideWhenUsed/>
    <w:qFormat/>
    <w:pPr>
      <w:ind w:left="283"/>
      <w:spacing w:after="57"/>
    </w:pPr>
  </w:style>
  <w:style w:type="paragraph" w:styleId="729">
    <w:name w:val="toc 9"/>
    <w:basedOn w:val="694"/>
    <w:next w:val="694"/>
    <w:uiPriority w:val="39"/>
    <w:unhideWhenUsed/>
    <w:qFormat/>
    <w:pPr>
      <w:ind w:left="2268"/>
      <w:spacing w:after="57"/>
    </w:pPr>
  </w:style>
  <w:style w:type="paragraph" w:styleId="730">
    <w:name w:val="Body Text 2"/>
    <w:basedOn w:val="694"/>
    <w:uiPriority w:val="0"/>
    <w:qFormat/>
    <w:pPr>
      <w:spacing w:after="120" w:line="480" w:lineRule="auto"/>
    </w:pPr>
  </w:style>
  <w:style w:type="paragraph" w:styleId="731">
    <w:name w:val="Title"/>
    <w:basedOn w:val="694"/>
    <w:next w:val="694"/>
    <w:link w:val="794"/>
    <w:uiPriority w:val="10"/>
    <w:qFormat/>
    <w:pPr>
      <w:contextualSpacing/>
      <w:spacing w:before="300" w:after="200"/>
    </w:pPr>
    <w:rPr>
      <w:sz w:val="48"/>
      <w:szCs w:val="48"/>
    </w:rPr>
  </w:style>
  <w:style w:type="paragraph" w:styleId="732">
    <w:name w:val="Body Text First Indent 2"/>
    <w:basedOn w:val="711"/>
    <w:uiPriority w:val="99"/>
    <w:semiHidden/>
    <w:unhideWhenUsed/>
    <w:qFormat/>
    <w:pPr>
      <w:ind w:firstLine="420"/>
    </w:p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标题 31"/>
    <w:basedOn w:val="694"/>
    <w:next w:val="694"/>
    <w:link w:val="921"/>
    <w:uiPriority w:val="0"/>
    <w:qFormat/>
    <w:pPr>
      <w:keepLines/>
      <w:keepNext/>
      <w:spacing w:before="260" w:after="260" w:line="416" w:lineRule="auto"/>
      <w:outlineLvl w:val="2"/>
    </w:pPr>
    <w:rPr>
      <w:rFonts w:ascii="Calibri" w:hAnsi="Calibri"/>
      <w:b/>
      <w:bCs/>
      <w:sz w:val="32"/>
      <w:szCs w:val="32"/>
    </w:rPr>
  </w:style>
  <w:style w:type="paragraph" w:styleId="738" w:customStyle="1">
    <w:name w:val="ListBullet2"/>
    <w:basedOn w:val="694"/>
    <w:uiPriority w:val="0"/>
    <w:qFormat/>
    <w:pPr>
      <w:numPr>
        <w:ilvl w:val="0"/>
        <w:numId w:val="2"/>
      </w:numPr>
    </w:pPr>
  </w:style>
  <w:style w:type="paragraph" w:styleId="739" w:customStyle="1">
    <w:name w:val="正文（缩进）"/>
    <w:basedOn w:val="694"/>
    <w:next w:val="740"/>
    <w:uiPriority w:val="0"/>
    <w:qFormat/>
    <w:pPr>
      <w:ind w:firstLine="480"/>
    </w:pPr>
  </w:style>
  <w:style w:type="paragraph" w:styleId="740" w:customStyle="1">
    <w:name w:val="Char Char Char Char Char Char Char Char Char"/>
    <w:basedOn w:val="694"/>
    <w:next w:val="741"/>
    <w:uiPriority w:val="99"/>
    <w:qFormat/>
    <w:pPr>
      <w:ind w:left="360" w:firstLine="5784"/>
    </w:pPr>
  </w:style>
  <w:style w:type="paragraph" w:styleId="741" w:customStyle="1">
    <w:name w:val="正文文本 21"/>
    <w:basedOn w:val="694"/>
    <w:next w:val="742"/>
    <w:uiPriority w:val="99"/>
    <w:qFormat/>
    <w:pPr>
      <w:ind w:left="720" w:firstLine="5680"/>
      <w:widowControl/>
    </w:pPr>
  </w:style>
  <w:style w:type="paragraph" w:styleId="742" w:customStyle="1">
    <w:name w:val="默认段落字体 Para Char Char Char Char Char Char Char"/>
    <w:basedOn w:val="694"/>
    <w:next w:val="743"/>
    <w:uiPriority w:val="99"/>
    <w:qFormat/>
    <w:pPr>
      <w:ind w:firstLine="200"/>
    </w:pPr>
    <w:rPr>
      <w:rFonts w:cs="Arial"/>
    </w:rPr>
  </w:style>
  <w:style w:type="paragraph" w:styleId="743" w:customStyle="1">
    <w:name w:val="样式 首行缩进:  2 字符"/>
    <w:basedOn w:val="694"/>
    <w:next w:val="744"/>
    <w:uiPriority w:val="99"/>
    <w:qFormat/>
    <w:pPr>
      <w:ind w:left="480" w:firstLine="5856"/>
      <w:spacing w:line="360" w:lineRule="auto"/>
    </w:pPr>
  </w:style>
  <w:style w:type="paragraph" w:styleId="744" w:customStyle="1">
    <w:name w:val="样式 段后: 0.25 行"/>
    <w:basedOn w:val="694"/>
    <w:next w:val="745"/>
    <w:uiPriority w:val="99"/>
    <w:qFormat/>
    <w:pPr>
      <w:ind w:left="420" w:firstLine="5796"/>
      <w:spacing w:line="300" w:lineRule="auto"/>
      <w:widowControl/>
    </w:pPr>
  </w:style>
  <w:style w:type="paragraph" w:styleId="745" w:customStyle="1">
    <w:name w:val="正文 New New New New New New New New New New New New New New"/>
    <w:next w:val="729"/>
    <w:uiPriority w:val="99"/>
    <w:qFormat/>
    <w:pPr>
      <w:ind w:firstLine="2048"/>
      <w:jc w:val="both"/>
      <w:widowControl w:val="off"/>
    </w:pPr>
    <w:rPr>
      <w:rFonts w:ascii="Calibri" w:hAnsi="Calibri" w:eastAsia="宋体" w:cs="Times New Roman"/>
      <w:lang w:val="en-US" w:eastAsia="zh-CN" w:bidi="ar-SA"/>
    </w:rPr>
  </w:style>
  <w:style w:type="character" w:styleId="746" w:customStyle="1">
    <w:name w:val="Heading 1 Char"/>
    <w:basedOn w:val="704"/>
    <w:uiPriority w:val="9"/>
    <w:qFormat/>
    <w:rPr>
      <w:rFonts w:ascii="Arial" w:hAnsi="Arial" w:eastAsia="Arial" w:cs="Arial"/>
      <w:sz w:val="40"/>
      <w:szCs w:val="40"/>
    </w:rPr>
  </w:style>
  <w:style w:type="character" w:styleId="747" w:customStyle="1">
    <w:name w:val="Heading 2 Char"/>
    <w:basedOn w:val="704"/>
    <w:uiPriority w:val="9"/>
    <w:qFormat/>
    <w:rPr>
      <w:rFonts w:ascii="Arial" w:hAnsi="Arial" w:eastAsia="Arial" w:cs="Arial"/>
      <w:sz w:val="34"/>
    </w:rPr>
  </w:style>
  <w:style w:type="character" w:styleId="748" w:customStyle="1">
    <w:name w:val="Heading 3 Char"/>
    <w:basedOn w:val="704"/>
    <w:uiPriority w:val="9"/>
    <w:qFormat/>
    <w:rPr>
      <w:rFonts w:ascii="Arial" w:hAnsi="Arial" w:eastAsia="Arial" w:cs="Arial"/>
      <w:sz w:val="30"/>
      <w:szCs w:val="30"/>
    </w:rPr>
  </w:style>
  <w:style w:type="character" w:styleId="749" w:customStyle="1">
    <w:name w:val="Heading 4 Char"/>
    <w:basedOn w:val="704"/>
    <w:uiPriority w:val="9"/>
    <w:qFormat/>
    <w:rPr>
      <w:rFonts w:ascii="Arial" w:hAnsi="Arial" w:eastAsia="Arial" w:cs="Arial"/>
      <w:b/>
      <w:bCs/>
      <w:sz w:val="26"/>
      <w:szCs w:val="26"/>
    </w:rPr>
  </w:style>
  <w:style w:type="character" w:styleId="750" w:customStyle="1">
    <w:name w:val="Heading 5 Char"/>
    <w:basedOn w:val="704"/>
    <w:uiPriority w:val="9"/>
    <w:qFormat/>
    <w:rPr>
      <w:rFonts w:ascii="Arial" w:hAnsi="Arial" w:eastAsia="Arial" w:cs="Arial"/>
      <w:b/>
      <w:bCs/>
      <w:sz w:val="24"/>
      <w:szCs w:val="24"/>
    </w:rPr>
  </w:style>
  <w:style w:type="character" w:styleId="751" w:customStyle="1">
    <w:name w:val="Heading 6 Char"/>
    <w:basedOn w:val="704"/>
    <w:uiPriority w:val="9"/>
    <w:qFormat/>
    <w:rPr>
      <w:rFonts w:ascii="Arial" w:hAnsi="Arial" w:eastAsia="Arial" w:cs="Arial"/>
      <w:b/>
      <w:bCs/>
      <w:sz w:val="22"/>
      <w:szCs w:val="22"/>
    </w:rPr>
  </w:style>
  <w:style w:type="character" w:styleId="752" w:customStyle="1">
    <w:name w:val="Heading 7 Char"/>
    <w:basedOn w:val="704"/>
    <w:uiPriority w:val="9"/>
    <w:qFormat/>
    <w:rPr>
      <w:rFonts w:ascii="Arial" w:hAnsi="Arial" w:eastAsia="Arial" w:cs="Arial"/>
      <w:b/>
      <w:bCs/>
      <w:i/>
      <w:iCs/>
      <w:sz w:val="22"/>
      <w:szCs w:val="22"/>
    </w:rPr>
  </w:style>
  <w:style w:type="character" w:styleId="753" w:customStyle="1">
    <w:name w:val="Heading 8 Char"/>
    <w:basedOn w:val="704"/>
    <w:uiPriority w:val="9"/>
    <w:qFormat/>
    <w:rPr>
      <w:rFonts w:ascii="Arial" w:hAnsi="Arial" w:eastAsia="Arial" w:cs="Arial"/>
      <w:i/>
      <w:iCs/>
      <w:sz w:val="22"/>
      <w:szCs w:val="22"/>
    </w:rPr>
  </w:style>
  <w:style w:type="character" w:styleId="754" w:customStyle="1">
    <w:name w:val="Heading 9 Char"/>
    <w:basedOn w:val="704"/>
    <w:uiPriority w:val="9"/>
    <w:qFormat/>
    <w:rPr>
      <w:rFonts w:ascii="Arial" w:hAnsi="Arial" w:eastAsia="Arial" w:cs="Arial"/>
      <w:i/>
      <w:iCs/>
      <w:sz w:val="21"/>
      <w:szCs w:val="21"/>
    </w:rPr>
  </w:style>
  <w:style w:type="character" w:styleId="755" w:customStyle="1">
    <w:name w:val="Title Char"/>
    <w:basedOn w:val="704"/>
    <w:uiPriority w:val="10"/>
    <w:qFormat/>
    <w:rPr>
      <w:sz w:val="48"/>
      <w:szCs w:val="48"/>
    </w:rPr>
  </w:style>
  <w:style w:type="character" w:styleId="756" w:customStyle="1">
    <w:name w:val="Subtitle Char"/>
    <w:basedOn w:val="704"/>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704"/>
    <w:uiPriority w:val="99"/>
    <w:qFormat/>
  </w:style>
  <w:style w:type="character" w:styleId="760" w:customStyle="1">
    <w:name w:val="Caption Char"/>
    <w:uiPriority w:val="99"/>
    <w:qFormat/>
  </w:style>
  <w:style w:type="table" w:styleId="761"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7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70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清单表 6 彩色1"/>
    <w:basedOn w:val="70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清单表 7 彩色1"/>
    <w:basedOn w:val="70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
    <w:uiPriority w:val="39"/>
    <w:unhideWhenUsed/>
    <w:qFormat/>
    <w:rPr>
      <w:rFonts w:ascii="Times New Roman" w:hAnsi="Times New Roman" w:eastAsia="宋体" w:cs="Times New Roman"/>
      <w:lang w:val="en-US" w:eastAsia="zh-CN" w:bidi="ar-SA"/>
    </w:rPr>
  </w:style>
  <w:style w:type="character" w:styleId="783" w:customStyle="1">
    <w:name w:val="标题 1 字符"/>
    <w:link w:val="695"/>
    <w:uiPriority w:val="9"/>
    <w:qFormat/>
    <w:rPr>
      <w:rFonts w:ascii="Arial" w:hAnsi="Arial" w:eastAsia="Arial" w:cs="Arial"/>
      <w:sz w:val="40"/>
      <w:szCs w:val="40"/>
    </w:rPr>
  </w:style>
  <w:style w:type="character" w:styleId="784" w:customStyle="1">
    <w:name w:val="标题 2 字符"/>
    <w:link w:val="696"/>
    <w:uiPriority w:val="9"/>
    <w:qFormat/>
    <w:rPr>
      <w:rFonts w:ascii="Arial" w:hAnsi="Arial" w:eastAsia="Arial" w:cs="Arial"/>
      <w:sz w:val="34"/>
    </w:rPr>
  </w:style>
  <w:style w:type="character" w:styleId="785" w:customStyle="1">
    <w:name w:val="标题 3 字符"/>
    <w:link w:val="697"/>
    <w:uiPriority w:val="9"/>
    <w:qFormat/>
    <w:rPr>
      <w:rFonts w:ascii="Arial" w:hAnsi="Arial" w:eastAsia="Arial" w:cs="Arial"/>
      <w:sz w:val="30"/>
      <w:szCs w:val="30"/>
    </w:rPr>
  </w:style>
  <w:style w:type="character" w:styleId="786" w:customStyle="1">
    <w:name w:val="标题 4 字符"/>
    <w:link w:val="698"/>
    <w:uiPriority w:val="9"/>
    <w:qFormat/>
    <w:rPr>
      <w:rFonts w:ascii="Arial" w:hAnsi="Arial" w:eastAsia="Arial" w:cs="Arial"/>
      <w:b/>
      <w:bCs/>
      <w:sz w:val="26"/>
      <w:szCs w:val="26"/>
    </w:rPr>
  </w:style>
  <w:style w:type="character" w:styleId="787" w:customStyle="1">
    <w:name w:val="标题 5 字符"/>
    <w:link w:val="699"/>
    <w:uiPriority w:val="9"/>
    <w:qFormat/>
    <w:rPr>
      <w:rFonts w:ascii="Arial" w:hAnsi="Arial" w:eastAsia="Arial" w:cs="Arial"/>
      <w:b/>
      <w:bCs/>
      <w:sz w:val="24"/>
      <w:szCs w:val="24"/>
    </w:rPr>
  </w:style>
  <w:style w:type="character" w:styleId="788" w:customStyle="1">
    <w:name w:val="标题 6 字符"/>
    <w:link w:val="700"/>
    <w:uiPriority w:val="9"/>
    <w:qFormat/>
    <w:rPr>
      <w:rFonts w:ascii="Arial" w:hAnsi="Arial" w:eastAsia="Arial" w:cs="Arial"/>
      <w:b/>
      <w:bCs/>
      <w:sz w:val="22"/>
      <w:szCs w:val="22"/>
    </w:rPr>
  </w:style>
  <w:style w:type="character" w:styleId="789" w:customStyle="1">
    <w:name w:val="标题 7 字符"/>
    <w:link w:val="701"/>
    <w:uiPriority w:val="9"/>
    <w:qFormat/>
    <w:rPr>
      <w:rFonts w:ascii="Arial" w:hAnsi="Arial" w:eastAsia="Arial" w:cs="Arial"/>
      <w:b/>
      <w:bCs/>
      <w:i/>
      <w:iCs/>
      <w:sz w:val="22"/>
      <w:szCs w:val="22"/>
    </w:rPr>
  </w:style>
  <w:style w:type="character" w:styleId="790" w:customStyle="1">
    <w:name w:val="标题 8 字符"/>
    <w:link w:val="702"/>
    <w:uiPriority w:val="9"/>
    <w:qFormat/>
    <w:rPr>
      <w:rFonts w:ascii="Arial" w:hAnsi="Arial" w:eastAsia="Arial" w:cs="Arial"/>
      <w:i/>
      <w:iCs/>
      <w:sz w:val="22"/>
      <w:szCs w:val="22"/>
    </w:rPr>
  </w:style>
  <w:style w:type="character" w:styleId="791" w:customStyle="1">
    <w:name w:val="标题 9 字符"/>
    <w:link w:val="703"/>
    <w:uiPriority w:val="9"/>
    <w:qFormat/>
    <w:rPr>
      <w:rFonts w:ascii="Arial" w:hAnsi="Arial" w:eastAsia="Arial" w:cs="Arial"/>
      <w:i/>
      <w:iCs/>
      <w:sz w:val="21"/>
      <w:szCs w:val="21"/>
    </w:rPr>
  </w:style>
  <w:style w:type="paragraph" w:styleId="792">
    <w:name w:val="List Paragraph"/>
    <w:basedOn w:val="694"/>
    <w:uiPriority w:val="34"/>
    <w:qFormat/>
    <w:pPr>
      <w:contextualSpacing/>
      <w:ind w:left="720"/>
    </w:pPr>
  </w:style>
  <w:style w:type="paragraph" w:styleId="793">
    <w:name w:val="No Spacing"/>
    <w:uiPriority w:val="1"/>
    <w:qFormat/>
    <w:rPr>
      <w:rFonts w:ascii="Times New Roman" w:hAnsi="Times New Roman" w:eastAsia="宋体" w:cs="Times New Roman"/>
      <w:lang w:val="en-US" w:eastAsia="zh-CN" w:bidi="ar-SA"/>
    </w:rPr>
  </w:style>
  <w:style w:type="character" w:styleId="794" w:customStyle="1">
    <w:name w:val="标题 字符"/>
    <w:link w:val="731"/>
    <w:uiPriority w:val="10"/>
    <w:qFormat/>
    <w:rPr>
      <w:sz w:val="48"/>
      <w:szCs w:val="48"/>
    </w:rPr>
  </w:style>
  <w:style w:type="character" w:styleId="795" w:customStyle="1">
    <w:name w:val="副标题 字符"/>
    <w:link w:val="724"/>
    <w:uiPriority w:val="11"/>
    <w:qFormat/>
    <w:rPr>
      <w:sz w:val="24"/>
      <w:szCs w:val="24"/>
    </w:rPr>
  </w:style>
  <w:style w:type="paragraph" w:styleId="796">
    <w:name w:val="Quote"/>
    <w:basedOn w:val="694"/>
    <w:next w:val="694"/>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694"/>
    <w:next w:val="694"/>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页眉 字符"/>
    <w:link w:val="721"/>
    <w:uiPriority w:val="99"/>
    <w:qFormat/>
  </w:style>
  <w:style w:type="character" w:styleId="801" w:customStyle="1">
    <w:name w:val="Footer Char"/>
    <w:uiPriority w:val="99"/>
    <w:qFormat/>
  </w:style>
  <w:style w:type="character" w:styleId="802" w:customStyle="1">
    <w:name w:val="页脚 字符"/>
    <w:link w:val="720"/>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25"/>
    <w:uiPriority w:val="99"/>
    <w:qFormat/>
    <w:rPr>
      <w:sz w:val="18"/>
    </w:rPr>
  </w:style>
  <w:style w:type="character" w:styleId="910" w:customStyle="1">
    <w:name w:val="尾注文本 字符"/>
    <w:link w:val="718"/>
    <w:uiPriority w:val="99"/>
    <w:qFormat/>
    <w:rPr>
      <w:sz w:val="20"/>
    </w:rPr>
  </w:style>
  <w:style w:type="paragraph" w:styleId="911" w:customStyle="1">
    <w:name w:val="TOC 标题11"/>
    <w:uiPriority w:val="39"/>
    <w:unhideWhenUsed/>
    <w:qFormat/>
    <w:rPr>
      <w:rFonts w:ascii="Times New Roman" w:hAnsi="Times New Roman" w:eastAsia="宋体" w:cs="Times New Roman"/>
      <w:lang w:val="en-US" w:eastAsia="zh-CN" w:bidi="ar-SA"/>
    </w:rPr>
  </w:style>
  <w:style w:type="paragraph" w:styleId="912" w:customStyle="1">
    <w:name w:val="标题 11"/>
    <w:basedOn w:val="694"/>
    <w:next w:val="694"/>
    <w:link w:val="919"/>
    <w:uiPriority w:val="0"/>
    <w:qFormat/>
    <w:pPr>
      <w:keepLines/>
      <w:keepNext/>
      <w:spacing w:before="340" w:after="330" w:line="578" w:lineRule="auto"/>
      <w:outlineLvl w:val="0"/>
    </w:pPr>
    <w:rPr>
      <w:rFonts w:ascii="Calibri" w:hAnsi="Calibri"/>
      <w:b/>
      <w:bCs/>
      <w:sz w:val="44"/>
      <w:szCs w:val="44"/>
    </w:rPr>
  </w:style>
  <w:style w:type="paragraph" w:styleId="913" w:customStyle="1">
    <w:name w:val="标题 21"/>
    <w:basedOn w:val="694"/>
    <w:next w:val="914"/>
    <w:link w:val="920"/>
    <w:uiPriority w:val="0"/>
    <w:qFormat/>
    <w:pPr>
      <w:keepLines/>
      <w:keepNext/>
      <w:spacing w:before="260" w:after="260" w:line="416" w:lineRule="auto"/>
      <w:outlineLvl w:val="1"/>
    </w:pPr>
    <w:rPr>
      <w:rFonts w:ascii="Cambria" w:hAnsi="Cambria"/>
      <w:b/>
      <w:bCs/>
      <w:sz w:val="32"/>
      <w:szCs w:val="32"/>
    </w:rPr>
  </w:style>
  <w:style w:type="paragraph" w:styleId="914" w:customStyle="1">
    <w:name w:val="正文缩进1"/>
    <w:basedOn w:val="694"/>
    <w:uiPriority w:val="0"/>
    <w:qFormat/>
    <w:pPr>
      <w:ind w:firstLine="420"/>
    </w:pPr>
    <w:rPr>
      <w:rFonts w:ascii="Calibri" w:hAnsi="Calibri"/>
    </w:rPr>
  </w:style>
  <w:style w:type="paragraph" w:styleId="915" w:customStyle="1">
    <w:name w:val="标题 41"/>
    <w:basedOn w:val="694"/>
    <w:next w:val="914"/>
    <w:link w:val="922"/>
    <w:uiPriority w:val="0"/>
    <w:qFormat/>
    <w:pPr>
      <w:spacing w:before="280" w:after="290" w:line="377" w:lineRule="auto"/>
      <w:outlineLvl w:val="3"/>
    </w:pPr>
    <w:rPr>
      <w:rFonts w:ascii="Arial" w:hAnsi="Arial" w:eastAsia="黑体"/>
      <w:b/>
      <w:bCs/>
      <w:sz w:val="28"/>
      <w:szCs w:val="28"/>
    </w:rPr>
  </w:style>
  <w:style w:type="character" w:styleId="916" w:customStyle="1">
    <w:name w:val="默认段落字体1"/>
    <w:uiPriority w:val="0"/>
    <w:qFormat/>
    <w:rPr>
      <w:rFonts w:ascii="Times New Roman" w:hAnsi="Times New Roman" w:eastAsia="宋体" w:cs="Times New Roman"/>
    </w:rPr>
  </w:style>
  <w:style w:type="table" w:styleId="917" w:customStyle="1">
    <w:name w:val="普通表格1"/>
    <w:uiPriority w:val="0"/>
    <w:qFormat/>
    <w:tblPr>
      <w:tblCellMar>
        <w:left w:w="0" w:type="dxa"/>
        <w:top w:w="0" w:type="dxa"/>
        <w:right w:w="0" w:type="dxa"/>
        <w:bottom w:w="0" w:type="dxa"/>
      </w:tblCellMar>
    </w:tblPr>
  </w:style>
  <w:style w:type="paragraph" w:styleId="918" w:customStyle="1">
    <w:name w:val="文本块1"/>
    <w:basedOn w:val="694"/>
    <w:uiPriority w:val="99"/>
    <w:unhideWhenUsed/>
    <w:qFormat/>
    <w:pPr>
      <w:ind w:left="1440" w:right="1440"/>
      <w:spacing w:after="120"/>
    </w:pPr>
  </w:style>
  <w:style w:type="character" w:styleId="919" w:customStyle="1">
    <w:name w:val="标题 1 Char"/>
    <w:link w:val="912"/>
    <w:uiPriority w:val="0"/>
    <w:qFormat/>
    <w:rPr>
      <w:rFonts w:ascii="Calibri" w:hAnsi="Calibri" w:eastAsia="宋体" w:cs="Times New Roman"/>
      <w:b/>
      <w:bCs/>
      <w:sz w:val="44"/>
      <w:szCs w:val="44"/>
    </w:rPr>
  </w:style>
  <w:style w:type="character" w:styleId="920" w:customStyle="1">
    <w:name w:val="标题 2 Char"/>
    <w:link w:val="913"/>
    <w:uiPriority w:val="0"/>
    <w:qFormat/>
    <w:rPr>
      <w:rFonts w:ascii="Cambria" w:hAnsi="Cambria" w:eastAsia="宋体" w:cs="Times New Roman"/>
      <w:b/>
      <w:bCs/>
      <w:sz w:val="32"/>
      <w:szCs w:val="32"/>
    </w:rPr>
  </w:style>
  <w:style w:type="character" w:styleId="921" w:customStyle="1">
    <w:name w:val="标题 3 Char"/>
    <w:link w:val="737"/>
    <w:uiPriority w:val="0"/>
    <w:qFormat/>
    <w:rPr>
      <w:rFonts w:ascii="Calibri" w:hAnsi="Calibri" w:eastAsia="宋体" w:cs="Times New Roman"/>
      <w:b/>
      <w:bCs/>
      <w:sz w:val="32"/>
      <w:szCs w:val="32"/>
    </w:rPr>
  </w:style>
  <w:style w:type="character" w:styleId="922" w:customStyle="1">
    <w:name w:val="标题 4 Char"/>
    <w:link w:val="915"/>
    <w:uiPriority w:val="0"/>
    <w:qFormat/>
    <w:rPr>
      <w:rFonts w:ascii="Arial" w:hAnsi="Arial" w:eastAsia="黑体" w:cs="Times New Roman"/>
      <w:b/>
      <w:bCs/>
      <w:sz w:val="28"/>
      <w:szCs w:val="28"/>
    </w:rPr>
  </w:style>
  <w:style w:type="paragraph" w:styleId="923" w:customStyle="1">
    <w:name w:val="文档结构图1"/>
    <w:basedOn w:val="694"/>
    <w:link w:val="924"/>
    <w:uiPriority w:val="0"/>
    <w:qFormat/>
    <w:rPr>
      <w:rFonts w:ascii="宋体"/>
      <w:sz w:val="18"/>
      <w:szCs w:val="18"/>
    </w:rPr>
  </w:style>
  <w:style w:type="character" w:styleId="924" w:customStyle="1">
    <w:name w:val="文档结构图 Char"/>
    <w:link w:val="923"/>
    <w:uiPriority w:val="0"/>
    <w:qFormat/>
    <w:rPr>
      <w:rFonts w:ascii="宋体" w:hAnsi="Times New Roman" w:eastAsia="宋体" w:cs="Times New Roman"/>
      <w:sz w:val="18"/>
      <w:szCs w:val="18"/>
    </w:rPr>
  </w:style>
  <w:style w:type="paragraph" w:styleId="925" w:customStyle="1">
    <w:name w:val="引文目录标题1"/>
    <w:basedOn w:val="694"/>
    <w:next w:val="694"/>
    <w:uiPriority w:val="0"/>
    <w:qFormat/>
    <w:pPr>
      <w:spacing w:before="120"/>
    </w:pPr>
    <w:rPr>
      <w:rFonts w:ascii="Cambria" w:hAnsi="Cambria"/>
      <w:sz w:val="24"/>
    </w:rPr>
  </w:style>
  <w:style w:type="paragraph" w:styleId="926" w:customStyle="1">
    <w:name w:val="批注文字1"/>
    <w:basedOn w:val="694"/>
    <w:uiPriority w:val="0"/>
    <w:qFormat/>
    <w:pPr>
      <w:jc w:val="left"/>
    </w:pPr>
  </w:style>
  <w:style w:type="paragraph" w:styleId="927" w:customStyle="1">
    <w:name w:val="正文文本11"/>
    <w:basedOn w:val="694"/>
    <w:next w:val="694"/>
    <w:uiPriority w:val="0"/>
    <w:qFormat/>
    <w:rPr>
      <w:rFonts w:ascii="楷体_GB2312" w:hAnsi="Arial" w:eastAsia="楷体_GB2312"/>
      <w:sz w:val="28"/>
      <w:szCs w:val="28"/>
    </w:rPr>
  </w:style>
  <w:style w:type="paragraph" w:styleId="928" w:customStyle="1">
    <w:name w:val="正文文本缩进1"/>
    <w:basedOn w:val="694"/>
    <w:next w:val="694"/>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29" w:customStyle="1">
    <w:name w:val="纯文本1"/>
    <w:basedOn w:val="694"/>
    <w:link w:val="930"/>
    <w:uiPriority w:val="0"/>
    <w:qFormat/>
    <w:rPr>
      <w:rFonts w:ascii="宋体" w:hAnsi="Courier New"/>
      <w:sz w:val="20"/>
      <w:szCs w:val="20"/>
    </w:rPr>
  </w:style>
  <w:style w:type="character" w:styleId="930" w:customStyle="1">
    <w:name w:val="纯文本 Char"/>
    <w:link w:val="929"/>
    <w:uiPriority w:val="0"/>
    <w:qFormat/>
    <w:rPr>
      <w:rFonts w:ascii="宋体" w:hAnsi="Courier New" w:eastAsia="宋体" w:cs="Times New Roman"/>
    </w:rPr>
  </w:style>
  <w:style w:type="paragraph" w:styleId="931" w:customStyle="1">
    <w:name w:val="日期1"/>
    <w:basedOn w:val="694"/>
    <w:next w:val="694"/>
    <w:link w:val="932"/>
    <w:uiPriority w:val="0"/>
    <w:qFormat/>
    <w:rPr>
      <w:sz w:val="24"/>
      <w:szCs w:val="20"/>
    </w:rPr>
  </w:style>
  <w:style w:type="character" w:styleId="932" w:customStyle="1">
    <w:name w:val="日期 Char"/>
    <w:link w:val="931"/>
    <w:uiPriority w:val="0"/>
    <w:qFormat/>
    <w:rPr>
      <w:rFonts w:ascii="Times New Roman" w:hAnsi="Times New Roman" w:eastAsia="宋体" w:cs="Times New Roman"/>
      <w:sz w:val="24"/>
    </w:rPr>
  </w:style>
  <w:style w:type="paragraph" w:styleId="933" w:customStyle="1">
    <w:name w:val="批注框文本1"/>
    <w:basedOn w:val="694"/>
    <w:link w:val="934"/>
    <w:uiPriority w:val="0"/>
    <w:qFormat/>
    <w:rPr>
      <w:sz w:val="18"/>
      <w:szCs w:val="18"/>
    </w:rPr>
  </w:style>
  <w:style w:type="character" w:styleId="934" w:customStyle="1">
    <w:name w:val="批注框文本 Char"/>
    <w:link w:val="933"/>
    <w:uiPriority w:val="0"/>
    <w:qFormat/>
    <w:rPr>
      <w:rFonts w:ascii="Times New Roman" w:hAnsi="Times New Roman" w:eastAsia="宋体" w:cs="Times New Roman"/>
      <w:sz w:val="18"/>
      <w:szCs w:val="18"/>
    </w:rPr>
  </w:style>
  <w:style w:type="paragraph" w:styleId="935" w:customStyle="1">
    <w:name w:val="页脚1"/>
    <w:basedOn w:val="694"/>
    <w:link w:val="936"/>
    <w:uiPriority w:val="0"/>
    <w:qFormat/>
    <w:pPr>
      <w:jc w:val="left"/>
      <w:tabs>
        <w:tab w:val="center" w:pos="4153" w:leader="none"/>
        <w:tab w:val="right" w:pos="8306" w:leader="none"/>
      </w:tabs>
    </w:pPr>
    <w:rPr>
      <w:sz w:val="18"/>
      <w:szCs w:val="18"/>
    </w:rPr>
  </w:style>
  <w:style w:type="character" w:styleId="936" w:customStyle="1">
    <w:name w:val="页脚 Char"/>
    <w:link w:val="935"/>
    <w:uiPriority w:val="0"/>
    <w:qFormat/>
    <w:rPr>
      <w:rFonts w:ascii="Times New Roman" w:hAnsi="Times New Roman" w:eastAsia="宋体" w:cs="Times New Roman"/>
      <w:sz w:val="18"/>
      <w:szCs w:val="18"/>
    </w:rPr>
  </w:style>
  <w:style w:type="paragraph" w:styleId="937" w:customStyle="1">
    <w:name w:val="寄信人地址1"/>
    <w:basedOn w:val="694"/>
    <w:uiPriority w:val="0"/>
    <w:qFormat/>
    <w:rPr>
      <w:rFonts w:ascii="Arial" w:hAnsi="Arial"/>
    </w:rPr>
  </w:style>
  <w:style w:type="paragraph" w:styleId="938" w:customStyle="1">
    <w:name w:val="页眉1"/>
    <w:basedOn w:val="694"/>
    <w:link w:val="939"/>
    <w:uiPriority w:val="0"/>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0"/>
    <w:qFormat/>
    <w:rPr>
      <w:rFonts w:ascii="Times New Roman" w:hAnsi="Times New Roman" w:eastAsia="宋体" w:cs="Times New Roman"/>
      <w:sz w:val="18"/>
      <w:szCs w:val="18"/>
    </w:rPr>
  </w:style>
  <w:style w:type="paragraph" w:styleId="940" w:customStyle="1">
    <w:name w:val="目录 11"/>
    <w:basedOn w:val="694"/>
    <w:next w:val="694"/>
    <w:uiPriority w:val="0"/>
    <w:qFormat/>
    <w:rPr>
      <w:rFonts w:ascii="Calibri" w:hAnsi="Calibri"/>
    </w:rPr>
  </w:style>
  <w:style w:type="paragraph" w:styleId="941" w:customStyle="1">
    <w:name w:val="目录 21"/>
    <w:basedOn w:val="694"/>
    <w:next w:val="694"/>
    <w:uiPriority w:val="0"/>
    <w:qFormat/>
    <w:pPr>
      <w:ind w:left="420"/>
    </w:pPr>
  </w:style>
  <w:style w:type="paragraph" w:styleId="942" w:customStyle="1">
    <w:name w:val="普通(网站)1"/>
    <w:basedOn w:val="694"/>
    <w:uiPriority w:val="0"/>
    <w:qFormat/>
    <w:pPr>
      <w:jc w:val="left"/>
    </w:pPr>
    <w:rPr>
      <w:rFonts w:ascii="Calibri" w:hAnsi="Calibri"/>
      <w:sz w:val="24"/>
      <w:szCs w:val="24"/>
    </w:rPr>
  </w:style>
  <w:style w:type="paragraph" w:styleId="943" w:customStyle="1">
    <w:name w:val="正文首行缩进1"/>
    <w:basedOn w:val="927"/>
    <w:next w:val="694"/>
    <w:uiPriority w:val="0"/>
    <w:qFormat/>
    <w:pPr>
      <w:ind w:firstLine="420"/>
    </w:pPr>
  </w:style>
  <w:style w:type="paragraph" w:styleId="944" w:customStyle="1">
    <w:name w:val="正文首行缩进 21"/>
    <w:basedOn w:val="928"/>
    <w:next w:val="943"/>
    <w:uiPriority w:val="0"/>
    <w:qFormat/>
    <w:pPr>
      <w:ind w:firstLine="420"/>
    </w:pPr>
    <w:rPr>
      <w:rFonts w:ascii="Times New Roman" w:cs="宋体"/>
      <w:szCs w:val="21"/>
    </w:rPr>
  </w:style>
  <w:style w:type="character" w:styleId="945" w:customStyle="1">
    <w:name w:val="要点1"/>
    <w:uiPriority w:val="0"/>
    <w:qFormat/>
    <w:rPr>
      <w:rFonts w:ascii="Times New Roman" w:hAnsi="Times New Roman" w:eastAsia="宋体" w:cs="Times New Roman"/>
      <w:b/>
    </w:rPr>
  </w:style>
  <w:style w:type="paragraph" w:styleId="946" w:customStyle="1">
    <w:name w:val="列出段落1"/>
    <w:basedOn w:val="694"/>
    <w:uiPriority w:val="0"/>
    <w:qFormat/>
    <w:pPr>
      <w:ind w:firstLine="420"/>
    </w:pPr>
  </w:style>
  <w:style w:type="paragraph" w:styleId="947" w:customStyle="1">
    <w:name w:val="普通正文"/>
    <w:basedOn w:val="948"/>
    <w:uiPriority w:val="0"/>
    <w:qFormat/>
    <w:pPr>
      <w:ind w:firstLine="480"/>
      <w:spacing w:before="120" w:after="120" w:line="360" w:lineRule="auto"/>
    </w:pPr>
    <w:rPr>
      <w:rFonts w:ascii="Arial" w:hAnsi="Arial"/>
      <w:szCs w:val="24"/>
    </w:rPr>
  </w:style>
  <w:style w:type="paragraph" w:styleId="948" w:customStyle="1">
    <w:name w:val="正文1"/>
    <w:basedOn w:val="694"/>
    <w:next w:val="949"/>
    <w:uiPriority w:val="0"/>
    <w:qFormat/>
    <w:pPr>
      <w:jc w:val="left"/>
      <w:spacing w:line="360" w:lineRule="atLeast"/>
    </w:pPr>
    <w:rPr>
      <w:rFonts w:ascii="宋体" w:hAnsi="Calibri"/>
      <w:sz w:val="24"/>
      <w:szCs w:val="20"/>
    </w:rPr>
  </w:style>
  <w:style w:type="paragraph" w:styleId="949" w:customStyle="1">
    <w:name w:val="正文文本1"/>
    <w:basedOn w:val="948"/>
    <w:next w:val="950"/>
    <w:uiPriority w:val="0"/>
    <w:qFormat/>
    <w:pPr>
      <w:spacing w:after="120"/>
    </w:pPr>
    <w:rPr>
      <w:rFonts w:ascii="Times New Roman" w:hAnsi="Times New Roman"/>
      <w:lang w:eastAsia="en-US"/>
    </w:rPr>
  </w:style>
  <w:style w:type="paragraph" w:styleId="950" w:customStyle="1">
    <w:name w:val="一级条标题"/>
    <w:basedOn w:val="951"/>
    <w:next w:val="953"/>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51" w:customStyle="1">
    <w:name w:val="章标题"/>
    <w:next w:val="95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2" w:customStyle="1">
    <w:name w:val="正文11"/>
    <w:next w:val="948"/>
    <w:uiPriority w:val="0"/>
    <w:qFormat/>
    <w:pPr>
      <w:jc w:val="both"/>
      <w:widowControl w:val="off"/>
    </w:pPr>
    <w:rPr>
      <w:rFonts w:ascii="Times New Roman" w:hAnsi="Times New Roman" w:eastAsia="宋体" w:cs="Times New Roman"/>
      <w:sz w:val="21"/>
      <w:szCs w:val="22"/>
      <w:lang w:val="en-US" w:eastAsia="zh-CN" w:bidi="ar-SA"/>
    </w:rPr>
  </w:style>
  <w:style w:type="paragraph" w:styleId="953" w:customStyle="1">
    <w:name w:val="段"/>
    <w:basedOn w:val="948"/>
    <w:next w:val="952"/>
    <w:uiPriority w:val="0"/>
    <w:qFormat/>
    <w:pPr>
      <w:ind w:firstLine="200"/>
      <w:widowControl/>
    </w:pPr>
    <w:rPr>
      <w:rFonts w:hAnsi="Times New Roman"/>
      <w:sz w:val="20"/>
    </w:rPr>
  </w:style>
  <w:style w:type="paragraph" w:styleId="954" w:customStyle="1">
    <w:name w:val="UserStyle_52"/>
    <w:basedOn w:val="694"/>
    <w:uiPriority w:val="0"/>
    <w:qFormat/>
    <w:pPr>
      <w:spacing w:line="240" w:lineRule="exact"/>
    </w:pPr>
    <w:rPr>
      <w:rFonts w:ascii="宋体" w:hAnsi="宋体"/>
      <w:lang w:val="zh-TW" w:eastAsia="zh-TW" w:bidi="zh-TW"/>
    </w:rPr>
  </w:style>
  <w:style w:type="character" w:styleId="955" w:customStyle="1">
    <w:name w:val="HtmlCite1"/>
    <w:uiPriority w:val="0"/>
    <w:qFormat/>
    <w:rPr>
      <w:rFonts w:ascii="Times New Roman" w:hAnsi="Times New Roman" w:eastAsia="宋体" w:cs="Times New Roman"/>
    </w:rPr>
  </w:style>
  <w:style w:type="paragraph" w:styleId="956" w:customStyle="1">
    <w:name w:val="Table Paragraph"/>
    <w:basedOn w:val="694"/>
    <w:uiPriority w:val="0"/>
    <w:qFormat/>
    <w:rPr>
      <w:rFonts w:ascii="宋体" w:hAnsi="宋体" w:cs="宋体"/>
      <w:sz w:val="22"/>
      <w:lang w:val="zh-CN" w:bidi="zh-CN"/>
    </w:rPr>
  </w:style>
  <w:style w:type="paragraph" w:styleId="957" w:customStyle="1">
    <w:name w:val="ListBullet21"/>
    <w:basedOn w:val="694"/>
    <w:uiPriority w:val="0"/>
    <w:qFormat/>
    <w:pPr>
      <w:numPr>
        <w:ilvl w:val="0"/>
        <w:numId w:val="3"/>
      </w:numPr>
    </w:pPr>
  </w:style>
  <w:style w:type="paragraph" w:styleId="958" w:customStyle="1">
    <w:name w:val="Char"/>
    <w:basedOn w:val="694"/>
    <w:uiPriority w:val="0"/>
    <w:qFormat/>
    <w:pPr>
      <w:ind w:firstLine="200"/>
      <w:tabs>
        <w:tab w:val="left" w:pos="360" w:leader="none"/>
      </w:tabs>
    </w:pPr>
    <w:rPr>
      <w:sz w:val="28"/>
      <w:szCs w:val="30"/>
    </w:rPr>
  </w:style>
  <w:style w:type="character" w:styleId="959" w:customStyle="1">
    <w:name w:val="页脚 Char1"/>
    <w:uiPriority w:val="0"/>
    <w:qFormat/>
    <w:rPr>
      <w:rFonts w:ascii="Times New Roman" w:hAnsi="Times New Roman" w:eastAsia="宋体" w:cs="Times New Roman"/>
      <w:sz w:val="18"/>
      <w:szCs w:val="18"/>
    </w:rPr>
  </w:style>
  <w:style w:type="character" w:styleId="960" w:customStyle="1">
    <w:name w:val="日期 Char1"/>
    <w:uiPriority w:val="0"/>
    <w:qFormat/>
    <w:rPr>
      <w:rFonts w:ascii="Times New Roman" w:hAnsi="Times New Roman" w:eastAsia="宋体" w:cs="Times New Roman"/>
    </w:rPr>
  </w:style>
  <w:style w:type="character" w:styleId="961" w:customStyle="1">
    <w:name w:val="纯文本 Char1"/>
    <w:uiPriority w:val="0"/>
    <w:qFormat/>
    <w:rPr>
      <w:rFonts w:ascii="宋体" w:hAnsi="Courier New" w:eastAsia="宋体" w:cs="Courier New"/>
      <w:szCs w:val="21"/>
    </w:rPr>
  </w:style>
  <w:style w:type="character" w:styleId="962" w:customStyle="1">
    <w:name w:val="页眉 Char1"/>
    <w:uiPriority w:val="0"/>
    <w:qFormat/>
    <w:rPr>
      <w:rFonts w:ascii="Times New Roman" w:hAnsi="Times New Roman" w:eastAsia="宋体" w:cs="Times New Roman"/>
      <w:sz w:val="18"/>
      <w:szCs w:val="18"/>
    </w:rPr>
  </w:style>
  <w:style w:type="paragraph" w:styleId="963"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64" w:customStyle="1">
    <w:name w:val="正文空2格  1."/>
    <w:basedOn w:val="694"/>
    <w:uiPriority w:val="0"/>
    <w:qFormat/>
    <w:pPr>
      <w:ind w:firstLine="480"/>
    </w:pPr>
    <w:rPr>
      <w:rFonts w:cs="宋体"/>
      <w:sz w:val="28"/>
      <w:szCs w:val="20"/>
    </w:rPr>
  </w:style>
  <w:style w:type="paragraph" w:styleId="965"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966"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967" w:customStyle="1">
    <w:name w:val="标题 1 Char Char Char"/>
    <w:uiPriority w:val="0"/>
    <w:qFormat/>
    <w:rPr>
      <w:rFonts w:eastAsia="宋体"/>
      <w:b/>
      <w:bCs/>
      <w:sz w:val="44"/>
      <w:szCs w:val="44"/>
      <w:lang w:val="en-US" w:eastAsia="zh-CN" w:bidi="ar-SA"/>
    </w:rPr>
  </w:style>
  <w:style w:type="paragraph" w:styleId="968"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69"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70" w:customStyle="1">
    <w:name w:val="正文_0_0"/>
    <w:basedOn w:val="971"/>
    <w:uiPriority w:val="0"/>
    <w:qFormat/>
    <w:rPr>
      <w:szCs w:val="21"/>
    </w:rPr>
  </w:style>
  <w:style w:type="paragraph" w:styleId="97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72" w:customStyle="1">
    <w:name w:val="Normal_20"/>
    <w:link w:val="973"/>
    <w:uiPriority w:val="0"/>
    <w:qFormat/>
    <w:pPr>
      <w:jc w:val="both"/>
      <w:spacing w:before="120" w:after="240"/>
    </w:pPr>
    <w:rPr>
      <w:rFonts w:ascii="Times New Roman" w:hAnsi="Times New Roman" w:eastAsia="Calibri" w:cs="Times New Roman"/>
      <w:sz w:val="22"/>
      <w:szCs w:val="22"/>
      <w:lang w:val="en-US" w:eastAsia="en-US" w:bidi="ar-SA"/>
    </w:rPr>
  </w:style>
  <w:style w:type="character" w:styleId="973" w:customStyle="1">
    <w:name w:val="Normal_20 Char"/>
    <w:link w:val="972"/>
    <w:uiPriority w:val="0"/>
    <w:qFormat/>
    <w:rPr>
      <w:rFonts w:ascii="Times New Roman" w:hAnsi="Times New Roman" w:eastAsia="Calibri" w:cs="Times New Roman"/>
      <w:sz w:val="22"/>
      <w:szCs w:val="22"/>
      <w:lang w:val="en-US" w:eastAsia="en-US" w:bidi="ar-SA"/>
    </w:rPr>
  </w:style>
  <w:style w:type="paragraph" w:styleId="974" w:customStyle="1">
    <w:name w:val="Body text|1"/>
    <w:basedOn w:val="694"/>
    <w:uiPriority w:val="0"/>
    <w:qFormat/>
    <w:pPr>
      <w:spacing w:after="220"/>
    </w:pPr>
    <w:rPr>
      <w:rFonts w:ascii="宋体" w:hAnsi="宋体" w:cs="宋体"/>
      <w:sz w:val="22"/>
      <w:lang w:val="zh-TW" w:eastAsia="zh-TW" w:bidi="zh-TW"/>
    </w:rPr>
  </w:style>
  <w:style w:type="character" w:styleId="975" w:customStyle="1">
    <w:name w:val="font21"/>
    <w:basedOn w:val="704"/>
    <w:uiPriority w:val="0"/>
    <w:qFormat/>
    <w:rPr>
      <w:rFonts w:hint="eastAsia" w:ascii="宋体" w:hAnsi="宋体" w:eastAsia="宋体" w:cs="宋体"/>
      <w:color w:val="000000"/>
      <w:sz w:val="20"/>
      <w:szCs w:val="20"/>
      <w:u w:val="none"/>
    </w:rPr>
  </w:style>
  <w:style w:type="character" w:styleId="976" w:customStyle="1">
    <w:name w:val="font31"/>
    <w:basedOn w:val="704"/>
    <w:uiPriority w:val="0"/>
    <w:qFormat/>
    <w:rPr>
      <w:rFonts w:hint="default" w:ascii="Times New Roman" w:hAnsi="Times New Roman" w:cs="Times New Roman"/>
      <w:color w:val="000000"/>
      <w:sz w:val="20"/>
      <w:szCs w:val="20"/>
      <w:u w:val="none"/>
    </w:rPr>
  </w:style>
  <w:style w:type="paragraph" w:styleId="977"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978" w:customStyle="1">
    <w:name w:val="批注框文本 字符"/>
    <w:basedOn w:val="704"/>
    <w:link w:val="719"/>
    <w:uiPriority w:val="99"/>
    <w:semiHidden/>
    <w:qFormat/>
    <w:rPr>
      <w:sz w:val="18"/>
      <w:szCs w:val="18"/>
    </w:rPr>
  </w:style>
  <w:style w:type="paragraph" w:styleId="979" w:customStyle="1">
    <w:name w:val="目录 111"/>
    <w:basedOn w:val="694"/>
    <w:next w:val="694"/>
    <w:uiPriority w:val="39"/>
    <w:unhideWhenUsed/>
    <w:qFormat/>
    <w:pPr>
      <w:jc w:val="left"/>
      <w:spacing w:after="100" w:line="259" w:lineRule="auto"/>
      <w:widowControl/>
    </w:pPr>
    <w:rPr>
      <w:rFonts w:ascii="Calibri" w:hAnsi="Calibri" w:eastAsia="宋体"/>
      <w:sz w:val="22"/>
      <w:szCs w:val="22"/>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林祖超</cp:lastModifiedBy>
  <cp:revision>18</cp:revision>
  <dcterms:created xsi:type="dcterms:W3CDTF">2025-01-13T02:34:00Z</dcterms:created>
  <dcterms:modified xsi:type="dcterms:W3CDTF">2026-08-03T07:30:49Z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70D2B592485A412D81C9D24AC79E4057_13</vt:lpwstr>
  </property>
  <property fmtid="{D5CDD505-2E9C-101B-9397-08002B2CF9AE}" pid="4" name="KSOTemplateDocerSaveRecord">
    <vt:lpwstr>eyJoZGlkIjoiZTVkNzQ3OWEyMTdhMmNjZTE0YWI3MmE4NDZlMmFlODAiLCJ1c2VySWQiOiI0MTk2MzY1OTUifQ==</vt:lpwstr>
  </property>
</Properties>
</file>