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D626A">
      <w:pPr>
        <w:pStyle w:val="10"/>
        <w:shd w:val="clear"/>
        <w:rPr>
          <w:rFonts w:hint="default"/>
          <w:sz w:val="22"/>
        </w:rPr>
      </w:pPr>
      <w:r>
        <w:rPr>
          <w:sz w:val="52"/>
          <w:szCs w:val="52"/>
        </w:rPr>
        <w:t>江苏航运职业技术学院智慧船舶网络安全实践中心</w:t>
      </w:r>
    </w:p>
    <w:p w14:paraId="0E853921">
      <w:pPr>
        <w:pStyle w:val="10"/>
        <w:shd w:val="clear"/>
        <w:rPr>
          <w:rFonts w:hint="default"/>
        </w:rPr>
      </w:pPr>
    </w:p>
    <w:p w14:paraId="27ED5871">
      <w:pPr>
        <w:pStyle w:val="10"/>
        <w:shd w:val="clear"/>
        <w:rPr>
          <w:rFonts w:hint="eastAsia" w:eastAsia="宋体"/>
          <w:lang w:eastAsia="zh-CN"/>
        </w:rPr>
      </w:pPr>
    </w:p>
    <w:p w14:paraId="5766BC65">
      <w:pPr>
        <w:shd w:val="clear"/>
        <w:spacing w:line="360" w:lineRule="auto"/>
        <w:jc w:val="center"/>
        <w:rPr>
          <w:rFonts w:eastAsia="宋体" w:cs="宋体"/>
          <w:b/>
          <w:color w:val="000000"/>
          <w:sz w:val="72"/>
          <w:szCs w:val="72"/>
        </w:rPr>
      </w:pPr>
      <w:r>
        <w:rPr>
          <w:rFonts w:hint="eastAsia" w:eastAsia="宋体" w:cs="宋体"/>
          <w:b/>
          <w:color w:val="000000"/>
          <w:sz w:val="72"/>
          <w:szCs w:val="72"/>
        </w:rPr>
        <w:t xml:space="preserve">公开招标文件            </w:t>
      </w:r>
    </w:p>
    <w:p w14:paraId="1B564443">
      <w:pPr>
        <w:shd w:val="clear"/>
        <w:spacing w:line="360" w:lineRule="auto"/>
        <w:jc w:val="center"/>
        <w:rPr>
          <w:rFonts w:eastAsia="宋体" w:cs="宋体"/>
          <w:b/>
          <w:color w:val="000000"/>
          <w:sz w:val="44"/>
          <w:szCs w:val="44"/>
        </w:rPr>
      </w:pPr>
      <w:r>
        <w:rPr>
          <w:rFonts w:hint="eastAsia" w:eastAsia="宋体" w:cs="宋体"/>
          <w:b/>
          <w:color w:val="000000"/>
          <w:sz w:val="44"/>
          <w:szCs w:val="44"/>
        </w:rPr>
        <w:t>（资格后审）</w:t>
      </w:r>
    </w:p>
    <w:p w14:paraId="57858273">
      <w:pPr>
        <w:shd w:val="clear"/>
        <w:spacing w:line="360" w:lineRule="auto"/>
        <w:jc w:val="center"/>
        <w:rPr>
          <w:rFonts w:hint="eastAsia" w:eastAsia="宋体" w:cs="宋体"/>
          <w:b/>
          <w:color w:val="000000"/>
          <w:sz w:val="30"/>
          <w:szCs w:val="30"/>
          <w:lang w:eastAsia="zh-CN"/>
        </w:rPr>
      </w:pPr>
      <w:r>
        <w:rPr>
          <w:rFonts w:hint="eastAsia" w:eastAsia="宋体" w:cs="宋体"/>
          <w:b/>
          <w:color w:val="000000"/>
          <w:sz w:val="30"/>
          <w:szCs w:val="30"/>
        </w:rPr>
        <w:t>项目编号：</w:t>
      </w:r>
      <w:r>
        <w:rPr>
          <w:rFonts w:hint="eastAsia" w:eastAsia="宋体" w:cs="宋体"/>
          <w:b/>
          <w:color w:val="000000"/>
          <w:sz w:val="30"/>
          <w:szCs w:val="30"/>
          <w:lang w:eastAsia="zh-CN"/>
        </w:rPr>
        <w:t>JSZC-320690-NTJC-G2026-0013</w:t>
      </w:r>
    </w:p>
    <w:p w14:paraId="37EA53E3">
      <w:pPr>
        <w:pStyle w:val="10"/>
        <w:shd w:val="clear"/>
        <w:rPr>
          <w:rFonts w:hint="default"/>
        </w:rPr>
      </w:pPr>
    </w:p>
    <w:p w14:paraId="33A10AB3">
      <w:pPr>
        <w:pStyle w:val="10"/>
        <w:shd w:val="clear"/>
        <w:rPr>
          <w:rFonts w:hint="default"/>
        </w:rPr>
      </w:pPr>
      <w:r>
        <w:rPr>
          <w:sz w:val="36"/>
        </w:rPr>
        <w:tab/>
      </w:r>
    </w:p>
    <w:p w14:paraId="442449B2">
      <w:pPr>
        <w:shd w:val="clear"/>
        <w:spacing w:line="360" w:lineRule="auto"/>
        <w:ind w:firstLine="602"/>
        <w:rPr>
          <w:rFonts w:eastAsia="宋体" w:cs="宋体"/>
          <w:b/>
          <w:color w:val="000000"/>
          <w:sz w:val="30"/>
          <w:szCs w:val="30"/>
        </w:rPr>
      </w:pPr>
    </w:p>
    <w:p w14:paraId="3F2C153E">
      <w:pPr>
        <w:pStyle w:val="13"/>
        <w:shd w:val="clear"/>
        <w:spacing w:line="360" w:lineRule="auto"/>
        <w:ind w:firstLine="643"/>
        <w:jc w:val="center"/>
        <w:rPr>
          <w:rFonts w:ascii="Times New Roman" w:eastAsia="宋体" w:cs="宋体"/>
          <w:b/>
          <w:color w:val="000000"/>
          <w:sz w:val="32"/>
          <w:szCs w:val="32"/>
        </w:rPr>
      </w:pPr>
    </w:p>
    <w:p w14:paraId="1937D4BA">
      <w:pPr>
        <w:pStyle w:val="13"/>
        <w:shd w:val="clear"/>
        <w:spacing w:line="360" w:lineRule="auto"/>
        <w:ind w:firstLine="643" w:firstLineChars="200"/>
        <w:rPr>
          <w:rFonts w:ascii="Times New Roman" w:eastAsia="宋体" w:cs="宋体"/>
          <w:b/>
          <w:color w:val="000000"/>
          <w:sz w:val="32"/>
          <w:szCs w:val="32"/>
        </w:rPr>
      </w:pPr>
    </w:p>
    <w:p w14:paraId="0DE897F3">
      <w:pPr>
        <w:pStyle w:val="13"/>
        <w:shd w:val="clear"/>
        <w:spacing w:line="360" w:lineRule="auto"/>
        <w:ind w:firstLine="643" w:firstLineChars="200"/>
        <w:rPr>
          <w:rFonts w:ascii="Times New Roman" w:eastAsia="宋体" w:cs="宋体"/>
          <w:b/>
          <w:color w:val="000000"/>
          <w:sz w:val="32"/>
          <w:szCs w:val="32"/>
        </w:rPr>
      </w:pPr>
    </w:p>
    <w:p w14:paraId="2F19F77B">
      <w:pPr>
        <w:pStyle w:val="13"/>
        <w:shd w:val="clear"/>
        <w:spacing w:line="360" w:lineRule="auto"/>
        <w:ind w:firstLine="643" w:firstLineChars="200"/>
        <w:rPr>
          <w:rFonts w:ascii="Times New Roman" w:eastAsia="宋体" w:cs="宋体"/>
          <w:b/>
          <w:color w:val="000000"/>
          <w:sz w:val="32"/>
          <w:szCs w:val="32"/>
        </w:rPr>
      </w:pPr>
    </w:p>
    <w:p w14:paraId="1237F7FD">
      <w:pPr>
        <w:pStyle w:val="13"/>
        <w:shd w:val="clear"/>
        <w:spacing w:line="360" w:lineRule="auto"/>
        <w:ind w:firstLine="643" w:firstLineChars="200"/>
        <w:rPr>
          <w:rFonts w:ascii="Times New Roman" w:eastAsia="宋体" w:cs="宋体"/>
          <w:b/>
          <w:color w:val="000000"/>
          <w:sz w:val="32"/>
          <w:szCs w:val="32"/>
        </w:rPr>
      </w:pPr>
      <w:r>
        <w:rPr>
          <w:rFonts w:hint="eastAsia" w:ascii="Times New Roman" w:eastAsia="宋体" w:cs="宋体"/>
          <w:b/>
          <w:color w:val="000000"/>
          <w:sz w:val="32"/>
          <w:szCs w:val="32"/>
        </w:rPr>
        <w:t>采购单位：江苏航运职业技术学院</w:t>
      </w:r>
    </w:p>
    <w:p w14:paraId="08315145">
      <w:pPr>
        <w:shd w:val="clear"/>
        <w:spacing w:line="360" w:lineRule="auto"/>
        <w:ind w:firstLine="643" w:firstLineChars="200"/>
        <w:rPr>
          <w:rFonts w:eastAsia="宋体" w:cs="宋体"/>
          <w:b/>
          <w:color w:val="000000"/>
          <w:sz w:val="32"/>
          <w:szCs w:val="32"/>
        </w:rPr>
      </w:pPr>
      <w:r>
        <w:rPr>
          <w:rFonts w:hint="eastAsia" w:eastAsia="宋体" w:cs="宋体"/>
          <w:b/>
          <w:color w:val="000000"/>
          <w:sz w:val="32"/>
          <w:szCs w:val="32"/>
        </w:rPr>
        <w:t>代理机构：南通建辰工程咨询有限公司</w:t>
      </w:r>
    </w:p>
    <w:p w14:paraId="67078BEC">
      <w:pPr>
        <w:shd w:val="clear"/>
        <w:spacing w:line="360" w:lineRule="auto"/>
        <w:ind w:firstLine="643" w:firstLineChars="200"/>
        <w:rPr>
          <w:rFonts w:eastAsia="宋体" w:cs="宋体"/>
          <w:b/>
          <w:color w:val="000000"/>
          <w:sz w:val="32"/>
          <w:szCs w:val="32"/>
        </w:rPr>
        <w:sectPr>
          <w:headerReference r:id="rId4" w:type="first"/>
          <w:footerReference r:id="rId7" w:type="first"/>
          <w:headerReference r:id="rId3" w:type="default"/>
          <w:footerReference r:id="rId5" w:type="default"/>
          <w:footerReference r:id="rId6" w:type="even"/>
          <w:pgSz w:w="11906" w:h="16838"/>
          <w:pgMar w:top="1588" w:right="1418" w:bottom="1418" w:left="1701" w:header="851" w:footer="964" w:gutter="0"/>
          <w:pgNumType w:start="1"/>
          <w:cols w:space="1701" w:num="1"/>
          <w:titlePg/>
          <w:docGrid w:linePitch="360" w:charSpace="0"/>
        </w:sectPr>
      </w:pPr>
      <w:r>
        <w:rPr>
          <w:rFonts w:hint="eastAsia" w:eastAsia="宋体" w:cs="宋体"/>
          <w:b/>
          <w:color w:val="000000"/>
          <w:sz w:val="32"/>
          <w:szCs w:val="32"/>
        </w:rPr>
        <w:t>日    期：二○二六年</w:t>
      </w:r>
      <w:r>
        <w:rPr>
          <w:rFonts w:hint="eastAsia" w:eastAsia="宋体" w:cs="宋体"/>
          <w:b/>
          <w:color w:val="000000"/>
          <w:sz w:val="32"/>
          <w:szCs w:val="32"/>
          <w:lang w:eastAsia="zh-CN"/>
        </w:rPr>
        <w:t>七</w:t>
      </w:r>
      <w:r>
        <w:rPr>
          <w:rFonts w:hint="eastAsia" w:eastAsia="宋体" w:cs="宋体"/>
          <w:b/>
          <w:color w:val="000000"/>
          <w:sz w:val="32"/>
          <w:szCs w:val="32"/>
        </w:rPr>
        <w:t>月</w:t>
      </w:r>
    </w:p>
    <w:p w14:paraId="278FBDFE">
      <w:pPr>
        <w:pStyle w:val="14"/>
        <w:shd w:val="clear"/>
        <w:spacing w:line="480" w:lineRule="auto"/>
        <w:rPr>
          <w:rFonts w:ascii="Times New Roman" w:hAnsi="Times New Roman"/>
          <w:color w:val="000000"/>
        </w:rPr>
      </w:pPr>
      <w:r>
        <w:rPr>
          <w:rFonts w:hint="eastAsia" w:ascii="Times New Roman" w:hAnsi="Times New Roman"/>
          <w:color w:val="000000"/>
        </w:rPr>
        <w:t>目  录</w:t>
      </w:r>
    </w:p>
    <w:p w14:paraId="50788A45">
      <w:pPr>
        <w:pStyle w:val="13"/>
        <w:shd w:val="clear"/>
        <w:spacing w:line="480" w:lineRule="auto"/>
        <w:ind w:firstLine="640" w:firstLineChars="200"/>
        <w:rPr>
          <w:rFonts w:ascii="Times New Roman" w:eastAsia="宋体" w:cs="宋体"/>
          <w:bCs/>
          <w:color w:val="000000"/>
          <w:sz w:val="32"/>
          <w:szCs w:val="32"/>
        </w:rPr>
      </w:pPr>
    </w:p>
    <w:p w14:paraId="3B5D6078">
      <w:pPr>
        <w:pStyle w:val="13"/>
        <w:shd w:val="clear"/>
        <w:spacing w:line="480" w:lineRule="auto"/>
        <w:ind w:firstLine="643" w:firstLineChars="200"/>
        <w:rPr>
          <w:rFonts w:ascii="Times New Roman" w:eastAsia="宋体" w:cs="宋体"/>
          <w:b/>
          <w:bCs w:val="0"/>
          <w:color w:val="000000"/>
          <w:sz w:val="32"/>
          <w:szCs w:val="32"/>
        </w:rPr>
      </w:pPr>
      <w:r>
        <w:rPr>
          <w:rFonts w:hint="eastAsia" w:ascii="Times New Roman" w:eastAsia="宋体" w:cs="宋体"/>
          <w:b/>
          <w:bCs w:val="0"/>
          <w:color w:val="000000"/>
          <w:sz w:val="32"/>
          <w:szCs w:val="32"/>
        </w:rPr>
        <w:t>第一章  招标公告</w:t>
      </w:r>
    </w:p>
    <w:p w14:paraId="084AA88D">
      <w:pPr>
        <w:pStyle w:val="13"/>
        <w:shd w:val="clear"/>
        <w:spacing w:line="480" w:lineRule="auto"/>
        <w:ind w:firstLine="643" w:firstLineChars="200"/>
        <w:rPr>
          <w:rFonts w:ascii="Times New Roman" w:eastAsia="宋体" w:cs="宋体"/>
          <w:b/>
          <w:bCs w:val="0"/>
          <w:color w:val="000000"/>
          <w:sz w:val="32"/>
          <w:szCs w:val="32"/>
        </w:rPr>
      </w:pPr>
      <w:r>
        <w:rPr>
          <w:rFonts w:hint="eastAsia" w:ascii="Times New Roman" w:eastAsia="宋体" w:cs="宋体"/>
          <w:b/>
          <w:bCs w:val="0"/>
          <w:color w:val="000000"/>
          <w:sz w:val="32"/>
          <w:szCs w:val="32"/>
        </w:rPr>
        <w:t>第二章  投标人须知</w:t>
      </w:r>
    </w:p>
    <w:p w14:paraId="3330CB3E">
      <w:pPr>
        <w:pStyle w:val="13"/>
        <w:shd w:val="clear"/>
        <w:spacing w:line="480" w:lineRule="auto"/>
        <w:ind w:firstLine="643" w:firstLineChars="200"/>
        <w:rPr>
          <w:rFonts w:ascii="Times New Roman" w:eastAsia="宋体" w:cs="宋体"/>
          <w:b/>
          <w:bCs w:val="0"/>
          <w:color w:val="000000"/>
          <w:sz w:val="32"/>
          <w:szCs w:val="32"/>
        </w:rPr>
      </w:pPr>
      <w:r>
        <w:rPr>
          <w:rFonts w:hint="eastAsia" w:ascii="Times New Roman" w:eastAsia="宋体" w:cs="宋体"/>
          <w:b/>
          <w:bCs w:val="0"/>
          <w:color w:val="000000"/>
          <w:sz w:val="32"/>
          <w:szCs w:val="32"/>
        </w:rPr>
        <w:t>第三章  项目需求</w:t>
      </w:r>
    </w:p>
    <w:p w14:paraId="71F1CED4">
      <w:pPr>
        <w:pStyle w:val="13"/>
        <w:shd w:val="clear"/>
        <w:spacing w:line="480" w:lineRule="auto"/>
        <w:ind w:firstLine="643" w:firstLineChars="200"/>
        <w:rPr>
          <w:rFonts w:ascii="Times New Roman" w:eastAsia="宋体" w:cs="宋体"/>
          <w:b/>
          <w:bCs w:val="0"/>
          <w:color w:val="000000"/>
          <w:sz w:val="32"/>
          <w:szCs w:val="32"/>
        </w:rPr>
      </w:pPr>
      <w:r>
        <w:rPr>
          <w:rFonts w:hint="eastAsia" w:ascii="Times New Roman" w:eastAsia="宋体" w:cs="宋体"/>
          <w:b/>
          <w:bCs w:val="0"/>
          <w:color w:val="000000"/>
          <w:sz w:val="32"/>
          <w:szCs w:val="32"/>
        </w:rPr>
        <w:t>第四章  评审方法和程序</w:t>
      </w:r>
    </w:p>
    <w:p w14:paraId="64989BE4">
      <w:pPr>
        <w:pStyle w:val="13"/>
        <w:shd w:val="clear"/>
        <w:spacing w:line="480" w:lineRule="auto"/>
        <w:ind w:firstLine="643" w:firstLineChars="200"/>
        <w:rPr>
          <w:rFonts w:ascii="Times New Roman" w:eastAsia="宋体" w:cs="宋体"/>
          <w:b/>
          <w:bCs w:val="0"/>
          <w:color w:val="000000"/>
          <w:sz w:val="32"/>
          <w:szCs w:val="32"/>
        </w:rPr>
      </w:pPr>
      <w:r>
        <w:rPr>
          <w:rFonts w:hint="eastAsia" w:ascii="Times New Roman" w:eastAsia="宋体" w:cs="宋体"/>
          <w:b/>
          <w:bCs w:val="0"/>
          <w:color w:val="000000"/>
          <w:sz w:val="32"/>
          <w:szCs w:val="32"/>
        </w:rPr>
        <w:t>第五章  合同签订与验收付款</w:t>
      </w:r>
    </w:p>
    <w:p w14:paraId="4DA163DA">
      <w:pPr>
        <w:pStyle w:val="13"/>
        <w:shd w:val="clear"/>
        <w:spacing w:line="480" w:lineRule="auto"/>
        <w:ind w:firstLine="643" w:firstLineChars="200"/>
        <w:rPr>
          <w:rFonts w:ascii="Times New Roman" w:eastAsia="宋体" w:cs="宋体"/>
          <w:b/>
          <w:bCs w:val="0"/>
          <w:color w:val="000000"/>
          <w:sz w:val="32"/>
          <w:szCs w:val="32"/>
        </w:rPr>
      </w:pPr>
      <w:r>
        <w:rPr>
          <w:rFonts w:hint="eastAsia" w:ascii="Times New Roman" w:eastAsia="宋体" w:cs="宋体"/>
          <w:b/>
          <w:bCs w:val="0"/>
          <w:color w:val="000000"/>
          <w:sz w:val="32"/>
          <w:szCs w:val="32"/>
        </w:rPr>
        <w:t>第六章  合同授予</w:t>
      </w:r>
    </w:p>
    <w:p w14:paraId="43807CDC">
      <w:pPr>
        <w:pStyle w:val="13"/>
        <w:shd w:val="clear"/>
        <w:spacing w:line="480" w:lineRule="auto"/>
        <w:ind w:firstLine="643" w:firstLineChars="200"/>
        <w:rPr>
          <w:rFonts w:ascii="Times New Roman" w:eastAsia="宋体" w:cs="宋体"/>
          <w:b/>
          <w:bCs w:val="0"/>
          <w:color w:val="000000"/>
          <w:sz w:val="32"/>
          <w:szCs w:val="32"/>
        </w:rPr>
      </w:pPr>
      <w:r>
        <w:rPr>
          <w:rFonts w:hint="eastAsia" w:ascii="Times New Roman" w:eastAsia="宋体" w:cs="宋体"/>
          <w:b/>
          <w:bCs w:val="0"/>
          <w:color w:val="000000"/>
          <w:sz w:val="32"/>
          <w:szCs w:val="32"/>
        </w:rPr>
        <w:t>第七章  质疑与投诉</w:t>
      </w:r>
    </w:p>
    <w:p w14:paraId="3342D585">
      <w:pPr>
        <w:pStyle w:val="13"/>
        <w:shd w:val="clear"/>
        <w:spacing w:line="480" w:lineRule="auto"/>
        <w:ind w:firstLine="643" w:firstLineChars="200"/>
        <w:rPr>
          <w:rFonts w:ascii="Times New Roman" w:eastAsia="宋体" w:cs="宋体"/>
          <w:bCs/>
          <w:color w:val="000000"/>
          <w:sz w:val="32"/>
          <w:szCs w:val="32"/>
        </w:rPr>
      </w:pPr>
      <w:r>
        <w:rPr>
          <w:rFonts w:hint="eastAsia" w:ascii="Times New Roman" w:eastAsia="宋体" w:cs="宋体"/>
          <w:b/>
          <w:bCs w:val="0"/>
          <w:color w:val="000000"/>
          <w:sz w:val="32"/>
          <w:szCs w:val="32"/>
        </w:rPr>
        <w:t>第八章  投标文件组成及格式</w:t>
      </w:r>
    </w:p>
    <w:p w14:paraId="260621BD">
      <w:pPr>
        <w:pStyle w:val="13"/>
        <w:shd w:val="clear"/>
        <w:spacing w:line="480" w:lineRule="auto"/>
        <w:ind w:firstLine="560" w:firstLineChars="200"/>
        <w:rPr>
          <w:rFonts w:ascii="Times New Roman"/>
          <w:color w:val="000000"/>
        </w:rPr>
      </w:pPr>
    </w:p>
    <w:p w14:paraId="54492201">
      <w:pPr>
        <w:shd w:val="clear"/>
        <w:tabs>
          <w:tab w:val="left" w:pos="1050"/>
          <w:tab w:val="right" w:leader="dot" w:pos="9402"/>
        </w:tabs>
        <w:spacing w:line="360" w:lineRule="auto"/>
        <w:jc w:val="center"/>
        <w:outlineLvl w:val="0"/>
        <w:rPr>
          <w:rFonts w:eastAsia="宋体" w:cs="宋体"/>
          <w:b/>
          <w:color w:val="000000"/>
          <w:sz w:val="36"/>
          <w:szCs w:val="36"/>
        </w:rPr>
      </w:pPr>
      <w:bookmarkStart w:id="0" w:name="_Toc363573853"/>
    </w:p>
    <w:p w14:paraId="14AA721B">
      <w:pPr>
        <w:shd w:val="clear"/>
        <w:tabs>
          <w:tab w:val="left" w:pos="1050"/>
          <w:tab w:val="right" w:leader="dot" w:pos="9402"/>
        </w:tabs>
        <w:spacing w:line="360" w:lineRule="auto"/>
        <w:jc w:val="center"/>
        <w:outlineLvl w:val="0"/>
        <w:rPr>
          <w:rFonts w:eastAsia="宋体" w:cs="宋体"/>
          <w:b/>
          <w:color w:val="000000"/>
          <w:sz w:val="36"/>
          <w:szCs w:val="36"/>
        </w:rPr>
      </w:pPr>
    </w:p>
    <w:p w14:paraId="69E8454E">
      <w:pPr>
        <w:shd w:val="clear"/>
        <w:rPr>
          <w:rFonts w:eastAsia="宋体" w:cs="宋体"/>
          <w:b/>
          <w:color w:val="000000"/>
          <w:sz w:val="36"/>
          <w:szCs w:val="36"/>
        </w:rPr>
      </w:pPr>
      <w:r>
        <w:rPr>
          <w:rFonts w:hint="eastAsia" w:eastAsia="宋体" w:cs="宋体"/>
          <w:b/>
          <w:color w:val="000000"/>
          <w:sz w:val="36"/>
          <w:szCs w:val="36"/>
        </w:rPr>
        <w:br w:type="page"/>
      </w:r>
    </w:p>
    <w:p w14:paraId="0EB7B6D4">
      <w:pPr>
        <w:shd w:val="clear"/>
        <w:tabs>
          <w:tab w:val="left" w:pos="1050"/>
          <w:tab w:val="right" w:leader="dot" w:pos="9402"/>
        </w:tabs>
        <w:spacing w:line="360" w:lineRule="auto"/>
        <w:jc w:val="center"/>
        <w:outlineLvl w:val="0"/>
        <w:rPr>
          <w:rFonts w:eastAsia="宋体" w:cs="宋体"/>
          <w:b/>
          <w:color w:val="000000"/>
          <w:sz w:val="36"/>
          <w:szCs w:val="36"/>
        </w:rPr>
      </w:pPr>
      <w:r>
        <w:rPr>
          <w:rFonts w:hint="eastAsia" w:eastAsia="宋体" w:cs="宋体"/>
          <w:b/>
          <w:color w:val="000000"/>
          <w:sz w:val="36"/>
          <w:szCs w:val="36"/>
        </w:rPr>
        <w:t>第一章  招标公告</w:t>
      </w:r>
      <w:bookmarkEnd w:id="0"/>
    </w:p>
    <w:p w14:paraId="38ED8F4D">
      <w:pPr>
        <w:shd w:val="clear"/>
      </w:pPr>
    </w:p>
    <w:p w14:paraId="0C9F3DDD">
      <w:pPr>
        <w:pBdr>
          <w:top w:val="single" w:color="000000" w:sz="4" w:space="1"/>
          <w:left w:val="single" w:color="000000" w:sz="4" w:space="4"/>
          <w:bottom w:val="single" w:color="000000" w:sz="4" w:space="1"/>
          <w:right w:val="single" w:color="000000" w:sz="4" w:space="4"/>
        </w:pBdr>
        <w:shd w:val="clear"/>
        <w:spacing w:line="360" w:lineRule="auto"/>
        <w:ind w:firstLine="480" w:firstLineChars="200"/>
        <w:rPr>
          <w:rFonts w:eastAsia="宋体" w:cs="宋体"/>
          <w:bCs/>
          <w:color w:val="000000"/>
          <w:sz w:val="24"/>
          <w:szCs w:val="24"/>
        </w:rPr>
      </w:pPr>
      <w:r>
        <w:rPr>
          <w:rFonts w:hint="eastAsia" w:eastAsia="宋体" w:cs="宋体"/>
          <w:bCs/>
          <w:color w:val="000000"/>
          <w:sz w:val="24"/>
          <w:szCs w:val="24"/>
        </w:rPr>
        <w:t>项目概况</w:t>
      </w:r>
    </w:p>
    <w:p w14:paraId="5415064D">
      <w:pPr>
        <w:pBdr>
          <w:top w:val="single" w:color="000000" w:sz="4" w:space="1"/>
          <w:left w:val="single" w:color="000000" w:sz="4" w:space="4"/>
          <w:bottom w:val="single" w:color="000000" w:sz="4" w:space="1"/>
          <w:right w:val="single" w:color="000000" w:sz="4" w:space="4"/>
        </w:pBdr>
        <w:shd w:val="clear"/>
        <w:spacing w:line="360" w:lineRule="auto"/>
        <w:ind w:firstLine="480" w:firstLineChars="200"/>
        <w:rPr>
          <w:rFonts w:eastAsia="宋体" w:cs="宋体"/>
          <w:bCs/>
          <w:color w:val="000000"/>
          <w:sz w:val="24"/>
          <w:szCs w:val="24"/>
        </w:rPr>
      </w:pPr>
      <w:r>
        <w:rPr>
          <w:rFonts w:hint="eastAsia" w:eastAsia="宋体" w:cs="宋体"/>
          <w:bCs/>
          <w:color w:val="000000"/>
          <w:sz w:val="24"/>
          <w:szCs w:val="24"/>
          <w:u w:val="single"/>
        </w:rPr>
        <w:t>江苏航运职业技术学院智慧船舶网络安全实践中心</w:t>
      </w:r>
      <w:r>
        <w:rPr>
          <w:rFonts w:hint="eastAsia" w:eastAsia="宋体" w:cs="宋体"/>
          <w:bCs/>
          <w:color w:val="000000"/>
          <w:sz w:val="24"/>
          <w:szCs w:val="24"/>
        </w:rPr>
        <w:t>的潜在投标人应在</w:t>
      </w:r>
      <w:r>
        <w:rPr>
          <w:rFonts w:hint="eastAsia" w:eastAsia="宋体"/>
          <w:bCs/>
          <w:color w:val="000000"/>
          <w:sz w:val="24"/>
          <w:szCs w:val="24"/>
          <w:u w:val="single"/>
        </w:rPr>
        <w:t>江苏政府采购网苏采云系统</w:t>
      </w:r>
      <w:r>
        <w:rPr>
          <w:rFonts w:hint="eastAsia" w:eastAsia="宋体" w:cs="宋体"/>
          <w:bCs/>
          <w:color w:val="000000"/>
          <w:sz w:val="24"/>
          <w:szCs w:val="24"/>
        </w:rPr>
        <w:t>获取招标文件，并于</w:t>
      </w:r>
      <w:r>
        <w:rPr>
          <w:rFonts w:hint="eastAsia" w:eastAsia="宋体" w:cs="宋体"/>
          <w:bCs/>
          <w:color w:val="000000"/>
          <w:sz w:val="24"/>
          <w:szCs w:val="24"/>
          <w:u w:val="single"/>
        </w:rPr>
        <w:t>2026年</w:t>
      </w:r>
      <w:r>
        <w:rPr>
          <w:rFonts w:hint="eastAsia" w:eastAsia="宋体" w:cs="宋体"/>
          <w:bCs/>
          <w:color w:val="000000"/>
          <w:sz w:val="24"/>
          <w:szCs w:val="24"/>
          <w:u w:val="single"/>
          <w:lang w:val="en-US" w:eastAsia="zh-CN"/>
        </w:rPr>
        <w:t>08</w:t>
      </w:r>
      <w:r>
        <w:rPr>
          <w:rFonts w:hint="eastAsia" w:eastAsia="宋体" w:cs="宋体"/>
          <w:bCs/>
          <w:color w:val="000000"/>
          <w:sz w:val="24"/>
          <w:szCs w:val="24"/>
          <w:u w:val="single"/>
        </w:rPr>
        <w:t>月</w:t>
      </w:r>
      <w:r>
        <w:rPr>
          <w:rFonts w:hint="eastAsia" w:eastAsia="宋体" w:cs="宋体"/>
          <w:bCs/>
          <w:color w:val="000000"/>
          <w:sz w:val="24"/>
          <w:szCs w:val="24"/>
          <w:u w:val="single"/>
          <w:lang w:val="en-US" w:eastAsia="zh-CN"/>
        </w:rPr>
        <w:t>14</w:t>
      </w:r>
      <w:r>
        <w:rPr>
          <w:rFonts w:hint="eastAsia" w:eastAsia="宋体" w:cs="宋体"/>
          <w:bCs/>
          <w:color w:val="000000"/>
          <w:sz w:val="24"/>
          <w:szCs w:val="24"/>
          <w:u w:val="single"/>
        </w:rPr>
        <w:t>日09时30分</w:t>
      </w:r>
      <w:r>
        <w:rPr>
          <w:rFonts w:hint="eastAsia" w:eastAsia="宋体" w:cs="宋体"/>
          <w:bCs/>
          <w:color w:val="000000"/>
          <w:sz w:val="24"/>
          <w:szCs w:val="24"/>
        </w:rPr>
        <w:t>（北京时间）前递交投标文件。</w:t>
      </w:r>
    </w:p>
    <w:p w14:paraId="459F889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bCs/>
          <w:color w:val="000000"/>
          <w:sz w:val="24"/>
          <w:szCs w:val="24"/>
        </w:rPr>
      </w:pPr>
      <w:r>
        <w:rPr>
          <w:rFonts w:hint="eastAsia" w:eastAsia="宋体" w:cs="宋体"/>
          <w:bCs/>
          <w:color w:val="000000"/>
          <w:sz w:val="24"/>
          <w:szCs w:val="24"/>
        </w:rPr>
        <w:t>一、</w:t>
      </w:r>
      <w:r>
        <w:rPr>
          <w:rFonts w:hint="eastAsia" w:eastAsia="宋体" w:cs="宋体"/>
          <w:b/>
          <w:bCs/>
          <w:color w:val="000000"/>
          <w:sz w:val="24"/>
          <w:szCs w:val="24"/>
        </w:rPr>
        <w:t>项目基本情况</w:t>
      </w:r>
    </w:p>
    <w:p w14:paraId="14481A2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color w:val="000000"/>
          <w:sz w:val="24"/>
          <w:szCs w:val="24"/>
          <w:lang w:eastAsia="zh-CN"/>
        </w:rPr>
      </w:pPr>
      <w:r>
        <w:rPr>
          <w:rFonts w:hint="eastAsia" w:eastAsia="宋体" w:cs="宋体"/>
          <w:color w:val="000000"/>
          <w:sz w:val="24"/>
          <w:szCs w:val="24"/>
        </w:rPr>
        <w:t>项目编号：</w:t>
      </w:r>
      <w:r>
        <w:rPr>
          <w:rFonts w:hint="eastAsia" w:eastAsia="宋体" w:cs="宋体"/>
          <w:color w:val="000000"/>
          <w:sz w:val="24"/>
          <w:szCs w:val="24"/>
          <w:lang w:eastAsia="zh-CN"/>
        </w:rPr>
        <w:t>JSZC-320690-NTJC-G2026-0013</w:t>
      </w:r>
    </w:p>
    <w:p w14:paraId="2D1FB8A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项目名称：江苏航运职业技术学院智慧船舶网络安全实践中心</w:t>
      </w:r>
    </w:p>
    <w:p w14:paraId="34FB0BB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bookmarkStart w:id="1" w:name="_Toc387526365"/>
      <w:bookmarkStart w:id="2" w:name="_Toc387526273"/>
      <w:bookmarkStart w:id="3" w:name="_Toc20597"/>
      <w:bookmarkStart w:id="4" w:name="_Toc387526169"/>
      <w:r>
        <w:rPr>
          <w:rFonts w:hint="eastAsia" w:eastAsia="宋体" w:cs="宋体"/>
          <w:color w:val="000000"/>
          <w:sz w:val="24"/>
          <w:szCs w:val="24"/>
        </w:rPr>
        <w:t>项目类型：货物</w:t>
      </w:r>
    </w:p>
    <w:p w14:paraId="1DFD8F2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预算金额：130万元</w:t>
      </w:r>
    </w:p>
    <w:p w14:paraId="23688D1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color w:val="000000"/>
          <w:sz w:val="24"/>
          <w:szCs w:val="24"/>
        </w:rPr>
        <w:t>最高限价：130万元，投标报价超过最高限价的为无效投标。</w:t>
      </w:r>
    </w:p>
    <w:p w14:paraId="7CF8F28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项目需求：江苏航运职业技术学院智慧船舶网络安全实践中心，具体详见招标文件第三章项目需求。</w:t>
      </w:r>
    </w:p>
    <w:p w14:paraId="757E3DE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合同履行期限：</w:t>
      </w:r>
      <w:bookmarkEnd w:id="1"/>
      <w:bookmarkEnd w:id="2"/>
      <w:bookmarkEnd w:id="3"/>
      <w:bookmarkEnd w:id="4"/>
      <w:r>
        <w:rPr>
          <w:rFonts w:hint="eastAsia" w:eastAsia="宋体" w:cs="宋体"/>
          <w:color w:val="000000"/>
          <w:sz w:val="24"/>
          <w:szCs w:val="24"/>
        </w:rPr>
        <w:t>详见第三部分项目需求。</w:t>
      </w:r>
    </w:p>
    <w:p w14:paraId="071A8F2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本项目（是/否）接受联合体：否。</w:t>
      </w:r>
    </w:p>
    <w:p w14:paraId="20F3A8B6">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bCs/>
          <w:color w:val="000000"/>
          <w:sz w:val="24"/>
          <w:szCs w:val="24"/>
        </w:rPr>
      </w:pPr>
      <w:r>
        <w:rPr>
          <w:rFonts w:hint="eastAsia" w:eastAsia="宋体" w:cs="宋体"/>
          <w:b/>
          <w:bCs/>
          <w:color w:val="000000"/>
          <w:sz w:val="24"/>
          <w:szCs w:val="24"/>
        </w:rPr>
        <w:t>二、申请人的资格要求：</w:t>
      </w:r>
    </w:p>
    <w:p w14:paraId="3E9C0F28">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bCs/>
          <w:color w:val="000000"/>
          <w:sz w:val="24"/>
          <w:szCs w:val="24"/>
        </w:rPr>
      </w:pPr>
      <w:r>
        <w:rPr>
          <w:rFonts w:hint="eastAsia" w:eastAsia="宋体" w:cs="宋体"/>
          <w:b/>
          <w:bCs/>
          <w:color w:val="000000"/>
          <w:sz w:val="24"/>
          <w:szCs w:val="24"/>
        </w:rPr>
        <w:t>（一）满足《中华人民共和国政府采购法》第二十二条规定，并提供下列材料：</w:t>
      </w:r>
    </w:p>
    <w:p w14:paraId="03FE3E7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1.投标人符合《中华人民共和国政府采购法》第二十二条规定条件的声明函（格式参见附件）；</w:t>
      </w:r>
    </w:p>
    <w:p w14:paraId="4BAFE36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2.提供法人或者其他组织的营业执照等证明文件，如供应商为自然人的，提供其身份证明。</w:t>
      </w:r>
    </w:p>
    <w:p w14:paraId="35B4B845">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eastAsia="宋体" w:cs="宋体"/>
          <w:b/>
          <w:color w:val="000000"/>
          <w:sz w:val="24"/>
          <w:szCs w:val="24"/>
        </w:rPr>
      </w:pPr>
      <w:r>
        <w:rPr>
          <w:rFonts w:hint="eastAsia" w:eastAsia="宋体" w:cs="宋体"/>
          <w:b/>
          <w:color w:val="000000"/>
          <w:sz w:val="24"/>
          <w:szCs w:val="24"/>
        </w:rPr>
        <w:t>（二）落实政府采购政策需满足的资格要求：</w:t>
      </w:r>
    </w:p>
    <w:p w14:paraId="710E0994">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jc w:val="left"/>
        <w:textAlignment w:val="auto"/>
        <w:rPr>
          <w:rFonts w:eastAsia="宋体" w:cs="宋体"/>
          <w:color w:val="000000"/>
          <w:sz w:val="24"/>
          <w:szCs w:val="24"/>
        </w:rPr>
      </w:pPr>
      <w:r>
        <w:rPr>
          <w:rFonts w:hint="eastAsia" w:eastAsia="宋体" w:cs="宋体"/>
          <w:b/>
          <w:bCs/>
          <w:color w:val="000000"/>
          <w:sz w:val="24"/>
          <w:szCs w:val="24"/>
          <w:u w:val="single"/>
        </w:rPr>
        <w:t>本项目专门面向中小企业采购。</w:t>
      </w:r>
      <w:r>
        <w:rPr>
          <w:rFonts w:hint="eastAsia" w:eastAsia="宋体" w:cs="宋体"/>
          <w:color w:val="000000"/>
          <w:sz w:val="24"/>
          <w:szCs w:val="24"/>
        </w:rPr>
        <w:t>本项目采购标的对应的中小企业划分标准所属行业为</w:t>
      </w:r>
      <w:r>
        <w:rPr>
          <w:rFonts w:hint="eastAsia" w:eastAsia="宋体" w:cs="宋体"/>
          <w:b/>
          <w:bCs/>
          <w:color w:val="000000"/>
          <w:sz w:val="24"/>
          <w:szCs w:val="24"/>
          <w:u w:val="single"/>
        </w:rPr>
        <w:t>软件和信息技术服务业</w:t>
      </w:r>
      <w:r>
        <w:rPr>
          <w:rFonts w:hint="eastAsia"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2925CC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注明：（1）中小企业应当按照财库（2020）46号文《政府采购促进中小企业发展管理办法》和“工信部联企业〔2011〕300号通知中的《中小企业划型标准规定》为准。如实填写并提交《中小企业声明函》。</w:t>
      </w:r>
    </w:p>
    <w:p w14:paraId="03FE8C2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（2）残疾人福利性单位按照《关于促进残疾人就业政府采购政策的通知》（财库〔2017〕141号）有关规定执行。</w:t>
      </w:r>
    </w:p>
    <w:p w14:paraId="575259D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（3）监狱企业按照《关于政府采购支持监狱企业发展有关问题的通知》（财库【2014】68号）有关规定执行。</w:t>
      </w:r>
    </w:p>
    <w:p w14:paraId="0D4CE85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color w:val="000000"/>
          <w:sz w:val="24"/>
          <w:szCs w:val="24"/>
        </w:rPr>
      </w:pPr>
      <w:r>
        <w:rPr>
          <w:rFonts w:hint="eastAsia" w:eastAsia="宋体" w:cs="宋体"/>
          <w:color w:val="000000"/>
          <w:sz w:val="24"/>
          <w:szCs w:val="24"/>
        </w:rPr>
        <w:t>备注：本项目专门面向中小企业，不享受价格扣除优惠政策。</w:t>
      </w:r>
    </w:p>
    <w:p w14:paraId="5A793E25">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color w:val="000000"/>
          <w:sz w:val="24"/>
          <w:szCs w:val="24"/>
        </w:rPr>
      </w:pPr>
      <w:r>
        <w:rPr>
          <w:rFonts w:hint="eastAsia" w:eastAsia="宋体" w:cs="宋体"/>
          <w:b/>
          <w:color w:val="000000"/>
          <w:sz w:val="24"/>
          <w:szCs w:val="24"/>
        </w:rPr>
        <w:t>（三）项目的特定资格要求：</w:t>
      </w:r>
    </w:p>
    <w:p w14:paraId="7851FFA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color w:val="000000"/>
          <w:sz w:val="24"/>
          <w:szCs w:val="24"/>
        </w:rPr>
      </w:pPr>
      <w:r>
        <w:rPr>
          <w:rFonts w:hint="eastAsia" w:eastAsia="宋体" w:cs="宋体"/>
          <w:color w:val="000000"/>
          <w:sz w:val="24"/>
          <w:szCs w:val="24"/>
        </w:rPr>
        <w:t>1.未被“信用中国”网站（www.creditchina.gov.cn）列入失信被执行人、重大税收违法案件当事人名单、政府采购严重失信行为记录名单；</w:t>
      </w:r>
    </w:p>
    <w:p w14:paraId="7CC9D7A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color w:val="000000"/>
          <w:sz w:val="24"/>
          <w:szCs w:val="24"/>
        </w:rPr>
      </w:pPr>
      <w:r>
        <w:rPr>
          <w:rFonts w:hint="eastAsia" w:eastAsia="宋体" w:cs="宋体"/>
          <w:color w:val="000000"/>
          <w:sz w:val="24"/>
          <w:szCs w:val="24"/>
        </w:rPr>
        <w:t>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p>
    <w:p w14:paraId="6662F2D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color w:val="000000"/>
          <w:sz w:val="24"/>
          <w:szCs w:val="24"/>
          <w:lang w:val="zh-CN"/>
        </w:rPr>
      </w:pPr>
      <w:r>
        <w:rPr>
          <w:rFonts w:hint="eastAsia" w:eastAsia="宋体" w:cs="宋体"/>
          <w:color w:val="000000"/>
          <w:sz w:val="24"/>
          <w:szCs w:val="24"/>
        </w:rPr>
        <w:t>3.</w:t>
      </w:r>
      <w:r>
        <w:rPr>
          <w:rFonts w:hint="eastAsia" w:eastAsia="宋体" w:cs="宋体"/>
          <w:color w:val="000000"/>
          <w:sz w:val="24"/>
          <w:szCs w:val="24"/>
          <w:lang w:val="zh-CN"/>
        </w:rPr>
        <w:t>拒绝下述投标人参加本次采购活动：</w:t>
      </w:r>
    </w:p>
    <w:p w14:paraId="7D0A0AF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color w:val="000000"/>
          <w:sz w:val="24"/>
          <w:szCs w:val="24"/>
          <w:lang w:val="zh-CN"/>
        </w:rPr>
      </w:pPr>
      <w:r>
        <w:rPr>
          <w:rFonts w:hint="eastAsia" w:eastAsia="宋体" w:cs="宋体"/>
          <w:color w:val="000000"/>
          <w:sz w:val="24"/>
          <w:szCs w:val="24"/>
        </w:rPr>
        <w:t>3</w:t>
      </w:r>
      <w:r>
        <w:rPr>
          <w:rFonts w:hint="eastAsia" w:eastAsia="宋体" w:cs="宋体"/>
          <w:color w:val="000000"/>
          <w:sz w:val="24"/>
          <w:szCs w:val="24"/>
          <w:lang w:val="zh-CN"/>
        </w:rPr>
        <w:t>.1</w:t>
      </w:r>
      <w:r>
        <w:rPr>
          <w:rFonts w:hint="eastAsia" w:eastAsia="宋体" w:cs="宋体"/>
          <w:color w:val="000000"/>
          <w:sz w:val="24"/>
          <w:szCs w:val="24"/>
        </w:rPr>
        <w:t xml:space="preserve"> </w:t>
      </w:r>
      <w:r>
        <w:rPr>
          <w:rFonts w:hint="eastAsia" w:eastAsia="宋体" w:cs="宋体"/>
          <w:color w:val="000000"/>
          <w:sz w:val="24"/>
          <w:szCs w:val="24"/>
          <w:lang w:val="zh-CN"/>
        </w:rPr>
        <w:t>供应商单位负责人为同一人或者存在直接控股、管理关系的不同供应商，不得参加同一合同项下的政府采购活动；</w:t>
      </w:r>
    </w:p>
    <w:p w14:paraId="0553E48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color w:val="000000"/>
          <w:sz w:val="24"/>
          <w:szCs w:val="24"/>
          <w:lang w:val="zh-CN"/>
        </w:rPr>
      </w:pPr>
      <w:r>
        <w:rPr>
          <w:rFonts w:hint="eastAsia" w:eastAsia="宋体" w:cs="宋体"/>
          <w:color w:val="000000"/>
          <w:sz w:val="24"/>
          <w:szCs w:val="24"/>
        </w:rPr>
        <w:t>3</w:t>
      </w:r>
      <w:r>
        <w:rPr>
          <w:rFonts w:hint="eastAsia" w:eastAsia="宋体" w:cs="宋体"/>
          <w:color w:val="000000"/>
          <w:sz w:val="24"/>
          <w:szCs w:val="24"/>
          <w:lang w:val="zh-CN"/>
        </w:rPr>
        <w:t>.2</w:t>
      </w:r>
      <w:r>
        <w:rPr>
          <w:rFonts w:hint="eastAsia" w:eastAsia="宋体" w:cs="宋体"/>
          <w:color w:val="000000"/>
          <w:sz w:val="24"/>
          <w:szCs w:val="24"/>
        </w:rPr>
        <w:t xml:space="preserve"> </w:t>
      </w:r>
      <w:r>
        <w:rPr>
          <w:rFonts w:hint="eastAsia" w:eastAsia="宋体" w:cs="宋体"/>
          <w:color w:val="000000"/>
          <w:sz w:val="24"/>
          <w:szCs w:val="24"/>
          <w:lang w:val="zh-CN"/>
        </w:rPr>
        <w:t>凡为采购项目提供整体设计、规范编制或者项目管理、监理、检测等服务的供应商，不得再参加本项目的采购活动。</w:t>
      </w:r>
    </w:p>
    <w:p w14:paraId="7E71C7A8">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bCs/>
          <w:color w:val="000000"/>
          <w:sz w:val="24"/>
          <w:szCs w:val="24"/>
        </w:rPr>
      </w:pPr>
      <w:r>
        <w:rPr>
          <w:rFonts w:hint="eastAsia" w:eastAsia="宋体" w:cs="宋体"/>
          <w:b/>
          <w:bCs/>
          <w:color w:val="000000"/>
          <w:sz w:val="24"/>
          <w:szCs w:val="24"/>
          <w:lang w:val="zh-CN"/>
        </w:rPr>
        <w:t>注：以上所有资格要求条件必须在资格审查材料中逐条提供有效证明材料及相关承诺书并加盖公章，否则投标无效。</w:t>
      </w:r>
    </w:p>
    <w:p w14:paraId="6E056AF8">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bCs/>
          <w:color w:val="000000"/>
          <w:sz w:val="24"/>
          <w:szCs w:val="24"/>
        </w:rPr>
      </w:pPr>
      <w:r>
        <w:rPr>
          <w:rFonts w:hint="eastAsia" w:eastAsia="宋体" w:cs="宋体"/>
          <w:b/>
          <w:bCs/>
          <w:color w:val="000000"/>
          <w:sz w:val="24"/>
          <w:szCs w:val="24"/>
        </w:rPr>
        <w:t>具体资格要求详见第八章中的“资格审查文件”。</w:t>
      </w:r>
    </w:p>
    <w:p w14:paraId="60E59E82">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eastAsia="宋体" w:cs="宋体"/>
          <w:b/>
          <w:color w:val="000000"/>
          <w:sz w:val="24"/>
          <w:szCs w:val="24"/>
        </w:rPr>
      </w:pPr>
      <w:r>
        <w:rPr>
          <w:rFonts w:hint="eastAsia" w:eastAsia="宋体" w:cs="宋体"/>
          <w:b/>
          <w:color w:val="000000"/>
          <w:sz w:val="24"/>
          <w:szCs w:val="24"/>
        </w:rPr>
        <w:t>三、获取招标文件</w:t>
      </w:r>
    </w:p>
    <w:p w14:paraId="63FEC92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1.时间：自本项目招标公告发布之日起5个工作日。</w:t>
      </w:r>
    </w:p>
    <w:p w14:paraId="4077B48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2.地点：网上注册登记成功后系统内免费下载。</w:t>
      </w:r>
    </w:p>
    <w:p w14:paraId="4B55BDA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3.获取方式：本项目采用网上注册登记方式。</w:t>
      </w:r>
    </w:p>
    <w:p w14:paraId="335A110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3.1 潜在供应商访问电子招标响应交易平台的网络地址和方法：</w:t>
      </w:r>
    </w:p>
    <w:p w14:paraId="214D07F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2336C22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3.2 潜在供应商访问“苏采云”系统的网络地址和方法：“苏采云”系统的网址：http：//jszfcg.jsczt.cn/。</w:t>
      </w:r>
    </w:p>
    <w:p w14:paraId="06C339F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3.3 “CA数字证书”的获取：</w:t>
      </w:r>
    </w:p>
    <w:p w14:paraId="0A92C25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B36841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通过苏采云系统首页（http：//jszfcg.jscz.gov.cn/）的“苏采云控件驱动下载”，选择“政务CA、方正签章控件驱动安装包及安装说明”下载安装，具体安装方法详见下载文件内的《安装说明》。</w:t>
      </w:r>
    </w:p>
    <w:p w14:paraId="3576ED5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3.4 采购文件（后缀名为“.kedt”）、供应商操作手册及政府采购客户端工具可通过“苏采云”系统--已报名项目--报名详情页面内相应链接进行下载。</w:t>
      </w:r>
    </w:p>
    <w:p w14:paraId="2E7C84F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3.5 采购人或招标代理机构（采购代理机构）将数据电文形式的采购文件加载至“苏采云”系统，供潜在供应商下载或者查阅。</w:t>
      </w:r>
    </w:p>
    <w:p w14:paraId="7A05C77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3.6 请潜在投标单位提前安装相应的控件（详见《江苏省政府采购管理交易系统（苏采云）供应商操作手册》）并使用谷歌浏览器登录“苏采云”系统参与不见面开评标。</w:t>
      </w:r>
    </w:p>
    <w:p w14:paraId="4AC1912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3.7 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7EEB0B57">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jc w:val="left"/>
        <w:textAlignment w:val="auto"/>
        <w:rPr>
          <w:rFonts w:eastAsia="宋体" w:cs="宋体"/>
          <w:b/>
          <w:color w:val="000000"/>
          <w:sz w:val="24"/>
          <w:szCs w:val="24"/>
        </w:rPr>
      </w:pPr>
      <w:r>
        <w:rPr>
          <w:rFonts w:hint="eastAsia" w:eastAsia="宋体" w:cs="宋体"/>
          <w:b/>
          <w:color w:val="000000"/>
          <w:sz w:val="24"/>
          <w:szCs w:val="24"/>
        </w:rPr>
        <w:t>注：如潜在供应商未按上述要求操作，将自行承担所产生的风险。</w:t>
      </w:r>
    </w:p>
    <w:p w14:paraId="1A1EF7F4">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eastAsia="宋体" w:cs="宋体"/>
          <w:color w:val="000000"/>
          <w:sz w:val="24"/>
          <w:szCs w:val="24"/>
        </w:rPr>
      </w:pPr>
      <w:r>
        <w:rPr>
          <w:rFonts w:hint="eastAsia" w:eastAsia="宋体" w:cs="宋体"/>
          <w:b/>
          <w:color w:val="000000"/>
          <w:sz w:val="24"/>
          <w:szCs w:val="24"/>
        </w:rPr>
        <w:t>四、提交投标文件截止时间、开标时间和地点</w:t>
      </w:r>
    </w:p>
    <w:p w14:paraId="311AFC1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olor w:val="000000"/>
          <w:sz w:val="24"/>
          <w:szCs w:val="24"/>
        </w:rPr>
      </w:pPr>
      <w:r>
        <w:rPr>
          <w:rFonts w:hint="eastAsia" w:eastAsia="宋体"/>
          <w:color w:val="000000"/>
          <w:sz w:val="24"/>
          <w:szCs w:val="24"/>
        </w:rPr>
        <w:t>1.投标文件提交截止时间：</w:t>
      </w:r>
      <w:r>
        <w:rPr>
          <w:rFonts w:hint="eastAsia" w:eastAsia="宋体" w:cs="宋体"/>
          <w:bCs/>
          <w:color w:val="000000"/>
          <w:sz w:val="24"/>
          <w:szCs w:val="24"/>
          <w:u w:val="single"/>
          <w:lang w:eastAsia="zh-CN"/>
        </w:rPr>
        <w:t>2026年08月14日</w:t>
      </w:r>
      <w:r>
        <w:rPr>
          <w:rFonts w:hint="eastAsia" w:eastAsia="宋体" w:cs="宋体"/>
          <w:bCs/>
          <w:color w:val="000000"/>
          <w:sz w:val="24"/>
          <w:szCs w:val="24"/>
          <w:u w:val="single"/>
        </w:rPr>
        <w:t>09时30分</w:t>
      </w:r>
      <w:r>
        <w:rPr>
          <w:rFonts w:hint="eastAsia" w:eastAsia="宋体"/>
          <w:color w:val="000000"/>
          <w:sz w:val="24"/>
          <w:szCs w:val="24"/>
        </w:rPr>
        <w:t>（北京时间）。逾时，“苏采云”系统将拒绝接受上传响应文件电子文档。</w:t>
      </w:r>
    </w:p>
    <w:p w14:paraId="7346F8B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olor w:val="000000"/>
          <w:sz w:val="24"/>
          <w:szCs w:val="24"/>
        </w:rPr>
      </w:pPr>
      <w:r>
        <w:rPr>
          <w:rFonts w:hint="eastAsia" w:eastAsia="宋体"/>
          <w:color w:val="000000"/>
          <w:sz w:val="24"/>
          <w:szCs w:val="24"/>
        </w:rPr>
        <w:t>2.线上开标地点：“苏采云”系统（网址：http：//jszfcg.jsczt.cn/）“开标大厅”。</w:t>
      </w:r>
    </w:p>
    <w:p w14:paraId="04C175C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olor w:val="000000"/>
          <w:sz w:val="24"/>
          <w:szCs w:val="24"/>
          <w:u w:val="single"/>
        </w:rPr>
      </w:pPr>
      <w:r>
        <w:rPr>
          <w:rFonts w:hint="eastAsia" w:eastAsia="宋体"/>
          <w:color w:val="000000"/>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rPr>
        <w:t>投标供应商解密限定在开标后30分钟之内完成</w:t>
      </w:r>
      <w:r>
        <w:rPr>
          <w:rFonts w:hint="eastAsia" w:eastAsia="宋体"/>
          <w:color w:val="000000"/>
          <w:sz w:val="24"/>
          <w:szCs w:val="24"/>
        </w:rPr>
        <w:t>。</w:t>
      </w:r>
      <w:r>
        <w:rPr>
          <w:rFonts w:hint="eastAsia" w:eastAsia="宋体"/>
          <w:color w:val="000000"/>
          <w:sz w:val="24"/>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CD11F27">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jc w:val="left"/>
        <w:textAlignment w:val="auto"/>
        <w:rPr>
          <w:rFonts w:eastAsia="宋体"/>
          <w:b/>
          <w:color w:val="000000"/>
          <w:sz w:val="24"/>
          <w:szCs w:val="24"/>
        </w:rPr>
      </w:pPr>
      <w:r>
        <w:rPr>
          <w:rFonts w:hint="eastAsia" w:eastAsia="宋体"/>
          <w:b/>
          <w:color w:val="000000"/>
          <w:sz w:val="24"/>
          <w:szCs w:val="24"/>
        </w:rPr>
        <w:t>注：各供应商请关注开标大厅交流区，在开标结束后，请勿离开开标大厅。</w:t>
      </w:r>
    </w:p>
    <w:p w14:paraId="4DA4E14D">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color w:val="000000"/>
          <w:sz w:val="24"/>
          <w:szCs w:val="24"/>
        </w:rPr>
      </w:pPr>
      <w:r>
        <w:rPr>
          <w:rFonts w:hint="eastAsia" w:eastAsia="宋体" w:cs="宋体"/>
          <w:b/>
          <w:color w:val="000000"/>
          <w:sz w:val="24"/>
          <w:szCs w:val="24"/>
        </w:rPr>
        <w:t>五、公告期限</w:t>
      </w:r>
    </w:p>
    <w:p w14:paraId="4964216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cs="宋体"/>
          <w:bCs/>
          <w:color w:val="000000"/>
          <w:sz w:val="24"/>
          <w:szCs w:val="24"/>
        </w:rPr>
      </w:pPr>
      <w:r>
        <w:rPr>
          <w:rFonts w:hint="eastAsia" w:eastAsia="宋体" w:cs="宋体"/>
          <w:bCs/>
          <w:color w:val="000000"/>
          <w:sz w:val="24"/>
          <w:szCs w:val="24"/>
        </w:rPr>
        <w:t>自本公告发布之日起5个工作日。</w:t>
      </w:r>
    </w:p>
    <w:p w14:paraId="21629C34">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bCs/>
          <w:color w:val="000000"/>
          <w:sz w:val="24"/>
          <w:szCs w:val="24"/>
        </w:rPr>
      </w:pPr>
      <w:r>
        <w:rPr>
          <w:rFonts w:hint="eastAsia" w:eastAsia="宋体" w:cs="宋体"/>
          <w:b/>
          <w:color w:val="000000"/>
          <w:sz w:val="24"/>
          <w:szCs w:val="24"/>
        </w:rPr>
        <w:t>六、其他补充事宜</w:t>
      </w:r>
    </w:p>
    <w:p w14:paraId="5F0F2F4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1.投标保证金：免收；本项目招标文件中涉及投标保证金的事项，均按免收投标保证金执行。</w:t>
      </w:r>
    </w:p>
    <w:p w14:paraId="6496E14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2.项目开标活动模式：不见面远程投标模式，供应商在各自地点通过不见面交易系统参加开标会。</w:t>
      </w:r>
    </w:p>
    <w:p w14:paraId="0B4D837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3.项目演示、样品、答辩等（如有请描述）：</w:t>
      </w:r>
      <w:r>
        <w:rPr>
          <w:rFonts w:hint="eastAsia" w:ascii="Times New Roman" w:hAnsi="Times New Roman" w:eastAsia="宋体" w:cs="Times New Roman"/>
          <w:b/>
          <w:bCs w:val="0"/>
          <w:color w:val="000000"/>
          <w:sz w:val="24"/>
          <w:szCs w:val="24"/>
        </w:rPr>
        <w:t>根据“第四章  评审方法和程序”要求提供演示视频，视频文件的格式为*.mp4或*.avi，供应商须将视频文件分段压缩为*.zip文件上传（单个文件不得大于50M，所有文件总共不得大于300M），上传的演示视频将作为投标文件的组成部分，演示时长不超过</w:t>
      </w:r>
      <w:r>
        <w:rPr>
          <w:rFonts w:hint="eastAsia" w:ascii="Times New Roman" w:hAnsi="Times New Roman" w:eastAsia="宋体" w:cs="Times New Roman"/>
          <w:b/>
          <w:bCs w:val="0"/>
          <w:color w:val="000000"/>
          <w:sz w:val="24"/>
          <w:szCs w:val="24"/>
          <w:lang w:val="en-US" w:eastAsia="zh-CN"/>
        </w:rPr>
        <w:t>1</w:t>
      </w:r>
      <w:r>
        <w:rPr>
          <w:rFonts w:hint="eastAsia" w:ascii="Times New Roman" w:hAnsi="Times New Roman" w:eastAsia="宋体" w:cs="Times New Roman"/>
          <w:b/>
          <w:bCs w:val="0"/>
          <w:color w:val="000000"/>
          <w:sz w:val="24"/>
          <w:szCs w:val="24"/>
        </w:rPr>
        <w:t>5分钟。</w:t>
      </w:r>
    </w:p>
    <w:p w14:paraId="37B92CD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bCs/>
          <w:color w:val="000000"/>
          <w:sz w:val="24"/>
          <w:szCs w:val="24"/>
        </w:rPr>
      </w:pPr>
      <w:r>
        <w:rPr>
          <w:rFonts w:hint="eastAsia" w:ascii="Times New Roman" w:hAnsi="Times New Roman" w:eastAsia="宋体" w:cs="Times New Roman"/>
          <w:bCs/>
          <w:color w:val="000000"/>
          <w:sz w:val="24"/>
          <w:szCs w:val="24"/>
        </w:rPr>
        <w:t>4.对项目需求部分（投标人其他资格要求、项目需求、评分标准）的询问、质疑请向</w:t>
      </w:r>
      <w:r>
        <w:rPr>
          <w:rFonts w:hint="eastAsia" w:eastAsia="宋体" w:cs="Times New Roman"/>
          <w:bCs/>
          <w:color w:val="000000"/>
          <w:sz w:val="24"/>
          <w:szCs w:val="24"/>
          <w:lang w:eastAsia="zh-CN"/>
        </w:rPr>
        <w:t>采购人</w:t>
      </w:r>
      <w:r>
        <w:rPr>
          <w:rFonts w:hint="eastAsia" w:ascii="Times New Roman" w:hAnsi="Times New Roman" w:eastAsia="宋体" w:cs="Times New Roman"/>
          <w:bCs/>
          <w:color w:val="000000"/>
          <w:sz w:val="24"/>
          <w:szCs w:val="24"/>
        </w:rPr>
        <w:t>提出，由</w:t>
      </w:r>
      <w:r>
        <w:rPr>
          <w:rFonts w:hint="eastAsia" w:eastAsia="宋体" w:cs="Times New Roman"/>
          <w:bCs/>
          <w:color w:val="000000"/>
          <w:sz w:val="24"/>
          <w:szCs w:val="24"/>
          <w:lang w:eastAsia="zh-CN"/>
        </w:rPr>
        <w:t>采购人</w:t>
      </w:r>
      <w:r>
        <w:rPr>
          <w:rFonts w:hint="eastAsia" w:ascii="Times New Roman" w:hAnsi="Times New Roman" w:eastAsia="宋体" w:cs="Times New Roman"/>
          <w:bCs/>
          <w:color w:val="000000"/>
          <w:sz w:val="24"/>
          <w:szCs w:val="24"/>
        </w:rPr>
        <w:t>负责答复；对项目招标文件其它部分的询问请向</w:t>
      </w:r>
      <w:r>
        <w:rPr>
          <w:rFonts w:hint="eastAsia" w:eastAsia="宋体" w:cs="Times New Roman"/>
          <w:bCs/>
          <w:color w:val="000000"/>
          <w:sz w:val="24"/>
          <w:szCs w:val="24"/>
          <w:lang w:eastAsia="zh-CN"/>
        </w:rPr>
        <w:t>采购人</w:t>
      </w:r>
      <w:r>
        <w:rPr>
          <w:rFonts w:hint="eastAsia" w:eastAsia="宋体"/>
          <w:bCs/>
          <w:color w:val="000000"/>
          <w:sz w:val="24"/>
          <w:szCs w:val="24"/>
        </w:rPr>
        <w:t>或招标代理提出。</w:t>
      </w:r>
    </w:p>
    <w:p w14:paraId="55F93DC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eastAsia="宋体"/>
          <w:bCs/>
          <w:color w:val="000000"/>
          <w:sz w:val="24"/>
          <w:szCs w:val="24"/>
        </w:rPr>
      </w:pPr>
      <w:r>
        <w:rPr>
          <w:rFonts w:hint="eastAsia" w:eastAsia="宋体"/>
          <w:bCs/>
          <w:color w:val="000000"/>
          <w:sz w:val="24"/>
          <w:szCs w:val="24"/>
        </w:rPr>
        <w:t>5.投标人应依照规定提交各类声明函、承诺函，不再同时提供原件备查或提供有关部门出具的相关证明文件。但中标人应做好提交声明函、承诺函相应原件的核查准备；</w:t>
      </w:r>
      <w:bookmarkStart w:id="5" w:name="OLE_LINK5"/>
      <w:r>
        <w:rPr>
          <w:rFonts w:hint="eastAsia" w:eastAsia="宋体"/>
          <w:bCs/>
          <w:color w:val="000000"/>
          <w:sz w:val="24"/>
          <w:szCs w:val="24"/>
        </w:rPr>
        <w:t>核查后发现虚假或违背承诺的，依照相关法律法规规定处理。</w:t>
      </w:r>
      <w:bookmarkEnd w:id="5"/>
    </w:p>
    <w:p w14:paraId="55C475D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6.本次采购的有关信息将在江苏政府采购网上发布，敬请留意。</w:t>
      </w:r>
    </w:p>
    <w:p w14:paraId="6CEA159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7.请各投标人充分考虑项目周期，谨慎参与交易，中标后不得以任何理由放弃中标资格或不按规定履约。</w:t>
      </w:r>
    </w:p>
    <w:p w14:paraId="6B4C3E0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8.勘察现场或答疑：本次采购不组织集中勘察现场。投标人如对采购需求有疑问请与采购联系人沟通。</w:t>
      </w:r>
    </w:p>
    <w:p w14:paraId="66F4F859">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bCs/>
          <w:color w:val="000000"/>
          <w:sz w:val="24"/>
          <w:szCs w:val="24"/>
        </w:rPr>
      </w:pPr>
      <w:r>
        <w:rPr>
          <w:rFonts w:hint="eastAsia" w:eastAsia="宋体" w:cs="宋体"/>
          <w:b/>
          <w:bCs/>
          <w:color w:val="000000"/>
          <w:sz w:val="24"/>
          <w:szCs w:val="24"/>
        </w:rPr>
        <w:t>七、对本次招标提出询问，请按以下方式联系。</w:t>
      </w:r>
    </w:p>
    <w:p w14:paraId="5EE84BC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bookmarkStart w:id="6" w:name="_Toc363573854"/>
      <w:r>
        <w:rPr>
          <w:rFonts w:hint="eastAsia" w:eastAsia="宋体" w:cs="宋体"/>
          <w:color w:val="000000"/>
          <w:sz w:val="24"/>
          <w:szCs w:val="24"/>
        </w:rPr>
        <w:t>1.采购人信息</w:t>
      </w:r>
    </w:p>
    <w:p w14:paraId="10AF8B7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名 称：江苏航运职业技术学院</w:t>
      </w:r>
    </w:p>
    <w:p w14:paraId="39858E2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地 址：江苏省南通市经济技术开发区通盛大道185号</w:t>
      </w:r>
    </w:p>
    <w:p w14:paraId="53AC0E3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联系人：周老师</w:t>
      </w:r>
    </w:p>
    <w:p w14:paraId="0AA9505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联系方式：18100632543</w:t>
      </w:r>
    </w:p>
    <w:p w14:paraId="1C7BA14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2.采购代理机构信息</w:t>
      </w:r>
    </w:p>
    <w:p w14:paraId="4DE5DBF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名 称：南通建辰工程咨询有限公司</w:t>
      </w:r>
    </w:p>
    <w:p w14:paraId="0634195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地 址：南通市红星路1号太阳鑫城1幢东单元6楼</w:t>
      </w:r>
    </w:p>
    <w:p w14:paraId="17BC5E6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联系方式：0513-89010636</w:t>
      </w:r>
    </w:p>
    <w:p w14:paraId="307E08F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3.项目联系方式</w:t>
      </w:r>
    </w:p>
    <w:p w14:paraId="6E2B592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采购文件制作人：陆语石</w:t>
      </w:r>
    </w:p>
    <w:p w14:paraId="100904F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eastAsia="宋体" w:cs="宋体"/>
          <w:color w:val="000000"/>
          <w:sz w:val="24"/>
          <w:szCs w:val="24"/>
        </w:rPr>
      </w:pPr>
      <w:r>
        <w:rPr>
          <w:rFonts w:hint="eastAsia" w:eastAsia="宋体" w:cs="宋体"/>
          <w:color w:val="000000"/>
          <w:sz w:val="24"/>
          <w:szCs w:val="24"/>
        </w:rPr>
        <w:t>电 话：0513-89010636</w:t>
      </w:r>
    </w:p>
    <w:p w14:paraId="450F531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color w:val="000000"/>
          <w:sz w:val="24"/>
          <w:szCs w:val="24"/>
        </w:rPr>
      </w:pPr>
      <w:r>
        <w:rPr>
          <w:rFonts w:hint="eastAsia" w:eastAsia="宋体" w:cs="宋体"/>
          <w:color w:val="000000"/>
          <w:sz w:val="24"/>
          <w:szCs w:val="24"/>
        </w:rPr>
        <w:t>4.软件技术支持：0519-86722801</w:t>
      </w:r>
    </w:p>
    <w:bookmarkEnd w:id="6"/>
    <w:p w14:paraId="73135A94">
      <w:pPr>
        <w:pStyle w:val="3"/>
        <w:pBdr>
          <w:top w:val="none" w:color="000000" w:sz="0" w:space="0"/>
          <w:left w:val="none" w:color="000000" w:sz="0" w:space="0"/>
          <w:bottom w:val="none" w:color="000000" w:sz="0" w:space="0"/>
          <w:right w:val="none" w:color="000000" w:sz="0" w:space="0"/>
        </w:pBdr>
        <w:shd w:val="clear"/>
        <w:spacing w:before="0" w:after="0" w:line="360" w:lineRule="auto"/>
        <w:ind w:firstLine="482" w:firstLineChars="200"/>
        <w:rPr>
          <w:rFonts w:hint="eastAsia" w:ascii="宋体" w:hAnsi="宋体" w:eastAsia="宋体" w:cs="宋体"/>
          <w:b/>
          <w:sz w:val="24"/>
          <w:szCs w:val="24"/>
        </w:rPr>
      </w:pPr>
    </w:p>
    <w:p w14:paraId="28CC0254">
      <w:pPr>
        <w:pStyle w:val="3"/>
        <w:pBdr>
          <w:top w:val="none" w:color="000000" w:sz="0" w:space="0"/>
          <w:left w:val="none" w:color="000000" w:sz="0" w:space="0"/>
          <w:bottom w:val="none" w:color="000000" w:sz="0" w:space="0"/>
          <w:right w:val="none" w:color="000000" w:sz="0" w:space="0"/>
        </w:pBdr>
        <w:shd w:val="clear"/>
        <w:spacing w:before="0" w:after="0" w:line="360" w:lineRule="auto"/>
        <w:ind w:firstLine="482" w:firstLineChars="200"/>
        <w:rPr>
          <w:rFonts w:hint="eastAsia" w:ascii="宋体" w:hAnsi="宋体" w:eastAsia="宋体" w:cs="宋体"/>
          <w:b/>
          <w:sz w:val="24"/>
          <w:szCs w:val="24"/>
        </w:rPr>
      </w:pPr>
    </w:p>
    <w:p w14:paraId="77F456E6">
      <w:pPr>
        <w:pStyle w:val="3"/>
        <w:pBdr>
          <w:top w:val="none" w:color="000000" w:sz="0" w:space="0"/>
          <w:left w:val="none" w:color="000000" w:sz="0" w:space="0"/>
          <w:bottom w:val="none" w:color="000000" w:sz="0" w:space="0"/>
          <w:right w:val="none" w:color="000000" w:sz="0" w:space="0"/>
        </w:pBdr>
        <w:shd w:val="clear"/>
        <w:spacing w:before="0" w:after="0"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附件：</w:t>
      </w:r>
    </w:p>
    <w:p w14:paraId="73B6ADD0">
      <w:pPr>
        <w:pStyle w:val="3"/>
        <w:pBdr>
          <w:top w:val="none" w:color="000000" w:sz="0" w:space="0"/>
          <w:left w:val="none" w:color="000000" w:sz="0" w:space="0"/>
          <w:bottom w:val="none" w:color="000000" w:sz="0" w:space="0"/>
          <w:right w:val="none" w:color="000000" w:sz="0" w:space="0"/>
        </w:pBdr>
        <w:shd w:val="clear"/>
        <w:spacing w:before="0" w:after="0"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1.公开招标文件</w:t>
      </w:r>
    </w:p>
    <w:p w14:paraId="4236F2EF">
      <w:pPr>
        <w:pStyle w:val="3"/>
        <w:pBdr>
          <w:top w:val="none" w:color="000000" w:sz="0" w:space="0"/>
          <w:left w:val="none" w:color="000000" w:sz="0" w:space="0"/>
          <w:bottom w:val="none" w:color="000000" w:sz="0" w:space="0"/>
          <w:right w:val="none" w:color="000000" w:sz="0" w:space="0"/>
        </w:pBdr>
        <w:shd w:val="clear"/>
        <w:spacing w:before="0" w:after="0"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2.政府采购采购人信用承诺书</w:t>
      </w:r>
    </w:p>
    <w:p w14:paraId="511283BB">
      <w:pPr>
        <w:pStyle w:val="3"/>
        <w:pBdr>
          <w:top w:val="none" w:color="000000" w:sz="0" w:space="0"/>
          <w:left w:val="none" w:color="000000" w:sz="0" w:space="0"/>
          <w:bottom w:val="none" w:color="000000" w:sz="0" w:space="0"/>
          <w:right w:val="none" w:color="000000" w:sz="0" w:space="0"/>
        </w:pBdr>
        <w:shd w:val="clear"/>
        <w:spacing w:before="0" w:after="0"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3.公平竞争审查二维码</w:t>
      </w:r>
    </w:p>
    <w:p w14:paraId="4E546CA8">
      <w:pPr>
        <w:pStyle w:val="3"/>
        <w:pBdr>
          <w:top w:val="none" w:color="000000" w:sz="0" w:space="0"/>
          <w:left w:val="none" w:color="000000" w:sz="0" w:space="0"/>
          <w:bottom w:val="none" w:color="000000" w:sz="0" w:space="0"/>
          <w:right w:val="none" w:color="000000" w:sz="0" w:space="0"/>
        </w:pBdr>
        <w:shd w:val="clear"/>
        <w:spacing w:before="0" w:after="0"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4.办理政采贷和履约保函（保险）告知函</w:t>
      </w:r>
    </w:p>
    <w:p w14:paraId="066E2519">
      <w:pPr>
        <w:shd w:val="clear"/>
        <w:spacing w:line="360" w:lineRule="auto"/>
        <w:contextualSpacing/>
        <w:jc w:val="center"/>
        <w:rPr>
          <w:rFonts w:eastAsia="宋体" w:cs="宋体"/>
          <w:b/>
          <w:color w:val="000000"/>
          <w:sz w:val="36"/>
          <w:szCs w:val="36"/>
        </w:rPr>
      </w:pPr>
      <w:bookmarkStart w:id="7" w:name="_Toc13543213"/>
    </w:p>
    <w:p w14:paraId="4A91F218">
      <w:pPr>
        <w:shd w:val="clear"/>
        <w:rPr>
          <w:rFonts w:eastAsia="宋体" w:cs="宋体"/>
          <w:b/>
          <w:color w:val="000000"/>
          <w:sz w:val="36"/>
          <w:szCs w:val="36"/>
        </w:rPr>
      </w:pPr>
      <w:r>
        <w:rPr>
          <w:rFonts w:hint="eastAsia" w:eastAsia="宋体" w:cs="宋体"/>
          <w:b/>
          <w:color w:val="000000"/>
          <w:sz w:val="36"/>
          <w:szCs w:val="36"/>
        </w:rPr>
        <w:br w:type="page"/>
      </w:r>
    </w:p>
    <w:p w14:paraId="5C015D88">
      <w:pPr>
        <w:shd w:val="clear"/>
        <w:spacing w:line="360" w:lineRule="auto"/>
        <w:contextualSpacing/>
        <w:jc w:val="center"/>
        <w:rPr>
          <w:rFonts w:eastAsia="宋体"/>
          <w:b/>
          <w:color w:val="000000"/>
          <w:sz w:val="24"/>
          <w:szCs w:val="24"/>
        </w:rPr>
      </w:pPr>
      <w:r>
        <w:rPr>
          <w:rFonts w:hint="eastAsia" w:eastAsia="宋体" w:cs="宋体"/>
          <w:b/>
          <w:color w:val="000000"/>
          <w:sz w:val="36"/>
          <w:szCs w:val="36"/>
        </w:rPr>
        <w:t>第二章  投标人须知</w:t>
      </w:r>
    </w:p>
    <w:p w14:paraId="3B6E09F1">
      <w:pPr>
        <w:shd w:val="clear"/>
        <w:spacing w:line="360" w:lineRule="auto"/>
        <w:ind w:firstLine="422" w:firstLineChars="200"/>
        <w:contextualSpacing/>
        <w:rPr>
          <w:rFonts w:eastAsia="宋体"/>
          <w:b/>
          <w:color w:val="000000"/>
          <w:sz w:val="21"/>
          <w:szCs w:val="21"/>
        </w:rPr>
      </w:pPr>
    </w:p>
    <w:p w14:paraId="07802CBC">
      <w:pPr>
        <w:shd w:val="clear"/>
        <w:spacing w:line="360" w:lineRule="auto"/>
        <w:ind w:firstLine="482" w:firstLineChars="200"/>
        <w:contextualSpacing/>
        <w:rPr>
          <w:rFonts w:eastAsia="宋体"/>
          <w:b/>
          <w:color w:val="000000"/>
          <w:sz w:val="24"/>
          <w:szCs w:val="24"/>
        </w:rPr>
      </w:pPr>
      <w:r>
        <w:rPr>
          <w:rFonts w:hint="eastAsia" w:eastAsia="宋体"/>
          <w:b/>
          <w:color w:val="000000"/>
          <w:sz w:val="24"/>
          <w:szCs w:val="24"/>
        </w:rPr>
        <w:t>一、总则</w:t>
      </w:r>
    </w:p>
    <w:p w14:paraId="5B40D507">
      <w:pPr>
        <w:shd w:val="clear"/>
        <w:spacing w:line="360" w:lineRule="auto"/>
        <w:ind w:firstLine="480" w:firstLineChars="200"/>
        <w:contextualSpacing/>
        <w:rPr>
          <w:rFonts w:eastAsia="宋体"/>
          <w:b/>
          <w:bCs/>
          <w:color w:val="000000"/>
          <w:sz w:val="24"/>
          <w:szCs w:val="24"/>
        </w:rPr>
      </w:pPr>
      <w:r>
        <w:rPr>
          <w:rFonts w:hint="eastAsia" w:eastAsia="宋体"/>
          <w:color w:val="000000"/>
          <w:sz w:val="24"/>
          <w:szCs w:val="24"/>
        </w:rPr>
        <w:t>1.招标方式</w:t>
      </w:r>
    </w:p>
    <w:p w14:paraId="6139583D">
      <w:pPr>
        <w:shd w:val="clear"/>
        <w:spacing w:line="360" w:lineRule="auto"/>
        <w:ind w:firstLine="480" w:firstLineChars="200"/>
        <w:contextualSpacing/>
        <w:rPr>
          <w:rFonts w:eastAsia="宋体"/>
          <w:color w:val="000000"/>
          <w:sz w:val="24"/>
          <w:szCs w:val="24"/>
        </w:rPr>
      </w:pPr>
      <w:r>
        <w:rPr>
          <w:rFonts w:hint="eastAsia" w:eastAsia="宋体"/>
          <w:color w:val="000000"/>
          <w:sz w:val="24"/>
          <w:szCs w:val="24"/>
        </w:rPr>
        <w:t>1.1 本次招标采取公开招标方式，本招标文件仅适用于招标公告中所述项目。</w:t>
      </w:r>
    </w:p>
    <w:p w14:paraId="6FFB0F2C">
      <w:pPr>
        <w:shd w:val="clear"/>
        <w:spacing w:line="360" w:lineRule="auto"/>
        <w:ind w:firstLine="480" w:firstLineChars="200"/>
        <w:contextualSpacing/>
        <w:rPr>
          <w:rFonts w:eastAsia="宋体"/>
          <w:b/>
          <w:bCs/>
          <w:color w:val="000000"/>
          <w:sz w:val="24"/>
          <w:szCs w:val="24"/>
        </w:rPr>
      </w:pPr>
      <w:r>
        <w:rPr>
          <w:rFonts w:hint="eastAsia" w:eastAsia="宋体"/>
          <w:color w:val="000000"/>
          <w:sz w:val="24"/>
          <w:szCs w:val="24"/>
        </w:rPr>
        <w:t>2.合格的投标人</w:t>
      </w:r>
    </w:p>
    <w:p w14:paraId="0D820439">
      <w:pPr>
        <w:shd w:val="clear"/>
        <w:spacing w:line="360" w:lineRule="auto"/>
        <w:ind w:firstLine="480" w:firstLineChars="200"/>
        <w:contextualSpacing/>
        <w:rPr>
          <w:rFonts w:eastAsia="宋体"/>
          <w:color w:val="000000"/>
          <w:sz w:val="24"/>
          <w:szCs w:val="24"/>
        </w:rPr>
      </w:pPr>
      <w:r>
        <w:rPr>
          <w:rFonts w:hint="eastAsia" w:eastAsia="宋体"/>
          <w:color w:val="000000"/>
          <w:sz w:val="24"/>
          <w:szCs w:val="24"/>
        </w:rPr>
        <w:t>2.1 满足招标公告中投标人的资格要求的规定。</w:t>
      </w:r>
    </w:p>
    <w:p w14:paraId="4FE8AE49">
      <w:pPr>
        <w:shd w:val="clear"/>
        <w:spacing w:line="360" w:lineRule="auto"/>
        <w:ind w:firstLine="480" w:firstLineChars="200"/>
        <w:contextualSpacing/>
        <w:rPr>
          <w:rFonts w:eastAsia="宋体"/>
          <w:color w:val="000000"/>
          <w:sz w:val="24"/>
          <w:szCs w:val="24"/>
        </w:rPr>
      </w:pPr>
      <w:r>
        <w:rPr>
          <w:rFonts w:hint="eastAsia" w:eastAsia="宋体"/>
          <w:color w:val="000000"/>
          <w:sz w:val="24"/>
          <w:szCs w:val="24"/>
        </w:rPr>
        <w:t>2.2 满足本文件实质性要求和条件的规定。</w:t>
      </w:r>
    </w:p>
    <w:p w14:paraId="2C730D79">
      <w:pPr>
        <w:shd w:val="clear"/>
        <w:spacing w:line="360" w:lineRule="auto"/>
        <w:ind w:firstLine="480" w:firstLineChars="200"/>
        <w:contextualSpacing/>
        <w:rPr>
          <w:rFonts w:eastAsia="宋体"/>
          <w:b/>
          <w:bCs/>
          <w:color w:val="000000"/>
          <w:sz w:val="24"/>
          <w:szCs w:val="24"/>
        </w:rPr>
      </w:pPr>
      <w:r>
        <w:rPr>
          <w:rFonts w:hint="eastAsia" w:eastAsia="宋体"/>
          <w:color w:val="000000"/>
          <w:sz w:val="24"/>
          <w:szCs w:val="24"/>
        </w:rPr>
        <w:t>3.适用法律</w:t>
      </w:r>
    </w:p>
    <w:p w14:paraId="54D8A476">
      <w:pPr>
        <w:shd w:val="clear"/>
        <w:spacing w:line="360" w:lineRule="auto"/>
        <w:ind w:firstLine="480" w:firstLineChars="200"/>
        <w:contextualSpacing/>
        <w:rPr>
          <w:rFonts w:eastAsia="宋体"/>
          <w:color w:val="000000"/>
          <w:sz w:val="24"/>
          <w:szCs w:val="24"/>
        </w:rPr>
      </w:pPr>
      <w:r>
        <w:rPr>
          <w:rFonts w:hint="eastAsia" w:eastAsia="宋体"/>
          <w:color w:val="000000"/>
          <w:sz w:val="24"/>
          <w:szCs w:val="24"/>
        </w:rPr>
        <w:t>3.1 本次招标及由此产生的合同受中华人民共和国有关的法律法规制约和保护。</w:t>
      </w:r>
    </w:p>
    <w:p w14:paraId="162A23FA">
      <w:pPr>
        <w:shd w:val="clear"/>
        <w:spacing w:line="360" w:lineRule="auto"/>
        <w:ind w:firstLine="480" w:firstLineChars="200"/>
        <w:contextualSpacing/>
        <w:rPr>
          <w:rFonts w:eastAsia="宋体"/>
          <w:color w:val="000000"/>
          <w:sz w:val="24"/>
          <w:szCs w:val="24"/>
        </w:rPr>
      </w:pPr>
      <w:r>
        <w:rPr>
          <w:rFonts w:hint="eastAsia" w:eastAsia="宋体"/>
          <w:color w:val="000000"/>
          <w:sz w:val="24"/>
          <w:szCs w:val="24"/>
        </w:rPr>
        <w:t>4.投标费用</w:t>
      </w:r>
    </w:p>
    <w:p w14:paraId="69B2F0E1">
      <w:pPr>
        <w:shd w:val="clear"/>
        <w:spacing w:line="360" w:lineRule="auto"/>
        <w:ind w:firstLine="480" w:firstLineChars="200"/>
        <w:contextualSpacing/>
        <w:rPr>
          <w:rFonts w:eastAsia="宋体"/>
          <w:color w:val="000000"/>
          <w:sz w:val="24"/>
          <w:szCs w:val="24"/>
        </w:rPr>
      </w:pPr>
      <w:r>
        <w:rPr>
          <w:rFonts w:hint="eastAsia" w:eastAsia="宋体"/>
          <w:color w:val="000000"/>
          <w:sz w:val="24"/>
          <w:szCs w:val="24"/>
        </w:rPr>
        <w:t>4.1 投标人应自行承担所有与参加投标有关的费用，无论投标过程中的做法和结果如何，</w:t>
      </w:r>
      <w:r>
        <w:rPr>
          <w:rFonts w:hint="eastAsia" w:eastAsia="宋体"/>
          <w:color w:val="000000"/>
          <w:sz w:val="24"/>
          <w:szCs w:val="24"/>
          <w:lang w:eastAsia="zh-CN"/>
        </w:rPr>
        <w:t>采购人</w:t>
      </w:r>
      <w:r>
        <w:rPr>
          <w:rFonts w:hint="eastAsia" w:eastAsia="宋体"/>
          <w:color w:val="000000"/>
          <w:sz w:val="24"/>
          <w:szCs w:val="24"/>
        </w:rPr>
        <w:t>及代理机构在任何情况下均无义务和责任承担这些费用。</w:t>
      </w:r>
    </w:p>
    <w:p w14:paraId="10CFD762">
      <w:pPr>
        <w:shd w:val="clear"/>
        <w:spacing w:line="360" w:lineRule="auto"/>
        <w:ind w:firstLine="480" w:firstLineChars="200"/>
        <w:contextualSpacing/>
        <w:rPr>
          <w:rFonts w:eastAsia="宋体"/>
          <w:color w:val="000000"/>
          <w:sz w:val="24"/>
          <w:szCs w:val="24"/>
        </w:rPr>
      </w:pPr>
      <w:r>
        <w:rPr>
          <w:rFonts w:hint="eastAsia" w:eastAsia="宋体"/>
          <w:color w:val="000000"/>
          <w:sz w:val="24"/>
          <w:szCs w:val="24"/>
        </w:rPr>
        <w:t>4.2 采购人不收取任何费用。</w:t>
      </w:r>
    </w:p>
    <w:p w14:paraId="64CD51F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eastAsia="宋体"/>
          <w:color w:val="000000"/>
          <w:sz w:val="24"/>
          <w:szCs w:val="24"/>
        </w:rPr>
        <w:t>4.3 招标代理费：</w:t>
      </w:r>
      <w:r>
        <w:rPr>
          <w:rFonts w:hint="eastAsia" w:ascii="宋体" w:hAnsi="宋体" w:eastAsia="宋体" w:cs="宋体"/>
          <w:color w:val="auto"/>
          <w:sz w:val="24"/>
          <w:szCs w:val="24"/>
          <w:highlight w:val="none"/>
        </w:rPr>
        <w:t>依据财政部《政府采购代理机构管理暂行办法》第十五条规定，约定由中标（成交）供应商向招标代理机构支付代理服务费。代理服务费计取金额按照《江苏省政府采购代理常规服务收费指导价》列明的定额或差额定率分档累进费率和项目中标或者成交金额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有分包的以一个项目计算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结果的70%计</w:t>
      </w:r>
      <w:r>
        <w:rPr>
          <w:rFonts w:hint="eastAsia" w:ascii="宋体" w:hAnsi="宋体" w:eastAsia="宋体" w:cs="宋体"/>
          <w:color w:val="auto"/>
          <w:sz w:val="24"/>
          <w:szCs w:val="24"/>
          <w:highlight w:val="none"/>
          <w:lang w:eastAsia="zh-CN"/>
        </w:rPr>
        <w:t>（不足</w:t>
      </w:r>
      <w:r>
        <w:rPr>
          <w:rFonts w:hint="eastAsia" w:ascii="宋体" w:hAnsi="宋体" w:eastAsia="宋体" w:cs="宋体"/>
          <w:color w:val="auto"/>
          <w:sz w:val="24"/>
          <w:szCs w:val="24"/>
          <w:highlight w:val="none"/>
          <w:lang w:val="en-US" w:eastAsia="zh-CN"/>
        </w:rPr>
        <w:t>3500元按3500元计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，此项费用含在投标报价中，并不单独列项，由中标（成交）供应商在取得中标（成交）通知书前，向招标代理机构一次付清。</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28"/>
        <w:gridCol w:w="2245"/>
      </w:tblGrid>
      <w:tr w14:paraId="1B1EC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4128" w:type="dxa"/>
            <w:vAlign w:val="center"/>
          </w:tcPr>
          <w:p w14:paraId="75BBDB73">
            <w:pPr>
              <w:keepNext w:val="0"/>
              <w:keepLines w:val="0"/>
              <w:pageBreakBefore w:val="0"/>
              <w:widowControl w:val="0"/>
              <w:shd w:val="clear"/>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中标或者成交金额</w:t>
            </w:r>
          </w:p>
        </w:tc>
        <w:tc>
          <w:tcPr>
            <w:tcW w:w="2245" w:type="dxa"/>
            <w:vAlign w:val="center"/>
          </w:tcPr>
          <w:p w14:paraId="2576E799">
            <w:pPr>
              <w:keepNext w:val="0"/>
              <w:keepLines w:val="0"/>
              <w:pageBreakBefore w:val="0"/>
              <w:widowControl w:val="0"/>
              <w:shd w:val="clear"/>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费率</w:t>
            </w:r>
          </w:p>
        </w:tc>
      </w:tr>
      <w:tr w14:paraId="1CDC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4128" w:type="dxa"/>
            <w:vAlign w:val="center"/>
          </w:tcPr>
          <w:p w14:paraId="1C3B9CB4">
            <w:pPr>
              <w:keepNext w:val="0"/>
              <w:keepLines w:val="0"/>
              <w:pageBreakBefore w:val="0"/>
              <w:widowControl w:val="0"/>
              <w:shd w:val="clear"/>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50万元以下</w:t>
            </w:r>
            <w:r>
              <w:rPr>
                <w:rFonts w:hint="eastAsia" w:ascii="宋体" w:hAnsi="宋体" w:eastAsia="宋体" w:cs="宋体"/>
                <w:sz w:val="24"/>
                <w:szCs w:val="24"/>
                <w:lang w:eastAsia="zh-CN"/>
              </w:rPr>
              <w:t>（</w:t>
            </w:r>
            <w:r>
              <w:rPr>
                <w:rFonts w:hint="eastAsia" w:ascii="宋体" w:hAnsi="宋体" w:eastAsia="宋体" w:cs="宋体"/>
                <w:sz w:val="24"/>
                <w:szCs w:val="24"/>
              </w:rPr>
              <w:t>含50万元</w:t>
            </w:r>
            <w:r>
              <w:rPr>
                <w:rFonts w:hint="eastAsia" w:ascii="宋体" w:hAnsi="宋体" w:eastAsia="宋体" w:cs="宋体"/>
                <w:sz w:val="24"/>
                <w:szCs w:val="24"/>
                <w:lang w:eastAsia="zh-CN"/>
              </w:rPr>
              <w:t>）</w:t>
            </w:r>
          </w:p>
        </w:tc>
        <w:tc>
          <w:tcPr>
            <w:tcW w:w="2245" w:type="dxa"/>
            <w:vAlign w:val="center"/>
          </w:tcPr>
          <w:p w14:paraId="69E43BF7">
            <w:pPr>
              <w:keepNext w:val="0"/>
              <w:keepLines w:val="0"/>
              <w:pageBreakBefore w:val="0"/>
              <w:widowControl w:val="0"/>
              <w:shd w:val="clear"/>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r>
      <w:tr w14:paraId="3878D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4128" w:type="dxa"/>
            <w:vAlign w:val="center"/>
          </w:tcPr>
          <w:p w14:paraId="6ECF38D5">
            <w:pPr>
              <w:keepNext w:val="0"/>
              <w:keepLines w:val="0"/>
              <w:pageBreakBefore w:val="0"/>
              <w:widowControl w:val="0"/>
              <w:shd w:val="clear"/>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50-400万元</w:t>
            </w:r>
            <w:r>
              <w:rPr>
                <w:rFonts w:hint="eastAsia" w:ascii="宋体" w:hAnsi="宋体" w:eastAsia="宋体" w:cs="宋体"/>
                <w:sz w:val="24"/>
                <w:szCs w:val="24"/>
                <w:lang w:eastAsia="zh-CN"/>
              </w:rPr>
              <w:t>（</w:t>
            </w:r>
            <w:r>
              <w:rPr>
                <w:rFonts w:hint="eastAsia" w:ascii="宋体" w:hAnsi="宋体" w:eastAsia="宋体" w:cs="宋体"/>
                <w:sz w:val="24"/>
                <w:szCs w:val="24"/>
              </w:rPr>
              <w:t>含400万元</w:t>
            </w:r>
            <w:r>
              <w:rPr>
                <w:rFonts w:hint="eastAsia" w:ascii="宋体" w:hAnsi="宋体" w:eastAsia="宋体" w:cs="宋体"/>
                <w:sz w:val="24"/>
                <w:szCs w:val="24"/>
                <w:lang w:eastAsia="zh-CN"/>
              </w:rPr>
              <w:t>）</w:t>
            </w:r>
          </w:p>
        </w:tc>
        <w:tc>
          <w:tcPr>
            <w:tcW w:w="2245" w:type="dxa"/>
            <w:vAlign w:val="center"/>
          </w:tcPr>
          <w:p w14:paraId="0A86853A">
            <w:pPr>
              <w:keepNext w:val="0"/>
              <w:keepLines w:val="0"/>
              <w:pageBreakBefore w:val="0"/>
              <w:widowControl w:val="0"/>
              <w:shd w:val="clear"/>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r>
    </w:tbl>
    <w:p w14:paraId="6EF7D38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采购代理服务费收取账户信息如下：</w:t>
      </w:r>
    </w:p>
    <w:p w14:paraId="347B314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收款单位：南通建辰工程咨询有限公司；</w:t>
      </w:r>
    </w:p>
    <w:p w14:paraId="751EF44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开户行：上海浦东发展银行南通分行；</w:t>
      </w:r>
    </w:p>
    <w:p w14:paraId="3F8DD5B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账  号：88010154730000186。</w:t>
      </w:r>
    </w:p>
    <w:p w14:paraId="3F4D38A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
          <w:bCs/>
          <w:color w:val="000000"/>
          <w:sz w:val="24"/>
          <w:szCs w:val="24"/>
        </w:rPr>
      </w:pPr>
      <w:r>
        <w:rPr>
          <w:rFonts w:hint="eastAsia" w:eastAsia="宋体"/>
          <w:color w:val="000000"/>
          <w:sz w:val="24"/>
          <w:szCs w:val="24"/>
        </w:rPr>
        <w:t>5.招标文件的约束力</w:t>
      </w:r>
    </w:p>
    <w:p w14:paraId="10844B9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5.1</w:t>
      </w:r>
      <w:r>
        <w:rPr>
          <w:rFonts w:hint="eastAsia" w:eastAsia="宋体"/>
          <w:color w:val="000000"/>
          <w:sz w:val="24"/>
          <w:szCs w:val="24"/>
        </w:rPr>
        <w:t xml:space="preserve"> 投标人一旦参加本项目采购活动，即被认为接受了本招标文件的规定和约束。</w:t>
      </w:r>
    </w:p>
    <w:p w14:paraId="3E53EA2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6.招标文件的解释</w:t>
      </w:r>
    </w:p>
    <w:p w14:paraId="344A599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 xml:space="preserve">6.1 </w:t>
      </w:r>
      <w:r>
        <w:rPr>
          <w:rFonts w:hint="eastAsia" w:eastAsia="宋体"/>
          <w:color w:val="000000"/>
          <w:sz w:val="24"/>
          <w:szCs w:val="24"/>
        </w:rPr>
        <w:t>招标文件需求部分（投标人资格要求、项目需求、商务技术评分标准）由</w:t>
      </w:r>
      <w:r>
        <w:rPr>
          <w:rFonts w:hint="eastAsia" w:eastAsia="宋体"/>
          <w:color w:val="000000"/>
          <w:sz w:val="24"/>
          <w:szCs w:val="24"/>
          <w:lang w:eastAsia="zh-CN"/>
        </w:rPr>
        <w:t>采购人</w:t>
      </w:r>
      <w:r>
        <w:rPr>
          <w:rFonts w:hint="eastAsia" w:eastAsia="宋体"/>
          <w:color w:val="000000"/>
          <w:sz w:val="24"/>
          <w:szCs w:val="24"/>
        </w:rPr>
        <w:t>解释，其它部分由招标代理机构解释。</w:t>
      </w:r>
    </w:p>
    <w:p w14:paraId="235AFE7F">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eastAsia="宋体"/>
          <w:b/>
          <w:bCs/>
          <w:color w:val="000000"/>
          <w:sz w:val="24"/>
          <w:szCs w:val="24"/>
        </w:rPr>
        <w:t>二、</w:t>
      </w:r>
      <w:r>
        <w:rPr>
          <w:rFonts w:hint="eastAsia" w:eastAsia="宋体"/>
          <w:b/>
          <w:bCs/>
          <w:color w:val="000000"/>
          <w:sz w:val="24"/>
          <w:szCs w:val="24"/>
        </w:rPr>
        <w:t>招标文件</w:t>
      </w:r>
    </w:p>
    <w:p w14:paraId="74E21A6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
          <w:bCs/>
          <w:color w:val="000000"/>
          <w:sz w:val="24"/>
          <w:szCs w:val="24"/>
        </w:rPr>
      </w:pPr>
      <w:r>
        <w:rPr>
          <w:rFonts w:hint="eastAsia" w:eastAsia="宋体"/>
          <w:color w:val="000000"/>
          <w:sz w:val="24"/>
          <w:szCs w:val="24"/>
        </w:rPr>
        <w:t>1.招标文件构成</w:t>
      </w:r>
    </w:p>
    <w:p w14:paraId="211C2AE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1.1</w:t>
      </w:r>
      <w:r>
        <w:rPr>
          <w:rFonts w:hint="eastAsia" w:eastAsia="宋体"/>
          <w:color w:val="000000"/>
          <w:sz w:val="24"/>
          <w:szCs w:val="24"/>
        </w:rPr>
        <w:t xml:space="preserve"> 招标文件由以下部分组成：</w:t>
      </w:r>
    </w:p>
    <w:p w14:paraId="50A6A40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（1）招标公告</w:t>
      </w:r>
    </w:p>
    <w:p w14:paraId="23EF7EA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（2）投标人须知</w:t>
      </w:r>
    </w:p>
    <w:p w14:paraId="35DAABE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（3）项目需求</w:t>
      </w:r>
    </w:p>
    <w:p w14:paraId="2101919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（4）评审方法和程序</w:t>
      </w:r>
    </w:p>
    <w:p w14:paraId="543B0B1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（5）合同签订与验收付款</w:t>
      </w:r>
    </w:p>
    <w:p w14:paraId="78249AB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（6）合同授予</w:t>
      </w:r>
    </w:p>
    <w:p w14:paraId="2F511F6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（7）质疑与投诉</w:t>
      </w:r>
    </w:p>
    <w:p w14:paraId="562E64B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（8）投标文件组成及格式</w:t>
      </w:r>
    </w:p>
    <w:p w14:paraId="4CD9D5E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请仔细检查招标文件是否齐全，如有缺漏请立即与</w:t>
      </w:r>
      <w:r>
        <w:rPr>
          <w:rFonts w:hint="eastAsia" w:eastAsia="宋体"/>
          <w:bCs/>
          <w:color w:val="000000"/>
          <w:sz w:val="24"/>
          <w:szCs w:val="24"/>
          <w:lang w:eastAsia="zh-CN"/>
        </w:rPr>
        <w:t>采购人</w:t>
      </w:r>
      <w:r>
        <w:rPr>
          <w:rFonts w:hint="eastAsia" w:eastAsia="宋体"/>
          <w:bCs/>
          <w:color w:val="000000"/>
          <w:sz w:val="24"/>
          <w:szCs w:val="24"/>
        </w:rPr>
        <w:t>或招标代理机构</w:t>
      </w:r>
      <w:r>
        <w:rPr>
          <w:rFonts w:hint="eastAsia" w:eastAsia="宋体"/>
          <w:color w:val="000000"/>
          <w:sz w:val="24"/>
          <w:szCs w:val="24"/>
        </w:rPr>
        <w:t>联系解决。</w:t>
      </w:r>
    </w:p>
    <w:p w14:paraId="5BF1006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 xml:space="preserve">1.2 </w:t>
      </w:r>
      <w:r>
        <w:rPr>
          <w:rFonts w:hint="eastAsia" w:eastAsia="宋体"/>
          <w:color w:val="000000"/>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7AA1DD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
          <w:bCs/>
          <w:color w:val="000000"/>
          <w:sz w:val="24"/>
          <w:szCs w:val="24"/>
        </w:rPr>
      </w:pPr>
      <w:r>
        <w:rPr>
          <w:rFonts w:hint="eastAsia" w:eastAsia="宋体"/>
          <w:color w:val="000000"/>
          <w:sz w:val="24"/>
          <w:szCs w:val="24"/>
        </w:rPr>
        <w:t>2.招标文件的澄清</w:t>
      </w:r>
    </w:p>
    <w:p w14:paraId="64472BC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 xml:space="preserve">2.1 </w:t>
      </w:r>
      <w:r>
        <w:rPr>
          <w:rFonts w:hint="eastAsia" w:eastAsia="宋体"/>
          <w:color w:val="000000"/>
          <w:sz w:val="24"/>
          <w:szCs w:val="24"/>
        </w:rPr>
        <w:t>任何要求对招标文件进行澄清的投标人，应在提交投标文件截止时间十日前按招标公告中的通讯地址，以书面形式通知</w:t>
      </w:r>
      <w:r>
        <w:rPr>
          <w:rFonts w:hint="eastAsia" w:eastAsia="宋体"/>
          <w:color w:val="000000"/>
          <w:sz w:val="24"/>
          <w:szCs w:val="24"/>
          <w:lang w:eastAsia="zh-CN"/>
        </w:rPr>
        <w:t>采购人</w:t>
      </w:r>
      <w:r>
        <w:rPr>
          <w:rFonts w:hint="eastAsia" w:eastAsia="宋体"/>
          <w:color w:val="000000"/>
          <w:sz w:val="24"/>
          <w:szCs w:val="24"/>
        </w:rPr>
        <w:t>或招标代理机构。</w:t>
      </w:r>
      <w:r>
        <w:rPr>
          <w:rFonts w:hint="eastAsia" w:eastAsia="宋体"/>
          <w:color w:val="000000"/>
          <w:sz w:val="24"/>
          <w:szCs w:val="24"/>
          <w:lang w:eastAsia="zh-CN"/>
        </w:rPr>
        <w:t>采购人</w:t>
      </w:r>
      <w:r>
        <w:rPr>
          <w:rFonts w:hint="eastAsia" w:eastAsia="宋体"/>
          <w:color w:val="000000"/>
          <w:sz w:val="24"/>
          <w:szCs w:val="24"/>
        </w:rPr>
        <w:t>或招标代理机构有权对发出的招标文件进行必要的澄清或修改。</w:t>
      </w:r>
    </w:p>
    <w:p w14:paraId="1966478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 xml:space="preserve">2.2 </w:t>
      </w:r>
      <w:r>
        <w:rPr>
          <w:rFonts w:hint="eastAsia" w:eastAsia="宋体"/>
          <w:bCs/>
          <w:color w:val="000000"/>
          <w:sz w:val="24"/>
          <w:szCs w:val="24"/>
          <w:lang w:eastAsia="zh-CN"/>
        </w:rPr>
        <w:t>采购人</w:t>
      </w:r>
      <w:r>
        <w:rPr>
          <w:rFonts w:hint="eastAsia" w:eastAsia="宋体"/>
          <w:color w:val="000000"/>
          <w:sz w:val="24"/>
          <w:szCs w:val="24"/>
        </w:rPr>
        <w:t>可以视采购项目的具体情况，组织投标人进行现场考察或召开答疑会，但不单独或分别组织只有一个投标人参加的现场考察和答疑会。</w:t>
      </w:r>
    </w:p>
    <w:p w14:paraId="03D2092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
          <w:bCs/>
          <w:color w:val="000000"/>
          <w:sz w:val="24"/>
          <w:szCs w:val="24"/>
        </w:rPr>
      </w:pPr>
      <w:r>
        <w:rPr>
          <w:rFonts w:hint="eastAsia" w:eastAsia="宋体"/>
          <w:color w:val="000000"/>
          <w:sz w:val="24"/>
          <w:szCs w:val="24"/>
        </w:rPr>
        <w:t>3.招标文件的修改</w:t>
      </w:r>
    </w:p>
    <w:p w14:paraId="2BB5656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3.1 在投标文件提交截止时间前，</w:t>
      </w:r>
      <w:r>
        <w:rPr>
          <w:rFonts w:hint="eastAsia" w:eastAsia="宋体"/>
          <w:bCs/>
          <w:color w:val="000000"/>
          <w:sz w:val="24"/>
          <w:szCs w:val="24"/>
          <w:lang w:eastAsia="zh-CN"/>
        </w:rPr>
        <w:t>采购人</w:t>
      </w:r>
      <w:r>
        <w:rPr>
          <w:rFonts w:hint="eastAsia" w:eastAsia="宋体"/>
          <w:bCs/>
          <w:color w:val="000000"/>
          <w:sz w:val="24"/>
          <w:szCs w:val="24"/>
        </w:rPr>
        <w:t>或招标代理机构可以对招标文件进行修改</w:t>
      </w:r>
      <w:r>
        <w:rPr>
          <w:rFonts w:hint="eastAsia" w:eastAsia="宋体"/>
          <w:color w:val="000000"/>
          <w:sz w:val="24"/>
          <w:szCs w:val="24"/>
        </w:rPr>
        <w:t>，澄清或者修改的内容作为招标文件的组成部分。</w:t>
      </w:r>
    </w:p>
    <w:p w14:paraId="6900B4A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 xml:space="preserve">3.2 </w:t>
      </w:r>
      <w:r>
        <w:rPr>
          <w:rFonts w:hint="eastAsia" w:eastAsia="宋体"/>
          <w:bCs/>
          <w:color w:val="000000"/>
          <w:sz w:val="24"/>
          <w:szCs w:val="24"/>
          <w:lang w:eastAsia="zh-CN"/>
        </w:rPr>
        <w:t>采购人</w:t>
      </w:r>
      <w:r>
        <w:rPr>
          <w:rFonts w:hint="eastAsia" w:eastAsia="宋体"/>
          <w:bCs/>
          <w:color w:val="000000"/>
          <w:sz w:val="24"/>
          <w:szCs w:val="24"/>
        </w:rPr>
        <w:t>或招标代理机构有权按照法定的要求推迟投标文件提交截止日期和开标日期。</w:t>
      </w:r>
    </w:p>
    <w:p w14:paraId="5B2045E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3.3 招标文件的修改将在江苏政府采购网公布，补充文件将作为招标文件的组成部分，并对投标人具有约束力</w:t>
      </w:r>
      <w:r>
        <w:rPr>
          <w:rFonts w:hint="eastAsia" w:eastAsia="宋体"/>
          <w:color w:val="000000"/>
          <w:sz w:val="24"/>
          <w:szCs w:val="24"/>
        </w:rPr>
        <w:t>。</w:t>
      </w:r>
    </w:p>
    <w:p w14:paraId="0025E4AB">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u w:val="single"/>
        </w:rPr>
      </w:pPr>
      <w:r>
        <w:rPr>
          <w:rFonts w:hint="eastAsia" w:eastAsia="宋体"/>
          <w:b/>
          <w:bCs/>
          <w:color w:val="000000"/>
          <w:sz w:val="24"/>
          <w:szCs w:val="24"/>
          <w:u w:val="single"/>
        </w:rPr>
        <w:t>4.在投标文件提交截止日期，</w:t>
      </w:r>
      <w:r>
        <w:rPr>
          <w:rFonts w:hint="eastAsia" w:eastAsia="宋体"/>
          <w:b/>
          <w:bCs/>
          <w:color w:val="000000"/>
          <w:sz w:val="24"/>
          <w:szCs w:val="24"/>
          <w:u w:val="single"/>
          <w:lang w:eastAsia="zh-CN"/>
        </w:rPr>
        <w:t>采购人</w:t>
      </w:r>
      <w:r>
        <w:rPr>
          <w:rFonts w:hint="eastAsia" w:eastAsia="宋体"/>
          <w:b/>
          <w:bCs/>
          <w:color w:val="000000"/>
          <w:sz w:val="24"/>
          <w:szCs w:val="24"/>
          <w:u w:val="single"/>
        </w:rPr>
        <w:t>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48C2275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5.投标人对</w:t>
      </w:r>
      <w:r>
        <w:rPr>
          <w:rFonts w:hint="eastAsia" w:eastAsia="宋体"/>
          <w:color w:val="000000"/>
          <w:sz w:val="24"/>
          <w:szCs w:val="24"/>
          <w:lang w:eastAsia="zh-CN"/>
        </w:rPr>
        <w:t>采购人</w:t>
      </w:r>
      <w:r>
        <w:rPr>
          <w:rFonts w:hint="eastAsia" w:eastAsia="宋体"/>
          <w:color w:val="000000"/>
          <w:sz w:val="24"/>
          <w:szCs w:val="24"/>
        </w:rPr>
        <w:t>提供的招标文件所做出的推论、解释和结论，</w:t>
      </w:r>
      <w:r>
        <w:rPr>
          <w:rFonts w:hint="eastAsia" w:eastAsia="宋体"/>
          <w:color w:val="000000"/>
          <w:sz w:val="24"/>
          <w:szCs w:val="24"/>
          <w:lang w:eastAsia="zh-CN"/>
        </w:rPr>
        <w:t>采购人</w:t>
      </w:r>
      <w:r>
        <w:rPr>
          <w:rFonts w:hint="eastAsia" w:eastAsia="宋体"/>
          <w:color w:val="000000"/>
          <w:sz w:val="24"/>
          <w:szCs w:val="24"/>
        </w:rPr>
        <w:t>概不负责。投标人由于对招标文件的任何推论和误解以及</w:t>
      </w:r>
      <w:r>
        <w:rPr>
          <w:rFonts w:hint="eastAsia" w:eastAsia="宋体"/>
          <w:color w:val="000000"/>
          <w:sz w:val="24"/>
          <w:szCs w:val="24"/>
          <w:lang w:eastAsia="zh-CN"/>
        </w:rPr>
        <w:t>采购人</w:t>
      </w:r>
      <w:r>
        <w:rPr>
          <w:rFonts w:hint="eastAsia" w:eastAsia="宋体"/>
          <w:color w:val="000000"/>
          <w:sz w:val="24"/>
          <w:szCs w:val="24"/>
        </w:rPr>
        <w:t>对有关问题的口头解释所造成的后果，均由各潜在投标人自负。</w:t>
      </w:r>
    </w:p>
    <w:p w14:paraId="5B6D4AA4">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三</w:t>
      </w:r>
      <w:r>
        <w:rPr>
          <w:rFonts w:eastAsia="宋体"/>
          <w:b/>
          <w:bCs/>
          <w:color w:val="000000"/>
          <w:sz w:val="24"/>
          <w:szCs w:val="24"/>
        </w:rPr>
        <w:t>、</w:t>
      </w:r>
      <w:r>
        <w:rPr>
          <w:rFonts w:hint="eastAsia" w:eastAsia="宋体"/>
          <w:b/>
          <w:bCs/>
          <w:color w:val="000000"/>
          <w:sz w:val="24"/>
          <w:szCs w:val="24"/>
        </w:rPr>
        <w:t>投标文件的编制</w:t>
      </w:r>
    </w:p>
    <w:p w14:paraId="0AD569B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1.投标文件的语言及度量衡单位</w:t>
      </w:r>
    </w:p>
    <w:p w14:paraId="3845802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1.1 投标人提交的投标文件以及投标人与</w:t>
      </w:r>
      <w:r>
        <w:rPr>
          <w:rFonts w:hint="eastAsia" w:eastAsia="宋体"/>
          <w:bCs/>
          <w:color w:val="000000"/>
          <w:sz w:val="24"/>
          <w:szCs w:val="24"/>
          <w:lang w:eastAsia="zh-CN"/>
        </w:rPr>
        <w:t>采购人</w:t>
      </w:r>
      <w:r>
        <w:rPr>
          <w:rFonts w:hint="eastAsia" w:eastAsia="宋体"/>
          <w:bCs/>
          <w:color w:val="000000"/>
          <w:sz w:val="24"/>
          <w:szCs w:val="24"/>
        </w:rPr>
        <w:t>或招标代理机构就有关投标的所有来往通知、函件和文件均应使用简体中文。</w:t>
      </w:r>
    </w:p>
    <w:p w14:paraId="5D52168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1.2 除技术性能另有规定外，投标文件所使用的度量衡单位，均须采用国家法定计量单位。</w:t>
      </w:r>
    </w:p>
    <w:p w14:paraId="313657D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2.投标文件构成</w:t>
      </w:r>
    </w:p>
    <w:p w14:paraId="0CD57C9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2.1 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p>
    <w:p w14:paraId="7518CB3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2.2 如标书制作工具中格式和内容与“江苏政府采购网”发布的招标文件不一致，请以“江苏政府采购网”发布的招标文件为准。</w:t>
      </w:r>
    </w:p>
    <w:p w14:paraId="53392FE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3.证明投标人及投标标的符合招标文件规定的文件</w:t>
      </w:r>
    </w:p>
    <w:p w14:paraId="53EFCE3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3.1 投标人应按照法律、法规、规章和规范性文件以及招标文件要求提交证明文件，证明其及投标标的符合招标文件规定。</w:t>
      </w:r>
    </w:p>
    <w:p w14:paraId="31C611C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3.2 招标文件对证明文件无明确形式要求的，证明文件可以以文字资料、图纸和数据等形式提交。</w:t>
      </w:r>
    </w:p>
    <w:p w14:paraId="16A3FEC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4.投标分项报价表</w:t>
      </w:r>
    </w:p>
    <w:p w14:paraId="2C7277E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4.1 投标人应按照招标文件规定格式填报投标分项报价表。</w:t>
      </w:r>
    </w:p>
    <w:p w14:paraId="3E6DCD2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4.2 投标货币。投标文件中的单价和总价无特殊规定的采用人民币报价，以元为单位标注。招标文件中另有规定的按规定执行。</w:t>
      </w:r>
    </w:p>
    <w:p w14:paraId="15651A6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5.技术要求响应及偏离表、商务要求响应及偏离表</w:t>
      </w:r>
    </w:p>
    <w:p w14:paraId="62B2C03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 投标人需对招标文件中的技术要求与商务要求逐项作出响应或偏离，并说明原因。</w:t>
      </w:r>
    </w:p>
    <w:p w14:paraId="7E845C1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5.2 投标人可在投标文件中提供认为需要的其他技术文件或说明。</w:t>
      </w:r>
    </w:p>
    <w:p w14:paraId="36CE9A7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6.投标函和开标一览表</w:t>
      </w:r>
    </w:p>
    <w:p w14:paraId="2F09215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6.1 投标人应按照招标文件中提供的格式完整、正确填写投标函、开标一览表。</w:t>
      </w:r>
      <w:r>
        <w:rPr>
          <w:rFonts w:hint="eastAsia" w:eastAsia="宋体"/>
          <w:b/>
          <w:color w:val="000000"/>
          <w:sz w:val="24"/>
          <w:szCs w:val="24"/>
          <w:u w:val="single"/>
        </w:rPr>
        <w:t>*每项货物、服务等只允许有一个报价，任何有选择的报价将不予接受，将作为无效投标文件处理。</w:t>
      </w:r>
    </w:p>
    <w:p w14:paraId="0C5123C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7.投标有效期</w:t>
      </w:r>
    </w:p>
    <w:p w14:paraId="1FD772D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7.1 投标有效期为招标文件规定的投标文件提交截止时间后</w:t>
      </w:r>
      <w:r>
        <w:rPr>
          <w:rFonts w:hint="eastAsia" w:eastAsia="宋体"/>
          <w:bCs/>
          <w:color w:val="000000"/>
          <w:sz w:val="24"/>
          <w:szCs w:val="24"/>
          <w:u w:val="single"/>
        </w:rPr>
        <w:t>六十（60）天</w:t>
      </w:r>
      <w:r>
        <w:rPr>
          <w:rFonts w:hint="eastAsia" w:eastAsia="宋体"/>
          <w:bCs/>
          <w:color w:val="000000"/>
          <w:sz w:val="24"/>
          <w:szCs w:val="24"/>
        </w:rPr>
        <w:t>。投标有效期比规定短的将被视为非实质性响应而予以拒绝。</w:t>
      </w:r>
    </w:p>
    <w:p w14:paraId="275CCC1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8.投标有效期的延长</w:t>
      </w:r>
    </w:p>
    <w:p w14:paraId="2E0E541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8.1 在特殊情况下，</w:t>
      </w:r>
      <w:r>
        <w:rPr>
          <w:rFonts w:hint="eastAsia" w:eastAsia="宋体"/>
          <w:bCs/>
          <w:color w:val="000000"/>
          <w:sz w:val="24"/>
          <w:szCs w:val="24"/>
          <w:lang w:eastAsia="zh-CN"/>
        </w:rPr>
        <w:t>采购人</w:t>
      </w:r>
      <w:r>
        <w:rPr>
          <w:rFonts w:hint="eastAsia" w:eastAsia="宋体"/>
          <w:bCs/>
          <w:color w:val="000000"/>
          <w:sz w:val="24"/>
          <w:szCs w:val="24"/>
        </w:rPr>
        <w:t>或招标代理机构于原投标有效期满之前，可向投标人提出延长投标有效期的要求。这种要求与答复均应采用书面形式。投标人可以拒绝</w:t>
      </w:r>
      <w:r>
        <w:rPr>
          <w:rFonts w:hint="eastAsia" w:eastAsia="宋体"/>
          <w:bCs/>
          <w:color w:val="000000"/>
          <w:sz w:val="24"/>
          <w:szCs w:val="24"/>
          <w:lang w:eastAsia="zh-CN"/>
        </w:rPr>
        <w:t>采购人</w:t>
      </w:r>
      <w:r>
        <w:rPr>
          <w:rFonts w:hint="eastAsia" w:eastAsia="宋体"/>
          <w:bCs/>
          <w:color w:val="000000"/>
          <w:sz w:val="24"/>
          <w:szCs w:val="24"/>
        </w:rPr>
        <w:t>或招标代理机构的这一要求而放弃投标，同意延长投标有效期的投标人既不能要求也不允许修改其投标文件，同时受投标有效期约束的所有权利与义务均延长至新的有效期。</w:t>
      </w:r>
    </w:p>
    <w:p w14:paraId="76BDBA7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9.电子投标文件其他要求</w:t>
      </w:r>
    </w:p>
    <w:p w14:paraId="67A86B6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9.1 电子招标投标交易平台（即“苏采云”系统）相关要求是本招标文件的组成部分。</w:t>
      </w:r>
    </w:p>
    <w:p w14:paraId="432E5E4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9.2 投标人应对CA证书妥善保管，如被他人盗用投标，因此带来的结果均由投标人自行承担。</w:t>
      </w:r>
    </w:p>
    <w:p w14:paraId="64E4E67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9.3 投标人应当对招标文件提出的实质性要求和条件作出实质性响应，并在电子投标系统逐条应答。</w:t>
      </w:r>
    </w:p>
    <w:p w14:paraId="3C6B824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 xml:space="preserve">9.4 投标人应对要求提供的资格证明文件（如资质证书、资格证书）、技术资料（如白皮书、彩页、手册、检测报告等）扫描上传至投标系统。 </w:t>
      </w:r>
    </w:p>
    <w:p w14:paraId="0370FBF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10.投标人应当在招标文件要求提交投标文件的截止时间前，将投标文件提交至“苏采云”系统，逾期提交的投标文件，“苏采云”系统将自动拒收。各投标人应在规定时间内凭CA证书进行网上解密。</w:t>
      </w:r>
    </w:p>
    <w:p w14:paraId="207DF77D">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olor w:val="000000"/>
          <w:sz w:val="24"/>
          <w:szCs w:val="24"/>
        </w:rPr>
      </w:pPr>
      <w:r>
        <w:rPr>
          <w:rFonts w:hint="eastAsia" w:eastAsia="宋体"/>
          <w:b/>
          <w:bCs/>
          <w:color w:val="000000"/>
          <w:sz w:val="24"/>
          <w:szCs w:val="24"/>
        </w:rPr>
        <w:t>四</w:t>
      </w:r>
      <w:r>
        <w:rPr>
          <w:rFonts w:eastAsia="宋体"/>
          <w:b/>
          <w:bCs/>
          <w:color w:val="000000"/>
          <w:sz w:val="24"/>
          <w:szCs w:val="24"/>
        </w:rPr>
        <w:t>、</w:t>
      </w:r>
      <w:r>
        <w:rPr>
          <w:rFonts w:hint="eastAsia" w:eastAsia="宋体" w:cs="宋体"/>
          <w:b/>
          <w:bCs/>
          <w:color w:val="000000"/>
          <w:sz w:val="24"/>
          <w:szCs w:val="24"/>
        </w:rPr>
        <w:t>投标文件的提交</w:t>
      </w:r>
    </w:p>
    <w:p w14:paraId="1B8C2CF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
          <w:bCs/>
          <w:color w:val="000000"/>
          <w:sz w:val="24"/>
          <w:szCs w:val="24"/>
        </w:rPr>
      </w:pPr>
      <w:r>
        <w:rPr>
          <w:rFonts w:hint="eastAsia" w:eastAsia="宋体"/>
          <w:bCs/>
          <w:color w:val="000000"/>
          <w:sz w:val="24"/>
          <w:szCs w:val="24"/>
        </w:rPr>
        <w:t>1.投标文件的提交</w:t>
      </w:r>
    </w:p>
    <w:p w14:paraId="6BA595D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1.1 线上提交与接收地点：投标人应当通过“苏采云”系统提交数据电文形式的投标文件（即电子投标），“苏采云”系统自动接收。</w:t>
      </w:r>
    </w:p>
    <w:p w14:paraId="4A71FC9F">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11F53D8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2.提交投标文件截止日期</w:t>
      </w:r>
    </w:p>
    <w:p w14:paraId="084513E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2.1 投标人上传电子投标文件的时间不得迟于公开招标公告中规定的投标文件提交截止时间。</w:t>
      </w:r>
    </w:p>
    <w:p w14:paraId="5D18FB1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投标人应充分考虑到网络环境、网络带宽等风险因素，如因投标人自身原因造成的电子投标文件上传不成功由投标人自行承担全部责任。</w:t>
      </w:r>
    </w:p>
    <w:p w14:paraId="2265F62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 xml:space="preserve">2.2 </w:t>
      </w:r>
      <w:r>
        <w:rPr>
          <w:rFonts w:hint="eastAsia" w:eastAsia="宋体"/>
          <w:bCs/>
          <w:color w:val="000000"/>
          <w:sz w:val="24"/>
          <w:szCs w:val="24"/>
          <w:lang w:eastAsia="zh-CN"/>
        </w:rPr>
        <w:t>采购人</w:t>
      </w:r>
      <w:r>
        <w:rPr>
          <w:rFonts w:hint="eastAsia" w:eastAsia="宋体"/>
          <w:bCs/>
          <w:color w:val="000000"/>
          <w:sz w:val="24"/>
          <w:szCs w:val="24"/>
        </w:rPr>
        <w:t>或招标代理机构可以按照规定，通过修改投标文件酌情延长投标文件提交截止日期，在此情况下，投标人的所有权利和义务以及投标人受制的截止日期均应以延长后新的截止日期为准。</w:t>
      </w:r>
    </w:p>
    <w:p w14:paraId="3CA10A9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3.投标文件的密封（加密）要求：</w:t>
      </w:r>
    </w:p>
    <w:p w14:paraId="0920F7B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3.1 投标人应当按照招标文件和“苏采云”系统的要求编制并加密投标文件。本项目投标人须通过“苏采云”系统提供的政府采购客户端工具（使用“CA数字证书”）对其数据电文形式的投标文件加密。</w:t>
      </w:r>
    </w:p>
    <w:p w14:paraId="50CBD05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3.2 投标人须通过“苏采云”系统提供的政府采购客户端工具（使用“CA数字证书”）加盖电子签章。</w:t>
      </w:r>
    </w:p>
    <w:p w14:paraId="36038D0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说明：投标人应在用CA数字证书以及自备的能够登录“苏采云”系统的电脑，在达到开标时间后，使用CA数字证书解密各自投标文件。</w:t>
      </w:r>
    </w:p>
    <w:p w14:paraId="41469BC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3.3 投标人未按规定加密的投标文件，“苏采云”系统将拒收并提示。</w:t>
      </w:r>
    </w:p>
    <w:p w14:paraId="4CD26D9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4.投标文件的拒收</w:t>
      </w:r>
    </w:p>
    <w:p w14:paraId="3FC32D5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4.1 招标代理机构拒绝接收在其规定的投标文件提交截止时间后上传的任何投标文件。</w:t>
      </w:r>
    </w:p>
    <w:p w14:paraId="3DAE791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5.投标文件的撤回和修改</w:t>
      </w:r>
    </w:p>
    <w:p w14:paraId="6968E43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 投标文件的撤回</w:t>
      </w:r>
    </w:p>
    <w:p w14:paraId="7808D36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5.1.1 电子投标文件的撤回</w:t>
      </w:r>
    </w:p>
    <w:p w14:paraId="05A3B93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投标人可在投标文件提交截止时间前，撤回其电子投标文件，具体操作方法见“苏采云”系统供应商操作手册。</w:t>
      </w:r>
    </w:p>
    <w:p w14:paraId="75054AD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5.1.2 投标人撤回电子投标文件，则认为其不再参与本项目投标活动。</w:t>
      </w:r>
    </w:p>
    <w:p w14:paraId="6716295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5.2 投标文件的修改</w:t>
      </w:r>
    </w:p>
    <w:p w14:paraId="583C269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投标人可在投标文件提交截止时间前，对其电子投标文件进行修改。具体操作方法见“苏采云”系统供应商操作手册。</w:t>
      </w:r>
    </w:p>
    <w:p w14:paraId="16A1A66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5.3 在投标文件提交截止时间之后，投标人不得对其电子投标文件作任何修改。</w:t>
      </w:r>
    </w:p>
    <w:p w14:paraId="527AA48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5.4 在投标文件提交截止时间至招标文件中规定的投标有效期满之间的这段时间内，投标人不得撤回其投标文件。</w:t>
      </w:r>
    </w:p>
    <w:p w14:paraId="46077FDA">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6.投标文件线上格式要求</w:t>
      </w:r>
    </w:p>
    <w:p w14:paraId="28C0A4B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6.1 供应商应当通过“苏采云”系统提交数据电文形式的投标文件（即电子投标）。</w:t>
      </w:r>
    </w:p>
    <w:p w14:paraId="017CB8A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6.2 通过“苏采云”系统提交政府采购客户端工具导出加密的投标文件（后缀名为zip）。响应文件不得超过150M!</w:t>
      </w:r>
    </w:p>
    <w:p w14:paraId="28C3EDC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6.3 本项目采用线上投标，即供应商投标文件从政府采购客户端工具制作通过“苏采云”系统提交，未提供线上投标文件的，投标无效。</w:t>
      </w:r>
    </w:p>
    <w:p w14:paraId="7F84C2DA">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五</w:t>
      </w:r>
      <w:r>
        <w:rPr>
          <w:rFonts w:eastAsia="宋体"/>
          <w:b/>
          <w:bCs/>
          <w:color w:val="000000"/>
          <w:sz w:val="24"/>
          <w:szCs w:val="24"/>
        </w:rPr>
        <w:t>、</w:t>
      </w:r>
      <w:r>
        <w:rPr>
          <w:rFonts w:hint="eastAsia" w:eastAsia="宋体"/>
          <w:b/>
          <w:bCs/>
          <w:color w:val="000000"/>
          <w:sz w:val="24"/>
          <w:szCs w:val="24"/>
        </w:rPr>
        <w:t>开标与评标</w:t>
      </w:r>
    </w:p>
    <w:p w14:paraId="2334245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1.开标</w:t>
      </w:r>
    </w:p>
    <w:p w14:paraId="2261DDB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 xml:space="preserve">1.1 </w:t>
      </w:r>
      <w:r>
        <w:rPr>
          <w:rFonts w:hint="eastAsia" w:eastAsia="宋体"/>
          <w:b/>
          <w:color w:val="000000"/>
          <w:sz w:val="24"/>
          <w:szCs w:val="24"/>
        </w:rPr>
        <w:t>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30分钟之内完成。</w:t>
      </w:r>
    </w:p>
    <w:p w14:paraId="1F83885A">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color w:val="000000"/>
          <w:sz w:val="24"/>
          <w:szCs w:val="24"/>
        </w:rPr>
      </w:pPr>
      <w:r>
        <w:rPr>
          <w:rFonts w:hint="eastAsia" w:eastAsia="宋体"/>
          <w:b/>
          <w:color w:val="000000"/>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rPr>
        <w:t>因</w:t>
      </w:r>
      <w:r>
        <w:rPr>
          <w:rFonts w:hint="eastAsia" w:eastAsia="宋体"/>
          <w:b/>
          <w:color w:val="000000"/>
          <w:sz w:val="24"/>
          <w:szCs w:val="24"/>
          <w:lang w:eastAsia="zh-CN"/>
        </w:rPr>
        <w:t>采购人</w:t>
      </w:r>
      <w:r>
        <w:rPr>
          <w:rFonts w:hint="eastAsia" w:eastAsia="宋体"/>
          <w:b/>
          <w:color w:val="000000"/>
          <w:sz w:val="24"/>
          <w:szCs w:val="24"/>
        </w:rPr>
        <w:t>（或招标代理机构）原因或网上招投标平台发生故障，导致无法按时完成投标文件解密或开、评标工作无法进行的，可根据实际情况相应延迟解密时间或调整开、评标时间。</w:t>
      </w:r>
    </w:p>
    <w:p w14:paraId="1412BA7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 xml:space="preserve">1.2 </w:t>
      </w:r>
      <w:r>
        <w:rPr>
          <w:rFonts w:hint="eastAsia" w:eastAsia="宋体"/>
          <w:color w:val="000000"/>
          <w:sz w:val="24"/>
          <w:szCs w:val="24"/>
        </w:rPr>
        <w:t>开标仪式由</w:t>
      </w:r>
      <w:r>
        <w:rPr>
          <w:rFonts w:hint="eastAsia" w:eastAsia="宋体"/>
          <w:bCs/>
          <w:color w:val="000000"/>
          <w:sz w:val="24"/>
          <w:szCs w:val="24"/>
        </w:rPr>
        <w:t>招标代理机构</w:t>
      </w:r>
      <w:r>
        <w:rPr>
          <w:rFonts w:hint="eastAsia" w:eastAsia="宋体"/>
          <w:color w:val="000000"/>
          <w:sz w:val="24"/>
          <w:szCs w:val="24"/>
        </w:rPr>
        <w:t>组织。苏采云系统将自动对项目进行开标，并宣布各投标人名称和投标价格。</w:t>
      </w:r>
    </w:p>
    <w:p w14:paraId="2D89266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bCs/>
          <w:color w:val="000000"/>
          <w:sz w:val="24"/>
          <w:szCs w:val="24"/>
        </w:rPr>
        <w:t>1.3 投标人在开标过程中涉及到的投标文件解密、开标结果确认等工作，应按照“苏采云”系统供应商操作手册规定执行。</w:t>
      </w:r>
    </w:p>
    <w:p w14:paraId="0193F55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
          <w:color w:val="000000"/>
          <w:sz w:val="24"/>
          <w:szCs w:val="24"/>
        </w:rPr>
      </w:pPr>
      <w:r>
        <w:rPr>
          <w:rFonts w:hint="eastAsia" w:eastAsia="宋体"/>
          <w:color w:val="000000"/>
          <w:sz w:val="24"/>
          <w:szCs w:val="24"/>
        </w:rPr>
        <w:t>1.4 投标人如果对开标过程和开标记录有疑义，应当根据</w:t>
      </w:r>
      <w:r>
        <w:rPr>
          <w:rFonts w:hint="eastAsia" w:eastAsia="宋体"/>
          <w:bCs/>
          <w:color w:val="000000"/>
          <w:sz w:val="24"/>
          <w:szCs w:val="24"/>
        </w:rPr>
        <w:t>“苏采云”系统供应商操作手册</w:t>
      </w:r>
      <w:r>
        <w:rPr>
          <w:rFonts w:hint="eastAsia" w:eastAsia="宋体"/>
          <w:color w:val="000000"/>
          <w:sz w:val="24"/>
          <w:szCs w:val="24"/>
        </w:rPr>
        <w:t>规定提出，如苏采云系统中《开标记录表》宣布后5分钟内未提出的，视同认可开标结果。</w:t>
      </w:r>
    </w:p>
    <w:p w14:paraId="2438115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2.评标委员会</w:t>
      </w:r>
    </w:p>
    <w:p w14:paraId="15FD8DA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2.1 开标后，招标代理机构将立即组织评标委员会（以下简称评委会）进行评审。</w:t>
      </w:r>
    </w:p>
    <w:p w14:paraId="3B2EE46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2.2 评委会由</w:t>
      </w:r>
      <w:r>
        <w:rPr>
          <w:rFonts w:hint="eastAsia" w:eastAsia="宋体"/>
          <w:color w:val="000000"/>
          <w:sz w:val="24"/>
          <w:szCs w:val="24"/>
          <w:lang w:eastAsia="zh-CN"/>
        </w:rPr>
        <w:t>采购人</w:t>
      </w:r>
      <w:r>
        <w:rPr>
          <w:rFonts w:hint="eastAsia" w:eastAsia="宋体"/>
          <w:color w:val="000000"/>
          <w:sz w:val="24"/>
          <w:szCs w:val="24"/>
        </w:rPr>
        <w:t>代表和有关技术、经济等方面的专家组成，且人员构成符合政府采购有关规定。</w:t>
      </w:r>
    </w:p>
    <w:p w14:paraId="10FCA76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2.3 评标委员会独立工作，负责评审所有投标文件并确定中标候选人。</w:t>
      </w:r>
    </w:p>
    <w:p w14:paraId="47B01A0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3.评审过程的保密与公正</w:t>
      </w:r>
    </w:p>
    <w:p w14:paraId="49E43E9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3.1 评标委员会、</w:t>
      </w:r>
      <w:r>
        <w:rPr>
          <w:rFonts w:hint="eastAsia" w:eastAsia="宋体"/>
          <w:color w:val="000000"/>
          <w:sz w:val="24"/>
          <w:szCs w:val="24"/>
          <w:lang w:eastAsia="zh-CN"/>
        </w:rPr>
        <w:t>采购人</w:t>
      </w:r>
      <w:r>
        <w:rPr>
          <w:rFonts w:hint="eastAsia" w:eastAsia="宋体"/>
          <w:color w:val="000000"/>
          <w:sz w:val="24"/>
          <w:szCs w:val="24"/>
        </w:rPr>
        <w:t>或招标代理机构、相关监督人员等与评审工作有关的人员，对评审情况以及在评审过程中获悉的国家秘密、商业秘密负有保密责任。</w:t>
      </w:r>
    </w:p>
    <w:p w14:paraId="5440EBF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3.2 在评审过程中，投标人不得以任何行为影响评审过程，否则其投标文件将被作为无效投标文件。</w:t>
      </w:r>
    </w:p>
    <w:p w14:paraId="59A9FBE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3.3 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6932F46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3.4 凡是与审查、澄清、评价和比较投标的有关资料以及授标建议等，</w:t>
      </w:r>
      <w:r>
        <w:rPr>
          <w:rFonts w:hint="eastAsia" w:eastAsia="宋体"/>
          <w:color w:val="000000"/>
          <w:sz w:val="24"/>
          <w:szCs w:val="24"/>
          <w:lang w:eastAsia="zh-CN"/>
        </w:rPr>
        <w:t>采购人</w:t>
      </w:r>
      <w:r>
        <w:rPr>
          <w:rFonts w:hint="eastAsia" w:eastAsia="宋体"/>
          <w:color w:val="000000"/>
          <w:sz w:val="24"/>
          <w:szCs w:val="24"/>
        </w:rPr>
        <w:t>、评标委员会、招标代理机构均不得向投标人或与评标无关的其他人员透露。</w:t>
      </w:r>
    </w:p>
    <w:p w14:paraId="62D7524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3.5 在评审期间，招标代理机构将设专门人员与投标人联系。</w:t>
      </w:r>
    </w:p>
    <w:p w14:paraId="797BA05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 xml:space="preserve">3.6 </w:t>
      </w:r>
      <w:r>
        <w:rPr>
          <w:rFonts w:hint="eastAsia" w:eastAsia="宋体"/>
          <w:color w:val="000000"/>
          <w:sz w:val="24"/>
          <w:szCs w:val="24"/>
          <w:lang w:eastAsia="zh-CN"/>
        </w:rPr>
        <w:t>采购人</w:t>
      </w:r>
      <w:r>
        <w:rPr>
          <w:rFonts w:hint="eastAsia" w:eastAsia="宋体"/>
          <w:color w:val="000000"/>
          <w:sz w:val="24"/>
          <w:szCs w:val="24"/>
        </w:rPr>
        <w:t>、招标代理机构和评标委员会不向未中标的投标人解释未中标原因，也不公布评审过程中的相关细节。</w:t>
      </w:r>
    </w:p>
    <w:p w14:paraId="16C2245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3.7 采用综合评分法的项目，未中标的投标人可于中标结果公告期限届满之日起通过苏采云系统查看自己的评审得分及排序情况。</w:t>
      </w:r>
    </w:p>
    <w:p w14:paraId="30F7BF4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4.投标文件的澄清</w:t>
      </w:r>
    </w:p>
    <w:p w14:paraId="2B727CD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622CCAE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4.2 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6B6FF41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4.3 接到评标委员会澄清、说明和更正要求的投标人如未按规定做出澄清、说明和 更正，其风险由投标人自行承担。</w:t>
      </w:r>
    </w:p>
    <w:p w14:paraId="40F4658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5.对投标文件的审查</w:t>
      </w:r>
    </w:p>
    <w:p w14:paraId="7AE7F56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 投标文件初审分为资格性审查和符合性审查。</w:t>
      </w:r>
    </w:p>
    <w:p w14:paraId="2FBDAEC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5.1.1 资格性检查：依据法律法规和招标文件的规定，由</w:t>
      </w:r>
      <w:r>
        <w:rPr>
          <w:rFonts w:hint="eastAsia" w:eastAsia="宋体"/>
          <w:bCs/>
          <w:color w:val="000000"/>
          <w:sz w:val="24"/>
          <w:szCs w:val="24"/>
          <w:lang w:eastAsia="zh-CN"/>
        </w:rPr>
        <w:t>采购人</w:t>
      </w:r>
      <w:r>
        <w:rPr>
          <w:rFonts w:hint="eastAsia" w:eastAsia="宋体"/>
          <w:bCs/>
          <w:color w:val="000000"/>
          <w:sz w:val="24"/>
          <w:szCs w:val="24"/>
        </w:rPr>
        <w:t>对投标文件中的资格证明文件进行审查。资格审查的结论，</w:t>
      </w:r>
      <w:r>
        <w:rPr>
          <w:rFonts w:hint="eastAsia" w:eastAsia="宋体"/>
          <w:bCs/>
          <w:color w:val="000000"/>
          <w:sz w:val="24"/>
          <w:szCs w:val="24"/>
          <w:lang w:eastAsia="zh-CN"/>
        </w:rPr>
        <w:t>采购人</w:t>
      </w:r>
      <w:r>
        <w:rPr>
          <w:rFonts w:hint="eastAsia" w:eastAsia="宋体"/>
          <w:bCs/>
          <w:color w:val="000000"/>
          <w:sz w:val="24"/>
          <w:szCs w:val="24"/>
        </w:rPr>
        <w:t>以书面形式向评委会进行反馈。</w:t>
      </w:r>
    </w:p>
    <w:p w14:paraId="1AE7040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eastAsia="zh-CN"/>
        </w:rPr>
        <w:t>采购人</w:t>
      </w:r>
      <w:r>
        <w:rPr>
          <w:rFonts w:hint="eastAsia" w:eastAsia="宋体"/>
          <w:bCs/>
          <w:color w:val="000000"/>
          <w:sz w:val="24"/>
          <w:szCs w:val="24"/>
        </w:rPr>
        <w:t>在进行资格性审查的同时，将在“信用中国”网站查询投标人的信用记录，以确定投标人是否具备投标资格，查询结果留存并归档。</w:t>
      </w:r>
    </w:p>
    <w:p w14:paraId="2B91499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7FC02A2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5.1.2 符合性审查：依据招标文件的规定，由评标委员会从投标文件的有效性、完整性和对招标文件的响应程度进行审查，以确定是否对招标文件的实质性要求作出响应。</w:t>
      </w:r>
    </w:p>
    <w:p w14:paraId="0A1DD1E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5.1.3 未通过资格审查或符合性审查的投标人，招标代理机构将在</w:t>
      </w:r>
      <w:r>
        <w:rPr>
          <w:rFonts w:hint="eastAsia" w:eastAsia="宋体"/>
          <w:color w:val="000000"/>
          <w:sz w:val="24"/>
          <w:szCs w:val="24"/>
        </w:rPr>
        <w:t>苏采云系统</w:t>
      </w:r>
      <w:r>
        <w:rPr>
          <w:rFonts w:hint="eastAsia" w:eastAsia="宋体"/>
          <w:bCs/>
          <w:color w:val="000000"/>
          <w:sz w:val="24"/>
          <w:szCs w:val="24"/>
        </w:rPr>
        <w:t>中告知未通过资格审查或符合性审查的原因，评审结束后，招标代理机构将不再告知未通过资格审查或符合性审查的原因。</w:t>
      </w:r>
    </w:p>
    <w:p w14:paraId="350ADD3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 xml:space="preserve">5.2 </w:t>
      </w:r>
      <w:r>
        <w:rPr>
          <w:rFonts w:hint="eastAsia" w:eastAsia="宋体"/>
          <w:color w:val="000000"/>
          <w:sz w:val="24"/>
          <w:szCs w:val="24"/>
        </w:rPr>
        <w:t>在详细评审之前</w:t>
      </w:r>
      <w:r>
        <w:rPr>
          <w:rFonts w:hint="eastAsia" w:eastAsia="宋体"/>
          <w:bCs/>
          <w:color w:val="000000"/>
          <w:sz w:val="24"/>
          <w:szCs w:val="24"/>
        </w:rPr>
        <w:t>，评标委员会将首先审查每份投标文件是否实质性响应了招标文件的要求。实质性响应的投标文件应该是与招标文件要求的全部条款、条件和规格相符，没有重大负偏离或保留。</w:t>
      </w:r>
    </w:p>
    <w:p w14:paraId="7CD6683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rPr>
        <w:t>重大偏离的认定需经过评委会以少数服从多数的原则作出结论</w:t>
      </w:r>
      <w:r>
        <w:rPr>
          <w:rFonts w:hint="eastAsia" w:eastAsia="宋体"/>
          <w:bCs/>
          <w:color w:val="000000"/>
          <w:sz w:val="24"/>
          <w:szCs w:val="24"/>
        </w:rPr>
        <w:t>。评标委员会决定投标文件的响应性只根据投标文件本身的内容，而不寻求外部的证据。</w:t>
      </w:r>
    </w:p>
    <w:p w14:paraId="4868036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5.3 如果投标文件实质上没有响应招标文件的要求，评标委员会将予以拒绝，投标人不得通过修改或撤销不符合要求的偏离或保留而使其投标文件成为实质性响应的文件。</w:t>
      </w:r>
    </w:p>
    <w:p w14:paraId="5956898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5.4 评标委员会将对确定为实质性响应的文件进行进一步审核，看其是否有计算上或累加上的算术错误，修正错误的原则如下：</w:t>
      </w:r>
    </w:p>
    <w:p w14:paraId="67E6484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（1）投标文件中开标一览表内容与投标文件中相应内容不一致的，以开标一览表为准。</w:t>
      </w:r>
    </w:p>
    <w:p w14:paraId="0870600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（2）大写金额和小写金额不一致的，以大写金额为准。</w:t>
      </w:r>
    </w:p>
    <w:p w14:paraId="5A21C7C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（3）单价金额小数点或者百分比有明显错位的，以开标一览表的总价为准，并修改单价。</w:t>
      </w:r>
    </w:p>
    <w:p w14:paraId="5CF9530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（4）总价金额与按单价汇总金额不一致的，以单价金额计算结果为准。</w:t>
      </w:r>
    </w:p>
    <w:p w14:paraId="63F3803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同时出现两种以上错误的，按照前款规定的顺序修正。</w:t>
      </w:r>
    </w:p>
    <w:p w14:paraId="0F8BD40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5.5 评标委员会将按上述修正错误的方法调整投标文件中的报价，通过“苏采云系统”告知投标人，调整后的价格应对投标人具有约束力。如果投标人不接受修正后的价格，则其投标文件将被拒绝。</w:t>
      </w:r>
    </w:p>
    <w:p w14:paraId="0251833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5.6 评标委员会将允许修正投标文件中不构成重大偏离的、微小的、非正规的、不一致的或不规则的地方，但这些修改不能影响任何投标人相应的名次排列。</w:t>
      </w:r>
    </w:p>
    <w:p w14:paraId="0C23555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28E5A61">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color w:val="000000"/>
          <w:sz w:val="24"/>
          <w:szCs w:val="24"/>
        </w:rPr>
      </w:pPr>
      <w:r>
        <w:rPr>
          <w:rFonts w:hint="eastAsia" w:eastAsia="宋体"/>
          <w:b/>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A2E0F4C">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color w:val="000000"/>
          <w:sz w:val="24"/>
          <w:szCs w:val="24"/>
        </w:rPr>
      </w:pPr>
      <w:r>
        <w:rPr>
          <w:rFonts w:hint="eastAsia" w:eastAsia="宋体"/>
          <w:b/>
          <w:color w:val="000000"/>
          <w:sz w:val="24"/>
          <w:szCs w:val="24"/>
        </w:rPr>
        <w:t>非单一产品采购项目，招标文件中将载明其中的核心产品。多家投标人提供的核心产品品牌相同的，按前两款规定处理。</w:t>
      </w:r>
    </w:p>
    <w:p w14:paraId="040DBFE3">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val="0"/>
          <w:color w:val="000000"/>
          <w:sz w:val="24"/>
          <w:szCs w:val="24"/>
        </w:rPr>
      </w:pPr>
      <w:r>
        <w:rPr>
          <w:rFonts w:hint="eastAsia" w:eastAsia="宋体"/>
          <w:b/>
          <w:bCs w:val="0"/>
          <w:color w:val="000000"/>
          <w:sz w:val="24"/>
          <w:szCs w:val="24"/>
        </w:rPr>
        <w:t>5.8 评审委员会启动异常低价投标（响应）审查的情形和具体要求：</w:t>
      </w:r>
    </w:p>
    <w:p w14:paraId="1E8722C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（一）根据财政部财库〔2026〕2号《关于推动解决政府采购异常低价问题的通知》文件精神，评审中出现下列情形之一的，评审委员会应当启动异常低价投标（响应）审查程序：</w:t>
      </w:r>
    </w:p>
    <w:p w14:paraId="414F33A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1.投标（响应）报价低于全部通过符合性审查供应商投标（响应）报价平均值50%的，即投标（响应）报价&lt;全部通过符合性审查供应商投标（响应）报价平均值×50%；</w:t>
      </w:r>
    </w:p>
    <w:p w14:paraId="167D0F9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2.投标（响应）报价低于通过符合性审查的次低报价供应商投标（响应）报价50%的，即投标（响应）报价&lt;通过符合性审查的次低报价供应商投标（响应）报价×50%；</w:t>
      </w:r>
    </w:p>
    <w:p w14:paraId="56CCEF9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3.投标（响应）报价低于采购项目最高限价45%的，即投标（响应）报价&lt;采购项目最高限价×45%；</w:t>
      </w:r>
    </w:p>
    <w:p w14:paraId="0F109A3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4.评审委员会基于专业判断，认为供应商报价过低，有可能影响产品质量或者不能诚信履约的其他情形。</w:t>
      </w:r>
    </w:p>
    <w:p w14:paraId="0AF8534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相关法律法规对供应商报价有规定的，从其规定。</w:t>
      </w:r>
    </w:p>
    <w:p w14:paraId="73A049F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43AF1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AA14ED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95A522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异常低价投标（响应）审查的启动原因、审查意见和审查结果应当在评审报告中记录，并随供应商提供的相关书面说明及证明材料，以及评审委员会有关互联网浏览、查询历史一并归档。</w:t>
      </w:r>
    </w:p>
    <w:p w14:paraId="690E063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5.9</w:t>
      </w:r>
      <w:r>
        <w:rPr>
          <w:rFonts w:hint="eastAsia" w:eastAsia="宋体"/>
          <w:color w:val="000000"/>
          <w:sz w:val="24"/>
          <w:szCs w:val="24"/>
          <w:lang w:val="en-US" w:eastAsia="zh-CN"/>
        </w:rPr>
        <w:t xml:space="preserve"> </w:t>
      </w:r>
      <w:r>
        <w:rPr>
          <w:rFonts w:hint="eastAsia" w:eastAsia="宋体"/>
          <w:color w:val="000000"/>
          <w:sz w:val="24"/>
          <w:szCs w:val="24"/>
        </w:rPr>
        <w:t>投标人在开、评标全过程中应保持通讯畅通，及时登录苏采云系统查阅、答复相关信息</w:t>
      </w:r>
      <w:r>
        <w:rPr>
          <w:rFonts w:hint="eastAsia" w:eastAsia="宋体"/>
          <w:bCs/>
          <w:color w:val="000000"/>
          <w:sz w:val="24"/>
          <w:szCs w:val="24"/>
        </w:rPr>
        <w:t>，并安排专人与</w:t>
      </w:r>
      <w:r>
        <w:rPr>
          <w:rFonts w:hint="eastAsia" w:eastAsia="宋体"/>
          <w:bCs/>
          <w:color w:val="000000"/>
          <w:sz w:val="24"/>
          <w:szCs w:val="24"/>
          <w:lang w:eastAsia="zh-CN"/>
        </w:rPr>
        <w:t>采购人</w:t>
      </w:r>
      <w:r>
        <w:rPr>
          <w:rFonts w:hint="eastAsia" w:eastAsia="宋体"/>
          <w:bCs/>
          <w:color w:val="000000"/>
          <w:sz w:val="24"/>
          <w:szCs w:val="24"/>
        </w:rPr>
        <w:t>或招标代理机构及评标委员会联系</w:t>
      </w:r>
      <w:r>
        <w:rPr>
          <w:rFonts w:hint="eastAsia" w:eastAsia="宋体"/>
          <w:color w:val="000000"/>
          <w:sz w:val="24"/>
          <w:szCs w:val="24"/>
        </w:rPr>
        <w:t>。</w:t>
      </w:r>
    </w:p>
    <w:p w14:paraId="5A1175B3">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六</w:t>
      </w:r>
      <w:r>
        <w:rPr>
          <w:rFonts w:eastAsia="宋体"/>
          <w:b/>
          <w:bCs/>
          <w:color w:val="000000"/>
          <w:sz w:val="24"/>
          <w:szCs w:val="24"/>
        </w:rPr>
        <w:t>、</w:t>
      </w:r>
      <w:r>
        <w:rPr>
          <w:rFonts w:hint="eastAsia" w:eastAsia="宋体"/>
          <w:b/>
          <w:bCs/>
          <w:color w:val="000000"/>
          <w:sz w:val="24"/>
          <w:szCs w:val="24"/>
        </w:rPr>
        <w:t>无效投标条款</w:t>
      </w:r>
    </w:p>
    <w:p w14:paraId="2C76AA7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hint="eastAsia" w:eastAsia="宋体"/>
          <w:bCs/>
          <w:color w:val="000000"/>
          <w:sz w:val="24"/>
          <w:szCs w:val="24"/>
          <w:lang w:eastAsia="zh-CN"/>
        </w:rPr>
      </w:pPr>
      <w:r>
        <w:rPr>
          <w:rFonts w:hint="eastAsia" w:eastAsia="宋体"/>
          <w:bCs/>
          <w:color w:val="000000"/>
          <w:sz w:val="24"/>
          <w:szCs w:val="24"/>
          <w:highlight w:val="none"/>
          <w:lang w:val="en-US" w:eastAsia="zh-CN"/>
        </w:rPr>
        <w:t>1.</w:t>
      </w:r>
      <w:r>
        <w:rPr>
          <w:rFonts w:hint="eastAsia" w:eastAsia="宋体"/>
          <w:bCs/>
          <w:color w:val="000000"/>
          <w:sz w:val="24"/>
          <w:szCs w:val="24"/>
          <w:highlight w:val="none"/>
        </w:rPr>
        <w:t>投标人在苏采云系统规定的时间内未成功解密电子投标文件的</w:t>
      </w:r>
      <w:r>
        <w:rPr>
          <w:rFonts w:hint="eastAsia" w:eastAsia="宋体"/>
          <w:bCs/>
          <w:color w:val="000000"/>
          <w:sz w:val="24"/>
          <w:szCs w:val="24"/>
          <w:highlight w:val="none"/>
          <w:lang w:eastAsia="zh-CN"/>
        </w:rPr>
        <w:t>；</w:t>
      </w:r>
    </w:p>
    <w:p w14:paraId="08B14C1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hint="eastAsia" w:eastAsia="宋体"/>
          <w:bCs/>
          <w:color w:val="000000"/>
          <w:sz w:val="24"/>
          <w:szCs w:val="24"/>
        </w:rPr>
      </w:pPr>
      <w:r>
        <w:rPr>
          <w:rFonts w:hint="eastAsia" w:eastAsia="宋体"/>
          <w:bCs/>
          <w:color w:val="000000"/>
          <w:sz w:val="24"/>
          <w:szCs w:val="24"/>
          <w:lang w:val="en-US" w:eastAsia="zh-CN"/>
        </w:rPr>
        <w:t>2</w:t>
      </w:r>
      <w:r>
        <w:rPr>
          <w:rFonts w:hint="eastAsia" w:eastAsia="宋体"/>
          <w:bCs/>
          <w:color w:val="000000"/>
          <w:sz w:val="24"/>
          <w:szCs w:val="24"/>
        </w:rPr>
        <w:t>.投标人未按照采购文件要求上传电子投标文件</w:t>
      </w:r>
      <w:r>
        <w:rPr>
          <w:rFonts w:hint="eastAsia" w:eastAsia="宋体"/>
          <w:bCs/>
          <w:color w:val="000000"/>
          <w:sz w:val="24"/>
          <w:szCs w:val="24"/>
          <w:highlight w:val="none"/>
        </w:rPr>
        <w:t>，或上传的文件打不开的</w:t>
      </w:r>
      <w:r>
        <w:rPr>
          <w:rFonts w:hint="eastAsia" w:eastAsia="宋体"/>
          <w:bCs/>
          <w:color w:val="000000"/>
          <w:sz w:val="24"/>
          <w:szCs w:val="24"/>
        </w:rPr>
        <w:t>；</w:t>
      </w:r>
    </w:p>
    <w:p w14:paraId="6ADD285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val="en-US" w:eastAsia="zh-CN"/>
        </w:rPr>
        <w:t>3.</w:t>
      </w:r>
      <w:r>
        <w:rPr>
          <w:rFonts w:hint="eastAsia" w:eastAsia="宋体"/>
          <w:bCs/>
          <w:color w:val="000000"/>
          <w:sz w:val="24"/>
          <w:szCs w:val="24"/>
        </w:rPr>
        <w:t>投标文件未按招标文件要求签署、盖章的；</w:t>
      </w:r>
    </w:p>
    <w:p w14:paraId="4160B8E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val="en-US" w:eastAsia="zh-CN"/>
        </w:rPr>
        <w:t>4.</w:t>
      </w:r>
      <w:r>
        <w:rPr>
          <w:rFonts w:hint="eastAsia" w:eastAsia="宋体"/>
          <w:bCs/>
          <w:color w:val="000000"/>
          <w:sz w:val="24"/>
          <w:szCs w:val="24"/>
        </w:rPr>
        <w:t>同一投标人提交两个（含两个）以上不同的投标报价的；</w:t>
      </w:r>
    </w:p>
    <w:p w14:paraId="36A1DA4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val="en-US" w:eastAsia="zh-CN"/>
        </w:rPr>
        <w:t>5.</w:t>
      </w:r>
      <w:r>
        <w:rPr>
          <w:rFonts w:hint="eastAsia" w:eastAsia="宋体"/>
          <w:bCs/>
          <w:color w:val="000000"/>
          <w:sz w:val="24"/>
          <w:szCs w:val="24"/>
        </w:rPr>
        <w:t>投标人不具备招标文件中规定的资格要求或投标文件未按招标文件规定提供资格证明文件的；</w:t>
      </w:r>
    </w:p>
    <w:p w14:paraId="7A3F61E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val="en-US" w:eastAsia="zh-CN"/>
        </w:rPr>
        <w:t>6.</w:t>
      </w:r>
      <w:r>
        <w:rPr>
          <w:rFonts w:hint="eastAsia" w:eastAsia="宋体"/>
          <w:bCs/>
          <w:color w:val="000000"/>
          <w:sz w:val="24"/>
          <w:szCs w:val="24"/>
        </w:rPr>
        <w:t>投标人的报价超过招标文件中规定的预算金额或者最高限价的；</w:t>
      </w:r>
    </w:p>
    <w:p w14:paraId="6C9CD1A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val="en-US" w:eastAsia="zh-CN"/>
        </w:rPr>
        <w:t>7.</w:t>
      </w:r>
      <w:r>
        <w:rPr>
          <w:rFonts w:hint="eastAsia" w:eastAsia="宋体"/>
          <w:bCs/>
          <w:color w:val="000000"/>
          <w:sz w:val="24"/>
          <w:szCs w:val="24"/>
        </w:rPr>
        <w:t>投标文件含有采购人不能接受的附加条件的；</w:t>
      </w:r>
    </w:p>
    <w:p w14:paraId="57231C8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val="en-US" w:eastAsia="zh-CN"/>
        </w:rPr>
        <w:t>8.</w:t>
      </w:r>
      <w:r>
        <w:rPr>
          <w:rFonts w:hint="eastAsia" w:eastAsia="宋体"/>
          <w:bCs/>
          <w:color w:val="000000"/>
          <w:sz w:val="24"/>
          <w:szCs w:val="24"/>
        </w:rPr>
        <w:t>未通过符合性审查的；</w:t>
      </w:r>
    </w:p>
    <w:p w14:paraId="7CBE3A1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9.不符合法律、法规及招标文件中规定的其他实质性要求的（本招标文件中实质性要求和条件包括但不限</w:t>
      </w:r>
      <w:r>
        <w:rPr>
          <w:rFonts w:hint="eastAsia" w:ascii="Times New Roman" w:hAnsi="Times New Roman" w:eastAsia="宋体" w:cs="Times New Roman"/>
          <w:bCs/>
          <w:color w:val="000000"/>
          <w:sz w:val="24"/>
          <w:szCs w:val="24"/>
        </w:rPr>
        <w:t>于加注“*”、“</w:t>
      </w:r>
      <w:r>
        <w:rPr>
          <w:rFonts w:hint="eastAsia" w:ascii="Times New Roman" w:hAnsi="Times New Roman" w:eastAsia="宋体" w:cs="Times New Roman"/>
          <w:b/>
          <w:bCs w:val="0"/>
          <w:color w:val="000000"/>
          <w:sz w:val="24"/>
          <w:szCs w:val="24"/>
          <w:lang w:eastAsia="zh-CN"/>
        </w:rPr>
        <w:t>☆</w:t>
      </w:r>
      <w:r>
        <w:rPr>
          <w:rFonts w:hint="eastAsia" w:ascii="Times New Roman" w:hAnsi="Times New Roman" w:eastAsia="宋体" w:cs="Times New Roman"/>
          <w:bCs/>
          <w:color w:val="000000"/>
          <w:sz w:val="24"/>
          <w:szCs w:val="24"/>
        </w:rPr>
        <w:t>”号部分或其他可</w:t>
      </w:r>
      <w:r>
        <w:rPr>
          <w:rFonts w:hint="eastAsia" w:eastAsia="宋体"/>
          <w:bCs/>
          <w:color w:val="000000"/>
          <w:sz w:val="24"/>
          <w:szCs w:val="24"/>
        </w:rPr>
        <w:t>能对本项目产生实质性影响的条款）；</w:t>
      </w:r>
    </w:p>
    <w:p w14:paraId="28C7967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10.投标人被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BE434D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11.投标人的商务技术部分得分相差悬殊，评委一致认为得分畸低者（即投标人的投标文件商务技术部分得分低于本采购文件商务技术部分总分值的50%）有可能影响产品质量或者不能诚信履约的；</w:t>
      </w:r>
    </w:p>
    <w:p w14:paraId="4CCCCFC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12.评标委员会认为投标人的报价明显低于其他通过符合性审查投标人的报价，有可能影响产品质量或者不能诚信履约的，将通过苏采云系统要求其在</w:t>
      </w:r>
      <w:r>
        <w:rPr>
          <w:rFonts w:hint="eastAsia" w:eastAsia="宋体"/>
          <w:b/>
          <w:color w:val="000000"/>
          <w:sz w:val="24"/>
          <w:szCs w:val="24"/>
        </w:rPr>
        <w:t>30</w:t>
      </w:r>
      <w:r>
        <w:rPr>
          <w:rFonts w:hint="eastAsia" w:eastAsia="宋体"/>
          <w:bCs/>
          <w:color w:val="000000"/>
          <w:sz w:val="24"/>
          <w:szCs w:val="24"/>
        </w:rPr>
        <w:t>分钟内提供书面说明，必要时提交相关证明材料；投标人不能证明其报价合理性的；</w:t>
      </w:r>
    </w:p>
    <w:p w14:paraId="684B3EA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13.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p>
    <w:p w14:paraId="29AEC20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14.不同的投标人投标文件制作机器码、文件创建标识码一致的。</w:t>
      </w:r>
    </w:p>
    <w:p w14:paraId="3056D6C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s="宋体"/>
          <w:color w:val="000000"/>
          <w:sz w:val="24"/>
          <w:szCs w:val="24"/>
        </w:rPr>
      </w:pPr>
      <w:r>
        <w:rPr>
          <w:rFonts w:hint="eastAsia" w:eastAsia="宋体"/>
          <w:bCs/>
          <w:color w:val="000000"/>
          <w:sz w:val="24"/>
          <w:szCs w:val="24"/>
        </w:rPr>
        <w:t>15.其他法律、法规及本招标文件规定的属无效投标的情形</w:t>
      </w:r>
      <w:r>
        <w:rPr>
          <w:rFonts w:hint="eastAsia" w:eastAsia="宋体" w:cs="宋体"/>
          <w:color w:val="000000"/>
          <w:sz w:val="24"/>
          <w:szCs w:val="24"/>
        </w:rPr>
        <w:t>。</w:t>
      </w:r>
    </w:p>
    <w:p w14:paraId="0E7A14F1">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Cs/>
          <w:color w:val="000000"/>
          <w:sz w:val="24"/>
          <w:szCs w:val="24"/>
        </w:rPr>
      </w:pPr>
      <w:r>
        <w:rPr>
          <w:rFonts w:hint="eastAsia" w:eastAsia="宋体"/>
          <w:b/>
          <w:color w:val="000000"/>
          <w:sz w:val="24"/>
          <w:szCs w:val="24"/>
        </w:rPr>
        <w:t>凡是投标文件中涉及供应商资信认证、人员证书、业绩荣誉等扫描件，和要求法定代表人或授权委托人签字，和以供应商名称落款并注明需要盖章的，均需相应盖章或签字。</w:t>
      </w:r>
    </w:p>
    <w:p w14:paraId="7C821F10">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cs="宋体"/>
          <w:b/>
          <w:bCs/>
          <w:color w:val="000000"/>
          <w:sz w:val="24"/>
          <w:szCs w:val="24"/>
        </w:rPr>
      </w:pPr>
      <w:r>
        <w:rPr>
          <w:rFonts w:hint="eastAsia" w:eastAsia="宋体" w:cs="宋体"/>
          <w:b/>
          <w:bCs/>
          <w:color w:val="000000"/>
          <w:sz w:val="24"/>
          <w:szCs w:val="24"/>
        </w:rPr>
        <w:t>七</w:t>
      </w:r>
      <w:r>
        <w:rPr>
          <w:rFonts w:eastAsia="宋体" w:cs="宋体"/>
          <w:b/>
          <w:bCs/>
          <w:color w:val="000000"/>
          <w:sz w:val="24"/>
          <w:szCs w:val="24"/>
        </w:rPr>
        <w:t>、</w:t>
      </w:r>
      <w:r>
        <w:rPr>
          <w:rFonts w:hint="eastAsia" w:eastAsia="宋体" w:cs="宋体"/>
          <w:b/>
          <w:bCs/>
          <w:color w:val="000000"/>
          <w:sz w:val="24"/>
          <w:szCs w:val="24"/>
        </w:rPr>
        <w:t>废标条款</w:t>
      </w:r>
    </w:p>
    <w:p w14:paraId="26EEADE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1.符合专业条件的供应商或者对招标文件作实质响应的供应商不足三家的（含不同投标人提供的核心产品品牌不足三个的）。</w:t>
      </w:r>
    </w:p>
    <w:p w14:paraId="2D91A7B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2.出现影响采购公正的违法、违规行为的。</w:t>
      </w:r>
    </w:p>
    <w:p w14:paraId="47DC17E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3.因重大变故，采购任务取消的。</w:t>
      </w:r>
    </w:p>
    <w:p w14:paraId="618E05D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4.评标委员会认定招标文件存在歧义、重大缺陷导致评审工作无法进行。</w:t>
      </w:r>
    </w:p>
    <w:p w14:paraId="208395F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5.因苏采云系统系统故障原因造成开标不成功的。</w:t>
      </w:r>
    </w:p>
    <w:p w14:paraId="731C5AA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6.投标截止时间结束后参加投标的供应商不足三家的处理：</w:t>
      </w:r>
    </w:p>
    <w:p w14:paraId="21CD93A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
          <w:bCs/>
          <w:color w:val="000000"/>
          <w:sz w:val="24"/>
          <w:szCs w:val="24"/>
        </w:rPr>
      </w:pPr>
      <w:r>
        <w:rPr>
          <w:rFonts w:hint="eastAsia" w:eastAsia="宋体"/>
          <w:color w:val="000000"/>
          <w:sz w:val="24"/>
          <w:szCs w:val="24"/>
        </w:rPr>
        <w:t>6.1如出现投标截止时间结束后参加投标的供应商或者在评标期间对招标文件做出实质响应的供应商不足三家情况，按政府采购相关规定执行。</w:t>
      </w:r>
    </w:p>
    <w:p w14:paraId="66A72EE2">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八</w:t>
      </w:r>
      <w:r>
        <w:rPr>
          <w:rFonts w:eastAsia="宋体"/>
          <w:b/>
          <w:bCs/>
          <w:color w:val="000000"/>
          <w:sz w:val="24"/>
          <w:szCs w:val="24"/>
          <w:lang w:val="zh-CN"/>
        </w:rPr>
        <w:t>、</w:t>
      </w:r>
      <w:r>
        <w:rPr>
          <w:rFonts w:hint="eastAsia" w:eastAsia="宋体" w:cs="宋体"/>
          <w:b/>
          <w:bCs/>
          <w:color w:val="000000"/>
          <w:sz w:val="24"/>
          <w:szCs w:val="24"/>
        </w:rPr>
        <w:t>定标</w:t>
      </w:r>
    </w:p>
    <w:p w14:paraId="36BE888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1.确定中标单位</w:t>
      </w:r>
    </w:p>
    <w:p w14:paraId="4688FA5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1.1 中标候选人的选取原则和数量见招标文件第四章规定。</w:t>
      </w:r>
    </w:p>
    <w:p w14:paraId="0FF7A34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 xml:space="preserve">1.2 </w:t>
      </w:r>
      <w:r>
        <w:rPr>
          <w:rFonts w:hint="eastAsia" w:eastAsia="宋体"/>
          <w:bCs/>
          <w:color w:val="000000"/>
          <w:sz w:val="24"/>
          <w:szCs w:val="24"/>
          <w:lang w:eastAsia="zh-CN"/>
        </w:rPr>
        <w:t>采购人</w:t>
      </w:r>
      <w:r>
        <w:rPr>
          <w:rFonts w:hint="eastAsia" w:eastAsia="宋体"/>
          <w:bCs/>
          <w:color w:val="000000"/>
          <w:sz w:val="24"/>
          <w:szCs w:val="24"/>
        </w:rPr>
        <w:t>应根据评委会推荐的中标候选人确定中标人。</w:t>
      </w:r>
    </w:p>
    <w:p w14:paraId="2A3FE14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1.3 招标代理机构将在“江苏政府采购网”发布中标结果公告，公告期限为1个工作日。</w:t>
      </w:r>
    </w:p>
    <w:p w14:paraId="6FB2AF7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 若有充分证据证明，中标人出现下列情况之一的，一经查实，将被取消中标资格：</w:t>
      </w:r>
    </w:p>
    <w:p w14:paraId="350180E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1.4.1 提供虚假材料谋取中标的。</w:t>
      </w:r>
    </w:p>
    <w:p w14:paraId="15BB0BB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1.4.2 向</w:t>
      </w:r>
      <w:r>
        <w:rPr>
          <w:rFonts w:hint="eastAsia" w:eastAsia="宋体"/>
          <w:bCs/>
          <w:color w:val="000000"/>
          <w:sz w:val="24"/>
          <w:szCs w:val="24"/>
          <w:lang w:eastAsia="zh-CN"/>
        </w:rPr>
        <w:t>采购人</w:t>
      </w:r>
      <w:r>
        <w:rPr>
          <w:rFonts w:hint="eastAsia" w:eastAsia="宋体"/>
          <w:bCs/>
          <w:color w:val="000000"/>
          <w:sz w:val="24"/>
          <w:szCs w:val="24"/>
        </w:rPr>
        <w:t>或招标代理机构行贿或者评审专家提供其他不正当利益的。</w:t>
      </w:r>
    </w:p>
    <w:p w14:paraId="43BC3CB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1.4.3 恶意竞争，报价明显低于其自身合理成本且又无法提供证明的。</w:t>
      </w:r>
    </w:p>
    <w:p w14:paraId="2773551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1.4.4 属于本文件规定的无效条件，但在评审过程中又未被评标委员会发现的。</w:t>
      </w:r>
    </w:p>
    <w:p w14:paraId="0E94F85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1.4.5 与评审专家、</w:t>
      </w:r>
      <w:r>
        <w:rPr>
          <w:rFonts w:hint="eastAsia" w:eastAsia="宋体"/>
          <w:bCs/>
          <w:color w:val="000000"/>
          <w:sz w:val="24"/>
          <w:szCs w:val="24"/>
          <w:lang w:eastAsia="zh-CN"/>
        </w:rPr>
        <w:t>采购人</w:t>
      </w:r>
      <w:r>
        <w:rPr>
          <w:rFonts w:hint="eastAsia" w:eastAsia="宋体"/>
          <w:bCs/>
          <w:color w:val="000000"/>
          <w:sz w:val="24"/>
          <w:szCs w:val="24"/>
        </w:rPr>
        <w:t>、其他投标人或者招标代理机构工作人员恶意串通的。</w:t>
      </w:r>
    </w:p>
    <w:p w14:paraId="04076A3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1.4.6 采取不正当手段诋毁、排挤其他投标人的。</w:t>
      </w:r>
    </w:p>
    <w:p w14:paraId="2B8350B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1.4.7 中标后无正当理由拒不与</w:t>
      </w:r>
      <w:r>
        <w:rPr>
          <w:rFonts w:hint="eastAsia" w:eastAsia="宋体"/>
          <w:bCs/>
          <w:color w:val="000000"/>
          <w:sz w:val="24"/>
          <w:szCs w:val="24"/>
          <w:lang w:eastAsia="zh-CN"/>
        </w:rPr>
        <w:t>采购人</w:t>
      </w:r>
      <w:r>
        <w:rPr>
          <w:rFonts w:hint="eastAsia" w:eastAsia="宋体"/>
          <w:bCs/>
          <w:color w:val="000000"/>
          <w:sz w:val="24"/>
          <w:szCs w:val="24"/>
        </w:rPr>
        <w:t>签订政府采购合同或者未按照招标文件确定的事项签订政府采购合同的。</w:t>
      </w:r>
    </w:p>
    <w:p w14:paraId="67BC834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1.4.8 将政府采购合同转包的。</w:t>
      </w:r>
    </w:p>
    <w:p w14:paraId="46050BD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1.5 有下列情形之一的，视为投标人串通参与投标，投标无效：</w:t>
      </w:r>
    </w:p>
    <w:p w14:paraId="4AA50BA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1.5.1 不同投标人的投标文件由同一单位或者个人编制；</w:t>
      </w:r>
    </w:p>
    <w:p w14:paraId="38BCF4D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1.5.2 不同投标人委托同一单位或者个人办理投标事宜；</w:t>
      </w:r>
    </w:p>
    <w:p w14:paraId="440A8B0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1.5.3 不同投标人的投标文件载明的项目管理成员或者联系人员为同一人；</w:t>
      </w:r>
    </w:p>
    <w:p w14:paraId="6384E6C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1.5.4 不同投标人的投标文件异常一致或者响应报价呈规律性差异；</w:t>
      </w:r>
    </w:p>
    <w:p w14:paraId="7C9672E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1.5.5 不同投标人的投标文件相互混装。</w:t>
      </w:r>
    </w:p>
    <w:p w14:paraId="32C3D9F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2.质疑处理</w:t>
      </w:r>
    </w:p>
    <w:p w14:paraId="1E8ED4B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2.1 提出质疑的投标人应当是参与所质疑项目采购活动的投标人。潜在投标人依法获取其可质疑的招标文件的，可以对招标文件提出质疑。</w:t>
      </w:r>
    </w:p>
    <w:p w14:paraId="688267F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2.2 投标人认为招标文件、采购过程和采购结果使自己的权益受到损害的，可以在知道或应知其权益受到损害之日起七个工作日内，以书面形式向</w:t>
      </w:r>
      <w:r>
        <w:rPr>
          <w:rFonts w:hint="eastAsia" w:eastAsia="宋体"/>
          <w:bCs/>
          <w:color w:val="000000"/>
          <w:sz w:val="24"/>
          <w:szCs w:val="24"/>
          <w:lang w:eastAsia="zh-CN"/>
        </w:rPr>
        <w:t>采购人</w:t>
      </w:r>
      <w:r>
        <w:rPr>
          <w:rFonts w:hint="eastAsia" w:eastAsia="宋体"/>
          <w:bCs/>
          <w:color w:val="000000"/>
          <w:sz w:val="24"/>
          <w:szCs w:val="24"/>
        </w:rPr>
        <w:t>或招标代理机构提出质疑。上述应知其权益受到损害之日，是指：</w:t>
      </w:r>
    </w:p>
    <w:p w14:paraId="6DDB2427">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color w:val="000000"/>
          <w:sz w:val="24"/>
          <w:szCs w:val="24"/>
        </w:rPr>
      </w:pPr>
      <w:r>
        <w:rPr>
          <w:rFonts w:hint="eastAsia" w:eastAsia="宋体"/>
          <w:b/>
          <w:color w:val="000000"/>
          <w:sz w:val="24"/>
          <w:szCs w:val="24"/>
        </w:rPr>
        <w:t>2.2.1 对可以质疑的招标文件提出质疑的，为收到招标文件之日或者招标文件公告期限届满之日；</w:t>
      </w:r>
    </w:p>
    <w:p w14:paraId="0B06D991">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color w:val="000000"/>
          <w:sz w:val="24"/>
          <w:szCs w:val="24"/>
        </w:rPr>
      </w:pPr>
      <w:r>
        <w:rPr>
          <w:rFonts w:hint="eastAsia" w:eastAsia="宋体"/>
          <w:b/>
          <w:color w:val="000000"/>
          <w:sz w:val="24"/>
          <w:szCs w:val="24"/>
        </w:rPr>
        <w:t>2.2.2 对采购过程提出质疑的，为各采购程序环节结束之日；</w:t>
      </w:r>
    </w:p>
    <w:p w14:paraId="20D54AA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2.2.3 对中标结果提出质疑的，为中标结果公告期限届满之日。</w:t>
      </w:r>
    </w:p>
    <w:p w14:paraId="319D73E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投标人应当在法定质疑期内一次性提出针对同一采购程序环节的质疑。投标人如在法定期限内对同一采购程序环节提出多次质疑的，</w:t>
      </w:r>
      <w:r>
        <w:rPr>
          <w:rFonts w:hint="eastAsia" w:eastAsia="宋体"/>
          <w:bCs/>
          <w:color w:val="000000"/>
          <w:sz w:val="24"/>
          <w:szCs w:val="24"/>
          <w:lang w:eastAsia="zh-CN"/>
        </w:rPr>
        <w:t>采购人</w:t>
      </w:r>
      <w:r>
        <w:rPr>
          <w:rFonts w:hint="eastAsia" w:eastAsia="宋体"/>
          <w:bCs/>
          <w:color w:val="000000"/>
          <w:sz w:val="24"/>
          <w:szCs w:val="24"/>
        </w:rPr>
        <w:t>、招标代理机构将只对投标人第一次质疑作出答复。</w:t>
      </w:r>
    </w:p>
    <w:p w14:paraId="00746E9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2.3 质疑函必须按照本招标文件中《质疑函范本》要求的格式和内容进行填写。投标人如组成联合体参加投标，则《质疑函范本》中要求签字、盖章、加盖公章之处，联合体各方均须按要求签字、盖章、加盖公章。</w:t>
      </w:r>
    </w:p>
    <w:p w14:paraId="0DC257A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2.4 质疑答复依据《政府采购质疑和投诉办法》（财政部令第94号）。</w:t>
      </w:r>
    </w:p>
    <w:p w14:paraId="73A8F37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lang w:eastAsia="zh-CN"/>
        </w:rPr>
        <w:t>采购人</w:t>
      </w:r>
      <w:r>
        <w:rPr>
          <w:rFonts w:hint="eastAsia" w:eastAsia="宋体"/>
          <w:bCs/>
          <w:color w:val="000000"/>
          <w:sz w:val="24"/>
          <w:szCs w:val="24"/>
        </w:rPr>
        <w:t>或招标代理机构质疑接收人及联系方式，见招标文件第一章。</w:t>
      </w:r>
    </w:p>
    <w:p w14:paraId="338FF24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2.5 以下情形的质疑不予受理</w:t>
      </w:r>
    </w:p>
    <w:p w14:paraId="344D92B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2.5.1 内容不符合《政府采购质疑和投诉办法》第十二条规定的质疑。</w:t>
      </w:r>
    </w:p>
    <w:p w14:paraId="1F01331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2.5.2 超出政府采购法定期限的质疑。</w:t>
      </w:r>
    </w:p>
    <w:p w14:paraId="0C10F7C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2.5.3 未参加投标活动的投标人或在投标活动中自身权益未受到损害的投标人所提出的质疑。</w:t>
      </w:r>
    </w:p>
    <w:p w14:paraId="01FF718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2.5.4 投标人组成联合体参加投标，联合体中任何一方或多方未按要求签字、盖章、加盖公章的质疑。</w:t>
      </w:r>
    </w:p>
    <w:p w14:paraId="3FB2294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2.6 投标人提出书面质疑必须有理、有据，不得捏造事实、提供虚假材料进行恶意质疑。否则，一经查实，</w:t>
      </w:r>
      <w:r>
        <w:rPr>
          <w:rFonts w:hint="eastAsia" w:eastAsia="宋体"/>
          <w:bCs/>
          <w:color w:val="000000"/>
          <w:sz w:val="24"/>
          <w:szCs w:val="24"/>
          <w:lang w:eastAsia="zh-CN"/>
        </w:rPr>
        <w:t>采购人</w:t>
      </w:r>
      <w:r>
        <w:rPr>
          <w:rFonts w:hint="eastAsia" w:eastAsia="宋体"/>
          <w:bCs/>
          <w:color w:val="000000"/>
          <w:sz w:val="24"/>
          <w:szCs w:val="24"/>
        </w:rPr>
        <w:t>或招标代理机构有权依据政府采购的有关规定，报请政府采购监管部门对该投标人进行相应的行政处罚和记录该投标人的失信信息。</w:t>
      </w:r>
    </w:p>
    <w:p w14:paraId="30E619E1">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九</w:t>
      </w:r>
      <w:r>
        <w:rPr>
          <w:rFonts w:eastAsia="宋体"/>
          <w:b/>
          <w:bCs/>
          <w:color w:val="000000"/>
          <w:sz w:val="24"/>
          <w:szCs w:val="24"/>
          <w:lang w:val="zh-CN"/>
        </w:rPr>
        <w:t>、</w:t>
      </w:r>
      <w:r>
        <w:rPr>
          <w:rFonts w:hint="eastAsia" w:eastAsia="宋体"/>
          <w:b/>
          <w:bCs/>
          <w:color w:val="000000"/>
          <w:sz w:val="24"/>
          <w:szCs w:val="24"/>
        </w:rPr>
        <w:t>中标通知书</w:t>
      </w:r>
    </w:p>
    <w:p w14:paraId="067BA71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1.中标结果确定后，</w:t>
      </w:r>
      <w:r>
        <w:rPr>
          <w:rFonts w:hint="eastAsia" w:eastAsia="宋体"/>
          <w:bCs/>
          <w:color w:val="000000"/>
          <w:sz w:val="24"/>
          <w:szCs w:val="24"/>
          <w:lang w:eastAsia="zh-CN"/>
        </w:rPr>
        <w:t>采购人</w:t>
      </w:r>
      <w:r>
        <w:rPr>
          <w:rFonts w:hint="eastAsia" w:eastAsia="宋体"/>
          <w:bCs/>
          <w:color w:val="000000"/>
          <w:sz w:val="24"/>
          <w:szCs w:val="24"/>
        </w:rPr>
        <w:t>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0C66C8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2.中标通知书将是合同的一个组成部分。对</w:t>
      </w:r>
      <w:r>
        <w:rPr>
          <w:rFonts w:hint="eastAsia" w:eastAsia="宋体"/>
          <w:bCs/>
          <w:color w:val="000000"/>
          <w:sz w:val="24"/>
          <w:szCs w:val="24"/>
          <w:lang w:eastAsia="zh-CN"/>
        </w:rPr>
        <w:t>采购人</w:t>
      </w:r>
      <w:r>
        <w:rPr>
          <w:rFonts w:hint="eastAsia" w:eastAsia="宋体"/>
          <w:bCs/>
          <w:color w:val="000000"/>
          <w:sz w:val="24"/>
          <w:szCs w:val="24"/>
        </w:rPr>
        <w:t>和中标人均具有法律效力。中标通知书发出后，</w:t>
      </w:r>
      <w:r>
        <w:rPr>
          <w:rFonts w:hint="eastAsia" w:eastAsia="宋体"/>
          <w:bCs/>
          <w:color w:val="000000"/>
          <w:sz w:val="24"/>
          <w:szCs w:val="24"/>
          <w:lang w:eastAsia="zh-CN"/>
        </w:rPr>
        <w:t>采购人</w:t>
      </w:r>
      <w:r>
        <w:rPr>
          <w:rFonts w:hint="eastAsia" w:eastAsia="宋体"/>
          <w:bCs/>
          <w:color w:val="000000"/>
          <w:sz w:val="24"/>
          <w:szCs w:val="24"/>
        </w:rPr>
        <w:t>改变中标结果的，或者中标人放弃中标项目的，应当依法承担法律责任。</w:t>
      </w:r>
    </w:p>
    <w:p w14:paraId="673E804F">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特别说明：中标人在下载或收到中标通知书后须提供3套加盖公章的系统内打印的纸质投标文件交给招标代理机构存档。</w:t>
      </w:r>
    </w:p>
    <w:p w14:paraId="63CD4DE9">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w:t>
      </w:r>
      <w:r>
        <w:rPr>
          <w:rFonts w:hint="eastAsia" w:ascii="宋体" w:hAnsi="宋体" w:eastAsia="宋体" w:cs="宋体"/>
          <w:b/>
          <w:bCs/>
          <w:color w:val="000000"/>
          <w:sz w:val="24"/>
          <w:szCs w:val="24"/>
          <w:lang w:val="zh-CN"/>
        </w:rPr>
        <w:t>履约保证金</w:t>
      </w:r>
    </w:p>
    <w:p w14:paraId="5632BD1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1.履约保证金是否收取：</w:t>
      </w:r>
      <w:r>
        <w:rPr>
          <w:rFonts w:hint="eastAsia" w:ascii="宋体" w:hAnsi="宋体" w:eastAsia="宋体" w:cs="宋体"/>
          <w:sz w:val="24"/>
          <w:szCs w:val="24"/>
          <w:u w:val="single"/>
        </w:rPr>
        <w:t>是</w:t>
      </w:r>
    </w:p>
    <w:p w14:paraId="738DB05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3D4B64"/>
          <w:sz w:val="24"/>
          <w:szCs w:val="24"/>
        </w:rPr>
      </w:pPr>
      <w:r>
        <w:rPr>
          <w:rFonts w:hint="eastAsia" w:ascii="宋体" w:hAnsi="宋体" w:eastAsia="宋体" w:cs="宋体"/>
          <w:sz w:val="24"/>
          <w:szCs w:val="24"/>
        </w:rPr>
        <w:t>2.履约保证金的数额：本项目中标后的履约保证金为项目中标价的</w:t>
      </w:r>
      <w:r>
        <w:rPr>
          <w:rFonts w:hint="eastAsia" w:ascii="宋体" w:hAnsi="宋体" w:eastAsia="宋体" w:cs="宋体"/>
          <w:sz w:val="24"/>
          <w:szCs w:val="24"/>
          <w:u w:val="single"/>
        </w:rPr>
        <w:t>10%</w:t>
      </w:r>
      <w:r>
        <w:rPr>
          <w:rFonts w:hint="eastAsia" w:ascii="宋体" w:hAnsi="宋体" w:eastAsia="宋体" w:cs="宋体"/>
          <w:sz w:val="24"/>
          <w:szCs w:val="24"/>
        </w:rPr>
        <w:t>。</w:t>
      </w:r>
    </w:p>
    <w:p w14:paraId="1DB3CDC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3.缴纳履约保证金时间：中标供应商在中标通知书发出之日起</w:t>
      </w:r>
      <w:r>
        <w:rPr>
          <w:rFonts w:hint="eastAsia" w:ascii="宋体" w:hAnsi="宋体" w:eastAsia="宋体" w:cs="宋体"/>
          <w:sz w:val="24"/>
          <w:szCs w:val="24"/>
          <w:u w:val="single"/>
        </w:rPr>
        <w:t>15</w:t>
      </w:r>
      <w:r>
        <w:rPr>
          <w:rFonts w:hint="eastAsia" w:ascii="宋体" w:hAnsi="宋体" w:eastAsia="宋体" w:cs="宋体"/>
          <w:sz w:val="24"/>
          <w:szCs w:val="24"/>
        </w:rPr>
        <w:t>日内。</w:t>
      </w:r>
    </w:p>
    <w:p w14:paraId="15EA3E0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4.缴纳履约保证金形式：</w:t>
      </w:r>
      <w:r>
        <w:rPr>
          <w:rFonts w:hint="eastAsia" w:ascii="宋体" w:hAnsi="宋体" w:eastAsia="宋体" w:cs="宋体"/>
          <w:sz w:val="24"/>
          <w:szCs w:val="24"/>
          <w:u w:val="single"/>
        </w:rPr>
        <w:t>支票、汇票、本票或者金融机构、担保机构出具的保函、履约保证金保险</w:t>
      </w:r>
      <w:r>
        <w:rPr>
          <w:rFonts w:hint="eastAsia" w:ascii="宋体" w:hAnsi="宋体" w:eastAsia="宋体" w:cs="宋体"/>
          <w:sz w:val="24"/>
          <w:szCs w:val="24"/>
        </w:rPr>
        <w:t>等非现金形式。如选择担保机构出具的保函、履约保证金保险等形式，有效期须与履约时间一致。</w:t>
      </w:r>
    </w:p>
    <w:p w14:paraId="5659B01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采购人的账户：</w:t>
      </w:r>
    </w:p>
    <w:p w14:paraId="49C5224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单位名称：江苏航运职业技术学院；</w:t>
      </w:r>
    </w:p>
    <w:p w14:paraId="2AC0889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开户行：中国建设银行南通经济技术开发区支行；</w:t>
      </w:r>
    </w:p>
    <w:p w14:paraId="37449BF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账号：32001642336052515609；</w:t>
      </w:r>
    </w:p>
    <w:p w14:paraId="5E20126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统一社会信用代码：123200004660042577。</w:t>
      </w:r>
    </w:p>
    <w:p w14:paraId="0F6F7BD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5.退还履约保证金时间：中标供应商全部履约合同义务，</w:t>
      </w:r>
      <w:r>
        <w:rPr>
          <w:rFonts w:hint="eastAsia" w:ascii="宋体" w:hAnsi="宋体" w:eastAsia="宋体" w:cs="宋体"/>
          <w:sz w:val="24"/>
          <w:szCs w:val="24"/>
          <w:lang w:eastAsia="zh-CN"/>
        </w:rPr>
        <w:t>维保期</w:t>
      </w:r>
      <w:r>
        <w:rPr>
          <w:rFonts w:hint="eastAsia" w:ascii="宋体" w:hAnsi="宋体" w:eastAsia="宋体" w:cs="宋体"/>
          <w:sz w:val="24"/>
          <w:szCs w:val="24"/>
        </w:rPr>
        <w:t>满后无质量、进度等问题的，采购人凭中标供应商提交的申请，在三十个工作日内一次性退还履约保证金（不计息）</w:t>
      </w:r>
      <w:r>
        <w:rPr>
          <w:rFonts w:hint="eastAsia" w:ascii="宋体" w:hAnsi="宋体" w:eastAsia="宋体" w:cs="宋体"/>
          <w:color w:val="000000"/>
          <w:sz w:val="24"/>
          <w:szCs w:val="24"/>
        </w:rPr>
        <w:t>或者退还履约保证金保函</w:t>
      </w:r>
      <w:r>
        <w:rPr>
          <w:rFonts w:hint="eastAsia" w:ascii="宋体" w:hAnsi="宋体" w:eastAsia="宋体" w:cs="宋体"/>
          <w:sz w:val="24"/>
          <w:szCs w:val="24"/>
        </w:rPr>
        <w:t>，采购人若逾期退还履约保证金的，按照逾期部分的每日</w:t>
      </w:r>
      <w:r>
        <w:rPr>
          <w:rFonts w:hint="eastAsia" w:ascii="宋体" w:hAnsi="宋体" w:eastAsia="宋体" w:cs="宋体"/>
          <w:sz w:val="24"/>
          <w:szCs w:val="24"/>
          <w:u w:val="single"/>
        </w:rPr>
        <w:t>0.05%</w:t>
      </w:r>
      <w:r>
        <w:rPr>
          <w:rFonts w:hint="eastAsia" w:ascii="宋体" w:hAnsi="宋体" w:eastAsia="宋体" w:cs="宋体"/>
          <w:sz w:val="24"/>
          <w:szCs w:val="24"/>
        </w:rPr>
        <w:t xml:space="preserve">支付违约金。 </w:t>
      </w:r>
    </w:p>
    <w:p w14:paraId="42EEF9A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6.退还履约保证金方式：同缴纳方式。</w:t>
      </w:r>
    </w:p>
    <w:p w14:paraId="64ECD3A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7.退还履约保证金条件：中标供应商全部履约合同义务，</w:t>
      </w:r>
      <w:r>
        <w:rPr>
          <w:rFonts w:hint="eastAsia" w:ascii="宋体" w:hAnsi="宋体" w:eastAsia="宋体" w:cs="宋体"/>
          <w:sz w:val="24"/>
          <w:szCs w:val="24"/>
          <w:lang w:eastAsia="zh-CN"/>
        </w:rPr>
        <w:t>维保期</w:t>
      </w:r>
      <w:r>
        <w:rPr>
          <w:rFonts w:hint="eastAsia" w:ascii="宋体" w:hAnsi="宋体" w:eastAsia="宋体" w:cs="宋体"/>
          <w:sz w:val="24"/>
          <w:szCs w:val="24"/>
        </w:rPr>
        <w:t>满后无质量、进度等问题的，采购人凭中标供应商提交的申请，在三十个工作日内一次性退还履约保证金（不计息）</w:t>
      </w:r>
      <w:r>
        <w:rPr>
          <w:rFonts w:hint="eastAsia" w:ascii="宋体" w:hAnsi="宋体" w:eastAsia="宋体" w:cs="宋体"/>
          <w:color w:val="000000"/>
          <w:sz w:val="24"/>
          <w:szCs w:val="24"/>
        </w:rPr>
        <w:t>或者退还履约保证金保函</w:t>
      </w:r>
      <w:r>
        <w:rPr>
          <w:rFonts w:hint="eastAsia" w:ascii="宋体" w:hAnsi="宋体" w:eastAsia="宋体" w:cs="宋体"/>
          <w:sz w:val="24"/>
          <w:szCs w:val="24"/>
        </w:rPr>
        <w:t>。</w:t>
      </w:r>
    </w:p>
    <w:p w14:paraId="6C81D41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8.不予退还履约保证金的情形：</w:t>
      </w:r>
    </w:p>
    <w:p w14:paraId="4BB339D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a.签订合同后，中标人不履行合同义务的，采购单位有权全额扣除履约保证金，全额不予退还，同时采购单位亦有权终止合同，中标人还须承担相应的法律赔偿责任。</w:t>
      </w:r>
    </w:p>
    <w:p w14:paraId="35BE0CA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sz w:val="24"/>
          <w:szCs w:val="24"/>
        </w:rPr>
        <w:t>b.中标人在履约过程中发生违约行为，给采购人造成损失的，采购人有权在中标人缴纳的履约保证金中予以扣款，以弥补采购人经济损失，不足的部分中标人另外补齐。</w:t>
      </w:r>
    </w:p>
    <w:p w14:paraId="56F90517">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jc w:val="left"/>
        <w:textAlignment w:val="auto"/>
        <w:rPr>
          <w:rFonts w:eastAsia="宋体"/>
          <w:b/>
          <w:bCs/>
          <w:color w:val="000000"/>
          <w:sz w:val="24"/>
          <w:szCs w:val="24"/>
        </w:rPr>
      </w:pPr>
      <w:r>
        <w:rPr>
          <w:rFonts w:hint="eastAsia" w:eastAsia="宋体"/>
          <w:b/>
          <w:bCs/>
          <w:color w:val="000000"/>
          <w:sz w:val="24"/>
          <w:szCs w:val="24"/>
        </w:rPr>
        <w:t>9.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2A451EB2">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十一、授予合同</w:t>
      </w:r>
    </w:p>
    <w:p w14:paraId="38B7564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1.签订合同</w:t>
      </w:r>
    </w:p>
    <w:p w14:paraId="6C74A8F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1.l 中标人应当在中标通知书发出之日起三十日内，按照招标文件确定的事项与</w:t>
      </w:r>
      <w:r>
        <w:rPr>
          <w:rFonts w:hint="eastAsia" w:eastAsia="宋体"/>
          <w:bCs/>
          <w:color w:val="000000"/>
          <w:sz w:val="24"/>
          <w:szCs w:val="24"/>
          <w:lang w:eastAsia="zh-CN"/>
        </w:rPr>
        <w:t>采购人</w:t>
      </w:r>
      <w:r>
        <w:rPr>
          <w:rFonts w:hint="eastAsia" w:eastAsia="宋体"/>
          <w:bCs/>
          <w:color w:val="000000"/>
          <w:sz w:val="24"/>
          <w:szCs w:val="24"/>
        </w:rPr>
        <w:t>签订政府采购合同。</w:t>
      </w:r>
    </w:p>
    <w:p w14:paraId="528221A2">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color w:val="000000"/>
          <w:sz w:val="24"/>
          <w:szCs w:val="24"/>
        </w:rPr>
      </w:pPr>
      <w:r>
        <w:rPr>
          <w:rFonts w:hint="eastAsia" w:eastAsia="宋体"/>
          <w:b/>
          <w:color w:val="000000"/>
          <w:sz w:val="24"/>
          <w:szCs w:val="24"/>
        </w:rPr>
        <w:t>签订合同时需做好提交各类声明函、承诺函、业绩证明、资质、职称证书等相应原件的核查准备；核查后发现虚假或违背承诺的，依照相关法律法规规定处理。</w:t>
      </w:r>
    </w:p>
    <w:p w14:paraId="655115E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1.2 招标文件、中标人的投标文件及投标过程中有关澄清、承诺文件均应作为合同附件。</w:t>
      </w:r>
    </w:p>
    <w:p w14:paraId="72C1EE6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1.3 签订合同后，</w:t>
      </w:r>
      <w:r>
        <w:rPr>
          <w:rFonts w:hint="eastAsia" w:eastAsia="宋体"/>
          <w:bCs/>
          <w:color w:val="000000"/>
          <w:sz w:val="24"/>
          <w:szCs w:val="24"/>
          <w:u w:val="single"/>
        </w:rPr>
        <w:t>中标人不得将合同标的进行转包</w:t>
      </w:r>
      <w:r>
        <w:rPr>
          <w:rFonts w:hint="eastAsia" w:eastAsia="宋体"/>
          <w:bCs/>
          <w:color w:val="000000"/>
          <w:sz w:val="24"/>
          <w:szCs w:val="24"/>
        </w:rPr>
        <w:t>。未经</w:t>
      </w:r>
      <w:r>
        <w:rPr>
          <w:rFonts w:hint="eastAsia" w:eastAsia="宋体"/>
          <w:bCs/>
          <w:color w:val="000000"/>
          <w:sz w:val="24"/>
          <w:szCs w:val="24"/>
          <w:lang w:eastAsia="zh-CN"/>
        </w:rPr>
        <w:t>采购人</w:t>
      </w:r>
      <w:r>
        <w:rPr>
          <w:rFonts w:hint="eastAsia" w:eastAsia="宋体"/>
          <w:bCs/>
          <w:color w:val="000000"/>
          <w:sz w:val="24"/>
          <w:szCs w:val="24"/>
        </w:rPr>
        <w:t>同意，中标人也不得采用分包形式履行合同，否则</w:t>
      </w:r>
      <w:r>
        <w:rPr>
          <w:rFonts w:hint="eastAsia" w:eastAsia="宋体"/>
          <w:bCs/>
          <w:color w:val="000000"/>
          <w:sz w:val="24"/>
          <w:szCs w:val="24"/>
          <w:lang w:eastAsia="zh-CN"/>
        </w:rPr>
        <w:t>采购人</w:t>
      </w:r>
      <w:r>
        <w:rPr>
          <w:rFonts w:hint="eastAsia" w:eastAsia="宋体"/>
          <w:bCs/>
          <w:color w:val="000000"/>
          <w:sz w:val="24"/>
          <w:szCs w:val="24"/>
        </w:rPr>
        <w:t>有权终止合同。转包或分包造成</w:t>
      </w:r>
      <w:r>
        <w:rPr>
          <w:rFonts w:hint="eastAsia" w:eastAsia="宋体"/>
          <w:bCs/>
          <w:color w:val="000000"/>
          <w:sz w:val="24"/>
          <w:szCs w:val="24"/>
          <w:lang w:eastAsia="zh-CN"/>
        </w:rPr>
        <w:t>采购人</w:t>
      </w:r>
      <w:r>
        <w:rPr>
          <w:rFonts w:hint="eastAsia" w:eastAsia="宋体"/>
          <w:bCs/>
          <w:color w:val="000000"/>
          <w:sz w:val="24"/>
          <w:szCs w:val="24"/>
        </w:rPr>
        <w:t>损失的，中标人应承担相应赔偿责任。</w:t>
      </w:r>
    </w:p>
    <w:p w14:paraId="14E4853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2.标的物的追加</w:t>
      </w:r>
    </w:p>
    <w:p w14:paraId="1DD7830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2.1 政府采购合同履行中，</w:t>
      </w:r>
      <w:r>
        <w:rPr>
          <w:rFonts w:hint="eastAsia" w:eastAsia="宋体"/>
          <w:bCs/>
          <w:color w:val="000000"/>
          <w:sz w:val="24"/>
          <w:szCs w:val="24"/>
          <w:lang w:eastAsia="zh-CN"/>
        </w:rPr>
        <w:t>采购人</w:t>
      </w:r>
      <w:r>
        <w:rPr>
          <w:rFonts w:hint="eastAsia" w:eastAsia="宋体"/>
          <w:bCs/>
          <w:color w:val="000000"/>
          <w:sz w:val="24"/>
          <w:szCs w:val="24"/>
        </w:rPr>
        <w:t>需追加与合同标的相同的货物、服务（包含与货物相关的服务及与服务相关的货物）的，在不改变合同其他条款的前提下，可以与中标人协商签订补充合同，但所有补充合同的采购金额不超过原合同金额10%。</w:t>
      </w:r>
    </w:p>
    <w:p w14:paraId="6FCB24B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2.2 采购结束后，</w:t>
      </w:r>
      <w:r>
        <w:rPr>
          <w:rFonts w:hint="eastAsia" w:eastAsia="宋体"/>
          <w:bCs/>
          <w:color w:val="000000"/>
          <w:sz w:val="24"/>
          <w:szCs w:val="24"/>
          <w:lang w:eastAsia="zh-CN"/>
        </w:rPr>
        <w:t>采购人</w:t>
      </w:r>
      <w:r>
        <w:rPr>
          <w:rFonts w:hint="eastAsia" w:eastAsia="宋体"/>
          <w:bCs/>
          <w:color w:val="000000"/>
          <w:sz w:val="24"/>
          <w:szCs w:val="24"/>
        </w:rPr>
        <w:t>若由于各种客观原因，必须对采购项目所牵涉的货物和服务进行适当的减少时，在双方协商一致的前提下，可以按照招标采购时的价格水平做相应的调减，并据此签订补充合同。</w:t>
      </w:r>
    </w:p>
    <w:p w14:paraId="5F4BA97D">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3. 政府采购合同信用融资扶持政策</w:t>
      </w:r>
    </w:p>
    <w:p w14:paraId="74B1FEBE">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p>
    <w:p w14:paraId="6B86B329">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十二、验收</w:t>
      </w:r>
    </w:p>
    <w:p w14:paraId="29941AB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1D1AAD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2.采购人可以邀请参加本项目的其他投标人或者第三方机构参与验收。参与验收的投标人或者第三方机构的意见作为验收书的参考资料一并存档。</w:t>
      </w:r>
    </w:p>
    <w:p w14:paraId="53938AB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E3E5AF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color w:val="000000"/>
          <w:sz w:val="24"/>
          <w:szCs w:val="24"/>
        </w:rPr>
      </w:pPr>
      <w:r>
        <w:rPr>
          <w:rFonts w:hint="eastAsia" w:eastAsia="宋体"/>
          <w:color w:val="000000"/>
          <w:sz w:val="24"/>
          <w:szCs w:val="24"/>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93380B5">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十三、电子招标投标交易平台</w:t>
      </w:r>
    </w:p>
    <w:p w14:paraId="67DD593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textAlignment w:val="auto"/>
        <w:rPr>
          <w:rFonts w:eastAsia="宋体"/>
          <w:bCs/>
          <w:color w:val="000000"/>
          <w:sz w:val="24"/>
          <w:szCs w:val="24"/>
        </w:rPr>
      </w:pPr>
      <w:r>
        <w:rPr>
          <w:rFonts w:hint="eastAsia" w:eastAsia="宋体"/>
          <w:bCs/>
          <w:color w:val="000000"/>
          <w:sz w:val="24"/>
          <w:szCs w:val="24"/>
        </w:rPr>
        <w:t>电子招标投标交易平台（即“苏采云”系统，网址：</w:t>
      </w:r>
      <w:r>
        <w:fldChar w:fldCharType="begin"/>
      </w:r>
      <w:r>
        <w:instrText xml:space="preserve">HYPERLINK "http://jszfcg.jsczt.cn/）相关要求是本招标文件的组成部分。" \o "http://jszfcg.jsczt.cn/）相关要求是本招标文件的组成部分。"</w:instrText>
      </w:r>
      <w:r>
        <w:fldChar w:fldCharType="separate"/>
      </w:r>
      <w:r>
        <w:rPr>
          <w:rStyle w:val="15"/>
          <w:rFonts w:hint="eastAsia" w:eastAsia="宋体"/>
          <w:bCs/>
          <w:color w:val="000000"/>
          <w:sz w:val="24"/>
          <w:szCs w:val="24"/>
        </w:rPr>
        <w:t>http：//jszfcg.jsczt.cn/）相关要求是本招标文件的组成部分。</w:t>
      </w:r>
      <w:r>
        <w:rPr>
          <w:rStyle w:val="15"/>
          <w:rFonts w:eastAsia="宋体"/>
          <w:bCs/>
          <w:color w:val="000000"/>
          <w:sz w:val="24"/>
          <w:szCs w:val="24"/>
        </w:rPr>
        <w:fldChar w:fldCharType="end"/>
      </w:r>
    </w:p>
    <w:p w14:paraId="31B4C5C3">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contextualSpacing/>
        <w:textAlignment w:val="auto"/>
        <w:rPr>
          <w:rFonts w:eastAsia="宋体"/>
          <w:b/>
          <w:bCs/>
          <w:color w:val="000000"/>
          <w:sz w:val="24"/>
          <w:szCs w:val="24"/>
        </w:rPr>
      </w:pPr>
      <w:r>
        <w:rPr>
          <w:rFonts w:hint="eastAsia" w:eastAsia="宋体"/>
          <w:b/>
          <w:bCs/>
          <w:color w:val="000000"/>
          <w:sz w:val="24"/>
          <w:szCs w:val="24"/>
        </w:rPr>
        <w:t>十四、</w:t>
      </w:r>
      <w:r>
        <w:rPr>
          <w:rFonts w:eastAsia="宋体"/>
          <w:b/>
          <w:bCs/>
          <w:color w:val="000000"/>
          <w:sz w:val="24"/>
          <w:szCs w:val="24"/>
        </w:rPr>
        <w:t>未尽事宜</w:t>
      </w:r>
    </w:p>
    <w:p w14:paraId="7F138C7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contextualSpacing/>
        <w:jc w:val="left"/>
        <w:textAlignment w:val="auto"/>
        <w:rPr>
          <w:rFonts w:eastAsia="宋体"/>
          <w:b/>
          <w:bCs/>
          <w:color w:val="000000"/>
          <w:sz w:val="21"/>
          <w:szCs w:val="21"/>
        </w:rPr>
        <w:sectPr>
          <w:headerReference r:id="rId8" w:type="default"/>
          <w:pgSz w:w="11906" w:h="16838"/>
          <w:pgMar w:top="1588" w:right="1418" w:bottom="1418" w:left="1701" w:header="851" w:footer="850" w:gutter="0"/>
          <w:cols w:space="1701" w:num="1"/>
          <w:docGrid w:linePitch="360" w:charSpace="0"/>
        </w:sectPr>
      </w:pPr>
      <w:r>
        <w:rPr>
          <w:rFonts w:hint="eastAsia" w:eastAsia="宋体"/>
          <w:color w:val="000000"/>
          <w:sz w:val="24"/>
          <w:szCs w:val="24"/>
        </w:rPr>
        <w:t>按《中华人民共和国政府采购法》及其他有关法律法规的规定执行。</w:t>
      </w:r>
    </w:p>
    <w:p w14:paraId="2C0003FA">
      <w:pPr>
        <w:shd w:val="clea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第三章  项目需求</w:t>
      </w:r>
    </w:p>
    <w:p w14:paraId="17A54C63">
      <w:pPr>
        <w:pStyle w:val="13"/>
        <w:shd w:val="clear"/>
        <w:rPr>
          <w:lang w:val="zh-CN"/>
        </w:rPr>
      </w:pPr>
      <w:bookmarkStart w:id="8" w:name="_Toc182848996"/>
    </w:p>
    <w:p w14:paraId="3B703F24">
      <w:pPr>
        <w:pStyle w:val="16"/>
        <w:pageBreakBefore w:val="0"/>
        <w:widowControl w:val="0"/>
        <w:shd w:val="clear"/>
        <w:kinsoku/>
        <w:overflowPunct/>
        <w:topLinePunct w:val="0"/>
        <w:autoSpaceDE/>
        <w:autoSpaceDN/>
        <w:bidi w:val="0"/>
        <w:adjustRightInd/>
        <w:spacing w:line="360" w:lineRule="auto"/>
        <w:ind w:firstLine="480" w:firstLineChars="200"/>
        <w:textAlignment w:val="auto"/>
        <w:rPr>
          <w:rFonts w:hint="eastAsia" w:eastAsia="宋体" w:cs="宋体"/>
          <w:b w:val="0"/>
          <w:color w:val="000000"/>
          <w:sz w:val="24"/>
          <w:szCs w:val="24"/>
        </w:rPr>
      </w:pPr>
      <w:r>
        <w:rPr>
          <w:rFonts w:hint="eastAsia" w:eastAsia="宋体" w:cs="宋体"/>
          <w:b w:val="0"/>
          <w:color w:val="000000"/>
          <w:sz w:val="24"/>
          <w:szCs w:val="24"/>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14:paraId="5C33255D">
      <w:pPr>
        <w:pStyle w:val="16"/>
        <w:keepNext w:val="0"/>
        <w:keepLines w:val="0"/>
        <w:pageBreakBefore w:val="0"/>
        <w:widowControl w:val="0"/>
        <w:shd w:val="clear"/>
        <w:kinsoku/>
        <w:overflowPunct/>
        <w:topLinePunct w:val="0"/>
        <w:autoSpaceDE/>
        <w:autoSpaceDN/>
        <w:bidi w:val="0"/>
        <w:adjustRightInd/>
        <w:spacing w:line="360" w:lineRule="auto"/>
        <w:ind w:firstLine="480" w:firstLineChars="200"/>
        <w:textAlignment w:val="auto"/>
        <w:rPr>
          <w:rFonts w:hint="eastAsia" w:eastAsia="宋体" w:cs="宋体"/>
          <w:b w:val="0"/>
          <w:color w:val="000000"/>
          <w:sz w:val="24"/>
          <w:szCs w:val="24"/>
        </w:rPr>
      </w:pPr>
      <w:r>
        <w:rPr>
          <w:rFonts w:hint="eastAsia" w:eastAsia="宋体" w:cs="宋体"/>
          <w:b w:val="0"/>
          <w:color w:val="000000"/>
          <w:sz w:val="24"/>
          <w:szCs w:val="24"/>
          <w:lang w:val="zh-CN"/>
        </w:rPr>
        <w:t>供应商不能简单照搬照抄采购文件项目需求说明中的技术、商务要求，必须作实事求是的响应。如供应商提供的货物和服务同采购人提出的项目需求说明中的技术、商务要求不同的，必须在进行必要的说明。</w:t>
      </w:r>
    </w:p>
    <w:p w14:paraId="312D4018">
      <w:pPr>
        <w:pageBreakBefore w:val="0"/>
        <w:widowControl w:val="0"/>
        <w:shd w:val="clear"/>
        <w:kinsoku/>
        <w:overflowPunct/>
        <w:topLinePunct w:val="0"/>
        <w:autoSpaceDE/>
        <w:autoSpaceDN/>
        <w:bidi w:val="0"/>
        <w:adjustRightInd/>
        <w:spacing w:line="360" w:lineRule="auto"/>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一、需求总则</w:t>
      </w:r>
    </w:p>
    <w:p w14:paraId="3000B45B">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1.关于优先采购：</w:t>
      </w:r>
    </w:p>
    <w:p w14:paraId="2613E685">
      <w:pPr>
        <w:pageBreakBefore w:val="0"/>
        <w:widowControl w:val="0"/>
        <w:shd w:val="clear"/>
        <w:kinsoku/>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1）政府采购优先采购节能产品和环境标志产品。节能产品是指列入财政部、国家发展和改革委员会制定的《节能产品政府采购清单》。环境标志产品是指财政部、国家环保总局制定的《环境标志产品政府采购清单》。</w:t>
      </w:r>
    </w:p>
    <w:p w14:paraId="647F3F86">
      <w:pPr>
        <w:pageBreakBefore w:val="0"/>
        <w:widowControl w:val="0"/>
        <w:shd w:val="clear"/>
        <w:kinsoku/>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
          <w:color w:val="000000"/>
          <w:sz w:val="24"/>
          <w:szCs w:val="24"/>
        </w:rPr>
        <w:t>（2）本次招标采购涉及产品如列入节能产品、环境标志产品实施品目清单的，各公开招标响应供应商应提供国家确定的认证机构出具的、处于有效期之内的节能产品、环境标志产品认证证书。</w:t>
      </w:r>
    </w:p>
    <w:p w14:paraId="00B4F544">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2.绿色采购</w:t>
      </w:r>
    </w:p>
    <w:p w14:paraId="3931CF4D">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1.本次采购需切实履行绿色采购。</w:t>
      </w:r>
    </w:p>
    <w:p w14:paraId="46EA8D26">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1.1商品包装环保要求：应当按《关于印发〈商品包装政府采购需求标准（试行）〉、〈快递包装政府采购需求标准（试行）〉的通知》（财办库〔2020〕123号）文件执行。</w:t>
      </w:r>
    </w:p>
    <w:p w14:paraId="2F35B762">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（1）商品包装层数不得超过 3 层，空隙率不大于40%；</w:t>
      </w:r>
    </w:p>
    <w:p w14:paraId="3AC8F681">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（2）商品包装尽可能使用单一材质的包装材料，如因功能需求必需使用不同材质，不同材质间应便于分离；</w:t>
      </w:r>
    </w:p>
    <w:p w14:paraId="4AA58CC7">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（3）商品包装中铅、汞、镉、六价铬的总含量应不大于100mg/kg；</w:t>
      </w:r>
    </w:p>
    <w:p w14:paraId="4C1686EF">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（4）商品包装印刷使用的油墨中挥发性有机化合物</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VOCs</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含量应不大于 5%（以重量计）；</w:t>
      </w:r>
    </w:p>
    <w:p w14:paraId="17435418">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（5）塑料材质商品包装上呈现的印刷颜色不得超过 6 色；</w:t>
      </w:r>
    </w:p>
    <w:p w14:paraId="0CFDEB52">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（6）纸质商品包装应使用 75%以上的可再生纤维原料生产；</w:t>
      </w:r>
    </w:p>
    <w:p w14:paraId="04397106">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（7）木质商品包装的原料应来源于可持续性森林。</w:t>
      </w:r>
    </w:p>
    <w:p w14:paraId="2AB1AA8E">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1.2快递包装环保要求：</w:t>
      </w:r>
    </w:p>
    <w:p w14:paraId="7CE8C5FA">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（1）快递包装中重金属（铅、汞、镉、六价铬）总量应不大于 100mg/kg；</w:t>
      </w:r>
    </w:p>
    <w:p w14:paraId="08FFF119">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（2）快递包装印刷使用的油墨中不应添加邻苯二甲酸酯，其挥发性有机化合物</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VOCs</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含量应不大于5%（以重量计）；</w:t>
      </w:r>
    </w:p>
    <w:p w14:paraId="5DD10780">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（3）快递包装中使用纸基材的包装材料，纸基材中的有机氯的含量应不大于 150 mg/kg；</w:t>
      </w:r>
    </w:p>
    <w:p w14:paraId="371994EA">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（4）快递包装中使用塑料基材的包装材料不得使用邻苯二甲酸二异壬酯、邻苯二甲酸二正辛酯、邻苯二甲酸二</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2-乙基</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己酯、邻苯二甲酸二异癸酯、邻苯二甲酸丁基苄基酯、邻苯二甲酸二丁酯等作为增塑剂；</w:t>
      </w:r>
    </w:p>
    <w:p w14:paraId="6B729F8F">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（5）快递中使用的塑料包装袋不得使用聚氯乙烯作为原料，且原料应为单一材质制成，生物分解率大于60%；</w:t>
      </w:r>
    </w:p>
    <w:p w14:paraId="276026E3">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（6）快递中使用的充气类填充物不得使用聚氯乙烯作为原料，且原料为单一材质制成，生物分解率大于60%；</w:t>
      </w:r>
    </w:p>
    <w:p w14:paraId="2EC0A8B5">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（7）快递中使用的集装袋应为单一材质制成，其重复使用次数应不小于 80 次；</w:t>
      </w:r>
    </w:p>
    <w:p w14:paraId="30150437">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（8）快递中应使用幅宽不大于45mm 的生物降解胶带；</w:t>
      </w:r>
    </w:p>
    <w:p w14:paraId="314F915E">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（9）快递包装中不得使用溶剂型胶粘剂；</w:t>
      </w:r>
    </w:p>
    <w:p w14:paraId="54887F64">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（10）快递应使用电子面单；</w:t>
      </w:r>
    </w:p>
    <w:p w14:paraId="138BFAAB">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（11）直接使用商品包装作为快递包装的商品，其商品包装满足《商品包装政府采购需求标准（试行）》即可；</w:t>
      </w:r>
    </w:p>
    <w:p w14:paraId="7C1C35B4">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（12）快递包装产品质量和封装方式应符合相关国家或行业标准技术指标要求。</w:t>
      </w:r>
    </w:p>
    <w:p w14:paraId="61453472">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3.关于招标项目涉及产品：</w:t>
      </w:r>
    </w:p>
    <w:p w14:paraId="36F9F592">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1）产品必须是全新、未使用过的原装合格正品，完全符合采购文件规定的质量、规格和性能的要求，达到国家或行业规定的标准，实行生产许可证制度的，应提供生产许可证；属于国家强制认证的产品，必须通过认证。</w:t>
      </w:r>
    </w:p>
    <w:p w14:paraId="2E4EBB0E">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（2）若竞标产品涉及政府采购协议供货目录内的产品则必须选择目录内产品（型号及参数），产品报价不得超过江苏省省级或南通市最新一期的政府采购协议供货价格。</w:t>
      </w:r>
    </w:p>
    <w:p w14:paraId="1D6AD9D6">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3）本项目采购不接受全套进口设备的投标。进口产品的定义为：指通过中国海关报关验收进入中国境内且产自境外的产品，具体按照苏财购〔2008〕14号江苏省财政厅转发财政部办公厅关于政府采购进口产品管理有关问题的通知的规定。</w:t>
      </w:r>
    </w:p>
    <w:p w14:paraId="2733A0BD">
      <w:pPr>
        <w:pageBreakBefore w:val="0"/>
        <w:widowControl w:val="0"/>
        <w:shd w:val="clear"/>
        <w:kinsoku/>
        <w:overflowPunct/>
        <w:topLinePunct w:val="0"/>
        <w:autoSpaceDE/>
        <w:autoSpaceDN/>
        <w:bidi w:val="0"/>
        <w:adjustRightInd/>
        <w:spacing w:line="360" w:lineRule="auto"/>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二、项目公开招标响应说明</w:t>
      </w:r>
    </w:p>
    <w:p w14:paraId="02AA3CC5">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公开招标响应供应商不能简单照搬照抄招标项目需求说明中的技术要求，必须作实事求是的响应：</w:t>
      </w:r>
    </w:p>
    <w:p w14:paraId="57E9F754">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1.照搬照抄项目需求说明中的技术要求，一旦中标，在与采购人签订合同和履约环节中不得提出异议，一切后果和损失由中标人承担。</w:t>
      </w:r>
    </w:p>
    <w:p w14:paraId="45C24056">
      <w:pPr>
        <w:pageBreakBefore w:val="0"/>
        <w:widowControl w:val="0"/>
        <w:shd w:val="clear"/>
        <w:kinsoku/>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2.公开招标响应供应商提供的货物和服务与采购人提出的项目需求说明中的技术要求不同，必</w:t>
      </w:r>
      <w:bookmarkStart w:id="9" w:name="_Hlk69896050"/>
      <w:r>
        <w:rPr>
          <w:rFonts w:hint="eastAsia" w:ascii="宋体" w:hAnsi="宋体" w:eastAsia="宋体" w:cs="宋体"/>
          <w:bCs/>
          <w:color w:val="000000"/>
          <w:sz w:val="24"/>
          <w:szCs w:val="24"/>
        </w:rPr>
        <w:t>须在逐一逐条响应的《技术条款响应正负偏离表》上明示偏离的部分。</w:t>
      </w:r>
      <w:bookmarkEnd w:id="9"/>
    </w:p>
    <w:p w14:paraId="482B0686">
      <w:pPr>
        <w:pageBreakBefore w:val="0"/>
        <w:widowControl w:val="0"/>
        <w:shd w:val="clear"/>
        <w:kinsoku/>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3.项目需求产品的技术参数响应：</w:t>
      </w:r>
    </w:p>
    <w:p w14:paraId="35A61002">
      <w:pPr>
        <w:pageBreakBefore w:val="0"/>
        <w:widowControl w:val="0"/>
        <w:shd w:val="clear"/>
        <w:kinsoku/>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p>
    <w:p w14:paraId="3EC0E196">
      <w:pPr>
        <w:pageBreakBefore w:val="0"/>
        <w:widowControl w:val="0"/>
        <w:shd w:val="clear"/>
        <w:kinsoku/>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（1）指标排它性的证明材料；</w:t>
      </w:r>
    </w:p>
    <w:p w14:paraId="089B0E90">
      <w:pPr>
        <w:pageBreakBefore w:val="0"/>
        <w:widowControl w:val="0"/>
        <w:shd w:val="clear"/>
        <w:kinsoku/>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（2）产品调整对比表；</w:t>
      </w:r>
    </w:p>
    <w:p w14:paraId="3F8A6056">
      <w:pPr>
        <w:pageBreakBefore w:val="0"/>
        <w:widowControl w:val="0"/>
        <w:shd w:val="clear"/>
        <w:kinsoku/>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（3）调整后产品的详细技术参数；</w:t>
      </w:r>
    </w:p>
    <w:p w14:paraId="3A9E9BA9">
      <w:pPr>
        <w:keepNext w:val="0"/>
        <w:keepLines w:val="0"/>
        <w:pageBreakBefore w:val="0"/>
        <w:widowControl w:val="0"/>
        <w:shd w:val="clear"/>
        <w:kinsoku/>
        <w:overflowPunct/>
        <w:topLinePunct w:val="0"/>
        <w:autoSpaceDE/>
        <w:autoSpaceDN/>
        <w:bidi w:val="0"/>
        <w:adjustRightInd/>
        <w:spacing w:line="360" w:lineRule="auto"/>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三、采购标的数量、采购项目交付或者实施的时间和地点</w:t>
      </w:r>
    </w:p>
    <w:p w14:paraId="71C662C1">
      <w:pPr>
        <w:keepNext w:val="0"/>
        <w:keepLines w:val="0"/>
        <w:pageBreakBefore w:val="0"/>
        <w:widowControl w:val="0"/>
        <w:shd w:val="clear"/>
        <w:kinsoku/>
        <w:overflowPunct/>
        <w:topLinePunct w:val="0"/>
        <w:autoSpaceDE/>
        <w:autoSpaceDN/>
        <w:bidi w:val="0"/>
        <w:adjustRightInd/>
        <w:spacing w:line="360" w:lineRule="auto"/>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（一）采购标的需实现的功能或者目标，以及为落实政府采购政策需满足的要求</w:t>
      </w:r>
    </w:p>
    <w:p w14:paraId="62C78770">
      <w:pPr>
        <w:keepNext w:val="0"/>
        <w:keepLines w:val="0"/>
        <w:pageBreakBefore w:val="0"/>
        <w:widowControl w:val="0"/>
        <w:shd w:val="clear"/>
        <w:kinsoku/>
        <w:wordWrap w:val="0"/>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000000"/>
          <w:sz w:val="24"/>
          <w:szCs w:val="24"/>
        </w:rPr>
      </w:pPr>
      <w:r>
        <w:rPr>
          <w:rFonts w:ascii="宋体" w:hAnsi="宋体" w:eastAsia="宋体" w:cs="宋体"/>
          <w:sz w:val="24"/>
          <w:szCs w:val="24"/>
        </w:rPr>
        <w:t>项目聚焦智慧船舶领域网络安全人才培养，通过软硬件结合与课程资源支撑，打造集教学、实践于一体的专业化的船舶网络安全教学与实践平台</w:t>
      </w:r>
      <w:r>
        <w:rPr>
          <w:rFonts w:hint="eastAsia" w:ascii="宋体" w:hAnsi="宋体" w:eastAsia="宋体" w:cs="宋体"/>
          <w:sz w:val="24"/>
          <w:szCs w:val="24"/>
        </w:rPr>
        <w:t>。</w:t>
      </w:r>
    </w:p>
    <w:p w14:paraId="1BA3C14F">
      <w:pPr>
        <w:keepNext w:val="0"/>
        <w:keepLines w:val="0"/>
        <w:pageBreakBefore w:val="0"/>
        <w:widowControl w:val="0"/>
        <w:shd w:val="clear"/>
        <w:kinsoku/>
        <w:overflowPunct/>
        <w:topLinePunct w:val="0"/>
        <w:autoSpaceDE/>
        <w:autoSpaceDN/>
        <w:bidi w:val="0"/>
        <w:adjustRightInd/>
        <w:spacing w:line="360" w:lineRule="auto"/>
        <w:contextualSpacing/>
        <w:textAlignment w:val="auto"/>
        <w:rPr>
          <w:rFonts w:hint="eastAsia" w:ascii="宋体" w:hAnsi="宋体" w:eastAsia="宋体" w:cs="宋体"/>
          <w:b/>
          <w:bCs/>
          <w:sz w:val="24"/>
          <w:szCs w:val="24"/>
        </w:rPr>
      </w:pPr>
      <w:r>
        <w:rPr>
          <w:rFonts w:hint="eastAsia" w:ascii="宋体" w:hAnsi="宋体" w:eastAsia="宋体" w:cs="宋体"/>
          <w:b/>
          <w:bCs/>
          <w:sz w:val="24"/>
          <w:szCs w:val="24"/>
        </w:rPr>
        <w:t>（二）采购标的需执行的国家相关标准、行业标准、地方标准或者其他标准、规范</w:t>
      </w:r>
    </w:p>
    <w:p w14:paraId="743BC392">
      <w:pPr>
        <w:pStyle w:val="5"/>
        <w:keepNext w:val="0"/>
        <w:keepLines w:val="0"/>
        <w:pageBreakBefore w:val="0"/>
        <w:widowControl w:val="0"/>
        <w:shd w:val="clear"/>
        <w:tabs>
          <w:tab w:val="left" w:pos="0"/>
        </w:tabs>
        <w:kinsoku/>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本采购标的需执行的技术标准按国家标准执行，无国家标准的，按行业标准执行，无国家和行业标准的，按企业标准执行。</w:t>
      </w:r>
    </w:p>
    <w:p w14:paraId="2970B3AA">
      <w:pPr>
        <w:pageBreakBefore w:val="0"/>
        <w:widowControl w:val="0"/>
        <w:shd w:val="clear"/>
        <w:kinsoku/>
        <w:overflowPunct/>
        <w:topLinePunct w:val="0"/>
        <w:autoSpaceDE/>
        <w:autoSpaceDN/>
        <w:bidi w:val="0"/>
        <w:adjustRightIn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br w:type="page"/>
      </w:r>
    </w:p>
    <w:p w14:paraId="33CAAA02">
      <w:pPr>
        <w:keepNext w:val="0"/>
        <w:keepLines w:val="0"/>
        <w:pageBreakBefore w:val="0"/>
        <w:shd w:val="clear"/>
        <w:kinsoku/>
        <w:wordWrap/>
        <w:overflowPunct/>
        <w:topLinePunct w:val="0"/>
        <w:autoSpaceDE/>
        <w:autoSpaceDN/>
        <w:bidi w:val="0"/>
        <w:spacing w:line="360" w:lineRule="auto"/>
        <w:contextualSpacing/>
        <w:textAlignment w:val="auto"/>
        <w:rPr>
          <w:rFonts w:hint="eastAsia" w:ascii="宋体" w:hAnsi="宋体" w:eastAsia="宋体" w:cs="宋体"/>
          <w:b/>
          <w:bCs/>
          <w:sz w:val="24"/>
          <w:szCs w:val="24"/>
        </w:rPr>
      </w:pPr>
      <w:r>
        <w:rPr>
          <w:rFonts w:hint="eastAsia" w:ascii="宋体" w:hAnsi="宋体" w:eastAsia="宋体" w:cs="宋体"/>
          <w:b/>
          <w:bCs/>
          <w:sz w:val="24"/>
          <w:szCs w:val="24"/>
        </w:rPr>
        <w:t>（三）采购标的需满足的质量、安全、技术规格、物理特性等要求</w:t>
      </w:r>
    </w:p>
    <w:tbl>
      <w:tblPr>
        <w:tblStyle w:val="8"/>
        <w:tblW w:w="9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
        <w:gridCol w:w="1095"/>
        <w:gridCol w:w="6261"/>
        <w:gridCol w:w="703"/>
        <w:gridCol w:w="720"/>
      </w:tblGrid>
      <w:tr w14:paraId="442C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394" w:type="dxa"/>
            <w:vAlign w:val="center"/>
          </w:tcPr>
          <w:p w14:paraId="00E8CCD9">
            <w:pPr>
              <w:keepNext w:val="0"/>
              <w:keepLines w:val="0"/>
              <w:pageBreakBefore w:val="0"/>
              <w:widowControl/>
              <w:shd w:val="clea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095" w:type="dxa"/>
            <w:vAlign w:val="center"/>
          </w:tcPr>
          <w:p w14:paraId="7E074432">
            <w:pPr>
              <w:keepNext w:val="0"/>
              <w:keepLines w:val="0"/>
              <w:pageBreakBefore w:val="0"/>
              <w:widowControl/>
              <w:shd w:val="clea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设备名称</w:t>
            </w:r>
          </w:p>
        </w:tc>
        <w:tc>
          <w:tcPr>
            <w:tcW w:w="6261" w:type="dxa"/>
            <w:vAlign w:val="center"/>
          </w:tcPr>
          <w:p w14:paraId="77D0282D">
            <w:pPr>
              <w:keepNext w:val="0"/>
              <w:keepLines w:val="0"/>
              <w:pageBreakBefore w:val="0"/>
              <w:widowControl/>
              <w:shd w:val="clea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技术参数</w:t>
            </w:r>
          </w:p>
        </w:tc>
        <w:tc>
          <w:tcPr>
            <w:tcW w:w="703" w:type="dxa"/>
            <w:vAlign w:val="center"/>
          </w:tcPr>
          <w:p w14:paraId="07A22F07">
            <w:pPr>
              <w:keepNext w:val="0"/>
              <w:keepLines w:val="0"/>
              <w:pageBreakBefore w:val="0"/>
              <w:widowControl/>
              <w:shd w:val="clea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720" w:type="dxa"/>
            <w:vAlign w:val="center"/>
          </w:tcPr>
          <w:p w14:paraId="73F2C993">
            <w:pPr>
              <w:keepNext w:val="0"/>
              <w:keepLines w:val="0"/>
              <w:pageBreakBefore w:val="0"/>
              <w:widowControl/>
              <w:shd w:val="clea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r>
      <w:tr w14:paraId="3470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394" w:type="dxa"/>
            <w:vAlign w:val="center"/>
          </w:tcPr>
          <w:p w14:paraId="6859CE93">
            <w:pPr>
              <w:keepNext w:val="0"/>
              <w:keepLines w:val="0"/>
              <w:pageBreakBefore w:val="0"/>
              <w:widowControl/>
              <w:shd w:val="clear"/>
              <w:kinsoku/>
              <w:wordWrap/>
              <w:overflowPunct/>
              <w:topLinePunct w:val="0"/>
              <w:autoSpaceDE/>
              <w:autoSpaceDN/>
              <w:bidi w:val="0"/>
              <w:adjustRightInd w:val="0"/>
              <w:snapToGrid w:val="0"/>
              <w:spacing w:line="320" w:lineRule="exact"/>
              <w:jc w:val="center"/>
              <w:textAlignment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1</w:t>
            </w:r>
          </w:p>
        </w:tc>
        <w:tc>
          <w:tcPr>
            <w:tcW w:w="1095" w:type="dxa"/>
            <w:vAlign w:val="center"/>
          </w:tcPr>
          <w:p w14:paraId="2C90DD2F">
            <w:pPr>
              <w:keepNext w:val="0"/>
              <w:keepLines w:val="0"/>
              <w:pageBreakBefore w:val="0"/>
              <w:widowControl/>
              <w:shd w:val="clear"/>
              <w:kinsoku/>
              <w:wordWrap/>
              <w:overflowPunct/>
              <w:topLinePunct w:val="0"/>
              <w:autoSpaceDE/>
              <w:autoSpaceDN/>
              <w:bidi w:val="0"/>
              <w:adjustRightInd w:val="0"/>
              <w:snapToGrid w:val="0"/>
              <w:spacing w:line="320" w:lineRule="exact"/>
              <w:jc w:val="center"/>
              <w:textAlignment w:val="center"/>
              <w:rPr>
                <w:rFonts w:hint="eastAsia" w:ascii="宋体" w:hAnsi="宋体" w:eastAsia="宋体" w:cs="宋体"/>
                <w:b/>
                <w:bCs/>
                <w:color w:val="000000"/>
                <w:sz w:val="21"/>
                <w:szCs w:val="21"/>
                <w:lang w:eastAsia="zh-CN" w:bidi="ar"/>
              </w:rPr>
            </w:pPr>
            <w:r>
              <w:rPr>
                <w:rFonts w:hint="eastAsia" w:ascii="宋体" w:hAnsi="宋体" w:eastAsia="宋体" w:cs="宋体"/>
                <w:b/>
                <w:bCs/>
                <w:color w:val="000000"/>
                <w:sz w:val="21"/>
                <w:szCs w:val="21"/>
                <w:highlight w:val="none"/>
                <w:lang w:eastAsia="zh-CN" w:bidi="ar"/>
              </w:rPr>
              <w:t>☆</w:t>
            </w:r>
            <w:r>
              <w:rPr>
                <w:rFonts w:hint="eastAsia" w:ascii="宋体" w:hAnsi="宋体" w:eastAsia="宋体" w:cs="宋体"/>
                <w:b/>
                <w:bCs/>
                <w:color w:val="000000"/>
                <w:sz w:val="21"/>
                <w:szCs w:val="21"/>
                <w:highlight w:val="none"/>
                <w:lang w:bidi="ar"/>
              </w:rPr>
              <w:t>智慧船舶网络安全实践</w:t>
            </w:r>
            <w:r>
              <w:rPr>
                <w:rFonts w:hint="eastAsia" w:ascii="宋体" w:hAnsi="宋体" w:eastAsia="宋体" w:cs="宋体"/>
                <w:b/>
                <w:bCs/>
                <w:color w:val="000000"/>
                <w:sz w:val="21"/>
                <w:szCs w:val="21"/>
                <w:highlight w:val="none"/>
                <w:lang w:val="en-US" w:eastAsia="zh-CN" w:bidi="ar"/>
              </w:rPr>
              <w:t>系统</w:t>
            </w:r>
          </w:p>
        </w:tc>
        <w:tc>
          <w:tcPr>
            <w:tcW w:w="6261" w:type="dxa"/>
          </w:tcPr>
          <w:p w14:paraId="695DEF19">
            <w:pPr>
              <w:shd w:val="clear"/>
              <w:spacing w:line="320" w:lineRule="exact"/>
              <w:rPr>
                <w:rFonts w:hint="eastAsia" w:ascii="宋体" w:hAnsi="宋体" w:eastAsia="宋体" w:cs="宋体"/>
                <w:b/>
                <w:bCs/>
                <w:sz w:val="21"/>
                <w:szCs w:val="21"/>
                <w:lang w:eastAsia="zh-CN"/>
              </w:rPr>
            </w:pPr>
            <w:r>
              <w:rPr>
                <w:rFonts w:hint="eastAsia" w:ascii="宋体" w:hAnsi="宋体" w:eastAsia="宋体" w:cs="宋体"/>
                <w:b/>
                <w:bCs/>
                <w:sz w:val="21"/>
                <w:szCs w:val="21"/>
              </w:rPr>
              <w:t>一、网络安全教学一体机</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提供产品说明</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lang w:eastAsia="zh-CN"/>
              </w:rPr>
              <w:t>】</w:t>
            </w:r>
          </w:p>
          <w:p w14:paraId="53AA7B5B">
            <w:pPr>
              <w:shd w:val="clear"/>
              <w:spacing w:line="320" w:lineRule="exact"/>
              <w:ind w:firstLine="420" w:firstLineChars="200"/>
              <w:rPr>
                <w:rFonts w:hint="eastAsia" w:ascii="宋体" w:hAnsi="宋体" w:eastAsia="宋体" w:cs="宋体"/>
                <w:b/>
                <w:bCs/>
                <w:sz w:val="21"/>
                <w:szCs w:val="21"/>
              </w:rPr>
            </w:pPr>
            <w:r>
              <w:rPr>
                <w:rFonts w:hint="eastAsia" w:ascii="宋体" w:hAnsi="宋体" w:eastAsia="宋体" w:cs="宋体"/>
                <w:sz w:val="21"/>
                <w:szCs w:val="21"/>
              </w:rPr>
              <w:t>1.处理器：标准x86架构，Intel Xeon 内核不低于36，逻辑处理器线程数不低于72；基本频率≥2.20Ghz。</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提供处理器型号及配置清单</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eastAsia="zh-CN"/>
              </w:rPr>
              <w:t>。】</w:t>
            </w:r>
          </w:p>
          <w:p w14:paraId="4E4B33C4">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2.网络接口：前置面板千兆网络接口≥4个；后置面板千兆网络接口≥2个；10G光纤SFP口≥1个，LC光纤接口≥2个。</w:t>
            </w:r>
          </w:p>
          <w:p w14:paraId="360DBAA6">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3.显卡接口</w:t>
            </w:r>
            <w:r>
              <w:rPr>
                <w:rFonts w:hint="eastAsia" w:ascii="宋体" w:hAnsi="宋体" w:eastAsia="宋体" w:cs="宋体"/>
                <w:color w:val="auto"/>
                <w:sz w:val="21"/>
                <w:szCs w:val="21"/>
              </w:rPr>
              <w:t>：独</w:t>
            </w:r>
            <w:r>
              <w:rPr>
                <w:rFonts w:hint="eastAsia" w:ascii="宋体" w:hAnsi="宋体" w:eastAsia="宋体" w:cs="宋体"/>
                <w:sz w:val="21"/>
                <w:szCs w:val="21"/>
              </w:rPr>
              <w:t>立显卡</w:t>
            </w:r>
            <w:r>
              <w:rPr>
                <w:rFonts w:hint="eastAsia" w:ascii="宋体" w:hAnsi="宋体" w:eastAsia="宋体" w:cs="宋体"/>
                <w:sz w:val="21"/>
                <w:szCs w:val="21"/>
                <w:lang w:val="en-US" w:eastAsia="zh-CN"/>
              </w:rPr>
              <w:t>不低于2G</w:t>
            </w:r>
            <w:r>
              <w:rPr>
                <w:rFonts w:hint="eastAsia" w:ascii="宋体" w:hAnsi="宋体" w:eastAsia="宋体" w:cs="宋体"/>
                <w:sz w:val="21"/>
                <w:szCs w:val="21"/>
              </w:rPr>
              <w:t>，配置VGA接口≥2个，HDMI接口≥2个，DVI接口≥2个。</w:t>
            </w:r>
          </w:p>
          <w:p w14:paraId="47BE40FB">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4.应用端口：满足多样化需求，前面板前置配备有：2.5英寸抽屉式硬盘笼≥4个，USB 3.0接口≥4个；后面板后置配备有：USB 2.0接口≥4个，串行通讯COM端口≥2个，散热风扇≥2个，满足一体机多样化应用需求。</w:t>
            </w:r>
          </w:p>
          <w:p w14:paraId="68CFAC61">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w:t>
            </w:r>
            <w:r>
              <w:rPr>
                <w:rFonts w:ascii="宋体" w:hAnsi="宋体" w:eastAsia="宋体" w:cs="宋体"/>
                <w:sz w:val="21"/>
                <w:szCs w:val="21"/>
              </w:rPr>
              <w:t>.支持提供</w:t>
            </w:r>
            <w:r>
              <w:rPr>
                <w:rFonts w:hint="eastAsia" w:ascii="宋体" w:hAnsi="宋体" w:eastAsia="宋体" w:cs="宋体"/>
                <w:sz w:val="21"/>
                <w:szCs w:val="21"/>
              </w:rPr>
              <w:t>≥3</w:t>
            </w:r>
            <w:r>
              <w:rPr>
                <w:rFonts w:ascii="宋体" w:hAnsi="宋体" w:eastAsia="宋体" w:cs="宋体"/>
                <w:sz w:val="21"/>
                <w:szCs w:val="21"/>
              </w:rPr>
              <w:t>1RS232接口，</w:t>
            </w:r>
            <w:r>
              <w:rPr>
                <w:rFonts w:hint="eastAsia" w:ascii="宋体" w:hAnsi="宋体" w:eastAsia="宋体" w:cs="宋体"/>
                <w:b/>
                <w:bCs/>
                <w:sz w:val="21"/>
                <w:szCs w:val="21"/>
                <w:u w:val="single"/>
                <w:lang w:eastAsia="zh-CN"/>
              </w:rPr>
              <w:t>【</w:t>
            </w:r>
            <w:r>
              <w:rPr>
                <w:rFonts w:ascii="宋体" w:hAnsi="宋体" w:eastAsia="宋体" w:cs="宋体"/>
                <w:b/>
                <w:bCs/>
                <w:sz w:val="21"/>
                <w:szCs w:val="21"/>
                <w:u w:val="single"/>
              </w:rPr>
              <w:t>提供截图证明</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eastAsia="zh-CN"/>
              </w:rPr>
              <w:t>。】</w:t>
            </w:r>
            <w:r>
              <w:rPr>
                <w:rFonts w:ascii="宋体" w:hAnsi="宋体" w:eastAsia="宋体" w:cs="宋体"/>
                <w:sz w:val="21"/>
                <w:szCs w:val="21"/>
              </w:rPr>
              <w:t>；</w:t>
            </w:r>
          </w:p>
          <w:p w14:paraId="02150538">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.内存容量：采用DDR4 ECC，4根≥128G。</w:t>
            </w:r>
          </w:p>
          <w:p w14:paraId="7B75F21B">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.固态硬盘：硬盘采用M2接口固态硬盘，容量≥1T，SSD≥2T。</w:t>
            </w:r>
          </w:p>
          <w:p w14:paraId="76D601EC">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8</w:t>
            </w:r>
            <w:r>
              <w:rPr>
                <w:rFonts w:hint="eastAsia" w:ascii="宋体" w:hAnsi="宋体" w:eastAsia="宋体" w:cs="宋体"/>
                <w:sz w:val="21"/>
                <w:szCs w:val="21"/>
              </w:rPr>
              <w:t>.配置智能服务器环境监测系统，显示风扇转速、温度等环境调节信息。</w:t>
            </w:r>
          </w:p>
          <w:p w14:paraId="0B14C548">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9</w:t>
            </w:r>
            <w:r>
              <w:rPr>
                <w:rFonts w:hint="eastAsia" w:ascii="宋体" w:hAnsi="宋体" w:eastAsia="宋体" w:cs="宋体"/>
                <w:sz w:val="21"/>
                <w:szCs w:val="21"/>
              </w:rPr>
              <w:t>.电源供电：配置双路≥500W供电电源，保证一体机高效稳定运行。</w:t>
            </w:r>
          </w:p>
          <w:p w14:paraId="4E024A71">
            <w:pPr>
              <w:shd w:val="clear"/>
              <w:spacing w:line="320" w:lineRule="exact"/>
              <w:ind w:firstLine="420" w:firstLineChars="200"/>
            </w:pPr>
            <w:r>
              <w:rPr>
                <w:rFonts w:ascii="宋体" w:hAnsi="宋体" w:eastAsia="宋体" w:cs="宋体"/>
                <w:sz w:val="21"/>
                <w:szCs w:val="21"/>
              </w:rPr>
              <w:t>10</w:t>
            </w:r>
            <w:r>
              <w:rPr>
                <w:rFonts w:hint="eastAsia" w:ascii="宋体" w:hAnsi="宋体" w:eastAsia="宋体" w:cs="宋体"/>
                <w:sz w:val="21"/>
                <w:szCs w:val="21"/>
              </w:rPr>
              <w:t>.虚拟化能力：单台设备至少支持60个独立的虚拟系统的加载</w:t>
            </w:r>
          </w:p>
          <w:p w14:paraId="308A30FC">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11</w:t>
            </w:r>
            <w:r>
              <w:rPr>
                <w:rFonts w:hint="eastAsia" w:ascii="宋体" w:hAnsi="宋体" w:eastAsia="宋体" w:cs="宋体"/>
                <w:sz w:val="21"/>
                <w:szCs w:val="21"/>
              </w:rPr>
              <w:t>.系统能够兼容</w:t>
            </w:r>
            <w:r>
              <w:rPr>
                <w:rFonts w:hint="eastAsia" w:ascii="宋体" w:hAnsi="宋体" w:eastAsia="宋体" w:cs="宋体"/>
                <w:b/>
                <w:bCs/>
                <w:color w:val="auto"/>
                <w:sz w:val="21"/>
                <w:szCs w:val="21"/>
              </w:rPr>
              <w:t>BT5、winxp、win2003、win2008、win2010、kali、win2012、win7、麒麟等镜像内容。</w:t>
            </w:r>
          </w:p>
          <w:p w14:paraId="41900D89">
            <w:pPr>
              <w:shd w:val="clear"/>
              <w:spacing w:line="320" w:lineRule="exact"/>
              <w:ind w:firstLine="420" w:firstLineChars="200"/>
              <w:rPr>
                <w:rFonts w:hint="eastAsia" w:ascii="宋体" w:hAnsi="宋体" w:eastAsia="宋体" w:cs="宋体"/>
                <w:b/>
                <w:bCs/>
                <w:sz w:val="21"/>
                <w:szCs w:val="21"/>
              </w:rPr>
            </w:pPr>
            <w:r>
              <w:rPr>
                <w:rFonts w:ascii="宋体" w:hAnsi="宋体" w:eastAsia="宋体" w:cs="宋体"/>
                <w:sz w:val="21"/>
                <w:szCs w:val="21"/>
              </w:rPr>
              <w:t>12</w:t>
            </w:r>
            <w:r>
              <w:rPr>
                <w:rFonts w:hint="eastAsia" w:ascii="宋体" w:hAnsi="宋体" w:eastAsia="宋体" w:cs="宋体"/>
                <w:sz w:val="21"/>
                <w:szCs w:val="21"/>
              </w:rPr>
              <w:t>.系统可通过智慧船舶网络安全实践系统的数字孪生主题环境与智慧船舶运维控制器联动实现对路由器、交换机等设备进行管理。</w:t>
            </w:r>
            <w:r>
              <w:rPr>
                <w:rFonts w:hint="eastAsia" w:ascii="宋体" w:hAnsi="宋体" w:eastAsia="宋体" w:cs="宋体"/>
                <w:b/>
                <w:bCs/>
                <w:sz w:val="21"/>
                <w:szCs w:val="21"/>
                <w:u w:val="single"/>
              </w:rPr>
              <w:t>（提供功能演示视频</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w:t>
            </w:r>
          </w:p>
          <w:p w14:paraId="4E641E94">
            <w:pPr>
              <w:shd w:val="clear"/>
              <w:spacing w:line="320" w:lineRule="exact"/>
              <w:rPr>
                <w:rFonts w:hint="eastAsia" w:ascii="宋体" w:hAnsi="宋体" w:eastAsia="宋体" w:cs="宋体"/>
                <w:b/>
                <w:bCs/>
                <w:sz w:val="21"/>
                <w:szCs w:val="21"/>
              </w:rPr>
            </w:pPr>
          </w:p>
          <w:p w14:paraId="71F5FD7D">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二、网络安全系统基础模块</w:t>
            </w:r>
          </w:p>
          <w:p w14:paraId="050A8991">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1.系统支持采用B/S架构，必须采用全中文管理界面，且集成数据库及应用管理系统；提供基于web方式的用户注册、访问、实训、管理、控制功能；</w:t>
            </w:r>
          </w:p>
          <w:p w14:paraId="004C3B8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2.系统支持学员、教师、管理员三种角色类型；支持对学员进行分班级、组织管理。</w:t>
            </w:r>
          </w:p>
          <w:p w14:paraId="0795225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3.支持对学生的账号信息进行批量管理，包括导入导出。</w:t>
            </w:r>
          </w:p>
          <w:p w14:paraId="7F53D53F">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4.支持用户前台注册功能，包括登录名及显示姓名填写，手机号码及身份证号码填写；支持注册及访问控制，后台管理员及教师进行注册审核或无需审核直接通过。前台注册用户可以选择对应班级。</w:t>
            </w:r>
          </w:p>
          <w:p w14:paraId="4E28D873">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5.必须支持学生和教师的私有空间管理，学生私有空间里保存所有上过的课程、提交的实验报告、实验中产生的过程资科等；教师私有空间里包含创建的所有课程，每次课程学生提交的实验报告等。</w:t>
            </w:r>
          </w:p>
          <w:p w14:paraId="1004872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6.支持信息修改，支持学生账户密码及个人信息修改。</w:t>
            </w:r>
          </w:p>
          <w:p w14:paraId="18C28332">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7.支持学生对所学课程信息进行查看，能够查看课程名称、讲师、课程时间安排等。</w:t>
            </w:r>
          </w:p>
          <w:p w14:paraId="792FD154">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8.要求支持学生实验报告管理，支持查看提交的实验报告以及相应状态、成绩及评语等。</w:t>
            </w:r>
          </w:p>
          <w:p w14:paraId="3A7E7E4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9.提供渗透测试工程师和安全运维工程职业路径学习，管理员可以新增职业体系，选择平台内的多门课程和多个训练组成一个新的职业路径训练方向。</w:t>
            </w:r>
          </w:p>
          <w:p w14:paraId="21BE251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10.系统支持按照必修课、选修课定义课程，同时教师可以发送消息让学员进行学习。</w:t>
            </w:r>
          </w:p>
          <w:p w14:paraId="16A25E12">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11.系统支持创建角色，根据用户角色不同进行功能模块授权；系统支持按照以下信息新增菜单如：菜单名称、所属菜单、菜单路径、标识、分组名称、排序等对菜单进行定义；系统支持超级管理员在后台对功能模块进行隐藏和显示。</w:t>
            </w:r>
          </w:p>
          <w:p w14:paraId="6DFF832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12.系统支持新增战队，战队元素包含战队序号、所属组织、分配学员、创建人、创建时间、操作等，系统支持管理员给战队分配用户。</w:t>
            </w:r>
          </w:p>
          <w:p w14:paraId="7E581662">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13.系统支持新增实验，新增实验包含序号、实验名称、工具、实验环境、实验步骤、创建实验时间等内容，新增步骤支持对每个实验添加实验步骤，使是实验课件设置更有利于学员学习。</w:t>
            </w:r>
          </w:p>
          <w:p w14:paraId="145FA0EB">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14.系统支持对实验过程中的截图进行集中管理，实验截屏信息能够显示序号、实验名称、截屏录屏类型、创建人、创建时间，同时能够对截屏录屏信息进行删除或播放或预览。</w:t>
            </w:r>
          </w:p>
          <w:p w14:paraId="33AD1FD4">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15.平台支持教学计划，新增教学计划能够按照班级、学年、学期、教学目标、难易程度、教学要求、描述等新增教学计划；系统支持按照学期分配教学课程、同时教学课程支持设置必修课和选修课分配给学生，达到对学生的定点培养，系统在设置必修课时支持按照课程或教学资源设置教学时间，系统支持管理员或教师用户分配完课程之后能够强制在学情中心发送教学任务信息，同时教学任务课程信息也会在前台用户参考到某个时间点分配的课程。</w:t>
            </w:r>
          </w:p>
          <w:p w14:paraId="13AAD44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16.可查看日志类型、日志内容，日志内容时间等信息。</w:t>
            </w:r>
          </w:p>
          <w:p w14:paraId="1B9F17A4">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7</w:t>
            </w:r>
            <w:r>
              <w:rPr>
                <w:rFonts w:hint="eastAsia" w:ascii="宋体" w:hAnsi="宋体" w:eastAsia="宋体" w:cs="宋体"/>
                <w:sz w:val="21"/>
                <w:szCs w:val="21"/>
                <w:highlight w:val="none"/>
              </w:rPr>
              <w:t>.要求平台基于libvirt虚拟化管理架构和kubernetes容器管理架构，对平台的虚拟化进行统一管理，以满足学校网络安全技术科研需求。</w:t>
            </w:r>
          </w:p>
          <w:p w14:paraId="415AB29D">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8</w:t>
            </w:r>
            <w:r>
              <w:rPr>
                <w:rFonts w:hint="eastAsia" w:ascii="宋体" w:hAnsi="宋体" w:eastAsia="宋体" w:cs="宋体"/>
                <w:sz w:val="21"/>
                <w:szCs w:val="21"/>
                <w:highlight w:val="none"/>
              </w:rPr>
              <w:t>.系统支撑远程登录唤醒、远程登录关机。</w:t>
            </w:r>
          </w:p>
          <w:p w14:paraId="4F83082D">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9</w:t>
            </w:r>
            <w:r>
              <w:rPr>
                <w:rFonts w:hint="eastAsia" w:ascii="宋体" w:hAnsi="宋体" w:eastAsia="宋体" w:cs="宋体"/>
                <w:sz w:val="21"/>
                <w:szCs w:val="21"/>
                <w:highlight w:val="none"/>
              </w:rPr>
              <w:t>.支撑仿真虚拟机提供novnc、rdp等多种链接方式。</w:t>
            </w:r>
          </w:p>
          <w:p w14:paraId="70DD89B3">
            <w:pPr>
              <w:shd w:val="clear"/>
              <w:spacing w:line="320" w:lineRule="exact"/>
              <w:ind w:firstLine="420" w:firstLineChars="200"/>
              <w:rPr>
                <w:rFonts w:hint="eastAsia" w:ascii="宋体" w:hAnsi="宋体" w:eastAsia="宋体" w:cs="宋体"/>
                <w:sz w:val="21"/>
                <w:szCs w:val="21"/>
                <w:highlight w:val="none"/>
              </w:rPr>
            </w:pPr>
            <w:r>
              <w:rPr>
                <w:rFonts w:ascii="宋体" w:hAnsi="宋体" w:eastAsia="宋体" w:cs="宋体"/>
                <w:sz w:val="21"/>
                <w:szCs w:val="21"/>
                <w:highlight w:val="none"/>
              </w:rPr>
              <w:t>20</w:t>
            </w:r>
            <w:r>
              <w:rPr>
                <w:rFonts w:hint="eastAsia" w:ascii="宋体" w:hAnsi="宋体" w:eastAsia="宋体" w:cs="宋体"/>
                <w:sz w:val="21"/>
                <w:szCs w:val="21"/>
                <w:highlight w:val="none"/>
              </w:rPr>
              <w:t>.系统支持提供仿真主机部署时显示部署记录信息。</w:t>
            </w:r>
          </w:p>
          <w:p w14:paraId="2114E63D">
            <w:pPr>
              <w:shd w:val="clear"/>
              <w:spacing w:line="320" w:lineRule="exact"/>
              <w:ind w:firstLine="420" w:firstLineChars="200"/>
              <w:rPr>
                <w:rFonts w:hint="eastAsia" w:ascii="宋体" w:hAnsi="宋体" w:eastAsia="宋体" w:cs="宋体"/>
                <w:b/>
                <w:bCs/>
                <w:sz w:val="21"/>
                <w:szCs w:val="21"/>
              </w:rPr>
            </w:pPr>
            <w:r>
              <w:rPr>
                <w:rFonts w:ascii="宋体" w:hAnsi="宋体" w:eastAsia="宋体" w:cs="宋体"/>
                <w:sz w:val="21"/>
                <w:szCs w:val="21"/>
                <w:highlight w:val="none"/>
              </w:rPr>
              <w:t>21</w:t>
            </w:r>
            <w:r>
              <w:rPr>
                <w:rFonts w:hint="eastAsia" w:ascii="宋体" w:hAnsi="宋体" w:eastAsia="宋体" w:cs="宋体"/>
                <w:sz w:val="21"/>
                <w:szCs w:val="21"/>
                <w:highlight w:val="none"/>
              </w:rPr>
              <w:t>.系统支持通过UUID查询虚拟机对应的ID号、镜像名称、基本信息、空间单元、状态同步等。</w:t>
            </w:r>
          </w:p>
          <w:p w14:paraId="70E200A0">
            <w:pPr>
              <w:shd w:val="clear"/>
              <w:spacing w:line="320" w:lineRule="exact"/>
              <w:rPr>
                <w:rFonts w:hint="eastAsia" w:ascii="宋体" w:hAnsi="宋体" w:eastAsia="宋体" w:cs="宋体"/>
                <w:b/>
                <w:bCs/>
                <w:sz w:val="21"/>
                <w:szCs w:val="21"/>
              </w:rPr>
            </w:pPr>
          </w:p>
          <w:p w14:paraId="39D16783">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三、网络安全系统教学中心模块</w:t>
            </w:r>
          </w:p>
          <w:p w14:paraId="317CCCA8">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1.课程中心课程支持设置三级目录，方便选课。</w:t>
            </w:r>
          </w:p>
          <w:p w14:paraId="1BC4082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2.课程包含实验、视频、学习指导、考核标准、教学进度、教学指导、教学设计评价等内容。每个实验包含指导书、课程资料等内容。指导包含实验目的、实验原理、预备知识点、实验环境描述、实验步骤。</w:t>
            </w:r>
          </w:p>
          <w:p w14:paraId="4A7864DA">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3.提供课程反馈功能，确保实验操作过程中教师及管理员对学生进行远程解答。</w:t>
            </w:r>
          </w:p>
          <w:p w14:paraId="07C1E60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平台提供的虚拟机操作界面支持加载和销毁功能，课程中涉及到所有win7、win10、ubuntu、kali、server2008等环境环境剪切板（包含虚拟机的内容复制到外面，外面的内容复制到虚拟机里面）、文件上传、截图、录屏功能保证100%可用。</w:t>
            </w:r>
          </w:p>
          <w:p w14:paraId="34A14992">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5.支持虚拟化模式：学习模式，实践模式。学习模式虚拟化资源运行在内存中，关机清除，系统自动回收虚拟资源。实践模式，虚拟化资源保存在硬盘中，退出登陆后，下次可继续实验。</w:t>
            </w:r>
          </w:p>
          <w:p w14:paraId="2A90290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6.支持剪切板功能，学生实验电脑和虚拟键之间支持通过剪切板自有复制和粘贴。</w:t>
            </w:r>
          </w:p>
          <w:p w14:paraId="7782B3DA">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7.支持文件上传功能，支持学会学生端实验电脑与虚拟机之间进行文件传输，可以将完整文件上传至虚拟机。</w:t>
            </w:r>
          </w:p>
          <w:p w14:paraId="6C3AA8E1">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8.选修与必修：课程支持必修课和选修课，管理员可自由对课程内容进行设计。</w:t>
            </w:r>
          </w:p>
          <w:p w14:paraId="216DB52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9.要求必须支持课程管理，课程管理支持课程体系、分类设置与管理。支持查看平台所有课程。支持对课程名称、上级分类、课程图片、课程介绍、课程标准、考核标准、教学进度、学习指导、教学指导、教学评价与设计等内容进行编辑、设置。</w:t>
            </w:r>
          </w:p>
          <w:p w14:paraId="08CB64ED">
            <w:pPr>
              <w:shd w:val="clear"/>
              <w:spacing w:line="320" w:lineRule="exact"/>
              <w:ind w:firstLine="420" w:firstLineChars="200"/>
              <w:rPr>
                <w:rFonts w:hint="eastAsia" w:ascii="宋体" w:hAnsi="宋体" w:eastAsia="宋体" w:cs="宋体"/>
                <w:b/>
                <w:bCs/>
                <w:sz w:val="21"/>
                <w:szCs w:val="21"/>
                <w:shd w:val="clear" w:color="auto" w:fill="FFFF00"/>
              </w:rPr>
            </w:pPr>
            <w:r>
              <w:rPr>
                <w:rFonts w:hint="eastAsia" w:ascii="宋体" w:hAnsi="宋体" w:eastAsia="宋体" w:cs="宋体"/>
                <w:sz w:val="21"/>
                <w:szCs w:val="21"/>
              </w:rPr>
              <w:t>10.系统支持创建角色，根据用户角色不同进行功能模块授权；系统支持按照以下信息新增菜单如：菜单名称、所属菜单、菜单路径、标识、分组名称、排序等对菜单进行定义；系统支持超级管理员在后台对功能模块进行隐藏和显示。</w:t>
            </w:r>
          </w:p>
          <w:p w14:paraId="7DEB7DB5">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11.系统支持新增战队，战队元素包含战队序号、所属组织、分配学员、创建人、创建时间、操作等，系统支持管理员给战队分配用户。</w:t>
            </w:r>
          </w:p>
          <w:p w14:paraId="4E42900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12.系统支持新增实验，新增实验包含序号、实验名称、工具、实验环境、实验步骤、创建实验时间等内容，新增步骤支持对每个实验添加实验步骤，使是实验课件设置更有利于学员学习。</w:t>
            </w:r>
          </w:p>
          <w:p w14:paraId="6A9B249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13.系统支持对实验过程中的截图进行集中管理，实验截屏信息能够显示序号、实验名称、截屏录屏类型、创建人、创建时间，同时能够对截屏录屏信息进行删除或播放或预览。</w:t>
            </w:r>
          </w:p>
          <w:p w14:paraId="5CD7B7D4">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14.平台支持教学计划，新增教学计划能够按照班级、学年、学期、教学目标、难易程度、教学要求、描述等新增教学计划；系统支持按照学期分配教学课程、同时教学课程支持设置必修课和选修课分配给学生，达到对学生的定点培养，系统在设置必修课时支持按照课程或教学资源设置教学时间，系统支持管理员或教师用户分配完课程之后能够强制在学情中心发送教学任务信息，同时教学任务课程信息也会在前台用户参考到某个时间点分配的课程。</w:t>
            </w:r>
          </w:p>
          <w:p w14:paraId="5AB42D56">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15.系统状态监控：支持系统运行状态监控，至少包括：内存使用率、CPU使用率、硬盘读写负载等。</w:t>
            </w:r>
          </w:p>
          <w:p w14:paraId="4D3C169B">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16.考虑到资源的稳定性、可用性，要求系统必须支持源镜像转换成增量镜像、增量镜像转成基础进行。</w:t>
            </w:r>
          </w:p>
          <w:p w14:paraId="153C1466">
            <w:pPr>
              <w:shd w:val="clear"/>
              <w:spacing w:line="320" w:lineRule="exact"/>
              <w:rPr>
                <w:rFonts w:hint="eastAsia" w:ascii="宋体" w:hAnsi="宋体" w:eastAsia="宋体" w:cs="宋体"/>
                <w:b/>
                <w:bCs/>
                <w:sz w:val="21"/>
                <w:szCs w:val="21"/>
              </w:rPr>
            </w:pPr>
          </w:p>
          <w:p w14:paraId="3CE74999">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四、学员中心模块</w:t>
            </w:r>
          </w:p>
          <w:p w14:paraId="0FFF436F">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1.实验手册：支持实验手册markdown形式展示，手册信息包括实验目的、实验环境、实验原理、实验步骤等环节。</w:t>
            </w:r>
          </w:p>
          <w:p w14:paraId="4ECAAC6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2.实验报告：支持实验报告编辑，支持使用markdown进行实验操作记录，形成实验报告，支持多次保存草稿操作，一旦提交报告将无法再操作。</w:t>
            </w:r>
          </w:p>
          <w:p w14:paraId="5045A6CA">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rPr>
              <w:t>3.仿真环境：支持实验中对生成的环境进行切换，支持对实验环境进行一键开启、一键销毁、截屏录屏、文</w:t>
            </w:r>
            <w:r>
              <w:rPr>
                <w:rFonts w:hint="eastAsia" w:ascii="宋体" w:hAnsi="宋体" w:eastAsia="宋体" w:cs="宋体"/>
                <w:sz w:val="21"/>
                <w:szCs w:val="21"/>
                <w:highlight w:val="none"/>
              </w:rPr>
              <w:t>件上传、支持课时任务加载成功后进行倒计时。支持vnc显示仿真主机如：win7、win10、ubuntu、kali、server2008等环境等，教师可在后台对学员的操作环境进行后台干预，后台远程协助等。实验到期，支持实验延时操作。</w:t>
            </w:r>
          </w:p>
          <w:p w14:paraId="1B1C8161">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4.终端控制台：支持终端控制台操作，可同时支持至少2个终端操作（操作机、靶机），支持B/S或SSH方式登录访问虚拟机终端，进行虚拟机相关操作，支持终端开启、销毁等操作。</w:t>
            </w:r>
          </w:p>
          <w:p w14:paraId="2F9C3297">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5.学员学习中心模块基于B/S架构，为了适应学员学习，练习中心采用体系化、模块化方式进行设计，整个中心分为3个级别进行显示，方便学员进行学员。</w:t>
            </w:r>
          </w:p>
          <w:p w14:paraId="164DA838">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6.学员练习中心采用多个级别进行显示，如体系、分类、课程；学员练习中心每个课程都以标签方式显示中级、高级、初级三个级别，方便学员学习。</w:t>
            </w:r>
          </w:p>
          <w:p w14:paraId="3C3B2C42">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支持学员演训中心仿真平台与外部实体设备做虚实结合，构建虚实结合通信环境，使其仿真虚拟机仿真环境能够与绿盟防火墙、IPS、IDS、漏洞扫描、上网行为管理、web防火墙等进行控制，天融信防火墙、IPS、IDS、漏洞扫描、上网行为管理、web防火墙等进行控制，奇安信防火墙、IPS、IDS、漏洞扫描、上网行为管理、web防火墙等进行控制。</w:t>
            </w:r>
          </w:p>
          <w:p w14:paraId="451DB77E">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8.学员联系中心模块中设计的仿真虚拟机主机如win7、win10、ubuntu、kali、server2008等环境等能够进行虚宿互传，可以把宿主机的代码复制到仿真主机中进行运行，也可将仿真主机的内容复制到宿主机中书写、保留、答应等。</w:t>
            </w:r>
          </w:p>
          <w:p w14:paraId="20153C9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9.学员训练中，能够对仿真主机工作栈进行加载和销毁操作，工作栈会自动在后台进行运行，适合教师和管理员对运行工作栈进行管理，可以在运行工作栈中对对虚拟机进行销毁、重启、文件上传等操作。</w:t>
            </w:r>
          </w:p>
          <w:p w14:paraId="69C2EC5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10.学员中心的的每个实验都需要分配实验步骤，学员如果想分步进行学习，那么学员必须进行步骤答题才能够看到完整的实验环境，通过此种方式来存进学员认真学习某些课程；同时每个实验中还需要设计随堂测试，能够对学员进行知识点复习，加深学员学习印象。</w:t>
            </w:r>
          </w:p>
          <w:p w14:paraId="75F26E65">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11.课程支持按照跑马灯方式进行安排的课时进行轮序播报，学员可进行信息捕获，学员可进行学员场景中进行学习。</w:t>
            </w:r>
          </w:p>
          <w:p w14:paraId="708204E3">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12.学院中心模块支持提供仿真主机链接方式nonvc、RDP等多种链接方式。</w:t>
            </w:r>
          </w:p>
          <w:p w14:paraId="47025D65">
            <w:pPr>
              <w:shd w:val="clear"/>
              <w:spacing w:line="320" w:lineRule="exact"/>
              <w:rPr>
                <w:rFonts w:hint="eastAsia" w:ascii="宋体" w:hAnsi="宋体" w:eastAsia="宋体" w:cs="宋体"/>
                <w:b/>
                <w:bCs/>
                <w:sz w:val="21"/>
                <w:szCs w:val="21"/>
              </w:rPr>
            </w:pPr>
          </w:p>
          <w:p w14:paraId="40C5B8F1">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五、实训学情分析模块</w:t>
            </w:r>
          </w:p>
          <w:p w14:paraId="7C54D9C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1.学员中学习记录模块能够显示人员学习哪些对应课程、最近学习时间、学习次数。</w:t>
            </w:r>
          </w:p>
          <w:p w14:paraId="5E348F06">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2.学习列表支持显示课程名称、支持显示课时名称、学习时长、学习开始开始时间、学习结束时间已经学习状态等。</w:t>
            </w:r>
          </w:p>
          <w:p w14:paraId="215FB545">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3.模块支持展示学员所学课程名称、课时名称、课程学习截图、课程截屏时间、操作等。</w:t>
            </w:r>
          </w:p>
          <w:p w14:paraId="6FB9D49B">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4.模块支持展示学员所学课程名称、课时名称、课程录屏，录屏时间、是否播放等内容。</w:t>
            </w:r>
          </w:p>
          <w:p w14:paraId="471E3585">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5.为了适应学员的学习，学习记录支持对岗位课程、专业课程、学习课程进行展示。</w:t>
            </w:r>
          </w:p>
          <w:p w14:paraId="6CF808DA">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6.平台支持以网状图展示课程学习的内容防线，显示课程的考核以及学员的学习能力，学习通过数据分析技术、以及智能数据统计法等多种技术显示人员的岗位能力。</w:t>
            </w:r>
          </w:p>
          <w:p w14:paraId="027895B9">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学情透视：支持以圆环状显示班级人员的统计百分比、支持以圆环状显示作业成绩的统计百分比、支持服务器占用、支持以柱状图方式显示待批改作业率、试卷占有率、培训完成率、支持以班级为单位显示平均学习课时、支持以长条状显示班级的学习时长以及人员活跃用户TOP5。</w:t>
            </w:r>
          </w:p>
          <w:p w14:paraId="67149DD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8.平台支持管理元安排学习计划，管理员可以将学员学习的课程资源进行编排，在课程表里面进行呈现，同时学员用户可以通过课程表的课程安排，直接点入进入课程学员空间。</w:t>
            </w:r>
          </w:p>
          <w:p w14:paraId="1CF92851">
            <w:pPr>
              <w:shd w:val="clear"/>
              <w:spacing w:line="320" w:lineRule="exact"/>
              <w:rPr>
                <w:rFonts w:hint="eastAsia" w:ascii="宋体" w:hAnsi="宋体" w:eastAsia="宋体" w:cs="宋体"/>
                <w:b/>
                <w:bCs/>
                <w:sz w:val="21"/>
                <w:szCs w:val="21"/>
              </w:rPr>
            </w:pPr>
          </w:p>
          <w:p w14:paraId="1D8C6DAA">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六、课程管理模块</w:t>
            </w:r>
          </w:p>
          <w:p w14:paraId="2F57DC1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1.选修与必修：课程支持必修课和选修课，管理员可自由对课程内容进行设计。</w:t>
            </w:r>
          </w:p>
          <w:p w14:paraId="58A417B4">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课程管理：课程管理支持课程体系、分类设置与管理。支持查看平台所有课程；支持对课程名称、上级分类、课程图片、课程介绍、课程标准、考核标准、教学进度、学习指导、教学指导、教学评价与设计等内容进行编辑、设置。</w:t>
            </w:r>
          </w:p>
          <w:p w14:paraId="2A2E460F">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实验管理：支持查看平台所有实验，包含实验名称、编号、讲师、管理员、用户数量、课件数量；支持对实验的知识点、课件等进行编辑；支持实验数据导出，虚拟镜像数据导出。平台支持实验设计，用户可以个性化编辑上传实验内容。</w:t>
            </w:r>
          </w:p>
          <w:p w14:paraId="4C4275FB">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平台支持新建实验，可以设计实验名称、试验编号、课程封面、管理员、学分、学时、课程分类、权限、讲师等内容。支持课程设置实验环境隔离，可设置为无隔离、个人隔离、班级隔离三种模式，可选择是否对课程虚拟化资源进行延时操作。</w:t>
            </w:r>
          </w:p>
          <w:p w14:paraId="2CB4F16E">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5.调度查看：支持查看平台所有用户、课程、实验的调度信息。支持学员对课程进行评价和反馈，后台可对反馈进行查看和管理。</w:t>
            </w:r>
          </w:p>
          <w:p w14:paraId="349EDB3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6.提供实验报告管理、知识点管理。支持对学生实验报告的查看、批改、评阅等操作，提供截屏管理、录屏管理功能，支持对截屏、录屏信息进行查看、删除等操作。</w:t>
            </w:r>
          </w:p>
          <w:p w14:paraId="4D4D5135">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平台支持教学计划，新增教学计划能够按照班级、学年、学期、教学目标、难易程度、教学要求、描述等新增教学计划；系统支持按照学期分配教学课程、同时教学课程支持设置必修课和选修课分配给学生，达到对学生的定点培养，系统在设置必修课时支持按照课程或教学资源设置教学时间，系统支持管理员或教师用户分配完课程之后能够强制在学情中心发送教学任务信息，同时教学任务课程信息也会在前台用户参考到某个时间点分配的课程。</w:t>
            </w:r>
          </w:p>
          <w:p w14:paraId="2A3131E0">
            <w:pPr>
              <w:shd w:val="clear"/>
              <w:spacing w:line="320" w:lineRule="exact"/>
              <w:rPr>
                <w:rFonts w:hint="eastAsia" w:ascii="宋体" w:hAnsi="宋体" w:eastAsia="宋体" w:cs="宋体"/>
                <w:b/>
                <w:bCs/>
                <w:sz w:val="21"/>
                <w:szCs w:val="21"/>
              </w:rPr>
            </w:pPr>
          </w:p>
          <w:p w14:paraId="0E341EC3">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highlight w:val="none"/>
                <w:u w:val="none"/>
              </w:rPr>
              <w:t>七、</w:t>
            </w:r>
            <w:r>
              <w:rPr>
                <w:rFonts w:hint="eastAsia" w:ascii="宋体" w:hAnsi="宋体" w:eastAsia="宋体" w:cs="宋体"/>
                <w:b/>
                <w:bCs/>
                <w:sz w:val="21"/>
                <w:szCs w:val="21"/>
              </w:rPr>
              <w:t>教学演训学期课程模块</w:t>
            </w:r>
          </w:p>
          <w:p w14:paraId="008CCA4D">
            <w:pPr>
              <w:shd w:val="clear"/>
              <w:spacing w:line="320" w:lineRule="exact"/>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rPr>
              <w:t>1.课程支持教师按照教学要求进行规划，可按照</w:t>
            </w:r>
            <w:r>
              <w:rPr>
                <w:rFonts w:hint="eastAsia" w:ascii="宋体" w:hAnsi="宋体" w:eastAsia="宋体" w:cs="宋体"/>
                <w:sz w:val="21"/>
                <w:szCs w:val="21"/>
                <w:u w:val="none"/>
                <w:lang w:val="en-US" w:eastAsia="zh-CN"/>
              </w:rPr>
              <w:t>不同学期</w:t>
            </w:r>
            <w:r>
              <w:rPr>
                <w:rFonts w:hint="eastAsia" w:ascii="宋体" w:hAnsi="宋体" w:eastAsia="宋体" w:cs="宋体"/>
                <w:sz w:val="21"/>
                <w:szCs w:val="21"/>
                <w:u w:val="none"/>
              </w:rPr>
              <w:t>对课程进行规划；支持管理员对每一个课时进行学习下发，支持下发学习信息，包含</w:t>
            </w:r>
            <w:r>
              <w:rPr>
                <w:rFonts w:hint="eastAsia" w:ascii="宋体" w:hAnsi="宋体" w:eastAsia="宋体" w:cs="宋体"/>
                <w:sz w:val="21"/>
                <w:szCs w:val="21"/>
                <w:u w:val="none"/>
                <w:lang w:val="en-US" w:eastAsia="zh-CN"/>
              </w:rPr>
              <w:t>但不限于：</w:t>
            </w:r>
            <w:r>
              <w:rPr>
                <w:rFonts w:hint="eastAsia" w:ascii="宋体" w:hAnsi="宋体" w:eastAsia="宋体" w:cs="宋体"/>
                <w:sz w:val="21"/>
                <w:szCs w:val="21"/>
                <w:u w:val="none"/>
              </w:rPr>
              <w:t>课程、章节、课时</w:t>
            </w:r>
            <w:r>
              <w:rPr>
                <w:rFonts w:hint="eastAsia" w:ascii="宋体" w:hAnsi="宋体" w:eastAsia="宋体" w:cs="宋体"/>
                <w:sz w:val="21"/>
                <w:szCs w:val="21"/>
                <w:u w:val="none"/>
                <w:lang w:val="en-US" w:eastAsia="zh-CN"/>
              </w:rPr>
              <w:t>。</w:t>
            </w:r>
            <w:r>
              <w:rPr>
                <w:rFonts w:hint="eastAsia" w:ascii="宋体" w:hAnsi="宋体" w:eastAsia="宋体" w:cs="宋体"/>
                <w:sz w:val="21"/>
                <w:szCs w:val="21"/>
                <w:u w:val="none"/>
              </w:rPr>
              <w:t>可定义下放时间如开始时间、结束时间，同时支持管理员或者教师编辑消息，学员可按照点击信息可直接进入环境进行学习。</w:t>
            </w:r>
          </w:p>
          <w:p w14:paraId="3439ACF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2.支持按照班级、学年、学期规划学期内容，学期内容包含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描述、教学目标、难易程度、教学要求。</w:t>
            </w:r>
          </w:p>
          <w:p w14:paraId="211A24FD">
            <w:pPr>
              <w:shd w:val="clear"/>
              <w:spacing w:line="320" w:lineRule="exact"/>
              <w:ind w:firstLine="420" w:firstLineChars="200"/>
              <w:rPr>
                <w:rFonts w:hint="eastAsia" w:ascii="宋体" w:hAnsi="宋体" w:eastAsia="宋体" w:cs="宋体"/>
                <w:b/>
                <w:bCs/>
                <w:sz w:val="21"/>
                <w:szCs w:val="21"/>
                <w:lang w:eastAsia="zh-CN"/>
              </w:rPr>
            </w:pPr>
            <w:r>
              <w:rPr>
                <w:rFonts w:hint="eastAsia" w:ascii="宋体" w:hAnsi="宋体" w:eastAsia="宋体" w:cs="宋体"/>
                <w:sz w:val="21"/>
                <w:szCs w:val="21"/>
              </w:rPr>
              <w:t>3</w:t>
            </w:r>
            <w:r>
              <w:rPr>
                <w:rFonts w:ascii="宋体" w:hAnsi="宋体" w:eastAsia="宋体" w:cs="宋体"/>
                <w:sz w:val="21"/>
                <w:szCs w:val="21"/>
              </w:rPr>
              <w:t>.该模块提供接口，管理员可自行安排学习课程，同时可在后台上传新增课程资源</w:t>
            </w:r>
            <w:r>
              <w:rPr>
                <w:rFonts w:hint="eastAsia" w:ascii="宋体" w:hAnsi="宋体" w:eastAsia="宋体" w:cs="宋体"/>
                <w:sz w:val="21"/>
                <w:szCs w:val="21"/>
                <w:lang w:eastAsia="zh-CN"/>
              </w:rPr>
              <w:t>。</w:t>
            </w:r>
          </w:p>
          <w:p w14:paraId="2CD4C3F4">
            <w:pPr>
              <w:shd w:val="clear"/>
              <w:spacing w:line="320" w:lineRule="exact"/>
              <w:rPr>
                <w:rFonts w:hint="eastAsia" w:ascii="宋体" w:hAnsi="宋体" w:eastAsia="宋体" w:cs="宋体"/>
                <w:b/>
                <w:bCs/>
                <w:sz w:val="21"/>
                <w:szCs w:val="21"/>
              </w:rPr>
            </w:pPr>
          </w:p>
          <w:p w14:paraId="0309D17F">
            <w:pPr>
              <w:shd w:val="clear"/>
              <w:spacing w:line="320" w:lineRule="exact"/>
              <w:rPr>
                <w:rFonts w:hint="eastAsia" w:ascii="宋体" w:hAnsi="宋体" w:eastAsia="宋体" w:cs="宋体"/>
                <w:b/>
                <w:bCs/>
                <w:sz w:val="21"/>
                <w:szCs w:val="21"/>
                <w:highlight w:val="yellow"/>
              </w:rPr>
            </w:pPr>
            <w:r>
              <w:rPr>
                <w:rFonts w:hint="eastAsia" w:ascii="宋体" w:hAnsi="宋体" w:eastAsia="宋体" w:cs="宋体"/>
                <w:b/>
                <w:bCs/>
                <w:sz w:val="21"/>
                <w:szCs w:val="21"/>
                <w:lang w:eastAsia="zh-CN"/>
              </w:rPr>
              <w:t>八</w:t>
            </w:r>
            <w:r>
              <w:rPr>
                <w:rFonts w:hint="eastAsia" w:ascii="宋体" w:hAnsi="宋体" w:eastAsia="宋体" w:cs="宋体"/>
                <w:b/>
                <w:bCs/>
                <w:sz w:val="21"/>
                <w:szCs w:val="21"/>
              </w:rPr>
              <w:t>、能力考评模块</w:t>
            </w:r>
          </w:p>
          <w:p w14:paraId="2AB6AD39">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能力考评模块用于检验学员的安全理论基础知识和相关法律法规掌握能力，提供单选、多选、判断等题型，全面考察学员的网络安全综合知识，题目涉及法律法规、网络安全、主机安全、应用安全、密码学、移动安全、系统安全、安全运维、安全防护等方向，提供≥3000个题目。</w:t>
            </w:r>
          </w:p>
          <w:p w14:paraId="3D2028C2">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能力考核支持管理员根据考核需求进行自定义考场，能够对考场的名称、绑定试卷、考场封面、考场难度、考核开始时间、考试结束时间等进行考场新建。系统支持自动排名，能够看到任意用户用户名、成绩、排名、状态等信息。提供试卷针对学员个人一键下发功能。</w:t>
            </w:r>
          </w:p>
          <w:p w14:paraId="15C8606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3.系统针对在线考核支持定时日志，定时日志支持按照序号、模块、定时信息、创建人、时间等自动推送定时信息，让管理员能够实时了解在线考核状态信息。</w:t>
            </w:r>
          </w:p>
          <w:p w14:paraId="4327EB65">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系统支持对人员考核的情况进行统计如试题数量按照单选题、多选题、判断题等以扇形图进行统计展示；系统支持对答题率进行分析以环形视图显示答题正确率、答题错误率、未答题率进行自动化统计；系统支持对每一道题的</w:t>
            </w:r>
            <w:r>
              <w:rPr>
                <w:rFonts w:hint="eastAsia" w:ascii="宋体" w:hAnsi="宋体" w:eastAsia="宋体" w:cs="宋体"/>
                <w:sz w:val="21"/>
                <w:szCs w:val="21"/>
                <w:lang w:val="en-US" w:eastAsia="zh-CN"/>
              </w:rPr>
              <w:t>答</w:t>
            </w:r>
            <w:r>
              <w:rPr>
                <w:rFonts w:hint="eastAsia" w:ascii="宋体" w:hAnsi="宋体" w:eastAsia="宋体" w:cs="宋体"/>
                <w:sz w:val="21"/>
                <w:szCs w:val="21"/>
              </w:rPr>
              <w:t>错进行人员统计。</w:t>
            </w:r>
          </w:p>
          <w:p w14:paraId="6D7E6B9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5.支持题库管理，管理员/教师可编辑系统习题库，包括题目标题、涉及知识点、难度、试题解析、答案、分数等。</w:t>
            </w:r>
          </w:p>
          <w:p w14:paraId="25F1666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6.支持测验自建，自定义测验名称、及格分数、起止时间，测验结束是否显示分数等。</w:t>
            </w:r>
          </w:p>
          <w:p w14:paraId="38F25742">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7.测验支持单选题、多选题、判断题，可以从练题库中抽取，支持新建和Excel导入；支持全卷自动判分功能。</w:t>
            </w:r>
          </w:p>
          <w:p w14:paraId="440A50A6">
            <w:pPr>
              <w:shd w:val="clear"/>
              <w:spacing w:line="320" w:lineRule="exact"/>
              <w:rPr>
                <w:rFonts w:hint="eastAsia" w:ascii="宋体" w:hAnsi="宋体" w:eastAsia="宋体" w:cs="宋体"/>
                <w:b/>
                <w:bCs/>
                <w:sz w:val="21"/>
                <w:szCs w:val="21"/>
              </w:rPr>
            </w:pPr>
          </w:p>
          <w:p w14:paraId="66F3128D">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lang w:eastAsia="zh-CN"/>
              </w:rPr>
              <w:t>九、</w:t>
            </w:r>
            <w:r>
              <w:rPr>
                <w:rFonts w:hint="eastAsia" w:ascii="宋体" w:hAnsi="宋体" w:eastAsia="宋体" w:cs="宋体"/>
                <w:b/>
                <w:bCs/>
                <w:sz w:val="21"/>
                <w:szCs w:val="21"/>
              </w:rPr>
              <w:t>网络漏洞库模块</w:t>
            </w:r>
          </w:p>
          <w:p w14:paraId="4604C4EB">
            <w:pPr>
              <w:shd w:val="clea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学习漏洞</w:t>
            </w:r>
            <w:r>
              <w:rPr>
                <w:rFonts w:hint="eastAsia" w:ascii="宋体" w:hAnsi="宋体" w:eastAsia="宋体" w:cs="宋体"/>
                <w:sz w:val="21"/>
                <w:szCs w:val="21"/>
                <w:highlight w:val="none"/>
                <w:lang w:val="en-US" w:eastAsia="zh-CN"/>
              </w:rPr>
              <w:t>不少于</w:t>
            </w:r>
            <w:r>
              <w:rPr>
                <w:rFonts w:hint="eastAsia" w:ascii="宋体" w:hAnsi="宋体" w:eastAsia="宋体" w:cs="宋体"/>
                <w:sz w:val="21"/>
                <w:szCs w:val="21"/>
                <w:highlight w:val="none"/>
              </w:rPr>
              <w:t>10万条，每条漏洞包含漏洞类型、危害等级、漏洞名称、威胁类型等内容，同时点击漏洞可以看到漏洞详情</w:t>
            </w:r>
            <w:r>
              <w:rPr>
                <w:rFonts w:hint="eastAsia" w:ascii="宋体" w:hAnsi="宋体" w:eastAsia="宋体" w:cs="宋体"/>
                <w:sz w:val="21"/>
                <w:szCs w:val="21"/>
                <w:highlight w:val="none"/>
                <w:lang w:val="en-US" w:eastAsia="zh-CN"/>
              </w:rPr>
              <w:t>包括但不限于</w:t>
            </w:r>
            <w:r>
              <w:rPr>
                <w:rFonts w:hint="eastAsia" w:ascii="宋体" w:hAnsi="宋体" w:eastAsia="宋体" w:cs="宋体"/>
                <w:sz w:val="21"/>
                <w:szCs w:val="21"/>
                <w:highlight w:val="none"/>
              </w:rPr>
              <w:t>：cnnvD和cnnve编号、漏洞简介、漏洞公示、参考网站、补丁等内容信息。</w:t>
            </w:r>
          </w:p>
          <w:p w14:paraId="6BE8FDF0">
            <w:pPr>
              <w:shd w:val="clear"/>
              <w:spacing w:line="320" w:lineRule="exact"/>
              <w:rPr>
                <w:rFonts w:hint="eastAsia" w:ascii="宋体" w:hAnsi="宋体" w:eastAsia="宋体" w:cs="宋体"/>
                <w:sz w:val="21"/>
                <w:szCs w:val="21"/>
                <w:highlight w:val="none"/>
              </w:rPr>
            </w:pPr>
          </w:p>
          <w:p w14:paraId="0ED5F1C2">
            <w:pPr>
              <w:shd w:val="clear"/>
              <w:spacing w:line="320" w:lineRule="exact"/>
              <w:rPr>
                <w:rFonts w:hint="eastAsia" w:ascii="宋体" w:hAnsi="宋体" w:eastAsia="宋体" w:cs="宋体"/>
                <w:b/>
                <w:bCs/>
                <w:sz w:val="21"/>
                <w:szCs w:val="21"/>
                <w:highlight w:val="none"/>
                <w:u w:val="none"/>
              </w:rPr>
            </w:pPr>
            <w:r>
              <w:rPr>
                <w:rFonts w:hint="eastAsia" w:ascii="宋体" w:hAnsi="宋体" w:eastAsia="宋体" w:cs="宋体"/>
                <w:b/>
                <w:bCs/>
                <w:sz w:val="21"/>
                <w:szCs w:val="21"/>
              </w:rPr>
              <w:t>十、</w:t>
            </w:r>
            <w:r>
              <w:rPr>
                <w:rFonts w:hint="eastAsia" w:ascii="宋体" w:hAnsi="宋体" w:eastAsia="宋体" w:cs="宋体"/>
                <w:b/>
                <w:bCs/>
                <w:sz w:val="21"/>
                <w:szCs w:val="21"/>
                <w:highlight w:val="none"/>
                <w:u w:val="none"/>
              </w:rPr>
              <w:t>安全意识教育课程资源包</w:t>
            </w:r>
          </w:p>
          <w:p w14:paraId="3C90898E">
            <w:pPr>
              <w:shd w:val="clear"/>
              <w:spacing w:line="320" w:lineRule="exact"/>
              <w:ind w:firstLine="420" w:firstLineChars="200"/>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1.关键信息基础设施的运行安全意识视频</w:t>
            </w:r>
            <w:r>
              <w:rPr>
                <w:rFonts w:hint="eastAsia" w:ascii="宋体" w:hAnsi="宋体" w:eastAsia="宋体" w:cs="宋体"/>
                <w:sz w:val="21"/>
                <w:szCs w:val="21"/>
                <w:highlight w:val="none"/>
                <w:u w:val="none"/>
                <w:lang w:val="en-US" w:eastAsia="zh-CN"/>
              </w:rPr>
              <w:t>不少于5</w:t>
            </w:r>
            <w:r>
              <w:rPr>
                <w:rFonts w:hint="eastAsia" w:ascii="宋体" w:hAnsi="宋体" w:eastAsia="宋体" w:cs="宋体"/>
                <w:sz w:val="21"/>
                <w:szCs w:val="21"/>
                <w:highlight w:val="none"/>
                <w:u w:val="none"/>
              </w:rPr>
              <w:t>个</w:t>
            </w:r>
            <w:r>
              <w:rPr>
                <w:rFonts w:ascii="宋体" w:hAnsi="宋体" w:eastAsia="宋体" w:cs="宋体"/>
                <w:sz w:val="21"/>
                <w:szCs w:val="21"/>
                <w:highlight w:val="none"/>
                <w:u w:val="none"/>
              </w:rPr>
              <w:t>，</w:t>
            </w:r>
            <w:r>
              <w:rPr>
                <w:rFonts w:hint="eastAsia" w:ascii="宋体" w:hAnsi="宋体" w:eastAsia="宋体" w:cs="宋体"/>
                <w:sz w:val="21"/>
                <w:szCs w:val="21"/>
                <w:highlight w:val="none"/>
                <w:u w:val="none"/>
              </w:rPr>
              <w:t>需包含</w:t>
            </w:r>
            <w:r>
              <w:rPr>
                <w:rFonts w:hint="eastAsia" w:ascii="宋体" w:hAnsi="宋体" w:eastAsia="宋体" w:cs="宋体"/>
                <w:sz w:val="21"/>
                <w:szCs w:val="21"/>
                <w:highlight w:val="none"/>
                <w:u w:val="none"/>
                <w:lang w:val="en-US" w:eastAsia="zh-CN"/>
              </w:rPr>
              <w:t>但不限于：</w:t>
            </w:r>
            <w:r>
              <w:rPr>
                <w:rFonts w:hint="eastAsia" w:ascii="宋体" w:hAnsi="宋体" w:eastAsia="宋体" w:cs="宋体"/>
                <w:sz w:val="21"/>
                <w:szCs w:val="21"/>
                <w:highlight w:val="none"/>
                <w:u w:val="none"/>
              </w:rPr>
              <w:t>关键信息基础设施保护战略、关键信息基础设施保护总纲、关键信息基础设施安全保护基础要求、关键信息基础设施网络产品和服务的采购限制、关键信息基础设施重要数据境内本地化存储政策、关键信息基础设施安全检测评估要求、网信部门对关键信息基础设施安全的监管措施。</w:t>
            </w:r>
          </w:p>
          <w:p w14:paraId="16A9282C">
            <w:pPr>
              <w:shd w:val="clear"/>
              <w:spacing w:line="320" w:lineRule="exact"/>
              <w:ind w:firstLine="420" w:firstLineChars="200"/>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2.网络安全意识科普视频</w:t>
            </w:r>
            <w:r>
              <w:rPr>
                <w:rFonts w:hint="eastAsia" w:ascii="宋体" w:hAnsi="宋体" w:eastAsia="宋体" w:cs="宋体"/>
                <w:sz w:val="21"/>
                <w:szCs w:val="21"/>
                <w:highlight w:val="none"/>
                <w:u w:val="none"/>
                <w:lang w:val="en-US" w:eastAsia="zh-CN"/>
              </w:rPr>
              <w:t>不少于</w:t>
            </w:r>
            <w:r>
              <w:rPr>
                <w:rFonts w:hint="eastAsia" w:ascii="宋体" w:hAnsi="宋体" w:eastAsia="宋体" w:cs="宋体"/>
                <w:sz w:val="21"/>
                <w:szCs w:val="21"/>
                <w:highlight w:val="none"/>
                <w:u w:val="none"/>
              </w:rPr>
              <w:t>6</w:t>
            </w:r>
            <w:r>
              <w:rPr>
                <w:rFonts w:hint="eastAsia" w:ascii="宋体" w:hAnsi="宋体" w:eastAsia="宋体" w:cs="宋体"/>
                <w:sz w:val="21"/>
                <w:szCs w:val="21"/>
                <w:highlight w:val="none"/>
                <w:u w:val="none"/>
                <w:lang w:val="en-US" w:eastAsia="zh-CN"/>
              </w:rPr>
              <w:t>0</w:t>
            </w:r>
            <w:r>
              <w:rPr>
                <w:rFonts w:hint="eastAsia" w:ascii="宋体" w:hAnsi="宋体" w:eastAsia="宋体" w:cs="宋体"/>
                <w:sz w:val="21"/>
                <w:szCs w:val="21"/>
                <w:highlight w:val="none"/>
                <w:u w:val="none"/>
              </w:rPr>
              <w:t>个，需包含</w:t>
            </w:r>
            <w:r>
              <w:rPr>
                <w:rFonts w:hint="eastAsia" w:ascii="宋体" w:hAnsi="宋体" w:eastAsia="宋体" w:cs="宋体"/>
                <w:sz w:val="21"/>
                <w:szCs w:val="21"/>
                <w:highlight w:val="none"/>
                <w:u w:val="none"/>
                <w:lang w:val="en-US" w:eastAsia="zh-CN"/>
              </w:rPr>
              <w:t>但不限于：</w:t>
            </w:r>
            <w:r>
              <w:rPr>
                <w:rFonts w:hint="eastAsia" w:ascii="宋体" w:hAnsi="宋体" w:eastAsia="宋体" w:cs="宋体"/>
                <w:sz w:val="21"/>
                <w:szCs w:val="21"/>
                <w:highlight w:val="none"/>
                <w:u w:val="none"/>
              </w:rPr>
              <w:t>恶意软件与比特币、个人信息保护、社交媒体安全、不良信息应对、地理位置信息、5G移动网络、移动设备与支付安全、微信钓鱼防范、北斗</w:t>
            </w:r>
            <w:r>
              <w:rPr>
                <w:rFonts w:hint="eastAsia" w:ascii="宋体" w:hAnsi="宋体" w:eastAsia="宋体" w:cs="宋体"/>
                <w:sz w:val="21"/>
                <w:szCs w:val="21"/>
                <w:highlight w:val="none"/>
                <w:u w:val="none"/>
                <w:lang w:val="en-US" w:eastAsia="zh-CN"/>
              </w:rPr>
              <w:t>卫星通信相关安全知识</w:t>
            </w:r>
            <w:r>
              <w:rPr>
                <w:rFonts w:hint="eastAsia" w:ascii="宋体" w:hAnsi="宋体" w:eastAsia="宋体" w:cs="宋体"/>
                <w:sz w:val="21"/>
                <w:szCs w:val="21"/>
                <w:highlight w:val="none"/>
                <w:u w:val="none"/>
              </w:rPr>
              <w:t>、云计算、人脸识别、物联网、人工智能、登录他人账户的企图、文件中毒、软件更新、保密法学习、维护国家安全、上网文明公约、抵制不良信息、大数据与隐私、网络安全重要性、网络安全常识、网络安全基本知识、浏览器的安全使用、智能穿戴设备的安全使用、个人信息的处理、网上学习与网络安全、保护电子邮箱的安全。</w:t>
            </w:r>
          </w:p>
          <w:p w14:paraId="36DC2D93">
            <w:pPr>
              <w:shd w:val="clear"/>
              <w:spacing w:line="320" w:lineRule="exact"/>
              <w:ind w:firstLine="420" w:firstLineChars="200"/>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3.国家网络安全法安全意识视频</w:t>
            </w:r>
            <w:r>
              <w:rPr>
                <w:rFonts w:hint="eastAsia" w:ascii="宋体" w:hAnsi="宋体" w:eastAsia="宋体" w:cs="宋体"/>
                <w:sz w:val="21"/>
                <w:szCs w:val="21"/>
                <w:highlight w:val="none"/>
                <w:u w:val="none"/>
                <w:lang w:val="en-US" w:eastAsia="zh-CN"/>
              </w:rPr>
              <w:t>不少于15</w:t>
            </w:r>
            <w:r>
              <w:rPr>
                <w:rFonts w:hint="eastAsia" w:ascii="宋体" w:hAnsi="宋体" w:eastAsia="宋体" w:cs="宋体"/>
                <w:sz w:val="21"/>
                <w:szCs w:val="21"/>
                <w:highlight w:val="none"/>
                <w:u w:val="none"/>
              </w:rPr>
              <w:t>个，需包含</w:t>
            </w:r>
            <w:r>
              <w:rPr>
                <w:rFonts w:hint="eastAsia" w:ascii="宋体" w:hAnsi="宋体" w:eastAsia="宋体" w:cs="宋体"/>
                <w:sz w:val="21"/>
                <w:szCs w:val="21"/>
                <w:highlight w:val="none"/>
                <w:u w:val="none"/>
                <w:lang w:val="en-US" w:eastAsia="zh-CN"/>
              </w:rPr>
              <w:t>但不限于：</w:t>
            </w:r>
            <w:r>
              <w:rPr>
                <w:rFonts w:hint="eastAsia" w:ascii="宋体" w:hAnsi="宋体" w:eastAsia="宋体" w:cs="宋体"/>
                <w:sz w:val="21"/>
                <w:szCs w:val="21"/>
                <w:highlight w:val="none"/>
                <w:u w:val="none"/>
              </w:rPr>
              <w:t>《网络安全法》的</w:t>
            </w:r>
            <w:r>
              <w:rPr>
                <w:rFonts w:hint="eastAsia" w:ascii="宋体" w:hAnsi="宋体" w:eastAsia="宋体" w:cs="宋体"/>
                <w:sz w:val="21"/>
                <w:szCs w:val="21"/>
                <w:highlight w:val="none"/>
                <w:u w:val="none"/>
                <w:lang w:val="en-US" w:eastAsia="zh-CN"/>
              </w:rPr>
              <w:t>相关内容</w:t>
            </w:r>
            <w:r>
              <w:rPr>
                <w:rFonts w:hint="eastAsia" w:ascii="宋体" w:hAnsi="宋体" w:eastAsia="宋体" w:cs="宋体"/>
                <w:sz w:val="21"/>
                <w:szCs w:val="21"/>
                <w:highlight w:val="none"/>
                <w:u w:val="none"/>
              </w:rPr>
              <w:t>、国家层面的网络安全方针政策、《国家网络空间安全战略》</w:t>
            </w:r>
            <w:r>
              <w:rPr>
                <w:rFonts w:hint="eastAsia" w:ascii="宋体" w:hAnsi="宋体" w:eastAsia="宋体" w:cs="宋体"/>
                <w:sz w:val="21"/>
                <w:szCs w:val="21"/>
                <w:highlight w:val="none"/>
                <w:u w:val="none"/>
                <w:lang w:val="en-US" w:eastAsia="zh-CN"/>
              </w:rPr>
              <w:t>的相关内容</w:t>
            </w:r>
            <w:r>
              <w:rPr>
                <w:rFonts w:hint="eastAsia" w:ascii="宋体" w:hAnsi="宋体" w:eastAsia="宋体" w:cs="宋体"/>
                <w:sz w:val="21"/>
                <w:szCs w:val="21"/>
                <w:highlight w:val="none"/>
                <w:u w:val="none"/>
              </w:rPr>
              <w:t>、网络安全国际合作政策、监管机构及行业组织的网络安全职责、网络运营者的一般性网络安全职责、网络使用者的权利和义务；提供整体资源证明文件及资源单据。</w:t>
            </w:r>
          </w:p>
          <w:p w14:paraId="0299228C">
            <w:pPr>
              <w:shd w:val="clear"/>
              <w:spacing w:line="320" w:lineRule="exact"/>
              <w:rPr>
                <w:rFonts w:hint="eastAsia" w:ascii="宋体" w:hAnsi="宋体" w:eastAsia="宋体" w:cs="宋体"/>
                <w:b/>
                <w:bCs/>
                <w:sz w:val="21"/>
                <w:szCs w:val="21"/>
              </w:rPr>
            </w:pPr>
          </w:p>
          <w:p w14:paraId="5AC4C9B1">
            <w:pPr>
              <w:shd w:val="clear"/>
              <w:spacing w:line="320" w:lineRule="exact"/>
              <w:rPr>
                <w:rFonts w:hint="eastAsia" w:ascii="宋体" w:hAnsi="宋体" w:eastAsia="宋体" w:cs="宋体"/>
                <w:sz w:val="21"/>
                <w:szCs w:val="21"/>
              </w:rPr>
            </w:pPr>
            <w:r>
              <w:rPr>
                <w:rFonts w:hint="eastAsia" w:ascii="宋体" w:hAnsi="宋体" w:eastAsia="宋体" w:cs="宋体"/>
                <w:b/>
                <w:bCs/>
                <w:sz w:val="21"/>
                <w:szCs w:val="21"/>
              </w:rPr>
              <w:t>十一、船舶信息化安全课程资源包</w:t>
            </w:r>
          </w:p>
          <w:p w14:paraId="4A7A7FE4">
            <w:pPr>
              <w:shd w:val="clear"/>
              <w:spacing w:line="320" w:lineRule="exact"/>
              <w:rPr>
                <w:rFonts w:hint="eastAsia" w:ascii="宋体" w:hAnsi="宋体" w:eastAsia="宋体" w:cs="宋体"/>
                <w:b/>
                <w:bCs/>
                <w:sz w:val="21"/>
                <w:szCs w:val="21"/>
                <w:highlight w:val="none"/>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ascii="宋体" w:hAnsi="宋体" w:eastAsia="宋体" w:cs="宋体"/>
                <w:sz w:val="21"/>
                <w:szCs w:val="21"/>
                <w:highlight w:val="none"/>
              </w:rPr>
              <w:t>该课程适用于船舶信息化安全课程资源内容，</w:t>
            </w:r>
            <w:r>
              <w:rPr>
                <w:rFonts w:hint="eastAsia" w:ascii="宋体" w:hAnsi="宋体" w:eastAsia="宋体" w:cs="宋体"/>
                <w:sz w:val="21"/>
                <w:szCs w:val="21"/>
                <w:highlight w:val="none"/>
                <w:lang w:val="en-US" w:eastAsia="zh-CN"/>
              </w:rPr>
              <w:t>适用于高职学生，</w:t>
            </w:r>
            <w:r>
              <w:rPr>
                <w:rFonts w:ascii="宋体" w:hAnsi="宋体" w:eastAsia="宋体" w:cs="宋体"/>
                <w:sz w:val="21"/>
                <w:szCs w:val="21"/>
                <w:highlight w:val="none"/>
              </w:rPr>
              <w:t>课程按难易程度分为初级、中级、高级，详细课程如下示：</w:t>
            </w:r>
          </w:p>
          <w:p w14:paraId="58891994">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课程包含网络与信息安全课程模块具体PKI、应用系统安全、网络安全、防火墙、安全攻防分析、数据保密与安全、隐写软件安装及使用、恶意代码分析、逆向工程技术、病毒分析与防护（初级）、病毒分析与防护（中级）、病毒分析与防护（高级）、路由课程、交换课程课程形式包含实验和匹配的学习视频。</w:t>
            </w:r>
          </w:p>
          <w:p w14:paraId="1EA7351C">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恶意代码分析不少于</w:t>
            </w:r>
            <w:r>
              <w:rPr>
                <w:rFonts w:hint="eastAsia" w:ascii="宋体" w:hAnsi="宋体" w:eastAsia="宋体" w:cs="宋体"/>
                <w:sz w:val="21"/>
                <w:szCs w:val="21"/>
                <w:lang w:val="en-US" w:eastAsia="zh-CN"/>
              </w:rPr>
              <w:t>5</w:t>
            </w:r>
            <w:r>
              <w:rPr>
                <w:rFonts w:hint="eastAsia" w:ascii="宋体" w:hAnsi="宋体" w:eastAsia="宋体" w:cs="宋体"/>
                <w:sz w:val="21"/>
                <w:szCs w:val="21"/>
              </w:rPr>
              <w:t>个课时，包含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网络蠕虫病毒代码分析、VBS木马病毒实验、脚本病毒实验等，课时内容必须包含对应的课程ppt、实验和对应的视频。</w:t>
            </w:r>
          </w:p>
          <w:p w14:paraId="0FAD2DB2">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2.渗透测试课程包含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网络安全法课程包含网络安全法、数据安全法、个人信息保护法；渗透测试基础课程包含渗透测试基础、工具使用课程（SQLmap、BurpSuite、AWVS、appscan、Nessus、Wireshark、Nmap、Metasploit等渗透工具使用的视频教程或实验）、信息收集课程和社会工程学课程形式包含ppt、讲解视频和对应实验。</w:t>
            </w:r>
          </w:p>
          <w:p w14:paraId="01BEB3D3">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3.密码学应用实验包含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DSA签名算法实验、利用对称密码对文件加密实验、基于SSH协议的安全通信实验、ELGamal签名实验、DES加解密实验包含对应视频、ppt以及实验。</w:t>
            </w:r>
          </w:p>
          <w:p w14:paraId="0C0554F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古典密码学实验包含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凯撒密码编码实验、乘法密码编码实验、仿射密码编码实验、维吉尼亚密码编码实验、Playfair密码体系编码实验包含对应视频、ppt以及实验。</w:t>
            </w:r>
          </w:p>
          <w:p w14:paraId="43981FE8">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现代密码学实验包含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DES编码实验、AES编码实验、3DES编码实验、IDEA编码实验、SMS4编码实验、序列密码RC4编码实验、认识LFSR及流密码编码实验包含对应视频、ppt以及实验。</w:t>
            </w:r>
          </w:p>
          <w:p w14:paraId="3E0CD1E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公开</w:t>
            </w:r>
            <w:r>
              <w:rPr>
                <w:rFonts w:hint="eastAsia" w:ascii="宋体" w:hAnsi="宋体" w:eastAsia="宋体" w:cs="宋体"/>
                <w:sz w:val="21"/>
                <w:szCs w:val="21"/>
                <w:lang w:val="en-US" w:eastAsia="zh-CN"/>
              </w:rPr>
              <w:t>密</w:t>
            </w:r>
            <w:r>
              <w:rPr>
                <w:rFonts w:hint="eastAsia" w:ascii="宋体" w:hAnsi="宋体" w:eastAsia="宋体" w:cs="宋体"/>
                <w:sz w:val="21"/>
                <w:szCs w:val="21"/>
              </w:rPr>
              <w:t>钥密码实验包含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RSA编码实验、基于PGP的加密编码实验、大数运算编码实验、模幂编码实验、求逆编码实验、原根编码实验包含对应视频、ppt以及实验。</w:t>
            </w:r>
          </w:p>
          <w:p w14:paraId="0CDD522E">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Hash函数及数字签名包含</w:t>
            </w:r>
            <w:r>
              <w:rPr>
                <w:rFonts w:hint="eastAsia" w:ascii="宋体" w:hAnsi="宋体" w:eastAsia="宋体" w:cs="宋体"/>
                <w:sz w:val="21"/>
                <w:szCs w:val="21"/>
                <w:lang w:val="en-US" w:eastAsia="zh-CN"/>
              </w:rPr>
              <w:t>但不限</w:t>
            </w:r>
            <w:r>
              <w:rPr>
                <w:rFonts w:hint="eastAsia" w:ascii="宋体" w:hAnsi="宋体" w:eastAsia="宋体" w:cs="宋体"/>
                <w:sz w:val="21"/>
                <w:szCs w:val="21"/>
              </w:rPr>
              <w:t>MD5编码实验、SHA编码实验、HMAC编码实验、SHA2-224编码实验、SHA-256编码实验、ECC签名编码实验、数字签名-RSA编码实验包含对应视频、ppt以及实验。</w:t>
            </w:r>
          </w:p>
          <w:p w14:paraId="21A65839">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4.语言类课程包含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hacking pthon不少于20个课时、汇编语言不少于1</w:t>
            </w:r>
            <w:r>
              <w:rPr>
                <w:rFonts w:hint="eastAsia" w:ascii="宋体" w:hAnsi="宋体" w:eastAsia="宋体" w:cs="宋体"/>
                <w:sz w:val="21"/>
                <w:szCs w:val="21"/>
                <w:lang w:val="en-US" w:eastAsia="zh-CN"/>
              </w:rPr>
              <w:t>0</w:t>
            </w:r>
            <w:r>
              <w:rPr>
                <w:rFonts w:hint="eastAsia" w:ascii="宋体" w:hAnsi="宋体" w:eastAsia="宋体" w:cs="宋体"/>
                <w:sz w:val="21"/>
                <w:szCs w:val="21"/>
              </w:rPr>
              <w:t>个课时、PHP基础课程不少于</w:t>
            </w:r>
            <w:r>
              <w:rPr>
                <w:rFonts w:hint="eastAsia" w:ascii="宋体" w:hAnsi="宋体" w:eastAsia="宋体" w:cs="宋体"/>
                <w:sz w:val="21"/>
                <w:szCs w:val="21"/>
                <w:lang w:val="en-US" w:eastAsia="zh-CN"/>
              </w:rPr>
              <w:t>5</w:t>
            </w:r>
            <w:r>
              <w:rPr>
                <w:rFonts w:hint="eastAsia" w:ascii="宋体" w:hAnsi="宋体" w:eastAsia="宋体" w:cs="宋体"/>
                <w:sz w:val="21"/>
                <w:szCs w:val="21"/>
              </w:rPr>
              <w:t>个课时，课程形式包含ppt、匹配讲解视频、匹配实验环境。</w:t>
            </w:r>
          </w:p>
          <w:p w14:paraId="05934E5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5.web漏洞合集包含：逻辑漏洞与暴力破解不少于10个课时，课时内容包含对应的课时ppt、讲解视频、实验等课程内容。</w:t>
            </w:r>
          </w:p>
          <w:p w14:paraId="21517C06">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XSS跨站脚本攻击不少于15课时，课时内容包含对应的课时ppt、讲解视频、实验等课程内容；</w:t>
            </w:r>
          </w:p>
          <w:p w14:paraId="00318EAE">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CSRF 跨站请求伪造不少于5课时，课时内容包含对应的课时ppt、讲解视频、实验等课程内容；</w:t>
            </w:r>
          </w:p>
          <w:p w14:paraId="79FAF682">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未授权访问与越权漏洞不少于5课时，课时内容包含对应的课时ppt、讲解视频、实验等课程内容；</w:t>
            </w:r>
          </w:p>
          <w:p w14:paraId="6623970F">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ssrf漏洞原理及利用不少于5课时，课时内容包含对应的课时ppt、讲解视频、实验等课程内容；</w:t>
            </w:r>
          </w:p>
          <w:p w14:paraId="21ED838D">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sql注入漏洞原理及利用不少于20课时，课时内容包含对应的课时ppt、讲解视频、实验等课程内容；</w:t>
            </w:r>
          </w:p>
          <w:p w14:paraId="1F58A180">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文件包含漏洞原理及利用不少于</w:t>
            </w:r>
            <w:r>
              <w:rPr>
                <w:rFonts w:hint="eastAsia" w:ascii="宋体" w:hAnsi="宋体" w:eastAsia="宋体" w:cs="宋体"/>
                <w:sz w:val="21"/>
                <w:szCs w:val="21"/>
                <w:lang w:val="en-US" w:eastAsia="zh-CN"/>
              </w:rPr>
              <w:t>5</w:t>
            </w:r>
            <w:r>
              <w:rPr>
                <w:rFonts w:hint="eastAsia" w:ascii="宋体" w:hAnsi="宋体" w:eastAsia="宋体" w:cs="宋体"/>
                <w:sz w:val="21"/>
                <w:szCs w:val="21"/>
              </w:rPr>
              <w:t>课时，课时内容包含对应的课时ppt、讲解视频、实验等课程内容；</w:t>
            </w:r>
          </w:p>
          <w:p w14:paraId="692B2BB0">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xxe漏洞原理及利用不少于5课时，课时内容包含对应的课时ppt、讲解视频、实验等课程内容；</w:t>
            </w:r>
          </w:p>
          <w:p w14:paraId="3D9BDCD9">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文件上传漏洞原理及利用不少于20课时，课时内容包含对应的课时ppt、讲解视频、实验等课程内容；</w:t>
            </w:r>
          </w:p>
          <w:p w14:paraId="4A6C972E">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命令执行&amp;amp;代码执行不少于10课时，课时内容包含对应的课时ppt、讲解视频、实验等课程内容；</w:t>
            </w:r>
          </w:p>
          <w:p w14:paraId="4CFDDDBA">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反序列化漏洞不少于5课时，课时内容包含对应的课时ppt、讲解视频、实验等课程内容；</w:t>
            </w:r>
          </w:p>
          <w:p w14:paraId="34FE2B88">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python-SSTI漏洞不少于5课时，课时内容包含对应的课时ppt、讲解视频、实验等课程内容；</w:t>
            </w:r>
          </w:p>
          <w:p w14:paraId="59662EA8">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常见web框架漏洞原理及利用（tomcat\weblogic\Shiro课时，具体包含：fastjson框架漏洞利用、log4j漏洞利用、redis未授权访问、shiro框架的漏洞利用、tinkphp框架命令执行、tomcat框架的漏洞利用、weblogic框架漏洞利用、战OA系统的漏洞利用，内容包含对应的课时ppt、讲解视频、实验等课程内容；不少于10课时；</w:t>
            </w:r>
          </w:p>
          <w:p w14:paraId="052D09D0">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命令执行不少于15课时，内容包含对应的课时ppt、讲解视频、实验等课程内容；</w:t>
            </w:r>
          </w:p>
          <w:p w14:paraId="3395B45D">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数据库提权不少于1</w:t>
            </w:r>
            <w:r>
              <w:rPr>
                <w:rFonts w:hint="eastAsia" w:ascii="宋体" w:hAnsi="宋体" w:eastAsia="宋体" w:cs="宋体"/>
                <w:sz w:val="21"/>
                <w:szCs w:val="21"/>
                <w:lang w:val="en-US" w:eastAsia="zh-CN"/>
              </w:rPr>
              <w:t>0</w:t>
            </w:r>
            <w:r>
              <w:rPr>
                <w:rFonts w:hint="eastAsia" w:ascii="宋体" w:hAnsi="宋体" w:eastAsia="宋体" w:cs="宋体"/>
                <w:sz w:val="21"/>
                <w:szCs w:val="21"/>
              </w:rPr>
              <w:t>课时，内容包含对应的课时ppt、讲解视频、实验等课程内容；</w:t>
            </w:r>
          </w:p>
          <w:p w14:paraId="7205C269">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webshell不少于1</w:t>
            </w:r>
            <w:r>
              <w:rPr>
                <w:rFonts w:hint="eastAsia" w:ascii="宋体" w:hAnsi="宋体" w:eastAsia="宋体" w:cs="宋体"/>
                <w:sz w:val="21"/>
                <w:szCs w:val="21"/>
                <w:lang w:val="en-US" w:eastAsia="zh-CN"/>
              </w:rPr>
              <w:t>0</w:t>
            </w:r>
            <w:r>
              <w:rPr>
                <w:rFonts w:hint="eastAsia" w:ascii="宋体" w:hAnsi="宋体" w:eastAsia="宋体" w:cs="宋体"/>
                <w:sz w:val="21"/>
                <w:szCs w:val="21"/>
              </w:rPr>
              <w:t>课时，内容包含对应的课时ppt、讲解视频、实验等课程内容；</w:t>
            </w:r>
          </w:p>
          <w:p w14:paraId="7F301119">
            <w:pPr>
              <w:numPr>
                <w:ilvl w:val="0"/>
                <w:numId w:val="2"/>
              </w:numPr>
              <w:shd w:val="clear"/>
              <w:spacing w:line="32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所有教学视频和ppt。</w:t>
            </w:r>
          </w:p>
          <w:p w14:paraId="720CFB91">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6.数据提权、webshell、命令执行等课程其中数据库提权不少于1</w:t>
            </w:r>
            <w:r>
              <w:rPr>
                <w:rFonts w:hint="eastAsia" w:ascii="宋体" w:hAnsi="宋体" w:eastAsia="宋体" w:cs="宋体"/>
                <w:sz w:val="21"/>
                <w:szCs w:val="21"/>
                <w:lang w:val="en-US" w:eastAsia="zh-CN"/>
              </w:rPr>
              <w:t>0</w:t>
            </w:r>
            <w:r>
              <w:rPr>
                <w:rFonts w:hint="eastAsia" w:ascii="宋体" w:hAnsi="宋体" w:eastAsia="宋体" w:cs="宋体"/>
                <w:sz w:val="21"/>
                <w:szCs w:val="21"/>
              </w:rPr>
              <w:t>课时，包含一一对应的ppt、讲解视频和实操环境；webshell不少于1</w:t>
            </w:r>
            <w:r>
              <w:rPr>
                <w:rFonts w:hint="eastAsia" w:ascii="宋体" w:hAnsi="宋体" w:eastAsia="宋体" w:cs="宋体"/>
                <w:sz w:val="21"/>
                <w:szCs w:val="21"/>
                <w:lang w:val="en-US" w:eastAsia="zh-CN"/>
              </w:rPr>
              <w:t>0</w:t>
            </w:r>
            <w:r>
              <w:rPr>
                <w:rFonts w:hint="eastAsia" w:ascii="宋体" w:hAnsi="宋体" w:eastAsia="宋体" w:cs="宋体"/>
                <w:sz w:val="21"/>
                <w:szCs w:val="21"/>
              </w:rPr>
              <w:t>课时，包含一一对应的ppt、讲解视频和实操环境；命令执行不少于15课时，包含一一对应的ppt、讲解视频和实操环境。</w:t>
            </w:r>
          </w:p>
          <w:p w14:paraId="771BE3E1">
            <w:pPr>
              <w:shd w:val="clear"/>
              <w:spacing w:line="320" w:lineRule="exact"/>
              <w:ind w:firstLine="420" w:firstLineChars="200"/>
              <w:rPr>
                <w:rFonts w:hint="eastAsia" w:ascii="宋体" w:hAnsi="宋体" w:eastAsia="宋体" w:cs="宋体"/>
                <w:b/>
                <w:bCs/>
                <w:sz w:val="21"/>
                <w:szCs w:val="21"/>
              </w:rPr>
            </w:pPr>
            <w:r>
              <w:rPr>
                <w:rFonts w:hint="eastAsia" w:ascii="宋体" w:hAnsi="宋体" w:eastAsia="宋体" w:cs="宋体"/>
                <w:sz w:val="21"/>
                <w:szCs w:val="21"/>
              </w:rPr>
              <w:t>7.web框架漏洞包含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cve-2017-12615、cve-2018-2894、cve-2020-1938、cve-2020-1957、weblogic扫描脚本利用等内容的课程，课程内容必须包含对应的课程视频、ppt、实验环境。</w:t>
            </w:r>
          </w:p>
          <w:p w14:paraId="040238D6">
            <w:pPr>
              <w:shd w:val="clear"/>
              <w:spacing w:line="320" w:lineRule="exact"/>
              <w:rPr>
                <w:rFonts w:hint="eastAsia" w:ascii="宋体" w:hAnsi="宋体" w:eastAsia="宋体" w:cs="宋体"/>
                <w:b/>
                <w:bCs/>
                <w:sz w:val="21"/>
                <w:szCs w:val="21"/>
              </w:rPr>
            </w:pPr>
          </w:p>
          <w:p w14:paraId="644B143A">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十</w:t>
            </w:r>
            <w:r>
              <w:rPr>
                <w:rFonts w:hint="eastAsia" w:ascii="宋体" w:hAnsi="宋体" w:eastAsia="宋体" w:cs="宋体"/>
                <w:b/>
                <w:bCs/>
                <w:sz w:val="21"/>
                <w:szCs w:val="21"/>
                <w:lang w:eastAsia="zh-CN"/>
              </w:rPr>
              <w:t>二</w:t>
            </w:r>
            <w:r>
              <w:rPr>
                <w:rFonts w:hint="eastAsia" w:ascii="宋体" w:hAnsi="宋体" w:eastAsia="宋体" w:cs="宋体"/>
                <w:b/>
                <w:bCs/>
                <w:sz w:val="21"/>
                <w:szCs w:val="21"/>
              </w:rPr>
              <w:t>、工具利用课程</w:t>
            </w:r>
          </w:p>
          <w:p w14:paraId="2F53CE89">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工具利用课程为永久授权课程，详细课程内容如下：</w:t>
            </w:r>
          </w:p>
          <w:p w14:paraId="3D2732F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1.BT5工具使用课程：Back Track 5包含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backtrack简单介绍配置BackTrack、利用路由追踪工具收集路由信息、主机探测、主机系统识别、autoscan工具、netifera工具、Nmap工具、unicornscan工具、zenmap工具、Amap工具、开放漏洞评估系统openVAS、模糊分析和SMB分析、利用社会工程学工具发送恶意邮件、使用工具探测web服务器、应用评估之Grendel-scan、负载平衡检测器与web安全扫描、Cisco产品安全分析工具、WEB安全漏洞扫描及审计、通用密码分析器、离线攻击工具-john工具的使用、Web应用指纹识别器、测试特定ip在网络中的使用情况、生成字典工具-crunch、网络嗅探工具、在线攻击工具-hydra、在线猜解密码、Metaspolit之一利用nmap扫描端口、SNMP信息扫描、VNC扫描、网络嗅探；课程形式包含讲解视频和对应实验环境。</w:t>
            </w:r>
          </w:p>
          <w:p w14:paraId="23DAF55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2.目标主机扫描包含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arping、fping、hping3、nping、netdiscovery主机发现、Amap扫描指定端口上的应用程序、nbtscan、masscan快速扫描</w:t>
            </w:r>
          </w:p>
          <w:p w14:paraId="2203BD24">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3.Nmap包含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Nmap之侦测版本和系统（ppt、教学视频、实验）、Nmap之主机发现（ppt、教学视频、实验）、Nmap之端口扫描（ppt、教学视频、实验）、nmap之规避防火墙/IDS（ppt、教学视频、实验）、Nmap之NSE脚本引擎（ppt、教学视频、实验）等。</w:t>
            </w:r>
          </w:p>
          <w:p w14:paraId="047BC514">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.kali课程不少于3</w:t>
            </w:r>
            <w:r>
              <w:rPr>
                <w:rFonts w:hint="eastAsia" w:ascii="宋体" w:hAnsi="宋体" w:eastAsia="宋体" w:cs="宋体"/>
                <w:sz w:val="21"/>
                <w:szCs w:val="21"/>
                <w:lang w:val="en-US" w:eastAsia="zh-CN"/>
              </w:rPr>
              <w:t>0</w:t>
            </w:r>
            <w:r>
              <w:rPr>
                <w:rFonts w:hint="eastAsia" w:ascii="宋体" w:hAnsi="宋体" w:eastAsia="宋体" w:cs="宋体"/>
                <w:sz w:val="21"/>
                <w:szCs w:val="21"/>
              </w:rPr>
              <w:t>课时</w:t>
            </w:r>
            <w:r>
              <w:rPr>
                <w:rFonts w:hint="eastAsia" w:ascii="宋体" w:hAnsi="宋体" w:eastAsia="宋体" w:cs="宋体"/>
                <w:sz w:val="21"/>
                <w:szCs w:val="21"/>
                <w:lang w:val="en-US" w:eastAsia="zh-CN"/>
              </w:rPr>
              <w:t>包含但不限于</w:t>
            </w:r>
            <w:r>
              <w:rPr>
                <w:rFonts w:hint="eastAsia" w:ascii="宋体" w:hAnsi="宋体" w:eastAsia="宋体" w:cs="宋体"/>
                <w:sz w:val="21"/>
                <w:szCs w:val="21"/>
              </w:rPr>
              <w:t>如下</w:t>
            </w:r>
            <w:r>
              <w:rPr>
                <w:rFonts w:hint="eastAsia" w:ascii="宋体" w:hAnsi="宋体" w:eastAsia="宋体" w:cs="宋体"/>
                <w:sz w:val="21"/>
                <w:szCs w:val="21"/>
                <w:lang w:val="en-US" w:eastAsia="zh-CN"/>
              </w:rPr>
              <w:t>模块</w:t>
            </w:r>
            <w:r>
              <w:rPr>
                <w:rFonts w:hint="eastAsia" w:ascii="宋体" w:hAnsi="宋体" w:eastAsia="宋体" w:cs="宋体"/>
                <w:sz w:val="21"/>
                <w:szCs w:val="21"/>
              </w:rPr>
              <w:t>：</w:t>
            </w:r>
          </w:p>
          <w:p w14:paraId="1B44502F">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.1  kali基础课程：Kali网络环境设置-ppt、Kali主机探测命令与工具集-ppt、最强端口扫描器Nmap-ppt、强大的数据包处理程序-ppt、kali渗透之Java RMI SERVER 命令执行-ppt、kali渗透之Metasploitable2-Samba MS-RPC Shell 命令注入漏洞-ppt、Burp suite基本配置介绍-ppt、Burp spider扫描web-ppt、Burp intruder暴力攻击web口令-ppt、Sqlmap数据库注入攻击-ppt、RainbowCrack彩虹表破解密码hash-ppt等。</w:t>
            </w:r>
          </w:p>
          <w:p w14:paraId="26C4CC3B">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.2  Kali网络环境设置-视频、Kali主机探测命令与工具集-视频、最强端口扫描器Nmap-视频、强大的数据包处理程序-视频、kali渗透之Java RMI SERVER 命令执行-视频、kali渗透之Metasploitable2-Samba MS-RPC Shell 命令注入漏洞-视频、Burp suite基本配置介绍-视频、Burp spider扫描web-视频、Burp intruder暴力攻击web口令-视频、Sqlmap数据库注入攻击-视频、RainbowCrack彩虹表破解密码hash-视频。</w:t>
            </w:r>
          </w:p>
          <w:p w14:paraId="66DBACE7">
            <w:pPr>
              <w:shd w:val="clear"/>
              <w:spacing w:line="320" w:lineRule="exact"/>
              <w:ind w:firstLine="420" w:firstLineChars="200"/>
              <w:rPr>
                <w:rFonts w:hint="eastAsia"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.3  Kali网络环境设置-实验、Kali主机探测命令与工具集-实验、最强端口扫描器Nmap-实验、强大的数据包处理程序-实验、kali渗透之Java RMI SERVER 命令执行-实验、kali渗透之Metasploitable2-Samba MS-RPC Shell 命令注入漏洞-实验、Burp suite基本配置介绍-实验、Burp spider扫描web-实验、Burp intruder暴力攻击web口令-实验、Sqlmap数据库注入攻击-实验、RainbowCrack彩虹表破解密码hash-实验。</w:t>
            </w:r>
          </w:p>
          <w:p w14:paraId="1484FFF9">
            <w:pPr>
              <w:shd w:val="clear"/>
              <w:spacing w:line="320" w:lineRule="exact"/>
              <w:ind w:firstLine="420" w:firstLineChars="200"/>
              <w:rPr>
                <w:rFonts w:hint="eastAsia" w:ascii="宋体" w:hAnsi="宋体" w:eastAsia="宋体" w:cs="宋体"/>
                <w:sz w:val="21"/>
                <w:szCs w:val="21"/>
                <w:highlight w:val="none"/>
              </w:rPr>
            </w:pPr>
            <w:r>
              <w:rPr>
                <w:rFonts w:ascii="宋体" w:hAnsi="宋体" w:eastAsia="宋体" w:cs="宋体"/>
                <w:sz w:val="21"/>
                <w:szCs w:val="21"/>
              </w:rPr>
              <w:t>5</w:t>
            </w:r>
            <w:r>
              <w:rPr>
                <w:rFonts w:hint="eastAsia" w:ascii="宋体" w:hAnsi="宋体" w:eastAsia="宋体" w:cs="宋体"/>
                <w:sz w:val="21"/>
                <w:szCs w:val="21"/>
              </w:rPr>
              <w:t>.sqlmap课程：sqlmap全自动化和向导界面注入、获取sqlmap是如何尝试、判断以及读取数据、使用sqlmap绕过网站的waf防护、使用sqlmap实现http头注入、延时注入、请求优化使用读取_上传文件和执行系统命令和控制shell、使用sqlmap获取目标敏感信息实战详解等课</w:t>
            </w:r>
            <w:r>
              <w:rPr>
                <w:rFonts w:hint="eastAsia" w:ascii="宋体" w:hAnsi="宋体" w:eastAsia="宋体" w:cs="宋体"/>
                <w:sz w:val="21"/>
                <w:szCs w:val="21"/>
                <w:highlight w:val="none"/>
              </w:rPr>
              <w:t>程</w:t>
            </w:r>
            <w:r>
              <w:rPr>
                <w:rFonts w:hint="eastAsia" w:ascii="宋体" w:hAnsi="宋体" w:eastAsia="宋体" w:cs="宋体"/>
                <w:sz w:val="21"/>
                <w:szCs w:val="21"/>
                <w:highlight w:val="none"/>
                <w:lang w:val="en-US" w:eastAsia="zh-CN"/>
              </w:rPr>
              <w:t>不少于10</w:t>
            </w:r>
            <w:r>
              <w:rPr>
                <w:rFonts w:hint="eastAsia" w:ascii="宋体" w:hAnsi="宋体" w:eastAsia="宋体" w:cs="宋体"/>
                <w:sz w:val="21"/>
                <w:szCs w:val="21"/>
                <w:highlight w:val="none"/>
              </w:rPr>
              <w:t>课时。</w:t>
            </w:r>
          </w:p>
          <w:p w14:paraId="4D5CB611">
            <w:pPr>
              <w:shd w:val="clear"/>
              <w:spacing w:line="320" w:lineRule="exact"/>
              <w:rPr>
                <w:rFonts w:hint="eastAsia" w:ascii="宋体" w:hAnsi="宋体" w:eastAsia="宋体" w:cs="宋体"/>
                <w:b/>
                <w:bCs/>
                <w:sz w:val="21"/>
                <w:szCs w:val="21"/>
              </w:rPr>
            </w:pPr>
          </w:p>
          <w:p w14:paraId="78C1965E">
            <w:pPr>
              <w:shd w:val="clear"/>
              <w:spacing w:line="320" w:lineRule="exact"/>
              <w:rPr>
                <w:rFonts w:hint="eastAsia" w:ascii="宋体" w:hAnsi="宋体" w:eastAsia="宋体" w:cs="宋体"/>
                <w:b/>
                <w:bCs/>
                <w:sz w:val="21"/>
                <w:szCs w:val="21"/>
                <w:highlight w:val="yellow"/>
              </w:rPr>
            </w:pPr>
            <w:r>
              <w:rPr>
                <w:rFonts w:hint="eastAsia" w:ascii="宋体" w:hAnsi="宋体" w:eastAsia="宋体" w:cs="宋体"/>
                <w:b/>
                <w:bCs/>
                <w:sz w:val="21"/>
                <w:szCs w:val="21"/>
              </w:rPr>
              <w:t>十三、综合渗透靶场课程</w:t>
            </w:r>
          </w:p>
          <w:p w14:paraId="35B29F71">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系统能够提供提供智慧船舶业务系统仿真安全演练训练场景，课程内容为永久授权课程，详细靶场课程如下：。</w:t>
            </w:r>
          </w:p>
          <w:p w14:paraId="209B7F4E">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综合渗透靶场不少于2套，具体包含第一套：存在信息泄露，在登陆存存在sql注入漏洞，以及用户头像处存在文件上传漏洞，服务器中存在docker逃逸cve-2020-15257漏洞，第二套：官网存在备份文件泄露，数据库开启外联导致攻击者可以连接数据库获取信息，当前cms存在后台任意文件读取，获取到ssh登录用户名密码，服务器存在cve-2022-0847提权漏洞；涉及教学视频不能含第三方logo。</w:t>
            </w:r>
          </w:p>
          <w:p w14:paraId="086F913B">
            <w:pPr>
              <w:shd w:val="clear"/>
              <w:spacing w:line="320" w:lineRule="exact"/>
              <w:ind w:firstLine="420" w:firstLineChars="200"/>
              <w:rPr>
                <w:rFonts w:hint="eastAsia" w:ascii="宋体" w:hAnsi="宋体" w:eastAsia="宋体" w:cs="宋体"/>
                <w:b/>
                <w:bCs/>
                <w:color w:val="auto"/>
                <w:sz w:val="21"/>
                <w:szCs w:val="21"/>
                <w:highlight w:val="none"/>
              </w:rPr>
            </w:pPr>
            <w:r>
              <w:rPr>
                <w:rFonts w:hint="eastAsia" w:ascii="宋体" w:hAnsi="宋体" w:eastAsia="宋体" w:cs="宋体"/>
                <w:sz w:val="21"/>
                <w:szCs w:val="21"/>
              </w:rPr>
              <w:t>2.SQLilabs靶</w:t>
            </w:r>
            <w:r>
              <w:rPr>
                <w:rFonts w:hint="eastAsia" w:ascii="宋体" w:hAnsi="宋体" w:eastAsia="宋体" w:cs="宋体"/>
                <w:color w:val="auto"/>
                <w:sz w:val="21"/>
                <w:szCs w:val="21"/>
                <w:highlight w:val="none"/>
              </w:rPr>
              <w:t>场实验、讲解视频、对应ppt，不少于</w:t>
            </w:r>
            <w:r>
              <w:rPr>
                <w:rFonts w:ascii="宋体" w:hAnsi="宋体" w:eastAsia="宋体" w:cs="宋体"/>
                <w:color w:val="auto"/>
                <w:sz w:val="21"/>
                <w:szCs w:val="21"/>
                <w:highlight w:val="none"/>
              </w:rPr>
              <w:t>90</w:t>
            </w:r>
            <w:r>
              <w:rPr>
                <w:rFonts w:hint="eastAsia" w:ascii="宋体" w:hAnsi="宋体" w:eastAsia="宋体" w:cs="宋体"/>
                <w:color w:val="auto"/>
                <w:sz w:val="21"/>
                <w:szCs w:val="21"/>
                <w:highlight w:val="none"/>
              </w:rPr>
              <w:t>课时，资源需要成体系化，单个实验不少于3</w:t>
            </w:r>
            <w:r>
              <w:rPr>
                <w:rFonts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rPr>
              <w:t>、单个ppt不少于3</w:t>
            </w:r>
            <w:r>
              <w:rPr>
                <w:rFonts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rPr>
              <w:t>、单个视频不少于3</w:t>
            </w:r>
            <w:r>
              <w:rPr>
                <w:rFonts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rPr>
              <w:t>。</w:t>
            </w:r>
          </w:p>
          <w:p w14:paraId="3B233942">
            <w:pPr>
              <w:shd w:val="clear"/>
              <w:spacing w:line="320" w:lineRule="exact"/>
              <w:rPr>
                <w:rFonts w:hint="eastAsia" w:ascii="宋体" w:hAnsi="宋体" w:eastAsia="宋体" w:cs="宋体"/>
                <w:b/>
                <w:bCs/>
                <w:sz w:val="21"/>
                <w:szCs w:val="21"/>
              </w:rPr>
            </w:pPr>
          </w:p>
          <w:p w14:paraId="515874FD">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十四、网络运维课程</w:t>
            </w:r>
          </w:p>
          <w:p w14:paraId="3DF3FECD">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1.windows操作系统课程资源包</w:t>
            </w:r>
          </w:p>
          <w:p w14:paraId="5482D790">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Windows操作系统安全实验、Windows用户管理实验、Windows网络与服务管理、Windows远程桌面安全配置、Windows安全策略与审计、Windows注册表的介绍、注册表的访问及操作、维护注册表安全、注册表设置举例、通过注册表修改菜单栏和任务栏、通过注册表</w:t>
            </w:r>
            <w:r>
              <w:rPr>
                <w:rFonts w:hint="eastAsia" w:ascii="宋体" w:hAnsi="宋体" w:eastAsia="宋体" w:cs="宋体"/>
                <w:color w:val="auto"/>
                <w:sz w:val="21"/>
                <w:szCs w:val="21"/>
              </w:rPr>
              <w:t>修改桌面设置、通过注册表修改控制面板选项、修改注册表端口提</w:t>
            </w:r>
            <w:r>
              <w:rPr>
                <w:rFonts w:hint="eastAsia" w:ascii="宋体" w:hAnsi="宋体" w:eastAsia="宋体" w:cs="宋体"/>
                <w:b w:val="0"/>
                <w:bCs w:val="0"/>
                <w:color w:val="auto"/>
                <w:sz w:val="21"/>
                <w:szCs w:val="21"/>
              </w:rPr>
              <w:t>高Windows</w:t>
            </w:r>
            <w:r>
              <w:rPr>
                <w:rFonts w:hint="eastAsia" w:ascii="宋体" w:hAnsi="宋体" w:eastAsia="宋体" w:cs="宋体"/>
                <w:color w:val="auto"/>
                <w:sz w:val="21"/>
                <w:szCs w:val="21"/>
              </w:rPr>
              <w:t>系</w:t>
            </w:r>
            <w:r>
              <w:rPr>
                <w:rFonts w:hint="eastAsia" w:ascii="宋体" w:hAnsi="宋体" w:eastAsia="宋体" w:cs="宋体"/>
                <w:sz w:val="21"/>
                <w:szCs w:val="21"/>
              </w:rPr>
              <w:t>统安全、提高Window系统安全策略 、提高Windows抗攻击实验、操作系统安全评估与检测实验、了解注册表被修改的原因及解决办法等实验课程和实操视频一一对应。</w:t>
            </w:r>
          </w:p>
          <w:p w14:paraId="3D4F4AA7">
            <w:pPr>
              <w:shd w:val="clear"/>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一年内免费更新适用于Windows 2022操作系统相关课程资源。</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提供</w:t>
            </w:r>
            <w:r>
              <w:rPr>
                <w:rFonts w:hint="eastAsia" w:ascii="宋体" w:hAnsi="宋体" w:eastAsia="宋体" w:cs="宋体"/>
                <w:b/>
                <w:bCs/>
                <w:sz w:val="21"/>
                <w:szCs w:val="21"/>
                <w:u w:val="single"/>
                <w:lang w:val="en-US" w:eastAsia="zh-CN"/>
              </w:rPr>
              <w:t>承诺书</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eastAsia="zh-CN"/>
              </w:rPr>
              <w:t>。】</w:t>
            </w:r>
          </w:p>
          <w:p w14:paraId="3A94880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2.linux操作系统课程资源包</w:t>
            </w:r>
          </w:p>
          <w:p w14:paraId="6F3350C7">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包含</w:t>
            </w:r>
            <w:r>
              <w:rPr>
                <w:rFonts w:hint="eastAsia" w:ascii="宋体" w:hAnsi="宋体" w:eastAsia="宋体" w:cs="宋体"/>
                <w:sz w:val="21"/>
                <w:szCs w:val="21"/>
                <w:lang w:val="en-US" w:eastAsia="zh-CN"/>
              </w:rPr>
              <w:t>但不限于</w:t>
            </w:r>
            <w:r>
              <w:rPr>
                <w:rFonts w:hint="eastAsia" w:ascii="宋体" w:hAnsi="宋体" w:eastAsia="宋体" w:cs="宋体"/>
                <w:sz w:val="21"/>
                <w:szCs w:val="21"/>
              </w:rPr>
              <w:t>Linux基本命令使用实验、Linux用户管理、Linux网络与服务管理、Linux文件系统管理、Linux下ftp服务器配置实验、Linux提权后获取敏感信息的方法与途径、Linux系统缺省的存取控制权限、samba服务器配置和管理、WEB服务器配置与管理、NFS服务器配置与管理、DHCP服务器配置和管理、Iptables服务器配置与管理、Linux下修改OpenSSH服务端口号实验、Linux下MD5工具进行文件哈希签名实验、Linux系统日志清除课程实验。</w:t>
            </w:r>
          </w:p>
          <w:p w14:paraId="42DCCF64">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rPr>
              <w:t>3.容器类课程资</w:t>
            </w:r>
            <w:r>
              <w:rPr>
                <w:rFonts w:hint="eastAsia" w:ascii="宋体" w:hAnsi="宋体" w:eastAsia="宋体" w:cs="宋体"/>
                <w:sz w:val="21"/>
                <w:szCs w:val="21"/>
                <w:highlight w:val="none"/>
              </w:rPr>
              <w:t>源包</w:t>
            </w:r>
          </w:p>
          <w:p w14:paraId="1EAED323">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highlight w:val="none"/>
              </w:rPr>
              <w:t>包含</w:t>
            </w:r>
            <w:r>
              <w:rPr>
                <w:rFonts w:hint="eastAsia" w:ascii="宋体" w:hAnsi="宋体" w:eastAsia="宋体" w:cs="宋体"/>
                <w:sz w:val="21"/>
                <w:szCs w:val="21"/>
                <w:highlight w:val="none"/>
                <w:lang w:val="en-US" w:eastAsia="zh-CN"/>
              </w:rPr>
              <w:t>但不限于</w:t>
            </w:r>
            <w:r>
              <w:rPr>
                <w:rFonts w:hint="eastAsia" w:ascii="宋体" w:hAnsi="宋体" w:eastAsia="宋体" w:cs="宋体"/>
                <w:sz w:val="21"/>
                <w:szCs w:val="21"/>
                <w:highlight w:val="none"/>
              </w:rPr>
              <w:t>：Dock</w:t>
            </w:r>
            <w:r>
              <w:rPr>
                <w:rFonts w:hint="eastAsia" w:ascii="宋体" w:hAnsi="宋体" w:eastAsia="宋体" w:cs="宋体"/>
                <w:sz w:val="21"/>
                <w:szCs w:val="21"/>
              </w:rPr>
              <w:t>er学习大纲、安装Docker、配置阿里云镜像加速、Run的流程和Docker原理、镜像的基本命令、容器的基本命令、日志元数据进程的查看、进入容器的命令和拷贝命令、常用命令小结、部署Nginx、部署tomcat、部署ES+Kibana、Porainer可视化面板安装、镜像原理之联合文件系统、镜像原理之分层理解、Commit镜像、容器数据卷使用、实战:MySQL同步数据、具名挂载和匿挂载、数据卷之Dockerfile、数据卷容器、DockerFile介绍、DockerFile指令说明、实战:构建自己的cento</w:t>
            </w:r>
            <w:r>
              <w:rPr>
                <w:rFonts w:ascii="宋体" w:hAnsi="宋体" w:eastAsia="宋体" w:cs="宋体"/>
                <w:sz w:val="21"/>
                <w:szCs w:val="21"/>
              </w:rPr>
              <w:t>s</w:t>
            </w:r>
            <w:r>
              <w:rPr>
                <w:rFonts w:hint="eastAsia" w:ascii="宋体" w:hAnsi="宋体" w:eastAsia="宋体" w:cs="宋体"/>
                <w:sz w:val="21"/>
                <w:szCs w:val="21"/>
              </w:rPr>
              <w:t>、CMD和ENRYPOIN 的区别、实战：Dockerfile制作tomcat镜像、发布镜像到DockerHub、发布镜像到阿里云容器服务、Docker所有流程小结、Docker网络详解、容器互联--link、自定义网络、网络连通、Redis集群部署实验、SpringBoot微服务打包Docker镜像。</w:t>
            </w:r>
          </w:p>
          <w:p w14:paraId="33E6AE79">
            <w:pPr>
              <w:shd w:val="clear"/>
              <w:spacing w:line="320" w:lineRule="exact"/>
              <w:rPr>
                <w:rFonts w:hint="eastAsia" w:ascii="宋体" w:hAnsi="宋体" w:eastAsia="宋体" w:cs="宋体"/>
                <w:b/>
                <w:bCs/>
                <w:sz w:val="21"/>
                <w:szCs w:val="21"/>
              </w:rPr>
            </w:pPr>
          </w:p>
          <w:p w14:paraId="33C019BF">
            <w:pPr>
              <w:shd w:val="clear"/>
              <w:spacing w:line="320" w:lineRule="exact"/>
              <w:rPr>
                <w:rFonts w:hint="eastAsia" w:ascii="宋体" w:hAnsi="宋体" w:eastAsia="宋体" w:cs="宋体"/>
                <w:b/>
                <w:bCs/>
                <w:sz w:val="21"/>
                <w:szCs w:val="21"/>
              </w:rPr>
            </w:pPr>
            <w:r>
              <w:rPr>
                <w:rFonts w:hint="eastAsia" w:ascii="宋体" w:hAnsi="宋体" w:eastAsia="宋体" w:cs="宋体"/>
                <w:b/>
                <w:bCs/>
                <w:sz w:val="21"/>
                <w:szCs w:val="21"/>
              </w:rPr>
              <w:t>十五、网络渗透工具库</w:t>
            </w:r>
          </w:p>
          <w:p w14:paraId="6BA87A4B">
            <w:pPr>
              <w:shd w:val="clear"/>
              <w:spacing w:line="32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支持环境工具管理，环境工具含工具库、IPE环境等，系统能够对工具库和IPE环境进行定义</w:t>
            </w:r>
            <w:r>
              <w:rPr>
                <w:rFonts w:hint="eastAsia" w:ascii="宋体" w:hAnsi="宋体" w:eastAsia="宋体" w:cs="宋体"/>
                <w:sz w:val="21"/>
                <w:szCs w:val="21"/>
                <w:highlight w:val="none"/>
                <w:lang w:eastAsia="zh-CN"/>
              </w:rPr>
              <w:t>：</w:t>
            </w:r>
          </w:p>
          <w:p w14:paraId="7849037E">
            <w:pPr>
              <w:shd w:val="clear"/>
              <w:spacing w:line="3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工具库定义支持</w:t>
            </w:r>
            <w:r>
              <w:rPr>
                <w:rFonts w:hint="eastAsia" w:ascii="宋体" w:hAnsi="宋体" w:eastAsia="宋体" w:cs="宋体"/>
                <w:sz w:val="21"/>
                <w:szCs w:val="21"/>
                <w:highlight w:val="none"/>
                <w:lang w:val="en-US" w:eastAsia="zh-CN"/>
              </w:rPr>
              <w:t>包含但不限于：</w:t>
            </w:r>
            <w:r>
              <w:rPr>
                <w:rFonts w:hint="eastAsia" w:ascii="宋体" w:hAnsi="宋体" w:eastAsia="宋体" w:cs="宋体"/>
                <w:sz w:val="21"/>
                <w:szCs w:val="21"/>
                <w:highlight w:val="none"/>
              </w:rPr>
              <w:t>定义工具的名称、工具的类别，工具的封面，同时能够对工具进行描述，支持针对特定工具的点赞和查看，系统支持查看对工具的点赞数和工具下载数；支持查看按照工具类别进行工具筛选，具体包含：序号、功能名称、工具分类、点赞数量、下载数量、创建人、创建时间等；</w:t>
            </w:r>
          </w:p>
          <w:p w14:paraId="1E5CB561">
            <w:pPr>
              <w:shd w:val="clear"/>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IPE环境定</w:t>
            </w:r>
            <w:r>
              <w:rPr>
                <w:rFonts w:hint="eastAsia" w:ascii="宋体" w:hAnsi="宋体" w:eastAsia="宋体" w:cs="宋体"/>
                <w:sz w:val="21"/>
                <w:szCs w:val="21"/>
                <w:highlight w:val="none"/>
              </w:rPr>
              <w:t>义支持</w:t>
            </w:r>
            <w:r>
              <w:rPr>
                <w:rFonts w:hint="eastAsia" w:ascii="宋体" w:hAnsi="宋体" w:eastAsia="宋体" w:cs="宋体"/>
                <w:sz w:val="21"/>
                <w:szCs w:val="21"/>
                <w:highlight w:val="none"/>
                <w:lang w:val="en-US" w:eastAsia="zh-CN"/>
              </w:rPr>
              <w:t>包含但不限于：</w:t>
            </w:r>
            <w:r>
              <w:rPr>
                <w:rFonts w:hint="eastAsia" w:ascii="宋体" w:hAnsi="宋体" w:eastAsia="宋体" w:cs="宋体"/>
                <w:sz w:val="21"/>
                <w:szCs w:val="21"/>
              </w:rPr>
              <w:t>定义IPE环境的名称、IPE环境的类别，IPE环境的封面，同时能够对IPE环境进行描述，支持针对特定IPE环境的点赞和查看，系统支持查看对IPE环境的点赞数和IPE环境下载数；支持查看按照IPE环境类别进行工具筛选，具体包含：序号、功能名称、工具分类、点赞数量、下载数量、创建人、创建时间等。</w:t>
            </w:r>
          </w:p>
        </w:tc>
        <w:tc>
          <w:tcPr>
            <w:tcW w:w="703" w:type="dxa"/>
            <w:vAlign w:val="center"/>
          </w:tcPr>
          <w:p w14:paraId="7E99617E">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720" w:type="dxa"/>
            <w:vAlign w:val="center"/>
          </w:tcPr>
          <w:p w14:paraId="5D3E2724">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套</w:t>
            </w:r>
          </w:p>
        </w:tc>
      </w:tr>
      <w:tr w14:paraId="16AE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394" w:type="dxa"/>
            <w:vAlign w:val="center"/>
          </w:tcPr>
          <w:p w14:paraId="5AFA873E">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2</w:t>
            </w:r>
          </w:p>
        </w:tc>
        <w:tc>
          <w:tcPr>
            <w:tcW w:w="1095" w:type="dxa"/>
            <w:vAlign w:val="center"/>
          </w:tcPr>
          <w:p w14:paraId="58234C95">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《网络设备配置与安全</w:t>
            </w:r>
            <w:r>
              <w:rPr>
                <w:rFonts w:ascii="宋体" w:hAnsi="宋体" w:eastAsia="宋体" w:cs="宋体"/>
                <w:b/>
                <w:bCs/>
                <w:sz w:val="21"/>
                <w:szCs w:val="21"/>
              </w:rPr>
              <w:t>资源包</w:t>
            </w:r>
            <w:r>
              <w:rPr>
                <w:rFonts w:hint="eastAsia" w:ascii="宋体" w:hAnsi="宋体" w:eastAsia="宋体" w:cs="宋体"/>
                <w:b/>
                <w:bCs/>
                <w:sz w:val="21"/>
                <w:szCs w:val="21"/>
              </w:rPr>
              <w:t>》</w:t>
            </w:r>
          </w:p>
        </w:tc>
        <w:tc>
          <w:tcPr>
            <w:tcW w:w="6261" w:type="dxa"/>
          </w:tcPr>
          <w:p w14:paraId="5D3DE205">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b/>
                <w:bCs/>
                <w:sz w:val="21"/>
                <w:szCs w:val="21"/>
                <w:u w:val="single"/>
                <w:lang w:eastAsia="zh-CN"/>
              </w:rPr>
            </w:pPr>
            <w:r>
              <w:rPr>
                <w:rFonts w:hint="default" w:ascii="宋体" w:hAnsi="宋体" w:eastAsia="宋体" w:cs="宋体"/>
                <w:sz w:val="21"/>
                <w:szCs w:val="21"/>
                <w:lang w:val="en-US" w:eastAsia="zh-CN"/>
              </w:rPr>
              <w:t>▲</w:t>
            </w:r>
            <w:r>
              <w:rPr>
                <w:rFonts w:hint="eastAsia" w:ascii="宋体" w:hAnsi="宋体" w:eastAsia="宋体" w:cs="宋体"/>
                <w:sz w:val="21"/>
                <w:szCs w:val="21"/>
              </w:rPr>
              <w:t>1.体系化教学课程资源，本课程</w:t>
            </w:r>
            <w:r>
              <w:rPr>
                <w:rFonts w:hint="eastAsia" w:ascii="宋体" w:hAnsi="宋体" w:eastAsia="宋体" w:cs="宋体"/>
                <w:sz w:val="21"/>
                <w:szCs w:val="21"/>
                <w:lang w:val="en-US" w:eastAsia="zh-CN"/>
              </w:rPr>
              <w:t>不低于</w:t>
            </w:r>
            <w:r>
              <w:rPr>
                <w:rFonts w:hint="eastAsia" w:ascii="宋体" w:hAnsi="宋体" w:eastAsia="宋体" w:cs="宋体"/>
                <w:sz w:val="21"/>
                <w:szCs w:val="21"/>
              </w:rPr>
              <w:t>3</w:t>
            </w:r>
            <w:r>
              <w:rPr>
                <w:rFonts w:hint="eastAsia" w:ascii="宋体" w:hAnsi="宋体" w:eastAsia="宋体" w:cs="宋体"/>
                <w:sz w:val="21"/>
                <w:szCs w:val="21"/>
                <w:lang w:val="en-US" w:eastAsia="zh-CN"/>
              </w:rPr>
              <w:t>0</w:t>
            </w:r>
            <w:r>
              <w:rPr>
                <w:rFonts w:hint="eastAsia" w:ascii="宋体" w:hAnsi="宋体" w:eastAsia="宋体" w:cs="宋体"/>
                <w:sz w:val="21"/>
                <w:szCs w:val="21"/>
              </w:rPr>
              <w:t>课时，涵盖教学开展所需课程大纲、授课课件、实验手册。</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提供课程大纲、授课课件、实验手册截图</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eastAsia="zh-CN"/>
              </w:rPr>
              <w:t>。】</w:t>
            </w:r>
          </w:p>
          <w:p w14:paraId="2A14B741">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课程内容包含：网络地址规划、路由器基本配置、路由协议配置、DHCP服务配置、ACL配置、VRRP配置、交换机带外管理、交换机CLI界面调试、交换机TELNET管理配置、二层交换机VLAN划分及相同VLAN通信、二层交换机跨交换机相同VLAN通信、三层交换机VLAN划分及VLAN间通信、三层交换机实现二层交换机VLAN间通信、交换机端口镜像配置、链路聚合、交换机生成树配置、交换机静态路由配、交换机RIP动态路由配置、交换机OSPF动态路由配置、交换机标准ACL配置等实验，课程具体包含实验环境和一一对应讲解视频。</w:t>
            </w:r>
          </w:p>
          <w:p w14:paraId="77C6FF7E">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配备路由器的带外管理、路由器CLI界面调试配置、路由器带内管理、路由器地址转换-端口地址转换配置、路由器端口静态映射、路由器静态路由配置、路由器策略路由（PBR）配置、路由器RIPv1配置、路由器RIPv2配置、RIP-2邻居认证配置、静态路由和直连路由引入配置、路由再发布的配置实验课程，具体包含实验环境和一一对应讲解视频。</w:t>
            </w:r>
          </w:p>
          <w:p w14:paraId="2FBA2BEB">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default" w:ascii="宋体" w:hAnsi="宋体" w:eastAsia="宋体" w:cs="宋体"/>
                <w:sz w:val="21"/>
                <w:szCs w:val="21"/>
                <w:lang w:val="en-US" w:eastAsia="zh-CN"/>
              </w:rPr>
              <w:t>.配套微调后的视觉运维大模型，可实现视觉运维大模型微调过程，构建</w:t>
            </w:r>
            <w:r>
              <w:rPr>
                <w:rFonts w:hint="eastAsia" w:ascii="宋体" w:hAnsi="宋体" w:eastAsia="宋体" w:cs="宋体"/>
                <w:sz w:val="21"/>
                <w:szCs w:val="21"/>
                <w:lang w:val="en-US" w:eastAsia="zh-CN"/>
              </w:rPr>
              <w:t>安全资源</w:t>
            </w:r>
            <w:r>
              <w:rPr>
                <w:rFonts w:hint="default" w:ascii="宋体" w:hAnsi="宋体" w:eastAsia="宋体" w:cs="宋体"/>
                <w:sz w:val="21"/>
                <w:szCs w:val="21"/>
                <w:lang w:val="en-US" w:eastAsia="zh-CN"/>
              </w:rPr>
              <w:t>知识图谱过程；</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tc>
        <w:tc>
          <w:tcPr>
            <w:tcW w:w="703" w:type="dxa"/>
            <w:vAlign w:val="center"/>
          </w:tcPr>
          <w:p w14:paraId="28447E89">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720" w:type="dxa"/>
            <w:vAlign w:val="center"/>
          </w:tcPr>
          <w:p w14:paraId="66B707B0">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color w:val="000000"/>
                <w:sz w:val="21"/>
                <w:szCs w:val="21"/>
                <w:lang w:bidi="ar"/>
              </w:rPr>
              <w:t>套</w:t>
            </w:r>
          </w:p>
        </w:tc>
      </w:tr>
      <w:tr w14:paraId="0372D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94" w:type="dxa"/>
            <w:vAlign w:val="center"/>
          </w:tcPr>
          <w:p w14:paraId="4C189CEF">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3</w:t>
            </w:r>
          </w:p>
        </w:tc>
        <w:tc>
          <w:tcPr>
            <w:tcW w:w="1095" w:type="dxa"/>
            <w:vAlign w:val="center"/>
          </w:tcPr>
          <w:p w14:paraId="67496B44">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rPr>
            </w:pPr>
            <w:r>
              <w:rPr>
                <w:rFonts w:hint="eastAsia" w:ascii="宋体" w:hAnsi="宋体" w:eastAsia="宋体" w:cs="宋体"/>
                <w:b/>
                <w:bCs/>
                <w:color w:val="auto"/>
                <w:sz w:val="21"/>
                <w:szCs w:val="21"/>
              </w:rPr>
              <w:t>船舶安全综合实训平台</w:t>
            </w:r>
          </w:p>
        </w:tc>
        <w:tc>
          <w:tcPr>
            <w:tcW w:w="6261" w:type="dxa"/>
          </w:tcPr>
          <w:p w14:paraId="31D9D414">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一、整体描述</w:t>
            </w:r>
          </w:p>
          <w:p w14:paraId="305A581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船舶安全综合实训平台所有设备定位于采用模块化、集散化、工业化的设计模式，每个模块都为独立工作单元；模块均接近实际应用系统，能够组建具有船联网行业特色的实验项目，确保学生可利用设备搭建真实的船舶网络项目；船舶安全综合实训平台与实际应用紧密结合；支持远程终端控制，平台可搭建出实际的云原生的边缘计算系统、船舶设备预测性维护系统、船舶设备远程运维管理系统、船舶能源管理系统等具有行业特色的船舶网络项目。</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提供满足以上功能的承诺书</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val="en-US" w:eastAsia="zh-CN"/>
              </w:rPr>
              <w:t>。】</w:t>
            </w:r>
          </w:p>
          <w:p w14:paraId="48EC973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p>
          <w:p w14:paraId="7E21A77B">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二、云原生的边缘计算系统</w:t>
            </w:r>
          </w:p>
          <w:p w14:paraId="36DAD3B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1.采用便捷开放的架构，可适应多种案场环境的数据采集和转发工作。</w:t>
            </w:r>
          </w:p>
          <w:p w14:paraId="2EE59A5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default" w:ascii="宋体" w:hAnsi="宋体" w:eastAsia="宋体" w:cs="宋体"/>
                <w:sz w:val="21"/>
                <w:szCs w:val="21"/>
                <w:lang w:val="en-US" w:eastAsia="zh-CN"/>
              </w:rPr>
              <w:t>.采集数据种类丰富，可以管理设备，采集不同类型设备的数据，除设备外也支持采集CRM，MES，ERP系统的数据，支持丰富的数据库，同样也能通过消息中间件采集其他网关或采集其他平台或服务的数据。</w:t>
            </w:r>
          </w:p>
          <w:p w14:paraId="555917F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default" w:ascii="宋体" w:hAnsi="宋体" w:eastAsia="宋体" w:cs="宋体"/>
                <w:sz w:val="21"/>
                <w:szCs w:val="21"/>
                <w:lang w:val="en-US" w:eastAsia="zh-CN"/>
              </w:rPr>
              <w:t>.数据处理实时有效，数据采集到边缘计算模块后，经过边缘计算模块的实时流数据处理进行去重、降噪、聚合、过滤等清洗过滤动作后，再转发出去。</w:t>
            </w:r>
          </w:p>
          <w:p w14:paraId="4531AC32">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default" w:ascii="宋体" w:hAnsi="宋体" w:eastAsia="宋体" w:cs="宋体"/>
                <w:sz w:val="21"/>
                <w:szCs w:val="21"/>
                <w:lang w:val="en-US" w:eastAsia="zh-CN"/>
              </w:rPr>
              <w:t>.数据转发处理多样，边缘计算模块处理过的数据可以转发多种对象，边缘模块和通信模块可以协同运行，采集数据可转发给通信模块，由通信模块再做进一步的处理；</w:t>
            </w:r>
          </w:p>
          <w:p w14:paraId="56549B8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default" w:ascii="宋体" w:hAnsi="宋体" w:eastAsia="宋体" w:cs="宋体"/>
                <w:sz w:val="21"/>
                <w:szCs w:val="21"/>
                <w:lang w:val="en-US" w:eastAsia="zh-CN"/>
              </w:rPr>
              <w:t>.具有神经网络迁移学习可视化平台，</w:t>
            </w:r>
            <w:r>
              <w:rPr>
                <w:rFonts w:hint="eastAsia" w:ascii="宋体" w:hAnsi="宋体" w:eastAsia="宋体" w:cs="宋体"/>
                <w:sz w:val="21"/>
                <w:szCs w:val="21"/>
                <w:lang w:val="en-US" w:eastAsia="zh-CN"/>
              </w:rPr>
              <w:t>能</w:t>
            </w:r>
            <w:r>
              <w:rPr>
                <w:rFonts w:hint="default" w:ascii="宋体" w:hAnsi="宋体" w:eastAsia="宋体" w:cs="宋体"/>
                <w:sz w:val="21"/>
                <w:szCs w:val="21"/>
                <w:lang w:val="en-US" w:eastAsia="zh-CN"/>
              </w:rPr>
              <w:t>可视化多分类神经网络、迁移学习与神经网络结构</w:t>
            </w:r>
            <w:r>
              <w:rPr>
                <w:rFonts w:hint="eastAsia" w:ascii="宋体" w:hAnsi="宋体" w:eastAsia="宋体" w:cs="宋体"/>
                <w:sz w:val="21"/>
                <w:szCs w:val="21"/>
                <w:lang w:val="en-US" w:eastAsia="zh-CN"/>
              </w:rPr>
              <w:t>,实现数据分类</w:t>
            </w:r>
            <w:r>
              <w:rPr>
                <w:rFonts w:hint="default" w:ascii="宋体" w:hAnsi="宋体" w:eastAsia="宋体" w:cs="宋体"/>
                <w:sz w:val="21"/>
                <w:szCs w:val="21"/>
                <w:lang w:val="en-US" w:eastAsia="zh-CN"/>
              </w:rPr>
              <w:t>；</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p w14:paraId="14AD0E5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r>
              <w:rPr>
                <w:rFonts w:hint="default" w:ascii="宋体" w:hAnsi="宋体" w:eastAsia="宋体" w:cs="宋体"/>
                <w:sz w:val="21"/>
                <w:szCs w:val="21"/>
                <w:lang w:val="en-US" w:eastAsia="zh-CN"/>
              </w:rPr>
              <w:t>.边缘计算模块支持SimpleJSON，可以与可视化服务无缝对接，通过在可视化服务中导入边缘模块的数据源，即可客制化各种面板；可视化服务中导入边缘计算模块数据展示案例；边缘模块可以将数据转发给iFactory，Datahub，kafka或第三方云平台等；边缘模块数据也可以转发到数据库中。</w:t>
            </w:r>
          </w:p>
          <w:p w14:paraId="6BD8A491">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p>
          <w:p w14:paraId="408FC58E">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三、船舶设备预测性维护系统</w:t>
            </w:r>
          </w:p>
          <w:p w14:paraId="09CD57EA">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1.针对发动机振动、船桨转速测速、冷却系统、发电机的电流电压、压缩空气机和管道的压力部署相应的震动传感器，转速传感器，温度传感器、电压电流传感器、电流传感器，压力传感器。</w:t>
            </w:r>
          </w:p>
          <w:p w14:paraId="7F5140C2">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b/>
                <w:bCs/>
                <w:sz w:val="21"/>
                <w:szCs w:val="21"/>
                <w:u w:val="single"/>
                <w:lang w:val="en-US" w:eastAsia="zh-CN"/>
              </w:rPr>
            </w:pPr>
            <w:r>
              <w:rPr>
                <w:rFonts w:hint="default" w:ascii="宋体" w:hAnsi="宋体" w:eastAsia="宋体" w:cs="宋体"/>
                <w:sz w:val="21"/>
                <w:szCs w:val="21"/>
                <w:lang w:val="en-US" w:eastAsia="zh-CN"/>
              </w:rPr>
              <w:t>▲2.建立相应的数据可视化平台，可以对设备运行状态进行实时监控，设备异常可以提供及时报警，并且可以统计设备报警信息，分析设备异常状态，为设备维修、维护提供数据支持，另外还可以对设备产出、设备效率进行分析，提升船舶设备运维的智能化水平，更提高了船舶设备运行的可靠性和安全性。</w:t>
            </w:r>
            <w:r>
              <w:rPr>
                <w:rFonts w:hint="eastAsia" w:ascii="宋体" w:hAnsi="宋体" w:eastAsia="宋体" w:cs="宋体"/>
                <w:b/>
                <w:bCs/>
                <w:sz w:val="21"/>
                <w:szCs w:val="21"/>
                <w:u w:val="single"/>
                <w:lang w:val="en-US" w:eastAsia="zh-CN"/>
              </w:rPr>
              <w:t>【提供以上平台功能界面截图证明</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val="en-US" w:eastAsia="zh-CN"/>
              </w:rPr>
              <w:t>。】</w:t>
            </w:r>
          </w:p>
          <w:p w14:paraId="730DBD6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3.支持基于矩形框和关键点的多形式目标定位，能够实现船舶复杂设备结构中的层级化、部件级精准定位，并以标准化JSON 格式输出检测结果，便于系统集成。</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p w14:paraId="36C623A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4.配套船舶数据采集通信虚拟仿真软件，用计算机软件的方式来实现硬件设备的功能，在软件平台上可完成器件认知、硬件工程接线、通信协议配置、应用软件开发等实训。</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p w14:paraId="2398673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p>
          <w:p w14:paraId="5BC93C48">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四、船舶设备远程运维管理系统</w:t>
            </w:r>
          </w:p>
          <w:p w14:paraId="7A24CBC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1.船舶设备云智联运维核心功能为利用各种模板，快速生成客户的解决方案，需包含设备模板和可视化模板。</w:t>
            </w:r>
          </w:p>
          <w:p w14:paraId="6C5095A4">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2.需具有船舶位置和导航、动力系统等设备数据标识采集点，每一类设备模板内，需具有数据采集点的定义，同时可以依需求定制一个或多个设备模板。</w:t>
            </w:r>
          </w:p>
          <w:p w14:paraId="7751DF4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3.可以使用VPN功能对网关上的设备进行远程运维管理，具有船舶设备报警服务、船舶设备工单处理配置、船舶设备报警群组通知功能；</w:t>
            </w:r>
          </w:p>
          <w:p w14:paraId="1AA3B35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b/>
                <w:bCs/>
                <w:sz w:val="21"/>
                <w:szCs w:val="21"/>
                <w:u w:val="single"/>
                <w:lang w:val="en-US" w:eastAsia="zh-CN"/>
              </w:rPr>
            </w:pPr>
            <w:r>
              <w:rPr>
                <w:rFonts w:hint="default" w:ascii="宋体" w:hAnsi="宋体" w:eastAsia="宋体" w:cs="宋体"/>
                <w:sz w:val="21"/>
                <w:szCs w:val="21"/>
                <w:lang w:val="en-US" w:eastAsia="zh-CN"/>
              </w:rPr>
              <w:t>▲4.通过报表的配置，可以周期性对船舶各个设备状态数据自动产生报表文件；智联看板框架，完成船舶设备接入、设备绑定、报警配置等所需基本配置后，打开该页面就能从各种角度对系统进行管理；</w:t>
            </w:r>
            <w:r>
              <w:rPr>
                <w:rFonts w:hint="eastAsia" w:ascii="宋体" w:hAnsi="宋体" w:eastAsia="宋体" w:cs="宋体"/>
                <w:b/>
                <w:bCs/>
                <w:sz w:val="21"/>
                <w:szCs w:val="21"/>
                <w:u w:val="single"/>
                <w:lang w:val="en-US" w:eastAsia="zh-CN"/>
              </w:rPr>
              <w:t>【提供以上平台功能界面截图证明</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val="en-US" w:eastAsia="zh-CN"/>
              </w:rPr>
              <w:t>。】</w:t>
            </w:r>
          </w:p>
          <w:p w14:paraId="343F074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5.具有运营驾驶舱、船舶各个设备总览、船舶上的设备状态监控、船舶上的视频监控、船舶设备状态历史曲线、船舶设备远程运维报表分析、船舶设备远程运维工单管理、船舶设备实时报警、历史报警、船舶设备台账等功能。</w:t>
            </w:r>
            <w:r>
              <w:rPr>
                <w:rFonts w:hint="eastAsia" w:ascii="宋体" w:hAnsi="宋体" w:eastAsia="宋体" w:cs="宋体"/>
                <w:b/>
                <w:bCs/>
                <w:sz w:val="21"/>
                <w:szCs w:val="21"/>
                <w:u w:val="single"/>
                <w:lang w:val="en-US" w:eastAsia="zh-CN"/>
              </w:rPr>
              <w:t>【提供以上平台功能界面截图证明</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val="en-US" w:eastAsia="zh-CN"/>
              </w:rPr>
              <w:t>。】</w:t>
            </w:r>
          </w:p>
          <w:p w14:paraId="73399B8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b/>
                <w:bCs/>
                <w:sz w:val="21"/>
                <w:szCs w:val="21"/>
                <w:u w:val="single"/>
                <w:lang w:val="en-US" w:eastAsia="zh-CN"/>
              </w:rPr>
            </w:pPr>
            <w:r>
              <w:rPr>
                <w:rFonts w:hint="eastAsia" w:ascii="宋体" w:hAnsi="宋体" w:eastAsia="宋体" w:cs="宋体"/>
                <w:sz w:val="21"/>
                <w:szCs w:val="21"/>
                <w:lang w:val="en-US" w:eastAsia="zh-CN"/>
              </w:rPr>
              <w:t>6</w:t>
            </w:r>
            <w:r>
              <w:rPr>
                <w:rFonts w:hint="default" w:ascii="宋体" w:hAnsi="宋体" w:eastAsia="宋体" w:cs="宋体"/>
                <w:sz w:val="21"/>
                <w:szCs w:val="21"/>
                <w:lang w:val="en-US" w:eastAsia="zh-CN"/>
              </w:rPr>
              <w:t>.具有图像分类和图像分割模型，使用深度学习模型，对图像进行分类，实现对图像中物体的实例分割、GAN网络图像生成，部署的模型需实现ONNX转化部署轻量模型运行在终端</w:t>
            </w:r>
            <w:r>
              <w:rPr>
                <w:rFonts w:hint="eastAsia" w:ascii="宋体" w:hAnsi="宋体" w:eastAsia="宋体" w:cs="宋体"/>
                <w:sz w:val="21"/>
                <w:szCs w:val="21"/>
                <w:lang w:val="en-US" w:eastAsia="zh-CN"/>
              </w:rPr>
              <w:t>。</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p w14:paraId="0C0EE0C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p>
          <w:p w14:paraId="4CE9CCA2">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五、船舶能源管理系统</w:t>
            </w:r>
          </w:p>
          <w:p w14:paraId="4BABAA0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1.船舶能源管理平台将平台的功能与船舶传感器技术相结合，能够实时监测和控制船舶能源的使用和浪费，从而优化船舶能源管理，提高能源利用效率，减少船舶能源消耗和排放。</w:t>
            </w:r>
          </w:p>
          <w:p w14:paraId="2961DB6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2.平台具有实时监测功能，通过安装在船舶上的传感器，能够实时监测船舶能源使用情况，包括燃油、电力、水等能源的消耗情况，以及船舶的运行状态。</w:t>
            </w:r>
          </w:p>
          <w:p w14:paraId="3F858F9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b/>
                <w:bCs/>
                <w:sz w:val="21"/>
                <w:szCs w:val="21"/>
                <w:u w:val="single"/>
                <w:lang w:val="en-US" w:eastAsia="zh-CN"/>
              </w:rPr>
            </w:pPr>
            <w:r>
              <w:rPr>
                <w:rFonts w:hint="default" w:ascii="宋体" w:hAnsi="宋体" w:eastAsia="宋体" w:cs="宋体"/>
                <w:sz w:val="21"/>
                <w:szCs w:val="21"/>
                <w:lang w:val="en-US" w:eastAsia="zh-CN"/>
              </w:rPr>
              <w:t>▲3.具有数据分析功能，通过对实时监测数据的分析，能够对船舶能源使用进行预测和优化，提高能源利用效率，降低船舶能源消耗和排放。</w:t>
            </w:r>
            <w:r>
              <w:rPr>
                <w:rFonts w:hint="eastAsia" w:ascii="宋体" w:hAnsi="宋体" w:eastAsia="宋体" w:cs="宋体"/>
                <w:b/>
                <w:bCs/>
                <w:sz w:val="21"/>
                <w:szCs w:val="21"/>
                <w:u w:val="single"/>
                <w:lang w:val="en-US" w:eastAsia="zh-CN"/>
              </w:rPr>
              <w:t>【提供以上平台功能界面截图证明</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val="en-US" w:eastAsia="zh-CN"/>
              </w:rPr>
              <w:t>。】</w:t>
            </w:r>
          </w:p>
          <w:p w14:paraId="22C81C5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4.通过控制船舶上的能源设备和系统，实现能源消耗的控制和优化，可控制燃油供应、调节发电机负载等。</w:t>
            </w:r>
          </w:p>
          <w:p w14:paraId="46D27CE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5.通过生成能源报告，帮助船舶管理人员了解船舶能源使用情况，及时发现问题并采取相应措施。</w:t>
            </w:r>
          </w:p>
          <w:p w14:paraId="0F4ADC4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6.支持远程控制船舶能源设备和系统，可以通过互联网进行远程监控和控制，提高船舶能源管理的效率和便捷性。</w:t>
            </w:r>
          </w:p>
          <w:p w14:paraId="316E98F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7.够帮助船舶管理人员实现对船舶能源的全面监测和控制，优化船舶能源使用，提高船舶的能源利用效率，同时减少船舶能源消耗和排放。</w:t>
            </w:r>
          </w:p>
          <w:p w14:paraId="53B3FDD7">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硬件参数</w:t>
            </w:r>
          </w:p>
          <w:p w14:paraId="6F58886A">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（1）边缘网关</w:t>
            </w:r>
            <w:r>
              <w:rPr>
                <w:rFonts w:hint="default" w:ascii="宋体" w:hAnsi="宋体" w:eastAsia="宋体" w:cs="宋体"/>
                <w:sz w:val="21"/>
                <w:szCs w:val="21"/>
                <w:lang w:val="en-US" w:eastAsia="zh-CN"/>
              </w:rPr>
              <w:t>模块</w:t>
            </w:r>
          </w:p>
          <w:p w14:paraId="693DEA7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通道参数:</w:t>
            </w:r>
            <w:r>
              <w:rPr>
                <w:rFonts w:hint="eastAsia" w:ascii="宋体" w:hAnsi="宋体" w:eastAsia="宋体" w:cs="宋体"/>
                <w:sz w:val="21"/>
                <w:szCs w:val="21"/>
                <w:lang w:val="en-US" w:eastAsia="zh-CN"/>
              </w:rPr>
              <w:t xml:space="preserve"> </w:t>
            </w:r>
            <w:r>
              <w:rPr>
                <w:rFonts w:hint="default" w:ascii="宋体" w:hAnsi="宋体" w:eastAsia="宋体" w:cs="宋体"/>
                <w:sz w:val="21"/>
                <w:szCs w:val="21"/>
                <w:lang w:val="en-US" w:eastAsia="zh-CN"/>
              </w:rPr>
              <w:t>路</w:t>
            </w:r>
            <w:r>
              <w:rPr>
                <w:rFonts w:hint="eastAsia" w:ascii="宋体" w:hAnsi="宋体" w:eastAsia="宋体" w:cs="宋体"/>
                <w:sz w:val="21"/>
                <w:szCs w:val="21"/>
                <w:lang w:val="en-US" w:eastAsia="zh-CN"/>
              </w:rPr>
              <w:t xml:space="preserve"> </w:t>
            </w:r>
            <w:r>
              <w:rPr>
                <w:rFonts w:hint="default" w:ascii="宋体" w:hAnsi="宋体" w:eastAsia="宋体" w:cs="宋体"/>
                <w:sz w:val="21"/>
                <w:szCs w:val="21"/>
                <w:lang w:val="en-US" w:eastAsia="zh-CN"/>
              </w:rPr>
              <w:t>RS422/485</w:t>
            </w:r>
          </w:p>
          <w:p w14:paraId="080E7FC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接口形式: 压接式接线端子</w:t>
            </w:r>
          </w:p>
          <w:p w14:paraId="3A19205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串口参数</w:t>
            </w:r>
          </w:p>
          <w:p w14:paraId="6CB201B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波特率: 1200-115200bps</w:t>
            </w:r>
          </w:p>
          <w:p w14:paraId="2A6C23C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工作方式: TCP  Server/TCP  Client/UDP</w:t>
            </w:r>
          </w:p>
          <w:p w14:paraId="7C986E3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支持位数: 7、8位</w:t>
            </w:r>
          </w:p>
          <w:p w14:paraId="2200D2F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停止位: 1位和2位</w:t>
            </w:r>
          </w:p>
          <w:p w14:paraId="07CBCCE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校验方式: 奇校验、偶校验、无校验</w:t>
            </w:r>
          </w:p>
          <w:p w14:paraId="228C92A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default" w:ascii="宋体" w:hAnsi="宋体" w:eastAsia="宋体" w:cs="宋体"/>
                <w:sz w:val="21"/>
                <w:szCs w:val="21"/>
                <w:lang w:val="en-US" w:eastAsia="zh-CN"/>
              </w:rPr>
              <w:t>边缘计算</w:t>
            </w:r>
            <w:r>
              <w:rPr>
                <w:rFonts w:hint="eastAsia" w:ascii="宋体" w:hAnsi="宋体" w:eastAsia="宋体" w:cs="宋体"/>
                <w:sz w:val="21"/>
                <w:szCs w:val="21"/>
                <w:lang w:val="en-US" w:eastAsia="zh-CN"/>
              </w:rPr>
              <w:t>模块</w:t>
            </w:r>
          </w:p>
          <w:p w14:paraId="060C74A4">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u w:val="single"/>
                <w:lang w:val="en-US" w:eastAsia="zh-CN"/>
              </w:rPr>
            </w:pPr>
            <w:r>
              <w:rPr>
                <w:rFonts w:hint="default" w:ascii="宋体" w:hAnsi="宋体" w:eastAsia="宋体" w:cs="宋体"/>
                <w:sz w:val="21"/>
                <w:szCs w:val="21"/>
                <w:lang w:val="en-US" w:eastAsia="zh-CN"/>
              </w:rPr>
              <w:t>▲核心算力配置双核处理器，主频≥2.4GHz，具备高效算力调度能力，满足AI用户画像聚类、销量时序预测等算法的本地轻量化运算需求，支持多任务并发。</w:t>
            </w:r>
            <w:r>
              <w:rPr>
                <w:rFonts w:hint="eastAsia" w:ascii="宋体" w:hAnsi="宋体" w:eastAsia="宋体" w:cs="宋体"/>
                <w:b/>
                <w:bCs/>
                <w:sz w:val="21"/>
                <w:szCs w:val="21"/>
                <w:u w:val="single"/>
                <w:lang w:val="en-US" w:eastAsia="zh-CN"/>
              </w:rPr>
              <w:t>【提供承诺书</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val="en-US" w:eastAsia="zh-CN"/>
              </w:rPr>
              <w:t>。】</w:t>
            </w:r>
          </w:p>
          <w:p w14:paraId="0B79A96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配置≥2GB 运行内存，支持内存扩展槽位设计，可根据实训场景升级扩容，保障AI数据缓存池高效运行，避免多维度运营数据处理、可视化图表生成时的卡顿。</w:t>
            </w:r>
          </w:p>
          <w:p w14:paraId="0C9F501A">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内置≥16GB 高速存储模块，支持 SATA 接口或 M.2 插槽扩展，最大可拓展至512GB以上存储容量，快速加载智能运营软件及商品数据集，存储学生实训项目文件、AI生成的营销方案、文案素材，满足高频读写需求。</w:t>
            </w:r>
          </w:p>
          <w:p w14:paraId="56DF488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b/>
                <w:bCs/>
                <w:sz w:val="21"/>
                <w:szCs w:val="21"/>
                <w:u w:val="single"/>
                <w:lang w:val="en-US" w:eastAsia="zh-CN"/>
              </w:rPr>
            </w:pPr>
            <w:r>
              <w:rPr>
                <w:rFonts w:hint="default" w:ascii="宋体" w:hAnsi="宋体" w:eastAsia="宋体" w:cs="宋体"/>
                <w:sz w:val="21"/>
                <w:szCs w:val="21"/>
                <w:lang w:val="en-US" w:eastAsia="zh-CN"/>
              </w:rPr>
              <w:t>▲接口数量：3个USB</w:t>
            </w:r>
            <w:r>
              <w:rPr>
                <w:rFonts w:hint="eastAsia" w:ascii="宋体" w:hAnsi="宋体" w:eastAsia="宋体" w:cs="宋体"/>
                <w:sz w:val="21"/>
                <w:szCs w:val="21"/>
                <w:lang w:val="en-US" w:eastAsia="zh-CN"/>
              </w:rPr>
              <w:t>不低于</w:t>
            </w:r>
            <w:r>
              <w:rPr>
                <w:rFonts w:hint="default" w:ascii="宋体" w:hAnsi="宋体" w:eastAsia="宋体" w:cs="宋体"/>
                <w:sz w:val="21"/>
                <w:szCs w:val="21"/>
                <w:lang w:val="en-US" w:eastAsia="zh-CN"/>
              </w:rPr>
              <w:t>2.0接口，1个10/100Mbps以太网接口，1个显示接口，1个耳机插孔，1个麦克风插孔，1个电源接口。</w:t>
            </w:r>
            <w:r>
              <w:rPr>
                <w:rFonts w:hint="eastAsia" w:ascii="宋体" w:hAnsi="宋体" w:eastAsia="宋体" w:cs="宋体"/>
                <w:b/>
                <w:bCs/>
                <w:sz w:val="21"/>
                <w:szCs w:val="21"/>
                <w:u w:val="single"/>
                <w:lang w:val="en-US" w:eastAsia="zh-CN"/>
              </w:rPr>
              <w:t>【提供接口图片</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u w:val="single"/>
                <w:lang w:val="en-US" w:eastAsia="zh-CN"/>
              </w:rPr>
              <w:t>。】</w:t>
            </w:r>
          </w:p>
          <w:p w14:paraId="4F6CDF2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支持32位真彩色,1920*1080高分辨率；24寸液晶屏；色彩还原度高，画面清晰细腻，适配数据可视化图表、大屏展示等实训场景的视觉需求。</w:t>
            </w:r>
          </w:p>
          <w:p w14:paraId="7FA0507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支持主流云桌面客户端，兼容Python、Tableau、SPSS、Excel等软件。</w:t>
            </w:r>
          </w:p>
          <w:p w14:paraId="185C44A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支持本地与云端数据双向同步，单文件传输速度≥10MB/s。</w:t>
            </w:r>
          </w:p>
          <w:p w14:paraId="1861720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支持USB接口透传功能，外接鼠标、键盘、移动硬盘等设备即插即用；配备HDMI视频接口，支持同时连接实训工位显示器与智慧黑板，实现双屏展示。</w:t>
            </w:r>
          </w:p>
          <w:p w14:paraId="6CA1DD0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支持有线千兆以太网与无线网络双模式连接，局域网内数据传输丢包率≤0.1%；支持 WOL网络唤醒，教师端可远程启动所有学生端终端，提升实训准备效率。</w:t>
            </w:r>
          </w:p>
          <w:p w14:paraId="2E3F597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（3）发动机振动传感器模块</w:t>
            </w:r>
          </w:p>
          <w:p w14:paraId="049803D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电流：8mA</w:t>
            </w:r>
          </w:p>
          <w:p w14:paraId="403A646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波特率：4800-230400bps可调</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默认9600bps</w:t>
            </w:r>
            <w:r>
              <w:rPr>
                <w:rFonts w:hint="eastAsia" w:ascii="宋体" w:hAnsi="宋体" w:eastAsia="宋体" w:cs="宋体"/>
                <w:sz w:val="21"/>
                <w:szCs w:val="21"/>
                <w:lang w:val="en-US" w:eastAsia="zh-CN"/>
              </w:rPr>
              <w:t>）</w:t>
            </w:r>
          </w:p>
          <w:p w14:paraId="53F79361">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输出数据：三轴振动</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速度+加速度+位移+频率</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,芯片温度,片上时间</w:t>
            </w:r>
          </w:p>
          <w:p w14:paraId="21E5E78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量程：振动速度:0~600mm/s，振动位移:0~60000um,振动频率:5-2000Hz</w:t>
            </w:r>
          </w:p>
          <w:p w14:paraId="145C723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精度：&lt;F.S+4%</w:t>
            </w:r>
          </w:p>
          <w:p w14:paraId="79FBCC4A">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采样速率：16KHz</w:t>
            </w:r>
          </w:p>
          <w:p w14:paraId="58E01EAA">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（4）船桨转速测速模块</w:t>
            </w:r>
          </w:p>
          <w:p w14:paraId="6666FBE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输出信号  高电平近似于电源电压;低电平&lt;0.3V,稳定方波</w:t>
            </w:r>
          </w:p>
          <w:p w14:paraId="75EA7D9A">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响应频率  0.1HZ至500HZ</w:t>
            </w:r>
          </w:p>
          <w:p w14:paraId="668A2804">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分辨膜数  &gt;0.5</w:t>
            </w:r>
          </w:p>
          <w:p w14:paraId="5039FA9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使用湿度  &lt;95%RH</w:t>
            </w:r>
          </w:p>
          <w:p w14:paraId="2AA3AAC2">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输出电流  &lt;30mA</w:t>
            </w:r>
          </w:p>
          <w:p w14:paraId="5A68DCD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保护形式  有线性和短路保护</w:t>
            </w:r>
          </w:p>
          <w:p w14:paraId="382FF97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触发形式  反光条</w:t>
            </w:r>
          </w:p>
          <w:p w14:paraId="4A7B664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绝缘电阻  &gt;50M</w:t>
            </w:r>
          </w:p>
          <w:p w14:paraId="0A51BE8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应用距离  30mm~300mm  </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最佳距离</w:t>
            </w:r>
            <w:r>
              <w:rPr>
                <w:rFonts w:hint="eastAsia" w:ascii="宋体" w:hAnsi="宋体" w:eastAsia="宋体" w:cs="宋体"/>
                <w:sz w:val="21"/>
                <w:szCs w:val="21"/>
                <w:lang w:val="en-US" w:eastAsia="zh-CN"/>
              </w:rPr>
              <w:t>）</w:t>
            </w:r>
          </w:p>
          <w:p w14:paraId="346039A4">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（5）冷却系统模块</w:t>
            </w:r>
          </w:p>
          <w:p w14:paraId="58C86FB4">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电压：DC 12V</w:t>
            </w:r>
          </w:p>
          <w:p w14:paraId="65EC448B">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功耗：60W</w:t>
            </w:r>
          </w:p>
          <w:p w14:paraId="42C02B7F">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类型：半导体制冷板</w:t>
            </w:r>
          </w:p>
          <w:p w14:paraId="4C5491C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（6）冷却系统温度传感器模块</w:t>
            </w:r>
          </w:p>
          <w:p w14:paraId="18A7209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量程：A级，-50~400℃；</w:t>
            </w:r>
          </w:p>
          <w:p w14:paraId="0935240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测量精度：A级，±</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0.15+0.002|T|</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 T为实测温度；</w:t>
            </w:r>
          </w:p>
          <w:p w14:paraId="3EEFBB9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稳定性：R0漂移&lt;0.04%</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500℃,1000小时后</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w:t>
            </w:r>
          </w:p>
          <w:p w14:paraId="5D49014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绝缘电阻：&gt;100MΩ,20℃时, &gt;2MΩ,500℃时；</w:t>
            </w:r>
          </w:p>
          <w:p w14:paraId="7606F4C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响应时间：50ms；</w:t>
            </w:r>
          </w:p>
          <w:p w14:paraId="79CF444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输出信号：1-5V电压或RS485。</w:t>
            </w:r>
          </w:p>
          <w:p w14:paraId="61602EAA">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（7）管道温度传感器模块</w:t>
            </w:r>
          </w:p>
          <w:p w14:paraId="483CD48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支持Modbus  RTU协议读写寄存器</w:t>
            </w:r>
          </w:p>
          <w:p w14:paraId="7C78581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支持串口波特率1200bps~115200bps</w:t>
            </w:r>
          </w:p>
          <w:p w14:paraId="5846F1D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支持NTC或DS18B20温度传感器</w:t>
            </w:r>
          </w:p>
          <w:p w14:paraId="0A6E6A0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温度传感器防尘防水</w:t>
            </w:r>
          </w:p>
          <w:p w14:paraId="51FF999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温度传感器温度范围为-40~125℃</w:t>
            </w:r>
          </w:p>
          <w:p w14:paraId="3075106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（8）电机电压传感器模块</w:t>
            </w:r>
          </w:p>
          <w:p w14:paraId="3B62046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精度等级  0.5级</w:t>
            </w:r>
          </w:p>
          <w:p w14:paraId="74E3E5F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辅助电源  24Vdc</w:t>
            </w:r>
          </w:p>
          <w:p w14:paraId="47D4AD0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输入量程  0-1000V</w:t>
            </w:r>
          </w:p>
          <w:p w14:paraId="16BF8FEE">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输出信号  4~20mA</w:t>
            </w:r>
          </w:p>
          <w:p w14:paraId="43A3FD5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负载能力  550Q</w:t>
            </w:r>
          </w:p>
          <w:p w14:paraId="69BECA9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隔离耐压  DC  2500V</w:t>
            </w:r>
          </w:p>
          <w:p w14:paraId="03E5779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响应时间  ≤250ms</w:t>
            </w:r>
          </w:p>
          <w:p w14:paraId="3577B15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温漂洗漱  ≤100ppm/℃</w:t>
            </w:r>
          </w:p>
          <w:p w14:paraId="75721080">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（9）电机电流传感器模块</w:t>
            </w:r>
          </w:p>
          <w:p w14:paraId="31E1A72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辅助电源:  DC24V</w:t>
            </w:r>
          </w:p>
          <w:p w14:paraId="33089F82">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负载能力:  继电器输出:DC30V/2A</w:t>
            </w:r>
          </w:p>
          <w:p w14:paraId="354E43B1">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动作误差:  继电器输出体积小&lt;所设界限值2%;晶体管和光桐输出0.5%</w:t>
            </w:r>
          </w:p>
          <w:p w14:paraId="32EF40B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过载能力:  10倍标称输入</w:t>
            </w:r>
          </w:p>
          <w:p w14:paraId="4F3809B2">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响应时间:  &lt;250MS</w:t>
            </w:r>
          </w:p>
          <w:p w14:paraId="7F1F7CC1">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隔离电压:  3KV/50HZ,  1MIN</w:t>
            </w:r>
          </w:p>
          <w:p w14:paraId="4B40F66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频带宽度:  20~5KHZ特别使用工频信号</w:t>
            </w:r>
          </w:p>
          <w:p w14:paraId="038671D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静态电流:  &lt;10MA</w:t>
            </w:r>
          </w:p>
          <w:p w14:paraId="5CA0957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动态电流:  &lt;40MA</w:t>
            </w:r>
          </w:p>
          <w:p w14:paraId="642F5D7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动作电流:  -10~+70℃</w:t>
            </w:r>
          </w:p>
          <w:p w14:paraId="77AF6CE2">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测量范围：0-5A</w:t>
            </w:r>
          </w:p>
          <w:p w14:paraId="5177FCBE">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（10）管道压力传感器模块</w:t>
            </w:r>
          </w:p>
          <w:p w14:paraId="58F051B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量程大小：-100kpa~0~10Mpa；</w:t>
            </w:r>
          </w:p>
          <w:p w14:paraId="3B1204A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压力类型：绝压、表压、真空压；</w:t>
            </w:r>
          </w:p>
          <w:p w14:paraId="51FBBCC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输出信号：4~20mA或0-5V或RS485；</w:t>
            </w:r>
          </w:p>
          <w:p w14:paraId="01B568E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精度等级：0.5级；</w:t>
            </w:r>
          </w:p>
          <w:p w14:paraId="5710B5C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响应时间：8ms；</w:t>
            </w:r>
          </w:p>
          <w:p w14:paraId="7F5940ED">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（11）数据采集控制器模块</w:t>
            </w:r>
          </w:p>
          <w:p w14:paraId="5D7628B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电源：DC 12-24V；</w:t>
            </w:r>
          </w:p>
          <w:p w14:paraId="5C9700EF">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输入：8路采集；AD：24Bit；</w:t>
            </w:r>
          </w:p>
          <w:p w14:paraId="3B16605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通信：RS232 RS485；</w:t>
            </w:r>
          </w:p>
          <w:p w14:paraId="7E33AE3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协议：Modbus；</w:t>
            </w:r>
          </w:p>
          <w:p w14:paraId="5D35E4A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数据采集与控制模块：工业级模块，可以接入组态软件中，模块之间可以相互通信；</w:t>
            </w:r>
          </w:p>
          <w:p w14:paraId="17E74E2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支持USB2.0；便携式；总线供电；8通道模拟输入；14位分辨率AI；采样率达48kS/s；</w:t>
            </w:r>
          </w:p>
          <w:p w14:paraId="209E0B8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8通道DI/8通道DO, 2通道AO,1个32位计数器；模块端子螺丝可拆卸；适于DIN导轨安装。</w:t>
            </w:r>
          </w:p>
          <w:p w14:paraId="1D994FD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（12）模拟量数据采集控制器模块</w:t>
            </w:r>
          </w:p>
          <w:p w14:paraId="78820F1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电源：DC 12-24V；</w:t>
            </w:r>
          </w:p>
          <w:p w14:paraId="0AA29A2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输入：8路采集；AD：24Bit；</w:t>
            </w:r>
          </w:p>
          <w:p w14:paraId="66E8113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通信：RS232 RS485；</w:t>
            </w:r>
          </w:p>
          <w:p w14:paraId="3E1F30E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协议：Modbus；</w:t>
            </w:r>
          </w:p>
          <w:p w14:paraId="5C479375">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（13）燃油/水流量计模块</w:t>
            </w:r>
          </w:p>
          <w:p w14:paraId="4442C0E3">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测量介质:无杂质、低粘度、无强烈腐蚀性液体</w:t>
            </w:r>
          </w:p>
          <w:p w14:paraId="304F69A8">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测量精度:1.0级</w:t>
            </w:r>
          </w:p>
          <w:p w14:paraId="104512B9">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公称压力:1.0MPa;1.6MPa;2.5MPa;4.0MPa;6.3MPa,可定制高压</w:t>
            </w:r>
          </w:p>
          <w:p w14:paraId="14484DA2">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介质温度:-20℃~80℃（高温可定制）</w:t>
            </w:r>
          </w:p>
          <w:p w14:paraId="577F71DD">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介质粘度  小于5x109㎡/s（大于5x109㎡/s的液体要对流量计进行</w:t>
            </w:r>
          </w:p>
          <w:p w14:paraId="774E2227">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实液标定后使用）</w:t>
            </w:r>
          </w:p>
          <w:p w14:paraId="75B7F82D">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供电电源:24VDC;</w:t>
            </w:r>
          </w:p>
          <w:p w14:paraId="4A74F863">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输出信号:4-20mA;</w:t>
            </w:r>
          </w:p>
          <w:p w14:paraId="603C06B1">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（14）电量计模块</w:t>
            </w:r>
          </w:p>
          <w:p w14:paraId="404ADEE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精度：1级  </w:t>
            </w:r>
          </w:p>
          <w:p w14:paraId="6274AE64">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额定电压：220V/50Hz  </w:t>
            </w:r>
          </w:p>
          <w:p w14:paraId="3F3F17C3">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额定电流：5</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80</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A</w:t>
            </w:r>
          </w:p>
          <w:p w14:paraId="0956CA68">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功率：17600W</w:t>
            </w:r>
          </w:p>
          <w:p w14:paraId="3043BFE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LCD显示总有功电能、单相电压、电流、有功功率、功率因数、频率</w:t>
            </w:r>
          </w:p>
          <w:p w14:paraId="6FE41230">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（15）视觉运维模块</w:t>
            </w:r>
          </w:p>
          <w:p w14:paraId="00598EB4">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sensor规格1/2.8 inch IMX335；</w:t>
            </w:r>
          </w:p>
          <w:p w14:paraId="7AFB6BA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像素尺寸Pixel Size 2um*2um；</w:t>
            </w:r>
          </w:p>
          <w:p w14:paraId="50D05355">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帧率: 30帧/秒，高通500万像素；</w:t>
            </w:r>
          </w:p>
          <w:p w14:paraId="26D77F17">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供电方式USB bus power，工作电流约110-190mA；</w:t>
            </w:r>
          </w:p>
          <w:p w14:paraId="3A42D0E9">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动态范围69dB，信噪比39dB；</w:t>
            </w:r>
          </w:p>
          <w:p w14:paraId="70A1DAFD">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输出格式MJPG</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出厂默认格式：MJPEG格式</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 xml:space="preserve"> 支持YUY2 </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YUV</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w:t>
            </w:r>
          </w:p>
          <w:p w14:paraId="29CBF2A1">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手动对焦</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可通过旋转镜头对准清晰度</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w:t>
            </w:r>
          </w:p>
          <w:p w14:paraId="42380B7C">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支持免驱协议，USB接口免驱动 </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USB2.0支持UVC通信协议</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w:t>
            </w:r>
          </w:p>
          <w:p w14:paraId="299E49D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成像距离1.5M、2M、3M、5M 图像处理；</w:t>
            </w:r>
          </w:p>
          <w:p w14:paraId="3CA0E4AA">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自动曝光/自动增益/自动白平衡；</w:t>
            </w:r>
          </w:p>
          <w:p w14:paraId="1F7C5655">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default" w:ascii="宋体" w:hAnsi="宋体" w:eastAsia="宋体" w:cs="宋体"/>
                <w:sz w:val="21"/>
                <w:szCs w:val="21"/>
                <w:lang w:val="en-US" w:eastAsia="zh-CN"/>
              </w:rPr>
              <w:t>图像控制饱和度和对比度控制/亮度控制/对比度控制/伽玛控制/白平衡；</w:t>
            </w:r>
          </w:p>
        </w:tc>
        <w:tc>
          <w:tcPr>
            <w:tcW w:w="703" w:type="dxa"/>
            <w:vAlign w:val="center"/>
          </w:tcPr>
          <w:p w14:paraId="62B6080D">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20</w:t>
            </w:r>
          </w:p>
        </w:tc>
        <w:tc>
          <w:tcPr>
            <w:tcW w:w="720" w:type="dxa"/>
            <w:vAlign w:val="center"/>
          </w:tcPr>
          <w:p w14:paraId="7C5FD4C7">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套</w:t>
            </w:r>
          </w:p>
        </w:tc>
      </w:tr>
      <w:tr w14:paraId="3570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394" w:type="dxa"/>
            <w:vAlign w:val="center"/>
          </w:tcPr>
          <w:p w14:paraId="66FD7EEB">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4</w:t>
            </w:r>
          </w:p>
        </w:tc>
        <w:tc>
          <w:tcPr>
            <w:tcW w:w="1095" w:type="dxa"/>
            <w:vAlign w:val="center"/>
          </w:tcPr>
          <w:p w14:paraId="25FAF99B">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互联接入交换机</w:t>
            </w:r>
          </w:p>
        </w:tc>
        <w:tc>
          <w:tcPr>
            <w:tcW w:w="6261" w:type="dxa"/>
          </w:tcPr>
          <w:p w14:paraId="284668EE">
            <w:pPr>
              <w:keepNext w:val="0"/>
              <w:keepLines w:val="0"/>
              <w:pageBreakBefore w:val="0"/>
              <w:widowControl/>
              <w:shd w:val="clear"/>
              <w:kinsoku/>
              <w:wordWrap/>
              <w:overflowPunct/>
              <w:topLinePunct w:val="0"/>
              <w:autoSpaceDE/>
              <w:autoSpaceDN/>
              <w:bidi w:val="0"/>
              <w:adjustRightInd w:val="0"/>
              <w:snapToGrid w:val="0"/>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1.二层交换机，交换容量≥672Gbps，转发性能≥207Mpps。</w:t>
            </w:r>
          </w:p>
          <w:p w14:paraId="30344017">
            <w:pPr>
              <w:keepNext w:val="0"/>
              <w:keepLines w:val="0"/>
              <w:pageBreakBefore w:val="0"/>
              <w:widowControl/>
              <w:shd w:val="clear"/>
              <w:kinsoku/>
              <w:wordWrap/>
              <w:overflowPunct/>
              <w:topLinePunct w:val="0"/>
              <w:autoSpaceDE/>
              <w:autoSpaceDN/>
              <w:bidi w:val="0"/>
              <w:adjustRightInd w:val="0"/>
              <w:snapToGrid w:val="0"/>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2.固化10/100/1000M以太网端口≥48个，1G/10G SFP+光接口≥4个。</w:t>
            </w:r>
          </w:p>
          <w:p w14:paraId="5F8B6CB9">
            <w:pPr>
              <w:keepNext w:val="0"/>
              <w:keepLines w:val="0"/>
              <w:pageBreakBefore w:val="0"/>
              <w:widowControl/>
              <w:shd w:val="clear"/>
              <w:kinsoku/>
              <w:wordWrap/>
              <w:overflowPunct/>
              <w:topLinePunct w:val="0"/>
              <w:autoSpaceDE/>
              <w:autoSpaceDN/>
              <w:bidi w:val="0"/>
              <w:adjustRightInd w:val="0"/>
              <w:snapToGrid w:val="0"/>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3.支持SNMP、CLI</w:t>
            </w:r>
            <w:r>
              <w:rPr>
                <w:rFonts w:hint="eastAsia" w:ascii="宋体" w:hAnsi="宋体" w:eastAsia="宋体" w:cs="宋体"/>
                <w:sz w:val="21"/>
                <w:szCs w:val="21"/>
                <w:lang w:eastAsia="zh-CN"/>
              </w:rPr>
              <w:t>（</w:t>
            </w:r>
            <w:r>
              <w:rPr>
                <w:rFonts w:hint="eastAsia" w:ascii="宋体" w:hAnsi="宋体" w:eastAsia="宋体" w:cs="宋体"/>
                <w:sz w:val="21"/>
                <w:szCs w:val="21"/>
              </w:rPr>
              <w:t>Telnet/Console</w:t>
            </w:r>
            <w:r>
              <w:rPr>
                <w:rFonts w:hint="eastAsia" w:ascii="宋体" w:hAnsi="宋体" w:eastAsia="宋体" w:cs="宋体"/>
                <w:sz w:val="21"/>
                <w:szCs w:val="21"/>
                <w:lang w:eastAsia="zh-CN"/>
              </w:rPr>
              <w:t>）</w:t>
            </w:r>
            <w:r>
              <w:rPr>
                <w:rFonts w:hint="eastAsia" w:ascii="宋体" w:hAnsi="宋体" w:eastAsia="宋体" w:cs="宋体"/>
                <w:sz w:val="21"/>
                <w:szCs w:val="21"/>
              </w:rPr>
              <w:t>、RMON、SSH、Syslog、NTP/SNTP、FTP、TFTP、Web。</w:t>
            </w:r>
          </w:p>
        </w:tc>
        <w:tc>
          <w:tcPr>
            <w:tcW w:w="703" w:type="dxa"/>
            <w:vAlign w:val="center"/>
          </w:tcPr>
          <w:p w14:paraId="02D6E228">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720" w:type="dxa"/>
            <w:vAlign w:val="center"/>
          </w:tcPr>
          <w:p w14:paraId="08AED00F">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台</w:t>
            </w:r>
          </w:p>
        </w:tc>
      </w:tr>
      <w:tr w14:paraId="5435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394" w:type="dxa"/>
            <w:vAlign w:val="center"/>
          </w:tcPr>
          <w:p w14:paraId="3608A189">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5</w:t>
            </w:r>
          </w:p>
        </w:tc>
        <w:tc>
          <w:tcPr>
            <w:tcW w:w="1095" w:type="dxa"/>
            <w:vAlign w:val="center"/>
          </w:tcPr>
          <w:p w14:paraId="0429CEE1">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bidi="ar"/>
              </w:rPr>
              <w:t>《网络自动化运维技术》</w:t>
            </w:r>
          </w:p>
        </w:tc>
        <w:tc>
          <w:tcPr>
            <w:tcW w:w="6261" w:type="dxa"/>
          </w:tcPr>
          <w:p w14:paraId="1D1022D6">
            <w:pPr>
              <w:keepNext w:val="0"/>
              <w:keepLines w:val="0"/>
              <w:pageBreakBefore w:val="0"/>
              <w:widowControl/>
              <w:shd w:val="clear"/>
              <w:kinsoku/>
              <w:wordWrap/>
              <w:overflowPunct/>
              <w:topLinePunct w:val="0"/>
              <w:autoSpaceDE/>
              <w:autoSpaceDN/>
              <w:bidi w:val="0"/>
              <w:adjustRightInd w:val="0"/>
              <w:snapToGrid w:val="0"/>
              <w:spacing w:line="320" w:lineRule="exact"/>
              <w:ind w:firstLine="420" w:firstLineChars="200"/>
              <w:rPr>
                <w:rFonts w:hint="eastAsia" w:ascii="宋体" w:hAnsi="宋体" w:eastAsia="宋体" w:cs="宋体"/>
                <w:b/>
                <w:bCs/>
                <w:color w:val="000000"/>
                <w:sz w:val="24"/>
                <w:szCs w:val="24"/>
                <w:highlight w:val="none"/>
                <w:u w:val="single"/>
                <w:lang w:eastAsia="zh-CN"/>
              </w:rPr>
            </w:pPr>
            <w:r>
              <w:rPr>
                <w:rFonts w:hint="default" w:ascii="宋体" w:hAnsi="宋体" w:eastAsia="宋体" w:cs="宋体"/>
                <w:sz w:val="21"/>
                <w:szCs w:val="21"/>
                <w:lang w:val="en-US" w:eastAsia="zh-CN"/>
              </w:rPr>
              <w:t>▲</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课程资源</w:t>
            </w:r>
            <w:r>
              <w:rPr>
                <w:rFonts w:hint="eastAsia" w:ascii="宋体" w:hAnsi="宋体" w:eastAsia="宋体" w:cs="宋体"/>
                <w:sz w:val="21"/>
                <w:szCs w:val="21"/>
                <w:highlight w:val="none"/>
                <w:lang w:val="en-US" w:eastAsia="zh-CN"/>
              </w:rPr>
              <w:t>不少于64</w:t>
            </w:r>
            <w:r>
              <w:rPr>
                <w:rFonts w:hint="eastAsia" w:ascii="宋体" w:hAnsi="宋体" w:eastAsia="宋体" w:cs="宋体"/>
                <w:sz w:val="21"/>
                <w:szCs w:val="21"/>
                <w:highlight w:val="none"/>
              </w:rPr>
              <w:t>课时，课程资源需要包含以下章节内容（Python基础、使用Telnetlib下发配置、使用Paramiko实现网络自动化巡检、使用Netmiko发现网络拓扑、使用PySNMP获取网络设备数据、使用NETCONF协议配置网络设备、使用Telemetry实现实时监控、使用RESTCONF协议配置网络设备、使用Ansible实现自动化运维、使用Nornir收集网络日志、使用Zabbix获取网络设备数据、使用Nmap扫描网络等实训项目。</w:t>
            </w:r>
            <w:r>
              <w:rPr>
                <w:rFonts w:hint="eastAsia" w:ascii="宋体" w:hAnsi="宋体" w:eastAsia="宋体" w:cs="宋体"/>
                <w:sz w:val="21"/>
                <w:szCs w:val="21"/>
                <w:highlight w:val="none"/>
                <w:lang w:eastAsia="zh-CN"/>
              </w:rPr>
              <w:t>）</w:t>
            </w:r>
            <w:r>
              <w:rPr>
                <w:rFonts w:hint="eastAsia" w:ascii="宋体" w:hAnsi="宋体" w:eastAsia="宋体" w:cs="宋体"/>
                <w:b/>
                <w:bCs/>
                <w:sz w:val="21"/>
                <w:szCs w:val="21"/>
                <w:highlight w:val="none"/>
                <w:u w:val="single"/>
                <w:lang w:eastAsia="zh-CN"/>
              </w:rPr>
              <w:t>【</w:t>
            </w:r>
            <w:r>
              <w:rPr>
                <w:rFonts w:hint="eastAsia" w:ascii="宋体" w:hAnsi="宋体" w:eastAsia="宋体" w:cs="宋体"/>
                <w:b/>
                <w:bCs/>
                <w:sz w:val="21"/>
                <w:szCs w:val="21"/>
                <w:highlight w:val="none"/>
                <w:u w:val="single"/>
                <w:lang w:val="en-US" w:eastAsia="zh-CN"/>
              </w:rPr>
              <w:t>提供包含以上课程内容程标准文档</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并加盖</w:t>
            </w:r>
            <w:r>
              <w:rPr>
                <w:rFonts w:hint="eastAsia" w:ascii="宋体" w:hAnsi="宋体" w:eastAsia="宋体" w:cs="宋体"/>
                <w:b/>
                <w:bCs/>
                <w:sz w:val="21"/>
                <w:szCs w:val="21"/>
                <w:u w:val="single"/>
                <w:lang w:eastAsia="zh-CN"/>
              </w:rPr>
              <w:t>投标人</w:t>
            </w:r>
            <w:r>
              <w:rPr>
                <w:rFonts w:hint="eastAsia" w:ascii="宋体" w:hAnsi="宋体" w:eastAsia="宋体" w:cs="宋体"/>
                <w:b/>
                <w:bCs/>
                <w:sz w:val="21"/>
                <w:szCs w:val="21"/>
                <w:u w:val="single"/>
              </w:rPr>
              <w:t>公章</w:t>
            </w:r>
            <w:r>
              <w:rPr>
                <w:rFonts w:hint="eastAsia" w:ascii="宋体" w:hAnsi="宋体" w:eastAsia="宋体" w:cs="宋体"/>
                <w:b/>
                <w:bCs/>
                <w:sz w:val="21"/>
                <w:szCs w:val="21"/>
                <w:highlight w:val="none"/>
                <w:u w:val="single"/>
                <w:lang w:val="en-US" w:eastAsia="zh-CN"/>
              </w:rPr>
              <w:t>。</w:t>
            </w:r>
            <w:r>
              <w:rPr>
                <w:rFonts w:hint="eastAsia" w:ascii="宋体" w:hAnsi="宋体" w:eastAsia="宋体" w:cs="宋体"/>
                <w:b/>
                <w:bCs/>
                <w:sz w:val="21"/>
                <w:szCs w:val="21"/>
                <w:highlight w:val="none"/>
                <w:u w:val="single"/>
                <w:lang w:eastAsia="zh-CN"/>
              </w:rPr>
              <w:t>】</w:t>
            </w:r>
          </w:p>
          <w:p w14:paraId="30A32492">
            <w:pPr>
              <w:keepNext w:val="0"/>
              <w:keepLines w:val="0"/>
              <w:pageBreakBefore w:val="0"/>
              <w:widowControl/>
              <w:shd w:val="clear"/>
              <w:kinsoku/>
              <w:wordWrap/>
              <w:overflowPunct/>
              <w:topLinePunct w:val="0"/>
              <w:autoSpaceDE/>
              <w:autoSpaceDN/>
              <w:bidi w:val="0"/>
              <w:adjustRightInd w:val="0"/>
              <w:snapToGrid w:val="0"/>
              <w:spacing w:line="320" w:lineRule="exact"/>
              <w:ind w:firstLine="420" w:firstLineChars="200"/>
              <w:rPr>
                <w:rFonts w:hint="eastAsia" w:ascii="宋体" w:hAnsi="宋体" w:eastAsia="宋体" w:cs="宋体"/>
                <w:sz w:val="21"/>
                <w:szCs w:val="21"/>
              </w:rPr>
            </w:pPr>
            <w:r>
              <w:rPr>
                <w:rFonts w:hint="eastAsia" w:ascii="宋体" w:hAnsi="宋体" w:eastAsia="宋体" w:cs="宋体"/>
                <w:sz w:val="21"/>
                <w:szCs w:val="21"/>
                <w:highlight w:val="none"/>
              </w:rPr>
              <w:t>2.课程相关资源配置1个课程标准、授课理论PDF  12个、实验手册 12个；配套每章节课后习题 10道，课后习题包含单选题、多选题、判断题等。</w:t>
            </w:r>
          </w:p>
        </w:tc>
        <w:tc>
          <w:tcPr>
            <w:tcW w:w="703" w:type="dxa"/>
            <w:vAlign w:val="center"/>
          </w:tcPr>
          <w:p w14:paraId="7DBEB912">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720" w:type="dxa"/>
            <w:vAlign w:val="center"/>
          </w:tcPr>
          <w:p w14:paraId="18CEE50C">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套</w:t>
            </w:r>
          </w:p>
        </w:tc>
      </w:tr>
      <w:tr w14:paraId="3AAE8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394" w:type="dxa"/>
            <w:shd w:val="clear" w:color="auto" w:fill="auto"/>
            <w:vAlign w:val="center"/>
          </w:tcPr>
          <w:p w14:paraId="1242429D">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6</w:t>
            </w:r>
          </w:p>
        </w:tc>
        <w:tc>
          <w:tcPr>
            <w:tcW w:w="1095" w:type="dxa"/>
            <w:shd w:val="clear" w:color="auto" w:fill="auto"/>
            <w:vAlign w:val="center"/>
          </w:tcPr>
          <w:p w14:paraId="75464736">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防火墙</w:t>
            </w:r>
          </w:p>
        </w:tc>
        <w:tc>
          <w:tcPr>
            <w:tcW w:w="6261" w:type="dxa"/>
            <w:shd w:val="clear" w:color="auto" w:fill="auto"/>
            <w:vAlign w:val="top"/>
          </w:tcPr>
          <w:p w14:paraId="553CB0CC">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1.标配固化千兆电口数量≥8个；固化千兆光口数量≥2个；最大整机吞吐≥2Gbps；</w:t>
            </w:r>
          </w:p>
          <w:p w14:paraId="170249C3">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2.最大并发连接≥50万；最大新建连接≥1.2万；</w:t>
            </w:r>
          </w:p>
          <w:p w14:paraId="58589021">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 1U高度，内置电源，配置：专业版属性授权1个；</w:t>
            </w:r>
          </w:p>
          <w:p w14:paraId="605E6C7B">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4.支持自动扫描用户网内资产，自动识别资产端口和协议启用情况，结合用户资产信息生成推荐的安全防护策略；</w:t>
            </w:r>
          </w:p>
          <w:p w14:paraId="57157F5C">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5.支持基于流量学习的方式对网内资产的互访关系进行梳理，可视化展示目标资产的端口的访问关系，包括：访问源IP、命中策略、阻断次数、最近一次阻断时间等信息；</w:t>
            </w:r>
          </w:p>
          <w:p w14:paraId="387132F9">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6.支持策略，配置向导功能，运维人员可通过向导流程完成地址对象创建、策略创建、策略模拟运行、策略执行等必要配置步骤；</w:t>
            </w:r>
          </w:p>
          <w:p w14:paraId="4AE0456D">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7.要求支持显示策略来源、首次创建时间、源安全区域、源地址、目的安全区域、目的地址、服务、应用、首次匹配时间、命中次数统计；</w:t>
            </w:r>
          </w:p>
          <w:p w14:paraId="14AB8E8F">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应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对问题策略支持列表展示，并提供优化建议；</w:t>
            </w:r>
          </w:p>
          <w:p w14:paraId="000D8C59">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9.应支持策略的全生命周期展现，包括策略的变更时间、变更类型、变更账号、变更策略、变更内容等；支持通过颜色区分策略的变更项、删除等；支持策略项变更前后的对比展示；</w:t>
            </w:r>
          </w:p>
          <w:p w14:paraId="564C4D09">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10.设备支持一键开启/关闭威胁情报的功能；支持创建IP地址对象、IP地址对象组，同时支持查看IP地址对象或IP地址对象组被策略引用的情况；</w:t>
            </w:r>
          </w:p>
          <w:p w14:paraId="7A179F5F">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11.支持自定义设置登录端口、登录超时时间、登录错误允许次数、锁定时间；开启、关闭验证码功能，支持恢复默认配置；支持一键收集本机上所有信息，并提供打包下载，用于故障定位；</w:t>
            </w:r>
          </w:p>
          <w:p w14:paraId="19182BC0">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12.基于首页设备图示，实现鼠标移动到相应接口，即可显示接口的加电状态、接口类型、接口IP和上下行速率等；</w:t>
            </w:r>
          </w:p>
          <w:p w14:paraId="1C281579">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13.支持一站式故障排查向导，按照客户端访问目标资源的路径，自动化执行排查动作，定位因防火墙自身故障、网络配置、功能模块、策略模板、流量是否到达等配置面与转发面造成的网络故障问题；</w:t>
            </w:r>
          </w:p>
          <w:p w14:paraId="6103A7B8">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14.支持防火墙故障排查后可一键跳转到对应的功能配置界面进行问题处置；</w:t>
            </w:r>
          </w:p>
          <w:p w14:paraId="667842A9">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15.支持在同一个页面完成常用策略项的配置，包括但不限于源安全区域、源地址、目的安全区域、目的地址、服务、应用、生效时间段、动作设置、内容安全等；</w:t>
            </w:r>
          </w:p>
          <w:p w14:paraId="4F3CD772">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支持自定义安全区域，支持支持自定义应用分组，方便用户基于不用的应用组配置安全策略，支持查看应用和应用组被策略引用的情况；基于安全区域的访问控制策略，同时支持查看安全区域被安全策略的引用情况；提供预定义服务端口、支持配置自定义服务端口，支持服务组，支持查看被策略引用的情况；</w:t>
            </w:r>
          </w:p>
          <w:p w14:paraId="6884F9FF">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支持SYN、UDP、ICMP等洪水型DoS/DDoS攻击防护；支持TearDrop、Smurf、LAND、Winnuke、Fraggle等基于数据包的攻击防护；支持带源路由选项IP报文控制功能、支持带路由选项IP报文控制功能。支持ARP欺骗防御功能，支持自定义设置网关MAC广播间隔时；</w:t>
            </w:r>
          </w:p>
          <w:p w14:paraId="04BF7A66">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18.支持新增、导入、删除、查看、下载SSL代理证书，支持设置一个全局SSL代理证书，支持导入、删除、查看、下载服务器证书；</w:t>
            </w:r>
          </w:p>
          <w:p w14:paraId="32147438">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19.支持对HTTP、TCP、UDP、DNS、TLS等常用协议及应用的攻击检测和防御;支持对欺骗攻击、注入攻击、中间人攻击、跨站请求伪造、跨站脚本攻击、代码执行、释放重利用等多种类别的威胁进行检测和防御；</w:t>
            </w:r>
          </w:p>
          <w:p w14:paraId="1E49025B">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20.支持路由模式、透明模式、旁路模式；</w:t>
            </w:r>
          </w:p>
          <w:p w14:paraId="6F07EA93">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21.支持系统日志、安全日志（攻击防护日志）、操作日志（登录、策略变更等）等不同分类日志的留存，可查询和导出日志；支持根据源地址、目的地址、源端口、目的端口、日志类型、严重性、动作等条件进行日志查询；</w:t>
            </w:r>
          </w:p>
        </w:tc>
        <w:tc>
          <w:tcPr>
            <w:tcW w:w="703" w:type="dxa"/>
            <w:shd w:val="clear" w:color="auto" w:fill="auto"/>
            <w:vAlign w:val="center"/>
          </w:tcPr>
          <w:p w14:paraId="15B7576E">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5</w:t>
            </w:r>
          </w:p>
        </w:tc>
        <w:tc>
          <w:tcPr>
            <w:tcW w:w="720" w:type="dxa"/>
            <w:shd w:val="clear" w:color="auto" w:fill="auto"/>
            <w:vAlign w:val="center"/>
          </w:tcPr>
          <w:p w14:paraId="2602DDA9">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套</w:t>
            </w:r>
          </w:p>
        </w:tc>
      </w:tr>
    </w:tbl>
    <w:p w14:paraId="35116FDB">
      <w:pPr>
        <w:shd w:val="clear"/>
        <w:rPr>
          <w:rFonts w:hint="eastAsia" w:ascii="宋体" w:hAnsi="宋体" w:eastAsia="宋体" w:cs="宋体"/>
          <w:b/>
          <w:bCs/>
          <w:kern w:val="2"/>
          <w:sz w:val="24"/>
          <w:szCs w:val="24"/>
        </w:rPr>
      </w:pPr>
    </w:p>
    <w:p w14:paraId="586954E7">
      <w:pPr>
        <w:keepNext w:val="0"/>
        <w:keepLines w:val="0"/>
        <w:pageBreakBefore w:val="0"/>
        <w:shd w:val="clear"/>
        <w:kinsoku/>
        <w:wordWrap w:val="0"/>
        <w:overflowPunct/>
        <w:topLinePunct w:val="0"/>
        <w:autoSpaceDE/>
        <w:autoSpaceDN/>
        <w:bidi w:val="0"/>
        <w:spacing w:line="360" w:lineRule="auto"/>
        <w:jc w:val="lef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（四）采购标的数量、采购项目交付或者实施的时间和地点</w:t>
      </w:r>
    </w:p>
    <w:p w14:paraId="5BEAF9BC">
      <w:pPr>
        <w:keepNext w:val="0"/>
        <w:keepLines w:val="0"/>
        <w:pageBreakBefore w:val="0"/>
        <w:shd w:val="clear"/>
        <w:kinsoku/>
        <w:wordWrap w:val="0"/>
        <w:overflowPunct/>
        <w:topLinePunct w:val="0"/>
        <w:autoSpaceDE/>
        <w:autoSpaceDN/>
        <w:bidi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1.采购标的的数量：</w:t>
      </w:r>
    </w:p>
    <w:tbl>
      <w:tblPr>
        <w:tblStyle w:val="8"/>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3492"/>
        <w:gridCol w:w="770"/>
        <w:gridCol w:w="906"/>
        <w:gridCol w:w="3219"/>
      </w:tblGrid>
      <w:tr w14:paraId="6936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31" w:type="dxa"/>
            <w:vAlign w:val="center"/>
          </w:tcPr>
          <w:p w14:paraId="607B76A3">
            <w:pPr>
              <w:keepNext w:val="0"/>
              <w:keepLines w:val="0"/>
              <w:pageBreakBefore w:val="0"/>
              <w:widowControl/>
              <w:shd w:val="clear"/>
              <w:kinsoku/>
              <w:overflowPunct/>
              <w:topLinePunct w:val="0"/>
              <w:autoSpaceDE/>
              <w:autoSpaceDN/>
              <w:bidi w:val="0"/>
              <w:adjustRightInd w:val="0"/>
              <w:snapToGrid w:val="0"/>
              <w:spacing w:line="320" w:lineRule="exact"/>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序号</w:t>
            </w:r>
          </w:p>
        </w:tc>
        <w:tc>
          <w:tcPr>
            <w:tcW w:w="3492" w:type="dxa"/>
            <w:vAlign w:val="center"/>
          </w:tcPr>
          <w:p w14:paraId="7B834725">
            <w:pPr>
              <w:keepNext w:val="0"/>
              <w:keepLines w:val="0"/>
              <w:pageBreakBefore w:val="0"/>
              <w:widowControl/>
              <w:shd w:val="clear"/>
              <w:kinsoku/>
              <w:overflowPunct/>
              <w:topLinePunct w:val="0"/>
              <w:autoSpaceDE/>
              <w:autoSpaceDN/>
              <w:bidi w:val="0"/>
              <w:adjustRightInd w:val="0"/>
              <w:snapToGrid w:val="0"/>
              <w:spacing w:line="320" w:lineRule="exact"/>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设备名称</w:t>
            </w:r>
          </w:p>
        </w:tc>
        <w:tc>
          <w:tcPr>
            <w:tcW w:w="770" w:type="dxa"/>
            <w:vAlign w:val="center"/>
          </w:tcPr>
          <w:p w14:paraId="764D40E9">
            <w:pPr>
              <w:keepNext w:val="0"/>
              <w:keepLines w:val="0"/>
              <w:pageBreakBefore w:val="0"/>
              <w:widowControl/>
              <w:shd w:val="clear"/>
              <w:kinsoku/>
              <w:overflowPunct/>
              <w:topLinePunct w:val="0"/>
              <w:autoSpaceDE/>
              <w:autoSpaceDN/>
              <w:bidi w:val="0"/>
              <w:adjustRightInd w:val="0"/>
              <w:snapToGrid w:val="0"/>
              <w:spacing w:line="320" w:lineRule="exact"/>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数量</w:t>
            </w:r>
          </w:p>
        </w:tc>
        <w:tc>
          <w:tcPr>
            <w:tcW w:w="906" w:type="dxa"/>
            <w:vAlign w:val="center"/>
          </w:tcPr>
          <w:p w14:paraId="0CC02F32">
            <w:pPr>
              <w:keepNext w:val="0"/>
              <w:keepLines w:val="0"/>
              <w:pageBreakBefore w:val="0"/>
              <w:widowControl/>
              <w:shd w:val="clear"/>
              <w:kinsoku/>
              <w:overflowPunct/>
              <w:topLinePunct w:val="0"/>
              <w:autoSpaceDE/>
              <w:autoSpaceDN/>
              <w:bidi w:val="0"/>
              <w:adjustRightInd w:val="0"/>
              <w:snapToGrid w:val="0"/>
              <w:spacing w:line="320" w:lineRule="exact"/>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单位</w:t>
            </w:r>
          </w:p>
        </w:tc>
        <w:tc>
          <w:tcPr>
            <w:tcW w:w="3219" w:type="dxa"/>
            <w:vAlign w:val="center"/>
          </w:tcPr>
          <w:p w14:paraId="43DF5114">
            <w:pPr>
              <w:keepNext w:val="0"/>
              <w:keepLines w:val="0"/>
              <w:pageBreakBefore w:val="0"/>
              <w:widowControl/>
              <w:shd w:val="clear"/>
              <w:kinsoku/>
              <w:overflowPunct/>
              <w:topLinePunct w:val="0"/>
              <w:autoSpaceDE/>
              <w:autoSpaceDN/>
              <w:bidi w:val="0"/>
              <w:adjustRightInd w:val="0"/>
              <w:snapToGrid w:val="0"/>
              <w:spacing w:line="320" w:lineRule="exact"/>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备注</w:t>
            </w:r>
          </w:p>
        </w:tc>
      </w:tr>
      <w:tr w14:paraId="01E2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31" w:type="dxa"/>
            <w:vAlign w:val="center"/>
          </w:tcPr>
          <w:p w14:paraId="61D32F7D">
            <w:pPr>
              <w:keepNext w:val="0"/>
              <w:keepLines w:val="0"/>
              <w:pageBreakBefore w:val="0"/>
              <w:widowControl/>
              <w:shd w:val="clear"/>
              <w:kinsoku/>
              <w:overflowPunct/>
              <w:topLinePunct w:val="0"/>
              <w:autoSpaceDE/>
              <w:autoSpaceDN/>
              <w:bidi w:val="0"/>
              <w:adjustRightInd w:val="0"/>
              <w:snapToGrid w:val="0"/>
              <w:spacing w:line="32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3492" w:type="dxa"/>
            <w:vAlign w:val="center"/>
          </w:tcPr>
          <w:p w14:paraId="7DD1B476">
            <w:pPr>
              <w:keepNext w:val="0"/>
              <w:keepLines w:val="0"/>
              <w:pageBreakBefore w:val="0"/>
              <w:widowControl/>
              <w:shd w:val="clear"/>
              <w:kinsoku/>
              <w:overflowPunct/>
              <w:topLinePunct w:val="0"/>
              <w:autoSpaceDE/>
              <w:autoSpaceDN/>
              <w:bidi w:val="0"/>
              <w:adjustRightInd w:val="0"/>
              <w:snapToGrid w:val="0"/>
              <w:spacing w:line="320" w:lineRule="exact"/>
              <w:jc w:val="both"/>
              <w:textAlignment w:val="center"/>
              <w:rPr>
                <w:rFonts w:hint="eastAsia" w:ascii="宋体" w:hAnsi="宋体" w:eastAsia="宋体" w:cs="宋体"/>
                <w:sz w:val="24"/>
                <w:szCs w:val="24"/>
              </w:rPr>
            </w:pPr>
            <w:r>
              <w:rPr>
                <w:rFonts w:hint="eastAsia" w:ascii="宋体" w:hAnsi="宋体" w:eastAsia="宋体" w:cs="宋体"/>
                <w:color w:val="000000"/>
                <w:sz w:val="24"/>
                <w:szCs w:val="24"/>
                <w:lang w:bidi="ar"/>
              </w:rPr>
              <w:t>智慧船舶网络安全实践系统</w:t>
            </w:r>
          </w:p>
        </w:tc>
        <w:tc>
          <w:tcPr>
            <w:tcW w:w="770" w:type="dxa"/>
            <w:vAlign w:val="center"/>
          </w:tcPr>
          <w:p w14:paraId="7104FBD7">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906" w:type="dxa"/>
            <w:vAlign w:val="center"/>
          </w:tcPr>
          <w:p w14:paraId="673E5360">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3219" w:type="dxa"/>
          </w:tcPr>
          <w:p w14:paraId="5D1175D8">
            <w:pPr>
              <w:keepNext w:val="0"/>
              <w:keepLines w:val="0"/>
              <w:pageBreakBefore w:val="0"/>
              <w:widowControl/>
              <w:shd w:val="clear"/>
              <w:kinsoku/>
              <w:overflowPunct/>
              <w:topLinePunct w:val="0"/>
              <w:autoSpaceDE/>
              <w:autoSpaceDN/>
              <w:bidi w:val="0"/>
              <w:adjustRightInd w:val="0"/>
              <w:snapToGrid w:val="0"/>
              <w:spacing w:line="320" w:lineRule="exact"/>
              <w:rPr>
                <w:rFonts w:hint="eastAsia" w:ascii="宋体" w:hAnsi="宋体" w:eastAsia="宋体" w:cs="宋体"/>
                <w:sz w:val="24"/>
                <w:szCs w:val="24"/>
              </w:rPr>
            </w:pPr>
            <w:r>
              <w:rPr>
                <w:rFonts w:hint="eastAsia" w:ascii="宋体" w:hAnsi="宋体" w:eastAsia="宋体" w:cs="宋体"/>
                <w:color w:val="000000"/>
                <w:sz w:val="24"/>
                <w:szCs w:val="24"/>
                <w:highlight w:val="none"/>
                <w:lang w:bidi="ar"/>
              </w:rPr>
              <w:t>智慧船舶网络安全实践系统需为软硬一体化设备，且需满足技术指标要求。</w:t>
            </w:r>
          </w:p>
        </w:tc>
      </w:tr>
      <w:tr w14:paraId="7144C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1" w:type="dxa"/>
            <w:vAlign w:val="center"/>
          </w:tcPr>
          <w:p w14:paraId="76330C18">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3492" w:type="dxa"/>
            <w:vAlign w:val="center"/>
          </w:tcPr>
          <w:p w14:paraId="1F63F740">
            <w:pPr>
              <w:keepNext w:val="0"/>
              <w:keepLines w:val="0"/>
              <w:pageBreakBefore w:val="0"/>
              <w:widowControl/>
              <w:shd w:val="clear"/>
              <w:kinsoku/>
              <w:overflowPunct/>
              <w:topLinePunct w:val="0"/>
              <w:autoSpaceDE/>
              <w:autoSpaceDN/>
              <w:bidi w:val="0"/>
              <w:adjustRightInd w:val="0"/>
              <w:snapToGrid w:val="0"/>
              <w:spacing w:line="320" w:lineRule="exact"/>
              <w:jc w:val="both"/>
              <w:rPr>
                <w:rFonts w:hint="eastAsia" w:ascii="宋体" w:hAnsi="宋体" w:eastAsia="宋体" w:cs="宋体"/>
                <w:sz w:val="24"/>
                <w:szCs w:val="24"/>
              </w:rPr>
            </w:pPr>
            <w:r>
              <w:rPr>
                <w:rFonts w:hint="eastAsia" w:ascii="宋体" w:hAnsi="宋体" w:eastAsia="宋体" w:cs="宋体"/>
                <w:sz w:val="24"/>
                <w:szCs w:val="24"/>
              </w:rPr>
              <w:t>《网络设备配置与安全</w:t>
            </w:r>
            <w:r>
              <w:rPr>
                <w:rFonts w:hint="eastAsia" w:ascii="宋体" w:hAnsi="宋体" w:eastAsia="宋体" w:cs="宋体"/>
                <w:sz w:val="24"/>
                <w:szCs w:val="24"/>
                <w:lang w:val="en-US" w:eastAsia="zh-CN"/>
              </w:rPr>
              <w:t>资源包</w:t>
            </w:r>
            <w:r>
              <w:rPr>
                <w:rFonts w:hint="eastAsia" w:ascii="宋体" w:hAnsi="宋体" w:eastAsia="宋体" w:cs="宋体"/>
                <w:sz w:val="24"/>
                <w:szCs w:val="24"/>
              </w:rPr>
              <w:t>》</w:t>
            </w:r>
          </w:p>
        </w:tc>
        <w:tc>
          <w:tcPr>
            <w:tcW w:w="770" w:type="dxa"/>
            <w:vAlign w:val="center"/>
          </w:tcPr>
          <w:p w14:paraId="59110679">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906" w:type="dxa"/>
            <w:vAlign w:val="center"/>
          </w:tcPr>
          <w:p w14:paraId="7D3240F2">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color w:val="000000"/>
                <w:sz w:val="24"/>
                <w:szCs w:val="24"/>
                <w:lang w:bidi="ar"/>
              </w:rPr>
              <w:t>套</w:t>
            </w:r>
          </w:p>
        </w:tc>
        <w:tc>
          <w:tcPr>
            <w:tcW w:w="3219" w:type="dxa"/>
          </w:tcPr>
          <w:p w14:paraId="0BF280D3">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color w:val="000000"/>
                <w:sz w:val="24"/>
                <w:szCs w:val="24"/>
                <w:lang w:bidi="ar"/>
              </w:rPr>
            </w:pPr>
          </w:p>
        </w:tc>
      </w:tr>
      <w:tr w14:paraId="2D8B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31" w:type="dxa"/>
            <w:vAlign w:val="center"/>
          </w:tcPr>
          <w:p w14:paraId="77131B1B">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3492" w:type="dxa"/>
            <w:vAlign w:val="center"/>
          </w:tcPr>
          <w:p w14:paraId="3303E14E">
            <w:pPr>
              <w:keepNext w:val="0"/>
              <w:keepLines w:val="0"/>
              <w:pageBreakBefore w:val="0"/>
              <w:widowControl/>
              <w:shd w:val="clear"/>
              <w:kinsoku/>
              <w:overflowPunct/>
              <w:topLinePunct w:val="0"/>
              <w:autoSpaceDE/>
              <w:autoSpaceDN/>
              <w:bidi w:val="0"/>
              <w:adjustRightInd w:val="0"/>
              <w:snapToGrid w:val="0"/>
              <w:spacing w:line="320" w:lineRule="exact"/>
              <w:jc w:val="both"/>
              <w:rPr>
                <w:rFonts w:hint="eastAsia" w:ascii="宋体" w:hAnsi="宋体" w:eastAsia="宋体" w:cs="宋体"/>
                <w:sz w:val="24"/>
                <w:szCs w:val="24"/>
              </w:rPr>
            </w:pPr>
            <w:r>
              <w:rPr>
                <w:rFonts w:hint="eastAsia" w:ascii="宋体" w:hAnsi="宋体" w:eastAsia="宋体" w:cs="宋体"/>
                <w:sz w:val="24"/>
                <w:szCs w:val="24"/>
              </w:rPr>
              <w:t>船舶安全综合实训平台</w:t>
            </w:r>
          </w:p>
        </w:tc>
        <w:tc>
          <w:tcPr>
            <w:tcW w:w="770" w:type="dxa"/>
            <w:vAlign w:val="center"/>
          </w:tcPr>
          <w:p w14:paraId="36E748F9">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20</w:t>
            </w:r>
          </w:p>
        </w:tc>
        <w:tc>
          <w:tcPr>
            <w:tcW w:w="906" w:type="dxa"/>
            <w:vAlign w:val="center"/>
          </w:tcPr>
          <w:p w14:paraId="61E757EA">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3219" w:type="dxa"/>
          </w:tcPr>
          <w:p w14:paraId="03249596">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p>
        </w:tc>
      </w:tr>
      <w:tr w14:paraId="147B3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31" w:type="dxa"/>
            <w:vAlign w:val="center"/>
          </w:tcPr>
          <w:p w14:paraId="53FCB64B">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3492" w:type="dxa"/>
            <w:vAlign w:val="center"/>
          </w:tcPr>
          <w:p w14:paraId="20EA426D">
            <w:pPr>
              <w:keepNext w:val="0"/>
              <w:keepLines w:val="0"/>
              <w:pageBreakBefore w:val="0"/>
              <w:widowControl/>
              <w:shd w:val="clear"/>
              <w:kinsoku/>
              <w:overflowPunct/>
              <w:topLinePunct w:val="0"/>
              <w:autoSpaceDE/>
              <w:autoSpaceDN/>
              <w:bidi w:val="0"/>
              <w:adjustRightInd w:val="0"/>
              <w:snapToGrid w:val="0"/>
              <w:spacing w:line="320" w:lineRule="exact"/>
              <w:jc w:val="both"/>
              <w:rPr>
                <w:rFonts w:hint="eastAsia" w:ascii="宋体" w:hAnsi="宋体" w:eastAsia="宋体" w:cs="宋体"/>
                <w:sz w:val="24"/>
                <w:szCs w:val="24"/>
              </w:rPr>
            </w:pPr>
            <w:r>
              <w:rPr>
                <w:rFonts w:hint="eastAsia" w:ascii="宋体" w:hAnsi="宋体" w:eastAsia="宋体" w:cs="宋体"/>
                <w:sz w:val="24"/>
                <w:szCs w:val="24"/>
              </w:rPr>
              <w:t>互联接入交换机</w:t>
            </w:r>
          </w:p>
        </w:tc>
        <w:tc>
          <w:tcPr>
            <w:tcW w:w="770" w:type="dxa"/>
            <w:vAlign w:val="center"/>
          </w:tcPr>
          <w:p w14:paraId="560307A5">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906" w:type="dxa"/>
            <w:vAlign w:val="center"/>
          </w:tcPr>
          <w:p w14:paraId="4D4919AF">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台</w:t>
            </w:r>
          </w:p>
        </w:tc>
        <w:tc>
          <w:tcPr>
            <w:tcW w:w="3219" w:type="dxa"/>
          </w:tcPr>
          <w:p w14:paraId="086B3920">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p>
        </w:tc>
      </w:tr>
      <w:tr w14:paraId="2DDAD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31" w:type="dxa"/>
            <w:vAlign w:val="center"/>
          </w:tcPr>
          <w:p w14:paraId="5739C7B8">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5</w:t>
            </w:r>
          </w:p>
        </w:tc>
        <w:tc>
          <w:tcPr>
            <w:tcW w:w="3492" w:type="dxa"/>
            <w:vAlign w:val="center"/>
          </w:tcPr>
          <w:p w14:paraId="5EAFB2E3">
            <w:pPr>
              <w:keepNext w:val="0"/>
              <w:keepLines w:val="0"/>
              <w:pageBreakBefore w:val="0"/>
              <w:widowControl/>
              <w:shd w:val="clear"/>
              <w:kinsoku/>
              <w:overflowPunct/>
              <w:topLinePunct w:val="0"/>
              <w:autoSpaceDE/>
              <w:autoSpaceDN/>
              <w:bidi w:val="0"/>
              <w:adjustRightInd w:val="0"/>
              <w:snapToGrid w:val="0"/>
              <w:spacing w:line="320" w:lineRule="exact"/>
              <w:jc w:val="both"/>
              <w:rPr>
                <w:rFonts w:hint="eastAsia" w:ascii="宋体" w:hAnsi="宋体" w:eastAsia="宋体" w:cs="宋体"/>
                <w:sz w:val="24"/>
                <w:szCs w:val="24"/>
              </w:rPr>
            </w:pPr>
            <w:r>
              <w:rPr>
                <w:rFonts w:hint="eastAsia" w:ascii="宋体" w:hAnsi="宋体" w:eastAsia="宋体" w:cs="宋体"/>
                <w:color w:val="000000"/>
                <w:sz w:val="24"/>
                <w:szCs w:val="24"/>
                <w:lang w:bidi="ar"/>
              </w:rPr>
              <w:t>《网络自动化运维技术》</w:t>
            </w:r>
          </w:p>
        </w:tc>
        <w:tc>
          <w:tcPr>
            <w:tcW w:w="770" w:type="dxa"/>
            <w:vAlign w:val="center"/>
          </w:tcPr>
          <w:p w14:paraId="156E8E87">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906" w:type="dxa"/>
            <w:vAlign w:val="center"/>
          </w:tcPr>
          <w:p w14:paraId="4D5E7F46">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3219" w:type="dxa"/>
          </w:tcPr>
          <w:p w14:paraId="3D457D0B">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p>
        </w:tc>
      </w:tr>
      <w:tr w14:paraId="28646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31" w:type="dxa"/>
            <w:vAlign w:val="center"/>
          </w:tcPr>
          <w:p w14:paraId="4F3CBE30">
            <w:pPr>
              <w:keepNext w:val="0"/>
              <w:keepLines w:val="0"/>
              <w:pageBreakBefore w:val="0"/>
              <w:widowControl/>
              <w:shd w:val="clear"/>
              <w:kinsoku/>
              <w:overflowPunct/>
              <w:topLinePunct w:val="0"/>
              <w:autoSpaceDE/>
              <w:autoSpaceDN/>
              <w:bidi w:val="0"/>
              <w:adjustRightInd w:val="0"/>
              <w:snapToGrid w:val="0"/>
              <w:spacing w:line="320" w:lineRule="exact"/>
              <w:jc w:val="center"/>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6</w:t>
            </w:r>
          </w:p>
        </w:tc>
        <w:tc>
          <w:tcPr>
            <w:tcW w:w="3492" w:type="dxa"/>
            <w:vAlign w:val="center"/>
          </w:tcPr>
          <w:p w14:paraId="0A9C5DC6">
            <w:pPr>
              <w:keepNext w:val="0"/>
              <w:keepLines w:val="0"/>
              <w:pageBreakBefore w:val="0"/>
              <w:widowControl/>
              <w:shd w:val="clear"/>
              <w:kinsoku/>
              <w:overflowPunct/>
              <w:topLinePunct w:val="0"/>
              <w:autoSpaceDE/>
              <w:autoSpaceDN/>
              <w:bidi w:val="0"/>
              <w:adjustRightInd w:val="0"/>
              <w:snapToGrid w:val="0"/>
              <w:spacing w:line="320" w:lineRule="exact"/>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防火墙</w:t>
            </w:r>
          </w:p>
        </w:tc>
        <w:tc>
          <w:tcPr>
            <w:tcW w:w="770" w:type="dxa"/>
            <w:vAlign w:val="center"/>
          </w:tcPr>
          <w:p w14:paraId="241B0F8D">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906" w:type="dxa"/>
            <w:vAlign w:val="center"/>
          </w:tcPr>
          <w:p w14:paraId="3823AA41">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3219" w:type="dxa"/>
          </w:tcPr>
          <w:p w14:paraId="2C56518A">
            <w:pPr>
              <w:keepNext w:val="0"/>
              <w:keepLines w:val="0"/>
              <w:pageBreakBefore w:val="0"/>
              <w:widowControl/>
              <w:shd w:val="clear"/>
              <w:kinsoku/>
              <w:overflowPunct/>
              <w:topLinePunct w:val="0"/>
              <w:autoSpaceDE/>
              <w:autoSpaceDN/>
              <w:bidi w:val="0"/>
              <w:adjustRightInd w:val="0"/>
              <w:snapToGrid w:val="0"/>
              <w:spacing w:line="320" w:lineRule="exact"/>
              <w:jc w:val="center"/>
              <w:rPr>
                <w:rFonts w:hint="eastAsia" w:ascii="宋体" w:hAnsi="宋体" w:eastAsia="宋体" w:cs="宋体"/>
                <w:sz w:val="24"/>
                <w:szCs w:val="24"/>
              </w:rPr>
            </w:pPr>
          </w:p>
        </w:tc>
      </w:tr>
    </w:tbl>
    <w:p w14:paraId="3F4ECC01">
      <w:pPr>
        <w:keepNext w:val="0"/>
        <w:keepLines w:val="0"/>
        <w:pageBreakBefore w:val="0"/>
        <w:shd w:val="clear"/>
        <w:kinsoku/>
        <w:wordWrap w:val="0"/>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特别说明（适用于本项目整体）：</w:t>
      </w:r>
    </w:p>
    <w:p w14:paraId="4CF51E73">
      <w:pPr>
        <w:keepNext w:val="0"/>
        <w:keepLines w:val="0"/>
        <w:pageBreakBefore w:val="0"/>
        <w:shd w:val="clear"/>
        <w:kinsoku/>
        <w:wordWrap w:val="0"/>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①所有产品设备供货时均须提供产品质量检验合格证明，属于国家强制性产品认证目录范围的，必须经国家指定的认证机构认证合格，取得相关证书并加施认证标志。</w:t>
      </w:r>
    </w:p>
    <w:p w14:paraId="729E04AE">
      <w:pPr>
        <w:keepNext w:val="0"/>
        <w:keepLines w:val="0"/>
        <w:pageBreakBefore w:val="0"/>
        <w:shd w:val="clear"/>
        <w:kinsoku/>
        <w:wordWrap w:val="0"/>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②为全面实现项目建设目标，投标人须充分理解项目需求，将实现项目建设目标所必须配套投入的软硬件设备纳入投标设备（或服务）清单，并标注说明。</w:t>
      </w:r>
    </w:p>
    <w:p w14:paraId="33267E6C">
      <w:pPr>
        <w:keepNext w:val="0"/>
        <w:keepLines w:val="0"/>
        <w:pageBreakBefore w:val="0"/>
        <w:shd w:val="clear"/>
        <w:kinsoku/>
        <w:wordWrap w:val="0"/>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2.采购项目交付时间：</w:t>
      </w:r>
      <w:r>
        <w:rPr>
          <w:rFonts w:hint="eastAsia" w:ascii="宋体" w:hAnsi="宋体" w:eastAsia="宋体" w:cs="宋体"/>
          <w:color w:val="000000"/>
          <w:sz w:val="24"/>
          <w:szCs w:val="24"/>
          <w:u w:val="single"/>
        </w:rPr>
        <w:t>合同签订后</w:t>
      </w:r>
      <w:r>
        <w:rPr>
          <w:rFonts w:hint="eastAsia" w:ascii="宋体" w:hAnsi="宋体" w:eastAsia="宋体" w:cs="宋体"/>
          <w:color w:val="000000"/>
          <w:sz w:val="24"/>
          <w:szCs w:val="24"/>
          <w:u w:val="single"/>
          <w:lang w:val="en-US" w:eastAsia="zh-CN"/>
        </w:rPr>
        <w:t>60</w:t>
      </w:r>
      <w:r>
        <w:rPr>
          <w:rFonts w:hint="eastAsia" w:ascii="宋体" w:hAnsi="宋体" w:eastAsia="宋体" w:cs="宋体"/>
          <w:color w:val="000000"/>
          <w:sz w:val="24"/>
          <w:szCs w:val="24"/>
          <w:u w:val="single"/>
        </w:rPr>
        <w:t>日内完成交付</w:t>
      </w:r>
      <w:r>
        <w:rPr>
          <w:rFonts w:hint="eastAsia" w:ascii="宋体" w:hAnsi="宋体" w:eastAsia="宋体" w:cs="宋体"/>
          <w:color w:val="000000"/>
          <w:sz w:val="24"/>
          <w:szCs w:val="24"/>
        </w:rPr>
        <w:t>。</w:t>
      </w:r>
    </w:p>
    <w:p w14:paraId="66CCCEC6">
      <w:pPr>
        <w:keepNext w:val="0"/>
        <w:keepLines w:val="0"/>
        <w:pageBreakBefore w:val="0"/>
        <w:shd w:val="clear"/>
        <w:kinsoku/>
        <w:wordWrap w:val="0"/>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4.采购项目交付地点：</w:t>
      </w:r>
      <w:r>
        <w:rPr>
          <w:rFonts w:hint="eastAsia" w:ascii="宋体" w:hAnsi="宋体" w:eastAsia="宋体" w:cs="宋体"/>
          <w:color w:val="000000"/>
          <w:sz w:val="24"/>
          <w:szCs w:val="24"/>
          <w:u w:val="single"/>
        </w:rPr>
        <w:t>江苏航运职业技术学院，具体按采购人指定地点</w:t>
      </w:r>
      <w:r>
        <w:rPr>
          <w:rFonts w:hint="eastAsia" w:ascii="宋体" w:hAnsi="宋体" w:eastAsia="宋体" w:cs="宋体"/>
          <w:color w:val="000000"/>
          <w:sz w:val="24"/>
          <w:szCs w:val="24"/>
        </w:rPr>
        <w:t>。</w:t>
      </w:r>
    </w:p>
    <w:p w14:paraId="5A255E17">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四、采购标的需满足的服务标准、期限、效率等要求</w:t>
      </w:r>
    </w:p>
    <w:p w14:paraId="37858261">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shd w:val="clear"/>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本项目</w:t>
      </w:r>
      <w:r>
        <w:rPr>
          <w:rFonts w:hint="eastAsia" w:ascii="宋体" w:hAnsi="宋体" w:eastAsia="宋体" w:cs="宋体"/>
          <w:sz w:val="24"/>
          <w:szCs w:val="24"/>
        </w:rPr>
        <w:t>免费保修期为</w:t>
      </w:r>
      <w:r>
        <w:rPr>
          <w:rFonts w:hint="eastAsia" w:ascii="宋体" w:hAnsi="宋体" w:eastAsia="宋体" w:cs="宋体"/>
          <w:sz w:val="24"/>
          <w:szCs w:val="24"/>
          <w:lang w:val="en-US" w:eastAsia="zh-CN"/>
        </w:rPr>
        <w:t>五</w:t>
      </w:r>
      <w:r>
        <w:rPr>
          <w:rFonts w:hint="eastAsia" w:ascii="宋体" w:hAnsi="宋体" w:eastAsia="宋体" w:cs="宋体"/>
          <w:sz w:val="24"/>
          <w:szCs w:val="24"/>
        </w:rPr>
        <w:t>年（自交货验收合格之日起计）。产品</w:t>
      </w:r>
      <w:r>
        <w:rPr>
          <w:rFonts w:hint="eastAsia" w:ascii="宋体" w:hAnsi="宋体" w:eastAsia="宋体" w:cs="宋体"/>
          <w:sz w:val="24"/>
          <w:szCs w:val="24"/>
          <w:lang w:eastAsia="zh-CN"/>
        </w:rPr>
        <w:t>提供</w:t>
      </w:r>
      <w:r>
        <w:rPr>
          <w:rFonts w:hint="eastAsia" w:ascii="宋体" w:hAnsi="宋体" w:eastAsia="宋体" w:cs="宋体"/>
          <w:sz w:val="24"/>
          <w:szCs w:val="24"/>
        </w:rPr>
        <w:t>终生免费升级维护。其他按有关规定执行</w:t>
      </w:r>
      <w:r>
        <w:rPr>
          <w:rFonts w:hint="eastAsia" w:ascii="宋体" w:hAnsi="宋体" w:eastAsia="宋体" w:cs="宋体"/>
          <w:sz w:val="24"/>
          <w:szCs w:val="24"/>
          <w:lang w:eastAsia="zh-CN"/>
        </w:rPr>
        <w:t>（</w:t>
      </w:r>
      <w:r>
        <w:rPr>
          <w:rFonts w:hint="eastAsia" w:ascii="宋体" w:hAnsi="宋体" w:eastAsia="宋体" w:cs="宋体"/>
          <w:sz w:val="24"/>
          <w:szCs w:val="24"/>
        </w:rPr>
        <w:t>国际标准、国家标准、行业标准或企业标准</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b/>
          <w:bCs/>
          <w:sz w:val="24"/>
          <w:szCs w:val="24"/>
          <w:shd w:val="clear"/>
          <w:lang w:eastAsia="zh-CN"/>
        </w:rPr>
        <w:t>并承诺</w:t>
      </w:r>
      <w:r>
        <w:rPr>
          <w:rFonts w:hint="eastAsia" w:ascii="宋体" w:hAnsi="宋体" w:eastAsia="宋体" w:cs="宋体"/>
          <w:b/>
          <w:bCs/>
          <w:sz w:val="24"/>
          <w:szCs w:val="24"/>
          <w:shd w:val="clear"/>
          <w:lang w:val="en-US" w:eastAsia="zh-CN"/>
        </w:rPr>
        <w:t>本项目五年维保期结束后，系统年度运维费用比例不超过中标价的5%。</w:t>
      </w:r>
      <w:r>
        <w:rPr>
          <w:rFonts w:hint="eastAsia" w:ascii="宋体" w:hAnsi="宋体" w:eastAsia="宋体" w:cs="宋体"/>
          <w:sz w:val="24"/>
          <w:szCs w:val="24"/>
          <w:shd w:val="clear"/>
        </w:rPr>
        <w:t xml:space="preserve"> </w:t>
      </w:r>
      <w:r>
        <w:rPr>
          <w:rFonts w:hint="default" w:ascii="Times New Roman" w:hAnsi="Times New Roman" w:eastAsia="宋体" w:cs="Times New Roman"/>
          <w:b/>
          <w:bCs/>
          <w:color w:val="auto"/>
          <w:sz w:val="24"/>
          <w:szCs w:val="24"/>
          <w:highlight w:val="none"/>
          <w:u w:val="single"/>
          <w:shd w:val="clear"/>
          <w:lang w:val="en-US" w:eastAsia="zh-CN" w:bidi="ar-SA"/>
        </w:rPr>
        <w:t>【需提供承诺书，并加盖投标人公章。】</w:t>
      </w:r>
    </w:p>
    <w:p w14:paraId="3A4F9D79">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投标单位需具备远程网络支持服务及热线电话，产品使用中，</w:t>
      </w:r>
      <w:r>
        <w:rPr>
          <w:rFonts w:hint="eastAsia" w:ascii="宋体" w:hAnsi="宋体" w:eastAsia="宋体" w:cs="宋体"/>
          <w:sz w:val="24"/>
          <w:szCs w:val="24"/>
          <w:lang w:eastAsia="zh-CN"/>
        </w:rPr>
        <w:t>中标人</w:t>
      </w:r>
      <w:r>
        <w:rPr>
          <w:rFonts w:hint="eastAsia" w:ascii="宋体" w:hAnsi="宋体" w:eastAsia="宋体" w:cs="宋体"/>
          <w:sz w:val="24"/>
          <w:szCs w:val="24"/>
        </w:rPr>
        <w:t>接到</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电话通知后，在一小时内提供技术指导或远程维护，如需要在12小时（省外单位48小时）内派出技术人员到达用户现场提供技术支持服务直至问题和故障排除。 </w:t>
      </w:r>
    </w:p>
    <w:p w14:paraId="347E424B">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安装、调试、培训要求：项目实施阶段</w:t>
      </w:r>
      <w:r>
        <w:rPr>
          <w:rFonts w:hint="eastAsia" w:ascii="宋体" w:hAnsi="宋体" w:eastAsia="宋体" w:cs="宋体"/>
          <w:sz w:val="24"/>
          <w:szCs w:val="24"/>
          <w:lang w:eastAsia="zh-CN"/>
        </w:rPr>
        <w:t>中标人</w:t>
      </w:r>
      <w:r>
        <w:rPr>
          <w:rFonts w:hint="eastAsia" w:ascii="宋体" w:hAnsi="宋体" w:eastAsia="宋体" w:cs="宋体"/>
          <w:sz w:val="24"/>
          <w:szCs w:val="24"/>
        </w:rPr>
        <w:t>安排专业技术人员现场实施，</w:t>
      </w:r>
      <w:r>
        <w:rPr>
          <w:rFonts w:hint="eastAsia" w:ascii="宋体" w:hAnsi="宋体" w:eastAsia="宋体" w:cs="宋体"/>
          <w:sz w:val="24"/>
          <w:szCs w:val="24"/>
          <w:lang w:eastAsia="zh-CN"/>
        </w:rPr>
        <w:t>中标人</w:t>
      </w:r>
      <w:r>
        <w:rPr>
          <w:rFonts w:hint="eastAsia" w:ascii="宋体" w:hAnsi="宋体" w:eastAsia="宋体" w:cs="宋体"/>
          <w:sz w:val="24"/>
          <w:szCs w:val="24"/>
        </w:rPr>
        <w:t>对</w:t>
      </w:r>
      <w:r>
        <w:rPr>
          <w:rFonts w:hint="eastAsia" w:ascii="宋体" w:hAnsi="宋体" w:eastAsia="宋体" w:cs="宋体"/>
          <w:sz w:val="24"/>
          <w:szCs w:val="24"/>
          <w:lang w:eastAsia="zh-CN"/>
        </w:rPr>
        <w:t>采购人</w:t>
      </w:r>
      <w:r>
        <w:rPr>
          <w:rFonts w:hint="eastAsia" w:ascii="宋体" w:hAnsi="宋体" w:eastAsia="宋体" w:cs="宋体"/>
          <w:sz w:val="24"/>
          <w:szCs w:val="24"/>
        </w:rPr>
        <w:t>进行所有设备的免费使用培训。</w:t>
      </w:r>
    </w:p>
    <w:p w14:paraId="615A91F8">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五、采购标的包装、运输、交货、验收标准</w:t>
      </w:r>
    </w:p>
    <w:p w14:paraId="6A9EB07B">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1.商品包装环保要求：</w:t>
      </w:r>
      <w:r>
        <w:rPr>
          <w:rFonts w:hint="eastAsia" w:ascii="宋体" w:hAnsi="宋体" w:eastAsia="宋体" w:cs="宋体"/>
          <w:sz w:val="24"/>
          <w:szCs w:val="24"/>
        </w:rPr>
        <w:t>应当按《关于印发〈商品包装政府采购需求标准（试行）〉、〈快递包装政府采购需求标准（试行）〉的通知》（财办库〔2020〕123号）文件执行。</w:t>
      </w:r>
    </w:p>
    <w:p w14:paraId="64E55345">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CB8702F">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2.运输：</w:t>
      </w:r>
      <w:r>
        <w:rPr>
          <w:rFonts w:hint="eastAsia" w:ascii="宋体" w:hAnsi="宋体" w:eastAsia="宋体" w:cs="宋体"/>
          <w:sz w:val="24"/>
          <w:szCs w:val="24"/>
        </w:rPr>
        <w:t>货物的运输及风险由中标人负责，运输费用及运输保险费用包含在合同价款中，采购人对此不负任何责任。</w:t>
      </w:r>
    </w:p>
    <w:p w14:paraId="5AB4870D">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3.交货、安装：</w:t>
      </w:r>
      <w:r>
        <w:rPr>
          <w:rFonts w:hint="eastAsia" w:ascii="宋体" w:hAnsi="宋体" w:eastAsia="宋体" w:cs="宋体"/>
          <w:sz w:val="24"/>
          <w:szCs w:val="24"/>
        </w:rPr>
        <w:t>交货方式为中标人送货至采购人指定地点，除不可抗力因素外，中标人必须按合同规定的时间、地点安排交货并安装。</w:t>
      </w:r>
    </w:p>
    <w:p w14:paraId="5AADDE9B">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4.验收标准：</w:t>
      </w:r>
      <w:r>
        <w:rPr>
          <w:rFonts w:hint="eastAsia" w:ascii="宋体" w:hAnsi="宋体" w:eastAsia="宋体" w:cs="宋体"/>
          <w:sz w:val="24"/>
          <w:szCs w:val="24"/>
        </w:rPr>
        <w:t>平台</w:t>
      </w:r>
      <w:r>
        <w:rPr>
          <w:rFonts w:hint="eastAsia" w:ascii="宋体" w:hAnsi="宋体" w:eastAsia="宋体" w:cs="宋体"/>
          <w:sz w:val="24"/>
          <w:szCs w:val="24"/>
          <w:lang w:eastAsia="zh-CN"/>
        </w:rPr>
        <w:t>、系统</w:t>
      </w:r>
      <w:r>
        <w:rPr>
          <w:rFonts w:hint="eastAsia" w:ascii="宋体" w:hAnsi="宋体" w:eastAsia="宋体" w:cs="宋体"/>
          <w:sz w:val="24"/>
          <w:szCs w:val="24"/>
        </w:rPr>
        <w:t>需全面实现招标文件要求的所有功能，特别是带“</w:t>
      </w:r>
      <w:r>
        <w:rPr>
          <w:rFonts w:hint="eastAsia" w:ascii="宋体" w:hAnsi="宋体" w:eastAsia="宋体" w:cs="宋体"/>
          <w:b/>
          <w:bCs/>
          <w:sz w:val="24"/>
          <w:szCs w:val="24"/>
          <w:lang w:eastAsia="zh-CN"/>
        </w:rPr>
        <w:t>☆</w:t>
      </w:r>
      <w:r>
        <w:rPr>
          <w:rFonts w:hint="eastAsia" w:ascii="宋体" w:hAnsi="宋体" w:eastAsia="宋体" w:cs="宋体"/>
          <w:sz w:val="24"/>
          <w:szCs w:val="24"/>
        </w:rPr>
        <w:t>”、“▲”标记的关键技术指标；所投货物（含软件）的主要设备进场后需提供生产厂家产品检验合格证书、质量检测报告、质量保修单、进货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供货</w:t>
      </w:r>
      <w:r>
        <w:rPr>
          <w:rFonts w:hint="eastAsia" w:ascii="宋体" w:hAnsi="宋体" w:eastAsia="宋体" w:cs="宋体"/>
          <w:sz w:val="24"/>
          <w:szCs w:val="24"/>
          <w:lang w:eastAsia="zh-CN"/>
        </w:rPr>
        <w:t>）</w:t>
      </w:r>
      <w:r>
        <w:rPr>
          <w:rFonts w:hint="eastAsia" w:ascii="宋体" w:hAnsi="宋体" w:eastAsia="宋体" w:cs="宋体"/>
          <w:sz w:val="24"/>
          <w:szCs w:val="24"/>
        </w:rPr>
        <w:t>清单和发票，确保所投产品是原装正品。验收时，硬件产品应提供铭牌，铭牌内容包括但不限于：产品名称、规格、型号、生产厂家、生产地址等内容。中标人按要求将货物（设备）送到指定交货地点，货物（设备）安装调试结束后采购人组织对设备（系统）进行最终验收。具体验收标准和要求详见合同附件。</w:t>
      </w:r>
    </w:p>
    <w:p w14:paraId="5B41B4D4">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六、非单一产品采购项目，采购标的中的核心产品</w:t>
      </w:r>
    </w:p>
    <w:p w14:paraId="02C2FEAA">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sz w:val="24"/>
          <w:szCs w:val="24"/>
        </w:rPr>
        <w:t>本项目核心产品为：智慧船舶网络安全实践系统</w:t>
      </w:r>
    </w:p>
    <w:p w14:paraId="0DB0647A">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七、采购需求中必须满足的实质性要求和条件（请单独列出）</w:t>
      </w:r>
    </w:p>
    <w:p w14:paraId="430B4FF3">
      <w:pPr>
        <w:keepNext w:val="0"/>
        <w:keepLines w:val="0"/>
        <w:pageBreakBefore w:val="0"/>
        <w:shd w:val="clear"/>
        <w:kinsoku/>
        <w:overflowPunct/>
        <w:topLinePunct w:val="0"/>
        <w:autoSpaceDE/>
        <w:autoSpaceDN/>
        <w:bidi w:val="0"/>
        <w:adjustRightInd/>
        <w:spacing w:line="360" w:lineRule="auto"/>
        <w:ind w:firstLine="482"/>
        <w:textAlignment w:val="auto"/>
        <w:outlineLvl w:val="1"/>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1.投标人拟投本项目所有标注“</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”的为设备技术参数须实质性响应本采购文件技术参数要求，不接受负偏离产品应标。提供《</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技术条款响应正负偏离表》，须根据清单中“</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”的技术参数要求逐条进行应答；未提供或有遗漏或有负偏离均视为未实质性响应，作废标处理。对本项目能够作为技术参数证明材料的文件如：</w:t>
      </w:r>
      <w:r>
        <w:rPr>
          <w:rFonts w:hint="eastAsia" w:ascii="宋体" w:hAnsi="宋体" w:eastAsia="宋体" w:cs="宋体"/>
          <w:b/>
          <w:bCs/>
          <w:color w:val="000000"/>
          <w:sz w:val="24"/>
          <w:szCs w:val="24"/>
          <w:lang w:eastAsia="zh-CN"/>
        </w:rPr>
        <w:t>演示视频，</w:t>
      </w:r>
      <w:r>
        <w:rPr>
          <w:rFonts w:hint="eastAsia" w:ascii="宋体" w:hAnsi="宋体" w:eastAsia="宋体" w:cs="宋体"/>
          <w:b/>
          <w:bCs/>
          <w:color w:val="000000"/>
          <w:sz w:val="24"/>
          <w:szCs w:val="24"/>
        </w:rPr>
        <w:t>配置清单、功能界面截图、课程大纲、授课课件、实验手册截图、课程章节内容截图、承诺书等</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并加盖投标人公章。</w:t>
      </w:r>
    </w:p>
    <w:p w14:paraId="189428B7">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八、演示讲解</w:t>
      </w:r>
    </w:p>
    <w:p w14:paraId="1AF28987">
      <w:pPr>
        <w:pStyle w:val="4"/>
        <w:numPr>
          <w:ilvl w:val="3"/>
          <w:numId w:val="0"/>
        </w:numPr>
        <w:shd w:val="clear"/>
        <w:spacing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1.带“</w:t>
      </w:r>
      <w:r>
        <w:rPr>
          <w:rFonts w:hint="eastAsia" w:ascii="宋体" w:hAnsi="宋体" w:eastAsia="宋体" w:cs="宋体"/>
          <w:sz w:val="24"/>
          <w:szCs w:val="24"/>
          <w:lang w:eastAsia="zh-CN"/>
        </w:rPr>
        <w:t>☆</w:t>
      </w:r>
      <w:r>
        <w:rPr>
          <w:rFonts w:hint="eastAsia" w:ascii="宋体" w:hAnsi="宋体" w:eastAsia="宋体" w:cs="宋体"/>
          <w:sz w:val="24"/>
          <w:szCs w:val="24"/>
        </w:rPr>
        <w:t>”标记的实质要求技术指标部分</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2"/>
        <w:gridCol w:w="1432"/>
        <w:gridCol w:w="6945"/>
      </w:tblGrid>
      <w:tr w14:paraId="4998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02" w:type="dxa"/>
            <w:vAlign w:val="center"/>
          </w:tcPr>
          <w:p w14:paraId="587AC834">
            <w:pPr>
              <w:pageBreakBefore w:val="0"/>
              <w:widowControl w:val="0"/>
              <w:shd w:val="clear"/>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序号</w:t>
            </w:r>
          </w:p>
        </w:tc>
        <w:tc>
          <w:tcPr>
            <w:tcW w:w="1432" w:type="dxa"/>
            <w:vAlign w:val="center"/>
          </w:tcPr>
          <w:p w14:paraId="7C81908D">
            <w:pPr>
              <w:pageBreakBefore w:val="0"/>
              <w:widowControl w:val="0"/>
              <w:shd w:val="clear"/>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设备名称</w:t>
            </w:r>
          </w:p>
        </w:tc>
        <w:tc>
          <w:tcPr>
            <w:tcW w:w="6945" w:type="dxa"/>
            <w:vAlign w:val="center"/>
          </w:tcPr>
          <w:p w14:paraId="0D2BE38C">
            <w:pPr>
              <w:pageBreakBefore w:val="0"/>
              <w:widowControl w:val="0"/>
              <w:shd w:val="clear"/>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技术参数</w:t>
            </w:r>
          </w:p>
        </w:tc>
      </w:tr>
      <w:tr w14:paraId="3F83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602" w:type="dxa"/>
            <w:vAlign w:val="center"/>
          </w:tcPr>
          <w:p w14:paraId="7A0DB2EE">
            <w:pPr>
              <w:pageBreakBefore w:val="0"/>
              <w:widowControl w:val="0"/>
              <w:shd w:val="clear"/>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w:t>
            </w:r>
          </w:p>
        </w:tc>
        <w:tc>
          <w:tcPr>
            <w:tcW w:w="1432" w:type="dxa"/>
            <w:vAlign w:val="center"/>
          </w:tcPr>
          <w:p w14:paraId="3ECA0148">
            <w:pPr>
              <w:pageBreakBefore w:val="0"/>
              <w:widowControl w:val="0"/>
              <w:shd w:val="clear"/>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color w:val="000000"/>
                <w:sz w:val="21"/>
                <w:szCs w:val="21"/>
                <w:lang w:bidi="ar"/>
              </w:rPr>
              <w:t>智慧船舶网络安全实践系统</w:t>
            </w:r>
          </w:p>
        </w:tc>
        <w:tc>
          <w:tcPr>
            <w:tcW w:w="6945" w:type="dxa"/>
          </w:tcPr>
          <w:p w14:paraId="7D3D886E">
            <w:pPr>
              <w:shd w:val="clear"/>
              <w:spacing w:line="320" w:lineRule="exact"/>
              <w:rPr>
                <w:rFonts w:hint="eastAsia" w:ascii="宋体" w:hAnsi="宋体" w:eastAsia="宋体" w:cs="宋体"/>
                <w:b/>
                <w:bCs/>
                <w:sz w:val="21"/>
                <w:szCs w:val="21"/>
                <w:lang w:eastAsia="zh-CN"/>
              </w:rPr>
            </w:pPr>
            <w:r>
              <w:rPr>
                <w:rFonts w:hint="eastAsia" w:ascii="宋体" w:hAnsi="宋体" w:eastAsia="宋体" w:cs="宋体"/>
                <w:b/>
                <w:bCs/>
                <w:sz w:val="21"/>
                <w:szCs w:val="21"/>
              </w:rPr>
              <w:t>一、网络安全教学一体机</w:t>
            </w:r>
          </w:p>
          <w:p w14:paraId="128ED954">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4"/>
                <w:szCs w:val="24"/>
                <w:lang w:eastAsia="zh-CN"/>
              </w:rPr>
            </w:pPr>
            <w:r>
              <w:rPr>
                <w:rFonts w:ascii="宋体" w:hAnsi="宋体" w:eastAsia="宋体" w:cs="宋体"/>
                <w:sz w:val="21"/>
                <w:szCs w:val="21"/>
              </w:rPr>
              <w:t>12</w:t>
            </w:r>
            <w:r>
              <w:rPr>
                <w:rFonts w:hint="eastAsia" w:ascii="宋体" w:hAnsi="宋体" w:eastAsia="宋体" w:cs="宋体"/>
                <w:sz w:val="21"/>
                <w:szCs w:val="21"/>
              </w:rPr>
              <w:t>.系统可通过智慧船舶网络安全实践系统的数字孪生主题环境与智慧船舶运维控制器联动实现对路由器、交换机等设备进行管理。</w:t>
            </w:r>
            <w:r>
              <w:rPr>
                <w:rFonts w:hint="eastAsia" w:ascii="宋体" w:hAnsi="宋体" w:eastAsia="宋体" w:cs="宋体"/>
                <w:b/>
                <w:bCs/>
                <w:sz w:val="21"/>
                <w:szCs w:val="21"/>
                <w:u w:val="single"/>
              </w:rPr>
              <w:t>（提供功能演示视频</w:t>
            </w:r>
            <w:r>
              <w:rPr>
                <w:rFonts w:hint="eastAsia" w:ascii="宋体" w:hAnsi="宋体" w:eastAsia="宋体" w:cs="宋体"/>
                <w:b/>
                <w:bCs/>
                <w:sz w:val="21"/>
                <w:szCs w:val="21"/>
                <w:u w:val="single"/>
                <w:lang w:eastAsia="zh-CN"/>
              </w:rPr>
              <w:t>。</w:t>
            </w:r>
            <w:r>
              <w:rPr>
                <w:rFonts w:hint="eastAsia" w:ascii="宋体" w:hAnsi="宋体" w:eastAsia="宋体" w:cs="宋体"/>
                <w:b/>
                <w:bCs/>
                <w:sz w:val="21"/>
                <w:szCs w:val="21"/>
                <w:u w:val="single"/>
              </w:rPr>
              <w:t>）</w:t>
            </w:r>
          </w:p>
        </w:tc>
      </w:tr>
    </w:tbl>
    <w:p w14:paraId="1E6252F0">
      <w:pPr>
        <w:pStyle w:val="4"/>
        <w:numPr>
          <w:ilvl w:val="3"/>
          <w:numId w:val="0"/>
        </w:numPr>
        <w:shd w:val="clear"/>
        <w:spacing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其他</w:t>
      </w:r>
      <w:r>
        <w:rPr>
          <w:rFonts w:hint="eastAsia" w:ascii="宋体" w:hAnsi="宋体" w:eastAsia="宋体" w:cs="宋体"/>
          <w:sz w:val="24"/>
          <w:szCs w:val="24"/>
        </w:rPr>
        <w:t>要求演示的技术指标部分</w:t>
      </w:r>
    </w:p>
    <w:tbl>
      <w:tblPr>
        <w:tblStyle w:val="8"/>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421"/>
        <w:gridCol w:w="6966"/>
      </w:tblGrid>
      <w:tr w14:paraId="5C10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00" w:type="dxa"/>
            <w:vAlign w:val="center"/>
          </w:tcPr>
          <w:p w14:paraId="5CB1D119">
            <w:pPr>
              <w:pageBreakBefore w:val="0"/>
              <w:widowControl w:val="0"/>
              <w:shd w:val="clear"/>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序号</w:t>
            </w:r>
          </w:p>
        </w:tc>
        <w:tc>
          <w:tcPr>
            <w:tcW w:w="1421" w:type="dxa"/>
            <w:vAlign w:val="center"/>
          </w:tcPr>
          <w:p w14:paraId="48E0F802">
            <w:pPr>
              <w:pageBreakBefore w:val="0"/>
              <w:widowControl w:val="0"/>
              <w:shd w:val="clear"/>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color w:val="000000"/>
                <w:sz w:val="24"/>
                <w:szCs w:val="24"/>
              </w:rPr>
              <w:t>设备名称</w:t>
            </w:r>
          </w:p>
        </w:tc>
        <w:tc>
          <w:tcPr>
            <w:tcW w:w="6966" w:type="dxa"/>
            <w:vAlign w:val="center"/>
          </w:tcPr>
          <w:p w14:paraId="73B0D1D2">
            <w:pPr>
              <w:pageBreakBefore w:val="0"/>
              <w:widowControl w:val="0"/>
              <w:shd w:val="clear"/>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功能技术参数条款</w:t>
            </w:r>
          </w:p>
        </w:tc>
      </w:tr>
      <w:tr w14:paraId="0040C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00" w:type="dxa"/>
            <w:shd w:val="clear" w:color="auto" w:fill="auto"/>
            <w:vAlign w:val="center"/>
          </w:tcPr>
          <w:p w14:paraId="72A25E40">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2</w:t>
            </w:r>
          </w:p>
        </w:tc>
        <w:tc>
          <w:tcPr>
            <w:tcW w:w="1421" w:type="dxa"/>
            <w:shd w:val="clear" w:color="auto" w:fill="auto"/>
            <w:vAlign w:val="center"/>
          </w:tcPr>
          <w:p w14:paraId="4F4AD56E">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《网络设备配置与安全</w:t>
            </w:r>
            <w:r>
              <w:rPr>
                <w:rFonts w:ascii="宋体" w:hAnsi="宋体" w:eastAsia="宋体" w:cs="宋体"/>
                <w:b/>
                <w:bCs/>
                <w:sz w:val="21"/>
                <w:szCs w:val="21"/>
              </w:rPr>
              <w:t>资源包</w:t>
            </w:r>
            <w:r>
              <w:rPr>
                <w:rFonts w:hint="eastAsia" w:ascii="宋体" w:hAnsi="宋体" w:eastAsia="宋体" w:cs="宋体"/>
                <w:b/>
                <w:bCs/>
                <w:sz w:val="21"/>
                <w:szCs w:val="21"/>
              </w:rPr>
              <w:t>》</w:t>
            </w:r>
          </w:p>
        </w:tc>
        <w:tc>
          <w:tcPr>
            <w:tcW w:w="6966" w:type="dxa"/>
            <w:shd w:val="clear" w:color="auto" w:fill="auto"/>
            <w:vAlign w:val="top"/>
          </w:tcPr>
          <w:p w14:paraId="134A6C66">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4</w:t>
            </w:r>
            <w:r>
              <w:rPr>
                <w:rFonts w:hint="default" w:ascii="宋体" w:hAnsi="宋体" w:eastAsia="宋体" w:cs="宋体"/>
                <w:sz w:val="21"/>
                <w:szCs w:val="21"/>
                <w:lang w:val="en-US" w:eastAsia="zh-CN"/>
              </w:rPr>
              <w:t>.配套微调后的视觉运维大模型，可实现视觉运维大模型微调过程，构建</w:t>
            </w:r>
            <w:r>
              <w:rPr>
                <w:rFonts w:hint="eastAsia" w:ascii="宋体" w:hAnsi="宋体" w:eastAsia="宋体" w:cs="宋体"/>
                <w:sz w:val="21"/>
                <w:szCs w:val="21"/>
                <w:lang w:val="en-US" w:eastAsia="zh-CN"/>
              </w:rPr>
              <w:t>安全资源</w:t>
            </w:r>
            <w:r>
              <w:rPr>
                <w:rFonts w:hint="default" w:ascii="宋体" w:hAnsi="宋体" w:eastAsia="宋体" w:cs="宋体"/>
                <w:sz w:val="21"/>
                <w:szCs w:val="21"/>
                <w:lang w:val="en-US" w:eastAsia="zh-CN"/>
              </w:rPr>
              <w:t>知识图谱过程；</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tc>
      </w:tr>
      <w:tr w14:paraId="3C95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8" w:hRule="atLeast"/>
          <w:jc w:val="center"/>
        </w:trPr>
        <w:tc>
          <w:tcPr>
            <w:tcW w:w="600" w:type="dxa"/>
            <w:shd w:val="clear" w:color="auto" w:fill="auto"/>
            <w:vAlign w:val="center"/>
          </w:tcPr>
          <w:p w14:paraId="266C3280">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default" w:ascii="宋体" w:hAnsi="宋体" w:eastAsia="宋体" w:cs="宋体"/>
                <w:b/>
                <w:bCs/>
                <w:sz w:val="21"/>
                <w:szCs w:val="21"/>
                <w:lang w:val="en-US" w:eastAsia="zh-CN" w:bidi="ar-SA"/>
              </w:rPr>
            </w:pPr>
            <w:r>
              <w:rPr>
                <w:rFonts w:hint="eastAsia" w:ascii="宋体" w:hAnsi="宋体" w:eastAsia="宋体" w:cs="宋体"/>
                <w:b/>
                <w:bCs/>
                <w:sz w:val="21"/>
                <w:szCs w:val="21"/>
              </w:rPr>
              <w:t>3</w:t>
            </w:r>
          </w:p>
        </w:tc>
        <w:tc>
          <w:tcPr>
            <w:tcW w:w="1421" w:type="dxa"/>
            <w:shd w:val="clear" w:color="auto" w:fill="auto"/>
            <w:vAlign w:val="center"/>
          </w:tcPr>
          <w:p w14:paraId="2388BF2B">
            <w:pPr>
              <w:keepNext w:val="0"/>
              <w:keepLines w:val="0"/>
              <w:pageBreakBefore w:val="0"/>
              <w:widowControl/>
              <w:shd w:val="clear"/>
              <w:kinsoku/>
              <w:wordWrap/>
              <w:overflowPunct/>
              <w:topLinePunct w:val="0"/>
              <w:autoSpaceDE/>
              <w:autoSpaceDN/>
              <w:bidi w:val="0"/>
              <w:adjustRightInd w:val="0"/>
              <w:snapToGrid w:val="0"/>
              <w:spacing w:line="32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color w:val="auto"/>
                <w:sz w:val="21"/>
                <w:szCs w:val="21"/>
              </w:rPr>
              <w:t>船舶安全综合实训平台</w:t>
            </w:r>
          </w:p>
        </w:tc>
        <w:tc>
          <w:tcPr>
            <w:tcW w:w="6966" w:type="dxa"/>
            <w:shd w:val="clear" w:color="auto" w:fill="auto"/>
            <w:vAlign w:val="top"/>
          </w:tcPr>
          <w:p w14:paraId="6707C856">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二、云原生的边缘计算系统</w:t>
            </w:r>
          </w:p>
          <w:p w14:paraId="4608D8F6">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w:t>
            </w:r>
            <w:r>
              <w:rPr>
                <w:rFonts w:hint="default" w:ascii="宋体" w:hAnsi="宋体" w:eastAsia="宋体" w:cs="宋体"/>
                <w:sz w:val="21"/>
                <w:szCs w:val="21"/>
                <w:lang w:val="en-US" w:eastAsia="zh-CN"/>
              </w:rPr>
              <w:t>.具有神经网络迁移学习可视化平台，</w:t>
            </w:r>
            <w:r>
              <w:rPr>
                <w:rFonts w:hint="eastAsia" w:ascii="宋体" w:hAnsi="宋体" w:eastAsia="宋体" w:cs="宋体"/>
                <w:sz w:val="21"/>
                <w:szCs w:val="21"/>
                <w:lang w:val="en-US" w:eastAsia="zh-CN"/>
              </w:rPr>
              <w:t>能</w:t>
            </w:r>
            <w:r>
              <w:rPr>
                <w:rFonts w:hint="default" w:ascii="宋体" w:hAnsi="宋体" w:eastAsia="宋体" w:cs="宋体"/>
                <w:sz w:val="21"/>
                <w:szCs w:val="21"/>
                <w:lang w:val="en-US" w:eastAsia="zh-CN"/>
              </w:rPr>
              <w:t>可视化多分类神经网络、迁移学习与神经网络结构</w:t>
            </w:r>
            <w:r>
              <w:rPr>
                <w:rFonts w:hint="eastAsia" w:ascii="宋体" w:hAnsi="宋体" w:eastAsia="宋体" w:cs="宋体"/>
                <w:sz w:val="21"/>
                <w:szCs w:val="21"/>
                <w:lang w:val="en-US" w:eastAsia="zh-CN"/>
              </w:rPr>
              <w:t>,实现数据分类</w:t>
            </w:r>
            <w:r>
              <w:rPr>
                <w:rFonts w:hint="default" w:ascii="宋体" w:hAnsi="宋体" w:eastAsia="宋体" w:cs="宋体"/>
                <w:sz w:val="21"/>
                <w:szCs w:val="21"/>
                <w:lang w:val="en-US" w:eastAsia="zh-CN"/>
              </w:rPr>
              <w:t>；</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p w14:paraId="07E52C56">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三、船舶设备预测性维护系统</w:t>
            </w:r>
          </w:p>
          <w:p w14:paraId="225449FB">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3.支持基于矩形框和关键点的多形式目标定位，能够实现船舶复杂设备结构中的层级化、部件级精准定位，并以标准化JSON 格式输出检测结果，便于系统集成。</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p w14:paraId="528C4760">
            <w:pPr>
              <w:keepNext w:val="0"/>
              <w:keepLines w:val="0"/>
              <w:pageBreakBefore w:val="0"/>
              <w:shd w:val="clear"/>
              <w:kinsoku/>
              <w:wordWrap/>
              <w:overflowPunct/>
              <w:topLinePunct w:val="0"/>
              <w:autoSpaceDE/>
              <w:autoSpaceDN/>
              <w:bidi w:val="0"/>
              <w:spacing w:line="320" w:lineRule="exact"/>
              <w:ind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4.配套船舶数据采集通信虚拟仿真软件，用计算机软件的方式来实现硬件设备的功能，在软件平台上可完成器件认知、硬件工程接线、通信协议配置、应用软件开发等实训。</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p w14:paraId="35DB0B02">
            <w:pPr>
              <w:keepNext w:val="0"/>
              <w:keepLines w:val="0"/>
              <w:pageBreakBefore w:val="0"/>
              <w:shd w:val="clear"/>
              <w:kinsoku/>
              <w:wordWrap/>
              <w:overflowPunct/>
              <w:topLinePunct w:val="0"/>
              <w:autoSpaceDE/>
              <w:autoSpaceDN/>
              <w:bidi w:val="0"/>
              <w:spacing w:line="320" w:lineRule="exact"/>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四、船舶设备远程运维管理系统</w:t>
            </w:r>
          </w:p>
          <w:p w14:paraId="12055669">
            <w:pPr>
              <w:keepNext w:val="0"/>
              <w:keepLines w:val="0"/>
              <w:pageBreakBefore w:val="0"/>
              <w:shd w:val="clear"/>
              <w:kinsoku/>
              <w:wordWrap/>
              <w:overflowPunct/>
              <w:topLinePunct w:val="0"/>
              <w:autoSpaceDE/>
              <w:autoSpaceDN/>
              <w:bidi w:val="0"/>
              <w:spacing w:line="32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6</w:t>
            </w:r>
            <w:r>
              <w:rPr>
                <w:rFonts w:hint="default" w:ascii="宋体" w:hAnsi="宋体" w:eastAsia="宋体" w:cs="宋体"/>
                <w:sz w:val="21"/>
                <w:szCs w:val="21"/>
                <w:lang w:val="en-US" w:eastAsia="zh-CN"/>
              </w:rPr>
              <w:t>.具有图像分类和图像分割模型，使用深度学习模型，对图像进行分类，实现对图像中物体的实例分割、GAN网络图像生成，部署的模型需实现ONNX转化部署轻量模型运行在终端</w:t>
            </w:r>
            <w:r>
              <w:rPr>
                <w:rFonts w:hint="eastAsia" w:ascii="宋体" w:hAnsi="宋体" w:eastAsia="宋体" w:cs="宋体"/>
                <w:sz w:val="21"/>
                <w:szCs w:val="21"/>
                <w:lang w:val="en-US" w:eastAsia="zh-CN"/>
              </w:rPr>
              <w:t>。</w:t>
            </w:r>
            <w:r>
              <w:rPr>
                <w:rFonts w:hint="default" w:ascii="宋体" w:hAnsi="宋体" w:eastAsia="宋体" w:cs="宋体"/>
                <w:b/>
                <w:bCs/>
                <w:sz w:val="21"/>
                <w:szCs w:val="21"/>
                <w:u w:val="single"/>
                <w:lang w:val="en-US" w:eastAsia="zh-CN"/>
              </w:rPr>
              <w:t>（提供功能演示视频</w:t>
            </w:r>
            <w:r>
              <w:rPr>
                <w:rFonts w:hint="eastAsia" w:ascii="宋体" w:hAnsi="宋体" w:eastAsia="宋体" w:cs="宋体"/>
                <w:b/>
                <w:bCs/>
                <w:sz w:val="21"/>
                <w:szCs w:val="21"/>
                <w:u w:val="single"/>
                <w:lang w:val="en-US" w:eastAsia="zh-CN"/>
              </w:rPr>
              <w:t>。</w:t>
            </w:r>
            <w:r>
              <w:rPr>
                <w:rFonts w:hint="default" w:ascii="宋体" w:hAnsi="宋体" w:eastAsia="宋体" w:cs="宋体"/>
                <w:b/>
                <w:bCs/>
                <w:sz w:val="21"/>
                <w:szCs w:val="21"/>
                <w:u w:val="single"/>
                <w:lang w:val="en-US" w:eastAsia="zh-CN"/>
              </w:rPr>
              <w:t>）</w:t>
            </w:r>
          </w:p>
        </w:tc>
      </w:tr>
    </w:tbl>
    <w:p w14:paraId="3AE9988D">
      <w:pPr>
        <w:pStyle w:val="4"/>
        <w:numPr>
          <w:ilvl w:val="0"/>
          <w:numId w:val="0"/>
        </w:numPr>
        <w:shd w:val="clear"/>
        <w:spacing w:line="360" w:lineRule="auto"/>
        <w:ind w:left="0" w:leftChars="0" w:firstLine="482"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供应商需按照</w:t>
      </w:r>
      <w:r>
        <w:rPr>
          <w:rFonts w:hint="eastAsia" w:ascii="宋体" w:hAnsi="宋体" w:eastAsia="宋体" w:cs="宋体"/>
          <w:sz w:val="24"/>
          <w:szCs w:val="24"/>
          <w:lang w:eastAsia="zh-CN"/>
        </w:rPr>
        <w:t>以上要求</w:t>
      </w:r>
      <w:r>
        <w:rPr>
          <w:rFonts w:hint="eastAsia" w:ascii="宋体" w:hAnsi="宋体" w:eastAsia="宋体" w:cs="宋体"/>
          <w:sz w:val="24"/>
          <w:szCs w:val="24"/>
        </w:rPr>
        <w:t>的演示内容制作演示视频文件，视频文件的格式为*.mp4或*.avi，供应商须将视频文件分段压缩为*.zip文件上传（单个文件不得大于50M，所有文件总共不得大于300M）。文件上传方式见《江苏省政府采购管理交易系统（苏采云）供应商操作手册》规定，上传的演示视频将作为投标文件的组成部分</w:t>
      </w:r>
      <w:r>
        <w:rPr>
          <w:rFonts w:hint="eastAsia" w:ascii="宋体" w:hAnsi="宋体" w:eastAsia="宋体" w:cs="宋体"/>
          <w:sz w:val="24"/>
          <w:szCs w:val="24"/>
          <w:lang w:eastAsia="zh-CN"/>
        </w:rPr>
        <w:t>。</w:t>
      </w:r>
    </w:p>
    <w:p w14:paraId="2406ED87">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color w:val="000000"/>
          <w:sz w:val="24"/>
          <w:szCs w:val="24"/>
        </w:rPr>
        <w:t>九、</w:t>
      </w:r>
      <w:r>
        <w:rPr>
          <w:rFonts w:hint="eastAsia" w:ascii="宋体" w:hAnsi="宋体" w:eastAsia="宋体" w:cs="宋体"/>
          <w:b/>
          <w:bCs/>
          <w:kern w:val="2"/>
          <w:sz w:val="24"/>
          <w:szCs w:val="24"/>
        </w:rPr>
        <w:t>采购标的付款方式</w:t>
      </w:r>
    </w:p>
    <w:p w14:paraId="38D31C20">
      <w:pPr>
        <w:keepNext w:val="0"/>
        <w:keepLines w:val="0"/>
        <w:pageBreakBefore w:val="0"/>
        <w:shd w:val="clear"/>
        <w:kinsoku/>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1.付款方式</w:t>
      </w:r>
    </w:p>
    <w:p w14:paraId="15EAC76D">
      <w:pPr>
        <w:keepNext w:val="0"/>
        <w:keepLines w:val="0"/>
        <w:pageBreakBefore w:val="0"/>
        <w:shd w:val="clear"/>
        <w:kinsoku/>
        <w:overflowPunct/>
        <w:topLinePunct w:val="0"/>
        <w:autoSpaceDE/>
        <w:autoSpaceDN/>
        <w:bidi w:val="0"/>
        <w:adjustRightInd/>
        <w:spacing w:line="360" w:lineRule="auto"/>
        <w:ind w:firstLine="480" w:firstLineChars="200"/>
        <w:textAlignment w:val="auto"/>
        <w:outlineLvl w:val="3"/>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t>项目安装调试完毕后，经</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根据合同条款正式验收，正式验收合格（以采购人正式验收报告为准)</w:t>
      </w:r>
      <w:r>
        <w:rPr>
          <w:rFonts w:hint="eastAsia" w:ascii="宋体" w:hAnsi="宋体" w:eastAsia="宋体" w:cs="宋体"/>
          <w:sz w:val="24"/>
          <w:szCs w:val="24"/>
          <w:highlight w:val="none"/>
          <w:lang w:eastAsia="zh-CN"/>
        </w:rPr>
        <w:t>并审计，</w:t>
      </w:r>
      <w:r>
        <w:rPr>
          <w:rFonts w:hint="eastAsia" w:ascii="宋体" w:hAnsi="宋体" w:eastAsia="宋体" w:cs="宋体"/>
          <w:sz w:val="24"/>
          <w:szCs w:val="24"/>
          <w:highlight w:val="none"/>
        </w:rPr>
        <w:t>审计结束后10日内</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付至审定价的100%。</w:t>
      </w:r>
    </w:p>
    <w:p w14:paraId="6AF1653B">
      <w:pPr>
        <w:keepNext w:val="0"/>
        <w:keepLines w:val="0"/>
        <w:pageBreakBefore w:val="0"/>
        <w:shd w:val="clear"/>
        <w:kinsoku/>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2.中标人凭以下文件资料申请支付合同款 </w:t>
      </w:r>
    </w:p>
    <w:p w14:paraId="49C570F5">
      <w:pPr>
        <w:keepNext w:val="0"/>
        <w:keepLines w:val="0"/>
        <w:pageBreakBefore w:val="0"/>
        <w:shd w:val="clear"/>
        <w:kinsoku/>
        <w:overflowPunct/>
        <w:topLinePunct w:val="0"/>
        <w:autoSpaceDE/>
        <w:autoSpaceDN/>
        <w:bidi w:val="0"/>
        <w:adjustRightInd/>
        <w:spacing w:line="360" w:lineRule="auto"/>
        <w:ind w:firstLine="480" w:firstLineChars="200"/>
        <w:textAlignment w:val="auto"/>
        <w:outlineLvl w:val="3"/>
        <w:rPr>
          <w:rFonts w:hint="eastAsia" w:ascii="宋体" w:hAnsi="宋体" w:eastAsia="宋体" w:cs="宋体"/>
          <w:sz w:val="24"/>
          <w:szCs w:val="24"/>
        </w:rPr>
      </w:pPr>
      <w:r>
        <w:rPr>
          <w:rFonts w:hint="eastAsia" w:ascii="宋体" w:hAnsi="宋体" w:eastAsia="宋体" w:cs="宋体"/>
          <w:sz w:val="24"/>
          <w:szCs w:val="24"/>
        </w:rPr>
        <w:t xml:space="preserve">（1）采购合同； </w:t>
      </w:r>
    </w:p>
    <w:p w14:paraId="368B4FD4">
      <w:pPr>
        <w:keepNext w:val="0"/>
        <w:keepLines w:val="0"/>
        <w:pageBreakBefore w:val="0"/>
        <w:shd w:val="clear"/>
        <w:kinsoku/>
        <w:overflowPunct/>
        <w:topLinePunct w:val="0"/>
        <w:autoSpaceDE/>
        <w:autoSpaceDN/>
        <w:bidi w:val="0"/>
        <w:adjustRightInd/>
        <w:spacing w:line="360" w:lineRule="auto"/>
        <w:ind w:firstLine="480" w:firstLineChars="200"/>
        <w:textAlignment w:val="auto"/>
        <w:outlineLvl w:val="3"/>
        <w:rPr>
          <w:rFonts w:hint="eastAsia" w:ascii="宋体" w:hAnsi="宋体" w:eastAsia="宋体" w:cs="宋体"/>
          <w:sz w:val="24"/>
          <w:szCs w:val="24"/>
        </w:rPr>
      </w:pPr>
      <w:r>
        <w:rPr>
          <w:rFonts w:hint="eastAsia" w:ascii="宋体" w:hAnsi="宋体" w:eastAsia="宋体" w:cs="宋体"/>
          <w:sz w:val="24"/>
          <w:szCs w:val="24"/>
        </w:rPr>
        <w:t xml:space="preserve">（2）中标通知书复印件或扫描件； </w:t>
      </w:r>
    </w:p>
    <w:p w14:paraId="19825647">
      <w:pPr>
        <w:keepNext w:val="0"/>
        <w:keepLines w:val="0"/>
        <w:pageBreakBefore w:val="0"/>
        <w:shd w:val="clear"/>
        <w:kinsoku/>
        <w:overflowPunct/>
        <w:topLinePunct w:val="0"/>
        <w:autoSpaceDE/>
        <w:autoSpaceDN/>
        <w:bidi w:val="0"/>
        <w:adjustRightInd/>
        <w:spacing w:line="360" w:lineRule="auto"/>
        <w:ind w:firstLine="480" w:firstLineChars="200"/>
        <w:textAlignment w:val="auto"/>
        <w:outlineLvl w:val="3"/>
        <w:rPr>
          <w:rFonts w:hint="eastAsia" w:ascii="宋体" w:hAnsi="宋体" w:eastAsia="宋体" w:cs="宋体"/>
          <w:sz w:val="24"/>
          <w:szCs w:val="24"/>
        </w:rPr>
      </w:pPr>
      <w:r>
        <w:rPr>
          <w:rFonts w:hint="eastAsia" w:ascii="宋体" w:hAnsi="宋体" w:eastAsia="宋体" w:cs="宋体"/>
          <w:sz w:val="24"/>
          <w:szCs w:val="24"/>
        </w:rPr>
        <w:t>（3）中标人开具的国家税务机关监制的</w:t>
      </w:r>
      <w:r>
        <w:rPr>
          <w:rFonts w:hint="eastAsia" w:ascii="宋体" w:hAnsi="宋体" w:eastAsia="宋体" w:cs="宋体"/>
          <w:sz w:val="24"/>
          <w:szCs w:val="24"/>
          <w:lang w:eastAsia="zh-CN"/>
        </w:rPr>
        <w:t>符合采购人要求的</w:t>
      </w:r>
      <w:r>
        <w:rPr>
          <w:rFonts w:hint="eastAsia" w:ascii="宋体" w:hAnsi="宋体" w:eastAsia="宋体" w:cs="宋体"/>
          <w:sz w:val="24"/>
          <w:szCs w:val="24"/>
        </w:rPr>
        <w:t>增值税</w:t>
      </w:r>
      <w:r>
        <w:rPr>
          <w:rFonts w:hint="eastAsia" w:ascii="宋体" w:hAnsi="宋体" w:eastAsia="宋体" w:cs="宋体"/>
          <w:sz w:val="24"/>
          <w:szCs w:val="24"/>
          <w:lang w:val="en-US" w:eastAsia="zh-CN"/>
        </w:rPr>
        <w:t>专用</w:t>
      </w:r>
      <w:r>
        <w:rPr>
          <w:rFonts w:hint="eastAsia" w:ascii="宋体" w:hAnsi="宋体" w:eastAsia="宋体" w:cs="宋体"/>
          <w:sz w:val="24"/>
          <w:szCs w:val="24"/>
        </w:rPr>
        <w:t>发票；</w:t>
      </w:r>
    </w:p>
    <w:p w14:paraId="3834A89A">
      <w:pPr>
        <w:keepNext w:val="0"/>
        <w:keepLines w:val="0"/>
        <w:pageBreakBefore w:val="0"/>
        <w:shd w:val="clear"/>
        <w:kinsoku/>
        <w:overflowPunct/>
        <w:topLinePunct w:val="0"/>
        <w:autoSpaceDE/>
        <w:autoSpaceDN/>
        <w:bidi w:val="0"/>
        <w:adjustRightInd/>
        <w:spacing w:line="360" w:lineRule="auto"/>
        <w:ind w:firstLine="480" w:firstLineChars="200"/>
        <w:textAlignment w:val="auto"/>
        <w:outlineLvl w:val="3"/>
        <w:rPr>
          <w:rFonts w:hint="eastAsia" w:ascii="宋体" w:hAnsi="宋体" w:eastAsia="宋体" w:cs="宋体"/>
          <w:sz w:val="24"/>
          <w:szCs w:val="24"/>
        </w:rPr>
      </w:pPr>
      <w:r>
        <w:rPr>
          <w:rFonts w:hint="eastAsia" w:ascii="宋体" w:hAnsi="宋体" w:eastAsia="宋体" w:cs="宋体"/>
          <w:sz w:val="24"/>
          <w:szCs w:val="24"/>
        </w:rPr>
        <w:t>（4）采购人已收讫货物的验收凭证；</w:t>
      </w:r>
    </w:p>
    <w:p w14:paraId="5734E85F">
      <w:pPr>
        <w:keepNext w:val="0"/>
        <w:keepLines w:val="0"/>
        <w:pageBreakBefore w:val="0"/>
        <w:shd w:val="clear"/>
        <w:kinsoku/>
        <w:overflowPunct/>
        <w:topLinePunct w:val="0"/>
        <w:autoSpaceDE/>
        <w:autoSpaceDN/>
        <w:bidi w:val="0"/>
        <w:adjustRightInd/>
        <w:spacing w:line="360" w:lineRule="auto"/>
        <w:ind w:firstLine="480" w:firstLineChars="200"/>
        <w:textAlignment w:val="auto"/>
        <w:outlineLvl w:val="3"/>
        <w:rPr>
          <w:rFonts w:hint="eastAsia" w:ascii="宋体" w:hAnsi="宋体" w:eastAsia="宋体" w:cs="宋体"/>
          <w:sz w:val="24"/>
          <w:szCs w:val="24"/>
        </w:rPr>
      </w:pPr>
      <w:r>
        <w:rPr>
          <w:rFonts w:hint="eastAsia" w:ascii="宋体" w:hAnsi="宋体" w:eastAsia="宋体" w:cs="宋体"/>
          <w:sz w:val="24"/>
          <w:szCs w:val="24"/>
        </w:rPr>
        <w:t xml:space="preserve">（5）采购人签发的验收合格文件。 </w:t>
      </w:r>
    </w:p>
    <w:p w14:paraId="23C368D8">
      <w:pPr>
        <w:keepNext w:val="0"/>
        <w:keepLines w:val="0"/>
        <w:pageBreakBefore w:val="0"/>
        <w:shd w:val="clear"/>
        <w:kinsoku/>
        <w:overflowPunct/>
        <w:topLinePunct w:val="0"/>
        <w:autoSpaceDE/>
        <w:autoSpaceDN/>
        <w:bidi w:val="0"/>
        <w:adjustRightInd/>
        <w:spacing w:line="360" w:lineRule="auto"/>
        <w:ind w:firstLine="480" w:firstLineChars="200"/>
        <w:textAlignment w:val="auto"/>
        <w:outlineLvl w:val="3"/>
        <w:rPr>
          <w:rFonts w:hint="eastAsia" w:ascii="宋体" w:hAnsi="宋体" w:eastAsia="宋体" w:cs="宋体"/>
          <w:color w:val="3D4B64"/>
          <w:sz w:val="24"/>
          <w:szCs w:val="24"/>
        </w:rPr>
      </w:pPr>
      <w:r>
        <w:rPr>
          <w:rFonts w:hint="eastAsia" w:ascii="宋体" w:hAnsi="宋体" w:eastAsia="宋体" w:cs="宋体"/>
          <w:sz w:val="24"/>
          <w:szCs w:val="24"/>
        </w:rPr>
        <w:t>3.因采购人使用的是财政资金，采购人在前款规定的付款时间为向政府采购支付部门提出办理财政支付申请手续的时间（不含政府财政支付部门审核的时间），在规定时间内提出支付申请手续后即视为采购人是按期支付。</w:t>
      </w:r>
    </w:p>
    <w:p w14:paraId="1A99E244">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color w:val="000000"/>
          <w:sz w:val="24"/>
          <w:szCs w:val="24"/>
        </w:rPr>
        <w:t>十、违约责任</w:t>
      </w:r>
    </w:p>
    <w:p w14:paraId="1C89FC3C">
      <w:pPr>
        <w:keepNext w:val="0"/>
        <w:keepLines w:val="0"/>
        <w:pageBreakBefore w:val="0"/>
        <w:shd w:val="clear"/>
        <w:kinsoku/>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1.采购人无正当理由未按合同规定的期限向中标人支付货款的，每逾期1天采购人向中标人支付该批次货款总额的0.04%滞纳金，批次累计滞纳金总额不超过批次欠款总额的0.6%。</w:t>
      </w:r>
    </w:p>
    <w:p w14:paraId="749E3FBE">
      <w:pPr>
        <w:keepNext w:val="0"/>
        <w:keepLines w:val="0"/>
        <w:pageBreakBefore w:val="0"/>
        <w:shd w:val="clear"/>
        <w:kinsoku/>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2.中标人逾期交付货物的，每逾期1天，中标人向采购人偿付支付该批次货款总额的0.04%滞纳金，批次累计滞纳金总额不超过批次总额的0.6%。</w:t>
      </w:r>
    </w:p>
    <w:p w14:paraId="760053D5">
      <w:pPr>
        <w:keepNext w:val="0"/>
        <w:keepLines w:val="0"/>
        <w:pageBreakBefore w:val="0"/>
        <w:shd w:val="clear"/>
        <w:kinsoku/>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中标人所交付的货物品种、型号、规格不符合合同规定，中标人需在收到书面通知15日内解决退换货问题，因退换货造成逾期交付的，中标人需交纳逾期滞纳金，逾期滞纳金按原收货截止日次日起计至合格货物收到之日止，每逾期1天，按本批次货款总额的0.04%计算。若中标人在15日退换货期限内不能完成供货，除每日按本批次货款总额的0.04%计算滞纳金外，还应支付每日1万元罚款，直至供货日止。若中标人在以上合计</w:t>
      </w:r>
      <w:r>
        <w:rPr>
          <w:rFonts w:hint="eastAsia" w:ascii="宋体" w:hAnsi="宋体" w:eastAsia="宋体" w:cs="宋体"/>
          <w:sz w:val="24"/>
          <w:szCs w:val="24"/>
          <w:lang w:val="en-US" w:eastAsia="zh-CN"/>
        </w:rPr>
        <w:t>9</w:t>
      </w:r>
      <w:r>
        <w:rPr>
          <w:rFonts w:hint="eastAsia" w:ascii="宋体" w:hAnsi="宋体" w:eastAsia="宋体" w:cs="宋体"/>
          <w:sz w:val="24"/>
          <w:szCs w:val="24"/>
        </w:rPr>
        <w:t>0天期限内仍不能完成供货，将被处以此批货款30%的罚款，同时处罚履约保证金的50%，采购人可采取必要的补救措施，但由此引发的风险和费用将由中标人承担。</w:t>
      </w:r>
    </w:p>
    <w:p w14:paraId="059CFD4E">
      <w:pPr>
        <w:keepNext w:val="0"/>
        <w:keepLines w:val="0"/>
        <w:pageBreakBefore w:val="0"/>
        <w:shd w:val="clear"/>
        <w:kinsoku/>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4.中标人未按合同规定的和“服务承诺”提供的售后服务的，应按合同总价款的8%向采购人承担违约责任。</w:t>
      </w:r>
    </w:p>
    <w:p w14:paraId="72AE549A">
      <w:pPr>
        <w:pStyle w:val="5"/>
        <w:keepNext w:val="0"/>
        <w:keepLines w:val="0"/>
        <w:pageBreakBefore w:val="0"/>
        <w:shd w:val="clear"/>
        <w:tabs>
          <w:tab w:val="left" w:pos="0"/>
        </w:tabs>
        <w:kinsoku/>
        <w:overflowPunct/>
        <w:topLinePunct w:val="0"/>
        <w:autoSpaceDE/>
        <w:autoSpaceDN/>
        <w:bidi w:val="0"/>
        <w:adjustRightInd/>
        <w:snapToGrid w:val="0"/>
        <w:spacing w:before="120" w:after="120" w:line="360" w:lineRule="auto"/>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w:t>
      </w:r>
      <w:r>
        <w:rPr>
          <w:rFonts w:hint="eastAsia" w:ascii="宋体" w:hAnsi="宋体" w:eastAsia="宋体" w:cs="宋体"/>
          <w:b/>
          <w:bCs/>
          <w:color w:val="000000"/>
          <w:sz w:val="24"/>
          <w:szCs w:val="24"/>
          <w:lang w:eastAsia="zh-CN"/>
        </w:rPr>
        <w:t>一</w:t>
      </w:r>
      <w:r>
        <w:rPr>
          <w:rFonts w:hint="eastAsia" w:ascii="宋体" w:hAnsi="宋体" w:eastAsia="宋体" w:cs="宋体"/>
          <w:b/>
          <w:bCs/>
          <w:color w:val="000000"/>
          <w:sz w:val="24"/>
          <w:szCs w:val="24"/>
        </w:rPr>
        <w:t>、本项目不接受进口产品投标</w:t>
      </w:r>
    </w:p>
    <w:p w14:paraId="24F08BC9">
      <w:pPr>
        <w:shd w:val="clear"/>
        <w:spacing w:line="360" w:lineRule="auto"/>
        <w:jc w:val="center"/>
        <w:rPr>
          <w:rFonts w:eastAsia="宋体" w:cs="宋体"/>
          <w:color w:val="000000"/>
        </w:rPr>
      </w:pPr>
      <w:r>
        <w:rPr>
          <w:rFonts w:hint="eastAsia" w:eastAsia="宋体" w:cs="宋体"/>
          <w:b/>
          <w:color w:val="000000"/>
          <w:sz w:val="36"/>
          <w:szCs w:val="36"/>
        </w:rPr>
        <w:br w:type="page" w:clear="all"/>
      </w:r>
      <w:r>
        <w:rPr>
          <w:rFonts w:hint="eastAsia" w:eastAsia="宋体" w:cs="宋体"/>
          <w:b/>
          <w:color w:val="000000"/>
          <w:sz w:val="36"/>
          <w:szCs w:val="36"/>
        </w:rPr>
        <w:t>第四章  评审方法和程序</w:t>
      </w:r>
      <w:bookmarkEnd w:id="8"/>
    </w:p>
    <w:p w14:paraId="3B2F70F7">
      <w:pPr>
        <w:shd w:val="clear"/>
        <w:spacing w:line="360" w:lineRule="auto"/>
        <w:ind w:firstLine="480"/>
        <w:rPr>
          <w:rFonts w:eastAsia="宋体" w:cs="宋体"/>
          <w:b/>
          <w:color w:val="000000"/>
          <w:sz w:val="24"/>
          <w:szCs w:val="24"/>
        </w:rPr>
      </w:pPr>
    </w:p>
    <w:p w14:paraId="260D907E">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rPr>
        <w:t>一、</w:t>
      </w:r>
      <w:r>
        <w:rPr>
          <w:rFonts w:hint="eastAsia" w:ascii="宋体" w:hAnsi="宋体" w:eastAsia="宋体" w:cs="宋体"/>
          <w:b/>
          <w:color w:val="000000"/>
          <w:sz w:val="24"/>
          <w:szCs w:val="24"/>
          <w:lang w:eastAsia="zh-CN"/>
        </w:rPr>
        <w:t>采购人</w:t>
      </w:r>
      <w:r>
        <w:rPr>
          <w:rFonts w:hint="eastAsia" w:ascii="宋体" w:hAnsi="宋体" w:eastAsia="宋体" w:cs="宋体"/>
          <w:b/>
          <w:color w:val="000000"/>
          <w:sz w:val="24"/>
          <w:szCs w:val="24"/>
        </w:rPr>
        <w:t>委托招标代理机构组织招标</w:t>
      </w:r>
    </w:p>
    <w:p w14:paraId="716D06AA">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1.成立评标委员会小组，评标委员会由</w:t>
      </w:r>
      <w:r>
        <w:rPr>
          <w:rFonts w:hint="eastAsia" w:ascii="宋体" w:hAnsi="宋体" w:eastAsia="宋体" w:cs="宋体"/>
          <w:sz w:val="24"/>
          <w:szCs w:val="24"/>
          <w:lang w:eastAsia="zh-CN"/>
        </w:rPr>
        <w:t>采购人</w:t>
      </w:r>
      <w:r>
        <w:rPr>
          <w:rFonts w:hint="eastAsia" w:ascii="宋体" w:hAnsi="宋体" w:eastAsia="宋体" w:cs="宋体"/>
          <w:sz w:val="24"/>
          <w:szCs w:val="24"/>
        </w:rPr>
        <w:t>代表和评审专家组成，成员人数应当为</w:t>
      </w:r>
      <w:r>
        <w:rPr>
          <w:rFonts w:hint="eastAsia" w:ascii="宋体" w:hAnsi="宋体" w:eastAsia="宋体" w:cs="宋体"/>
          <w:b/>
          <w:bCs/>
          <w:sz w:val="24"/>
          <w:szCs w:val="24"/>
        </w:rPr>
        <w:t>5</w:t>
      </w:r>
      <w:r>
        <w:rPr>
          <w:rFonts w:hint="eastAsia" w:ascii="宋体" w:hAnsi="宋体" w:eastAsia="宋体" w:cs="宋体"/>
          <w:sz w:val="24"/>
          <w:szCs w:val="24"/>
        </w:rPr>
        <w:t>人以上单数，其中评审专家不得少于成员总数的三分之二。</w:t>
      </w:r>
    </w:p>
    <w:p w14:paraId="7EA5A03D">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rPr>
        <w:t>二、开标</w:t>
      </w:r>
    </w:p>
    <w:p w14:paraId="3301475C">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1.不见面远程开标模式：开标当天各投标人在各自地点通过苏采云系统及时登录不见面开标大厅，参加投标活动。</w:t>
      </w:r>
    </w:p>
    <w:p w14:paraId="531B705C">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2.招标代理机构主持开标并记录，及时处理投标人代表提出的询问或者回避申请。</w:t>
      </w:r>
    </w:p>
    <w:p w14:paraId="5EB24E64">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3.投标人不足3家的不得开标。</w:t>
      </w:r>
    </w:p>
    <w:p w14:paraId="79762B6A">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rPr>
        <w:t>三、资格审查</w:t>
      </w:r>
    </w:p>
    <w:p w14:paraId="456C8096">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1.开标后，</w:t>
      </w:r>
      <w:r>
        <w:rPr>
          <w:rFonts w:hint="eastAsia" w:ascii="宋体" w:hAnsi="宋体" w:eastAsia="宋体" w:cs="宋体"/>
          <w:sz w:val="24"/>
          <w:szCs w:val="24"/>
          <w:lang w:eastAsia="zh-CN"/>
        </w:rPr>
        <w:t>采购人</w:t>
      </w:r>
      <w:r>
        <w:rPr>
          <w:rFonts w:hint="eastAsia" w:ascii="宋体" w:hAnsi="宋体" w:eastAsia="宋体" w:cs="宋体"/>
          <w:sz w:val="24"/>
          <w:szCs w:val="24"/>
        </w:rPr>
        <w:t>及其委托的采购代理机构依据相关法律政策的规定，根据招标文件载明的资格审查要求，对投标人的资格进行审查。</w:t>
      </w:r>
    </w:p>
    <w:p w14:paraId="6E8DD6BA">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2.资格审查合格的投标人进入评标。</w:t>
      </w:r>
    </w:p>
    <w:p w14:paraId="52738E69">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3.合格投标人不足3家的，不得评标。</w:t>
      </w:r>
    </w:p>
    <w:p w14:paraId="362B4144">
      <w:pPr>
        <w:shd w:val="clear"/>
        <w:spacing w:line="360" w:lineRule="auto"/>
        <w:ind w:firstLine="480"/>
        <w:contextualSpacing/>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四、评标</w:t>
      </w:r>
    </w:p>
    <w:p w14:paraId="34738F7E">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1.评标时间：</w:t>
      </w:r>
      <w:r>
        <w:rPr>
          <w:rFonts w:hint="eastAsia" w:ascii="宋体" w:hAnsi="宋体" w:eastAsia="宋体" w:cs="宋体"/>
          <w:b/>
          <w:bCs/>
          <w:sz w:val="24"/>
          <w:szCs w:val="24"/>
        </w:rPr>
        <w:t>资格审查结束以后</w:t>
      </w:r>
      <w:r>
        <w:rPr>
          <w:rFonts w:hint="eastAsia" w:ascii="宋体" w:hAnsi="宋体" w:eastAsia="宋体" w:cs="宋体"/>
          <w:sz w:val="24"/>
          <w:szCs w:val="24"/>
        </w:rPr>
        <w:t>。</w:t>
      </w:r>
    </w:p>
    <w:p w14:paraId="50549AAE">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2.招标代理机构负责组织评标工作，并履行下列职责：</w:t>
      </w:r>
    </w:p>
    <w:p w14:paraId="58BEF11B">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（1）核对评审专家身份和</w:t>
      </w:r>
      <w:r>
        <w:rPr>
          <w:rFonts w:hint="eastAsia" w:ascii="宋体" w:hAnsi="宋体" w:eastAsia="宋体" w:cs="宋体"/>
          <w:sz w:val="24"/>
          <w:szCs w:val="24"/>
          <w:lang w:eastAsia="zh-CN"/>
        </w:rPr>
        <w:t>采购人</w:t>
      </w:r>
      <w:r>
        <w:rPr>
          <w:rFonts w:hint="eastAsia" w:ascii="宋体" w:hAnsi="宋体" w:eastAsia="宋体" w:cs="宋体"/>
          <w:sz w:val="24"/>
          <w:szCs w:val="24"/>
        </w:rPr>
        <w:t>代表授权函，对评审专家在招标采购活动中的职责履行情况予以记录，并及时将有关违法违规行为向相关部门报告。</w:t>
      </w:r>
    </w:p>
    <w:p w14:paraId="3034883A">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（2）宣布评标纪律。</w:t>
      </w:r>
    </w:p>
    <w:p w14:paraId="6A5AF6BA">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（3）公布投标人名单，告知评审专家应当回避的情形。</w:t>
      </w:r>
    </w:p>
    <w:p w14:paraId="3EB83FB9">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（4）组织评标委员会推选评标组长，</w:t>
      </w:r>
      <w:r>
        <w:rPr>
          <w:rFonts w:hint="eastAsia" w:ascii="宋体" w:hAnsi="宋体" w:eastAsia="宋体" w:cs="宋体"/>
          <w:sz w:val="24"/>
          <w:szCs w:val="24"/>
          <w:lang w:eastAsia="zh-CN"/>
        </w:rPr>
        <w:t>采购人</w:t>
      </w:r>
      <w:r>
        <w:rPr>
          <w:rFonts w:hint="eastAsia" w:ascii="宋体" w:hAnsi="宋体" w:eastAsia="宋体" w:cs="宋体"/>
          <w:sz w:val="24"/>
          <w:szCs w:val="24"/>
        </w:rPr>
        <w:t>代表不得担任组长。</w:t>
      </w:r>
    </w:p>
    <w:p w14:paraId="3D71633D">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（5）在评标期间采取必要的通讯管理措施，保证评标活动不受外界干扰；除</w:t>
      </w:r>
      <w:r>
        <w:rPr>
          <w:rFonts w:hint="eastAsia" w:ascii="宋体" w:hAnsi="宋体" w:eastAsia="宋体" w:cs="宋体"/>
          <w:sz w:val="24"/>
          <w:szCs w:val="24"/>
          <w:lang w:eastAsia="zh-CN"/>
        </w:rPr>
        <w:t>采购人</w:t>
      </w:r>
      <w:r>
        <w:rPr>
          <w:rFonts w:hint="eastAsia" w:ascii="宋体" w:hAnsi="宋体" w:eastAsia="宋体" w:cs="宋体"/>
          <w:sz w:val="24"/>
          <w:szCs w:val="24"/>
        </w:rPr>
        <w:t>代表、评标现场组织人员外，</w:t>
      </w:r>
      <w:r>
        <w:rPr>
          <w:rFonts w:hint="eastAsia" w:ascii="宋体" w:hAnsi="宋体" w:eastAsia="宋体" w:cs="宋体"/>
          <w:sz w:val="24"/>
          <w:szCs w:val="24"/>
          <w:lang w:eastAsia="zh-CN"/>
        </w:rPr>
        <w:t>采购人</w:t>
      </w:r>
      <w:r>
        <w:rPr>
          <w:rFonts w:hint="eastAsia" w:ascii="宋体" w:hAnsi="宋体" w:eastAsia="宋体" w:cs="宋体"/>
          <w:sz w:val="24"/>
          <w:szCs w:val="24"/>
        </w:rPr>
        <w:t>的其他工作人员以及与评标工作无关的人员不得进入评标现场。</w:t>
      </w:r>
    </w:p>
    <w:p w14:paraId="41F8FC7E">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（6）根据评标委员会的要求介绍采购相关政策法规、招标文件。</w:t>
      </w:r>
    </w:p>
    <w:p w14:paraId="07FB45BE">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（7）维护评标秩序，监督评标委员会依照招标文件规定的评标程序、方法和标准进行独立评审，及时制止和纠正</w:t>
      </w:r>
      <w:r>
        <w:rPr>
          <w:rFonts w:hint="eastAsia" w:ascii="宋体" w:hAnsi="宋体" w:eastAsia="宋体" w:cs="宋体"/>
          <w:sz w:val="24"/>
          <w:szCs w:val="24"/>
          <w:lang w:eastAsia="zh-CN"/>
        </w:rPr>
        <w:t>采购人</w:t>
      </w:r>
      <w:r>
        <w:rPr>
          <w:rFonts w:hint="eastAsia" w:ascii="宋体" w:hAnsi="宋体" w:eastAsia="宋体" w:cs="宋体"/>
          <w:sz w:val="24"/>
          <w:szCs w:val="24"/>
        </w:rPr>
        <w:t>代表、评审专家的倾向性言论或者违法违规行为；</w:t>
      </w:r>
      <w:r>
        <w:rPr>
          <w:rFonts w:hint="eastAsia" w:ascii="宋体" w:hAnsi="宋体" w:eastAsia="宋体" w:cs="宋体"/>
          <w:sz w:val="24"/>
          <w:szCs w:val="24"/>
          <w:lang w:eastAsia="zh-CN"/>
        </w:rPr>
        <w:t>采购人</w:t>
      </w:r>
      <w:r>
        <w:rPr>
          <w:rFonts w:hint="eastAsia" w:ascii="宋体" w:hAnsi="宋体" w:eastAsia="宋体" w:cs="宋体"/>
          <w:sz w:val="24"/>
          <w:szCs w:val="24"/>
        </w:rPr>
        <w:t>可以在评标前说明项目背景和采购需求，说明内容不得含有歧视性、倾向性意见，不得超出招标文件所述范围。说明应当提交书面材料，并随招标文件一并存档。</w:t>
      </w:r>
    </w:p>
    <w:p w14:paraId="4DAF46F1">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（8）核对评标结果，有下列规定情形的，要求评标委员会复核或者书面说明理由，评标委员会拒绝的，则予以书面记录并向本级相关部门报告：</w:t>
      </w:r>
    </w:p>
    <w:p w14:paraId="584158E0">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①分值汇总计算错误的；</w:t>
      </w:r>
    </w:p>
    <w:p w14:paraId="5DFB7499">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②分项评分超出评分标准范围的；</w:t>
      </w:r>
    </w:p>
    <w:p w14:paraId="12B4E8A7">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③评标委员会成员对客观评审因素评分不一致的；</w:t>
      </w:r>
    </w:p>
    <w:p w14:paraId="414E04B1">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④经评标委员会认定评分畸高、畸低的。</w:t>
      </w:r>
    </w:p>
    <w:p w14:paraId="6916D2B7">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（9）评审工作完成后，按照规定向评审专家支付劳务报酬和异地评审差旅费，不得向评审专家以外的其他人员支付评审劳务报酬；</w:t>
      </w:r>
    </w:p>
    <w:p w14:paraId="2B9E9D35">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（10）处理与评标有关的其他事项。</w:t>
      </w:r>
    </w:p>
    <w:p w14:paraId="7F01D537">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3.评标委员会负责具体评标事务：</w:t>
      </w:r>
    </w:p>
    <w:p w14:paraId="045D8C74">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13E20028">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602CB2FB">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（3）评标委员会发现招标文件存在歧义、重大缺陷导致评标工作无法进行，或者招标文件内容违反国家有关强制性规定的，应当停止评标工作，与</w:t>
      </w:r>
      <w:r>
        <w:rPr>
          <w:rFonts w:hint="eastAsia" w:ascii="宋体" w:hAnsi="宋体" w:eastAsia="宋体" w:cs="宋体"/>
          <w:sz w:val="24"/>
          <w:szCs w:val="24"/>
          <w:lang w:eastAsia="zh-CN"/>
        </w:rPr>
        <w:t>采购人</w:t>
      </w:r>
      <w:r>
        <w:rPr>
          <w:rFonts w:hint="eastAsia" w:ascii="宋体" w:hAnsi="宋体" w:eastAsia="宋体" w:cs="宋体"/>
          <w:sz w:val="24"/>
          <w:szCs w:val="24"/>
        </w:rPr>
        <w:t>或者招标代理机构沟通并作书面记录。</w:t>
      </w:r>
      <w:r>
        <w:rPr>
          <w:rFonts w:hint="eastAsia" w:ascii="宋体" w:hAnsi="宋体" w:eastAsia="宋体" w:cs="宋体"/>
          <w:sz w:val="24"/>
          <w:szCs w:val="24"/>
          <w:lang w:eastAsia="zh-CN"/>
        </w:rPr>
        <w:t>采购人</w:t>
      </w:r>
      <w:r>
        <w:rPr>
          <w:rFonts w:hint="eastAsia" w:ascii="宋体" w:hAnsi="宋体" w:eastAsia="宋体" w:cs="宋体"/>
          <w:sz w:val="24"/>
          <w:szCs w:val="24"/>
        </w:rPr>
        <w:t>或者招标代理机构确认后，应当修改招标文件，重新组织采购活动。</w:t>
      </w:r>
    </w:p>
    <w:p w14:paraId="2DDB26B8">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4.评标委员会成员独立履行以下职责与义务：</w:t>
      </w:r>
    </w:p>
    <w:p w14:paraId="4B692B06">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（1）遵纪守法，客观、公正、廉洁地履行职责；</w:t>
      </w:r>
    </w:p>
    <w:p w14:paraId="1CA45847">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（2）审查合格投标人的投标文件是否实质性响应招标文件要求，并做出评价；</w:t>
      </w:r>
    </w:p>
    <w:p w14:paraId="67DB6020">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（3）按照招标文件规定的评标办法和评标标准进行评标，对评审意见承担个人责任；</w:t>
      </w:r>
    </w:p>
    <w:p w14:paraId="66039EA3">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（4）可以要求投标人对投标文件有关事项做出解释或澄清；</w:t>
      </w:r>
    </w:p>
    <w:p w14:paraId="33E9CC73">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（5）对评标过程和结果，以及投标人的商业秘密保密；</w:t>
      </w:r>
    </w:p>
    <w:p w14:paraId="2B552D92">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（6）配合相关部门的投诉处理工作；</w:t>
      </w:r>
    </w:p>
    <w:p w14:paraId="7DC2130D">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（7）配合</w:t>
      </w:r>
      <w:r>
        <w:rPr>
          <w:rFonts w:hint="eastAsia" w:ascii="宋体" w:hAnsi="宋体" w:eastAsia="宋体" w:cs="宋体"/>
          <w:sz w:val="24"/>
          <w:szCs w:val="24"/>
          <w:lang w:eastAsia="zh-CN"/>
        </w:rPr>
        <w:t>采购人</w:t>
      </w:r>
      <w:r>
        <w:rPr>
          <w:rFonts w:hint="eastAsia" w:ascii="宋体" w:hAnsi="宋体" w:eastAsia="宋体" w:cs="宋体"/>
          <w:sz w:val="24"/>
          <w:szCs w:val="24"/>
        </w:rPr>
        <w:t>或招标代理机构答复投标人提出的质疑。</w:t>
      </w:r>
    </w:p>
    <w:p w14:paraId="1961D1D6">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5.除</w:t>
      </w:r>
      <w:r>
        <w:rPr>
          <w:rFonts w:hint="eastAsia" w:ascii="宋体" w:hAnsi="宋体" w:eastAsia="宋体" w:cs="宋体"/>
          <w:sz w:val="24"/>
          <w:szCs w:val="24"/>
          <w:lang w:eastAsia="zh-CN"/>
        </w:rPr>
        <w:t>采购人</w:t>
      </w:r>
      <w:r>
        <w:rPr>
          <w:rFonts w:hint="eastAsia" w:ascii="宋体" w:hAnsi="宋体" w:eastAsia="宋体" w:cs="宋体"/>
          <w:sz w:val="24"/>
          <w:szCs w:val="24"/>
        </w:rPr>
        <w:t>代表、评标现场组织人员外，</w:t>
      </w:r>
      <w:r>
        <w:rPr>
          <w:rFonts w:hint="eastAsia" w:ascii="宋体" w:hAnsi="宋体" w:eastAsia="宋体" w:cs="宋体"/>
          <w:sz w:val="24"/>
          <w:szCs w:val="24"/>
          <w:lang w:eastAsia="zh-CN"/>
        </w:rPr>
        <w:t>采购人</w:t>
      </w:r>
      <w:r>
        <w:rPr>
          <w:rFonts w:hint="eastAsia" w:ascii="宋体" w:hAnsi="宋体" w:eastAsia="宋体" w:cs="宋体"/>
          <w:sz w:val="24"/>
          <w:szCs w:val="24"/>
        </w:rPr>
        <w:t>的其他工作人员以及与评标工作无关的人员不得进入评标现场；有关人员对评标情况以及在评标过程中获悉的国家秘密、商业秘密负有保密责任。</w:t>
      </w:r>
    </w:p>
    <w:p w14:paraId="58BBB8CF">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14:paraId="34ADD4A3">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7.评审期间，合格投标人的投标文件仍有可能被评标委员会根据规定判为无效投标。</w:t>
      </w:r>
    </w:p>
    <w:p w14:paraId="0BC33939">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8.在投标文件的评审、澄清、评价和比较以及授予合同的过程中，投标人对</w:t>
      </w:r>
      <w:r>
        <w:rPr>
          <w:rFonts w:hint="eastAsia" w:ascii="宋体" w:hAnsi="宋体" w:eastAsia="宋体" w:cs="宋体"/>
          <w:sz w:val="24"/>
          <w:szCs w:val="24"/>
          <w:lang w:eastAsia="zh-CN"/>
        </w:rPr>
        <w:t>采购人</w:t>
      </w:r>
      <w:r>
        <w:rPr>
          <w:rFonts w:hint="eastAsia" w:ascii="宋体" w:hAnsi="宋体" w:eastAsia="宋体" w:cs="宋体"/>
          <w:sz w:val="24"/>
          <w:szCs w:val="24"/>
        </w:rPr>
        <w:t>和评标委员会成员有施加影响的任何行为，都将取消其可能的中标资格。</w:t>
      </w:r>
    </w:p>
    <w:p w14:paraId="5B770889">
      <w:pPr>
        <w:shd w:val="clear"/>
        <w:spacing w:line="360" w:lineRule="auto"/>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五、评审原则</w:t>
      </w:r>
    </w:p>
    <w:p w14:paraId="008F5EE4">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1.本项目采用</w:t>
      </w:r>
      <w:r>
        <w:rPr>
          <w:rFonts w:hint="eastAsia" w:ascii="宋体" w:hAnsi="宋体" w:eastAsia="宋体" w:cs="宋体"/>
          <w:b/>
          <w:bCs/>
          <w:sz w:val="24"/>
          <w:szCs w:val="24"/>
          <w:u w:val="single"/>
        </w:rPr>
        <w:t>综合评分法</w:t>
      </w:r>
      <w:r>
        <w:rPr>
          <w:rFonts w:hint="eastAsia" w:ascii="宋体" w:hAnsi="宋体" w:eastAsia="宋体" w:cs="宋体"/>
          <w:sz w:val="24"/>
          <w:szCs w:val="24"/>
        </w:rPr>
        <w:t>，即指投标文件满足本项目招标文件全部实质性要求，且按照评审因素的量化指标，经评审后得分最高的投标人推荐为中标人的评标方法。</w:t>
      </w:r>
    </w:p>
    <w:p w14:paraId="1738129E">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5D2EFD4E">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3.评标委员会严格按照招标文件规定的要求、条件、评分标准，对投标人所提供的完整计划标的物的科学性、可行性、产品质量、服务质量的保证及承诺等实质性响应内容进行比较评价。</w:t>
      </w:r>
    </w:p>
    <w:p w14:paraId="6EB890BB">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4.对投标文件的评审判定，只依据投标文件内容本身，不依靠开标后任何外来证明文件。</w:t>
      </w:r>
    </w:p>
    <w:p w14:paraId="399553F7">
      <w:pPr>
        <w:shd w:val="clear"/>
        <w:spacing w:line="360" w:lineRule="auto"/>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六、评审方法</w:t>
      </w:r>
    </w:p>
    <w:p w14:paraId="30C2F24A">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1.评标程序：</w:t>
      </w:r>
    </w:p>
    <w:p w14:paraId="41D5C644">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资格符合性评审——商务技术标评审——价格标评审——确定中标候选人。</w:t>
      </w:r>
    </w:p>
    <w:p w14:paraId="4124002F">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本次资格审查采用资格后审，各投标人资格审查通过后方能进入商务技术标的开标。先开商务技术标，商务技术标打分结束后再开价格标。</w:t>
      </w:r>
    </w:p>
    <w:p w14:paraId="1D27F0FB">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2.评标委员会将仅对按本招标文件载明的方法与规定，为实质上响应招标文件要求的投标文件评审并进行评价和比较。</w:t>
      </w:r>
    </w:p>
    <w:p w14:paraId="205481DC">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3.本次项目的商务技术标和价格标评审总分值为100分。两部分评审因素比重如下：</w:t>
      </w:r>
    </w:p>
    <w:p w14:paraId="6506A2FF">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商务技术标分值占总分值的比重为</w:t>
      </w:r>
      <w:r>
        <w:rPr>
          <w:rFonts w:hint="eastAsia" w:ascii="宋体" w:hAnsi="宋体" w:eastAsia="宋体" w:cs="宋体"/>
          <w:b/>
          <w:bCs/>
          <w:sz w:val="24"/>
          <w:szCs w:val="24"/>
          <w:u w:val="single"/>
        </w:rPr>
        <w:t>70%</w:t>
      </w:r>
      <w:r>
        <w:rPr>
          <w:rFonts w:hint="eastAsia" w:ascii="宋体" w:hAnsi="宋体" w:eastAsia="宋体" w:cs="宋体"/>
          <w:b/>
          <w:bCs/>
          <w:sz w:val="24"/>
          <w:szCs w:val="24"/>
        </w:rPr>
        <w:t>（权重）</w:t>
      </w:r>
      <w:r>
        <w:rPr>
          <w:rFonts w:hint="eastAsia" w:ascii="宋体" w:hAnsi="宋体" w:eastAsia="宋体" w:cs="宋体"/>
          <w:sz w:val="24"/>
          <w:szCs w:val="24"/>
        </w:rPr>
        <w:t>（计算结果均四舍五入保留两位小数）；</w:t>
      </w:r>
    </w:p>
    <w:p w14:paraId="4AA7F4D1">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价格标分值占总分值的比重为</w:t>
      </w:r>
      <w:r>
        <w:rPr>
          <w:rFonts w:hint="eastAsia" w:ascii="宋体" w:hAnsi="宋体" w:eastAsia="宋体" w:cs="宋体"/>
          <w:b/>
          <w:bCs/>
          <w:sz w:val="24"/>
          <w:szCs w:val="24"/>
          <w:u w:val="single"/>
        </w:rPr>
        <w:t>30%</w:t>
      </w:r>
      <w:r>
        <w:rPr>
          <w:rFonts w:hint="eastAsia" w:ascii="宋体" w:hAnsi="宋体" w:eastAsia="宋体" w:cs="宋体"/>
          <w:b/>
          <w:bCs/>
          <w:sz w:val="24"/>
          <w:szCs w:val="24"/>
        </w:rPr>
        <w:t>（权重）</w:t>
      </w:r>
      <w:r>
        <w:rPr>
          <w:rFonts w:hint="eastAsia" w:ascii="宋体" w:hAnsi="宋体" w:eastAsia="宋体" w:cs="宋体"/>
          <w:sz w:val="24"/>
          <w:szCs w:val="24"/>
        </w:rPr>
        <w:t xml:space="preserve">（计算结果均四舍五入保留两位小数）； </w:t>
      </w:r>
    </w:p>
    <w:p w14:paraId="2867CA26">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4.评标委员会严格按照招标文件的要求、条件、评分标准，对投标人所提供服务的先进性、可靠性、售后服务承诺、质量保证承诺等实质性响应内容进行比较。</w:t>
      </w:r>
    </w:p>
    <w:p w14:paraId="30C2CD93">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5.评标专家确定方式：在专家库中随机抽取。评标委员会各成员独立对每个进入打分程序的有效投标人的投标文件的商务技术部分以打分的形式进行评审和评价。</w:t>
      </w:r>
    </w:p>
    <w:p w14:paraId="3C555BF7">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6.商务技术分按评委的算术平均值计算（计算结果均四舍五入保留两位小数）。</w:t>
      </w:r>
    </w:p>
    <w:p w14:paraId="31B5EB39">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7.开启投标人的价格报价标，现场唱标后由投标人代表在苏采云系统确认。</w:t>
      </w:r>
    </w:p>
    <w:p w14:paraId="2B0DB10A">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8.投标人的价格标评审得分直接计算取得，并与其商务技术标得分相加为该投标人的综合得分（计算结果均四舍五入保留两位小数）。</w:t>
      </w:r>
    </w:p>
    <w:p w14:paraId="474DA379">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9.评标结果按评审后得分由高到低顺序排列。得分相同的，按投标报价由低到高顺序排列。得分且投标报价均相同时则通过抽签方式随机确定排名顺序。投标文件满足招标文件全部实质性要求，且按照评审因素的量化指标评审得分最高的投标人为排名第一的中标候选人。</w:t>
      </w:r>
    </w:p>
    <w:p w14:paraId="088546CE">
      <w:pPr>
        <w:shd w:val="clear"/>
        <w:spacing w:line="360" w:lineRule="auto"/>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七、关于投标价格评审</w:t>
      </w:r>
    </w:p>
    <w:p w14:paraId="7BFA0B3F">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rPr>
        <w:t>1.针对投标价格实质响应的评审</w:t>
      </w:r>
    </w:p>
    <w:p w14:paraId="428E7BDA">
      <w:pPr>
        <w:shd w:val="clear"/>
        <w:spacing w:line="360" w:lineRule="auto"/>
        <w:ind w:firstLine="480" w:firstLineChars="200"/>
        <w:outlineLvl w:val="3"/>
        <w:rPr>
          <w:rFonts w:hint="eastAsia" w:ascii="宋体" w:hAnsi="宋体" w:eastAsia="宋体" w:cs="宋体"/>
          <w:sz w:val="24"/>
          <w:szCs w:val="24"/>
        </w:rPr>
      </w:pPr>
      <w:r>
        <w:rPr>
          <w:rFonts w:hint="eastAsia" w:ascii="宋体" w:hAnsi="宋体"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 </w:t>
      </w:r>
    </w:p>
    <w:p w14:paraId="6F323FB8">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rPr>
        <w:t>2.针对投标价格合理性的评审</w:t>
      </w:r>
    </w:p>
    <w:p w14:paraId="75C37AC3">
      <w:pPr>
        <w:shd w:val="clear"/>
        <w:spacing w:line="360" w:lineRule="auto"/>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p>
    <w:p w14:paraId="67499408">
      <w:pPr>
        <w:shd w:val="clea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八、评审评分项 </w:t>
      </w:r>
    </w:p>
    <w:p w14:paraId="0CC0E73A">
      <w:pPr>
        <w:shd w:val="clea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（一）商务技术标评分：（70分）</w:t>
      </w:r>
    </w:p>
    <w:tbl>
      <w:tblPr>
        <w:tblStyle w:val="7"/>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235"/>
        <w:gridCol w:w="6583"/>
        <w:gridCol w:w="615"/>
        <w:gridCol w:w="884"/>
      </w:tblGrid>
      <w:tr w14:paraId="18BC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577" w:type="dxa"/>
            <w:vAlign w:val="center"/>
          </w:tcPr>
          <w:p w14:paraId="5F735A42">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235" w:type="dxa"/>
            <w:vAlign w:val="center"/>
          </w:tcPr>
          <w:p w14:paraId="675A8D09">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评分因素</w:t>
            </w:r>
          </w:p>
        </w:tc>
        <w:tc>
          <w:tcPr>
            <w:tcW w:w="6583" w:type="dxa"/>
            <w:vAlign w:val="center"/>
          </w:tcPr>
          <w:p w14:paraId="17E1842A">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评审细则</w:t>
            </w:r>
          </w:p>
        </w:tc>
        <w:tc>
          <w:tcPr>
            <w:tcW w:w="615" w:type="dxa"/>
            <w:vAlign w:val="center"/>
          </w:tcPr>
          <w:p w14:paraId="4197F655">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分值</w:t>
            </w:r>
          </w:p>
        </w:tc>
        <w:tc>
          <w:tcPr>
            <w:tcW w:w="884" w:type="dxa"/>
            <w:vAlign w:val="center"/>
          </w:tcPr>
          <w:p w14:paraId="073E9F66">
            <w:pPr>
              <w:shd w:val="clear"/>
              <w:spacing w:line="320" w:lineRule="exact"/>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eastAsia="zh-CN"/>
              </w:rPr>
              <w:t>主观分</w:t>
            </w:r>
            <w:r>
              <w:rPr>
                <w:rFonts w:hint="eastAsia" w:ascii="宋体" w:hAnsi="宋体" w:eastAsia="宋体" w:cs="宋体"/>
                <w:b/>
                <w:bCs/>
                <w:sz w:val="21"/>
                <w:szCs w:val="21"/>
                <w:lang w:val="en-US" w:eastAsia="zh-CN"/>
              </w:rPr>
              <w:t>/客观分</w:t>
            </w:r>
          </w:p>
        </w:tc>
      </w:tr>
      <w:tr w14:paraId="1A051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010" w:type="dxa"/>
            <w:gridSpan w:val="4"/>
            <w:vAlign w:val="center"/>
          </w:tcPr>
          <w:p w14:paraId="77CEC93B">
            <w:pPr>
              <w:shd w:val="clear"/>
              <w:spacing w:line="32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rPr>
              <w:t>一、技术部分</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48分</w:t>
            </w:r>
            <w:r>
              <w:rPr>
                <w:rFonts w:hint="eastAsia" w:ascii="宋体" w:hAnsi="宋体" w:eastAsia="宋体" w:cs="宋体"/>
                <w:b/>
                <w:bCs/>
                <w:sz w:val="21"/>
                <w:szCs w:val="21"/>
                <w:lang w:eastAsia="zh-CN"/>
              </w:rPr>
              <w:t>）</w:t>
            </w:r>
          </w:p>
        </w:tc>
        <w:tc>
          <w:tcPr>
            <w:tcW w:w="884" w:type="dxa"/>
            <w:vAlign w:val="center"/>
          </w:tcPr>
          <w:p w14:paraId="65ACE6EE">
            <w:pPr>
              <w:shd w:val="clear"/>
              <w:spacing w:line="320" w:lineRule="exact"/>
              <w:jc w:val="center"/>
              <w:rPr>
                <w:rFonts w:hint="eastAsia" w:ascii="宋体" w:hAnsi="宋体" w:eastAsia="宋体" w:cs="宋体"/>
                <w:b/>
                <w:bCs/>
                <w:sz w:val="21"/>
                <w:szCs w:val="21"/>
              </w:rPr>
            </w:pPr>
          </w:p>
        </w:tc>
      </w:tr>
      <w:tr w14:paraId="278C8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577" w:type="dxa"/>
            <w:vAlign w:val="center"/>
          </w:tcPr>
          <w:p w14:paraId="63B65FD6">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1235" w:type="dxa"/>
            <w:vAlign w:val="center"/>
          </w:tcPr>
          <w:p w14:paraId="66879252">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技术条款</w:t>
            </w:r>
          </w:p>
        </w:tc>
        <w:tc>
          <w:tcPr>
            <w:tcW w:w="6583" w:type="dxa"/>
            <w:vAlign w:val="center"/>
          </w:tcPr>
          <w:p w14:paraId="2CAF4086">
            <w:pPr>
              <w:widowControl/>
              <w:shd w:val="clear"/>
              <w:adjustRightInd w:val="0"/>
              <w:snapToGrid w:val="0"/>
              <w:spacing w:line="32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投标产品完全响应“技术参数要求”的得30分。</w:t>
            </w:r>
          </w:p>
          <w:p w14:paraId="6CDADD90">
            <w:pPr>
              <w:widowControl/>
              <w:shd w:val="clear"/>
              <w:adjustRightInd w:val="0"/>
              <w:snapToGrid w:val="0"/>
              <w:spacing w:line="32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val="en-US" w:eastAsia="zh-CN"/>
              </w:rPr>
              <w:t>1.</w:t>
            </w:r>
            <w:r>
              <w:rPr>
                <w:rFonts w:hint="eastAsia" w:ascii="宋体" w:hAnsi="宋体" w:eastAsia="宋体" w:cs="宋体"/>
                <w:bCs/>
                <w:sz w:val="21"/>
                <w:szCs w:val="21"/>
              </w:rPr>
              <w:t>每有一项重要参数</w:t>
            </w:r>
            <w:r>
              <w:rPr>
                <w:rFonts w:hint="eastAsia" w:ascii="宋体" w:hAnsi="宋体" w:eastAsia="宋体" w:cs="宋体"/>
                <w:bCs/>
                <w:sz w:val="21"/>
                <w:szCs w:val="21"/>
                <w:lang w:eastAsia="zh-CN"/>
              </w:rPr>
              <w:t>（</w:t>
            </w:r>
            <w:r>
              <w:rPr>
                <w:rFonts w:hint="eastAsia" w:ascii="宋体" w:hAnsi="宋体" w:eastAsia="宋体" w:cs="宋体"/>
                <w:bCs/>
                <w:sz w:val="21"/>
                <w:szCs w:val="21"/>
              </w:rPr>
              <w:t>带“▲”号的参数，</w:t>
            </w:r>
            <w:r>
              <w:rPr>
                <w:rFonts w:hint="eastAsia" w:ascii="宋体" w:hAnsi="宋体" w:eastAsia="宋体" w:cs="宋体"/>
                <w:b/>
                <w:bCs w:val="0"/>
                <w:sz w:val="21"/>
                <w:szCs w:val="21"/>
              </w:rPr>
              <w:t>共</w:t>
            </w:r>
            <w:r>
              <w:rPr>
                <w:rFonts w:hint="eastAsia" w:ascii="宋体" w:hAnsi="宋体" w:eastAsia="宋体" w:cs="宋体"/>
                <w:b/>
                <w:bCs w:val="0"/>
                <w:sz w:val="21"/>
                <w:szCs w:val="21"/>
                <w:lang w:val="en-US" w:eastAsia="zh-CN"/>
              </w:rPr>
              <w:t>9</w:t>
            </w:r>
            <w:r>
              <w:rPr>
                <w:rFonts w:hint="eastAsia" w:ascii="宋体" w:hAnsi="宋体" w:eastAsia="宋体" w:cs="宋体"/>
                <w:b/>
                <w:bCs w:val="0"/>
                <w:sz w:val="21"/>
                <w:szCs w:val="21"/>
              </w:rPr>
              <w:t>项</w:t>
            </w:r>
            <w:r>
              <w:rPr>
                <w:rFonts w:hint="eastAsia" w:ascii="宋体" w:hAnsi="宋体" w:eastAsia="宋体" w:cs="宋体"/>
                <w:bCs/>
                <w:sz w:val="21"/>
                <w:szCs w:val="21"/>
              </w:rPr>
              <w:t>，含子项</w:t>
            </w:r>
            <w:r>
              <w:rPr>
                <w:rFonts w:hint="eastAsia" w:ascii="宋体" w:hAnsi="宋体" w:eastAsia="宋体" w:cs="宋体"/>
                <w:bCs/>
                <w:sz w:val="21"/>
                <w:szCs w:val="21"/>
                <w:lang w:eastAsia="zh-CN"/>
              </w:rPr>
              <w:t>）</w:t>
            </w:r>
            <w:r>
              <w:rPr>
                <w:rFonts w:hint="eastAsia" w:ascii="宋体" w:hAnsi="宋体" w:eastAsia="宋体" w:cs="宋体"/>
                <w:bCs/>
                <w:sz w:val="21"/>
                <w:szCs w:val="21"/>
              </w:rPr>
              <w:t>有负偏离的，扣2分，最多扣1</w:t>
            </w:r>
            <w:r>
              <w:rPr>
                <w:rFonts w:hint="eastAsia" w:ascii="宋体" w:hAnsi="宋体" w:eastAsia="宋体" w:cs="宋体"/>
                <w:bCs/>
                <w:sz w:val="21"/>
                <w:szCs w:val="21"/>
                <w:lang w:val="en-US" w:eastAsia="zh-CN"/>
              </w:rPr>
              <w:t>8</w:t>
            </w:r>
            <w:r>
              <w:rPr>
                <w:rFonts w:hint="eastAsia" w:ascii="宋体" w:hAnsi="宋体" w:eastAsia="宋体" w:cs="宋体"/>
                <w:bCs/>
                <w:sz w:val="21"/>
                <w:szCs w:val="21"/>
              </w:rPr>
              <w:t>分</w:t>
            </w:r>
            <w:r>
              <w:rPr>
                <w:rFonts w:hint="eastAsia" w:ascii="宋体" w:hAnsi="宋体" w:eastAsia="宋体" w:cs="宋体"/>
                <w:bCs/>
                <w:sz w:val="21"/>
                <w:szCs w:val="21"/>
                <w:lang w:val="zh-CN"/>
              </w:rPr>
              <w:t>，本项分值扣完为止</w:t>
            </w:r>
            <w:r>
              <w:rPr>
                <w:rFonts w:hint="eastAsia" w:ascii="宋体" w:hAnsi="宋体" w:eastAsia="宋体" w:cs="宋体"/>
                <w:bCs/>
                <w:sz w:val="21"/>
                <w:szCs w:val="21"/>
              </w:rPr>
              <w:t>。</w:t>
            </w:r>
          </w:p>
          <w:p w14:paraId="7A053E1C">
            <w:pPr>
              <w:widowControl/>
              <w:shd w:val="clear"/>
              <w:adjustRightInd w:val="0"/>
              <w:snapToGrid w:val="0"/>
              <w:spacing w:line="32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val="en-US" w:eastAsia="zh-CN"/>
              </w:rPr>
              <w:t>2.</w:t>
            </w:r>
            <w:r>
              <w:rPr>
                <w:rFonts w:hint="eastAsia" w:ascii="宋体" w:hAnsi="宋体" w:eastAsia="宋体" w:cs="宋体"/>
                <w:bCs/>
                <w:sz w:val="21"/>
                <w:szCs w:val="21"/>
              </w:rPr>
              <w:t>每有一项一般参数（非“▲”号的参数）有负偏离的，扣1分，最多扣1</w:t>
            </w:r>
            <w:r>
              <w:rPr>
                <w:rFonts w:hint="eastAsia" w:ascii="宋体" w:hAnsi="宋体" w:eastAsia="宋体" w:cs="宋体"/>
                <w:bCs/>
                <w:sz w:val="21"/>
                <w:szCs w:val="21"/>
                <w:lang w:val="en-US" w:eastAsia="zh-CN"/>
              </w:rPr>
              <w:t>2</w:t>
            </w:r>
            <w:r>
              <w:rPr>
                <w:rFonts w:hint="eastAsia" w:ascii="宋体" w:hAnsi="宋体" w:eastAsia="宋体" w:cs="宋体"/>
                <w:bCs/>
                <w:sz w:val="21"/>
                <w:szCs w:val="21"/>
              </w:rPr>
              <w:t>分</w:t>
            </w:r>
            <w:r>
              <w:rPr>
                <w:rFonts w:hint="eastAsia" w:ascii="宋体" w:hAnsi="宋体" w:eastAsia="宋体" w:cs="宋体"/>
                <w:bCs/>
                <w:sz w:val="21"/>
                <w:szCs w:val="21"/>
                <w:lang w:val="zh-CN"/>
              </w:rPr>
              <w:t>，本项分值扣完为止</w:t>
            </w:r>
            <w:r>
              <w:rPr>
                <w:rFonts w:hint="eastAsia" w:ascii="宋体" w:hAnsi="宋体" w:eastAsia="宋体" w:cs="宋体"/>
                <w:bCs/>
                <w:sz w:val="21"/>
                <w:szCs w:val="21"/>
              </w:rPr>
              <w:t>。</w:t>
            </w:r>
          </w:p>
          <w:p w14:paraId="33F2538B">
            <w:pPr>
              <w:widowControl/>
              <w:shd w:val="clear"/>
              <w:adjustRightInd w:val="0"/>
              <w:snapToGrid w:val="0"/>
              <w:spacing w:line="32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4F72B5EF">
            <w:pPr>
              <w:widowControl/>
              <w:shd w:val="clear"/>
              <w:adjustRightInd w:val="0"/>
              <w:snapToGrid w:val="0"/>
              <w:spacing w:line="320" w:lineRule="exact"/>
              <w:ind w:firstLine="422" w:firstLineChars="20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①</w:t>
            </w:r>
            <w:r>
              <w:rPr>
                <w:rFonts w:hint="eastAsia" w:ascii="宋体" w:hAnsi="宋体" w:eastAsia="宋体" w:cs="宋体"/>
                <w:b/>
                <w:bCs/>
                <w:color w:val="auto"/>
                <w:sz w:val="21"/>
                <w:szCs w:val="21"/>
                <w:highlight w:val="none"/>
                <w:lang w:val="zh-CN"/>
              </w:rPr>
              <w:t>带“☆”的为实质性参数要求不参与评分，任意1条（含子项）不满足即视为投标无效。</w:t>
            </w:r>
          </w:p>
          <w:p w14:paraId="0DF3AA49">
            <w:pPr>
              <w:widowControl/>
              <w:shd w:val="clear"/>
              <w:adjustRightInd w:val="0"/>
              <w:snapToGrid w:val="0"/>
              <w:spacing w:line="32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②</w:t>
            </w:r>
            <w:r>
              <w:rPr>
                <w:rFonts w:hint="eastAsia" w:ascii="宋体" w:hAnsi="宋体" w:eastAsia="宋体" w:cs="宋体"/>
                <w:b/>
                <w:bCs/>
                <w:color w:val="auto"/>
                <w:sz w:val="21"/>
                <w:szCs w:val="21"/>
                <w:highlight w:val="none"/>
              </w:rPr>
              <w:t>招标文件中的“▲”号条款为重要技术参数，投标人应提供技术支持资料，投标人须除如实填写技术规格偏离表外，“▲”号的参数投标文件中必须提供最新技术支持资料支持技术要求偏离表应答，若采购需求</w:t>
            </w:r>
            <w:r>
              <w:rPr>
                <w:rFonts w:hint="eastAsia" w:ascii="宋体" w:hAnsi="宋体" w:eastAsia="宋体" w:cs="宋体"/>
                <w:b/>
                <w:bCs/>
                <w:color w:val="auto"/>
                <w:sz w:val="21"/>
                <w:szCs w:val="21"/>
                <w:highlight w:val="none"/>
                <w:lang w:eastAsia="zh-CN"/>
              </w:rPr>
              <w:t>中</w:t>
            </w:r>
            <w:r>
              <w:rPr>
                <w:rFonts w:hint="eastAsia" w:ascii="宋体" w:hAnsi="宋体" w:eastAsia="宋体" w:cs="宋体"/>
                <w:b/>
                <w:bCs/>
                <w:color w:val="auto"/>
                <w:sz w:val="21"/>
                <w:szCs w:val="21"/>
                <w:highlight w:val="none"/>
              </w:rPr>
              <w:t>有证明材料要求的以采购需求要求为准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包括</w:t>
            </w:r>
            <w:r>
              <w:rPr>
                <w:rFonts w:hint="eastAsia" w:ascii="宋体" w:hAnsi="宋体" w:eastAsia="宋体" w:cs="宋体"/>
                <w:b/>
                <w:bCs/>
                <w:color w:val="auto"/>
                <w:sz w:val="21"/>
                <w:szCs w:val="21"/>
                <w:highlight w:val="none"/>
                <w:lang w:eastAsia="zh-CN"/>
              </w:rPr>
              <w:t>但不限于：</w:t>
            </w:r>
            <w:r>
              <w:rPr>
                <w:rFonts w:hint="eastAsia" w:ascii="宋体" w:hAnsi="宋体" w:eastAsia="宋体" w:cs="宋体"/>
                <w:b/>
                <w:bCs/>
                <w:color w:val="auto"/>
                <w:sz w:val="21"/>
                <w:szCs w:val="21"/>
                <w:highlight w:val="none"/>
              </w:rPr>
              <w:t>课程大纲、授课课件、实验手册截图</w:t>
            </w:r>
            <w:r>
              <w:rPr>
                <w:rFonts w:hint="eastAsia" w:ascii="宋体" w:hAnsi="宋体" w:eastAsia="宋体" w:cs="宋体"/>
                <w:b/>
                <w:bCs/>
                <w:color w:val="auto"/>
                <w:sz w:val="21"/>
                <w:szCs w:val="21"/>
                <w:highlight w:val="none"/>
                <w:lang w:eastAsia="zh-CN"/>
              </w:rPr>
              <w:t>、承诺书、</w:t>
            </w:r>
            <w:r>
              <w:rPr>
                <w:rFonts w:hint="eastAsia" w:ascii="宋体" w:hAnsi="宋体" w:eastAsia="宋体" w:cs="宋体"/>
                <w:b/>
                <w:bCs/>
                <w:color w:val="auto"/>
                <w:sz w:val="21"/>
                <w:szCs w:val="21"/>
                <w:highlight w:val="none"/>
                <w:lang w:val="en-US" w:eastAsia="zh-CN"/>
              </w:rPr>
              <w:t>平台功能界面截图、证明图片等</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不接受投标人自行印刷、打印或者手写的技术支持资料。凡不符合上述要求的，视为无效技术支持资料</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362CAEB6">
            <w:pPr>
              <w:widowControl/>
              <w:shd w:val="clear"/>
              <w:adjustRightInd w:val="0"/>
              <w:snapToGrid w:val="0"/>
              <w:spacing w:line="320" w:lineRule="exact"/>
              <w:ind w:firstLine="422" w:firstLineChars="200"/>
              <w:rPr>
                <w:rFonts w:hint="eastAsia" w:ascii="宋体" w:hAnsi="宋体" w:eastAsia="宋体" w:cs="宋体"/>
                <w:sz w:val="21"/>
                <w:szCs w:val="21"/>
                <w:lang w:eastAsia="zh-CN"/>
              </w:rPr>
            </w:pPr>
            <w:r>
              <w:rPr>
                <w:rFonts w:hint="eastAsia" w:ascii="宋体" w:hAnsi="宋体" w:eastAsia="宋体" w:cs="宋体"/>
                <w:b/>
                <w:bCs/>
                <w:color w:val="auto"/>
                <w:sz w:val="21"/>
                <w:szCs w:val="21"/>
                <w:highlight w:val="none"/>
                <w:lang w:eastAsia="zh-CN"/>
              </w:rPr>
              <w:t>③</w:t>
            </w:r>
            <w:r>
              <w:rPr>
                <w:rFonts w:hint="eastAsia" w:ascii="宋体" w:hAnsi="宋体" w:eastAsia="宋体" w:cs="宋体"/>
                <w:b/>
                <w:bCs/>
                <w:color w:val="auto"/>
                <w:sz w:val="21"/>
                <w:szCs w:val="21"/>
                <w:highlight w:val="none"/>
              </w:rPr>
              <w:t>非“▲”号的参数以技术规格偏离表的响应为准</w:t>
            </w:r>
            <w:r>
              <w:rPr>
                <w:rFonts w:hint="eastAsia" w:ascii="宋体" w:hAnsi="宋体" w:eastAsia="宋体" w:cs="宋体"/>
                <w:b/>
                <w:bCs/>
                <w:color w:val="auto"/>
                <w:sz w:val="21"/>
                <w:szCs w:val="21"/>
                <w:highlight w:val="none"/>
                <w:lang w:eastAsia="zh-CN"/>
              </w:rPr>
              <w:t>。</w:t>
            </w:r>
          </w:p>
        </w:tc>
        <w:tc>
          <w:tcPr>
            <w:tcW w:w="615" w:type="dxa"/>
            <w:vAlign w:val="center"/>
          </w:tcPr>
          <w:p w14:paraId="6B373D61">
            <w:pPr>
              <w:shd w:val="clear"/>
              <w:spacing w:line="32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30</w:t>
            </w:r>
          </w:p>
        </w:tc>
        <w:tc>
          <w:tcPr>
            <w:tcW w:w="884" w:type="dxa"/>
            <w:vAlign w:val="center"/>
          </w:tcPr>
          <w:p w14:paraId="4CF3D3A0">
            <w:pPr>
              <w:shd w:val="clear"/>
              <w:spacing w:line="320" w:lineRule="exact"/>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客</w:t>
            </w:r>
          </w:p>
        </w:tc>
      </w:tr>
      <w:tr w14:paraId="6136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577" w:type="dxa"/>
            <w:vAlign w:val="center"/>
          </w:tcPr>
          <w:p w14:paraId="7F503F3F">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2</w:t>
            </w:r>
          </w:p>
        </w:tc>
        <w:tc>
          <w:tcPr>
            <w:tcW w:w="1235" w:type="dxa"/>
            <w:vAlign w:val="center"/>
          </w:tcPr>
          <w:p w14:paraId="44974E9F">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color w:val="000000"/>
                <w:sz w:val="21"/>
                <w:szCs w:val="21"/>
              </w:rPr>
              <w:t>实训课程方案</w:t>
            </w:r>
          </w:p>
        </w:tc>
        <w:tc>
          <w:tcPr>
            <w:tcW w:w="6583" w:type="dxa"/>
            <w:vAlign w:val="center"/>
          </w:tcPr>
          <w:p w14:paraId="7BAFF19D">
            <w:pPr>
              <w:keepNext w:val="0"/>
              <w:keepLines w:val="0"/>
              <w:pageBreakBefore w:val="0"/>
              <w:widowControl w:val="0"/>
              <w:shd w:val="clear"/>
              <w:kinsoku/>
              <w:wordWrap w:val="0"/>
              <w:overflowPunct/>
              <w:topLinePunct w:val="0"/>
              <w:autoSpaceDE/>
              <w:autoSpaceDN/>
              <w:bidi w:val="0"/>
              <w:adjustRightInd/>
              <w:snapToGrid/>
              <w:spacing w:line="300" w:lineRule="exact"/>
              <w:ind w:firstLine="422" w:firstLineChars="200"/>
              <w:jc w:val="left"/>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投标人需在投标文件中列出详细的实训室配套的专业实训方案，方案中需有明确的课程名称、实训项目、课时分配、前导及后续课程等，评委根据方案内容横向比较打分：</w:t>
            </w:r>
          </w:p>
          <w:p w14:paraId="5D2AF1EA">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）方案内容详细完整，能贴合采购人需求，合理可行、针对性强的，得</w:t>
            </w:r>
            <w:r>
              <w:rPr>
                <w:rFonts w:hint="eastAsia" w:ascii="宋体" w:hAnsi="宋体" w:eastAsia="宋体" w:cs="宋体"/>
                <w:sz w:val="21"/>
                <w:szCs w:val="21"/>
                <w:lang w:val="en-US" w:eastAsia="zh-CN"/>
              </w:rPr>
              <w:t>3</w:t>
            </w:r>
            <w:r>
              <w:rPr>
                <w:rFonts w:hint="eastAsia" w:ascii="宋体" w:hAnsi="宋体" w:eastAsia="宋体" w:cs="宋体"/>
                <w:sz w:val="21"/>
                <w:szCs w:val="21"/>
                <w:lang w:val="zh-CN" w:eastAsia="zh-CN"/>
              </w:rPr>
              <w:t>分；</w:t>
            </w:r>
          </w:p>
          <w:p w14:paraId="4743DADB">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CN" w:eastAsia="zh-CN"/>
              </w:rPr>
              <w:t>）方案内容基本完整，但表述一般，具有一定的合理性、可行性、针对性的，得</w:t>
            </w:r>
            <w:r>
              <w:rPr>
                <w:rFonts w:hint="eastAsia" w:ascii="宋体" w:hAnsi="宋体" w:eastAsia="宋体" w:cs="宋体"/>
                <w:sz w:val="21"/>
                <w:szCs w:val="21"/>
                <w:lang w:val="en-US" w:eastAsia="zh-CN"/>
              </w:rPr>
              <w:t>2</w:t>
            </w:r>
            <w:r>
              <w:rPr>
                <w:rFonts w:hint="eastAsia" w:ascii="宋体" w:hAnsi="宋体" w:eastAsia="宋体" w:cs="宋体"/>
                <w:sz w:val="21"/>
                <w:szCs w:val="21"/>
                <w:lang w:val="zh-CN" w:eastAsia="zh-CN"/>
              </w:rPr>
              <w:t>分；</w:t>
            </w:r>
          </w:p>
          <w:p w14:paraId="4C4A3BB1">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CN" w:eastAsia="zh-CN"/>
              </w:rPr>
              <w:t>）方案内容有缺失，或合理性、可行性、针对性差的，得1分；</w:t>
            </w:r>
          </w:p>
          <w:p w14:paraId="008345D9">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000000"/>
                <w:sz w:val="21"/>
                <w:szCs w:val="21"/>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）不提供不得分。</w:t>
            </w:r>
          </w:p>
        </w:tc>
        <w:tc>
          <w:tcPr>
            <w:tcW w:w="615" w:type="dxa"/>
            <w:vAlign w:val="center"/>
          </w:tcPr>
          <w:p w14:paraId="27D51BA8">
            <w:pPr>
              <w:shd w:val="clear"/>
              <w:spacing w:line="320" w:lineRule="exact"/>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3</w:t>
            </w:r>
          </w:p>
        </w:tc>
        <w:tc>
          <w:tcPr>
            <w:tcW w:w="884" w:type="dxa"/>
            <w:vAlign w:val="center"/>
          </w:tcPr>
          <w:p w14:paraId="32AAF333">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主</w:t>
            </w:r>
          </w:p>
        </w:tc>
      </w:tr>
      <w:tr w14:paraId="1DF8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577" w:type="dxa"/>
            <w:vAlign w:val="center"/>
          </w:tcPr>
          <w:p w14:paraId="5C4FABCA">
            <w:pPr>
              <w:shd w:val="clear"/>
              <w:spacing w:line="32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3</w:t>
            </w:r>
          </w:p>
        </w:tc>
        <w:tc>
          <w:tcPr>
            <w:tcW w:w="1235" w:type="dxa"/>
            <w:vAlign w:val="center"/>
          </w:tcPr>
          <w:p w14:paraId="777E584B">
            <w:pPr>
              <w:shd w:val="clear"/>
              <w:spacing w:line="320" w:lineRule="exact"/>
              <w:jc w:val="center"/>
              <w:rPr>
                <w:rFonts w:hint="eastAsia" w:ascii="宋体" w:hAnsi="宋体" w:eastAsia="宋体" w:cs="宋体"/>
                <w:b/>
                <w:bCs/>
                <w:sz w:val="21"/>
                <w:szCs w:val="21"/>
                <w:lang w:eastAsia="zh-CN"/>
              </w:rPr>
            </w:pPr>
            <w:r>
              <w:rPr>
                <w:rFonts w:hint="eastAsia" w:ascii="宋体" w:hAnsi="宋体" w:eastAsia="宋体" w:cs="宋体"/>
                <w:b/>
                <w:bCs/>
                <w:color w:val="auto"/>
                <w:sz w:val="21"/>
                <w:szCs w:val="21"/>
              </w:rPr>
              <w:t>演示分</w:t>
            </w:r>
          </w:p>
        </w:tc>
        <w:tc>
          <w:tcPr>
            <w:tcW w:w="6583" w:type="dxa"/>
          </w:tcPr>
          <w:p w14:paraId="450E3560">
            <w:pPr>
              <w:widowControl/>
              <w:shd w:val="clear"/>
              <w:adjustRightInd w:val="0"/>
              <w:snapToGrid w:val="0"/>
              <w:spacing w:line="320" w:lineRule="exact"/>
              <w:ind w:firstLine="422" w:firstLineChars="200"/>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投标人需提供计算机及各模块系统功能的演示视频，视频演示时间控制在15分钟内，如超过15分钟则仅根据前15分钟所演示内容评分。并提供承诺书，承诺演示的为真实软件。无演示视频及承诺书者该项不得分。</w:t>
            </w:r>
          </w:p>
          <w:p w14:paraId="2FA66309">
            <w:pPr>
              <w:widowControl/>
              <w:shd w:val="clear"/>
              <w:adjustRightInd w:val="0"/>
              <w:snapToGrid w:val="0"/>
              <w:spacing w:line="3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具有神经网络迁移学习可视化平台，能可视化多分类神经网络、迁移学习与神经网络结构,实现数据分类；</w:t>
            </w:r>
            <w:r>
              <w:rPr>
                <w:rFonts w:hint="eastAsia" w:ascii="宋体" w:hAnsi="宋体" w:eastAsia="宋体" w:cs="宋体"/>
                <w:bCs/>
                <w:sz w:val="21"/>
                <w:szCs w:val="21"/>
                <w:highlight w:val="none"/>
                <w:lang w:eastAsia="zh-CN"/>
              </w:rPr>
              <w:t>完全</w:t>
            </w:r>
            <w:r>
              <w:rPr>
                <w:rFonts w:hint="eastAsia" w:ascii="宋体" w:hAnsi="宋体" w:eastAsia="宋体" w:cs="宋体"/>
                <w:bCs/>
                <w:sz w:val="21"/>
                <w:szCs w:val="21"/>
                <w:highlight w:val="none"/>
              </w:rPr>
              <w:t>满足得</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分，部分满足</w:t>
            </w:r>
            <w:r>
              <w:rPr>
                <w:rFonts w:hint="eastAsia" w:ascii="宋体" w:hAnsi="宋体" w:eastAsia="宋体" w:cs="宋体"/>
                <w:bCs/>
                <w:sz w:val="21"/>
                <w:szCs w:val="21"/>
                <w:highlight w:val="none"/>
                <w:lang w:val="en-US" w:eastAsia="zh-CN"/>
              </w:rPr>
              <w:t>得1分</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不满足不得分</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本项最多得3分。</w:t>
            </w:r>
          </w:p>
          <w:p w14:paraId="67DA7A0B">
            <w:pPr>
              <w:widowControl/>
              <w:shd w:val="clear"/>
              <w:adjustRightInd w:val="0"/>
              <w:snapToGrid w:val="0"/>
              <w:spacing w:line="32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val="en-US" w:eastAsia="zh-CN"/>
              </w:rPr>
              <w:t>2.</w:t>
            </w:r>
            <w:r>
              <w:rPr>
                <w:rFonts w:hint="eastAsia" w:ascii="宋体" w:hAnsi="宋体" w:eastAsia="宋体" w:cs="宋体"/>
                <w:bCs/>
                <w:sz w:val="21"/>
                <w:szCs w:val="21"/>
              </w:rPr>
              <w:t>支持基于矩形框和关键点的多形式目标定位，能够实现船舶复杂设备结构中的层级化、部件级精准定位，并以标准化JSON 格式输出检测结果，便于系统集成，</w:t>
            </w:r>
            <w:r>
              <w:rPr>
                <w:rFonts w:hint="eastAsia" w:ascii="宋体" w:hAnsi="宋体" w:eastAsia="宋体" w:cs="宋体"/>
                <w:bCs/>
                <w:sz w:val="21"/>
                <w:szCs w:val="21"/>
                <w:lang w:eastAsia="zh-CN"/>
              </w:rPr>
              <w:t>完全</w:t>
            </w:r>
            <w:r>
              <w:rPr>
                <w:rFonts w:hint="eastAsia" w:ascii="宋体" w:hAnsi="宋体" w:eastAsia="宋体" w:cs="宋体"/>
                <w:bCs/>
                <w:sz w:val="21"/>
                <w:szCs w:val="21"/>
              </w:rPr>
              <w:t>满足得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分，部分满足</w:t>
            </w:r>
            <w:r>
              <w:rPr>
                <w:rFonts w:hint="eastAsia" w:ascii="宋体" w:hAnsi="宋体" w:eastAsia="宋体" w:cs="宋体"/>
                <w:bCs/>
                <w:sz w:val="21"/>
                <w:szCs w:val="21"/>
                <w:lang w:val="en-US" w:eastAsia="zh-CN"/>
              </w:rPr>
              <w:t>得1分</w:t>
            </w:r>
            <w:r>
              <w:rPr>
                <w:rFonts w:hint="eastAsia" w:ascii="宋体" w:hAnsi="宋体" w:eastAsia="宋体" w:cs="宋体"/>
                <w:bCs/>
                <w:sz w:val="21"/>
                <w:szCs w:val="21"/>
                <w:lang w:eastAsia="zh-CN"/>
              </w:rPr>
              <w:t>，</w:t>
            </w:r>
            <w:r>
              <w:rPr>
                <w:rFonts w:hint="eastAsia" w:ascii="宋体" w:hAnsi="宋体" w:eastAsia="宋体" w:cs="宋体"/>
                <w:bCs/>
                <w:sz w:val="21"/>
                <w:szCs w:val="21"/>
              </w:rPr>
              <w:t>不满足不得分</w:t>
            </w:r>
            <w:r>
              <w:rPr>
                <w:rFonts w:hint="eastAsia" w:ascii="宋体" w:hAnsi="宋体" w:eastAsia="宋体" w:cs="宋体"/>
                <w:bCs/>
                <w:sz w:val="21"/>
                <w:szCs w:val="21"/>
                <w:lang w:eastAsia="zh-CN"/>
              </w:rPr>
              <w:t>，</w:t>
            </w:r>
            <w:r>
              <w:rPr>
                <w:rFonts w:hint="eastAsia" w:ascii="宋体" w:hAnsi="宋体" w:eastAsia="宋体" w:cs="宋体"/>
                <w:bCs/>
                <w:sz w:val="21"/>
                <w:szCs w:val="21"/>
              </w:rPr>
              <w:t>本项最多得3分。</w:t>
            </w:r>
          </w:p>
          <w:p w14:paraId="5D73055B">
            <w:pPr>
              <w:widowControl/>
              <w:shd w:val="clear"/>
              <w:adjustRightInd w:val="0"/>
              <w:snapToGrid w:val="0"/>
              <w:spacing w:line="32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配套船舶数据采集通信虚拟仿真软件，用计算机软件的方式来实现硬件设备的功能，在软件平台上可完成器件认知、硬件工程接线、通信协议配置、应用软件开发等实训，</w:t>
            </w:r>
            <w:r>
              <w:rPr>
                <w:rFonts w:hint="eastAsia" w:ascii="宋体" w:hAnsi="宋体" w:eastAsia="宋体" w:cs="宋体"/>
                <w:bCs/>
                <w:sz w:val="21"/>
                <w:szCs w:val="21"/>
                <w:lang w:eastAsia="zh-CN"/>
              </w:rPr>
              <w:t>完全</w:t>
            </w:r>
            <w:r>
              <w:rPr>
                <w:rFonts w:hint="eastAsia" w:ascii="宋体" w:hAnsi="宋体" w:eastAsia="宋体" w:cs="宋体"/>
                <w:bCs/>
                <w:sz w:val="21"/>
                <w:szCs w:val="21"/>
              </w:rPr>
              <w:t>满足得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分，部分满足</w:t>
            </w:r>
            <w:r>
              <w:rPr>
                <w:rFonts w:hint="eastAsia" w:ascii="宋体" w:hAnsi="宋体" w:eastAsia="宋体" w:cs="宋体"/>
                <w:bCs/>
                <w:sz w:val="21"/>
                <w:szCs w:val="21"/>
                <w:lang w:val="en-US" w:eastAsia="zh-CN"/>
              </w:rPr>
              <w:t>得1分</w:t>
            </w:r>
            <w:r>
              <w:rPr>
                <w:rFonts w:hint="eastAsia" w:ascii="宋体" w:hAnsi="宋体" w:eastAsia="宋体" w:cs="宋体"/>
                <w:bCs/>
                <w:sz w:val="21"/>
                <w:szCs w:val="21"/>
                <w:lang w:eastAsia="zh-CN"/>
              </w:rPr>
              <w:t>，</w:t>
            </w:r>
            <w:r>
              <w:rPr>
                <w:rFonts w:hint="eastAsia" w:ascii="宋体" w:hAnsi="宋体" w:eastAsia="宋体" w:cs="宋体"/>
                <w:bCs/>
                <w:sz w:val="21"/>
                <w:szCs w:val="21"/>
              </w:rPr>
              <w:t>不满足不得分</w:t>
            </w:r>
            <w:r>
              <w:rPr>
                <w:rFonts w:hint="eastAsia" w:ascii="宋体" w:hAnsi="宋体" w:eastAsia="宋体" w:cs="宋体"/>
                <w:bCs/>
                <w:sz w:val="21"/>
                <w:szCs w:val="21"/>
                <w:lang w:eastAsia="zh-CN"/>
              </w:rPr>
              <w:t>，</w:t>
            </w:r>
            <w:r>
              <w:rPr>
                <w:rFonts w:hint="eastAsia" w:ascii="宋体" w:hAnsi="宋体" w:eastAsia="宋体" w:cs="宋体"/>
                <w:bCs/>
                <w:sz w:val="21"/>
                <w:szCs w:val="21"/>
              </w:rPr>
              <w:t>本项最多得3分。</w:t>
            </w:r>
          </w:p>
          <w:p w14:paraId="02EB34AF">
            <w:pPr>
              <w:widowControl/>
              <w:shd w:val="clear"/>
              <w:adjustRightInd w:val="0"/>
              <w:snapToGrid w:val="0"/>
              <w:spacing w:line="32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val="en-US" w:eastAsia="zh-CN"/>
              </w:rPr>
              <w:t>4.</w:t>
            </w:r>
            <w:r>
              <w:rPr>
                <w:rFonts w:hint="eastAsia" w:ascii="宋体" w:hAnsi="宋体" w:eastAsia="宋体" w:cs="宋体"/>
                <w:bCs/>
                <w:sz w:val="21"/>
                <w:szCs w:val="21"/>
              </w:rPr>
              <w:t>配套微调后的视觉运维大模型，可实现视觉运维大模型微调过程，构建安全资源知识图谱过程，</w:t>
            </w:r>
            <w:r>
              <w:rPr>
                <w:rFonts w:hint="eastAsia" w:ascii="宋体" w:hAnsi="宋体" w:eastAsia="宋体" w:cs="宋体"/>
                <w:bCs/>
                <w:sz w:val="21"/>
                <w:szCs w:val="21"/>
                <w:lang w:eastAsia="zh-CN"/>
              </w:rPr>
              <w:t>完全</w:t>
            </w:r>
            <w:r>
              <w:rPr>
                <w:rFonts w:hint="eastAsia" w:ascii="宋体" w:hAnsi="宋体" w:eastAsia="宋体" w:cs="宋体"/>
                <w:bCs/>
                <w:sz w:val="21"/>
                <w:szCs w:val="21"/>
              </w:rPr>
              <w:t>满足得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分，部分满足</w:t>
            </w:r>
            <w:r>
              <w:rPr>
                <w:rFonts w:hint="eastAsia" w:ascii="宋体" w:hAnsi="宋体" w:eastAsia="宋体" w:cs="宋体"/>
                <w:bCs/>
                <w:sz w:val="21"/>
                <w:szCs w:val="21"/>
                <w:lang w:val="en-US" w:eastAsia="zh-CN"/>
              </w:rPr>
              <w:t>得1分</w:t>
            </w:r>
            <w:r>
              <w:rPr>
                <w:rFonts w:hint="eastAsia" w:ascii="宋体" w:hAnsi="宋体" w:eastAsia="宋体" w:cs="宋体"/>
                <w:bCs/>
                <w:sz w:val="21"/>
                <w:szCs w:val="21"/>
                <w:lang w:eastAsia="zh-CN"/>
              </w:rPr>
              <w:t>，</w:t>
            </w:r>
            <w:r>
              <w:rPr>
                <w:rFonts w:hint="eastAsia" w:ascii="宋体" w:hAnsi="宋体" w:eastAsia="宋体" w:cs="宋体"/>
                <w:bCs/>
                <w:sz w:val="21"/>
                <w:szCs w:val="21"/>
              </w:rPr>
              <w:t>不满足不得分</w:t>
            </w:r>
            <w:r>
              <w:rPr>
                <w:rFonts w:hint="eastAsia" w:ascii="宋体" w:hAnsi="宋体" w:eastAsia="宋体" w:cs="宋体"/>
                <w:bCs/>
                <w:sz w:val="21"/>
                <w:szCs w:val="21"/>
                <w:lang w:eastAsia="zh-CN"/>
              </w:rPr>
              <w:t>，</w:t>
            </w:r>
            <w:r>
              <w:rPr>
                <w:rFonts w:hint="eastAsia" w:ascii="宋体" w:hAnsi="宋体" w:eastAsia="宋体" w:cs="宋体"/>
                <w:bCs/>
                <w:sz w:val="21"/>
                <w:szCs w:val="21"/>
              </w:rPr>
              <w:t>本项最多得3分。</w:t>
            </w:r>
          </w:p>
          <w:p w14:paraId="2C4609D7">
            <w:pPr>
              <w:widowControl/>
              <w:shd w:val="clear"/>
              <w:adjustRightInd w:val="0"/>
              <w:snapToGrid w:val="0"/>
              <w:spacing w:line="32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val="en-US" w:eastAsia="zh-CN"/>
              </w:rPr>
              <w:t>5.</w:t>
            </w:r>
            <w:r>
              <w:rPr>
                <w:rFonts w:hint="eastAsia" w:ascii="宋体" w:hAnsi="宋体" w:eastAsia="宋体" w:cs="宋体"/>
                <w:bCs/>
                <w:sz w:val="21"/>
                <w:szCs w:val="21"/>
              </w:rPr>
              <w:t>具有图像分类和图像分割模型，使用深度学习模型，对图像进行分类，实现对图像中物体的实例分割、GAN网络图像生成，部署的模型需实现ONNX转化部署轻量模型运行在终端，</w:t>
            </w:r>
            <w:r>
              <w:rPr>
                <w:rFonts w:hint="eastAsia" w:ascii="宋体" w:hAnsi="宋体" w:eastAsia="宋体" w:cs="宋体"/>
                <w:bCs/>
                <w:sz w:val="21"/>
                <w:szCs w:val="21"/>
                <w:lang w:eastAsia="zh-CN"/>
              </w:rPr>
              <w:t>完全</w:t>
            </w:r>
            <w:r>
              <w:rPr>
                <w:rFonts w:hint="eastAsia" w:ascii="宋体" w:hAnsi="宋体" w:eastAsia="宋体" w:cs="宋体"/>
                <w:bCs/>
                <w:sz w:val="21"/>
                <w:szCs w:val="21"/>
              </w:rPr>
              <w:t>满足得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分，部分满足</w:t>
            </w:r>
            <w:r>
              <w:rPr>
                <w:rFonts w:hint="eastAsia" w:ascii="宋体" w:hAnsi="宋体" w:eastAsia="宋体" w:cs="宋体"/>
                <w:bCs/>
                <w:sz w:val="21"/>
                <w:szCs w:val="21"/>
                <w:lang w:val="en-US" w:eastAsia="zh-CN"/>
              </w:rPr>
              <w:t>得1分</w:t>
            </w:r>
            <w:r>
              <w:rPr>
                <w:rFonts w:hint="eastAsia" w:ascii="宋体" w:hAnsi="宋体" w:eastAsia="宋体" w:cs="宋体"/>
                <w:bCs/>
                <w:sz w:val="21"/>
                <w:szCs w:val="21"/>
                <w:lang w:eastAsia="zh-CN"/>
              </w:rPr>
              <w:t>，</w:t>
            </w:r>
            <w:r>
              <w:rPr>
                <w:rFonts w:hint="eastAsia" w:ascii="宋体" w:hAnsi="宋体" w:eastAsia="宋体" w:cs="宋体"/>
                <w:bCs/>
                <w:sz w:val="21"/>
                <w:szCs w:val="21"/>
              </w:rPr>
              <w:t>不满足不得分</w:t>
            </w:r>
            <w:r>
              <w:rPr>
                <w:rFonts w:hint="eastAsia" w:ascii="宋体" w:hAnsi="宋体" w:eastAsia="宋体" w:cs="宋体"/>
                <w:bCs/>
                <w:sz w:val="21"/>
                <w:szCs w:val="21"/>
                <w:lang w:eastAsia="zh-CN"/>
              </w:rPr>
              <w:t>，</w:t>
            </w:r>
            <w:r>
              <w:rPr>
                <w:rFonts w:hint="eastAsia" w:ascii="宋体" w:hAnsi="宋体" w:eastAsia="宋体" w:cs="宋体"/>
                <w:bCs/>
                <w:sz w:val="21"/>
                <w:szCs w:val="21"/>
              </w:rPr>
              <w:t>本项最多得3分。</w:t>
            </w:r>
          </w:p>
          <w:p w14:paraId="15F456DF">
            <w:pPr>
              <w:pStyle w:val="18"/>
              <w:shd w:val="clear" w:color="auto"/>
              <w:spacing w:line="320" w:lineRule="exact"/>
              <w:ind w:firstLine="422" w:firstLineChars="200"/>
              <w:rPr>
                <w:rFonts w:ascii="宋体" w:hAnsi="宋体" w:cs="宋体"/>
                <w:b/>
                <w:bCs/>
                <w:color w:val="000000"/>
                <w:sz w:val="21"/>
                <w:szCs w:val="21"/>
                <w:lang w:eastAsia="zh-CN"/>
              </w:rPr>
            </w:pPr>
            <w:r>
              <w:rPr>
                <w:rFonts w:ascii="宋体" w:hAnsi="宋体" w:cs="宋体"/>
                <w:b/>
                <w:bCs/>
                <w:color w:val="000000"/>
                <w:sz w:val="21"/>
                <w:szCs w:val="21"/>
                <w:lang w:eastAsia="zh-CN"/>
              </w:rPr>
              <w:t>证明材料：投标人将演示视频上传到苏采云系统、盖有投标人公章的承诺书等。</w:t>
            </w:r>
          </w:p>
          <w:p w14:paraId="59B573B7">
            <w:pPr>
              <w:widowControl/>
              <w:shd w:val="clear" w:color="auto"/>
              <w:adjustRightInd w:val="0"/>
              <w:snapToGrid w:val="0"/>
              <w:spacing w:line="320" w:lineRule="exact"/>
              <w:ind w:firstLine="422" w:firstLineChars="200"/>
            </w:pPr>
            <w:r>
              <w:rPr>
                <w:rFonts w:hint="eastAsia" w:ascii="宋体" w:hAnsi="宋体" w:eastAsia="宋体" w:cs="宋体"/>
                <w:b/>
                <w:bCs/>
                <w:color w:val="000000"/>
                <w:sz w:val="21"/>
                <w:szCs w:val="21"/>
              </w:rPr>
              <w:t>注：因投标人原因，造成的视频不清晰、不能正常播放等，影响评委评审，后果由投标人自行承担。</w:t>
            </w:r>
          </w:p>
        </w:tc>
        <w:tc>
          <w:tcPr>
            <w:tcW w:w="615" w:type="dxa"/>
            <w:vAlign w:val="center"/>
          </w:tcPr>
          <w:p w14:paraId="212510FE">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5</w:t>
            </w:r>
          </w:p>
        </w:tc>
        <w:tc>
          <w:tcPr>
            <w:tcW w:w="884" w:type="dxa"/>
            <w:vAlign w:val="center"/>
          </w:tcPr>
          <w:p w14:paraId="537A27DA">
            <w:pPr>
              <w:shd w:val="clear"/>
              <w:spacing w:line="320" w:lineRule="exact"/>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主</w:t>
            </w:r>
          </w:p>
        </w:tc>
      </w:tr>
      <w:tr w14:paraId="6791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010" w:type="dxa"/>
            <w:gridSpan w:val="4"/>
            <w:vAlign w:val="center"/>
          </w:tcPr>
          <w:p w14:paraId="5C69D0E6">
            <w:pPr>
              <w:shd w:val="clear"/>
              <w:spacing w:line="320" w:lineRule="exact"/>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二、商务部分</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lang w:val="en-US" w:eastAsia="zh-CN"/>
              </w:rPr>
              <w:t>22分</w:t>
            </w:r>
            <w:r>
              <w:rPr>
                <w:rFonts w:hint="eastAsia" w:ascii="宋体" w:hAnsi="宋体" w:eastAsia="宋体" w:cs="宋体"/>
                <w:b/>
                <w:bCs/>
                <w:color w:val="000000"/>
                <w:sz w:val="21"/>
                <w:szCs w:val="21"/>
                <w:lang w:eastAsia="zh-CN"/>
              </w:rPr>
              <w:t>）</w:t>
            </w:r>
          </w:p>
        </w:tc>
        <w:tc>
          <w:tcPr>
            <w:tcW w:w="884" w:type="dxa"/>
            <w:vAlign w:val="center"/>
          </w:tcPr>
          <w:p w14:paraId="37DCD293">
            <w:pPr>
              <w:shd w:val="clear"/>
              <w:spacing w:line="320" w:lineRule="exact"/>
              <w:jc w:val="center"/>
              <w:rPr>
                <w:rFonts w:hint="eastAsia" w:ascii="宋体" w:hAnsi="宋体" w:eastAsia="宋体" w:cs="宋体"/>
                <w:b/>
                <w:bCs/>
                <w:color w:val="000000"/>
                <w:sz w:val="21"/>
                <w:szCs w:val="21"/>
              </w:rPr>
            </w:pPr>
          </w:p>
        </w:tc>
      </w:tr>
      <w:tr w14:paraId="5A74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dxa"/>
            <w:vAlign w:val="center"/>
          </w:tcPr>
          <w:p w14:paraId="5FF965B9">
            <w:pPr>
              <w:shd w:val="clear"/>
              <w:spacing w:line="32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1</w:t>
            </w:r>
          </w:p>
        </w:tc>
        <w:tc>
          <w:tcPr>
            <w:tcW w:w="1235" w:type="dxa"/>
            <w:vAlign w:val="center"/>
          </w:tcPr>
          <w:p w14:paraId="7DC05055">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投标人同类业绩</w:t>
            </w:r>
          </w:p>
        </w:tc>
        <w:tc>
          <w:tcPr>
            <w:tcW w:w="6583" w:type="dxa"/>
            <w:vAlign w:val="center"/>
          </w:tcPr>
          <w:p w14:paraId="55D6BCD2">
            <w:pPr>
              <w:widowControl/>
              <w:shd w:val="clear"/>
              <w:adjustRightInd w:val="0"/>
              <w:snapToGrid w:val="0"/>
              <w:spacing w:line="32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投标人在2023年1月1日至今（以合同签订时间为准）具有相关项目的成功应用案例，有</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个得1分，最多得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分。</w:t>
            </w:r>
          </w:p>
          <w:p w14:paraId="60B645A6">
            <w:pPr>
              <w:widowControl/>
              <w:shd w:val="clear"/>
              <w:adjustRightInd w:val="0"/>
              <w:snapToGrid w:val="0"/>
              <w:spacing w:line="320" w:lineRule="exact"/>
              <w:ind w:firstLine="422" w:firstLineChars="200"/>
              <w:rPr>
                <w:rFonts w:hint="eastAsia" w:ascii="宋体" w:hAnsi="宋体" w:eastAsia="宋体" w:cs="宋体"/>
                <w:color w:val="000000"/>
                <w:sz w:val="21"/>
                <w:szCs w:val="21"/>
              </w:rPr>
            </w:pPr>
            <w:r>
              <w:rPr>
                <w:rFonts w:hint="eastAsia" w:ascii="宋体" w:hAnsi="宋体" w:eastAsia="宋体" w:cs="宋体"/>
                <w:b/>
                <w:bCs/>
                <w:color w:val="auto"/>
                <w:sz w:val="21"/>
                <w:szCs w:val="21"/>
                <w:highlight w:val="none"/>
                <w:lang w:eastAsia="zh-CN"/>
              </w:rPr>
              <w:t>证明材料</w:t>
            </w:r>
            <w:r>
              <w:rPr>
                <w:rFonts w:hint="eastAsia" w:ascii="宋体" w:hAnsi="宋体" w:eastAsia="宋体" w:cs="宋体"/>
                <w:b/>
                <w:bCs/>
                <w:color w:val="auto"/>
                <w:sz w:val="21"/>
                <w:szCs w:val="21"/>
                <w:highlight w:val="none"/>
              </w:rPr>
              <w:t>：提供合同关键页扫描件（关键页包括签订时间、项目名称、双方盖章、</w:t>
            </w:r>
            <w:r>
              <w:rPr>
                <w:rFonts w:hint="eastAsia" w:ascii="宋体" w:hAnsi="宋体" w:eastAsia="宋体" w:cs="宋体"/>
                <w:b/>
                <w:bCs/>
                <w:color w:val="auto"/>
                <w:sz w:val="21"/>
                <w:szCs w:val="21"/>
                <w:highlight w:val="none"/>
                <w:lang w:eastAsia="zh-CN"/>
              </w:rPr>
              <w:t>项目</w:t>
            </w:r>
            <w:r>
              <w:rPr>
                <w:rFonts w:hint="eastAsia" w:ascii="宋体" w:hAnsi="宋体" w:eastAsia="宋体" w:cs="宋体"/>
                <w:b/>
                <w:bCs/>
                <w:color w:val="auto"/>
                <w:sz w:val="21"/>
                <w:szCs w:val="21"/>
                <w:highlight w:val="none"/>
              </w:rPr>
              <w:t>内容等）并加盖投标</w:t>
            </w:r>
            <w:r>
              <w:rPr>
                <w:rFonts w:hint="eastAsia" w:ascii="宋体" w:hAnsi="宋体" w:eastAsia="宋体" w:cs="宋体"/>
                <w:b/>
                <w:bCs/>
                <w:color w:val="auto"/>
                <w:sz w:val="21"/>
                <w:szCs w:val="21"/>
                <w:highlight w:val="none"/>
                <w:lang w:eastAsia="zh-CN"/>
              </w:rPr>
              <w:t>人</w:t>
            </w:r>
            <w:r>
              <w:rPr>
                <w:rFonts w:hint="eastAsia" w:ascii="宋体" w:hAnsi="宋体" w:eastAsia="宋体" w:cs="宋体"/>
                <w:b/>
                <w:bCs/>
                <w:color w:val="auto"/>
                <w:sz w:val="21"/>
                <w:szCs w:val="21"/>
                <w:highlight w:val="none"/>
              </w:rPr>
              <w:t>公章，以合同签订时间为准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否则不得分。</w:t>
            </w:r>
          </w:p>
        </w:tc>
        <w:tc>
          <w:tcPr>
            <w:tcW w:w="615" w:type="dxa"/>
            <w:vAlign w:val="center"/>
          </w:tcPr>
          <w:p w14:paraId="2A16AC84">
            <w:pPr>
              <w:shd w:val="clear"/>
              <w:spacing w:line="320" w:lineRule="exact"/>
              <w:jc w:val="cente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3</w:t>
            </w:r>
          </w:p>
        </w:tc>
        <w:tc>
          <w:tcPr>
            <w:tcW w:w="884" w:type="dxa"/>
            <w:vAlign w:val="center"/>
          </w:tcPr>
          <w:p w14:paraId="37723473">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客</w:t>
            </w:r>
          </w:p>
        </w:tc>
      </w:tr>
      <w:tr w14:paraId="390B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577" w:type="dxa"/>
            <w:vAlign w:val="center"/>
          </w:tcPr>
          <w:p w14:paraId="68C37CCA">
            <w:pPr>
              <w:shd w:val="clear"/>
              <w:spacing w:line="32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2</w:t>
            </w:r>
          </w:p>
        </w:tc>
        <w:tc>
          <w:tcPr>
            <w:tcW w:w="1235" w:type="dxa"/>
            <w:vAlign w:val="center"/>
          </w:tcPr>
          <w:p w14:paraId="2E97412D">
            <w:pPr>
              <w:shd w:val="clear"/>
              <w:spacing w:line="320" w:lineRule="exact"/>
              <w:jc w:val="center"/>
              <w:rPr>
                <w:rFonts w:hint="eastAsia" w:ascii="宋体" w:hAnsi="宋体" w:eastAsia="宋体" w:cs="宋体"/>
                <w:b/>
                <w:bCs/>
                <w:sz w:val="21"/>
                <w:szCs w:val="21"/>
              </w:rPr>
            </w:pPr>
            <w:r>
              <w:rPr>
                <w:rFonts w:hint="eastAsia" w:ascii="宋体" w:hAnsi="宋体" w:eastAsia="宋体" w:cs="宋体"/>
                <w:b/>
                <w:bCs/>
                <w:sz w:val="21"/>
                <w:szCs w:val="21"/>
              </w:rPr>
              <w:t>企业实力</w:t>
            </w:r>
          </w:p>
        </w:tc>
        <w:tc>
          <w:tcPr>
            <w:tcW w:w="6583" w:type="dxa"/>
            <w:vAlign w:val="center"/>
          </w:tcPr>
          <w:p w14:paraId="6F7D5B60">
            <w:pPr>
              <w:widowControl/>
              <w:shd w:val="clear"/>
              <w:adjustRightInd w:val="0"/>
              <w:snapToGrid w:val="0"/>
              <w:spacing w:line="320" w:lineRule="exact"/>
              <w:ind w:firstLine="420" w:firstLineChars="200"/>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投标人或所投产品制造商具备自主研发的低代码数字孪生开发设计平台、设备联网及运维系统、实验教学管理软件的，提供相关软件著作权证书，每提供一个得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分，最多得</w:t>
            </w: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rPr>
              <w:t>分，没有或者未提的者不得分</w:t>
            </w:r>
            <w:r>
              <w:rPr>
                <w:rFonts w:hint="eastAsia" w:ascii="宋体" w:hAnsi="宋体" w:eastAsia="宋体" w:cs="宋体"/>
                <w:color w:val="000000"/>
                <w:sz w:val="21"/>
                <w:szCs w:val="21"/>
                <w:lang w:eastAsia="zh-CN"/>
              </w:rPr>
              <w:t>。</w:t>
            </w:r>
          </w:p>
          <w:p w14:paraId="6B386746">
            <w:pPr>
              <w:widowControl/>
              <w:shd w:val="clear"/>
              <w:adjustRightInd w:val="0"/>
              <w:snapToGrid w:val="0"/>
              <w:spacing w:line="320" w:lineRule="exact"/>
              <w:ind w:firstLine="422" w:firstLineChars="200"/>
              <w:rPr>
                <w:rFonts w:hint="eastAsia" w:ascii="宋体" w:hAnsi="宋体" w:eastAsia="宋体" w:cs="宋体"/>
                <w:color w:val="000000"/>
                <w:sz w:val="21"/>
                <w:szCs w:val="21"/>
              </w:rPr>
            </w:pPr>
            <w:r>
              <w:rPr>
                <w:rFonts w:hint="eastAsia" w:ascii="宋体" w:hAnsi="宋体" w:eastAsia="宋体" w:cs="宋体"/>
                <w:b/>
                <w:bCs/>
                <w:color w:val="auto"/>
                <w:sz w:val="21"/>
                <w:szCs w:val="21"/>
                <w:highlight w:val="none"/>
                <w:lang w:eastAsia="zh-CN"/>
              </w:rPr>
              <w:t>证明材料：相关证书扫描件并加盖公章。</w:t>
            </w:r>
          </w:p>
        </w:tc>
        <w:tc>
          <w:tcPr>
            <w:tcW w:w="615" w:type="dxa"/>
            <w:vAlign w:val="center"/>
          </w:tcPr>
          <w:p w14:paraId="6DDEC616">
            <w:pPr>
              <w:shd w:val="clear"/>
              <w:spacing w:line="320" w:lineRule="exact"/>
              <w:jc w:val="cente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9</w:t>
            </w:r>
          </w:p>
        </w:tc>
        <w:tc>
          <w:tcPr>
            <w:tcW w:w="884" w:type="dxa"/>
            <w:vAlign w:val="center"/>
          </w:tcPr>
          <w:p w14:paraId="03FF1832">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客</w:t>
            </w:r>
          </w:p>
        </w:tc>
      </w:tr>
      <w:tr w14:paraId="51BE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577" w:type="dxa"/>
            <w:vMerge w:val="restart"/>
            <w:shd w:val="clear" w:color="auto" w:fill="auto"/>
            <w:vAlign w:val="center"/>
          </w:tcPr>
          <w:p w14:paraId="61195109">
            <w:pPr>
              <w:shd w:val="clear"/>
              <w:spacing w:line="32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3</w:t>
            </w:r>
          </w:p>
        </w:tc>
        <w:tc>
          <w:tcPr>
            <w:tcW w:w="1235" w:type="dxa"/>
            <w:vMerge w:val="restart"/>
            <w:shd w:val="clear" w:color="auto" w:fill="auto"/>
            <w:vAlign w:val="center"/>
          </w:tcPr>
          <w:p w14:paraId="1368E379">
            <w:pPr>
              <w:shd w:val="clear"/>
              <w:spacing w:line="32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rPr>
              <w:t>服务</w:t>
            </w:r>
            <w:r>
              <w:rPr>
                <w:rFonts w:hint="eastAsia" w:ascii="宋体" w:hAnsi="宋体" w:eastAsia="宋体" w:cs="宋体"/>
                <w:b/>
                <w:bCs/>
                <w:sz w:val="21"/>
                <w:szCs w:val="21"/>
                <w:lang w:eastAsia="zh-CN"/>
              </w:rPr>
              <w:t>承诺</w:t>
            </w:r>
          </w:p>
        </w:tc>
        <w:tc>
          <w:tcPr>
            <w:tcW w:w="6583" w:type="dxa"/>
            <w:shd w:val="clear" w:color="auto" w:fill="auto"/>
            <w:vAlign w:val="center"/>
          </w:tcPr>
          <w:p w14:paraId="04FF18FE">
            <w:pPr>
              <w:widowControl/>
              <w:shd w:val="clear"/>
              <w:adjustRightInd w:val="0"/>
              <w:snapToGrid w:val="0"/>
              <w:spacing w:line="320" w:lineRule="exact"/>
              <w:ind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lang w:val="en-US" w:eastAsia="zh-CN"/>
              </w:rPr>
              <w:t>1.</w:t>
            </w:r>
            <w:r>
              <w:rPr>
                <w:rFonts w:hint="eastAsia" w:ascii="宋体" w:hAnsi="宋体" w:eastAsia="宋体" w:cs="宋体"/>
                <w:b/>
                <w:bCs w:val="0"/>
                <w:sz w:val="21"/>
                <w:szCs w:val="21"/>
              </w:rPr>
              <w:t>项目实施方案</w:t>
            </w:r>
            <w:r>
              <w:rPr>
                <w:rFonts w:hint="eastAsia" w:ascii="宋体" w:hAnsi="宋体" w:eastAsia="宋体" w:cs="宋体"/>
                <w:b/>
                <w:bCs w:val="0"/>
                <w:sz w:val="21"/>
                <w:szCs w:val="21"/>
                <w:lang w:eastAsia="zh-CN"/>
              </w:rPr>
              <w:t>：</w:t>
            </w:r>
            <w:r>
              <w:rPr>
                <w:rFonts w:hint="eastAsia" w:ascii="宋体" w:hAnsi="宋体" w:eastAsia="宋体" w:cs="宋体"/>
                <w:b/>
                <w:bCs w:val="0"/>
                <w:sz w:val="21"/>
                <w:szCs w:val="21"/>
              </w:rPr>
              <w:t>提供有完善、详细的系统架构组建方案、后期运营方案以及系统设备功能扩展应用方案，且人员配备、分工、实施准备、进度安排、质量控制、检测及验收、项目移交等方面描述，评委根据方案内容横向比较打分：</w:t>
            </w:r>
          </w:p>
          <w:p w14:paraId="34CF21FC">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（1）方案内容详细完整，能贴合采购人需求，合理可行、针对性强的，得3分；</w:t>
            </w:r>
          </w:p>
          <w:p w14:paraId="43DD8660">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（2）方案内容基本完整，但表述一般，具有一定的合理性、可行性、针对性的，得2分；</w:t>
            </w:r>
          </w:p>
          <w:p w14:paraId="36ABB1E4">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（3）方案内容有缺失，或合理性、可行性、针对性差的，得1分；</w:t>
            </w:r>
          </w:p>
          <w:p w14:paraId="5800F0E7">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Times New Roman" w:hAnsi="Times New Roman" w:eastAsia="楷体_GB2312" w:cs="Times New Roman"/>
                <w:sz w:val="26"/>
                <w:lang w:val="en-US" w:eastAsia="zh-CN" w:bidi="ar-SA"/>
              </w:rPr>
            </w:pPr>
            <w:r>
              <w:rPr>
                <w:rFonts w:hint="eastAsia" w:ascii="宋体" w:hAnsi="宋体" w:eastAsia="宋体" w:cs="宋体"/>
                <w:sz w:val="21"/>
                <w:szCs w:val="21"/>
                <w:lang w:val="en-US" w:eastAsia="zh-CN"/>
              </w:rPr>
              <w:t>（4）不提供不得分。</w:t>
            </w:r>
          </w:p>
        </w:tc>
        <w:tc>
          <w:tcPr>
            <w:tcW w:w="615" w:type="dxa"/>
            <w:shd w:val="clear" w:color="auto" w:fill="auto"/>
            <w:vAlign w:val="center"/>
          </w:tcPr>
          <w:p w14:paraId="035B30B7">
            <w:pPr>
              <w:shd w:val="clear"/>
              <w:spacing w:line="320" w:lineRule="exact"/>
              <w:jc w:val="center"/>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shd w:val="clear"/>
                <w:lang w:val="en-US" w:eastAsia="zh-CN"/>
              </w:rPr>
              <w:t>3</w:t>
            </w:r>
          </w:p>
        </w:tc>
        <w:tc>
          <w:tcPr>
            <w:tcW w:w="884" w:type="dxa"/>
            <w:shd w:val="clear" w:color="auto" w:fill="auto"/>
            <w:vAlign w:val="center"/>
          </w:tcPr>
          <w:p w14:paraId="55488D87">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主</w:t>
            </w:r>
          </w:p>
        </w:tc>
      </w:tr>
      <w:tr w14:paraId="2B23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1" w:hRule="atLeast"/>
          <w:jc w:val="center"/>
        </w:trPr>
        <w:tc>
          <w:tcPr>
            <w:tcW w:w="577" w:type="dxa"/>
            <w:vMerge w:val="continue"/>
            <w:vAlign w:val="center"/>
          </w:tcPr>
          <w:p w14:paraId="51AFDE4A">
            <w:pPr>
              <w:shd w:val="clear"/>
              <w:spacing w:line="320" w:lineRule="exact"/>
              <w:jc w:val="center"/>
              <w:rPr>
                <w:rFonts w:hint="eastAsia" w:ascii="宋体" w:hAnsi="宋体" w:eastAsia="宋体" w:cs="宋体"/>
                <w:b/>
                <w:bCs/>
                <w:sz w:val="21"/>
                <w:szCs w:val="21"/>
              </w:rPr>
            </w:pPr>
          </w:p>
        </w:tc>
        <w:tc>
          <w:tcPr>
            <w:tcW w:w="1235" w:type="dxa"/>
            <w:vMerge w:val="continue"/>
            <w:shd w:val="clear" w:color="auto" w:fill="auto"/>
            <w:vAlign w:val="center"/>
          </w:tcPr>
          <w:p w14:paraId="62EF9CF0">
            <w:pPr>
              <w:shd w:val="clear"/>
              <w:spacing w:line="320" w:lineRule="exact"/>
              <w:jc w:val="center"/>
              <w:rPr>
                <w:rFonts w:hint="eastAsia" w:ascii="宋体" w:hAnsi="宋体" w:eastAsia="宋体" w:cs="宋体"/>
                <w:b/>
                <w:bCs/>
                <w:sz w:val="21"/>
                <w:szCs w:val="21"/>
                <w:lang w:eastAsia="zh-CN"/>
              </w:rPr>
            </w:pPr>
          </w:p>
        </w:tc>
        <w:tc>
          <w:tcPr>
            <w:tcW w:w="6583" w:type="dxa"/>
            <w:shd w:val="clear" w:color="auto" w:fill="auto"/>
            <w:vAlign w:val="center"/>
          </w:tcPr>
          <w:p w14:paraId="67A2F650">
            <w:pPr>
              <w:widowControl/>
              <w:shd w:val="clear"/>
              <w:adjustRightInd w:val="0"/>
              <w:snapToGrid w:val="0"/>
              <w:spacing w:line="320" w:lineRule="exact"/>
              <w:ind w:firstLine="422" w:firstLineChars="200"/>
              <w:rPr>
                <w:rFonts w:hint="eastAsia" w:ascii="宋体" w:hAnsi="宋体" w:eastAsia="宋体" w:cs="宋体"/>
                <w:b/>
                <w:bCs/>
                <w:color w:val="000000"/>
                <w:sz w:val="21"/>
                <w:szCs w:val="21"/>
                <w:lang w:val="zh-CN" w:eastAsia="zh-CN"/>
              </w:rPr>
            </w:pPr>
            <w:r>
              <w:rPr>
                <w:rFonts w:hint="eastAsia" w:ascii="宋体" w:hAnsi="宋体" w:eastAsia="宋体" w:cs="宋体"/>
                <w:b/>
                <w:bCs/>
                <w:color w:val="000000"/>
                <w:sz w:val="21"/>
                <w:szCs w:val="21"/>
                <w:lang w:val="en-US" w:eastAsia="zh-CN"/>
              </w:rPr>
              <w:t>2.投标人须承诺（总分4分）：本项目五年维保期结束后，系统年度运维费用比例不超过中标价的5%。</w:t>
            </w:r>
            <w:r>
              <w:rPr>
                <w:rFonts w:hint="eastAsia" w:ascii="宋体" w:hAnsi="宋体" w:eastAsia="宋体" w:cs="宋体"/>
                <w:b/>
                <w:bCs/>
                <w:color w:val="000000"/>
                <w:sz w:val="21"/>
                <w:szCs w:val="21"/>
                <w:lang w:val="zh-CN" w:eastAsia="zh-CN"/>
              </w:rPr>
              <w:t>承诺比例较5%每下浮1%得</w:t>
            </w:r>
            <w:r>
              <w:rPr>
                <w:rFonts w:hint="eastAsia" w:ascii="宋体" w:hAnsi="宋体" w:eastAsia="宋体" w:cs="宋体"/>
                <w:b/>
                <w:bCs/>
                <w:color w:val="000000"/>
                <w:sz w:val="21"/>
                <w:szCs w:val="21"/>
                <w:lang w:val="en-US" w:eastAsia="zh-CN"/>
              </w:rPr>
              <w:t>1</w:t>
            </w:r>
            <w:r>
              <w:rPr>
                <w:rFonts w:hint="eastAsia" w:ascii="宋体" w:hAnsi="宋体" w:eastAsia="宋体" w:cs="宋体"/>
                <w:b/>
                <w:bCs/>
                <w:color w:val="000000"/>
                <w:sz w:val="21"/>
                <w:szCs w:val="21"/>
                <w:lang w:val="zh-CN" w:eastAsia="zh-CN"/>
              </w:rPr>
              <w:t>分,最多得</w:t>
            </w:r>
            <w:r>
              <w:rPr>
                <w:rFonts w:hint="eastAsia" w:ascii="宋体" w:hAnsi="宋体" w:eastAsia="宋体" w:cs="宋体"/>
                <w:b/>
                <w:bCs/>
                <w:color w:val="000000"/>
                <w:sz w:val="21"/>
                <w:szCs w:val="21"/>
                <w:lang w:val="en-US" w:eastAsia="zh-CN"/>
              </w:rPr>
              <w:t>4</w:t>
            </w:r>
            <w:r>
              <w:rPr>
                <w:rFonts w:hint="eastAsia" w:ascii="宋体" w:hAnsi="宋体" w:eastAsia="宋体" w:cs="宋体"/>
                <w:b/>
                <w:bCs/>
                <w:color w:val="000000"/>
                <w:sz w:val="21"/>
                <w:szCs w:val="21"/>
                <w:lang w:val="zh-CN" w:eastAsia="zh-CN"/>
              </w:rPr>
              <w:t>分：</w:t>
            </w:r>
          </w:p>
          <w:p w14:paraId="4667022F">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）承诺比例 5% （下浮0%），得0分；</w:t>
            </w:r>
          </w:p>
          <w:p w14:paraId="359A2998">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CN" w:eastAsia="zh-CN"/>
              </w:rPr>
              <w:t>）承诺比例 4% （下浮1%），得</w:t>
            </w: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 xml:space="preserve">分； </w:t>
            </w:r>
          </w:p>
          <w:p w14:paraId="7F46DA1E">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CN" w:eastAsia="zh-CN"/>
              </w:rPr>
              <w:t>）承诺比例 3% （下浮2%），得</w:t>
            </w:r>
            <w:r>
              <w:rPr>
                <w:rFonts w:hint="eastAsia" w:ascii="宋体" w:hAnsi="宋体" w:eastAsia="宋体" w:cs="宋体"/>
                <w:sz w:val="21"/>
                <w:szCs w:val="21"/>
                <w:lang w:val="en-US" w:eastAsia="zh-CN"/>
              </w:rPr>
              <w:t>2</w:t>
            </w:r>
            <w:r>
              <w:rPr>
                <w:rFonts w:hint="eastAsia" w:ascii="宋体" w:hAnsi="宋体" w:eastAsia="宋体" w:cs="宋体"/>
                <w:sz w:val="21"/>
                <w:szCs w:val="21"/>
                <w:lang w:val="zh-CN" w:eastAsia="zh-CN"/>
              </w:rPr>
              <w:t xml:space="preserve">分； </w:t>
            </w:r>
          </w:p>
          <w:p w14:paraId="5DE6D3E4">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）承诺比例 2% （下浮3%），得</w:t>
            </w:r>
            <w:r>
              <w:rPr>
                <w:rFonts w:hint="eastAsia" w:ascii="宋体" w:hAnsi="宋体" w:eastAsia="宋体" w:cs="宋体"/>
                <w:sz w:val="21"/>
                <w:szCs w:val="21"/>
                <w:lang w:val="en-US" w:eastAsia="zh-CN"/>
              </w:rPr>
              <w:t>3</w:t>
            </w:r>
            <w:r>
              <w:rPr>
                <w:rFonts w:hint="eastAsia" w:ascii="宋体" w:hAnsi="宋体" w:eastAsia="宋体" w:cs="宋体"/>
                <w:sz w:val="21"/>
                <w:szCs w:val="21"/>
                <w:lang w:val="zh-CN" w:eastAsia="zh-CN"/>
              </w:rPr>
              <w:t xml:space="preserve">分； </w:t>
            </w:r>
          </w:p>
          <w:p w14:paraId="17047F00">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CN" w:eastAsia="zh-CN"/>
              </w:rPr>
              <w:t>）承诺比例 1% （下浮4%），得</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分。</w:t>
            </w:r>
          </w:p>
        </w:tc>
        <w:tc>
          <w:tcPr>
            <w:tcW w:w="615" w:type="dxa"/>
            <w:vAlign w:val="center"/>
          </w:tcPr>
          <w:p w14:paraId="3813CE0E">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4</w:t>
            </w:r>
          </w:p>
        </w:tc>
        <w:tc>
          <w:tcPr>
            <w:tcW w:w="884" w:type="dxa"/>
            <w:vAlign w:val="center"/>
          </w:tcPr>
          <w:p w14:paraId="0818A95B">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客</w:t>
            </w:r>
            <w:bookmarkStart w:id="16" w:name="_GoBack"/>
            <w:bookmarkEnd w:id="16"/>
          </w:p>
        </w:tc>
      </w:tr>
      <w:tr w14:paraId="0D77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577" w:type="dxa"/>
            <w:vMerge w:val="continue"/>
            <w:vAlign w:val="center"/>
          </w:tcPr>
          <w:p w14:paraId="7D589E5B">
            <w:pPr>
              <w:widowControl/>
              <w:shd w:val="clear"/>
              <w:spacing w:line="320" w:lineRule="exact"/>
              <w:jc w:val="left"/>
              <w:rPr>
                <w:rFonts w:hint="eastAsia" w:ascii="宋体" w:hAnsi="宋体" w:eastAsia="宋体" w:cs="宋体"/>
                <w:sz w:val="21"/>
                <w:szCs w:val="21"/>
              </w:rPr>
            </w:pPr>
          </w:p>
        </w:tc>
        <w:tc>
          <w:tcPr>
            <w:tcW w:w="1235" w:type="dxa"/>
            <w:vMerge w:val="continue"/>
            <w:shd w:val="clear" w:color="auto" w:fill="auto"/>
            <w:vAlign w:val="center"/>
          </w:tcPr>
          <w:p w14:paraId="4BC00BA9">
            <w:pPr>
              <w:widowControl/>
              <w:shd w:val="clear"/>
              <w:spacing w:line="320" w:lineRule="exact"/>
              <w:jc w:val="center"/>
              <w:rPr>
                <w:rFonts w:hint="eastAsia" w:ascii="宋体" w:hAnsi="宋体" w:eastAsia="宋体" w:cs="宋体"/>
                <w:sz w:val="21"/>
                <w:szCs w:val="21"/>
              </w:rPr>
            </w:pPr>
          </w:p>
        </w:tc>
        <w:tc>
          <w:tcPr>
            <w:tcW w:w="6583" w:type="dxa"/>
            <w:shd w:val="clear" w:color="auto" w:fill="auto"/>
            <w:vAlign w:val="center"/>
          </w:tcPr>
          <w:p w14:paraId="3E643C60">
            <w:pPr>
              <w:keepNext w:val="0"/>
              <w:keepLines w:val="0"/>
              <w:pageBreakBefore w:val="0"/>
              <w:widowControl w:val="0"/>
              <w:shd w:val="clear"/>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en-US" w:eastAsia="zh-CN"/>
              </w:rPr>
              <w:t>3.</w:t>
            </w:r>
            <w:r>
              <w:rPr>
                <w:rFonts w:hint="eastAsia" w:ascii="宋体" w:hAnsi="宋体" w:eastAsia="宋体" w:cs="宋体"/>
                <w:b/>
                <w:bCs/>
                <w:sz w:val="21"/>
                <w:szCs w:val="21"/>
                <w:lang w:val="zh-CN"/>
              </w:rPr>
              <w:t>培训方案：培训方案应包括培训流程、培训方式、培训对象、培训内容、培训日程等内容：</w:t>
            </w:r>
          </w:p>
          <w:p w14:paraId="65B6227D">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）方案内容详细完整，能贴合采购人需求，合理可行、针对性强的得</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分；</w:t>
            </w:r>
          </w:p>
          <w:p w14:paraId="1A5D60ED">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）方案内容较为基本完整，但表述一般，具有一定的合理性、可行性、针对性的，得</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分；</w:t>
            </w:r>
          </w:p>
          <w:p w14:paraId="40ED27CC">
            <w:pPr>
              <w:keepNext w:val="0"/>
              <w:keepLines w:val="0"/>
              <w:pageBreakBefore w:val="0"/>
              <w:widowControl w:val="0"/>
              <w:shd w:val="clear"/>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）方案内容有缺失，但能基本贴合采购人需求，合理性、可行性、针对性一般的得1分；</w:t>
            </w:r>
          </w:p>
          <w:p w14:paraId="622BEF92">
            <w:pPr>
              <w:widowControl/>
              <w:shd w:val="clear"/>
              <w:adjustRightInd w:val="0"/>
              <w:snapToGrid w:val="0"/>
              <w:spacing w:line="320" w:lineRule="exact"/>
              <w:ind w:firstLine="420" w:firstLineChars="200"/>
              <w:rPr>
                <w:rFonts w:hint="eastAsia" w:ascii="宋体" w:hAnsi="宋体" w:eastAsia="宋体" w:cs="宋体"/>
                <w:color w:val="000000"/>
                <w:sz w:val="21"/>
                <w:szCs w:val="21"/>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）不提供不得分。</w:t>
            </w:r>
          </w:p>
        </w:tc>
        <w:tc>
          <w:tcPr>
            <w:tcW w:w="615" w:type="dxa"/>
            <w:vAlign w:val="center"/>
          </w:tcPr>
          <w:p w14:paraId="173F65DB">
            <w:pPr>
              <w:shd w:val="clear"/>
              <w:spacing w:line="320" w:lineRule="exact"/>
              <w:jc w:val="cente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3</w:t>
            </w:r>
          </w:p>
        </w:tc>
        <w:tc>
          <w:tcPr>
            <w:tcW w:w="884" w:type="dxa"/>
            <w:vAlign w:val="center"/>
          </w:tcPr>
          <w:p w14:paraId="08182D18">
            <w:pPr>
              <w:shd w:val="clear"/>
              <w:spacing w:line="320" w:lineRule="exact"/>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主</w:t>
            </w:r>
          </w:p>
        </w:tc>
      </w:tr>
    </w:tbl>
    <w:p w14:paraId="251D0F69">
      <w:pPr>
        <w:shd w:val="clea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p>
    <w:p w14:paraId="66E4F068">
      <w:pPr>
        <w:shd w:val="clea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2.投标文件商务技术标得分低于本采购文件商务技术标评分分值（70分）的50%时，视为未实质性响应采购文件要求，作为无效投标处理。</w:t>
      </w:r>
    </w:p>
    <w:p w14:paraId="77E7A7A2">
      <w:pPr>
        <w:shd w:val="clea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3.评委依据招标文件载明的方法评分，评分四舍五入精确到小数点后两位。</w:t>
      </w:r>
    </w:p>
    <w:p w14:paraId="0D16FA99">
      <w:pPr>
        <w:shd w:val="clear"/>
        <w:spacing w:line="360" w:lineRule="auto"/>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w:t>
      </w:r>
      <w:r>
        <w:rPr>
          <w:rFonts w:hint="eastAsia" w:ascii="宋体" w:hAnsi="宋体" w:eastAsia="宋体" w:cs="宋体"/>
          <w:b/>
          <w:bCs/>
          <w:color w:val="000000"/>
          <w:sz w:val="24"/>
          <w:szCs w:val="24"/>
          <w:lang w:val="zh-CN"/>
        </w:rPr>
        <w:t>价格标</w:t>
      </w:r>
      <w:r>
        <w:rPr>
          <w:rFonts w:hint="eastAsia" w:ascii="宋体" w:hAnsi="宋体" w:eastAsia="宋体" w:cs="宋体"/>
          <w:b/>
          <w:bCs/>
          <w:color w:val="000000"/>
          <w:sz w:val="24"/>
          <w:szCs w:val="24"/>
        </w:rPr>
        <w:t>评分：（30分）</w:t>
      </w:r>
    </w:p>
    <w:p w14:paraId="45988617">
      <w:pPr>
        <w:shd w:val="clear"/>
        <w:spacing w:line="360" w:lineRule="auto"/>
        <w:ind w:firstLine="482"/>
        <w:contextualSpacing/>
        <w:rPr>
          <w:rFonts w:hint="eastAsia" w:ascii="宋体" w:hAnsi="宋体" w:eastAsia="宋体" w:cs="宋体"/>
          <w:b/>
          <w:bCs/>
          <w:color w:val="000000"/>
          <w:sz w:val="24"/>
          <w:szCs w:val="24"/>
        </w:rPr>
      </w:pPr>
      <w:r>
        <w:rPr>
          <w:rFonts w:hint="eastAsia" w:ascii="宋体" w:hAnsi="宋体" w:eastAsia="宋体" w:cs="宋体"/>
          <w:b/>
          <w:color w:val="000000"/>
          <w:sz w:val="24"/>
          <w:szCs w:val="24"/>
        </w:rPr>
        <w:t>1.本次项目最高限价：130万元，响应报价超过限价作无效标处理。</w:t>
      </w:r>
    </w:p>
    <w:p w14:paraId="075CF747">
      <w:pPr>
        <w:shd w:val="clear"/>
        <w:spacing w:line="360" w:lineRule="auto"/>
        <w:ind w:firstLine="480"/>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2.满足招标文件要求且投标报价最低的报价为评标基准价，其价格标得分为满分。</w:t>
      </w:r>
    </w:p>
    <w:p w14:paraId="148706E2">
      <w:pPr>
        <w:shd w:val="clear"/>
        <w:spacing w:line="360" w:lineRule="auto"/>
        <w:ind w:firstLine="480"/>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3.其他投标供应商的价格标得分按照下列公式计算：</w:t>
      </w:r>
    </w:p>
    <w:p w14:paraId="1B1FC666">
      <w:pPr>
        <w:shd w:val="clear"/>
        <w:spacing w:line="360" w:lineRule="auto"/>
        <w:ind w:firstLine="480"/>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价格标得分 =（评标基准价/投标报价）×30%×100</w:t>
      </w:r>
    </w:p>
    <w:p w14:paraId="2D0AF6AC">
      <w:pPr>
        <w:shd w:val="clea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（三）政府采购政策功能落实 </w:t>
      </w:r>
    </w:p>
    <w:p w14:paraId="18A5E021">
      <w:pPr>
        <w:shd w:val="clear"/>
        <w:spacing w:line="360" w:lineRule="auto"/>
        <w:ind w:firstLine="480"/>
        <w:rPr>
          <w:rFonts w:hint="eastAsia" w:ascii="宋体" w:hAnsi="宋体" w:eastAsia="宋体" w:cs="宋体"/>
          <w:color w:val="000000"/>
          <w:sz w:val="24"/>
          <w:szCs w:val="24"/>
        </w:rPr>
      </w:pPr>
      <w:r>
        <w:rPr>
          <w:rFonts w:hint="eastAsia" w:eastAsia="宋体" w:cs="宋体"/>
          <w:color w:val="000000"/>
          <w:sz w:val="24"/>
          <w:szCs w:val="24"/>
        </w:rPr>
        <w:t>本项目专门面向中小企业，不享受价格扣除优惠政策。</w:t>
      </w:r>
    </w:p>
    <w:bookmarkEnd w:id="7"/>
    <w:p w14:paraId="55C189A4">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outlineLvl w:val="2"/>
        <w:rPr>
          <w:rFonts w:hint="default" w:ascii="Times New Roman" w:hAnsi="Times New Roman" w:eastAsia="宋体" w:cs="Times New Roman"/>
          <w:b/>
          <w:color w:val="auto"/>
          <w:sz w:val="24"/>
          <w:szCs w:val="24"/>
          <w:shd w:val="clear" w:color="auto" w:fill="auto"/>
          <w:lang w:val="en-US" w:eastAsia="zh-CN"/>
        </w:rPr>
      </w:pPr>
      <w:bookmarkStart w:id="10" w:name="_Toc363573857"/>
      <w:r>
        <w:rPr>
          <w:rFonts w:hint="eastAsia" w:ascii="宋体" w:hAnsi="宋体" w:eastAsia="宋体" w:cs="宋体"/>
          <w:b/>
          <w:color w:val="000000"/>
          <w:sz w:val="24"/>
          <w:szCs w:val="24"/>
        </w:rPr>
        <w:t>（四）</w:t>
      </w:r>
      <w:r>
        <w:rPr>
          <w:rFonts w:hint="default" w:ascii="Times New Roman" w:hAnsi="Times New Roman" w:eastAsia="宋体" w:cs="Times New Roman"/>
          <w:b/>
          <w:color w:val="auto"/>
          <w:sz w:val="24"/>
          <w:szCs w:val="24"/>
          <w:shd w:val="clear" w:color="auto" w:fill="auto"/>
          <w:lang w:val="en-US" w:eastAsia="zh-CN"/>
        </w:rPr>
        <w:t>采购本国产品的支持政策</w:t>
      </w:r>
    </w:p>
    <w:p w14:paraId="2F66E2C8">
      <w:pPr>
        <w:keepNext w:val="0"/>
        <w:keepLines w:val="0"/>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1.本项目政府采购活动中既有本国产品又有非本国产品参与竞争的，依法对本国产品给予价格评审优惠，对本国产品的报价给予20%的价格扣除，用扣除后的价格参与评审。</w:t>
      </w:r>
    </w:p>
    <w:p w14:paraId="69A18336">
      <w:pPr>
        <w:keepNext w:val="0"/>
        <w:keepLines w:val="0"/>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2.当采购项目或者采购包中含有多种产品，供应商为该采购项目或者采购包提供的符合本国产品标准的产品成本之和占该供应商提供的全部产品成本之和的比例达到80%以上时（供应商需在“第八章  投标文件组成及格式”的“附件2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1C2D5D9">
      <w:pPr>
        <w:keepNext w:val="0"/>
        <w:keepLines w:val="0"/>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3.供应商需按照招标文件的要求提供《关于符合本国产品标准的声明函》（以下简称《声明函》），如不提供将不享受本国产品价格评审优惠。</w:t>
      </w:r>
    </w:p>
    <w:p w14:paraId="162A89A4">
      <w:pPr>
        <w:keepNext w:val="0"/>
        <w:keepLines w:val="0"/>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A45DC45">
      <w:pPr>
        <w:keepNext w:val="0"/>
        <w:keepLines w:val="0"/>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E941BF2">
      <w:pPr>
        <w:shd w:val="clear"/>
        <w:spacing w:line="360" w:lineRule="auto"/>
        <w:ind w:firstLine="480"/>
        <w:rPr>
          <w:rFonts w:hint="eastAsia" w:ascii="宋体" w:hAnsi="宋体" w:eastAsia="宋体" w:cs="宋体"/>
          <w:b/>
          <w:color w:val="000000"/>
          <w:sz w:val="24"/>
          <w:szCs w:val="24"/>
        </w:rPr>
      </w:pPr>
      <w:r>
        <w:rPr>
          <w:rFonts w:hint="default" w:ascii="Times New Roman" w:hAnsi="Times New Roman" w:eastAsia="宋体" w:cs="Times New Roman"/>
          <w:b/>
          <w:color w:val="auto"/>
          <w:sz w:val="24"/>
          <w:szCs w:val="24"/>
          <w:lang w:eastAsia="zh-CN"/>
        </w:rPr>
        <w:t>（五）</w:t>
      </w:r>
      <w:r>
        <w:rPr>
          <w:rFonts w:hint="eastAsia" w:ascii="宋体" w:hAnsi="宋体" w:eastAsia="宋体" w:cs="宋体"/>
          <w:b/>
          <w:color w:val="000000"/>
          <w:sz w:val="24"/>
          <w:szCs w:val="24"/>
        </w:rPr>
        <w:t>中标人的确定</w:t>
      </w:r>
    </w:p>
    <w:p w14:paraId="0300D11C">
      <w:pPr>
        <w:shd w:val="clea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评委会汇总各评委评分后，按照综合得分从高到低的顺序推荐前三名中标候选人，得分相同的，按投标报价由低到高顺序排列。得分且投标报价均相同时则通过抽签方式随机确定排名顺序。投标文件满足招标文件全部实质性要求，且按照评审因素的量化指标评审得分最高的投标人为排名第一的中标候选人，并编写评标报告。</w:t>
      </w:r>
    </w:p>
    <w:p w14:paraId="5162C981">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采购人</w:t>
      </w:r>
      <w:r>
        <w:rPr>
          <w:rFonts w:hint="eastAsia" w:ascii="宋体" w:hAnsi="宋体" w:eastAsia="宋体" w:cs="宋体"/>
          <w:b/>
          <w:color w:val="000000"/>
          <w:sz w:val="24"/>
          <w:szCs w:val="24"/>
        </w:rPr>
        <w:t>委托评标委员会直接确定中标人。</w:t>
      </w:r>
    </w:p>
    <w:p w14:paraId="3C9CC663">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当排名第一的中标候选人放弃中标、因不可抗力不能履行合同、不按照招标文件要求提交履约保证金，或者被查实存在影响中标结果的违法行为等情形，不符合中标条件的，</w:t>
      </w:r>
      <w:r>
        <w:rPr>
          <w:rFonts w:hint="eastAsia" w:ascii="Times New Roman" w:hAnsi="Times New Roman" w:eastAsia="宋体" w:cs="Times New Roman"/>
          <w:b/>
          <w:bCs/>
          <w:color w:val="auto"/>
          <w:sz w:val="24"/>
          <w:szCs w:val="24"/>
          <w:lang w:eastAsia="zh-CN"/>
        </w:rPr>
        <w:t>采购人</w:t>
      </w:r>
      <w:r>
        <w:rPr>
          <w:rFonts w:hint="default" w:ascii="Times New Roman" w:hAnsi="Times New Roman" w:eastAsia="宋体" w:cs="Times New Roman"/>
          <w:b/>
          <w:bCs/>
          <w:color w:val="auto"/>
          <w:sz w:val="24"/>
          <w:szCs w:val="24"/>
        </w:rPr>
        <w:t>可以重新招标</w:t>
      </w:r>
      <w:r>
        <w:rPr>
          <w:rFonts w:hint="eastAsia" w:ascii="Times New Roman" w:hAnsi="Times New Roman" w:eastAsia="宋体" w:cs="Times New Roman"/>
          <w:b/>
          <w:bCs/>
          <w:color w:val="auto"/>
          <w:sz w:val="24"/>
          <w:szCs w:val="24"/>
          <w:lang w:eastAsia="zh-CN"/>
        </w:rPr>
        <w:t>，</w:t>
      </w:r>
      <w:r>
        <w:rPr>
          <w:rFonts w:hint="default" w:ascii="Times New Roman" w:hAnsi="Times New Roman" w:eastAsia="宋体" w:cs="Times New Roman"/>
          <w:b/>
          <w:bCs/>
          <w:color w:val="auto"/>
          <w:sz w:val="24"/>
          <w:szCs w:val="24"/>
        </w:rPr>
        <w:t>也可以按照评标委员会提出的中标候选人名单排序依次确定其他中标候选人为中标人。</w:t>
      </w:r>
    </w:p>
    <w:p w14:paraId="0C3C1F8E">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rPr>
        <w:t>九、评标争议</w:t>
      </w:r>
    </w:p>
    <w:p w14:paraId="79934866">
      <w:pPr>
        <w:shd w:val="clear"/>
        <w:spacing w:line="360" w:lineRule="auto"/>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评标时评委对评标的细则若有争议，由评标委员会评委集体讨论确定，并对未尽情况有最终解释权。</w:t>
      </w:r>
    </w:p>
    <w:p w14:paraId="224D6BA4">
      <w:pPr>
        <w:shd w:val="clear"/>
        <w:spacing w:line="360" w:lineRule="auto"/>
        <w:ind w:firstLine="480"/>
        <w:rPr>
          <w:rFonts w:hint="eastAsia" w:ascii="宋体" w:hAnsi="宋体" w:eastAsia="宋体" w:cs="宋体"/>
          <w:b/>
          <w:color w:val="000000"/>
          <w:sz w:val="24"/>
          <w:szCs w:val="24"/>
        </w:rPr>
      </w:pPr>
      <w:r>
        <w:rPr>
          <w:rFonts w:hint="eastAsia" w:ascii="宋体" w:hAnsi="宋体" w:eastAsia="宋体" w:cs="宋体"/>
          <w:b/>
          <w:color w:val="000000"/>
          <w:sz w:val="24"/>
          <w:szCs w:val="24"/>
        </w:rPr>
        <w:t>十、落标原因</w:t>
      </w:r>
    </w:p>
    <w:p w14:paraId="0F272C5A">
      <w:pPr>
        <w:shd w:val="clear"/>
        <w:spacing w:line="360" w:lineRule="auto"/>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评标委员会不对落标的投标人做落标原因的解释。</w:t>
      </w:r>
    </w:p>
    <w:p w14:paraId="6CDD2DE4">
      <w:pPr>
        <w:shd w:val="clear"/>
        <w:spacing w:line="360" w:lineRule="auto"/>
        <w:ind w:firstLine="723"/>
        <w:jc w:val="center"/>
        <w:rPr>
          <w:rFonts w:eastAsia="宋体" w:cs="宋体"/>
          <w:b/>
          <w:color w:val="000000"/>
          <w:sz w:val="36"/>
          <w:szCs w:val="36"/>
        </w:rPr>
      </w:pPr>
      <w:r>
        <w:rPr>
          <w:rFonts w:hint="eastAsia" w:eastAsia="宋体" w:cs="宋体"/>
          <w:b/>
          <w:color w:val="000000"/>
          <w:sz w:val="36"/>
          <w:szCs w:val="36"/>
        </w:rPr>
        <w:br w:type="page" w:clear="all"/>
      </w:r>
      <w:r>
        <w:rPr>
          <w:rFonts w:hint="eastAsia" w:eastAsia="宋体" w:cs="宋体"/>
          <w:b/>
          <w:color w:val="000000"/>
          <w:sz w:val="36"/>
          <w:szCs w:val="36"/>
        </w:rPr>
        <w:t>第五章  合同签订与验收付款</w:t>
      </w:r>
    </w:p>
    <w:bookmarkEnd w:id="10"/>
    <w:p w14:paraId="7C3682AE">
      <w:pPr>
        <w:shd w:val="clear"/>
        <w:spacing w:line="360" w:lineRule="auto"/>
        <w:ind w:firstLine="482"/>
        <w:jc w:val="center"/>
        <w:outlineLvl w:val="0"/>
        <w:rPr>
          <w:rFonts w:hint="eastAsia" w:ascii="宋体" w:hAnsi="宋体" w:eastAsia="宋体" w:cs="宋体"/>
          <w:b/>
          <w:color w:val="000000"/>
          <w:sz w:val="32"/>
          <w:szCs w:val="32"/>
        </w:rPr>
      </w:pPr>
      <w:bookmarkStart w:id="11" w:name="_Toc8219"/>
      <w:bookmarkStart w:id="12" w:name="_Toc363573859"/>
      <w:r>
        <w:rPr>
          <w:rFonts w:hint="eastAsia" w:ascii="宋体" w:hAnsi="宋体" w:eastAsia="宋体" w:cs="宋体"/>
          <w:b/>
          <w:color w:val="000000"/>
          <w:sz w:val="32"/>
          <w:szCs w:val="32"/>
        </w:rPr>
        <w:t>江苏省政府采购合同（货物）</w:t>
      </w:r>
    </w:p>
    <w:p w14:paraId="52403AFB">
      <w:pPr>
        <w:shd w:val="clear"/>
        <w:spacing w:line="360" w:lineRule="auto"/>
        <w:ind w:firstLine="482"/>
        <w:jc w:val="center"/>
        <w:outlineLvl w:val="0"/>
        <w:rPr>
          <w:rFonts w:hint="eastAsia" w:ascii="宋体" w:hAnsi="宋体" w:eastAsia="宋体" w:cs="宋体"/>
          <w:b/>
          <w:bCs/>
          <w:color w:val="000000"/>
          <w:sz w:val="24"/>
          <w:szCs w:val="24"/>
        </w:rPr>
      </w:pPr>
      <w:r>
        <w:rPr>
          <w:rFonts w:hint="eastAsia" w:ascii="宋体" w:hAnsi="宋体" w:eastAsia="宋体" w:cs="宋体"/>
          <w:b/>
          <w:color w:val="000000"/>
          <w:sz w:val="24"/>
          <w:szCs w:val="24"/>
        </w:rPr>
        <w:t>（合同编号：         ）</w:t>
      </w:r>
      <w:bookmarkEnd w:id="11"/>
    </w:p>
    <w:p w14:paraId="05238D1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项目名称：江苏航运职业技术学院智慧船舶网络安全实践中心</w:t>
      </w:r>
    </w:p>
    <w:p w14:paraId="3FE7B5DE">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项目编号：</w:t>
      </w:r>
    </w:p>
    <w:p w14:paraId="3738E6AE">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甲方（采购人）：</w:t>
      </w:r>
      <w:r>
        <w:rPr>
          <w:rFonts w:hint="eastAsia" w:ascii="宋体" w:hAnsi="宋体" w:eastAsia="宋体" w:cs="宋体"/>
          <w:color w:val="000000"/>
          <w:sz w:val="24"/>
          <w:szCs w:val="24"/>
          <w:u w:val="single"/>
        </w:rPr>
        <w:t>江苏航运职业技术学院</w:t>
      </w:r>
    </w:p>
    <w:p w14:paraId="1CF683AB">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乙方（中标人）：</w:t>
      </w:r>
    </w:p>
    <w:p w14:paraId="38260486">
      <w:pPr>
        <w:shd w:val="clea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甲、乙双方根据</w:t>
      </w:r>
      <w:r>
        <w:rPr>
          <w:rFonts w:hint="eastAsia" w:ascii="宋体" w:hAnsi="宋体" w:eastAsia="宋体" w:cs="宋体"/>
          <w:color w:val="000000"/>
          <w:sz w:val="24"/>
          <w:szCs w:val="24"/>
          <w:u w:val="single"/>
        </w:rPr>
        <w:t>江苏航运职业技术学院智慧船舶网络安全实践中心</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）公开招标的结果，签署本合同。</w:t>
      </w:r>
    </w:p>
    <w:p w14:paraId="25885482">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一、合同内容</w:t>
      </w:r>
    </w:p>
    <w:p w14:paraId="7A1ED22B">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 标的名称：江苏航运职业技术学院智慧船舶网络安全实践中心</w:t>
      </w:r>
    </w:p>
    <w:p w14:paraId="0B71BEC0">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 标的质量：合格</w:t>
      </w:r>
    </w:p>
    <w:p w14:paraId="25AF7A6F">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 标的数量（规模）：</w:t>
      </w:r>
    </w:p>
    <w:tbl>
      <w:tblPr>
        <w:tblStyle w:val="7"/>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674"/>
        <w:gridCol w:w="1211"/>
        <w:gridCol w:w="1276"/>
        <w:gridCol w:w="992"/>
        <w:gridCol w:w="851"/>
        <w:gridCol w:w="850"/>
        <w:gridCol w:w="851"/>
        <w:gridCol w:w="965"/>
      </w:tblGrid>
      <w:tr w14:paraId="51A8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703" w:type="dxa"/>
            <w:vAlign w:val="center"/>
          </w:tcPr>
          <w:p w14:paraId="57F8AE05">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674" w:type="dxa"/>
            <w:vAlign w:val="center"/>
          </w:tcPr>
          <w:p w14:paraId="7A38CA68">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名称</w:t>
            </w:r>
          </w:p>
        </w:tc>
        <w:tc>
          <w:tcPr>
            <w:tcW w:w="1211" w:type="dxa"/>
            <w:vAlign w:val="center"/>
          </w:tcPr>
          <w:p w14:paraId="6FB9FAC1">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规格型号</w:t>
            </w:r>
          </w:p>
        </w:tc>
        <w:tc>
          <w:tcPr>
            <w:tcW w:w="1276" w:type="dxa"/>
            <w:vAlign w:val="center"/>
          </w:tcPr>
          <w:p w14:paraId="4CD5AB6F">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品牌</w:t>
            </w:r>
          </w:p>
        </w:tc>
        <w:tc>
          <w:tcPr>
            <w:tcW w:w="992" w:type="dxa"/>
            <w:vAlign w:val="center"/>
          </w:tcPr>
          <w:p w14:paraId="3C1E9BC3">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单位</w:t>
            </w:r>
          </w:p>
        </w:tc>
        <w:tc>
          <w:tcPr>
            <w:tcW w:w="851" w:type="dxa"/>
            <w:vAlign w:val="center"/>
          </w:tcPr>
          <w:p w14:paraId="7D4A6AE4">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数量</w:t>
            </w:r>
          </w:p>
        </w:tc>
        <w:tc>
          <w:tcPr>
            <w:tcW w:w="850" w:type="dxa"/>
            <w:vAlign w:val="center"/>
          </w:tcPr>
          <w:p w14:paraId="2AF3B1FA">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单价</w:t>
            </w:r>
          </w:p>
        </w:tc>
        <w:tc>
          <w:tcPr>
            <w:tcW w:w="851" w:type="dxa"/>
            <w:vAlign w:val="center"/>
          </w:tcPr>
          <w:p w14:paraId="61FF951E">
            <w:pPr>
              <w:shd w:val="clear"/>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金额</w:t>
            </w:r>
          </w:p>
        </w:tc>
        <w:tc>
          <w:tcPr>
            <w:tcW w:w="965" w:type="dxa"/>
            <w:vAlign w:val="center"/>
          </w:tcPr>
          <w:p w14:paraId="25087CD0">
            <w:pPr>
              <w:shd w:val="clear"/>
              <w:snapToGrid w:val="0"/>
              <w:spacing w:line="360" w:lineRule="auto"/>
              <w:ind w:firstLine="120" w:firstLineChars="50"/>
              <w:jc w:val="center"/>
              <w:rPr>
                <w:rFonts w:hint="eastAsia" w:ascii="宋体" w:hAnsi="宋体" w:eastAsia="宋体" w:cs="宋体"/>
                <w:b/>
                <w:sz w:val="24"/>
                <w:szCs w:val="24"/>
              </w:rPr>
            </w:pPr>
            <w:r>
              <w:rPr>
                <w:rFonts w:hint="eastAsia" w:ascii="宋体" w:hAnsi="宋体" w:eastAsia="宋体" w:cs="宋体"/>
                <w:b/>
                <w:sz w:val="24"/>
                <w:szCs w:val="24"/>
              </w:rPr>
              <w:t>备注</w:t>
            </w:r>
          </w:p>
        </w:tc>
      </w:tr>
      <w:tr w14:paraId="460AC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703" w:type="dxa"/>
            <w:vAlign w:val="center"/>
          </w:tcPr>
          <w:p w14:paraId="59A6A0C9">
            <w:pPr>
              <w:shd w:val="clea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674" w:type="dxa"/>
            <w:vAlign w:val="center"/>
          </w:tcPr>
          <w:p w14:paraId="68731C9A">
            <w:pPr>
              <w:shd w:val="clear"/>
              <w:snapToGrid w:val="0"/>
              <w:spacing w:line="360" w:lineRule="auto"/>
              <w:jc w:val="center"/>
              <w:rPr>
                <w:rFonts w:hint="eastAsia" w:ascii="宋体" w:hAnsi="宋体" w:eastAsia="宋体" w:cs="宋体"/>
                <w:sz w:val="24"/>
                <w:szCs w:val="24"/>
              </w:rPr>
            </w:pPr>
          </w:p>
        </w:tc>
        <w:tc>
          <w:tcPr>
            <w:tcW w:w="1211" w:type="dxa"/>
            <w:vAlign w:val="center"/>
          </w:tcPr>
          <w:p w14:paraId="231D3B21">
            <w:pPr>
              <w:shd w:val="clear"/>
              <w:snapToGrid w:val="0"/>
              <w:spacing w:line="360" w:lineRule="auto"/>
              <w:jc w:val="center"/>
              <w:rPr>
                <w:rFonts w:hint="eastAsia" w:ascii="宋体" w:hAnsi="宋体" w:eastAsia="宋体" w:cs="宋体"/>
                <w:sz w:val="24"/>
                <w:szCs w:val="24"/>
              </w:rPr>
            </w:pPr>
          </w:p>
        </w:tc>
        <w:tc>
          <w:tcPr>
            <w:tcW w:w="1276" w:type="dxa"/>
            <w:vAlign w:val="center"/>
          </w:tcPr>
          <w:p w14:paraId="33722C24">
            <w:pPr>
              <w:shd w:val="clear"/>
              <w:snapToGrid w:val="0"/>
              <w:spacing w:line="360" w:lineRule="auto"/>
              <w:jc w:val="center"/>
              <w:rPr>
                <w:rFonts w:hint="eastAsia" w:ascii="宋体" w:hAnsi="宋体" w:eastAsia="宋体" w:cs="宋体"/>
                <w:sz w:val="24"/>
                <w:szCs w:val="24"/>
              </w:rPr>
            </w:pPr>
          </w:p>
        </w:tc>
        <w:tc>
          <w:tcPr>
            <w:tcW w:w="992" w:type="dxa"/>
            <w:vAlign w:val="center"/>
          </w:tcPr>
          <w:p w14:paraId="3E144209">
            <w:pPr>
              <w:shd w:val="clear"/>
              <w:snapToGrid w:val="0"/>
              <w:spacing w:line="360" w:lineRule="auto"/>
              <w:jc w:val="center"/>
              <w:rPr>
                <w:rFonts w:hint="eastAsia" w:ascii="宋体" w:hAnsi="宋体" w:eastAsia="宋体" w:cs="宋体"/>
                <w:sz w:val="24"/>
                <w:szCs w:val="24"/>
              </w:rPr>
            </w:pPr>
          </w:p>
        </w:tc>
        <w:tc>
          <w:tcPr>
            <w:tcW w:w="851" w:type="dxa"/>
            <w:vAlign w:val="center"/>
          </w:tcPr>
          <w:p w14:paraId="2A362EC2">
            <w:pPr>
              <w:shd w:val="clear"/>
              <w:snapToGrid w:val="0"/>
              <w:spacing w:line="360" w:lineRule="auto"/>
              <w:jc w:val="center"/>
              <w:rPr>
                <w:rFonts w:hint="eastAsia" w:ascii="宋体" w:hAnsi="宋体" w:eastAsia="宋体" w:cs="宋体"/>
                <w:sz w:val="24"/>
                <w:szCs w:val="24"/>
              </w:rPr>
            </w:pPr>
          </w:p>
        </w:tc>
        <w:tc>
          <w:tcPr>
            <w:tcW w:w="850" w:type="dxa"/>
            <w:vAlign w:val="center"/>
          </w:tcPr>
          <w:p w14:paraId="7BAC99FF">
            <w:pPr>
              <w:shd w:val="clear"/>
              <w:snapToGrid w:val="0"/>
              <w:spacing w:line="360" w:lineRule="auto"/>
              <w:jc w:val="center"/>
              <w:rPr>
                <w:rFonts w:hint="eastAsia" w:ascii="宋体" w:hAnsi="宋体" w:eastAsia="宋体" w:cs="宋体"/>
                <w:sz w:val="24"/>
                <w:szCs w:val="24"/>
              </w:rPr>
            </w:pPr>
          </w:p>
        </w:tc>
        <w:tc>
          <w:tcPr>
            <w:tcW w:w="851" w:type="dxa"/>
            <w:vAlign w:val="center"/>
          </w:tcPr>
          <w:p w14:paraId="279CBD74">
            <w:pPr>
              <w:shd w:val="clear"/>
              <w:snapToGrid w:val="0"/>
              <w:spacing w:line="360" w:lineRule="auto"/>
              <w:jc w:val="center"/>
              <w:rPr>
                <w:rFonts w:hint="eastAsia" w:ascii="宋体" w:hAnsi="宋体" w:eastAsia="宋体" w:cs="宋体"/>
                <w:sz w:val="24"/>
                <w:szCs w:val="24"/>
              </w:rPr>
            </w:pPr>
          </w:p>
        </w:tc>
        <w:tc>
          <w:tcPr>
            <w:tcW w:w="965" w:type="dxa"/>
            <w:vAlign w:val="center"/>
          </w:tcPr>
          <w:p w14:paraId="431CE1AF">
            <w:pPr>
              <w:shd w:val="clear"/>
              <w:snapToGrid w:val="0"/>
              <w:spacing w:line="360" w:lineRule="auto"/>
              <w:jc w:val="center"/>
              <w:rPr>
                <w:rFonts w:hint="eastAsia" w:ascii="宋体" w:hAnsi="宋体" w:eastAsia="宋体" w:cs="宋体"/>
                <w:sz w:val="24"/>
                <w:szCs w:val="24"/>
              </w:rPr>
            </w:pPr>
          </w:p>
        </w:tc>
      </w:tr>
      <w:tr w14:paraId="4BC7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trPr>
        <w:tc>
          <w:tcPr>
            <w:tcW w:w="703" w:type="dxa"/>
            <w:vAlign w:val="center"/>
          </w:tcPr>
          <w:p w14:paraId="26BC71C3">
            <w:pPr>
              <w:shd w:val="clea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674" w:type="dxa"/>
            <w:vAlign w:val="center"/>
          </w:tcPr>
          <w:p w14:paraId="26650395">
            <w:pPr>
              <w:shd w:val="clear"/>
              <w:snapToGrid w:val="0"/>
              <w:spacing w:line="360" w:lineRule="auto"/>
              <w:jc w:val="center"/>
              <w:rPr>
                <w:rFonts w:hint="eastAsia" w:ascii="宋体" w:hAnsi="宋体" w:eastAsia="宋体" w:cs="宋体"/>
                <w:sz w:val="24"/>
                <w:szCs w:val="24"/>
              </w:rPr>
            </w:pPr>
          </w:p>
        </w:tc>
        <w:tc>
          <w:tcPr>
            <w:tcW w:w="1211" w:type="dxa"/>
            <w:vAlign w:val="center"/>
          </w:tcPr>
          <w:p w14:paraId="0C473862">
            <w:pPr>
              <w:shd w:val="clear"/>
              <w:snapToGrid w:val="0"/>
              <w:spacing w:line="360" w:lineRule="auto"/>
              <w:jc w:val="center"/>
              <w:rPr>
                <w:rFonts w:hint="eastAsia" w:ascii="宋体" w:hAnsi="宋体" w:eastAsia="宋体" w:cs="宋体"/>
                <w:sz w:val="24"/>
                <w:szCs w:val="24"/>
              </w:rPr>
            </w:pPr>
          </w:p>
        </w:tc>
        <w:tc>
          <w:tcPr>
            <w:tcW w:w="1276" w:type="dxa"/>
            <w:vAlign w:val="center"/>
          </w:tcPr>
          <w:p w14:paraId="234AC57F">
            <w:pPr>
              <w:shd w:val="clear"/>
              <w:snapToGrid w:val="0"/>
              <w:spacing w:line="360" w:lineRule="auto"/>
              <w:jc w:val="center"/>
              <w:rPr>
                <w:rFonts w:hint="eastAsia" w:ascii="宋体" w:hAnsi="宋体" w:eastAsia="宋体" w:cs="宋体"/>
                <w:sz w:val="24"/>
                <w:szCs w:val="24"/>
              </w:rPr>
            </w:pPr>
          </w:p>
        </w:tc>
        <w:tc>
          <w:tcPr>
            <w:tcW w:w="992" w:type="dxa"/>
            <w:vAlign w:val="center"/>
          </w:tcPr>
          <w:p w14:paraId="06874DF7">
            <w:pPr>
              <w:shd w:val="clear"/>
              <w:snapToGrid w:val="0"/>
              <w:spacing w:line="360" w:lineRule="auto"/>
              <w:jc w:val="center"/>
              <w:rPr>
                <w:rFonts w:hint="eastAsia" w:ascii="宋体" w:hAnsi="宋体" w:eastAsia="宋体" w:cs="宋体"/>
                <w:sz w:val="24"/>
                <w:szCs w:val="24"/>
              </w:rPr>
            </w:pPr>
          </w:p>
        </w:tc>
        <w:tc>
          <w:tcPr>
            <w:tcW w:w="851" w:type="dxa"/>
            <w:vAlign w:val="center"/>
          </w:tcPr>
          <w:p w14:paraId="0FC6B262">
            <w:pPr>
              <w:shd w:val="clear"/>
              <w:snapToGrid w:val="0"/>
              <w:spacing w:line="360" w:lineRule="auto"/>
              <w:jc w:val="center"/>
              <w:rPr>
                <w:rFonts w:hint="eastAsia" w:ascii="宋体" w:hAnsi="宋体" w:eastAsia="宋体" w:cs="宋体"/>
                <w:sz w:val="24"/>
                <w:szCs w:val="24"/>
              </w:rPr>
            </w:pPr>
          </w:p>
        </w:tc>
        <w:tc>
          <w:tcPr>
            <w:tcW w:w="850" w:type="dxa"/>
            <w:vAlign w:val="center"/>
          </w:tcPr>
          <w:p w14:paraId="54B60F2D">
            <w:pPr>
              <w:shd w:val="clear"/>
              <w:snapToGrid w:val="0"/>
              <w:spacing w:line="360" w:lineRule="auto"/>
              <w:jc w:val="center"/>
              <w:rPr>
                <w:rFonts w:hint="eastAsia" w:ascii="宋体" w:hAnsi="宋体" w:eastAsia="宋体" w:cs="宋体"/>
                <w:sz w:val="24"/>
                <w:szCs w:val="24"/>
              </w:rPr>
            </w:pPr>
          </w:p>
        </w:tc>
        <w:tc>
          <w:tcPr>
            <w:tcW w:w="851" w:type="dxa"/>
            <w:vAlign w:val="center"/>
          </w:tcPr>
          <w:p w14:paraId="67710650">
            <w:pPr>
              <w:shd w:val="clear"/>
              <w:snapToGrid w:val="0"/>
              <w:spacing w:line="360" w:lineRule="auto"/>
              <w:jc w:val="center"/>
              <w:rPr>
                <w:rFonts w:hint="eastAsia" w:ascii="宋体" w:hAnsi="宋体" w:eastAsia="宋体" w:cs="宋体"/>
                <w:sz w:val="24"/>
                <w:szCs w:val="24"/>
              </w:rPr>
            </w:pPr>
          </w:p>
        </w:tc>
        <w:tc>
          <w:tcPr>
            <w:tcW w:w="965" w:type="dxa"/>
            <w:vAlign w:val="center"/>
          </w:tcPr>
          <w:p w14:paraId="760C2A83">
            <w:pPr>
              <w:shd w:val="clear"/>
              <w:snapToGrid w:val="0"/>
              <w:spacing w:line="360" w:lineRule="auto"/>
              <w:jc w:val="center"/>
              <w:rPr>
                <w:rFonts w:hint="eastAsia" w:ascii="宋体" w:hAnsi="宋体" w:eastAsia="宋体" w:cs="宋体"/>
                <w:sz w:val="24"/>
                <w:szCs w:val="24"/>
              </w:rPr>
            </w:pPr>
          </w:p>
        </w:tc>
      </w:tr>
      <w:tr w14:paraId="4A4C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703" w:type="dxa"/>
            <w:vAlign w:val="center"/>
          </w:tcPr>
          <w:p w14:paraId="4E4F965B">
            <w:pPr>
              <w:shd w:val="clea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674" w:type="dxa"/>
            <w:vAlign w:val="center"/>
          </w:tcPr>
          <w:p w14:paraId="5E4811E6">
            <w:pPr>
              <w:shd w:val="clear"/>
              <w:snapToGrid w:val="0"/>
              <w:spacing w:line="360" w:lineRule="auto"/>
              <w:jc w:val="center"/>
              <w:rPr>
                <w:rFonts w:hint="eastAsia" w:ascii="宋体" w:hAnsi="宋体" w:eastAsia="宋体" w:cs="宋体"/>
                <w:sz w:val="24"/>
                <w:szCs w:val="24"/>
              </w:rPr>
            </w:pPr>
          </w:p>
        </w:tc>
        <w:tc>
          <w:tcPr>
            <w:tcW w:w="1211" w:type="dxa"/>
            <w:vAlign w:val="center"/>
          </w:tcPr>
          <w:p w14:paraId="0DE39387">
            <w:pPr>
              <w:shd w:val="clear"/>
              <w:snapToGrid w:val="0"/>
              <w:spacing w:line="360" w:lineRule="auto"/>
              <w:jc w:val="center"/>
              <w:rPr>
                <w:rFonts w:hint="eastAsia" w:ascii="宋体" w:hAnsi="宋体" w:eastAsia="宋体" w:cs="宋体"/>
                <w:sz w:val="24"/>
                <w:szCs w:val="24"/>
              </w:rPr>
            </w:pPr>
          </w:p>
        </w:tc>
        <w:tc>
          <w:tcPr>
            <w:tcW w:w="1276" w:type="dxa"/>
            <w:vAlign w:val="center"/>
          </w:tcPr>
          <w:p w14:paraId="6E9F55E4">
            <w:pPr>
              <w:shd w:val="clear"/>
              <w:snapToGrid w:val="0"/>
              <w:spacing w:line="360" w:lineRule="auto"/>
              <w:jc w:val="center"/>
              <w:rPr>
                <w:rFonts w:hint="eastAsia" w:ascii="宋体" w:hAnsi="宋体" w:eastAsia="宋体" w:cs="宋体"/>
                <w:sz w:val="24"/>
                <w:szCs w:val="24"/>
              </w:rPr>
            </w:pPr>
          </w:p>
        </w:tc>
        <w:tc>
          <w:tcPr>
            <w:tcW w:w="992" w:type="dxa"/>
            <w:vAlign w:val="center"/>
          </w:tcPr>
          <w:p w14:paraId="71AF0057">
            <w:pPr>
              <w:shd w:val="clear"/>
              <w:snapToGrid w:val="0"/>
              <w:spacing w:line="360" w:lineRule="auto"/>
              <w:jc w:val="center"/>
              <w:rPr>
                <w:rFonts w:hint="eastAsia" w:ascii="宋体" w:hAnsi="宋体" w:eastAsia="宋体" w:cs="宋体"/>
                <w:sz w:val="24"/>
                <w:szCs w:val="24"/>
              </w:rPr>
            </w:pPr>
          </w:p>
        </w:tc>
        <w:tc>
          <w:tcPr>
            <w:tcW w:w="851" w:type="dxa"/>
            <w:vAlign w:val="center"/>
          </w:tcPr>
          <w:p w14:paraId="61ACF4D3">
            <w:pPr>
              <w:shd w:val="clear"/>
              <w:snapToGrid w:val="0"/>
              <w:spacing w:line="360" w:lineRule="auto"/>
              <w:jc w:val="center"/>
              <w:rPr>
                <w:rFonts w:hint="eastAsia" w:ascii="宋体" w:hAnsi="宋体" w:eastAsia="宋体" w:cs="宋体"/>
                <w:sz w:val="24"/>
                <w:szCs w:val="24"/>
              </w:rPr>
            </w:pPr>
          </w:p>
        </w:tc>
        <w:tc>
          <w:tcPr>
            <w:tcW w:w="850" w:type="dxa"/>
            <w:vAlign w:val="center"/>
          </w:tcPr>
          <w:p w14:paraId="43394028">
            <w:pPr>
              <w:shd w:val="clear"/>
              <w:snapToGrid w:val="0"/>
              <w:spacing w:line="360" w:lineRule="auto"/>
              <w:jc w:val="center"/>
              <w:rPr>
                <w:rFonts w:hint="eastAsia" w:ascii="宋体" w:hAnsi="宋体" w:eastAsia="宋体" w:cs="宋体"/>
                <w:sz w:val="24"/>
                <w:szCs w:val="24"/>
              </w:rPr>
            </w:pPr>
          </w:p>
        </w:tc>
        <w:tc>
          <w:tcPr>
            <w:tcW w:w="851" w:type="dxa"/>
            <w:vAlign w:val="center"/>
          </w:tcPr>
          <w:p w14:paraId="065F21E4">
            <w:pPr>
              <w:shd w:val="clear"/>
              <w:snapToGrid w:val="0"/>
              <w:spacing w:line="360" w:lineRule="auto"/>
              <w:jc w:val="center"/>
              <w:rPr>
                <w:rFonts w:hint="eastAsia" w:ascii="宋体" w:hAnsi="宋体" w:eastAsia="宋体" w:cs="宋体"/>
                <w:sz w:val="24"/>
                <w:szCs w:val="24"/>
              </w:rPr>
            </w:pPr>
          </w:p>
        </w:tc>
        <w:tc>
          <w:tcPr>
            <w:tcW w:w="965" w:type="dxa"/>
            <w:vAlign w:val="center"/>
          </w:tcPr>
          <w:p w14:paraId="0AA3D5C3">
            <w:pPr>
              <w:shd w:val="clear"/>
              <w:snapToGrid w:val="0"/>
              <w:spacing w:line="360" w:lineRule="auto"/>
              <w:jc w:val="center"/>
              <w:rPr>
                <w:rFonts w:hint="eastAsia" w:ascii="宋体" w:hAnsi="宋体" w:eastAsia="宋体" w:cs="宋体"/>
                <w:sz w:val="24"/>
                <w:szCs w:val="24"/>
              </w:rPr>
            </w:pPr>
          </w:p>
        </w:tc>
      </w:tr>
      <w:tr w14:paraId="49AB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703" w:type="dxa"/>
            <w:vAlign w:val="center"/>
          </w:tcPr>
          <w:p w14:paraId="6E3BB734">
            <w:pPr>
              <w:shd w:val="clea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674" w:type="dxa"/>
            <w:vAlign w:val="center"/>
          </w:tcPr>
          <w:p w14:paraId="03F0451F">
            <w:pPr>
              <w:shd w:val="clear"/>
              <w:snapToGrid w:val="0"/>
              <w:spacing w:line="360" w:lineRule="auto"/>
              <w:jc w:val="center"/>
              <w:rPr>
                <w:rFonts w:hint="eastAsia" w:ascii="宋体" w:hAnsi="宋体" w:eastAsia="宋体" w:cs="宋体"/>
                <w:sz w:val="24"/>
                <w:szCs w:val="24"/>
              </w:rPr>
            </w:pPr>
          </w:p>
        </w:tc>
        <w:tc>
          <w:tcPr>
            <w:tcW w:w="1211" w:type="dxa"/>
            <w:vAlign w:val="center"/>
          </w:tcPr>
          <w:p w14:paraId="33987A39">
            <w:pPr>
              <w:shd w:val="clear"/>
              <w:snapToGrid w:val="0"/>
              <w:spacing w:line="360" w:lineRule="auto"/>
              <w:jc w:val="center"/>
              <w:rPr>
                <w:rFonts w:hint="eastAsia" w:ascii="宋体" w:hAnsi="宋体" w:eastAsia="宋体" w:cs="宋体"/>
                <w:sz w:val="24"/>
                <w:szCs w:val="24"/>
              </w:rPr>
            </w:pPr>
          </w:p>
        </w:tc>
        <w:tc>
          <w:tcPr>
            <w:tcW w:w="1276" w:type="dxa"/>
            <w:vAlign w:val="center"/>
          </w:tcPr>
          <w:p w14:paraId="7B95ACE1">
            <w:pPr>
              <w:shd w:val="clear"/>
              <w:snapToGrid w:val="0"/>
              <w:spacing w:line="360" w:lineRule="auto"/>
              <w:jc w:val="center"/>
              <w:rPr>
                <w:rFonts w:hint="eastAsia" w:ascii="宋体" w:hAnsi="宋体" w:eastAsia="宋体" w:cs="宋体"/>
                <w:sz w:val="24"/>
                <w:szCs w:val="24"/>
              </w:rPr>
            </w:pPr>
          </w:p>
        </w:tc>
        <w:tc>
          <w:tcPr>
            <w:tcW w:w="992" w:type="dxa"/>
            <w:vAlign w:val="center"/>
          </w:tcPr>
          <w:p w14:paraId="38161B37">
            <w:pPr>
              <w:shd w:val="clear"/>
              <w:snapToGrid w:val="0"/>
              <w:spacing w:line="360" w:lineRule="auto"/>
              <w:jc w:val="center"/>
              <w:rPr>
                <w:rFonts w:hint="eastAsia" w:ascii="宋体" w:hAnsi="宋体" w:eastAsia="宋体" w:cs="宋体"/>
                <w:sz w:val="24"/>
                <w:szCs w:val="24"/>
              </w:rPr>
            </w:pPr>
          </w:p>
        </w:tc>
        <w:tc>
          <w:tcPr>
            <w:tcW w:w="851" w:type="dxa"/>
            <w:vAlign w:val="center"/>
          </w:tcPr>
          <w:p w14:paraId="431EE0FA">
            <w:pPr>
              <w:shd w:val="clear"/>
              <w:snapToGrid w:val="0"/>
              <w:spacing w:line="360" w:lineRule="auto"/>
              <w:jc w:val="center"/>
              <w:rPr>
                <w:rFonts w:hint="eastAsia" w:ascii="宋体" w:hAnsi="宋体" w:eastAsia="宋体" w:cs="宋体"/>
                <w:sz w:val="24"/>
                <w:szCs w:val="24"/>
              </w:rPr>
            </w:pPr>
          </w:p>
        </w:tc>
        <w:tc>
          <w:tcPr>
            <w:tcW w:w="850" w:type="dxa"/>
            <w:vAlign w:val="center"/>
          </w:tcPr>
          <w:p w14:paraId="12A9A20D">
            <w:pPr>
              <w:shd w:val="clear"/>
              <w:snapToGrid w:val="0"/>
              <w:spacing w:line="360" w:lineRule="auto"/>
              <w:jc w:val="center"/>
              <w:rPr>
                <w:rFonts w:hint="eastAsia" w:ascii="宋体" w:hAnsi="宋体" w:eastAsia="宋体" w:cs="宋体"/>
                <w:sz w:val="24"/>
                <w:szCs w:val="24"/>
              </w:rPr>
            </w:pPr>
          </w:p>
        </w:tc>
        <w:tc>
          <w:tcPr>
            <w:tcW w:w="851" w:type="dxa"/>
            <w:vAlign w:val="center"/>
          </w:tcPr>
          <w:p w14:paraId="10BA8E4A">
            <w:pPr>
              <w:shd w:val="clear"/>
              <w:snapToGrid w:val="0"/>
              <w:spacing w:line="360" w:lineRule="auto"/>
              <w:jc w:val="center"/>
              <w:rPr>
                <w:rFonts w:hint="eastAsia" w:ascii="宋体" w:hAnsi="宋体" w:eastAsia="宋体" w:cs="宋体"/>
                <w:sz w:val="24"/>
                <w:szCs w:val="24"/>
              </w:rPr>
            </w:pPr>
          </w:p>
        </w:tc>
        <w:tc>
          <w:tcPr>
            <w:tcW w:w="965" w:type="dxa"/>
            <w:vAlign w:val="center"/>
          </w:tcPr>
          <w:p w14:paraId="5FF15DE2">
            <w:pPr>
              <w:shd w:val="clear"/>
              <w:snapToGrid w:val="0"/>
              <w:spacing w:line="360" w:lineRule="auto"/>
              <w:jc w:val="center"/>
              <w:rPr>
                <w:rFonts w:hint="eastAsia" w:ascii="宋体" w:hAnsi="宋体" w:eastAsia="宋体" w:cs="宋体"/>
                <w:sz w:val="24"/>
                <w:szCs w:val="24"/>
              </w:rPr>
            </w:pPr>
          </w:p>
        </w:tc>
      </w:tr>
      <w:tr w14:paraId="3D76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703" w:type="dxa"/>
            <w:vAlign w:val="center"/>
          </w:tcPr>
          <w:p w14:paraId="580D7AB7">
            <w:pPr>
              <w:shd w:val="clea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674" w:type="dxa"/>
            <w:vAlign w:val="center"/>
          </w:tcPr>
          <w:p w14:paraId="1829A6B5">
            <w:pPr>
              <w:shd w:val="clear"/>
              <w:snapToGrid w:val="0"/>
              <w:spacing w:line="360" w:lineRule="auto"/>
              <w:jc w:val="center"/>
              <w:rPr>
                <w:rFonts w:hint="eastAsia" w:ascii="宋体" w:hAnsi="宋体" w:eastAsia="宋体" w:cs="宋体"/>
                <w:sz w:val="24"/>
                <w:szCs w:val="24"/>
              </w:rPr>
            </w:pPr>
          </w:p>
        </w:tc>
        <w:tc>
          <w:tcPr>
            <w:tcW w:w="1211" w:type="dxa"/>
            <w:vAlign w:val="center"/>
          </w:tcPr>
          <w:p w14:paraId="10ED3AA2">
            <w:pPr>
              <w:shd w:val="clear"/>
              <w:snapToGrid w:val="0"/>
              <w:spacing w:line="360" w:lineRule="auto"/>
              <w:jc w:val="center"/>
              <w:rPr>
                <w:rFonts w:hint="eastAsia" w:ascii="宋体" w:hAnsi="宋体" w:eastAsia="宋体" w:cs="宋体"/>
                <w:sz w:val="24"/>
                <w:szCs w:val="24"/>
              </w:rPr>
            </w:pPr>
          </w:p>
        </w:tc>
        <w:tc>
          <w:tcPr>
            <w:tcW w:w="1276" w:type="dxa"/>
            <w:vAlign w:val="center"/>
          </w:tcPr>
          <w:p w14:paraId="77EF1A43">
            <w:pPr>
              <w:shd w:val="clear"/>
              <w:snapToGrid w:val="0"/>
              <w:spacing w:line="360" w:lineRule="auto"/>
              <w:jc w:val="center"/>
              <w:rPr>
                <w:rFonts w:hint="eastAsia" w:ascii="宋体" w:hAnsi="宋体" w:eastAsia="宋体" w:cs="宋体"/>
                <w:sz w:val="24"/>
                <w:szCs w:val="24"/>
              </w:rPr>
            </w:pPr>
          </w:p>
        </w:tc>
        <w:tc>
          <w:tcPr>
            <w:tcW w:w="992" w:type="dxa"/>
            <w:vAlign w:val="center"/>
          </w:tcPr>
          <w:p w14:paraId="2ACF6C22">
            <w:pPr>
              <w:shd w:val="clear"/>
              <w:snapToGrid w:val="0"/>
              <w:spacing w:line="360" w:lineRule="auto"/>
              <w:jc w:val="center"/>
              <w:rPr>
                <w:rFonts w:hint="eastAsia" w:ascii="宋体" w:hAnsi="宋体" w:eastAsia="宋体" w:cs="宋体"/>
                <w:sz w:val="24"/>
                <w:szCs w:val="24"/>
              </w:rPr>
            </w:pPr>
          </w:p>
        </w:tc>
        <w:tc>
          <w:tcPr>
            <w:tcW w:w="851" w:type="dxa"/>
            <w:vAlign w:val="center"/>
          </w:tcPr>
          <w:p w14:paraId="72742E7D">
            <w:pPr>
              <w:shd w:val="clear"/>
              <w:snapToGrid w:val="0"/>
              <w:spacing w:line="360" w:lineRule="auto"/>
              <w:jc w:val="center"/>
              <w:rPr>
                <w:rFonts w:hint="eastAsia" w:ascii="宋体" w:hAnsi="宋体" w:eastAsia="宋体" w:cs="宋体"/>
                <w:sz w:val="24"/>
                <w:szCs w:val="24"/>
              </w:rPr>
            </w:pPr>
          </w:p>
        </w:tc>
        <w:tc>
          <w:tcPr>
            <w:tcW w:w="850" w:type="dxa"/>
            <w:vAlign w:val="center"/>
          </w:tcPr>
          <w:p w14:paraId="6E285EF4">
            <w:pPr>
              <w:shd w:val="clear"/>
              <w:snapToGrid w:val="0"/>
              <w:spacing w:line="360" w:lineRule="auto"/>
              <w:jc w:val="center"/>
              <w:rPr>
                <w:rFonts w:hint="eastAsia" w:ascii="宋体" w:hAnsi="宋体" w:eastAsia="宋体" w:cs="宋体"/>
                <w:sz w:val="24"/>
                <w:szCs w:val="24"/>
              </w:rPr>
            </w:pPr>
          </w:p>
        </w:tc>
        <w:tc>
          <w:tcPr>
            <w:tcW w:w="851" w:type="dxa"/>
            <w:vAlign w:val="center"/>
          </w:tcPr>
          <w:p w14:paraId="1DCFA610">
            <w:pPr>
              <w:shd w:val="clear"/>
              <w:snapToGrid w:val="0"/>
              <w:spacing w:line="360" w:lineRule="auto"/>
              <w:jc w:val="center"/>
              <w:rPr>
                <w:rFonts w:hint="eastAsia" w:ascii="宋体" w:hAnsi="宋体" w:eastAsia="宋体" w:cs="宋体"/>
                <w:sz w:val="24"/>
                <w:szCs w:val="24"/>
              </w:rPr>
            </w:pPr>
          </w:p>
        </w:tc>
        <w:tc>
          <w:tcPr>
            <w:tcW w:w="965" w:type="dxa"/>
            <w:vAlign w:val="center"/>
          </w:tcPr>
          <w:p w14:paraId="42226B2F">
            <w:pPr>
              <w:shd w:val="clear"/>
              <w:snapToGrid w:val="0"/>
              <w:spacing w:line="360" w:lineRule="auto"/>
              <w:jc w:val="center"/>
              <w:rPr>
                <w:rFonts w:hint="eastAsia" w:ascii="宋体" w:hAnsi="宋体" w:eastAsia="宋体" w:cs="宋体"/>
                <w:sz w:val="24"/>
                <w:szCs w:val="24"/>
              </w:rPr>
            </w:pPr>
          </w:p>
        </w:tc>
      </w:tr>
      <w:tr w14:paraId="4CE52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703" w:type="dxa"/>
            <w:vAlign w:val="center"/>
          </w:tcPr>
          <w:p w14:paraId="119CCA4B">
            <w:pPr>
              <w:shd w:val="clea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合计</w:t>
            </w:r>
          </w:p>
        </w:tc>
        <w:tc>
          <w:tcPr>
            <w:tcW w:w="8670" w:type="dxa"/>
            <w:gridSpan w:val="8"/>
            <w:vAlign w:val="center"/>
          </w:tcPr>
          <w:p w14:paraId="47095A97">
            <w:pPr>
              <w:shd w:val="clear"/>
              <w:snapToGrid w:val="0"/>
              <w:spacing w:line="360" w:lineRule="auto"/>
              <w:jc w:val="center"/>
              <w:rPr>
                <w:rFonts w:hint="eastAsia" w:ascii="宋体" w:hAnsi="宋体" w:eastAsia="宋体" w:cs="宋体"/>
                <w:sz w:val="24"/>
                <w:szCs w:val="24"/>
              </w:rPr>
            </w:pPr>
          </w:p>
        </w:tc>
      </w:tr>
    </w:tbl>
    <w:p w14:paraId="0E2183A7">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 设备交货期：合同签订后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个日历日内完成交货。</w:t>
      </w:r>
    </w:p>
    <w:p w14:paraId="36C44681">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w:t>
      </w:r>
      <w:r>
        <w:rPr>
          <w:rFonts w:hint="eastAsia" w:ascii="宋体" w:hAnsi="宋体" w:eastAsia="宋体" w:cs="宋体"/>
          <w:spacing w:val="7"/>
          <w:sz w:val="24"/>
          <w:szCs w:val="24"/>
          <w:shd w:val="clear" w:color="auto" w:fill="FFFFFF"/>
        </w:rPr>
        <w:t>项目交付时间：</w:t>
      </w:r>
      <w:r>
        <w:rPr>
          <w:rFonts w:hint="eastAsia" w:ascii="宋体" w:hAnsi="宋体" w:eastAsia="宋体" w:cs="宋体"/>
          <w:spacing w:val="7"/>
          <w:sz w:val="24"/>
          <w:szCs w:val="24"/>
          <w:u w:val="single"/>
          <w:shd w:val="clear" w:color="auto" w:fill="FFFFFF"/>
        </w:rPr>
        <w:t xml:space="preserve">                  </w:t>
      </w:r>
      <w:r>
        <w:rPr>
          <w:rFonts w:hint="eastAsia" w:ascii="宋体" w:hAnsi="宋体" w:eastAsia="宋体" w:cs="宋体"/>
          <w:spacing w:val="7"/>
          <w:sz w:val="24"/>
          <w:szCs w:val="24"/>
          <w:shd w:val="clear" w:color="auto" w:fill="FFFFFF"/>
        </w:rPr>
        <w:t>完成交付。</w:t>
      </w:r>
    </w:p>
    <w:p w14:paraId="22D19C7B">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 履行地点：江苏航运职业技术学院，具体按甲方指定地点送货安装。</w:t>
      </w:r>
    </w:p>
    <w:p w14:paraId="5E6CD77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1.7 履行方式：同招标文件要求。</w:t>
      </w:r>
    </w:p>
    <w:p w14:paraId="10923C88">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1.8 包装方式：同招标文件要求。</w:t>
      </w:r>
    </w:p>
    <w:p w14:paraId="5528FA82">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二、合同金额</w:t>
      </w:r>
    </w:p>
    <w:p w14:paraId="201F238C">
      <w:pPr>
        <w:widowControl/>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2.1 本合同金额为（大写）：人民币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已包含但不限于本项目所有设备费、劳务费、管理费、材料费、机械费、包装费、运输费、装卸费（含上下力资费）、二次搬运费、安装费、成品保护费、设计及施工费、服务费（包括调试、安装完毕后对相关人员的技术指导、培训等）、措施费、风险费（政策性文件规定及本合同包含的所有风险）、售后服务费等利润和税金、</w:t>
      </w:r>
      <w:r>
        <w:rPr>
          <w:rFonts w:hint="eastAsia" w:ascii="宋体" w:hAnsi="宋体" w:eastAsia="宋体" w:cs="宋体"/>
          <w:color w:val="000000"/>
          <w:sz w:val="24"/>
          <w:szCs w:val="24"/>
          <w:lang w:eastAsia="zh-CN"/>
        </w:rPr>
        <w:t>维保期</w:t>
      </w:r>
      <w:r>
        <w:rPr>
          <w:rFonts w:hint="eastAsia" w:ascii="宋体" w:hAnsi="宋体" w:eastAsia="宋体" w:cs="宋体"/>
          <w:color w:val="000000"/>
          <w:sz w:val="24"/>
          <w:szCs w:val="24"/>
        </w:rPr>
        <w:t>内的维护保养费等。</w:t>
      </w:r>
    </w:p>
    <w:p w14:paraId="65A36EED">
      <w:pPr>
        <w:widowControl/>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2.2 本合同价格形式为固定单价合同，该固定单价在合同履行过程中不因市场变化、政策调整等各种因素而变动。</w:t>
      </w:r>
    </w:p>
    <w:p w14:paraId="49E3555C">
      <w:pPr>
        <w:widowControl/>
        <w:shd w:val="clear"/>
        <w:spacing w:line="360" w:lineRule="auto"/>
        <w:ind w:firstLine="482" w:firstLineChars="20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三、技术资料</w:t>
      </w:r>
    </w:p>
    <w:p w14:paraId="314E8D67">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 乙方应按招标文件规定的时间向甲方提供使用货物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包含与货物相关的服务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的有关技术资料。乙方在签订本合同前对本项目的全部技术要求及说明、质量标准、招标文件、合同条件、现场条件及周围环境、交通道路、现场管理要求等已详细研究并完全明确，在合同价款中已予以充分考虑。</w:t>
      </w:r>
    </w:p>
    <w:p w14:paraId="2D93803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EAB5325">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四、知识产权</w:t>
      </w:r>
    </w:p>
    <w:p w14:paraId="5DA161A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 乙方应保证甲方在使用、接受本合同货物（包含与货物相关的服务）或其任何一部分时不受第三方提出侵犯其专利权、版权、商标权、著作权和工业设计权等知识产权的起诉。一旦出现侵权，由乙方负全部责任。</w:t>
      </w:r>
    </w:p>
    <w:p w14:paraId="132BE16B">
      <w:pPr>
        <w:shd w:val="clear"/>
        <w:spacing w:line="360" w:lineRule="auto"/>
        <w:ind w:firstLine="482" w:firstLineChars="200"/>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五、产权担保</w:t>
      </w:r>
    </w:p>
    <w:p w14:paraId="15737D9F">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5.1 乙方保证所交付的货物（包含与货物相关的服务）的所有权完全属于乙方且无任何抵押、查封等产权瑕疵。乙方应具有所交付软件的软件著作权证明材料或提供软件授权证明材料。</w:t>
      </w:r>
    </w:p>
    <w:p w14:paraId="0AA6F5A3">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六、履约保证金</w:t>
      </w:r>
    </w:p>
    <w:p w14:paraId="422A1C85">
      <w:pPr>
        <w:shd w:val="clear"/>
        <w:spacing w:line="360" w:lineRule="auto"/>
        <w:ind w:left="478" w:leftChars="184"/>
        <w:rPr>
          <w:rFonts w:hint="eastAsia" w:ascii="宋体" w:hAnsi="宋体" w:eastAsia="宋体" w:cs="宋体"/>
          <w:color w:val="000000"/>
          <w:sz w:val="24"/>
          <w:szCs w:val="24"/>
        </w:rPr>
      </w:pPr>
      <w:r>
        <w:rPr>
          <w:rFonts w:hint="eastAsia" w:ascii="宋体" w:hAnsi="宋体" w:eastAsia="宋体" w:cs="宋体"/>
          <w:color w:val="000000"/>
          <w:sz w:val="24"/>
          <w:szCs w:val="24"/>
        </w:rPr>
        <w:t>6.1 乙方提供的履约保证金额为合同价的10%，本合同履约保证金为：</w:t>
      </w:r>
      <w:r>
        <w:rPr>
          <w:rFonts w:hint="eastAsia" w:ascii="宋体" w:hAnsi="宋体" w:eastAsia="宋体" w:cs="宋体"/>
          <w:bCs/>
          <w:sz w:val="24"/>
          <w:szCs w:val="24"/>
          <w:u w:val="single"/>
        </w:rPr>
        <w:t>人民币 元     （¥     ）</w:t>
      </w:r>
    </w:p>
    <w:p w14:paraId="6494FDE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6.2 缴纳履约保证金时间：乙方在中标通知书发出之日起15日内。</w:t>
      </w:r>
    </w:p>
    <w:p w14:paraId="42DD2364">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 缴纳履约保证金形式：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8A38E11">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甲方的账户：</w:t>
      </w:r>
    </w:p>
    <w:p w14:paraId="758DFABD">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单位名称：江苏航运职业技术学院</w:t>
      </w:r>
    </w:p>
    <w:p w14:paraId="62D91952">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开户行：中国建设银行南通经济技术开发区支行；</w:t>
      </w:r>
    </w:p>
    <w:p w14:paraId="3DAD57F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账号：32001642336052515609；</w:t>
      </w:r>
    </w:p>
    <w:p w14:paraId="3E13D41A">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统一社会信用代码：123200004660042577。</w:t>
      </w:r>
    </w:p>
    <w:p w14:paraId="19BCC69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合同全部履行结束后，甲方应及时退还交纳的履约保证金。</w:t>
      </w:r>
    </w:p>
    <w:p w14:paraId="7A1B137F">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6.4 退还履约保证金时间：</w:t>
      </w:r>
      <w:r>
        <w:rPr>
          <w:rFonts w:hint="eastAsia" w:ascii="宋体" w:hAnsi="宋体" w:eastAsia="宋体" w:cs="宋体"/>
          <w:sz w:val="24"/>
          <w:szCs w:val="24"/>
          <w:lang w:eastAsia="zh-CN"/>
        </w:rPr>
        <w:t>乙方</w:t>
      </w:r>
      <w:r>
        <w:rPr>
          <w:rFonts w:hint="eastAsia" w:ascii="宋体" w:hAnsi="宋体" w:eastAsia="宋体" w:cs="宋体"/>
          <w:sz w:val="24"/>
          <w:szCs w:val="24"/>
        </w:rPr>
        <w:t>全部履约合同义务，</w:t>
      </w:r>
      <w:r>
        <w:rPr>
          <w:rFonts w:hint="eastAsia" w:ascii="宋体" w:hAnsi="宋体" w:eastAsia="宋体" w:cs="宋体"/>
          <w:sz w:val="24"/>
          <w:szCs w:val="24"/>
          <w:lang w:eastAsia="zh-CN"/>
        </w:rPr>
        <w:t>维保期</w:t>
      </w:r>
      <w:r>
        <w:rPr>
          <w:rFonts w:hint="eastAsia" w:ascii="宋体" w:hAnsi="宋体" w:eastAsia="宋体" w:cs="宋体"/>
          <w:sz w:val="24"/>
          <w:szCs w:val="24"/>
        </w:rPr>
        <w:t>满后无质量、进度等问题的，</w:t>
      </w:r>
      <w:r>
        <w:rPr>
          <w:rFonts w:hint="eastAsia" w:ascii="宋体" w:hAnsi="宋体" w:eastAsia="宋体" w:cs="宋体"/>
          <w:sz w:val="24"/>
          <w:szCs w:val="24"/>
          <w:lang w:eastAsia="zh-CN"/>
        </w:rPr>
        <w:t>甲方</w:t>
      </w:r>
      <w:r>
        <w:rPr>
          <w:rFonts w:hint="eastAsia" w:ascii="宋体" w:hAnsi="宋体" w:eastAsia="宋体" w:cs="宋体"/>
          <w:sz w:val="24"/>
          <w:szCs w:val="24"/>
        </w:rPr>
        <w:t>凭</w:t>
      </w:r>
      <w:r>
        <w:rPr>
          <w:rFonts w:hint="eastAsia" w:ascii="宋体" w:hAnsi="宋体" w:eastAsia="宋体" w:cs="宋体"/>
          <w:sz w:val="24"/>
          <w:szCs w:val="24"/>
          <w:lang w:eastAsia="zh-CN"/>
        </w:rPr>
        <w:t>乙方</w:t>
      </w:r>
      <w:r>
        <w:rPr>
          <w:rFonts w:hint="eastAsia" w:ascii="宋体" w:hAnsi="宋体" w:eastAsia="宋体" w:cs="宋体"/>
          <w:sz w:val="24"/>
          <w:szCs w:val="24"/>
        </w:rPr>
        <w:t>提交的申请，在三十个工作日内一次性退还履约保证金（不计息）</w:t>
      </w:r>
      <w:r>
        <w:rPr>
          <w:rFonts w:hint="eastAsia" w:ascii="宋体" w:hAnsi="宋体" w:eastAsia="宋体" w:cs="宋体"/>
          <w:color w:val="000000"/>
          <w:sz w:val="24"/>
          <w:szCs w:val="24"/>
        </w:rPr>
        <w:t>或者退还履约保证金保函</w:t>
      </w:r>
      <w:r>
        <w:rPr>
          <w:rFonts w:hint="eastAsia" w:ascii="宋体" w:hAnsi="宋体" w:eastAsia="宋体" w:cs="宋体"/>
          <w:sz w:val="24"/>
          <w:szCs w:val="24"/>
        </w:rPr>
        <w:t>，</w:t>
      </w:r>
      <w:r>
        <w:rPr>
          <w:rFonts w:hint="eastAsia" w:ascii="宋体" w:hAnsi="宋体" w:eastAsia="宋体" w:cs="宋体"/>
          <w:sz w:val="24"/>
          <w:szCs w:val="24"/>
          <w:lang w:eastAsia="zh-CN"/>
        </w:rPr>
        <w:t>甲方</w:t>
      </w:r>
      <w:r>
        <w:rPr>
          <w:rFonts w:hint="eastAsia" w:ascii="宋体" w:hAnsi="宋体" w:eastAsia="宋体" w:cs="宋体"/>
          <w:sz w:val="24"/>
          <w:szCs w:val="24"/>
        </w:rPr>
        <w:t>若逾期退还履约保证金的，按照逾期部分的每日</w:t>
      </w:r>
      <w:r>
        <w:rPr>
          <w:rFonts w:hint="eastAsia" w:ascii="宋体" w:hAnsi="宋体" w:eastAsia="宋体" w:cs="宋体"/>
          <w:sz w:val="24"/>
          <w:szCs w:val="24"/>
          <w:u w:val="single"/>
        </w:rPr>
        <w:t>0.05%</w:t>
      </w:r>
      <w:r>
        <w:rPr>
          <w:rFonts w:hint="eastAsia" w:ascii="宋体" w:hAnsi="宋体" w:eastAsia="宋体" w:cs="宋体"/>
          <w:sz w:val="24"/>
          <w:szCs w:val="24"/>
        </w:rPr>
        <w:t>支付违约金。</w:t>
      </w:r>
      <w:r>
        <w:rPr>
          <w:rFonts w:hint="eastAsia" w:ascii="宋体" w:hAnsi="宋体" w:eastAsia="宋体" w:cs="宋体"/>
          <w:color w:val="000000"/>
          <w:sz w:val="24"/>
          <w:szCs w:val="24"/>
        </w:rPr>
        <w:t xml:space="preserve">   </w:t>
      </w:r>
    </w:p>
    <w:p w14:paraId="7BC7F960">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 退还履约保证金方式：同缴纳方式。   </w:t>
      </w:r>
    </w:p>
    <w:p w14:paraId="41B6DD0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6.6 退还履约保证金条件：</w:t>
      </w:r>
      <w:r>
        <w:rPr>
          <w:rFonts w:hint="eastAsia" w:ascii="宋体" w:hAnsi="宋体" w:eastAsia="宋体" w:cs="宋体"/>
          <w:sz w:val="24"/>
          <w:szCs w:val="24"/>
          <w:lang w:eastAsia="zh-CN"/>
        </w:rPr>
        <w:t>乙方</w:t>
      </w:r>
      <w:r>
        <w:rPr>
          <w:rFonts w:hint="eastAsia" w:ascii="宋体" w:hAnsi="宋体" w:eastAsia="宋体" w:cs="宋体"/>
          <w:sz w:val="24"/>
          <w:szCs w:val="24"/>
        </w:rPr>
        <w:t>全部履约合同义务，</w:t>
      </w:r>
      <w:r>
        <w:rPr>
          <w:rFonts w:hint="eastAsia" w:ascii="宋体" w:hAnsi="宋体" w:eastAsia="宋体" w:cs="宋体"/>
          <w:sz w:val="24"/>
          <w:szCs w:val="24"/>
          <w:lang w:eastAsia="zh-CN"/>
        </w:rPr>
        <w:t>维保期</w:t>
      </w:r>
      <w:r>
        <w:rPr>
          <w:rFonts w:hint="eastAsia" w:ascii="宋体" w:hAnsi="宋体" w:eastAsia="宋体" w:cs="宋体"/>
          <w:sz w:val="24"/>
          <w:szCs w:val="24"/>
        </w:rPr>
        <w:t>满后无质量、进度等问题的，</w:t>
      </w:r>
      <w:r>
        <w:rPr>
          <w:rFonts w:hint="eastAsia" w:ascii="宋体" w:hAnsi="宋体" w:eastAsia="宋体" w:cs="宋体"/>
          <w:sz w:val="24"/>
          <w:szCs w:val="24"/>
          <w:lang w:eastAsia="zh-CN"/>
        </w:rPr>
        <w:t>甲方</w:t>
      </w:r>
      <w:r>
        <w:rPr>
          <w:rFonts w:hint="eastAsia" w:ascii="宋体" w:hAnsi="宋体" w:eastAsia="宋体" w:cs="宋体"/>
          <w:sz w:val="24"/>
          <w:szCs w:val="24"/>
        </w:rPr>
        <w:t>凭</w:t>
      </w:r>
      <w:r>
        <w:rPr>
          <w:rFonts w:hint="eastAsia" w:ascii="宋体" w:hAnsi="宋体" w:eastAsia="宋体" w:cs="宋体"/>
          <w:sz w:val="24"/>
          <w:szCs w:val="24"/>
          <w:lang w:eastAsia="zh-CN"/>
        </w:rPr>
        <w:t>乙方</w:t>
      </w:r>
      <w:r>
        <w:rPr>
          <w:rFonts w:hint="eastAsia" w:ascii="宋体" w:hAnsi="宋体" w:eastAsia="宋体" w:cs="宋体"/>
          <w:sz w:val="24"/>
          <w:szCs w:val="24"/>
        </w:rPr>
        <w:t>提交的申请，在三十个工作日内一次性退还履约保证金（不计息）</w:t>
      </w:r>
      <w:r>
        <w:rPr>
          <w:rFonts w:hint="eastAsia" w:ascii="宋体" w:hAnsi="宋体" w:eastAsia="宋体" w:cs="宋体"/>
          <w:color w:val="000000"/>
          <w:sz w:val="24"/>
          <w:szCs w:val="24"/>
        </w:rPr>
        <w:t>或者退还履约保证金保函。</w:t>
      </w:r>
    </w:p>
    <w:p w14:paraId="1F4A007B">
      <w:pPr>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6.7 履约保证金不予退还的情形：</w:t>
      </w:r>
    </w:p>
    <w:p w14:paraId="7501253A">
      <w:pPr>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a.签订合同后，乙方不履行合同义务的，甲方有权全额扣除履约保证金，全额不予退还，同时甲方亦有权终止合同，乙方还须承担相应的法律赔偿责任。</w:t>
      </w:r>
    </w:p>
    <w:p w14:paraId="47FE2B44">
      <w:pPr>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p>
    <w:p w14:paraId="7CCE99A7">
      <w:pPr>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c</w:t>
      </w:r>
      <w:r>
        <w:rPr>
          <w:rFonts w:hint="eastAsia" w:ascii="宋体" w:hAnsi="宋体" w:eastAsia="宋体" w:cs="宋体"/>
          <w:color w:val="000000"/>
          <w:sz w:val="24"/>
          <w:szCs w:val="24"/>
        </w:rPr>
        <w:t>.若乙方以保函形式提供担保的，乙方需将保函正本提交给甲方。乙方在履约过程中发生违约行为，甲方有权要求担保人按照保函约定向甲方无条件付款。满足本合同第6.6约定的条件时，甲方将保函正本退还给乙方。</w:t>
      </w:r>
    </w:p>
    <w:p w14:paraId="1CE9A696">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七、合同转包等事项</w:t>
      </w:r>
    </w:p>
    <w:p w14:paraId="4AA89957">
      <w:pPr>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7.1 乙方不得将合同标的转包给他人履行。乙方如有转包，甲方视为乙方根本违约，有权给予解除合同。</w:t>
      </w:r>
    </w:p>
    <w:p w14:paraId="410F7812">
      <w:pPr>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7.2 乙方保证提供的产品不得侵犯第三方专利权、商标权和设计权、版权等。否则，乙方负全部责任，并承担由此引起的一切后果。</w:t>
      </w:r>
    </w:p>
    <w:p w14:paraId="097E1FB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7.3 乙方应保证其货物在正确安装、正常使用下，在其使用寿命期内应具有满意的性能。</w:t>
      </w:r>
    </w:p>
    <w:p w14:paraId="469436EE">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 乙方应采取必要的安全措施保证货物的运输及安装的安全，并承担货物的运输及安装过程中产生的风险。</w:t>
      </w:r>
    </w:p>
    <w:p w14:paraId="3F0C14D0">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7.5 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p>
    <w:p w14:paraId="4D874CE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7.6 乙方提供详细的生产供货及安装计划，并标明主要时间节点。</w:t>
      </w:r>
    </w:p>
    <w:p w14:paraId="5A9EE00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发货前乙方均应通知甲方进行验收（但甲方的验收对于乙方应按本合同承担的质量担保责任不予任何减轻或免除）。</w:t>
      </w:r>
    </w:p>
    <w:p w14:paraId="1C04AA9C">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八、合同款项支付</w:t>
      </w:r>
    </w:p>
    <w:p w14:paraId="7A11DC2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8.1 付款方式</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项目安装调试完毕后，经</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根据合同条款正式验收，正式验收合格（以</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正式验收报告为准)并审计，审计结束后10日内</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付至审定价的100%。</w:t>
      </w:r>
    </w:p>
    <w:p w14:paraId="1A373722">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8.2 乙方凭以下文件资料申请支付合同款</w:t>
      </w:r>
    </w:p>
    <w:p w14:paraId="534AD61D">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8.2.1 采购合同； </w:t>
      </w:r>
    </w:p>
    <w:p w14:paraId="7904EA4D">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8.2.2 中标通知书复印件或扫描件； </w:t>
      </w:r>
    </w:p>
    <w:p w14:paraId="4C9D8F0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8.2.3 </w:t>
      </w:r>
      <w:r>
        <w:rPr>
          <w:rFonts w:hint="eastAsia" w:ascii="宋体" w:hAnsi="宋体" w:eastAsia="宋体" w:cs="宋体"/>
          <w:sz w:val="24"/>
          <w:szCs w:val="24"/>
          <w:lang w:eastAsia="zh-CN"/>
        </w:rPr>
        <w:t>乙方</w:t>
      </w:r>
      <w:r>
        <w:rPr>
          <w:rFonts w:hint="eastAsia" w:ascii="宋体" w:hAnsi="宋体" w:eastAsia="宋体" w:cs="宋体"/>
          <w:sz w:val="24"/>
          <w:szCs w:val="24"/>
        </w:rPr>
        <w:t>开具的国家税务机关监制的</w:t>
      </w:r>
      <w:r>
        <w:rPr>
          <w:rFonts w:hint="eastAsia" w:ascii="宋体" w:hAnsi="宋体" w:eastAsia="宋体" w:cs="宋体"/>
          <w:sz w:val="24"/>
          <w:szCs w:val="24"/>
          <w:lang w:eastAsia="zh-CN"/>
        </w:rPr>
        <w:t>符合甲方要求的</w:t>
      </w:r>
      <w:r>
        <w:rPr>
          <w:rFonts w:hint="eastAsia" w:ascii="宋体" w:hAnsi="宋体" w:eastAsia="宋体" w:cs="宋体"/>
          <w:sz w:val="24"/>
          <w:szCs w:val="24"/>
        </w:rPr>
        <w:t>增值税</w:t>
      </w:r>
      <w:r>
        <w:rPr>
          <w:rFonts w:hint="eastAsia" w:ascii="宋体" w:hAnsi="宋体" w:eastAsia="宋体" w:cs="宋体"/>
          <w:sz w:val="24"/>
          <w:szCs w:val="24"/>
          <w:lang w:val="en-US" w:eastAsia="zh-CN"/>
        </w:rPr>
        <w:t>专用</w:t>
      </w:r>
      <w:r>
        <w:rPr>
          <w:rFonts w:hint="eastAsia" w:ascii="宋体" w:hAnsi="宋体" w:eastAsia="宋体" w:cs="宋体"/>
          <w:sz w:val="24"/>
          <w:szCs w:val="24"/>
        </w:rPr>
        <w:t>发票</w:t>
      </w:r>
      <w:r>
        <w:rPr>
          <w:rFonts w:hint="eastAsia" w:ascii="宋体" w:hAnsi="宋体" w:eastAsia="宋体" w:cs="宋体"/>
          <w:color w:val="000000"/>
          <w:sz w:val="24"/>
          <w:szCs w:val="24"/>
        </w:rPr>
        <w:t>；</w:t>
      </w:r>
    </w:p>
    <w:p w14:paraId="5384A72E">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8.2.4 甲方已收讫货物的验收凭证；</w:t>
      </w:r>
    </w:p>
    <w:p w14:paraId="230E6CE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8.2.5 甲方签发的验收合格文件。  </w:t>
      </w:r>
    </w:p>
    <w:p w14:paraId="7B757212">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8.3 因甲方使用的是财政资金，甲方在前款规定的付款时间为向政府采购支付部门提出办理财政支付申请手续的时间（不含政府财政支付部门审核的时间），在规定时间内提出支付申请手续后即视为甲方是按期支付。</w:t>
      </w:r>
    </w:p>
    <w:p w14:paraId="63A622A9">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九、税费</w:t>
      </w:r>
    </w:p>
    <w:p w14:paraId="778C8CA0">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 本合同执行中相关的一切税费均由乙方负担。</w:t>
      </w:r>
    </w:p>
    <w:p w14:paraId="65FBD128">
      <w:pPr>
        <w:shd w:val="clear"/>
        <w:spacing w:line="36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十、质量保修范围和保修期及售后服务</w:t>
      </w:r>
    </w:p>
    <w:p w14:paraId="0893CF44">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10.1 乙方应按招标文件规定的货物性能、技术要求、质量标准向甲方提供产品，并不低于投标文件的质量、规格和参数的要求。</w:t>
      </w:r>
    </w:p>
    <w:p w14:paraId="29830E1D">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10.2 乙方提供的货物在质量期内因货物本身的质量问题发生故障，乙方应负责免费更换。对达不到技术要求者，根据实际情况，经双方协商，可按以下办法处理：</w:t>
      </w:r>
    </w:p>
    <w:p w14:paraId="23C14109">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（1）更换：由乙方承担所发生的全部费用。</w:t>
      </w:r>
    </w:p>
    <w:p w14:paraId="47E8A938">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（2）贬值处理：由甲乙双方合议定价。</w:t>
      </w:r>
    </w:p>
    <w:p w14:paraId="43B0B6F7">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（3）退货处理：乙方应退还甲方支付的合同款，同时应承担该货物的直接费用（运输、保险、检验、货款利息及银行手续费等）。</w:t>
      </w:r>
    </w:p>
    <w:p w14:paraId="6D67F19A">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10.3 售后服务要求：</w:t>
      </w:r>
    </w:p>
    <w:p w14:paraId="41E04578">
      <w:pPr>
        <w:shd w:val="clear"/>
        <w:spacing w:line="360" w:lineRule="auto"/>
        <w:ind w:firstLine="480" w:firstLineChars="200"/>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10.3.1 </w:t>
      </w:r>
      <w:r>
        <w:rPr>
          <w:rFonts w:hint="eastAsia" w:ascii="宋体" w:hAnsi="宋体" w:eastAsia="宋体" w:cs="宋体"/>
          <w:color w:val="000000"/>
          <w:sz w:val="24"/>
          <w:szCs w:val="24"/>
          <w:shd w:val="clear" w:color="auto" w:fill="auto"/>
          <w:lang w:eastAsia="zh-CN"/>
        </w:rPr>
        <w:t>本项目</w:t>
      </w:r>
      <w:r>
        <w:rPr>
          <w:rFonts w:hint="eastAsia" w:ascii="宋体" w:hAnsi="宋体" w:eastAsia="宋体" w:cs="宋体"/>
          <w:color w:val="000000"/>
          <w:sz w:val="24"/>
          <w:szCs w:val="24"/>
          <w:shd w:val="clear" w:color="auto" w:fill="auto"/>
        </w:rPr>
        <w:t>免费保修期为</w:t>
      </w:r>
      <w:r>
        <w:rPr>
          <w:rFonts w:hint="eastAsia" w:ascii="宋体" w:hAnsi="宋体" w:eastAsia="宋体" w:cs="宋体"/>
          <w:color w:val="000000"/>
          <w:sz w:val="24"/>
          <w:szCs w:val="24"/>
          <w:shd w:val="clear" w:color="auto" w:fill="auto"/>
          <w:lang w:val="en-US" w:eastAsia="zh-CN"/>
        </w:rPr>
        <w:t>五</w:t>
      </w:r>
      <w:r>
        <w:rPr>
          <w:rFonts w:hint="eastAsia" w:ascii="宋体" w:hAnsi="宋体" w:eastAsia="宋体" w:cs="宋体"/>
          <w:color w:val="000000"/>
          <w:sz w:val="24"/>
          <w:szCs w:val="24"/>
          <w:shd w:val="clear" w:color="auto" w:fill="auto"/>
        </w:rPr>
        <w:t>年（自交货验收合格之日起计）。产品</w:t>
      </w:r>
      <w:r>
        <w:rPr>
          <w:rFonts w:hint="eastAsia" w:ascii="宋体" w:hAnsi="宋体" w:eastAsia="宋体" w:cs="宋体"/>
          <w:color w:val="000000"/>
          <w:sz w:val="24"/>
          <w:szCs w:val="24"/>
          <w:shd w:val="clear" w:color="auto" w:fill="auto"/>
          <w:lang w:eastAsia="zh-CN"/>
        </w:rPr>
        <w:t>提供</w:t>
      </w:r>
      <w:r>
        <w:rPr>
          <w:rFonts w:hint="eastAsia" w:ascii="宋体" w:hAnsi="宋体" w:eastAsia="宋体" w:cs="宋体"/>
          <w:color w:val="000000"/>
          <w:sz w:val="24"/>
          <w:szCs w:val="24"/>
          <w:shd w:val="clear" w:color="auto" w:fill="auto"/>
        </w:rPr>
        <w:t>终生免费升级维护。其他按有关规定执行</w:t>
      </w:r>
      <w:r>
        <w:rPr>
          <w:rFonts w:hint="eastAsia" w:ascii="宋体" w:hAnsi="宋体" w:eastAsia="宋体" w:cs="宋体"/>
          <w:color w:val="000000"/>
          <w:sz w:val="24"/>
          <w:szCs w:val="24"/>
          <w:shd w:val="clear" w:color="auto" w:fill="auto"/>
          <w:lang w:eastAsia="zh-CN"/>
        </w:rPr>
        <w:t>（</w:t>
      </w:r>
      <w:r>
        <w:rPr>
          <w:rFonts w:hint="eastAsia" w:ascii="宋体" w:hAnsi="宋体" w:eastAsia="宋体" w:cs="宋体"/>
          <w:color w:val="000000"/>
          <w:sz w:val="24"/>
          <w:szCs w:val="24"/>
          <w:shd w:val="clear" w:color="auto" w:fill="auto"/>
        </w:rPr>
        <w:t>国际标准、国家标准、行业标准或企业标准</w:t>
      </w:r>
      <w:r>
        <w:rPr>
          <w:rFonts w:hint="eastAsia" w:ascii="宋体" w:hAnsi="宋体" w:eastAsia="宋体" w:cs="宋体"/>
          <w:color w:val="000000"/>
          <w:sz w:val="24"/>
          <w:szCs w:val="24"/>
          <w:shd w:val="clear" w:color="auto" w:fill="auto"/>
          <w:lang w:eastAsia="zh-CN"/>
        </w:rPr>
        <w:t>）</w:t>
      </w:r>
      <w:r>
        <w:rPr>
          <w:rFonts w:hint="eastAsia" w:ascii="宋体" w:hAnsi="宋体" w:eastAsia="宋体" w:cs="宋体"/>
          <w:color w:val="000000"/>
          <w:sz w:val="24"/>
          <w:szCs w:val="24"/>
          <w:shd w:val="clear" w:color="auto" w:fill="auto"/>
        </w:rPr>
        <w:t>。</w:t>
      </w:r>
      <w:r>
        <w:rPr>
          <w:rFonts w:hint="eastAsia" w:ascii="宋体" w:hAnsi="宋体" w:eastAsia="宋体" w:cs="宋体"/>
          <w:color w:val="000000"/>
          <w:sz w:val="24"/>
          <w:szCs w:val="24"/>
          <w:shd w:val="clear" w:color="auto" w:fill="auto"/>
          <w:lang w:val="en-US" w:eastAsia="zh-CN"/>
        </w:rPr>
        <w:t>本项目五年维保期结束后，系统年度运维费用比例为中标价的</w:t>
      </w:r>
      <w:r>
        <w:rPr>
          <w:rFonts w:hint="eastAsia" w:ascii="宋体" w:hAnsi="宋体" w:eastAsia="宋体" w:cs="宋体"/>
          <w:color w:val="000000"/>
          <w:sz w:val="24"/>
          <w:szCs w:val="24"/>
          <w:u w:val="single"/>
          <w:shd w:val="clear" w:color="auto" w:fill="auto"/>
          <w:lang w:val="en-US" w:eastAsia="zh-CN"/>
        </w:rPr>
        <w:t xml:space="preserve">      </w:t>
      </w:r>
      <w:r>
        <w:rPr>
          <w:rFonts w:hint="eastAsia" w:ascii="宋体" w:hAnsi="宋体" w:eastAsia="宋体" w:cs="宋体"/>
          <w:color w:val="000000"/>
          <w:sz w:val="24"/>
          <w:szCs w:val="24"/>
          <w:shd w:val="clear" w:color="auto" w:fill="auto"/>
          <w:lang w:val="en-US" w:eastAsia="zh-CN"/>
        </w:rPr>
        <w:t>%。</w:t>
      </w:r>
      <w:r>
        <w:rPr>
          <w:rFonts w:hint="eastAsia" w:ascii="宋体" w:hAnsi="宋体" w:eastAsia="宋体" w:cs="宋体"/>
          <w:color w:val="000000"/>
          <w:sz w:val="24"/>
          <w:szCs w:val="24"/>
          <w:shd w:val="clear" w:color="auto" w:fill="auto"/>
        </w:rPr>
        <w:t xml:space="preserve"> </w:t>
      </w:r>
    </w:p>
    <w:p w14:paraId="01291ABB">
      <w:pPr>
        <w:shd w:val="clear"/>
        <w:spacing w:line="360" w:lineRule="auto"/>
        <w:ind w:firstLine="480" w:firstLineChars="200"/>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10.3.2 </w:t>
      </w:r>
      <w:r>
        <w:rPr>
          <w:rFonts w:hint="eastAsia" w:ascii="宋体" w:hAnsi="宋体" w:eastAsia="宋体" w:cs="宋体"/>
          <w:color w:val="000000"/>
          <w:sz w:val="24"/>
          <w:szCs w:val="24"/>
          <w:shd w:val="clear" w:color="auto" w:fill="auto"/>
          <w:lang w:eastAsia="zh-CN"/>
        </w:rPr>
        <w:t>乙方</w:t>
      </w:r>
      <w:r>
        <w:rPr>
          <w:rFonts w:hint="eastAsia" w:ascii="宋体" w:hAnsi="宋体" w:eastAsia="宋体" w:cs="宋体"/>
          <w:color w:val="000000"/>
          <w:sz w:val="24"/>
          <w:szCs w:val="24"/>
          <w:shd w:val="clear" w:color="auto" w:fill="auto"/>
        </w:rPr>
        <w:t>需具备远程网络支持服务及热线电话，产品使用中，</w:t>
      </w:r>
      <w:r>
        <w:rPr>
          <w:rFonts w:hint="eastAsia" w:ascii="宋体" w:hAnsi="宋体" w:eastAsia="宋体" w:cs="宋体"/>
          <w:color w:val="000000"/>
          <w:sz w:val="24"/>
          <w:szCs w:val="24"/>
          <w:shd w:val="clear" w:color="auto" w:fill="auto"/>
          <w:lang w:eastAsia="zh-CN"/>
        </w:rPr>
        <w:t>乙方</w:t>
      </w:r>
      <w:r>
        <w:rPr>
          <w:rFonts w:hint="eastAsia" w:ascii="宋体" w:hAnsi="宋体" w:eastAsia="宋体" w:cs="宋体"/>
          <w:color w:val="000000"/>
          <w:sz w:val="24"/>
          <w:szCs w:val="24"/>
          <w:shd w:val="clear" w:color="auto" w:fill="auto"/>
        </w:rPr>
        <w:t>接到</w:t>
      </w:r>
      <w:r>
        <w:rPr>
          <w:rFonts w:hint="eastAsia" w:ascii="宋体" w:hAnsi="宋体" w:eastAsia="宋体" w:cs="宋体"/>
          <w:color w:val="000000"/>
          <w:sz w:val="24"/>
          <w:szCs w:val="24"/>
          <w:shd w:val="clear" w:color="auto" w:fill="auto"/>
          <w:lang w:eastAsia="zh-CN"/>
        </w:rPr>
        <w:t>甲方</w:t>
      </w:r>
      <w:r>
        <w:rPr>
          <w:rFonts w:hint="eastAsia" w:ascii="宋体" w:hAnsi="宋体" w:eastAsia="宋体" w:cs="宋体"/>
          <w:color w:val="000000"/>
          <w:sz w:val="24"/>
          <w:szCs w:val="24"/>
          <w:shd w:val="clear" w:color="auto" w:fill="auto"/>
        </w:rPr>
        <w:t xml:space="preserve">电话通知后，在一小时内提供技术指导或远程维护，如需要在12小时（省外单位48小时）内派出技术人员到达用户现场提供技术支持服务直至问题和故障排除。 </w:t>
      </w:r>
    </w:p>
    <w:p w14:paraId="47AC92E9">
      <w:pPr>
        <w:shd w:val="clear"/>
        <w:spacing w:line="360" w:lineRule="auto"/>
        <w:ind w:firstLine="480" w:firstLineChars="200"/>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10.3.3 安装、调试、培训要求：项目实施阶段</w:t>
      </w:r>
      <w:r>
        <w:rPr>
          <w:rFonts w:hint="eastAsia" w:ascii="宋体" w:hAnsi="宋体" w:eastAsia="宋体" w:cs="宋体"/>
          <w:color w:val="000000"/>
          <w:sz w:val="24"/>
          <w:szCs w:val="24"/>
          <w:shd w:val="clear" w:color="auto" w:fill="auto"/>
          <w:lang w:eastAsia="zh-CN"/>
        </w:rPr>
        <w:t>乙方</w:t>
      </w:r>
      <w:r>
        <w:rPr>
          <w:rFonts w:hint="eastAsia" w:ascii="宋体" w:hAnsi="宋体" w:eastAsia="宋体" w:cs="宋体"/>
          <w:color w:val="000000"/>
          <w:sz w:val="24"/>
          <w:szCs w:val="24"/>
          <w:shd w:val="clear" w:color="auto" w:fill="auto"/>
        </w:rPr>
        <w:t>安排专业技术人员现场实施，</w:t>
      </w:r>
      <w:r>
        <w:rPr>
          <w:rFonts w:hint="eastAsia" w:ascii="宋体" w:hAnsi="宋体" w:eastAsia="宋体" w:cs="宋体"/>
          <w:color w:val="000000"/>
          <w:sz w:val="24"/>
          <w:szCs w:val="24"/>
          <w:shd w:val="clear" w:color="auto" w:fill="auto"/>
          <w:lang w:eastAsia="zh-CN"/>
        </w:rPr>
        <w:t>乙方</w:t>
      </w:r>
      <w:r>
        <w:rPr>
          <w:rFonts w:hint="eastAsia" w:ascii="宋体" w:hAnsi="宋体" w:eastAsia="宋体" w:cs="宋体"/>
          <w:color w:val="000000"/>
          <w:sz w:val="24"/>
          <w:szCs w:val="24"/>
          <w:shd w:val="clear" w:color="auto" w:fill="auto"/>
        </w:rPr>
        <w:t>对</w:t>
      </w:r>
      <w:r>
        <w:rPr>
          <w:rFonts w:hint="eastAsia" w:ascii="宋体" w:hAnsi="宋体" w:eastAsia="宋体" w:cs="宋体"/>
          <w:color w:val="000000"/>
          <w:sz w:val="24"/>
          <w:szCs w:val="24"/>
          <w:shd w:val="clear" w:color="auto" w:fill="auto"/>
          <w:lang w:eastAsia="zh-CN"/>
        </w:rPr>
        <w:t>甲方</w:t>
      </w:r>
      <w:r>
        <w:rPr>
          <w:rFonts w:hint="eastAsia" w:ascii="宋体" w:hAnsi="宋体" w:eastAsia="宋体" w:cs="宋体"/>
          <w:color w:val="000000"/>
          <w:sz w:val="24"/>
          <w:szCs w:val="24"/>
          <w:shd w:val="clear" w:color="auto" w:fill="auto"/>
        </w:rPr>
        <w:t xml:space="preserve">进行所有设备的免费使用培训。 </w:t>
      </w:r>
    </w:p>
    <w:p w14:paraId="734BADC5">
      <w:pPr>
        <w:shd w:val="clear"/>
        <w:spacing w:line="360" w:lineRule="auto"/>
        <w:ind w:firstLine="482" w:firstLineChars="200"/>
        <w:rPr>
          <w:rFonts w:hint="default" w:ascii="宋体" w:hAnsi="宋体" w:eastAsia="宋体" w:cs="宋体"/>
          <w:b/>
          <w:bCs/>
          <w:color w:val="000000"/>
          <w:sz w:val="24"/>
          <w:szCs w:val="24"/>
          <w:shd w:val="clear" w:color="auto" w:fill="auto"/>
          <w:lang w:val="en-US" w:eastAsia="zh-CN"/>
        </w:rPr>
      </w:pPr>
      <w:r>
        <w:rPr>
          <w:rFonts w:hint="eastAsia" w:ascii="宋体" w:hAnsi="宋体" w:eastAsia="宋体" w:cs="宋体"/>
          <w:b/>
          <w:bCs/>
          <w:color w:val="000000"/>
          <w:sz w:val="24"/>
          <w:szCs w:val="24"/>
          <w:shd w:val="clear" w:color="auto" w:fill="auto"/>
          <w:lang w:val="en-US" w:eastAsia="zh-CN"/>
        </w:rPr>
        <w:t>10.3.4 项目建设完毕以后，乙方免费为甲方提供设备搬迁服务1次，并安排工程师调试设备。</w:t>
      </w:r>
    </w:p>
    <w:p w14:paraId="78C6A0D0">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十一、项目验收</w:t>
      </w:r>
    </w:p>
    <w:p w14:paraId="77143C54">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11.1 甲方依法组织履约验收工作。</w:t>
      </w:r>
    </w:p>
    <w:p w14:paraId="5E5B4A97">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11.2 如有必要，甲方邀请参加本项目的其他供应商或第三方专业机构及专家参与验收，相关意见将作为验收书的参考资料。</w:t>
      </w:r>
    </w:p>
    <w:p w14:paraId="6F49683B">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p>
    <w:p w14:paraId="6E30966B">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90771CB">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十二、货物的包装、发运及运输</w:t>
      </w:r>
    </w:p>
    <w:p w14:paraId="0DA55A62">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1B8908B7">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 使用说明书、质量检验证明书、随配附件和工具以及清单一并附于货物内。</w:t>
      </w:r>
    </w:p>
    <w:p w14:paraId="7320274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 货物在交付甲方前发生的风险均由乙方负责。</w:t>
      </w:r>
    </w:p>
    <w:p w14:paraId="338F9D9E">
      <w:pPr>
        <w:shd w:val="clear"/>
        <w:spacing w:line="360" w:lineRule="auto"/>
        <w:ind w:right="26"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 货物在规定的交付期限内由乙方送达甲方指定的地点视为交付，乙方同时需通知甲方货物已送达。</w:t>
      </w:r>
    </w:p>
    <w:p w14:paraId="279E9389">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12.5 乙方提供的货物必须达到或优于招标文件“采购清单”技术需求中各项指标参数。</w:t>
      </w:r>
    </w:p>
    <w:p w14:paraId="098EC02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p>
    <w:p w14:paraId="446E08F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12.6 商品包装环保要求：应当按《关于印发〈商品包装政府采购需求标准（试行）〉、〈快递包装政府采购需求标准（试行）〉的通知》（财办库〔2020〕123号）文件执行。</w:t>
      </w:r>
    </w:p>
    <w:p w14:paraId="4C5A7DB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（1）商品包装层数不得超过 3 层，空隙率不大于 40%；</w:t>
      </w:r>
    </w:p>
    <w:p w14:paraId="46959FB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（2）商品包装尽可能使用单一材质的包装材料，如因功能需求必需使用不同材质，不同材质间应便于分离；</w:t>
      </w:r>
    </w:p>
    <w:p w14:paraId="751DC95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（3）商品包装中铅、汞、镉、六价铬的总含量应不大于100mg/kg；</w:t>
      </w:r>
    </w:p>
    <w:p w14:paraId="12C2B500">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（4）商品包装印刷使用的油墨中挥发性有机化合物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VOCs</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含量应不大于 5%（以重量计）；</w:t>
      </w:r>
    </w:p>
    <w:p w14:paraId="52A68E1A">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（5）塑料材质商品包装上呈现的印刷颜色不得超过6色；</w:t>
      </w:r>
    </w:p>
    <w:p w14:paraId="5AA651C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（6）纸质商品包装应使用 75%以上的可再生纤维原料生产；</w:t>
      </w:r>
    </w:p>
    <w:p w14:paraId="399B894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（7）木质商品包装的原料应来源于可持续性森林。</w:t>
      </w:r>
    </w:p>
    <w:p w14:paraId="1EEDF75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12.7 快递包装环保要求：</w:t>
      </w:r>
    </w:p>
    <w:p w14:paraId="2A36347F">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（1）快递包装中重金属（铅、汞、镉、六价铬）总量应不大于 100mg/kg；</w:t>
      </w:r>
    </w:p>
    <w:p w14:paraId="7C88C3F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（2）快递包装印刷使用的油墨中不应添加邻苯二甲酸酯，其挥发性有机化合物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VOCs</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含量应不大于5%（以重量计）；</w:t>
      </w:r>
    </w:p>
    <w:p w14:paraId="25D23CF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（3）快递包装中使用纸基材的包装材料，纸基材中的有机氯的含量应不大于 150 mg/kg；</w:t>
      </w:r>
    </w:p>
    <w:p w14:paraId="0D7A6531">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2-乙基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己酯、邻苯二甲酸二异癸酯、邻苯二甲酸丁基苄基酯、邻苯二甲酸二丁酯等作为增塑剂；</w:t>
      </w:r>
    </w:p>
    <w:p w14:paraId="2B88D3E1">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（5）快递中使用的塑料包装袋不得使用聚氯乙烯作为原料，且原料应为单一材质制成，生物分解率大于60%；</w:t>
      </w:r>
    </w:p>
    <w:p w14:paraId="3B3538BA">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（6）快递中使用的充气类填充物不得使用聚氯乙烯作为 原料，且原料为单一材质制成，生物分解率大于60%；</w:t>
      </w:r>
    </w:p>
    <w:p w14:paraId="03CE172F">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（7）快递中使用的集装袋应为单一材质制成，其重复使用次数应不小于 80 次；</w:t>
      </w:r>
    </w:p>
    <w:p w14:paraId="145C10DC">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（8）快递中应使用幅宽不大于45mm 的生物降解胶带；</w:t>
      </w:r>
    </w:p>
    <w:p w14:paraId="2AFF96E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（9）快递包装中不得使用溶剂型胶粘剂；</w:t>
      </w:r>
    </w:p>
    <w:p w14:paraId="2A4CBA44">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（10）快递应使用电子面单；</w:t>
      </w:r>
    </w:p>
    <w:p w14:paraId="5C928BD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（11）直接使用商品包装作为快递包装的商品，其商品包装满足《商品包装政府采购需求标准（试行）》即可；</w:t>
      </w:r>
    </w:p>
    <w:p w14:paraId="7D0B4F01">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（12）快递包装产品质量和封装方式应符合相关国家或行业标准技术指标要求。</w:t>
      </w:r>
    </w:p>
    <w:p w14:paraId="35E2D765">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十三、违约责任</w:t>
      </w:r>
    </w:p>
    <w:p w14:paraId="5A6E053F">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13.1 甲方无正当理由未按合同规定的期限向乙方支付货款的，每逾期1天甲方向乙方支付该批次货款总额的0.04%滞纳金，批次累计滞纳金总额不超过批次欠款总额的0.6%。</w:t>
      </w:r>
    </w:p>
    <w:p w14:paraId="49CC2DA2">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13.2 乙方逾期交付货物的，每逾期1天，乙方向甲方偿付支付该批次货款总额的0.04%滞纳金，批次累计滞纳金总额不超过批次总额的0.6%。</w:t>
      </w:r>
    </w:p>
    <w:p w14:paraId="38FF815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13.3 乙方所交付的货物品种、型号、规格不符合合同规定，乙方需在收到书面通知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0天期限内仍不能完成供货，将被处以此批货款30%的罚款，同时处罚履约保证金的50%，甲方可采取必要的补救措施，但由此引发的风险和费用将由乙方承担。</w:t>
      </w:r>
    </w:p>
    <w:p w14:paraId="3D117FC8">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13.4 乙方未按合同规定的和“服务承诺”提供的售后服务的，应按合同总价款的8%向甲方承担违约责任。</w:t>
      </w:r>
    </w:p>
    <w:p w14:paraId="635FF6B1">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十四、不可抗力事件处理</w:t>
      </w:r>
    </w:p>
    <w:p w14:paraId="7387D8BD">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14.1 在合同有效期内，任何一方因不可抗力事件导致不能履行合同，则合同履行期可延长，其延长期与不可抗力影响期相同。</w:t>
      </w:r>
    </w:p>
    <w:p w14:paraId="3D92AED7">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 不可抗力事件发生后，应立即通知对方，并寄送有关权威机构出具的证明。</w:t>
      </w:r>
    </w:p>
    <w:p w14:paraId="3F4A426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 不可抗力事件延续120天以上，双方应通过友好协商，确定是否继续履行合同。</w:t>
      </w:r>
    </w:p>
    <w:p w14:paraId="1EE22A29">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十五、解决争议的方法</w:t>
      </w:r>
    </w:p>
    <w:p w14:paraId="657817F8">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15.1 甲乙双方因合同签订、履行而发生的一切争议，应通过友好协商解决。如协商不成由甲方所地人民法院管辖。</w:t>
      </w:r>
    </w:p>
    <w:p w14:paraId="4B3C8452">
      <w:pPr>
        <w:shd w:val="clea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十六、合同生效及其它</w:t>
      </w:r>
    </w:p>
    <w:p w14:paraId="6BAD27F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 合同经双方法定代表人或授权委托代表人签字并加盖单位公章后生效。</w:t>
      </w:r>
    </w:p>
    <w:p w14:paraId="6CE2F0F7">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 本合同未尽事宜，遵照中华人民共和国现行法律法规有关条文执行。</w:t>
      </w:r>
    </w:p>
    <w:p w14:paraId="5943237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16.3 本合同正本一式捌份，具有同等法律效力，甲方、乙方各执肆份。</w:t>
      </w:r>
    </w:p>
    <w:p w14:paraId="7FB3C605">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w:t>
      </w:r>
      <w:r>
        <w:rPr>
          <w:rFonts w:hint="eastAsia" w:ascii="宋体" w:hAnsi="宋体" w:eastAsia="宋体" w:cs="宋体"/>
          <w:color w:val="000000"/>
          <w:sz w:val="24"/>
          <w:szCs w:val="24"/>
          <w:lang w:val="zh-CN"/>
        </w:rPr>
        <w:t>组成本合同的有关文件</w:t>
      </w:r>
    </w:p>
    <w:p w14:paraId="2EC0A674">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组成合同的各项文件应互相解释，互为说明。除专用合同条款另有约定外，解释合同文件的优先顺序如下： </w:t>
      </w:r>
    </w:p>
    <w:p w14:paraId="2FBE74B4">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（1）合同协议书； </w:t>
      </w:r>
    </w:p>
    <w:p w14:paraId="388FD896">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（2）中标通知书； </w:t>
      </w:r>
    </w:p>
    <w:p w14:paraId="0174B901">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（3）投标文件； </w:t>
      </w:r>
    </w:p>
    <w:p w14:paraId="75EA0BEA">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zh-CN"/>
        </w:rPr>
        <w:t>（4）</w:t>
      </w:r>
      <w:r>
        <w:rPr>
          <w:rFonts w:hint="eastAsia" w:ascii="宋体" w:hAnsi="宋体" w:eastAsia="宋体" w:cs="宋体"/>
          <w:color w:val="000000"/>
          <w:sz w:val="24"/>
          <w:szCs w:val="24"/>
        </w:rPr>
        <w:t>招标文件；</w:t>
      </w:r>
    </w:p>
    <w:p w14:paraId="2ED804D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5</w:t>
      </w:r>
      <w:r>
        <w:rPr>
          <w:rFonts w:hint="eastAsia" w:ascii="宋体" w:hAnsi="宋体" w:eastAsia="宋体" w:cs="宋体"/>
          <w:color w:val="000000"/>
          <w:sz w:val="24"/>
          <w:szCs w:val="24"/>
          <w:lang w:val="zh-CN"/>
        </w:rPr>
        <w:t>）相关服务计划；</w:t>
      </w:r>
    </w:p>
    <w:p w14:paraId="303DD890">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6</w:t>
      </w:r>
      <w:r>
        <w:rPr>
          <w:rFonts w:hint="eastAsia" w:ascii="宋体" w:hAnsi="宋体" w:eastAsia="宋体" w:cs="宋体"/>
          <w:color w:val="000000"/>
          <w:sz w:val="24"/>
          <w:szCs w:val="24"/>
          <w:lang w:val="zh-CN"/>
        </w:rPr>
        <w:t>）其他合同文件。</w:t>
      </w:r>
    </w:p>
    <w:p w14:paraId="4FA9D1D8">
      <w:pPr>
        <w:shd w:val="clear"/>
        <w:spacing w:line="360" w:lineRule="auto"/>
        <w:ind w:firstLine="480" w:firstLineChars="200"/>
        <w:rPr>
          <w:rFonts w:hint="eastAsia" w:ascii="宋体" w:hAnsi="宋体" w:eastAsia="宋体" w:cs="宋体"/>
          <w:color w:val="000000"/>
          <w:sz w:val="24"/>
          <w:szCs w:val="24"/>
        </w:rPr>
      </w:pPr>
    </w:p>
    <w:p w14:paraId="40E43AE3">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乙方： </w:t>
      </w:r>
    </w:p>
    <w:p w14:paraId="0EB3F421">
      <w:pPr>
        <w:shd w:val="clear"/>
        <w:spacing w:line="360" w:lineRule="auto"/>
        <w:ind w:firstLine="480" w:firstLineChars="200"/>
        <w:rPr>
          <w:rFonts w:hint="eastAsia" w:ascii="宋体" w:hAnsi="宋体" w:eastAsia="宋体" w:cs="宋体"/>
          <w:color w:val="000000"/>
          <w:sz w:val="24"/>
          <w:szCs w:val="24"/>
        </w:rPr>
      </w:pPr>
    </w:p>
    <w:p w14:paraId="28A94B6A">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p>
    <w:p w14:paraId="01BEE88B">
      <w:pPr>
        <w:shd w:val="clear"/>
        <w:spacing w:line="360" w:lineRule="auto"/>
        <w:ind w:firstLine="480" w:firstLineChars="200"/>
        <w:rPr>
          <w:rFonts w:hint="eastAsia" w:ascii="宋体" w:hAnsi="宋体" w:eastAsia="宋体" w:cs="宋体"/>
          <w:color w:val="000000"/>
          <w:sz w:val="24"/>
          <w:szCs w:val="24"/>
        </w:rPr>
      </w:pPr>
    </w:p>
    <w:p w14:paraId="13EBD778">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法定代表人或授权代表：           法定代表人或授权代表：</w:t>
      </w:r>
    </w:p>
    <w:p w14:paraId="59B5C833">
      <w:pPr>
        <w:shd w:val="clear"/>
        <w:spacing w:line="360" w:lineRule="auto"/>
        <w:ind w:firstLine="480" w:firstLineChars="200"/>
        <w:jc w:val="left"/>
        <w:rPr>
          <w:rFonts w:hint="eastAsia" w:ascii="宋体" w:hAnsi="宋体" w:eastAsia="宋体" w:cs="宋体"/>
          <w:color w:val="000000"/>
          <w:sz w:val="24"/>
          <w:szCs w:val="24"/>
        </w:rPr>
      </w:pPr>
    </w:p>
    <w:p w14:paraId="2DCE2073">
      <w:pPr>
        <w:shd w:val="clea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p>
    <w:p w14:paraId="57BFA009">
      <w:pPr>
        <w:shd w:val="clear"/>
        <w:spacing w:line="360" w:lineRule="auto"/>
        <w:ind w:firstLine="480" w:firstLineChars="200"/>
        <w:jc w:val="left"/>
        <w:rPr>
          <w:rFonts w:hint="eastAsia" w:ascii="宋体" w:hAnsi="宋体" w:eastAsia="宋体" w:cs="宋体"/>
          <w:color w:val="000000"/>
          <w:sz w:val="24"/>
          <w:szCs w:val="24"/>
        </w:rPr>
      </w:pPr>
    </w:p>
    <w:p w14:paraId="6D6B6550">
      <w:pPr>
        <w:shd w:val="clea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签订日期：2026年月  日</w:t>
      </w:r>
      <w:bookmarkStart w:id="13" w:name="_Hlt16619369"/>
      <w:bookmarkEnd w:id="13"/>
      <w:r>
        <w:rPr>
          <w:rFonts w:hint="eastAsia" w:ascii="宋体" w:hAnsi="宋体" w:eastAsia="宋体" w:cs="宋体"/>
          <w:color w:val="000000"/>
          <w:sz w:val="24"/>
          <w:szCs w:val="24"/>
        </w:rPr>
        <w:t xml:space="preserve">          签订日期：2026年月  日</w:t>
      </w:r>
    </w:p>
    <w:p w14:paraId="4C1AAB6B">
      <w:pPr>
        <w:shd w:val="clear"/>
        <w:spacing w:line="360" w:lineRule="auto"/>
        <w:ind w:firstLine="480" w:firstLineChars="200"/>
        <w:rPr>
          <w:rFonts w:hint="eastAsia" w:ascii="宋体" w:hAnsi="宋体" w:eastAsia="宋体" w:cs="宋体"/>
          <w:color w:val="000000"/>
          <w:sz w:val="24"/>
          <w:szCs w:val="24"/>
        </w:rPr>
      </w:pPr>
    </w:p>
    <w:p w14:paraId="362EFD5D">
      <w:pPr>
        <w:shd w:val="clear"/>
        <w:spacing w:line="360" w:lineRule="auto"/>
        <w:contextualSpacing/>
        <w:jc w:val="center"/>
        <w:outlineLvl w:val="0"/>
        <w:rPr>
          <w:rFonts w:eastAsia="宋体" w:cs="宋体"/>
          <w:b/>
          <w:color w:val="000000"/>
          <w:sz w:val="36"/>
          <w:szCs w:val="36"/>
        </w:rPr>
      </w:pPr>
      <w:r>
        <w:rPr>
          <w:rFonts w:hint="eastAsia" w:ascii="宋体" w:hAnsi="宋体" w:eastAsia="宋体" w:cs="宋体"/>
          <w:b/>
          <w:color w:val="000000"/>
          <w:sz w:val="24"/>
          <w:szCs w:val="24"/>
        </w:rPr>
        <w:t>采购人保留对合同修改和完善的权利。</w:t>
      </w:r>
    </w:p>
    <w:p w14:paraId="43BABC4A">
      <w:pPr>
        <w:shd w:val="clear"/>
        <w:rPr>
          <w:rFonts w:eastAsia="宋体" w:cs="宋体"/>
          <w:b/>
          <w:color w:val="000000"/>
          <w:sz w:val="36"/>
          <w:szCs w:val="36"/>
        </w:rPr>
      </w:pPr>
      <w:r>
        <w:rPr>
          <w:rFonts w:hint="eastAsia" w:eastAsia="宋体" w:cs="宋体"/>
          <w:b/>
          <w:color w:val="000000"/>
          <w:sz w:val="36"/>
          <w:szCs w:val="36"/>
        </w:rPr>
        <w:br w:type="page"/>
      </w:r>
    </w:p>
    <w:p w14:paraId="6DD6451D">
      <w:pPr>
        <w:shd w:val="clear"/>
        <w:spacing w:line="360" w:lineRule="auto"/>
        <w:contextualSpacing/>
        <w:jc w:val="center"/>
        <w:outlineLvl w:val="0"/>
        <w:rPr>
          <w:rFonts w:eastAsia="宋体" w:cs="宋体"/>
          <w:b/>
          <w:color w:val="000000"/>
          <w:sz w:val="36"/>
          <w:szCs w:val="36"/>
        </w:rPr>
      </w:pPr>
      <w:r>
        <w:rPr>
          <w:rFonts w:hint="eastAsia" w:eastAsia="宋体" w:cs="宋体"/>
          <w:b/>
          <w:color w:val="000000"/>
          <w:sz w:val="36"/>
          <w:szCs w:val="36"/>
        </w:rPr>
        <w:t>第六章  合同授予</w:t>
      </w:r>
    </w:p>
    <w:p w14:paraId="50264865">
      <w:pPr>
        <w:shd w:val="clear"/>
        <w:spacing w:line="360" w:lineRule="auto"/>
        <w:ind w:firstLine="480"/>
        <w:contextualSpacing/>
        <w:rPr>
          <w:rFonts w:eastAsia="宋体" w:cs="宋体"/>
          <w:color w:val="000000"/>
          <w:sz w:val="24"/>
          <w:szCs w:val="21"/>
        </w:rPr>
      </w:pPr>
    </w:p>
    <w:p w14:paraId="67B42308">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一、</w:t>
      </w:r>
      <w:r>
        <w:rPr>
          <w:rFonts w:hint="eastAsia" w:eastAsia="宋体" w:cs="宋体"/>
          <w:bCs/>
          <w:color w:val="000000"/>
          <w:sz w:val="24"/>
          <w:szCs w:val="24"/>
        </w:rPr>
        <w:t>自中标通知书发出之日起30日内，中标人凭“中标通知书”及履约缴纳凭证与</w:t>
      </w:r>
      <w:r>
        <w:rPr>
          <w:rFonts w:hint="eastAsia" w:eastAsia="宋体" w:cs="宋体"/>
          <w:bCs/>
          <w:color w:val="000000"/>
          <w:sz w:val="24"/>
          <w:szCs w:val="24"/>
          <w:lang w:eastAsia="zh-CN"/>
        </w:rPr>
        <w:t>采购人</w:t>
      </w:r>
      <w:r>
        <w:rPr>
          <w:rFonts w:hint="eastAsia" w:eastAsia="宋体" w:cs="宋体"/>
          <w:bCs/>
          <w:color w:val="000000"/>
          <w:sz w:val="24"/>
          <w:szCs w:val="24"/>
        </w:rPr>
        <w:t>签订合同。</w:t>
      </w:r>
      <w:r>
        <w:rPr>
          <w:rFonts w:hint="eastAsia" w:eastAsia="宋体" w:cs="宋体"/>
          <w:color w:val="000000"/>
          <w:sz w:val="24"/>
          <w:szCs w:val="21"/>
        </w:rPr>
        <w:t>合同一式</w:t>
      </w:r>
      <w:r>
        <w:rPr>
          <w:rFonts w:hint="eastAsia" w:ascii="宋体" w:hAnsi="宋体" w:eastAsia="宋体" w:cs="宋体"/>
          <w:color w:val="000000"/>
          <w:sz w:val="24"/>
          <w:szCs w:val="24"/>
        </w:rPr>
        <w:t>捌</w:t>
      </w:r>
      <w:r>
        <w:rPr>
          <w:rFonts w:hint="eastAsia" w:eastAsia="宋体" w:cs="宋体"/>
          <w:color w:val="000000"/>
          <w:sz w:val="24"/>
          <w:szCs w:val="21"/>
        </w:rPr>
        <w:t>份，</w:t>
      </w:r>
      <w:r>
        <w:rPr>
          <w:rFonts w:hint="eastAsia" w:eastAsia="宋体" w:cs="宋体"/>
          <w:color w:val="000000"/>
          <w:sz w:val="24"/>
          <w:szCs w:val="21"/>
          <w:lang w:eastAsia="zh-CN"/>
        </w:rPr>
        <w:t>采购人</w:t>
      </w:r>
      <w:r>
        <w:rPr>
          <w:rFonts w:hint="eastAsia" w:eastAsia="宋体" w:cs="宋体"/>
          <w:color w:val="000000"/>
          <w:sz w:val="24"/>
          <w:szCs w:val="21"/>
        </w:rPr>
        <w:t>、中标人各</w:t>
      </w:r>
      <w:r>
        <w:rPr>
          <w:rFonts w:hint="eastAsia" w:ascii="宋体" w:hAnsi="宋体" w:eastAsia="宋体" w:cs="宋体"/>
          <w:color w:val="000000"/>
          <w:sz w:val="24"/>
          <w:szCs w:val="24"/>
        </w:rPr>
        <w:t>肆</w:t>
      </w:r>
      <w:r>
        <w:rPr>
          <w:rFonts w:hint="eastAsia" w:eastAsia="宋体" w:cs="宋体"/>
          <w:color w:val="000000"/>
          <w:sz w:val="24"/>
          <w:szCs w:val="21"/>
        </w:rPr>
        <w:t>份。所签合同不得对招标文件作实质性修改。</w:t>
      </w:r>
      <w:r>
        <w:rPr>
          <w:rFonts w:hint="eastAsia" w:eastAsia="宋体" w:cs="宋体"/>
          <w:color w:val="000000"/>
          <w:sz w:val="24"/>
          <w:szCs w:val="21"/>
          <w:lang w:eastAsia="zh-CN"/>
        </w:rPr>
        <w:t>采购人</w:t>
      </w:r>
      <w:r>
        <w:rPr>
          <w:rFonts w:hint="eastAsia" w:eastAsia="宋体" w:cs="宋体"/>
          <w:color w:val="000000"/>
          <w:sz w:val="24"/>
          <w:szCs w:val="21"/>
        </w:rPr>
        <w:t>不得向中标人提出不合理的要求作为签订合同的条件，不得与中标人私下订立背离招标文件实质性内容的协议。</w:t>
      </w:r>
    </w:p>
    <w:p w14:paraId="04B0C9AB">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二、</w:t>
      </w:r>
      <w:r>
        <w:rPr>
          <w:rFonts w:hint="eastAsia" w:eastAsia="宋体" w:cs="宋体"/>
          <w:color w:val="000000"/>
          <w:sz w:val="24"/>
          <w:szCs w:val="21"/>
          <w:lang w:eastAsia="zh-CN"/>
        </w:rPr>
        <w:t>采购人</w:t>
      </w:r>
      <w:r>
        <w:rPr>
          <w:rFonts w:hint="eastAsia" w:eastAsia="宋体" w:cs="宋体"/>
          <w:color w:val="000000"/>
          <w:sz w:val="24"/>
          <w:szCs w:val="21"/>
        </w:rPr>
        <w:t>按合同约定积极配合中标人履约，中标人履约到位后，请以书面形式向</w:t>
      </w:r>
      <w:r>
        <w:rPr>
          <w:rFonts w:hint="eastAsia" w:eastAsia="宋体" w:cs="宋体"/>
          <w:color w:val="000000"/>
          <w:sz w:val="24"/>
          <w:szCs w:val="21"/>
          <w:lang w:eastAsia="zh-CN"/>
        </w:rPr>
        <w:t>采购人</w:t>
      </w:r>
      <w:r>
        <w:rPr>
          <w:rFonts w:hint="eastAsia" w:eastAsia="宋体" w:cs="宋体"/>
          <w:color w:val="000000"/>
          <w:sz w:val="24"/>
          <w:szCs w:val="21"/>
        </w:rPr>
        <w:t>提出验收申请。</w:t>
      </w:r>
    </w:p>
    <w:p w14:paraId="0D355DD8">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三、中标人出现违约情形，应当及时纠正或补偿；造成损失的，按合同约定追究违约责任。</w:t>
      </w:r>
      <w:bookmarkEnd w:id="12"/>
    </w:p>
    <w:p w14:paraId="535DEE33">
      <w:pPr>
        <w:shd w:val="clear"/>
        <w:spacing w:line="360" w:lineRule="auto"/>
        <w:ind w:firstLine="480"/>
        <w:contextualSpacing/>
        <w:rPr>
          <w:rFonts w:eastAsia="宋体" w:cs="宋体"/>
          <w:color w:val="000000"/>
          <w:sz w:val="24"/>
          <w:szCs w:val="21"/>
        </w:rPr>
      </w:pPr>
      <w:bookmarkStart w:id="14" w:name="_Toc363573860"/>
      <w:r>
        <w:rPr>
          <w:rFonts w:hint="eastAsia" w:eastAsia="宋体" w:cs="宋体"/>
          <w:color w:val="000000"/>
          <w:sz w:val="24"/>
          <w:szCs w:val="21"/>
        </w:rPr>
        <w:t>四、不响应付款方式的，视同投标文件无效，按无效投标文件处理。</w:t>
      </w:r>
    </w:p>
    <w:p w14:paraId="55880659">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五、付款方式详见招标文件第五章，以上项目款的支付不计息。</w:t>
      </w:r>
    </w:p>
    <w:p w14:paraId="5E686CC8">
      <w:pPr>
        <w:shd w:val="clear"/>
        <w:spacing w:line="360" w:lineRule="auto"/>
        <w:contextualSpacing/>
        <w:rPr>
          <w:rFonts w:eastAsia="宋体" w:cs="宋体"/>
          <w:color w:val="000000"/>
          <w:sz w:val="24"/>
          <w:szCs w:val="21"/>
        </w:rPr>
      </w:pPr>
    </w:p>
    <w:p w14:paraId="67221670">
      <w:pPr>
        <w:pStyle w:val="19"/>
        <w:shd w:val="clear"/>
        <w:spacing w:line="360" w:lineRule="auto"/>
        <w:rPr>
          <w:rFonts w:eastAsia="宋体" w:cs="宋体"/>
          <w:color w:val="000000"/>
        </w:rPr>
      </w:pPr>
    </w:p>
    <w:p w14:paraId="21C3A21A">
      <w:pPr>
        <w:shd w:val="clear"/>
        <w:spacing w:line="360" w:lineRule="auto"/>
        <w:contextualSpacing/>
        <w:jc w:val="center"/>
        <w:outlineLvl w:val="0"/>
        <w:rPr>
          <w:rFonts w:eastAsia="宋体" w:cs="宋体"/>
          <w:b/>
          <w:color w:val="000000"/>
          <w:sz w:val="36"/>
          <w:szCs w:val="36"/>
        </w:rPr>
      </w:pPr>
      <w:r>
        <w:rPr>
          <w:rFonts w:hint="eastAsia" w:eastAsia="宋体" w:cs="宋体"/>
          <w:b/>
          <w:color w:val="000000"/>
          <w:sz w:val="36"/>
          <w:szCs w:val="36"/>
        </w:rPr>
        <w:br w:type="page" w:clear="all"/>
      </w:r>
      <w:r>
        <w:rPr>
          <w:rFonts w:hint="eastAsia" w:eastAsia="宋体" w:cs="宋体"/>
          <w:b/>
          <w:color w:val="000000"/>
          <w:sz w:val="36"/>
          <w:szCs w:val="36"/>
        </w:rPr>
        <w:t>第七章  质疑与投诉</w:t>
      </w:r>
    </w:p>
    <w:p w14:paraId="692E89FF">
      <w:pPr>
        <w:shd w:val="clear"/>
        <w:spacing w:line="360" w:lineRule="auto"/>
        <w:ind w:firstLine="482"/>
        <w:contextualSpacing/>
        <w:rPr>
          <w:rFonts w:eastAsia="宋体" w:cs="宋体"/>
          <w:b/>
          <w:color w:val="000000"/>
          <w:sz w:val="24"/>
          <w:szCs w:val="21"/>
        </w:rPr>
      </w:pPr>
    </w:p>
    <w:p w14:paraId="3970F193">
      <w:pPr>
        <w:shd w:val="clear"/>
        <w:spacing w:line="360" w:lineRule="auto"/>
        <w:ind w:firstLine="482"/>
        <w:contextualSpacing/>
        <w:rPr>
          <w:rFonts w:eastAsia="宋体" w:cs="宋体"/>
          <w:b/>
          <w:color w:val="000000"/>
          <w:sz w:val="24"/>
          <w:szCs w:val="21"/>
        </w:rPr>
      </w:pPr>
      <w:r>
        <w:rPr>
          <w:rFonts w:hint="eastAsia" w:eastAsia="宋体" w:cs="宋体"/>
          <w:b/>
          <w:color w:val="000000"/>
          <w:sz w:val="24"/>
          <w:szCs w:val="21"/>
        </w:rPr>
        <w:t>一、质疑的提出</w:t>
      </w:r>
    </w:p>
    <w:p w14:paraId="3CF06A7F">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1.提出质疑的投标人应当是参与所质疑项目采购活动的投标人。潜在投标人依法获取其可质疑的招标文件的，可以对招标文件提出质疑。</w:t>
      </w:r>
    </w:p>
    <w:p w14:paraId="6E3258A9">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2.投标人认为招标文件、招投标过程和招标结果使自己的权益受到损害的，可以在知道或应知其权益受到损害之日起七个工作日内，以书面形式向</w:t>
      </w:r>
      <w:r>
        <w:rPr>
          <w:rFonts w:hint="eastAsia" w:eastAsia="宋体" w:cs="宋体"/>
          <w:color w:val="000000"/>
          <w:sz w:val="24"/>
          <w:szCs w:val="21"/>
          <w:lang w:eastAsia="zh-CN"/>
        </w:rPr>
        <w:t>采购人</w:t>
      </w:r>
      <w:r>
        <w:rPr>
          <w:rFonts w:hint="eastAsia" w:eastAsia="宋体" w:cs="宋体"/>
          <w:color w:val="000000"/>
          <w:sz w:val="24"/>
          <w:szCs w:val="21"/>
        </w:rPr>
        <w:t>提出质疑。上述应知其权益受到损害之日，是指：</w:t>
      </w:r>
    </w:p>
    <w:p w14:paraId="1C803306">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2.1对可以质疑的招标文件提出质疑的，为收到招标文件之日或者招标文件公告期限届满之日；</w:t>
      </w:r>
    </w:p>
    <w:p w14:paraId="7D3228BF">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2.2对采购过程提出质疑的，为各采购程序环节结束之日；</w:t>
      </w:r>
    </w:p>
    <w:p w14:paraId="085210BD">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2.3对中标结果提出质疑的，为中标结果公告期限届满之日。</w:t>
      </w:r>
    </w:p>
    <w:p w14:paraId="4F58E51F">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投标人应当在法定质疑期内一次性提出针对同一采购程序环节的质疑。</w:t>
      </w:r>
    </w:p>
    <w:p w14:paraId="205AB486">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3.质疑函必须按照本招标文件中《质疑函范本》要求的格式和内容进行填写。投标人如组成联合体参加招投标活动，则《质疑函范本》中要求签字、盖章、加盖公章之处，联合体各方均须按要求签字、盖章、加盖公章。</w:t>
      </w:r>
    </w:p>
    <w:p w14:paraId="52CC3F7C">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4.对招标方式、招标文件中项目需求、投标人资格条件、评审方法和评审标准、资格审查结果等应当由</w:t>
      </w:r>
      <w:r>
        <w:rPr>
          <w:rFonts w:hint="eastAsia" w:eastAsia="宋体" w:cs="宋体"/>
          <w:color w:val="000000"/>
          <w:sz w:val="24"/>
          <w:szCs w:val="21"/>
          <w:lang w:eastAsia="zh-CN"/>
        </w:rPr>
        <w:t>采购人</w:t>
      </w:r>
      <w:r>
        <w:rPr>
          <w:rFonts w:hint="eastAsia" w:eastAsia="宋体" w:cs="宋体"/>
          <w:color w:val="000000"/>
          <w:sz w:val="24"/>
          <w:szCs w:val="21"/>
        </w:rPr>
        <w:t>答复的质疑，请向</w:t>
      </w:r>
      <w:r>
        <w:rPr>
          <w:rFonts w:hint="eastAsia" w:eastAsia="宋体" w:cs="宋体"/>
          <w:color w:val="000000"/>
          <w:sz w:val="24"/>
          <w:szCs w:val="21"/>
          <w:lang w:eastAsia="zh-CN"/>
        </w:rPr>
        <w:t>采购人</w:t>
      </w:r>
      <w:r>
        <w:rPr>
          <w:rFonts w:hint="eastAsia" w:eastAsia="宋体" w:cs="宋体"/>
          <w:color w:val="000000"/>
          <w:sz w:val="24"/>
          <w:szCs w:val="21"/>
        </w:rPr>
        <w:t>提出，由</w:t>
      </w:r>
      <w:r>
        <w:rPr>
          <w:rFonts w:hint="eastAsia" w:eastAsia="宋体" w:cs="宋体"/>
          <w:color w:val="000000"/>
          <w:sz w:val="24"/>
          <w:szCs w:val="21"/>
          <w:lang w:eastAsia="zh-CN"/>
        </w:rPr>
        <w:t>采购人</w:t>
      </w:r>
      <w:r>
        <w:rPr>
          <w:rFonts w:hint="eastAsia" w:eastAsia="宋体" w:cs="宋体"/>
          <w:color w:val="000000"/>
          <w:sz w:val="24"/>
          <w:szCs w:val="21"/>
        </w:rPr>
        <w:t>负责答复。</w:t>
      </w:r>
    </w:p>
    <w:p w14:paraId="00AC6AD7">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lang w:eastAsia="zh-CN"/>
        </w:rPr>
        <w:t>采购人</w:t>
      </w:r>
      <w:r>
        <w:rPr>
          <w:rFonts w:hint="eastAsia" w:eastAsia="宋体" w:cs="宋体"/>
          <w:color w:val="000000"/>
          <w:sz w:val="24"/>
          <w:szCs w:val="21"/>
        </w:rPr>
        <w:t>质疑接收人及联系方式，见招标文件第一章。</w:t>
      </w:r>
    </w:p>
    <w:p w14:paraId="718B7812">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5. 以下情形的质疑不予受理</w:t>
      </w:r>
    </w:p>
    <w:p w14:paraId="0E8A2CB3">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5.1 内容不符合《政府采购质疑和投诉办法》财政部第94号令第十二条规定的质疑。</w:t>
      </w:r>
    </w:p>
    <w:p w14:paraId="65E18C18">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5.2 超出政府采购法定期限的质疑。</w:t>
      </w:r>
    </w:p>
    <w:p w14:paraId="18C84FFC">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5.3 未参加招投标活动的投标人。</w:t>
      </w:r>
    </w:p>
    <w:p w14:paraId="57B1332A">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5.4投标人组成联合体参加招投标活动，联合体中任何一方或多方未按要求签字、盖章、加盖公章的质疑。</w:t>
      </w:r>
    </w:p>
    <w:p w14:paraId="4404AA13">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6.投标人提出书面质疑必须有理、有据，不得捏造事实、提供虚假材料进行恶意质疑。否则，一经查实，</w:t>
      </w:r>
      <w:r>
        <w:rPr>
          <w:rFonts w:hint="eastAsia" w:eastAsia="宋体" w:cs="宋体"/>
          <w:color w:val="000000"/>
          <w:sz w:val="24"/>
          <w:szCs w:val="21"/>
          <w:lang w:eastAsia="zh-CN"/>
        </w:rPr>
        <w:t>采购人</w:t>
      </w:r>
      <w:r>
        <w:rPr>
          <w:rFonts w:hint="eastAsia" w:eastAsia="宋体" w:cs="宋体"/>
          <w:color w:val="000000"/>
          <w:sz w:val="24"/>
          <w:szCs w:val="21"/>
        </w:rPr>
        <w:t>有权依据政府采购的有关规定，报请政府采购监管部门对该投标人进行相应的行政处罚和记录该投标人的失信信息。</w:t>
      </w:r>
    </w:p>
    <w:p w14:paraId="01FD7040">
      <w:pPr>
        <w:shd w:val="clear"/>
        <w:spacing w:line="360" w:lineRule="auto"/>
        <w:contextualSpacing/>
        <w:rPr>
          <w:rFonts w:eastAsia="宋体" w:cs="宋体"/>
          <w:color w:val="000000"/>
          <w:sz w:val="24"/>
          <w:szCs w:val="21"/>
        </w:rPr>
      </w:pPr>
      <w:r>
        <w:rPr>
          <w:rFonts w:hint="eastAsia" w:eastAsia="宋体" w:cs="宋体"/>
          <w:color w:val="000000"/>
          <w:sz w:val="24"/>
          <w:szCs w:val="21"/>
        </w:rPr>
        <w:t>附件：</w:t>
      </w:r>
    </w:p>
    <w:p w14:paraId="72C7F674">
      <w:pPr>
        <w:shd w:val="clear"/>
        <w:spacing w:line="360" w:lineRule="auto"/>
        <w:ind w:firstLine="480"/>
        <w:contextualSpacing/>
        <w:jc w:val="center"/>
        <w:rPr>
          <w:rFonts w:eastAsia="宋体" w:cs="宋体"/>
          <w:bCs/>
          <w:color w:val="000000"/>
          <w:sz w:val="24"/>
          <w:szCs w:val="21"/>
        </w:rPr>
      </w:pPr>
      <w:r>
        <w:rPr>
          <w:rFonts w:hint="eastAsia" w:eastAsia="宋体" w:cs="宋体"/>
          <w:bCs/>
          <w:color w:val="000000"/>
          <w:sz w:val="32"/>
          <w:szCs w:val="32"/>
        </w:rPr>
        <w:t>质疑函范本</w:t>
      </w:r>
    </w:p>
    <w:p w14:paraId="7C46AA9D">
      <w:pPr>
        <w:shd w:val="clear"/>
        <w:spacing w:line="360" w:lineRule="auto"/>
        <w:ind w:firstLine="480"/>
        <w:contextualSpacing/>
        <w:rPr>
          <w:rFonts w:eastAsia="宋体" w:cs="宋体"/>
          <w:bCs/>
          <w:color w:val="000000"/>
          <w:sz w:val="24"/>
          <w:szCs w:val="21"/>
        </w:rPr>
      </w:pPr>
      <w:r>
        <w:rPr>
          <w:rFonts w:hint="eastAsia" w:eastAsia="宋体" w:cs="宋体"/>
          <w:bCs/>
          <w:color w:val="000000"/>
          <w:sz w:val="24"/>
          <w:szCs w:val="21"/>
        </w:rPr>
        <w:t>一、质疑</w:t>
      </w:r>
      <w:r>
        <w:rPr>
          <w:rFonts w:hint="eastAsia" w:eastAsia="宋体" w:cs="宋体"/>
          <w:color w:val="000000"/>
          <w:sz w:val="24"/>
          <w:szCs w:val="21"/>
        </w:rPr>
        <w:t>投标人</w:t>
      </w:r>
      <w:r>
        <w:rPr>
          <w:rFonts w:hint="eastAsia" w:eastAsia="宋体" w:cs="宋体"/>
          <w:bCs/>
          <w:color w:val="000000"/>
          <w:sz w:val="24"/>
          <w:szCs w:val="21"/>
        </w:rPr>
        <w:t>基本信息</w:t>
      </w:r>
    </w:p>
    <w:p w14:paraId="3E0C3E26">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质疑投标人：</w:t>
      </w:r>
    </w:p>
    <w:p w14:paraId="76B90E0B">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地址：邮编：</w:t>
      </w:r>
    </w:p>
    <w:p w14:paraId="345CBED2">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联系人：联系电话：</w:t>
      </w:r>
    </w:p>
    <w:p w14:paraId="65115DD2">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授权代表：</w:t>
      </w:r>
    </w:p>
    <w:p w14:paraId="664931D4">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联系电话：</w:t>
      </w:r>
    </w:p>
    <w:p w14:paraId="21098B7A">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地址：邮编：</w:t>
      </w:r>
    </w:p>
    <w:p w14:paraId="06388BA9">
      <w:pPr>
        <w:shd w:val="clear"/>
        <w:spacing w:line="360" w:lineRule="auto"/>
        <w:ind w:firstLine="480"/>
        <w:contextualSpacing/>
        <w:rPr>
          <w:rFonts w:eastAsia="宋体" w:cs="宋体"/>
          <w:bCs/>
          <w:color w:val="000000"/>
          <w:sz w:val="24"/>
          <w:szCs w:val="21"/>
        </w:rPr>
      </w:pPr>
      <w:r>
        <w:rPr>
          <w:rFonts w:hint="eastAsia" w:eastAsia="宋体" w:cs="宋体"/>
          <w:bCs/>
          <w:color w:val="000000"/>
          <w:sz w:val="24"/>
          <w:szCs w:val="21"/>
        </w:rPr>
        <w:t>二、质疑项目基本情况</w:t>
      </w:r>
    </w:p>
    <w:p w14:paraId="425278AF">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质疑项目的名称：</w:t>
      </w:r>
    </w:p>
    <w:p w14:paraId="70ECA471">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质疑项目的编号：包号：</w:t>
      </w:r>
    </w:p>
    <w:p w14:paraId="416D7F35">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lang w:eastAsia="zh-CN"/>
        </w:rPr>
        <w:t>采购人</w:t>
      </w:r>
      <w:r>
        <w:rPr>
          <w:rFonts w:hint="eastAsia" w:eastAsia="宋体" w:cs="宋体"/>
          <w:color w:val="000000"/>
          <w:sz w:val="24"/>
          <w:szCs w:val="21"/>
        </w:rPr>
        <w:t>名称：</w:t>
      </w:r>
    </w:p>
    <w:p w14:paraId="20B5ED59">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招标文件获取日期：</w:t>
      </w:r>
    </w:p>
    <w:p w14:paraId="7E5F21AE">
      <w:pPr>
        <w:shd w:val="clear"/>
        <w:spacing w:line="360" w:lineRule="auto"/>
        <w:ind w:firstLine="480"/>
        <w:contextualSpacing/>
        <w:rPr>
          <w:rFonts w:eastAsia="宋体" w:cs="宋体"/>
          <w:bCs/>
          <w:color w:val="000000"/>
          <w:sz w:val="24"/>
          <w:szCs w:val="21"/>
        </w:rPr>
      </w:pPr>
      <w:r>
        <w:rPr>
          <w:rFonts w:hint="eastAsia" w:eastAsia="宋体" w:cs="宋体"/>
          <w:bCs/>
          <w:color w:val="000000"/>
          <w:sz w:val="24"/>
          <w:szCs w:val="21"/>
        </w:rPr>
        <w:t>三、质疑事项具体内容</w:t>
      </w:r>
    </w:p>
    <w:p w14:paraId="229C12D0">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质疑事项1：</w:t>
      </w:r>
    </w:p>
    <w:p w14:paraId="588A801D">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事实依据：</w:t>
      </w:r>
    </w:p>
    <w:p w14:paraId="5461CE79">
      <w:pPr>
        <w:shd w:val="clear"/>
        <w:spacing w:line="360" w:lineRule="auto"/>
        <w:ind w:firstLine="480"/>
        <w:contextualSpacing/>
        <w:rPr>
          <w:rFonts w:eastAsia="宋体" w:cs="宋体"/>
          <w:color w:val="000000"/>
          <w:sz w:val="24"/>
          <w:szCs w:val="21"/>
        </w:rPr>
      </w:pPr>
    </w:p>
    <w:p w14:paraId="473ACE0D">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法律依据：</w:t>
      </w:r>
    </w:p>
    <w:p w14:paraId="35FF9740">
      <w:pPr>
        <w:shd w:val="clear"/>
        <w:spacing w:line="360" w:lineRule="auto"/>
        <w:ind w:firstLine="480"/>
        <w:contextualSpacing/>
        <w:rPr>
          <w:rFonts w:eastAsia="宋体" w:cs="宋体"/>
          <w:color w:val="000000"/>
          <w:sz w:val="24"/>
          <w:szCs w:val="21"/>
          <w:u w:val="single"/>
        </w:rPr>
      </w:pPr>
    </w:p>
    <w:p w14:paraId="295A3384">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质疑事项2</w:t>
      </w:r>
    </w:p>
    <w:p w14:paraId="04770A73">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w:t>
      </w:r>
    </w:p>
    <w:p w14:paraId="65D899CB">
      <w:pPr>
        <w:shd w:val="clear"/>
        <w:spacing w:line="360" w:lineRule="auto"/>
        <w:ind w:firstLine="480"/>
        <w:contextualSpacing/>
        <w:rPr>
          <w:rFonts w:eastAsia="宋体" w:cs="宋体"/>
          <w:bCs/>
          <w:color w:val="000000"/>
          <w:sz w:val="24"/>
          <w:szCs w:val="21"/>
        </w:rPr>
      </w:pPr>
      <w:r>
        <w:rPr>
          <w:rFonts w:hint="eastAsia" w:eastAsia="宋体" w:cs="宋体"/>
          <w:bCs/>
          <w:color w:val="000000"/>
          <w:sz w:val="24"/>
          <w:szCs w:val="21"/>
        </w:rPr>
        <w:t>四、与质疑事项相关的质疑请求</w:t>
      </w:r>
    </w:p>
    <w:p w14:paraId="4190ED8B">
      <w:pPr>
        <w:shd w:val="clea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请求：</w:t>
      </w:r>
    </w:p>
    <w:p w14:paraId="6FF5BD71">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签字</w:t>
      </w:r>
      <w:r>
        <w:rPr>
          <w:rFonts w:hint="eastAsia" w:eastAsia="宋体" w:cs="宋体"/>
          <w:color w:val="000000"/>
          <w:sz w:val="24"/>
          <w:szCs w:val="21"/>
          <w:lang w:eastAsia="zh-CN"/>
        </w:rPr>
        <w:t>（</w:t>
      </w:r>
      <w:r>
        <w:rPr>
          <w:rFonts w:hint="eastAsia" w:eastAsia="宋体" w:cs="宋体"/>
          <w:color w:val="000000"/>
          <w:sz w:val="24"/>
          <w:szCs w:val="21"/>
        </w:rPr>
        <w:t>签章</w:t>
      </w:r>
      <w:r>
        <w:rPr>
          <w:rFonts w:hint="eastAsia" w:eastAsia="宋体" w:cs="宋体"/>
          <w:color w:val="000000"/>
          <w:sz w:val="24"/>
          <w:szCs w:val="21"/>
          <w:lang w:eastAsia="zh-CN"/>
        </w:rPr>
        <w:t>）</w:t>
      </w:r>
      <w:r>
        <w:rPr>
          <w:rFonts w:hint="eastAsia" w:eastAsia="宋体" w:cs="宋体"/>
          <w:color w:val="000000"/>
          <w:sz w:val="24"/>
          <w:szCs w:val="21"/>
        </w:rPr>
        <w:t xml:space="preserve">：                   公章：                      </w:t>
      </w:r>
    </w:p>
    <w:p w14:paraId="417190FC">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 xml:space="preserve">日期：    </w:t>
      </w:r>
    </w:p>
    <w:p w14:paraId="3CD3F3FB">
      <w:pPr>
        <w:shd w:val="clear"/>
        <w:spacing w:line="360" w:lineRule="auto"/>
        <w:ind w:firstLine="480"/>
        <w:contextualSpacing/>
        <w:rPr>
          <w:rFonts w:eastAsia="宋体" w:cs="宋体"/>
          <w:color w:val="000000"/>
          <w:sz w:val="24"/>
          <w:szCs w:val="21"/>
        </w:rPr>
      </w:pPr>
    </w:p>
    <w:p w14:paraId="2A43B542">
      <w:pPr>
        <w:shd w:val="clear"/>
        <w:spacing w:line="360" w:lineRule="auto"/>
        <w:ind w:firstLine="482"/>
        <w:contextualSpacing/>
        <w:rPr>
          <w:rFonts w:eastAsia="宋体" w:cs="宋体"/>
          <w:b/>
          <w:color w:val="000000"/>
          <w:sz w:val="24"/>
          <w:szCs w:val="21"/>
        </w:rPr>
      </w:pPr>
    </w:p>
    <w:p w14:paraId="028D6CFD">
      <w:pPr>
        <w:shd w:val="clear"/>
        <w:spacing w:line="360" w:lineRule="auto"/>
        <w:ind w:firstLine="482"/>
        <w:contextualSpacing/>
        <w:rPr>
          <w:rFonts w:eastAsia="宋体" w:cs="宋体"/>
          <w:b/>
          <w:color w:val="000000"/>
          <w:sz w:val="24"/>
          <w:szCs w:val="21"/>
        </w:rPr>
      </w:pPr>
    </w:p>
    <w:p w14:paraId="069AC862">
      <w:pPr>
        <w:shd w:val="clear"/>
        <w:spacing w:line="360" w:lineRule="auto"/>
        <w:ind w:firstLine="482"/>
        <w:contextualSpacing/>
        <w:rPr>
          <w:rFonts w:eastAsia="宋体" w:cs="宋体"/>
          <w:b/>
          <w:color w:val="000000"/>
          <w:sz w:val="24"/>
          <w:szCs w:val="21"/>
        </w:rPr>
      </w:pPr>
      <w:r>
        <w:rPr>
          <w:rFonts w:hint="eastAsia" w:eastAsia="宋体" w:cs="宋体"/>
          <w:b/>
          <w:color w:val="000000"/>
          <w:sz w:val="24"/>
          <w:szCs w:val="21"/>
        </w:rPr>
        <w:t>质疑函制作说明：</w:t>
      </w:r>
    </w:p>
    <w:p w14:paraId="7B05F9FE">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1.投标人提出质疑时，应提交质疑函和必要的证明材料。</w:t>
      </w:r>
    </w:p>
    <w:p w14:paraId="2F54846B">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5868D0DD">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3.质疑投标人若对项目的某一分包进行质疑，质疑函中应列明具体分包号。</w:t>
      </w:r>
    </w:p>
    <w:p w14:paraId="48219FE0">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4.质疑函的质疑事项应具体、明确，并有必要的事实依据和法律依据。</w:t>
      </w:r>
    </w:p>
    <w:p w14:paraId="4CFF3C4D">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5.质疑函的质疑请求应与质疑事项相关。</w:t>
      </w:r>
    </w:p>
    <w:p w14:paraId="76B92D56">
      <w:pPr>
        <w:shd w:val="clear"/>
        <w:spacing w:line="360" w:lineRule="auto"/>
        <w:ind w:firstLine="480"/>
        <w:contextualSpacing/>
        <w:rPr>
          <w:rFonts w:eastAsia="宋体" w:cs="宋体"/>
          <w:color w:val="000000"/>
          <w:sz w:val="24"/>
          <w:szCs w:val="21"/>
        </w:rPr>
      </w:pPr>
      <w:r>
        <w:rPr>
          <w:rFonts w:hint="eastAsia" w:eastAsia="宋体" w:cs="宋体"/>
          <w:color w:val="000000"/>
          <w:sz w:val="24"/>
          <w:szCs w:val="21"/>
        </w:rPr>
        <w:t>6.质疑投标人为自然人的，质疑函应由本人签字；质疑投标人为法人或者其他组织的，质疑函应由法定代表人、主要负责人，或者其授权代表签字或者盖章，并加盖公章。</w:t>
      </w:r>
    </w:p>
    <w:p w14:paraId="390D3481">
      <w:pPr>
        <w:shd w:val="clear"/>
        <w:spacing w:line="360" w:lineRule="auto"/>
        <w:contextualSpacing/>
        <w:jc w:val="center"/>
        <w:outlineLvl w:val="0"/>
        <w:rPr>
          <w:rFonts w:eastAsia="宋体" w:cs="宋体"/>
          <w:b/>
          <w:color w:val="000000"/>
          <w:sz w:val="36"/>
          <w:szCs w:val="36"/>
        </w:rPr>
      </w:pPr>
      <w:r>
        <w:rPr>
          <w:rFonts w:hint="eastAsia" w:eastAsia="宋体" w:cs="宋体"/>
          <w:b/>
          <w:color w:val="000000"/>
          <w:sz w:val="24"/>
          <w:szCs w:val="21"/>
        </w:rPr>
        <w:br w:type="page" w:clear="all"/>
      </w:r>
      <w:r>
        <w:rPr>
          <w:rFonts w:hint="eastAsia" w:eastAsia="宋体" w:cs="宋体"/>
          <w:b/>
          <w:color w:val="000000"/>
          <w:sz w:val="36"/>
          <w:szCs w:val="36"/>
        </w:rPr>
        <w:t>第八章  投标文件组成及格式</w:t>
      </w:r>
      <w:bookmarkEnd w:id="14"/>
    </w:p>
    <w:p w14:paraId="4AA400DE">
      <w:pPr>
        <w:shd w:val="clear"/>
        <w:spacing w:line="360" w:lineRule="auto"/>
        <w:ind w:firstLine="482"/>
        <w:contextualSpacing/>
        <w:jc w:val="left"/>
        <w:rPr>
          <w:rFonts w:eastAsia="宋体" w:cs="宋体"/>
          <w:b/>
          <w:color w:val="000000"/>
          <w:sz w:val="24"/>
          <w:szCs w:val="21"/>
        </w:rPr>
      </w:pPr>
    </w:p>
    <w:p w14:paraId="10C233D8">
      <w:pPr>
        <w:shd w:val="clear"/>
        <w:spacing w:line="360" w:lineRule="auto"/>
        <w:ind w:firstLine="482"/>
        <w:contextualSpacing/>
        <w:jc w:val="left"/>
        <w:rPr>
          <w:rFonts w:eastAsia="宋体" w:cs="宋体"/>
          <w:b/>
          <w:color w:val="000000"/>
          <w:sz w:val="24"/>
          <w:szCs w:val="21"/>
        </w:rPr>
      </w:pPr>
      <w:r>
        <w:rPr>
          <w:rFonts w:hint="eastAsia" w:eastAsia="宋体" w:cs="宋体"/>
          <w:b/>
          <w:color w:val="000000"/>
          <w:sz w:val="24"/>
          <w:szCs w:val="21"/>
        </w:rPr>
        <w:t>一、基本目录</w:t>
      </w:r>
    </w:p>
    <w:p w14:paraId="094C7BAA">
      <w:pPr>
        <w:shd w:val="clear"/>
        <w:spacing w:line="360" w:lineRule="auto"/>
        <w:ind w:firstLine="480"/>
        <w:contextualSpacing/>
        <w:rPr>
          <w:rFonts w:hint="eastAsia" w:eastAsia="宋体" w:cs="宋体"/>
          <w:bCs/>
          <w:color w:val="000000"/>
          <w:sz w:val="24"/>
          <w:szCs w:val="24"/>
          <w:lang w:eastAsia="zh-CN"/>
        </w:rPr>
      </w:pPr>
      <w:r>
        <w:rPr>
          <w:rFonts w:hint="eastAsia" w:eastAsia="宋体" w:cs="宋体"/>
          <w:bCs/>
          <w:color w:val="000000"/>
          <w:sz w:val="24"/>
          <w:szCs w:val="24"/>
        </w:rPr>
        <w:t>1.</w:t>
      </w:r>
      <w:r>
        <w:rPr>
          <w:rFonts w:hint="eastAsia" w:eastAsia="宋体" w:cs="宋体"/>
          <w:bCs/>
          <w:color w:val="000000"/>
          <w:sz w:val="24"/>
          <w:szCs w:val="24"/>
          <w:lang w:eastAsia="zh-CN"/>
        </w:rPr>
        <w:t>目录。</w:t>
      </w:r>
    </w:p>
    <w:p w14:paraId="054BAE3A">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2.</w:t>
      </w:r>
      <w:r>
        <w:rPr>
          <w:rFonts w:hint="eastAsia" w:eastAsia="宋体" w:cs="宋体"/>
          <w:bCs/>
          <w:color w:val="000000"/>
          <w:sz w:val="24"/>
          <w:szCs w:val="24"/>
        </w:rPr>
        <w:t>开标一览表（格式参见附件1）。</w:t>
      </w:r>
    </w:p>
    <w:p w14:paraId="4367A8DC">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3</w:t>
      </w:r>
      <w:r>
        <w:rPr>
          <w:rFonts w:hint="eastAsia" w:eastAsia="宋体" w:cs="宋体"/>
          <w:bCs/>
          <w:color w:val="000000"/>
          <w:sz w:val="24"/>
          <w:szCs w:val="24"/>
        </w:rPr>
        <w:t>.分项报价明细表（格式参见附件2）。</w:t>
      </w:r>
    </w:p>
    <w:p w14:paraId="7AC5C5D4">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4</w:t>
      </w:r>
      <w:r>
        <w:rPr>
          <w:rFonts w:hint="eastAsia" w:eastAsia="宋体" w:cs="宋体"/>
          <w:bCs/>
          <w:color w:val="000000"/>
          <w:sz w:val="24"/>
          <w:szCs w:val="24"/>
        </w:rPr>
        <w:t>.供应商信用承诺书（格式参见附件3）。</w:t>
      </w:r>
    </w:p>
    <w:p w14:paraId="104341EA">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5</w:t>
      </w:r>
      <w:r>
        <w:rPr>
          <w:rFonts w:hint="eastAsia" w:eastAsia="宋体" w:cs="宋体"/>
          <w:bCs/>
          <w:color w:val="000000"/>
          <w:sz w:val="24"/>
          <w:szCs w:val="24"/>
        </w:rPr>
        <w:t>.供应商情况表（格式参见附件4）。</w:t>
      </w:r>
    </w:p>
    <w:p w14:paraId="7F44770F">
      <w:pPr>
        <w:shd w:val="clear"/>
        <w:spacing w:line="360" w:lineRule="auto"/>
        <w:ind w:firstLine="482"/>
        <w:contextualSpacing/>
        <w:jc w:val="left"/>
        <w:rPr>
          <w:rFonts w:eastAsia="宋体" w:cs="宋体"/>
          <w:b/>
          <w:color w:val="000000"/>
          <w:sz w:val="24"/>
          <w:szCs w:val="21"/>
        </w:rPr>
      </w:pPr>
      <w:r>
        <w:rPr>
          <w:rFonts w:hint="eastAsia" w:eastAsia="宋体" w:cs="宋体"/>
          <w:b/>
          <w:color w:val="000000"/>
          <w:sz w:val="24"/>
          <w:szCs w:val="21"/>
        </w:rPr>
        <w:t>二、</w:t>
      </w:r>
      <w:r>
        <w:rPr>
          <w:rFonts w:eastAsia="宋体" w:cs="宋体"/>
          <w:b/>
          <w:color w:val="000000"/>
          <w:sz w:val="24"/>
          <w:szCs w:val="21"/>
        </w:rPr>
        <w:t>资格审查文件</w:t>
      </w:r>
    </w:p>
    <w:p w14:paraId="00987E7A">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1.投标人符合《中华人民共和国政府采购法》第二十二条规定条件的声明函（格式参见附件5）。</w:t>
      </w:r>
    </w:p>
    <w:p w14:paraId="7538C3E4">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2.提供法人或者其他组织的营业执照等证明文件，如供应商为自然人的，提供其身份证明。</w:t>
      </w:r>
    </w:p>
    <w:p w14:paraId="3FC20FAF">
      <w:pPr>
        <w:shd w:val="clear"/>
        <w:tabs>
          <w:tab w:val="left" w:pos="1579"/>
        </w:tabs>
        <w:spacing w:line="360" w:lineRule="auto"/>
        <w:ind w:firstLine="480"/>
        <w:contextualSpacing/>
        <w:rPr>
          <w:rFonts w:hint="eastAsia" w:eastAsia="宋体" w:cs="宋体"/>
          <w:bCs/>
          <w:color w:val="000000"/>
          <w:sz w:val="24"/>
          <w:szCs w:val="24"/>
          <w:lang w:eastAsia="zh-CN"/>
        </w:rPr>
      </w:pPr>
      <w:r>
        <w:rPr>
          <w:rFonts w:hint="eastAsia" w:eastAsia="宋体" w:cs="宋体"/>
          <w:bCs/>
          <w:color w:val="000000"/>
          <w:sz w:val="24"/>
          <w:szCs w:val="24"/>
        </w:rPr>
        <w:t>3.</w:t>
      </w:r>
      <w:r>
        <w:rPr>
          <w:rFonts w:hint="eastAsia" w:eastAsia="宋体" w:cs="宋体"/>
          <w:color w:val="000000"/>
          <w:sz w:val="24"/>
          <w:szCs w:val="24"/>
        </w:rPr>
        <w:t>未被“信用中国”网站（www.creditchina.gov.cn）列入失信被执行人、重大税收违法案件当事人名单、政府采购严重失信行为记录名单</w:t>
      </w:r>
      <w:r>
        <w:rPr>
          <w:rFonts w:hint="eastAsia" w:eastAsia="宋体" w:cs="宋体"/>
          <w:color w:val="000000"/>
          <w:sz w:val="24"/>
          <w:szCs w:val="24"/>
          <w:lang w:eastAsia="zh-CN"/>
        </w:rPr>
        <w:t>。</w:t>
      </w:r>
    </w:p>
    <w:p w14:paraId="1DBFFD2A">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4.</w:t>
      </w:r>
      <w:r>
        <w:rPr>
          <w:rFonts w:hint="eastAsia" w:eastAsia="宋体" w:cs="宋体"/>
          <w:bCs/>
          <w:color w:val="000000"/>
          <w:sz w:val="24"/>
          <w:szCs w:val="24"/>
        </w:rPr>
        <w:t>如为法定代表人参加投标的，必须提供法定代表人身份证明及法定代表人本人身份证复印件（格式参见附件6）；如为非法定代表人参加投标的，必须提供法定代表人签字或盖章的授权委托书、法定代表人本人身份证复印件及被授权人本人身份证复印件（格式参见附件7）。</w:t>
      </w:r>
    </w:p>
    <w:p w14:paraId="695FF285">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5</w:t>
      </w:r>
      <w:r>
        <w:rPr>
          <w:rFonts w:hint="eastAsia" w:eastAsia="宋体" w:cs="宋体"/>
          <w:bCs/>
          <w:color w:val="000000"/>
          <w:sz w:val="24"/>
          <w:szCs w:val="24"/>
        </w:rPr>
        <w:t>.拒绝下述供应商参加本次采购活动（提供声明，格式参见附件8）：</w:t>
      </w:r>
    </w:p>
    <w:p w14:paraId="20E7D659">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5</w:t>
      </w:r>
      <w:r>
        <w:rPr>
          <w:rFonts w:hint="eastAsia" w:eastAsia="宋体" w:cs="宋体"/>
          <w:bCs/>
          <w:color w:val="000000"/>
          <w:sz w:val="24"/>
          <w:szCs w:val="24"/>
        </w:rPr>
        <w:t>.1</w:t>
      </w:r>
      <w:r>
        <w:rPr>
          <w:rFonts w:hint="eastAsia" w:eastAsia="宋体" w:cs="宋体"/>
          <w:bCs/>
          <w:color w:val="000000"/>
          <w:sz w:val="24"/>
          <w:szCs w:val="24"/>
          <w:lang w:val="en-US" w:eastAsia="zh-CN"/>
        </w:rPr>
        <w:t xml:space="preserve"> </w:t>
      </w:r>
      <w:r>
        <w:rPr>
          <w:rFonts w:hint="eastAsia" w:eastAsia="宋体" w:cs="宋体"/>
          <w:bCs/>
          <w:color w:val="000000"/>
          <w:sz w:val="24"/>
          <w:szCs w:val="24"/>
        </w:rPr>
        <w:t>供应商单位负责人为同一人或者存在直接控股、管理关系的不同供应商，不得参加同一合同项下的政府采购活动。</w:t>
      </w:r>
    </w:p>
    <w:p w14:paraId="7916DBBC">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5</w:t>
      </w:r>
      <w:r>
        <w:rPr>
          <w:rFonts w:hint="eastAsia" w:eastAsia="宋体" w:cs="宋体"/>
          <w:bCs/>
          <w:color w:val="000000"/>
          <w:sz w:val="24"/>
          <w:szCs w:val="24"/>
        </w:rPr>
        <w:t>.2</w:t>
      </w:r>
      <w:r>
        <w:rPr>
          <w:rFonts w:hint="eastAsia" w:eastAsia="宋体" w:cs="宋体"/>
          <w:bCs/>
          <w:color w:val="000000"/>
          <w:sz w:val="24"/>
          <w:szCs w:val="24"/>
          <w:lang w:val="en-US" w:eastAsia="zh-CN"/>
        </w:rPr>
        <w:t xml:space="preserve"> </w:t>
      </w:r>
      <w:r>
        <w:rPr>
          <w:rFonts w:hint="eastAsia" w:eastAsia="宋体" w:cs="宋体"/>
          <w:bCs/>
          <w:color w:val="000000"/>
          <w:sz w:val="24"/>
          <w:szCs w:val="24"/>
        </w:rPr>
        <w:t>凡为采购项目提供整体设计、规范编制或者项目管理、监理、检测等服务的供应商，不得再参加本项目的采购活动。</w:t>
      </w:r>
    </w:p>
    <w:p w14:paraId="7CF8BF78">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6</w:t>
      </w:r>
      <w:r>
        <w:rPr>
          <w:rFonts w:hint="eastAsia" w:eastAsia="宋体" w:cs="宋体"/>
          <w:bCs/>
          <w:color w:val="000000"/>
          <w:sz w:val="24"/>
          <w:szCs w:val="24"/>
        </w:rPr>
        <w:t>.其它需要提交的资格审查证明材料（以下满足其一即可）（格式参见附件9）：</w:t>
      </w:r>
    </w:p>
    <w:p w14:paraId="6DD64851">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6</w:t>
      </w:r>
      <w:r>
        <w:rPr>
          <w:rFonts w:hint="eastAsia" w:eastAsia="宋体" w:cs="宋体"/>
          <w:bCs/>
          <w:color w:val="000000"/>
          <w:sz w:val="24"/>
          <w:szCs w:val="24"/>
        </w:rPr>
        <w:t>.1</w:t>
      </w:r>
      <w:r>
        <w:rPr>
          <w:rFonts w:hint="eastAsia" w:eastAsia="宋体" w:cs="宋体"/>
          <w:bCs/>
          <w:color w:val="000000"/>
          <w:sz w:val="24"/>
          <w:szCs w:val="24"/>
          <w:lang w:val="en-US" w:eastAsia="zh-CN"/>
        </w:rPr>
        <w:t xml:space="preserve"> </w:t>
      </w:r>
      <w:r>
        <w:rPr>
          <w:rFonts w:hint="eastAsia" w:eastAsia="宋体" w:cs="宋体"/>
          <w:bCs/>
          <w:color w:val="000000"/>
          <w:sz w:val="24"/>
          <w:szCs w:val="24"/>
        </w:rPr>
        <w:t>中小企业声明函（货物）；</w:t>
      </w:r>
    </w:p>
    <w:p w14:paraId="50A130A7">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6</w:t>
      </w:r>
      <w:r>
        <w:rPr>
          <w:rFonts w:hint="eastAsia" w:eastAsia="宋体" w:cs="宋体"/>
          <w:bCs/>
          <w:color w:val="000000"/>
          <w:sz w:val="24"/>
          <w:szCs w:val="24"/>
        </w:rPr>
        <w:t>.2</w:t>
      </w:r>
      <w:r>
        <w:rPr>
          <w:rFonts w:hint="eastAsia" w:eastAsia="宋体" w:cs="宋体"/>
          <w:bCs/>
          <w:color w:val="000000"/>
          <w:sz w:val="24"/>
          <w:szCs w:val="24"/>
          <w:lang w:val="en-US" w:eastAsia="zh-CN"/>
        </w:rPr>
        <w:t xml:space="preserve"> </w:t>
      </w:r>
      <w:r>
        <w:rPr>
          <w:rFonts w:hint="eastAsia" w:eastAsia="宋体" w:cs="宋体"/>
          <w:bCs/>
          <w:color w:val="000000"/>
          <w:sz w:val="24"/>
          <w:szCs w:val="24"/>
        </w:rPr>
        <w:t>残疾人福利性单位声明函；</w:t>
      </w:r>
    </w:p>
    <w:p w14:paraId="52D45FCB">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6</w:t>
      </w:r>
      <w:r>
        <w:rPr>
          <w:rFonts w:hint="eastAsia" w:eastAsia="宋体" w:cs="宋体"/>
          <w:bCs/>
          <w:color w:val="000000"/>
          <w:sz w:val="24"/>
          <w:szCs w:val="24"/>
        </w:rPr>
        <w:t>.3</w:t>
      </w:r>
      <w:r>
        <w:rPr>
          <w:rFonts w:hint="eastAsia" w:eastAsia="宋体" w:cs="宋体"/>
          <w:bCs/>
          <w:color w:val="000000"/>
          <w:sz w:val="24"/>
          <w:szCs w:val="24"/>
          <w:lang w:val="en-US" w:eastAsia="zh-CN"/>
        </w:rPr>
        <w:t xml:space="preserve"> </w:t>
      </w:r>
      <w:r>
        <w:rPr>
          <w:rFonts w:hint="eastAsia" w:eastAsia="宋体" w:cs="宋体"/>
          <w:bCs/>
          <w:color w:val="000000"/>
          <w:sz w:val="24"/>
          <w:szCs w:val="24"/>
        </w:rPr>
        <w:t>监狱企业的证明。</w:t>
      </w:r>
    </w:p>
    <w:p w14:paraId="386BC284">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7</w:t>
      </w:r>
      <w:r>
        <w:rPr>
          <w:rFonts w:hint="eastAsia" w:eastAsia="宋体" w:cs="宋体"/>
          <w:bCs/>
          <w:color w:val="000000"/>
          <w:sz w:val="24"/>
          <w:szCs w:val="24"/>
        </w:rPr>
        <w:t>.供应商认为需提供的其他材料。</w:t>
      </w:r>
    </w:p>
    <w:p w14:paraId="19121EA4">
      <w:pPr>
        <w:shd w:val="clear"/>
        <w:spacing w:line="360" w:lineRule="auto"/>
        <w:ind w:firstLine="482"/>
        <w:contextualSpacing/>
        <w:jc w:val="left"/>
        <w:rPr>
          <w:rFonts w:eastAsia="宋体" w:cs="宋体"/>
          <w:b/>
          <w:color w:val="000000"/>
          <w:sz w:val="24"/>
          <w:szCs w:val="24"/>
          <w:lang w:val="zh-CN"/>
        </w:rPr>
      </w:pPr>
      <w:r>
        <w:rPr>
          <w:rFonts w:hint="eastAsia" w:eastAsia="宋体" w:cs="宋体"/>
          <w:b/>
          <w:color w:val="000000"/>
          <w:sz w:val="24"/>
          <w:szCs w:val="24"/>
          <w:lang w:val="zh-CN"/>
        </w:rPr>
        <w:t>注：以上所有资格要求条件必须在资格审查材料中逐条提供有效证明材料及相关承诺书并加盖公章，否则投标无效。</w:t>
      </w:r>
    </w:p>
    <w:p w14:paraId="672E4780">
      <w:pPr>
        <w:shd w:val="clear"/>
        <w:spacing w:line="360" w:lineRule="auto"/>
        <w:ind w:firstLine="482"/>
        <w:contextualSpacing/>
        <w:jc w:val="left"/>
        <w:rPr>
          <w:rFonts w:eastAsia="宋体" w:cs="宋体"/>
          <w:b/>
          <w:color w:val="000000"/>
          <w:sz w:val="24"/>
          <w:szCs w:val="21"/>
        </w:rPr>
      </w:pPr>
      <w:r>
        <w:rPr>
          <w:rFonts w:hint="eastAsia" w:eastAsia="宋体" w:cs="宋体"/>
          <w:b/>
          <w:color w:val="000000"/>
          <w:sz w:val="24"/>
          <w:szCs w:val="21"/>
        </w:rPr>
        <w:t>三、符合性审查文件</w:t>
      </w:r>
    </w:p>
    <w:p w14:paraId="7579F61A">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1.投标声明函（格式参见附件10）。</w:t>
      </w:r>
    </w:p>
    <w:p w14:paraId="62E34645">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2.投标响应函（格式参见附件11）。</w:t>
      </w:r>
    </w:p>
    <w:p w14:paraId="440BA49A">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3.商务条款正负偏离表（格式参见附件12）。</w:t>
      </w:r>
    </w:p>
    <w:p w14:paraId="0DB67221">
      <w:pPr>
        <w:shd w:val="clear"/>
        <w:spacing w:line="360" w:lineRule="auto"/>
        <w:ind w:firstLine="482"/>
        <w:outlineLvl w:val="1"/>
        <w:rPr>
          <w:rFonts w:eastAsia="宋体" w:cs="宋体"/>
          <w:b/>
          <w:bCs/>
          <w:color w:val="000000"/>
          <w:sz w:val="24"/>
          <w:szCs w:val="24"/>
        </w:rPr>
      </w:pPr>
      <w:r>
        <w:rPr>
          <w:rFonts w:hint="eastAsia" w:eastAsia="宋体" w:cs="宋体"/>
          <w:b/>
          <w:bCs/>
          <w:color w:val="000000"/>
          <w:sz w:val="24"/>
          <w:szCs w:val="24"/>
        </w:rPr>
        <w:t>4.采购需求中必须满足的实质性要求：</w:t>
      </w:r>
    </w:p>
    <w:p w14:paraId="7350A508">
      <w:pPr>
        <w:shd w:val="clear"/>
        <w:spacing w:line="360" w:lineRule="auto"/>
        <w:ind w:firstLine="482"/>
        <w:outlineLvl w:val="1"/>
        <w:rPr>
          <w:rFonts w:hint="eastAsia" w:ascii="宋体" w:hAnsi="宋体" w:eastAsia="宋体" w:cs="宋体"/>
          <w:b/>
          <w:bCs/>
          <w:color w:val="000000"/>
          <w:sz w:val="24"/>
          <w:szCs w:val="24"/>
          <w:shd w:val="clear" w:color="auto" w:fill="00B0F0"/>
        </w:rPr>
      </w:pPr>
      <w:r>
        <w:rPr>
          <w:rFonts w:hint="eastAsia" w:eastAsia="宋体" w:cs="宋体"/>
          <w:b/>
          <w:bCs/>
          <w:color w:val="000000"/>
          <w:sz w:val="24"/>
          <w:szCs w:val="24"/>
        </w:rPr>
        <w:t xml:space="preserve">4.1 </w:t>
      </w:r>
      <w:r>
        <w:rPr>
          <w:rFonts w:hint="eastAsia" w:ascii="宋体" w:hAnsi="宋体" w:eastAsia="宋体" w:cs="宋体"/>
          <w:b/>
          <w:bCs/>
          <w:color w:val="000000"/>
          <w:sz w:val="24"/>
          <w:szCs w:val="24"/>
        </w:rPr>
        <w:t>投标人拟投本项目所有标注“</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”的为设备技术参数须实质性响应本采购文件技术参数要求，不接受负偏离产品应标。提供《</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技术条款响应正负偏离表》</w:t>
      </w:r>
      <w:r>
        <w:rPr>
          <w:rFonts w:hint="eastAsia" w:eastAsia="宋体" w:cs="宋体"/>
          <w:b/>
          <w:bCs/>
          <w:color w:val="000000"/>
          <w:sz w:val="24"/>
          <w:szCs w:val="24"/>
        </w:rPr>
        <w:t>（格式参见附件13）</w:t>
      </w:r>
      <w:r>
        <w:rPr>
          <w:rFonts w:hint="eastAsia" w:ascii="宋体" w:hAnsi="宋体" w:eastAsia="宋体" w:cs="宋体"/>
          <w:b/>
          <w:bCs/>
          <w:color w:val="000000"/>
          <w:sz w:val="24"/>
          <w:szCs w:val="24"/>
        </w:rPr>
        <w:t>，须根据清单中“</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”的技术参数要求逐条进行应答；未提供或有遗漏或有负偏离均视为未实质性响应，作废标处理。对本项目能够作为技术参数证明材料的文件如：</w:t>
      </w:r>
      <w:r>
        <w:rPr>
          <w:rFonts w:hint="eastAsia" w:ascii="宋体" w:hAnsi="宋体" w:eastAsia="宋体" w:cs="宋体"/>
          <w:b/>
          <w:bCs/>
          <w:color w:val="000000"/>
          <w:sz w:val="24"/>
          <w:szCs w:val="24"/>
          <w:lang w:eastAsia="zh-CN"/>
        </w:rPr>
        <w:t>演示视频，</w:t>
      </w:r>
      <w:r>
        <w:rPr>
          <w:rFonts w:hint="eastAsia" w:ascii="宋体" w:hAnsi="宋体" w:eastAsia="宋体" w:cs="宋体"/>
          <w:b/>
          <w:bCs/>
          <w:color w:val="000000"/>
          <w:sz w:val="24"/>
          <w:szCs w:val="24"/>
        </w:rPr>
        <w:t>配置清单、功能界面截图、课程大纲、授课课件、实验手册截图、课程章节内容截图、承诺书等</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并加盖投标人公章。</w:t>
      </w:r>
    </w:p>
    <w:p w14:paraId="63805225">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5.投标人认为需要提交的其他资料。</w:t>
      </w:r>
    </w:p>
    <w:p w14:paraId="4CDC4EAD">
      <w:pPr>
        <w:shd w:val="clear"/>
        <w:spacing w:line="360" w:lineRule="auto"/>
        <w:ind w:firstLine="480"/>
        <w:contextualSpacing/>
        <w:rPr>
          <w:rFonts w:eastAsia="宋体" w:cs="宋体"/>
          <w:b/>
          <w:bCs/>
          <w:color w:val="000000"/>
          <w:sz w:val="24"/>
          <w:szCs w:val="24"/>
        </w:rPr>
      </w:pPr>
      <w:r>
        <w:rPr>
          <w:rFonts w:hint="eastAsia" w:eastAsia="宋体" w:cs="宋体"/>
          <w:b/>
          <w:bCs/>
          <w:color w:val="000000"/>
          <w:sz w:val="24"/>
          <w:szCs w:val="24"/>
        </w:rPr>
        <w:t>四、商务技术标文件</w:t>
      </w:r>
    </w:p>
    <w:p w14:paraId="3AC318A4">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1.评标办法中所涉及的事项需提供的所有资料。</w:t>
      </w:r>
    </w:p>
    <w:p w14:paraId="69952497">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2.项目需求中涉及需要投标人提交的材料。</w:t>
      </w:r>
    </w:p>
    <w:p w14:paraId="19A9ACF8">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3.技术条款响应正负偏离表（格式参见附件14）。</w:t>
      </w:r>
    </w:p>
    <w:p w14:paraId="1D5D6017">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4.招标文件中未涉及的事项，投标人认为需要提交的其他资料。</w:t>
      </w:r>
    </w:p>
    <w:p w14:paraId="223C1C76">
      <w:pPr>
        <w:shd w:val="clear"/>
        <w:spacing w:line="360" w:lineRule="auto"/>
        <w:ind w:firstLine="482"/>
        <w:contextualSpacing/>
        <w:jc w:val="left"/>
        <w:rPr>
          <w:rFonts w:hint="eastAsia" w:eastAsia="宋体" w:cs="宋体"/>
          <w:bCs/>
          <w:color w:val="000000"/>
          <w:sz w:val="24"/>
          <w:szCs w:val="24"/>
        </w:rPr>
      </w:pPr>
      <w:r>
        <w:rPr>
          <w:rFonts w:hint="eastAsia" w:eastAsia="宋体" w:cs="宋体"/>
          <w:bCs/>
          <w:color w:val="000000"/>
          <w:sz w:val="24"/>
          <w:szCs w:val="24"/>
        </w:rPr>
        <w:t>注：为方便评委评审，请投标人按评标办法中所涉及的事项顺序进行编制，可以补充相关材料。</w:t>
      </w:r>
    </w:p>
    <w:p w14:paraId="0ECF5D3A">
      <w:pPr>
        <w:shd w:val="clear"/>
        <w:spacing w:line="360" w:lineRule="auto"/>
        <w:ind w:firstLine="480"/>
        <w:contextualSpacing/>
        <w:rPr>
          <w:rFonts w:hint="eastAsia" w:eastAsia="宋体" w:cs="宋体"/>
          <w:b/>
          <w:bCs/>
          <w:color w:val="000000"/>
          <w:sz w:val="24"/>
          <w:szCs w:val="24"/>
        </w:rPr>
      </w:pPr>
      <w:r>
        <w:rPr>
          <w:rFonts w:hint="eastAsia" w:eastAsia="宋体" w:cs="宋体"/>
          <w:b/>
          <w:bCs/>
          <w:color w:val="000000"/>
          <w:sz w:val="24"/>
          <w:szCs w:val="24"/>
          <w:lang w:val="en-US" w:eastAsia="zh-CN"/>
        </w:rPr>
        <w:t>五、</w:t>
      </w:r>
      <w:r>
        <w:rPr>
          <w:rFonts w:hint="eastAsia" w:eastAsia="宋体" w:cs="宋体"/>
          <w:b/>
          <w:bCs/>
          <w:color w:val="000000"/>
          <w:sz w:val="24"/>
          <w:szCs w:val="24"/>
        </w:rPr>
        <w:t>价格折扣文件格式</w:t>
      </w:r>
    </w:p>
    <w:p w14:paraId="0E53AC41">
      <w:pPr>
        <w:shd w:val="clear"/>
        <w:spacing w:line="360" w:lineRule="auto"/>
        <w:ind w:firstLine="480"/>
        <w:contextualSpacing/>
        <w:rPr>
          <w:rFonts w:hint="eastAsia" w:eastAsia="宋体" w:cs="宋体"/>
          <w:bCs/>
          <w:color w:val="000000"/>
          <w:sz w:val="24"/>
          <w:szCs w:val="24"/>
        </w:rPr>
      </w:pPr>
      <w:r>
        <w:rPr>
          <w:rFonts w:hint="eastAsia" w:eastAsia="宋体" w:cs="宋体"/>
          <w:bCs/>
          <w:color w:val="000000"/>
          <w:sz w:val="24"/>
          <w:szCs w:val="24"/>
          <w:lang w:val="en-US" w:eastAsia="zh-CN"/>
        </w:rPr>
        <w:t>1.</w:t>
      </w:r>
      <w:r>
        <w:rPr>
          <w:rFonts w:hint="eastAsia" w:eastAsia="宋体" w:cs="宋体"/>
          <w:bCs/>
          <w:color w:val="000000"/>
          <w:sz w:val="24"/>
          <w:szCs w:val="24"/>
        </w:rPr>
        <w:t>关于符合本国产品标准的声明函（</w:t>
      </w:r>
      <w:r>
        <w:rPr>
          <w:rFonts w:hint="default" w:ascii="Times New Roman" w:hAnsi="Times New Roman" w:eastAsia="宋体" w:cs="Times New Roman"/>
          <w:bCs/>
          <w:color w:val="auto"/>
          <w:sz w:val="24"/>
          <w:szCs w:val="24"/>
          <w:lang w:val="en-US" w:eastAsia="zh-CN"/>
        </w:rPr>
        <w:t>如有，</w:t>
      </w:r>
      <w:r>
        <w:rPr>
          <w:rFonts w:hint="eastAsia" w:eastAsia="宋体" w:cs="宋体"/>
          <w:bCs/>
          <w:color w:val="000000"/>
          <w:sz w:val="24"/>
          <w:szCs w:val="24"/>
        </w:rPr>
        <w:t>格式参见附件</w:t>
      </w:r>
      <w:r>
        <w:rPr>
          <w:rFonts w:hint="eastAsia" w:eastAsia="宋体" w:cs="宋体"/>
          <w:bCs/>
          <w:color w:val="000000"/>
          <w:sz w:val="24"/>
          <w:szCs w:val="24"/>
          <w:lang w:val="en-US" w:eastAsia="zh-CN"/>
        </w:rPr>
        <w:t>15</w:t>
      </w:r>
      <w:r>
        <w:rPr>
          <w:rFonts w:hint="eastAsia" w:eastAsia="宋体" w:cs="宋体"/>
          <w:bCs/>
          <w:color w:val="000000"/>
          <w:sz w:val="24"/>
          <w:szCs w:val="24"/>
        </w:rPr>
        <w:t>）。</w:t>
      </w:r>
    </w:p>
    <w:p w14:paraId="771CA6FE">
      <w:pPr>
        <w:shd w:val="clear"/>
        <w:spacing w:line="360" w:lineRule="auto"/>
        <w:ind w:firstLine="480"/>
        <w:contextualSpacing/>
        <w:rPr>
          <w:rFonts w:eastAsia="宋体" w:cs="宋体"/>
          <w:bCs/>
          <w:color w:val="000000"/>
          <w:sz w:val="24"/>
          <w:szCs w:val="24"/>
        </w:rPr>
      </w:pPr>
      <w:r>
        <w:rPr>
          <w:rFonts w:hint="eastAsia" w:eastAsia="宋体" w:cs="宋体"/>
          <w:bCs/>
          <w:color w:val="000000"/>
          <w:sz w:val="24"/>
          <w:szCs w:val="24"/>
        </w:rPr>
        <w:t xml:space="preserve">         </w:t>
      </w:r>
    </w:p>
    <w:p w14:paraId="213F4D18">
      <w:pPr>
        <w:shd w:val="clear"/>
        <w:spacing w:line="360" w:lineRule="auto"/>
        <w:rPr>
          <w:rFonts w:eastAsia="宋体" w:cs="宋体"/>
          <w:color w:val="000000"/>
          <w:sz w:val="24"/>
          <w:szCs w:val="24"/>
        </w:rPr>
      </w:pPr>
      <w:r>
        <w:rPr>
          <w:rFonts w:hint="eastAsia" w:eastAsia="宋体" w:cs="宋体"/>
          <w:bCs/>
          <w:color w:val="000000"/>
          <w:sz w:val="24"/>
          <w:szCs w:val="21"/>
        </w:rPr>
        <w:br w:type="page" w:clear="all"/>
      </w:r>
      <w:r>
        <w:rPr>
          <w:rFonts w:hint="eastAsia" w:eastAsia="宋体" w:cs="宋体"/>
          <w:b/>
          <w:bCs/>
          <w:color w:val="000000"/>
          <w:sz w:val="24"/>
          <w:szCs w:val="21"/>
        </w:rPr>
        <w:t>附件1：</w:t>
      </w:r>
    </w:p>
    <w:p w14:paraId="147D5E13">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开标 一 览表</w:t>
      </w:r>
    </w:p>
    <w:p w14:paraId="288EB5E7">
      <w:pPr>
        <w:shd w:val="clear"/>
        <w:rPr>
          <w:rFonts w:hint="eastAsia" w:ascii="宋体" w:hAnsi="宋体" w:eastAsia="宋体" w:cs="宋体"/>
          <w:sz w:val="28"/>
          <w:szCs w:val="28"/>
          <w:u w:val="single"/>
        </w:rPr>
      </w:pPr>
      <w:r>
        <w:rPr>
          <w:rFonts w:hint="eastAsia" w:ascii="宋体" w:hAnsi="宋体" w:eastAsia="宋体" w:cs="宋体"/>
          <w:sz w:val="28"/>
          <w:szCs w:val="28"/>
        </w:rPr>
        <w:t>投标人全称（加盖公章）：</w:t>
      </w:r>
    </w:p>
    <w:p w14:paraId="05E51ED6">
      <w:pPr>
        <w:shd w:val="clear"/>
        <w:rPr>
          <w:rFonts w:hint="eastAsia" w:ascii="宋体" w:hAnsi="宋体" w:eastAsia="宋体" w:cs="宋体"/>
          <w:sz w:val="28"/>
          <w:szCs w:val="28"/>
          <w:u w:val="single"/>
        </w:rPr>
      </w:pPr>
      <w:r>
        <w:rPr>
          <w:rFonts w:hint="eastAsia" w:ascii="宋体" w:hAnsi="宋体" w:eastAsia="宋体" w:cs="宋体"/>
          <w:sz w:val="28"/>
          <w:szCs w:val="28"/>
        </w:rPr>
        <w:t>项目名称：</w:t>
      </w:r>
    </w:p>
    <w:p w14:paraId="41DCA8E5">
      <w:pPr>
        <w:shd w:val="clear"/>
        <w:rPr>
          <w:rFonts w:hint="eastAsia" w:ascii="宋体" w:hAnsi="宋体" w:eastAsia="宋体" w:cs="宋体"/>
          <w:sz w:val="28"/>
          <w:szCs w:val="28"/>
        </w:rPr>
      </w:pPr>
      <w:r>
        <w:rPr>
          <w:rFonts w:hint="eastAsia" w:ascii="宋体" w:hAnsi="宋体" w:eastAsia="宋体" w:cs="宋体"/>
          <w:sz w:val="28"/>
          <w:szCs w:val="28"/>
        </w:rPr>
        <w:t>项目编号：</w:t>
      </w:r>
    </w:p>
    <w:tbl>
      <w:tblPr>
        <w:tblStyle w:val="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5E2A9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4148" w:type="dxa"/>
            <w:vAlign w:val="center"/>
          </w:tcPr>
          <w:p w14:paraId="49483906">
            <w:pPr>
              <w:shd w:val="clear"/>
              <w:jc w:val="center"/>
              <w:rPr>
                <w:rFonts w:hint="eastAsia" w:ascii="宋体" w:hAnsi="宋体" w:eastAsia="宋体" w:cs="宋体"/>
                <w:szCs w:val="22"/>
              </w:rPr>
            </w:pPr>
            <w:r>
              <w:rPr>
                <w:rFonts w:hint="eastAsia" w:ascii="宋体" w:hAnsi="宋体" w:eastAsia="宋体" w:cs="宋体"/>
                <w:sz w:val="28"/>
                <w:szCs w:val="28"/>
              </w:rPr>
              <w:t>投标货物、服务名称</w:t>
            </w:r>
          </w:p>
        </w:tc>
        <w:tc>
          <w:tcPr>
            <w:tcW w:w="4607" w:type="dxa"/>
            <w:vAlign w:val="center"/>
          </w:tcPr>
          <w:p w14:paraId="72C0813B">
            <w:pPr>
              <w:shd w:val="clear"/>
              <w:jc w:val="center"/>
              <w:rPr>
                <w:rFonts w:hint="eastAsia" w:ascii="宋体" w:hAnsi="宋体" w:eastAsia="宋体" w:cs="宋体"/>
                <w:szCs w:val="22"/>
              </w:rPr>
            </w:pPr>
            <w:r>
              <w:rPr>
                <w:rFonts w:hint="eastAsia" w:ascii="宋体" w:hAnsi="宋体" w:eastAsia="宋体" w:cs="宋体"/>
                <w:sz w:val="28"/>
                <w:szCs w:val="28"/>
              </w:rPr>
              <w:t>投标总报价</w:t>
            </w:r>
          </w:p>
        </w:tc>
      </w:tr>
      <w:tr w14:paraId="5A46E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vAlign w:val="center"/>
          </w:tcPr>
          <w:p w14:paraId="23E58B0E">
            <w:pPr>
              <w:shd w:val="clear"/>
              <w:rPr>
                <w:rFonts w:hint="eastAsia" w:ascii="宋体" w:hAnsi="宋体" w:eastAsia="宋体" w:cs="宋体"/>
                <w:szCs w:val="22"/>
              </w:rPr>
            </w:pPr>
          </w:p>
        </w:tc>
        <w:tc>
          <w:tcPr>
            <w:tcW w:w="4607" w:type="dxa"/>
            <w:vAlign w:val="center"/>
          </w:tcPr>
          <w:p w14:paraId="38145D9F">
            <w:pPr>
              <w:shd w:val="clear"/>
              <w:rPr>
                <w:rFonts w:hint="eastAsia" w:ascii="宋体" w:hAnsi="宋体" w:eastAsia="宋体" w:cs="宋体"/>
                <w:sz w:val="28"/>
                <w:szCs w:val="28"/>
              </w:rPr>
            </w:pPr>
            <w:r>
              <w:rPr>
                <w:rFonts w:hint="eastAsia" w:ascii="宋体" w:hAnsi="宋体" w:eastAsia="宋体" w:cs="宋体"/>
                <w:sz w:val="28"/>
                <w:szCs w:val="28"/>
              </w:rPr>
              <w:t>大写：</w:t>
            </w:r>
          </w:p>
          <w:p w14:paraId="005865D2">
            <w:pPr>
              <w:shd w:val="clear"/>
              <w:rPr>
                <w:rFonts w:hint="eastAsia" w:ascii="宋体" w:hAnsi="宋体" w:eastAsia="宋体" w:cs="宋体"/>
                <w:szCs w:val="22"/>
                <w:u w:val="single"/>
              </w:rPr>
            </w:pPr>
            <w:r>
              <w:rPr>
                <w:rFonts w:hint="eastAsia" w:ascii="宋体" w:hAnsi="宋体" w:eastAsia="宋体" w:cs="宋体"/>
                <w:sz w:val="28"/>
                <w:szCs w:val="28"/>
              </w:rPr>
              <w:t>小写：元（人民币）</w:t>
            </w:r>
          </w:p>
        </w:tc>
      </w:tr>
    </w:tbl>
    <w:p w14:paraId="6C22B647">
      <w:pPr>
        <w:shd w:val="clear"/>
        <w:spacing w:line="360" w:lineRule="auto"/>
        <w:rPr>
          <w:rFonts w:hint="eastAsia" w:ascii="宋体" w:hAnsi="宋体" w:eastAsia="宋体" w:cs="宋体"/>
          <w:sz w:val="28"/>
          <w:szCs w:val="28"/>
        </w:rPr>
      </w:pPr>
      <w:r>
        <w:rPr>
          <w:rFonts w:hint="eastAsia" w:ascii="宋体" w:hAnsi="宋体" w:eastAsia="宋体" w:cs="宋体"/>
          <w:sz w:val="28"/>
          <w:szCs w:val="28"/>
        </w:rPr>
        <w:t>日期：</w:t>
      </w:r>
    </w:p>
    <w:p w14:paraId="0AB7BD94">
      <w:pPr>
        <w:shd w:val="clear"/>
        <w:spacing w:line="360" w:lineRule="auto"/>
        <w:rPr>
          <w:rFonts w:hint="eastAsia" w:ascii="宋体" w:hAnsi="宋体" w:eastAsia="宋体" w:cs="宋体"/>
          <w:sz w:val="28"/>
          <w:szCs w:val="28"/>
        </w:rPr>
      </w:pPr>
      <w:r>
        <w:rPr>
          <w:rFonts w:hint="eastAsia" w:ascii="宋体" w:hAnsi="宋体" w:eastAsia="宋体" w:cs="宋体"/>
          <w:sz w:val="28"/>
          <w:szCs w:val="28"/>
        </w:rPr>
        <w:t>填写说明：</w:t>
      </w:r>
    </w:p>
    <w:p w14:paraId="45F08CF0">
      <w:pPr>
        <w:shd w:val="clear"/>
        <w:spacing w:line="360" w:lineRule="auto"/>
        <w:rPr>
          <w:rFonts w:hint="eastAsia" w:ascii="宋体" w:hAnsi="宋体" w:eastAsia="宋体" w:cs="宋体"/>
          <w:sz w:val="28"/>
          <w:szCs w:val="28"/>
        </w:rPr>
      </w:pPr>
      <w:r>
        <w:rPr>
          <w:rFonts w:hint="eastAsia" w:ascii="宋体" w:hAnsi="宋体" w:eastAsia="宋体" w:cs="宋体"/>
          <w:sz w:val="28"/>
          <w:szCs w:val="28"/>
        </w:rPr>
        <w:t>1.开标一览表必须加盖投标单位公章（复印件无效）。</w:t>
      </w:r>
    </w:p>
    <w:p w14:paraId="385BB98A">
      <w:pPr>
        <w:shd w:val="clear"/>
        <w:spacing w:line="360" w:lineRule="auto"/>
        <w:rPr>
          <w:rFonts w:hint="eastAsia" w:ascii="宋体" w:hAnsi="宋体" w:eastAsia="宋体" w:cs="宋体"/>
          <w:sz w:val="28"/>
          <w:szCs w:val="28"/>
        </w:rPr>
      </w:pPr>
      <w:r>
        <w:rPr>
          <w:rFonts w:hint="eastAsia" w:ascii="宋体" w:hAnsi="宋体" w:eastAsia="宋体" w:cs="宋体"/>
          <w:sz w:val="28"/>
          <w:szCs w:val="28"/>
        </w:rPr>
        <w:t>2.如有分包，投标人投任何一个包的标的，都需单独填写开标一览表。</w:t>
      </w:r>
    </w:p>
    <w:p w14:paraId="31E9C19E">
      <w:pPr>
        <w:shd w:val="clear"/>
        <w:spacing w:line="360" w:lineRule="auto"/>
        <w:jc w:val="center"/>
        <w:outlineLvl w:val="3"/>
        <w:rPr>
          <w:rFonts w:eastAsia="宋体" w:cs="宋体"/>
          <w:b/>
          <w:color w:val="000000"/>
        </w:rPr>
      </w:pPr>
      <w:r>
        <w:rPr>
          <w:rFonts w:eastAsia="宋体" w:cs="宋体"/>
          <w:b/>
          <w:color w:val="000000"/>
        </w:rPr>
        <w:br w:type="page" w:clear="all"/>
      </w:r>
    </w:p>
    <w:p w14:paraId="6FB5A61C">
      <w:pPr>
        <w:shd w:val="clear"/>
        <w:spacing w:line="360" w:lineRule="auto"/>
        <w:jc w:val="left"/>
        <w:outlineLvl w:val="3"/>
        <w:rPr>
          <w:rFonts w:eastAsia="宋体" w:cs="宋体"/>
          <w:b/>
          <w:bCs/>
          <w:color w:val="000000"/>
          <w:sz w:val="28"/>
          <w:szCs w:val="28"/>
        </w:rPr>
      </w:pPr>
      <w:r>
        <w:rPr>
          <w:rFonts w:hint="eastAsia" w:eastAsia="宋体" w:cs="宋体"/>
          <w:b/>
          <w:bCs/>
          <w:color w:val="000000"/>
          <w:sz w:val="24"/>
          <w:szCs w:val="21"/>
        </w:rPr>
        <w:t>附件2：</w:t>
      </w:r>
    </w:p>
    <w:p w14:paraId="26B2669A">
      <w:pPr>
        <w:shd w:val="clear" w:color="auto"/>
        <w:spacing w:line="360" w:lineRule="auto"/>
        <w:jc w:val="center"/>
        <w:outlineLvl w:val="3"/>
        <w:rPr>
          <w:rFonts w:eastAsia="宋体" w:cs="宋体"/>
          <w:b/>
          <w:bCs/>
          <w:color w:val="000000"/>
          <w:sz w:val="28"/>
          <w:szCs w:val="28"/>
          <w:shd w:val="clear" w:color="auto" w:fill="00B0F0"/>
        </w:rPr>
      </w:pPr>
      <w:r>
        <w:rPr>
          <w:rFonts w:hint="eastAsia" w:eastAsia="宋体" w:cs="宋体"/>
          <w:b/>
          <w:bCs/>
          <w:color w:val="000000"/>
          <w:sz w:val="28"/>
          <w:szCs w:val="28"/>
        </w:rPr>
        <w:t>分项报价明细表</w:t>
      </w:r>
    </w:p>
    <w:p w14:paraId="2516E11D">
      <w:pPr>
        <w:shd w:val="clear" w:color="auto"/>
        <w:rPr>
          <w:rFonts w:hint="eastAsia" w:ascii="宋体" w:hAnsi="宋体" w:eastAsia="宋体" w:cs="宋体"/>
          <w:sz w:val="24"/>
          <w:szCs w:val="24"/>
          <w:u w:val="single"/>
        </w:rPr>
      </w:pPr>
      <w:r>
        <w:rPr>
          <w:rFonts w:hint="eastAsia" w:ascii="宋体" w:hAnsi="宋体" w:eastAsia="宋体" w:cs="宋体"/>
          <w:sz w:val="24"/>
          <w:szCs w:val="24"/>
        </w:rPr>
        <w:t>项目名称：</w:t>
      </w:r>
    </w:p>
    <w:p w14:paraId="79C6CDBA">
      <w:pPr>
        <w:shd w:val="clear" w:color="auto"/>
        <w:snapToGrid w:val="0"/>
        <w:spacing w:line="360" w:lineRule="auto"/>
        <w:jc w:val="left"/>
        <w:outlineLvl w:val="4"/>
        <w:rPr>
          <w:rFonts w:eastAsia="宋体" w:cs="宋体"/>
          <w:b/>
          <w:bCs/>
          <w:color w:val="000000"/>
          <w:sz w:val="28"/>
          <w:szCs w:val="28"/>
          <w:shd w:val="clear" w:color="auto" w:fill="00B0F0"/>
          <w:lang w:val="zh-CN"/>
        </w:rPr>
      </w:pPr>
      <w:r>
        <w:rPr>
          <w:rFonts w:hint="eastAsia" w:ascii="宋体" w:hAnsi="宋体" w:eastAsia="宋体" w:cs="宋体"/>
          <w:sz w:val="24"/>
          <w:szCs w:val="24"/>
        </w:rPr>
        <w:t>项目编号：</w:t>
      </w:r>
    </w:p>
    <w:tbl>
      <w:tblPr>
        <w:tblStyle w:val="8"/>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2817"/>
        <w:gridCol w:w="1219"/>
        <w:gridCol w:w="1108"/>
        <w:gridCol w:w="1108"/>
        <w:gridCol w:w="1108"/>
        <w:gridCol w:w="1110"/>
      </w:tblGrid>
      <w:tr w14:paraId="3600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665" w:type="dxa"/>
            <w:vAlign w:val="center"/>
          </w:tcPr>
          <w:p w14:paraId="5ACF619D">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817" w:type="dxa"/>
            <w:vAlign w:val="center"/>
          </w:tcPr>
          <w:p w14:paraId="60E0A66A">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设备名称</w:t>
            </w:r>
          </w:p>
        </w:tc>
        <w:tc>
          <w:tcPr>
            <w:tcW w:w="1219" w:type="dxa"/>
            <w:vAlign w:val="center"/>
          </w:tcPr>
          <w:p w14:paraId="255D1D4E">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规格型号</w:t>
            </w:r>
          </w:p>
        </w:tc>
        <w:tc>
          <w:tcPr>
            <w:tcW w:w="1108" w:type="dxa"/>
            <w:shd w:val="clear" w:color="auto" w:fill="auto"/>
            <w:vAlign w:val="center"/>
          </w:tcPr>
          <w:p w14:paraId="003A094A">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108" w:type="dxa"/>
            <w:shd w:val="clear" w:color="auto" w:fill="auto"/>
            <w:vAlign w:val="center"/>
          </w:tcPr>
          <w:p w14:paraId="4D830817">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单位</w:t>
            </w:r>
          </w:p>
        </w:tc>
        <w:tc>
          <w:tcPr>
            <w:tcW w:w="1108" w:type="dxa"/>
            <w:vAlign w:val="center"/>
          </w:tcPr>
          <w:p w14:paraId="36DA3AA4">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单价</w:t>
            </w:r>
          </w:p>
          <w:p w14:paraId="6D087719">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（元）</w:t>
            </w:r>
          </w:p>
        </w:tc>
        <w:tc>
          <w:tcPr>
            <w:tcW w:w="1110" w:type="dxa"/>
            <w:vAlign w:val="center"/>
          </w:tcPr>
          <w:p w14:paraId="78CDEBE5">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合价</w:t>
            </w:r>
          </w:p>
          <w:p w14:paraId="0EDFAD1A">
            <w:pPr>
              <w:widowControl/>
              <w:shd w:val="clear"/>
              <w:adjustRightInd w:val="0"/>
              <w:snapToGrid w:val="0"/>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（元）</w:t>
            </w:r>
          </w:p>
        </w:tc>
      </w:tr>
      <w:tr w14:paraId="0DC02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65" w:type="dxa"/>
            <w:vAlign w:val="center"/>
          </w:tcPr>
          <w:p w14:paraId="48F449DB">
            <w:pPr>
              <w:widowControl/>
              <w:shd w:val="clear"/>
              <w:adjustRightInd w:val="0"/>
              <w:snapToGrid w:val="0"/>
              <w:spacing w:line="28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2817" w:type="dxa"/>
            <w:vAlign w:val="center"/>
          </w:tcPr>
          <w:p w14:paraId="5EC2368A">
            <w:pPr>
              <w:widowControl/>
              <w:shd w:val="clear"/>
              <w:adjustRightInd w:val="0"/>
              <w:snapToGrid w:val="0"/>
              <w:spacing w:line="280" w:lineRule="exact"/>
              <w:jc w:val="left"/>
              <w:textAlignment w:val="center"/>
              <w:rPr>
                <w:rFonts w:hint="eastAsia" w:ascii="宋体" w:hAnsi="宋体" w:eastAsia="宋体" w:cs="宋体"/>
                <w:sz w:val="24"/>
                <w:szCs w:val="24"/>
              </w:rPr>
            </w:pPr>
            <w:r>
              <w:rPr>
                <w:rFonts w:hint="eastAsia" w:ascii="宋体" w:hAnsi="宋体" w:eastAsia="宋体" w:cs="宋体"/>
                <w:color w:val="000000"/>
                <w:sz w:val="24"/>
                <w:szCs w:val="24"/>
                <w:lang w:bidi="ar"/>
              </w:rPr>
              <w:t>智慧船舶网络安全实践系统</w:t>
            </w:r>
          </w:p>
        </w:tc>
        <w:tc>
          <w:tcPr>
            <w:tcW w:w="1219" w:type="dxa"/>
            <w:vAlign w:val="center"/>
          </w:tcPr>
          <w:p w14:paraId="5BB3401F">
            <w:pPr>
              <w:widowControl/>
              <w:shd w:val="clear"/>
              <w:adjustRightInd w:val="0"/>
              <w:snapToGrid w:val="0"/>
              <w:spacing w:line="280" w:lineRule="exact"/>
              <w:jc w:val="center"/>
              <w:rPr>
                <w:rFonts w:hint="eastAsia" w:ascii="宋体" w:hAnsi="宋体" w:eastAsia="宋体" w:cs="宋体"/>
                <w:sz w:val="24"/>
                <w:szCs w:val="24"/>
              </w:rPr>
            </w:pPr>
          </w:p>
        </w:tc>
        <w:tc>
          <w:tcPr>
            <w:tcW w:w="1108" w:type="dxa"/>
            <w:shd w:val="clear" w:color="auto" w:fill="auto"/>
            <w:vAlign w:val="center"/>
          </w:tcPr>
          <w:p w14:paraId="06AFC5FF">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108" w:type="dxa"/>
            <w:shd w:val="clear" w:color="auto" w:fill="auto"/>
            <w:vAlign w:val="center"/>
          </w:tcPr>
          <w:p w14:paraId="204B8E39">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108" w:type="dxa"/>
            <w:vAlign w:val="center"/>
          </w:tcPr>
          <w:p w14:paraId="0D9BD83B">
            <w:pPr>
              <w:widowControl/>
              <w:shd w:val="clear"/>
              <w:adjustRightInd w:val="0"/>
              <w:snapToGrid w:val="0"/>
              <w:spacing w:line="280" w:lineRule="exact"/>
              <w:jc w:val="center"/>
              <w:rPr>
                <w:rFonts w:hint="eastAsia" w:ascii="宋体" w:hAnsi="宋体" w:eastAsia="宋体" w:cs="宋体"/>
                <w:sz w:val="24"/>
                <w:szCs w:val="24"/>
              </w:rPr>
            </w:pPr>
          </w:p>
        </w:tc>
        <w:tc>
          <w:tcPr>
            <w:tcW w:w="1110" w:type="dxa"/>
            <w:vAlign w:val="center"/>
          </w:tcPr>
          <w:p w14:paraId="2EC319C4">
            <w:pPr>
              <w:widowControl/>
              <w:shd w:val="clear"/>
              <w:adjustRightInd w:val="0"/>
              <w:snapToGrid w:val="0"/>
              <w:spacing w:line="280" w:lineRule="exact"/>
              <w:jc w:val="center"/>
              <w:rPr>
                <w:rFonts w:hint="eastAsia" w:ascii="宋体" w:hAnsi="宋体" w:eastAsia="宋体" w:cs="宋体"/>
                <w:sz w:val="24"/>
                <w:szCs w:val="24"/>
              </w:rPr>
            </w:pPr>
          </w:p>
        </w:tc>
      </w:tr>
      <w:tr w14:paraId="35B2C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5" w:type="dxa"/>
            <w:vAlign w:val="center"/>
          </w:tcPr>
          <w:p w14:paraId="20D30378">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2817" w:type="dxa"/>
            <w:vAlign w:val="center"/>
          </w:tcPr>
          <w:p w14:paraId="5A38DFFE">
            <w:pPr>
              <w:widowControl/>
              <w:shd w:val="clear"/>
              <w:adjustRightInd w:val="0"/>
              <w:snapToGrid w:val="0"/>
              <w:spacing w:line="280" w:lineRule="exact"/>
              <w:jc w:val="left"/>
              <w:rPr>
                <w:rFonts w:hint="eastAsia" w:ascii="宋体" w:hAnsi="宋体" w:eastAsia="宋体" w:cs="宋体"/>
                <w:sz w:val="24"/>
                <w:szCs w:val="24"/>
              </w:rPr>
            </w:pPr>
            <w:r>
              <w:rPr>
                <w:rFonts w:hint="eastAsia" w:ascii="宋体" w:hAnsi="宋体" w:eastAsia="宋体" w:cs="宋体"/>
                <w:sz w:val="24"/>
                <w:szCs w:val="24"/>
              </w:rPr>
              <w:t>《网络设备配置与安全》</w:t>
            </w:r>
          </w:p>
        </w:tc>
        <w:tc>
          <w:tcPr>
            <w:tcW w:w="1219" w:type="dxa"/>
            <w:vAlign w:val="center"/>
          </w:tcPr>
          <w:p w14:paraId="52F60577">
            <w:pPr>
              <w:widowControl/>
              <w:shd w:val="clear"/>
              <w:adjustRightInd w:val="0"/>
              <w:snapToGrid w:val="0"/>
              <w:spacing w:line="280" w:lineRule="exact"/>
              <w:jc w:val="center"/>
              <w:rPr>
                <w:rFonts w:hint="eastAsia" w:ascii="宋体" w:hAnsi="宋体" w:eastAsia="宋体" w:cs="宋体"/>
                <w:color w:val="000000"/>
                <w:sz w:val="24"/>
                <w:szCs w:val="24"/>
                <w:lang w:bidi="ar"/>
              </w:rPr>
            </w:pPr>
          </w:p>
        </w:tc>
        <w:tc>
          <w:tcPr>
            <w:tcW w:w="1108" w:type="dxa"/>
            <w:shd w:val="clear" w:color="auto" w:fill="auto"/>
            <w:vAlign w:val="center"/>
          </w:tcPr>
          <w:p w14:paraId="433C792D">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108" w:type="dxa"/>
            <w:shd w:val="clear" w:color="auto" w:fill="auto"/>
            <w:vAlign w:val="center"/>
          </w:tcPr>
          <w:p w14:paraId="0201901D">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color w:val="000000"/>
                <w:sz w:val="24"/>
                <w:szCs w:val="24"/>
                <w:lang w:bidi="ar"/>
              </w:rPr>
              <w:t>套</w:t>
            </w:r>
          </w:p>
        </w:tc>
        <w:tc>
          <w:tcPr>
            <w:tcW w:w="1108" w:type="dxa"/>
            <w:vAlign w:val="center"/>
          </w:tcPr>
          <w:p w14:paraId="11025712">
            <w:pPr>
              <w:widowControl/>
              <w:shd w:val="clear"/>
              <w:adjustRightInd w:val="0"/>
              <w:snapToGrid w:val="0"/>
              <w:spacing w:line="280" w:lineRule="exact"/>
              <w:jc w:val="center"/>
              <w:rPr>
                <w:rFonts w:hint="eastAsia" w:ascii="宋体" w:hAnsi="宋体" w:eastAsia="宋体" w:cs="宋体"/>
                <w:color w:val="000000"/>
                <w:sz w:val="24"/>
                <w:szCs w:val="24"/>
                <w:lang w:bidi="ar"/>
              </w:rPr>
            </w:pPr>
          </w:p>
        </w:tc>
        <w:tc>
          <w:tcPr>
            <w:tcW w:w="1110" w:type="dxa"/>
            <w:vAlign w:val="center"/>
          </w:tcPr>
          <w:p w14:paraId="21D2F94D">
            <w:pPr>
              <w:widowControl/>
              <w:shd w:val="clear"/>
              <w:adjustRightInd w:val="0"/>
              <w:snapToGrid w:val="0"/>
              <w:spacing w:line="280" w:lineRule="exact"/>
              <w:jc w:val="center"/>
              <w:rPr>
                <w:rFonts w:hint="eastAsia" w:ascii="宋体" w:hAnsi="宋体" w:eastAsia="宋体" w:cs="宋体"/>
                <w:color w:val="000000"/>
                <w:sz w:val="24"/>
                <w:szCs w:val="24"/>
                <w:lang w:bidi="ar"/>
              </w:rPr>
            </w:pPr>
          </w:p>
        </w:tc>
      </w:tr>
      <w:tr w14:paraId="7D82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65" w:type="dxa"/>
            <w:vAlign w:val="center"/>
          </w:tcPr>
          <w:p w14:paraId="275A2A93">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2817" w:type="dxa"/>
            <w:vAlign w:val="center"/>
          </w:tcPr>
          <w:p w14:paraId="4920183A">
            <w:pPr>
              <w:widowControl/>
              <w:shd w:val="clear"/>
              <w:adjustRightInd w:val="0"/>
              <w:snapToGrid w:val="0"/>
              <w:spacing w:line="280" w:lineRule="exact"/>
              <w:jc w:val="left"/>
              <w:rPr>
                <w:rFonts w:hint="eastAsia" w:ascii="宋体" w:hAnsi="宋体" w:eastAsia="宋体" w:cs="宋体"/>
                <w:sz w:val="24"/>
                <w:szCs w:val="24"/>
              </w:rPr>
            </w:pPr>
            <w:r>
              <w:rPr>
                <w:rFonts w:hint="eastAsia" w:ascii="宋体" w:hAnsi="宋体" w:eastAsia="宋体" w:cs="宋体"/>
                <w:sz w:val="24"/>
                <w:szCs w:val="24"/>
              </w:rPr>
              <w:t>船舶安全综合实训平台</w:t>
            </w:r>
          </w:p>
        </w:tc>
        <w:tc>
          <w:tcPr>
            <w:tcW w:w="1219" w:type="dxa"/>
            <w:vAlign w:val="center"/>
          </w:tcPr>
          <w:p w14:paraId="6F4E4634">
            <w:pPr>
              <w:widowControl/>
              <w:shd w:val="clear"/>
              <w:adjustRightInd w:val="0"/>
              <w:snapToGrid w:val="0"/>
              <w:spacing w:line="280" w:lineRule="exact"/>
              <w:jc w:val="center"/>
              <w:rPr>
                <w:rFonts w:hint="eastAsia" w:ascii="宋体" w:hAnsi="宋体" w:eastAsia="宋体" w:cs="宋体"/>
                <w:sz w:val="24"/>
                <w:szCs w:val="24"/>
              </w:rPr>
            </w:pPr>
          </w:p>
        </w:tc>
        <w:tc>
          <w:tcPr>
            <w:tcW w:w="1108" w:type="dxa"/>
            <w:shd w:val="clear" w:color="auto" w:fill="auto"/>
            <w:vAlign w:val="center"/>
          </w:tcPr>
          <w:p w14:paraId="28E830A1">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20</w:t>
            </w:r>
          </w:p>
        </w:tc>
        <w:tc>
          <w:tcPr>
            <w:tcW w:w="1108" w:type="dxa"/>
            <w:shd w:val="clear" w:color="auto" w:fill="auto"/>
            <w:vAlign w:val="center"/>
          </w:tcPr>
          <w:p w14:paraId="6E9E4E27">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108" w:type="dxa"/>
            <w:vAlign w:val="center"/>
          </w:tcPr>
          <w:p w14:paraId="4A291AD0">
            <w:pPr>
              <w:widowControl/>
              <w:shd w:val="clear"/>
              <w:adjustRightInd w:val="0"/>
              <w:snapToGrid w:val="0"/>
              <w:spacing w:line="280" w:lineRule="exact"/>
              <w:jc w:val="center"/>
              <w:rPr>
                <w:rFonts w:hint="eastAsia" w:ascii="宋体" w:hAnsi="宋体" w:eastAsia="宋体" w:cs="宋体"/>
                <w:sz w:val="24"/>
                <w:szCs w:val="24"/>
              </w:rPr>
            </w:pPr>
          </w:p>
        </w:tc>
        <w:tc>
          <w:tcPr>
            <w:tcW w:w="1110" w:type="dxa"/>
            <w:vAlign w:val="center"/>
          </w:tcPr>
          <w:p w14:paraId="25F68617">
            <w:pPr>
              <w:widowControl/>
              <w:shd w:val="clear"/>
              <w:adjustRightInd w:val="0"/>
              <w:snapToGrid w:val="0"/>
              <w:spacing w:line="280" w:lineRule="exact"/>
              <w:jc w:val="center"/>
              <w:rPr>
                <w:rFonts w:hint="eastAsia" w:ascii="宋体" w:hAnsi="宋体" w:eastAsia="宋体" w:cs="宋体"/>
                <w:sz w:val="24"/>
                <w:szCs w:val="24"/>
              </w:rPr>
            </w:pPr>
          </w:p>
        </w:tc>
      </w:tr>
      <w:tr w14:paraId="1B68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65" w:type="dxa"/>
            <w:vAlign w:val="center"/>
          </w:tcPr>
          <w:p w14:paraId="21416A51">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2817" w:type="dxa"/>
            <w:vAlign w:val="center"/>
          </w:tcPr>
          <w:p w14:paraId="6598706D">
            <w:pPr>
              <w:widowControl/>
              <w:shd w:val="clear"/>
              <w:adjustRightInd w:val="0"/>
              <w:snapToGrid w:val="0"/>
              <w:spacing w:line="280" w:lineRule="exact"/>
              <w:jc w:val="left"/>
              <w:rPr>
                <w:rFonts w:hint="eastAsia" w:ascii="宋体" w:hAnsi="宋体" w:eastAsia="宋体" w:cs="宋体"/>
                <w:sz w:val="24"/>
                <w:szCs w:val="24"/>
              </w:rPr>
            </w:pPr>
            <w:r>
              <w:rPr>
                <w:rFonts w:hint="eastAsia" w:ascii="宋体" w:hAnsi="宋体" w:eastAsia="宋体" w:cs="宋体"/>
                <w:sz w:val="24"/>
                <w:szCs w:val="24"/>
              </w:rPr>
              <w:t>互联接入交换机</w:t>
            </w:r>
          </w:p>
        </w:tc>
        <w:tc>
          <w:tcPr>
            <w:tcW w:w="1219" w:type="dxa"/>
            <w:vAlign w:val="center"/>
          </w:tcPr>
          <w:p w14:paraId="241DFEFC">
            <w:pPr>
              <w:widowControl/>
              <w:shd w:val="clear"/>
              <w:adjustRightInd w:val="0"/>
              <w:snapToGrid w:val="0"/>
              <w:spacing w:line="280" w:lineRule="exact"/>
              <w:jc w:val="center"/>
              <w:rPr>
                <w:rFonts w:hint="eastAsia" w:ascii="宋体" w:hAnsi="宋体" w:eastAsia="宋体" w:cs="宋体"/>
                <w:sz w:val="24"/>
                <w:szCs w:val="24"/>
              </w:rPr>
            </w:pPr>
          </w:p>
        </w:tc>
        <w:tc>
          <w:tcPr>
            <w:tcW w:w="1108" w:type="dxa"/>
            <w:shd w:val="clear" w:color="auto" w:fill="auto"/>
            <w:vAlign w:val="center"/>
          </w:tcPr>
          <w:p w14:paraId="2DCBC6EA">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108" w:type="dxa"/>
            <w:shd w:val="clear" w:color="auto" w:fill="auto"/>
            <w:vAlign w:val="center"/>
          </w:tcPr>
          <w:p w14:paraId="7D9ACFC7">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台</w:t>
            </w:r>
          </w:p>
        </w:tc>
        <w:tc>
          <w:tcPr>
            <w:tcW w:w="1108" w:type="dxa"/>
            <w:vAlign w:val="center"/>
          </w:tcPr>
          <w:p w14:paraId="3721FE27">
            <w:pPr>
              <w:widowControl/>
              <w:shd w:val="clear"/>
              <w:adjustRightInd w:val="0"/>
              <w:snapToGrid w:val="0"/>
              <w:spacing w:line="280" w:lineRule="exact"/>
              <w:jc w:val="center"/>
              <w:rPr>
                <w:rFonts w:hint="eastAsia" w:ascii="宋体" w:hAnsi="宋体" w:eastAsia="宋体" w:cs="宋体"/>
                <w:sz w:val="24"/>
                <w:szCs w:val="24"/>
              </w:rPr>
            </w:pPr>
          </w:p>
        </w:tc>
        <w:tc>
          <w:tcPr>
            <w:tcW w:w="1110" w:type="dxa"/>
            <w:vAlign w:val="center"/>
          </w:tcPr>
          <w:p w14:paraId="2E1FF78F">
            <w:pPr>
              <w:widowControl/>
              <w:shd w:val="clear"/>
              <w:adjustRightInd w:val="0"/>
              <w:snapToGrid w:val="0"/>
              <w:spacing w:line="280" w:lineRule="exact"/>
              <w:jc w:val="center"/>
              <w:rPr>
                <w:rFonts w:hint="eastAsia" w:ascii="宋体" w:hAnsi="宋体" w:eastAsia="宋体" w:cs="宋体"/>
                <w:sz w:val="24"/>
                <w:szCs w:val="24"/>
              </w:rPr>
            </w:pPr>
          </w:p>
        </w:tc>
      </w:tr>
      <w:tr w14:paraId="61B13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65" w:type="dxa"/>
            <w:vAlign w:val="center"/>
          </w:tcPr>
          <w:p w14:paraId="24DF451A">
            <w:pPr>
              <w:widowControl/>
              <w:shd w:val="clear"/>
              <w:adjustRightInd w:val="0"/>
              <w:snapToGrid w:val="0"/>
              <w:spacing w:line="280" w:lineRule="exact"/>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5</w:t>
            </w:r>
          </w:p>
        </w:tc>
        <w:tc>
          <w:tcPr>
            <w:tcW w:w="2817" w:type="dxa"/>
            <w:vAlign w:val="center"/>
          </w:tcPr>
          <w:p w14:paraId="246AC26D">
            <w:pPr>
              <w:widowControl/>
              <w:shd w:val="clear"/>
              <w:adjustRightInd w:val="0"/>
              <w:snapToGrid w:val="0"/>
              <w:spacing w:line="280" w:lineRule="exact"/>
              <w:jc w:val="left"/>
              <w:rPr>
                <w:rFonts w:hint="eastAsia" w:ascii="宋体" w:hAnsi="宋体" w:eastAsia="宋体" w:cs="宋体"/>
                <w:sz w:val="24"/>
                <w:szCs w:val="24"/>
              </w:rPr>
            </w:pPr>
            <w:r>
              <w:rPr>
                <w:rFonts w:hint="eastAsia" w:ascii="宋体" w:hAnsi="宋体" w:eastAsia="宋体" w:cs="宋体"/>
                <w:color w:val="000000"/>
                <w:sz w:val="24"/>
                <w:szCs w:val="24"/>
                <w:lang w:bidi="ar"/>
              </w:rPr>
              <w:t>《网络自动化运维技术》</w:t>
            </w:r>
          </w:p>
        </w:tc>
        <w:tc>
          <w:tcPr>
            <w:tcW w:w="1219" w:type="dxa"/>
            <w:vAlign w:val="center"/>
          </w:tcPr>
          <w:p w14:paraId="2EB18A1E">
            <w:pPr>
              <w:widowControl/>
              <w:shd w:val="clear"/>
              <w:adjustRightInd w:val="0"/>
              <w:snapToGrid w:val="0"/>
              <w:spacing w:line="280" w:lineRule="exact"/>
              <w:jc w:val="center"/>
              <w:rPr>
                <w:rFonts w:hint="eastAsia" w:ascii="宋体" w:hAnsi="宋体" w:eastAsia="宋体" w:cs="宋体"/>
                <w:sz w:val="24"/>
                <w:szCs w:val="24"/>
              </w:rPr>
            </w:pPr>
          </w:p>
        </w:tc>
        <w:tc>
          <w:tcPr>
            <w:tcW w:w="1108" w:type="dxa"/>
            <w:shd w:val="clear" w:color="auto" w:fill="auto"/>
            <w:vAlign w:val="center"/>
          </w:tcPr>
          <w:p w14:paraId="6C0C756A">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108" w:type="dxa"/>
            <w:shd w:val="clear" w:color="auto" w:fill="auto"/>
            <w:vAlign w:val="center"/>
          </w:tcPr>
          <w:p w14:paraId="35015F84">
            <w:pPr>
              <w:widowControl/>
              <w:shd w:val="clear"/>
              <w:adjustRightInd w:val="0"/>
              <w:snapToGrid w:val="0"/>
              <w:spacing w:line="28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108" w:type="dxa"/>
            <w:vAlign w:val="center"/>
          </w:tcPr>
          <w:p w14:paraId="10BA161C">
            <w:pPr>
              <w:widowControl/>
              <w:shd w:val="clear"/>
              <w:adjustRightInd w:val="0"/>
              <w:snapToGrid w:val="0"/>
              <w:spacing w:line="280" w:lineRule="exact"/>
              <w:jc w:val="center"/>
              <w:rPr>
                <w:rFonts w:hint="eastAsia" w:ascii="宋体" w:hAnsi="宋体" w:eastAsia="宋体" w:cs="宋体"/>
                <w:sz w:val="24"/>
                <w:szCs w:val="24"/>
              </w:rPr>
            </w:pPr>
          </w:p>
        </w:tc>
        <w:tc>
          <w:tcPr>
            <w:tcW w:w="1110" w:type="dxa"/>
            <w:vAlign w:val="center"/>
          </w:tcPr>
          <w:p w14:paraId="4DEEEAC4">
            <w:pPr>
              <w:widowControl/>
              <w:shd w:val="clear"/>
              <w:adjustRightInd w:val="0"/>
              <w:snapToGrid w:val="0"/>
              <w:spacing w:line="280" w:lineRule="exact"/>
              <w:jc w:val="center"/>
              <w:rPr>
                <w:rFonts w:hint="eastAsia" w:ascii="宋体" w:hAnsi="宋体" w:eastAsia="宋体" w:cs="宋体"/>
                <w:sz w:val="24"/>
                <w:szCs w:val="24"/>
              </w:rPr>
            </w:pPr>
          </w:p>
        </w:tc>
      </w:tr>
      <w:tr w14:paraId="5C20E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65" w:type="dxa"/>
            <w:vAlign w:val="center"/>
          </w:tcPr>
          <w:p w14:paraId="677223D2">
            <w:pPr>
              <w:widowControl/>
              <w:shd w:val="clear"/>
              <w:adjustRightInd w:val="0"/>
              <w:snapToGrid w:val="0"/>
              <w:spacing w:line="280" w:lineRule="exact"/>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6</w:t>
            </w:r>
          </w:p>
        </w:tc>
        <w:tc>
          <w:tcPr>
            <w:tcW w:w="2817" w:type="dxa"/>
            <w:vAlign w:val="center"/>
          </w:tcPr>
          <w:p w14:paraId="20D5211B">
            <w:pPr>
              <w:widowControl/>
              <w:shd w:val="clear"/>
              <w:adjustRightInd w:val="0"/>
              <w:snapToGrid w:val="0"/>
              <w:spacing w:line="280" w:lineRule="exact"/>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合计</w:t>
            </w:r>
          </w:p>
        </w:tc>
        <w:tc>
          <w:tcPr>
            <w:tcW w:w="1219" w:type="dxa"/>
            <w:vAlign w:val="center"/>
          </w:tcPr>
          <w:p w14:paraId="2B63DF47">
            <w:pPr>
              <w:widowControl/>
              <w:shd w:val="clear"/>
              <w:adjustRightInd w:val="0"/>
              <w:snapToGrid w:val="0"/>
              <w:spacing w:line="280" w:lineRule="exact"/>
              <w:jc w:val="center"/>
              <w:rPr>
                <w:rFonts w:hint="eastAsia" w:ascii="宋体" w:hAnsi="宋体" w:eastAsia="宋体" w:cs="宋体"/>
                <w:sz w:val="24"/>
                <w:szCs w:val="24"/>
              </w:rPr>
            </w:pPr>
          </w:p>
        </w:tc>
        <w:tc>
          <w:tcPr>
            <w:tcW w:w="1108" w:type="dxa"/>
            <w:shd w:val="clear" w:color="auto" w:fill="auto"/>
            <w:vAlign w:val="center"/>
          </w:tcPr>
          <w:p w14:paraId="317971CC">
            <w:pPr>
              <w:widowControl/>
              <w:shd w:val="clear"/>
              <w:adjustRightInd w:val="0"/>
              <w:snapToGrid w:val="0"/>
              <w:spacing w:line="280" w:lineRule="exact"/>
              <w:jc w:val="center"/>
              <w:rPr>
                <w:rFonts w:hint="eastAsia" w:ascii="宋体" w:hAnsi="宋体" w:eastAsia="宋体" w:cs="宋体"/>
                <w:sz w:val="24"/>
                <w:szCs w:val="24"/>
              </w:rPr>
            </w:pPr>
          </w:p>
        </w:tc>
        <w:tc>
          <w:tcPr>
            <w:tcW w:w="1108" w:type="dxa"/>
            <w:shd w:val="clear" w:color="auto" w:fill="auto"/>
            <w:vAlign w:val="center"/>
          </w:tcPr>
          <w:p w14:paraId="1B0F7222">
            <w:pPr>
              <w:widowControl/>
              <w:shd w:val="clear"/>
              <w:adjustRightInd w:val="0"/>
              <w:snapToGrid w:val="0"/>
              <w:spacing w:line="280" w:lineRule="exact"/>
              <w:jc w:val="center"/>
              <w:rPr>
                <w:rFonts w:hint="eastAsia" w:ascii="宋体" w:hAnsi="宋体" w:eastAsia="宋体" w:cs="宋体"/>
                <w:sz w:val="24"/>
                <w:szCs w:val="24"/>
              </w:rPr>
            </w:pPr>
          </w:p>
        </w:tc>
        <w:tc>
          <w:tcPr>
            <w:tcW w:w="1108" w:type="dxa"/>
            <w:vAlign w:val="center"/>
          </w:tcPr>
          <w:p w14:paraId="3A9A3FB8">
            <w:pPr>
              <w:widowControl/>
              <w:shd w:val="clear"/>
              <w:adjustRightInd w:val="0"/>
              <w:snapToGrid w:val="0"/>
              <w:spacing w:line="280" w:lineRule="exact"/>
              <w:jc w:val="center"/>
              <w:rPr>
                <w:rFonts w:hint="eastAsia" w:ascii="宋体" w:hAnsi="宋体" w:eastAsia="宋体" w:cs="宋体"/>
                <w:sz w:val="24"/>
                <w:szCs w:val="24"/>
              </w:rPr>
            </w:pPr>
          </w:p>
        </w:tc>
        <w:tc>
          <w:tcPr>
            <w:tcW w:w="1110" w:type="dxa"/>
            <w:vAlign w:val="center"/>
          </w:tcPr>
          <w:p w14:paraId="4A8B469E">
            <w:pPr>
              <w:widowControl/>
              <w:shd w:val="clear"/>
              <w:adjustRightInd w:val="0"/>
              <w:snapToGrid w:val="0"/>
              <w:spacing w:line="280" w:lineRule="exact"/>
              <w:jc w:val="center"/>
              <w:rPr>
                <w:rFonts w:hint="eastAsia" w:ascii="宋体" w:hAnsi="宋体" w:eastAsia="宋体" w:cs="宋体"/>
                <w:sz w:val="24"/>
                <w:szCs w:val="24"/>
              </w:rPr>
            </w:pPr>
          </w:p>
        </w:tc>
      </w:tr>
    </w:tbl>
    <w:p w14:paraId="76534381">
      <w:pPr>
        <w:shd w:val="clear"/>
        <w:snapToGrid w:val="0"/>
        <w:spacing w:line="360" w:lineRule="auto"/>
        <w:jc w:val="left"/>
        <w:outlineLvl w:val="4"/>
        <w:rPr>
          <w:rFonts w:hint="eastAsia" w:ascii="宋体" w:hAnsi="宋体" w:eastAsia="宋体" w:cs="宋体"/>
          <w:b/>
          <w:sz w:val="24"/>
          <w:lang w:val="zh-CN"/>
        </w:rPr>
      </w:pPr>
    </w:p>
    <w:p w14:paraId="7351997B">
      <w:pPr>
        <w:shd w:val="clear"/>
        <w:snapToGrid w:val="0"/>
        <w:spacing w:line="360" w:lineRule="auto"/>
        <w:jc w:val="left"/>
        <w:outlineLvl w:val="4"/>
        <w:rPr>
          <w:rFonts w:hint="eastAsia" w:ascii="宋体" w:hAnsi="宋体" w:eastAsia="宋体" w:cs="宋体"/>
          <w:b/>
          <w:sz w:val="24"/>
          <w:lang w:val="zh-CN"/>
        </w:rPr>
      </w:pPr>
      <w:r>
        <w:rPr>
          <w:rFonts w:hint="eastAsia" w:ascii="宋体" w:hAnsi="宋体" w:eastAsia="宋体" w:cs="宋体"/>
          <w:b/>
          <w:sz w:val="24"/>
          <w:lang w:val="zh-CN"/>
        </w:rPr>
        <w:t>注：投标人必须详细报出采购清单中各个子项的名称、品牌、规格型号、数量、单价。本表各分项报价合计应当与投标报价总表报价合计相等。请各供应商务必按照以上要求填报，否则作为无效投标处理。</w:t>
      </w:r>
    </w:p>
    <w:p w14:paraId="1C79F9FF">
      <w:pPr>
        <w:shd w:val="clear"/>
        <w:snapToGrid w:val="0"/>
        <w:spacing w:line="360" w:lineRule="auto"/>
        <w:jc w:val="left"/>
        <w:outlineLvl w:val="4"/>
        <w:rPr>
          <w:rFonts w:hint="eastAsia" w:ascii="宋体" w:hAnsi="宋体" w:eastAsia="宋体" w:cs="宋体"/>
          <w:bCs/>
          <w:sz w:val="24"/>
        </w:rPr>
      </w:pPr>
      <w:r>
        <w:rPr>
          <w:rFonts w:hint="eastAsia" w:ascii="宋体" w:hAnsi="宋体" w:eastAsia="宋体" w:cs="宋体"/>
          <w:bCs/>
          <w:sz w:val="24"/>
        </w:rPr>
        <w:t xml:space="preserve">投标人（加盖CA电子签章）： </w:t>
      </w:r>
    </w:p>
    <w:p w14:paraId="0E787E49">
      <w:pPr>
        <w:shd w:val="clear"/>
        <w:snapToGrid w:val="0"/>
        <w:spacing w:line="360" w:lineRule="auto"/>
        <w:jc w:val="left"/>
        <w:outlineLvl w:val="4"/>
        <w:rPr>
          <w:rFonts w:hint="eastAsia"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3F917768">
      <w:pPr>
        <w:shd w:val="clear"/>
        <w:spacing w:line="360" w:lineRule="auto"/>
        <w:rPr>
          <w:rFonts w:eastAsia="宋体"/>
          <w:bCs/>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4A9EB629">
      <w:pPr>
        <w:shd w:val="clear"/>
        <w:spacing w:line="360" w:lineRule="auto"/>
        <w:rPr>
          <w:rFonts w:eastAsia="宋体"/>
          <w:bCs/>
          <w:color w:val="000000"/>
          <w:sz w:val="24"/>
          <w:szCs w:val="24"/>
        </w:rPr>
      </w:pPr>
      <w:r>
        <w:rPr>
          <w:rFonts w:hint="eastAsia" w:eastAsia="宋体"/>
          <w:bCs/>
          <w:color w:val="000000"/>
          <w:sz w:val="24"/>
          <w:szCs w:val="24"/>
        </w:rPr>
        <w:t>注：①如果按单价计算的结果与总价不一致，以单价为准，修正总价。</w:t>
      </w:r>
    </w:p>
    <w:p w14:paraId="45BF1384">
      <w:pPr>
        <w:shd w:val="clear"/>
        <w:spacing w:line="360" w:lineRule="auto"/>
        <w:ind w:firstLine="480"/>
        <w:rPr>
          <w:rFonts w:eastAsia="宋体" w:cs="宋体"/>
          <w:b/>
          <w:bCs/>
          <w:color w:val="000000"/>
          <w:sz w:val="28"/>
          <w:szCs w:val="28"/>
        </w:rPr>
      </w:pPr>
      <w:r>
        <w:rPr>
          <w:rFonts w:hint="eastAsia" w:eastAsia="宋体"/>
          <w:bCs/>
          <w:color w:val="000000"/>
          <w:sz w:val="24"/>
          <w:szCs w:val="24"/>
        </w:rPr>
        <w:t>②如果不提供详细分项报价将视为未实质性响应招标文件。</w:t>
      </w:r>
      <w:r>
        <w:rPr>
          <w:rFonts w:hint="eastAsia" w:eastAsia="宋体"/>
          <w:bCs/>
          <w:color w:val="000000"/>
          <w:sz w:val="24"/>
          <w:szCs w:val="24"/>
        </w:rPr>
        <w:br w:type="page"/>
      </w:r>
    </w:p>
    <w:p w14:paraId="4E5C99E0">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附件3：</w:t>
      </w:r>
    </w:p>
    <w:p w14:paraId="518807EE">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供应商信用承诺书</w:t>
      </w:r>
    </w:p>
    <w:p w14:paraId="6AA52254">
      <w:pPr>
        <w:shd w:val="clear"/>
        <w:spacing w:line="360" w:lineRule="auto"/>
        <w:ind w:firstLine="480"/>
        <w:rPr>
          <w:rFonts w:eastAsia="宋体" w:cs="宋体"/>
          <w:color w:val="000000"/>
          <w:sz w:val="24"/>
          <w:szCs w:val="21"/>
          <w:lang w:val="zh-CN"/>
        </w:rPr>
      </w:pPr>
    </w:p>
    <w:p w14:paraId="5C22EDCB">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为营造公开、公平、公正的公共资源交易环境，树立诚信守法的投标人形象，本人代表本单位作出以下承诺：</w:t>
      </w:r>
    </w:p>
    <w:p w14:paraId="4309798F">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一、本单位对所提交的单位基本信息、单位负责人、项目负责人、技术负责人、从业资质和资格、业绩、财务状况、信誉等所有资料，均合法、真实、准确、有效，无任何伪造、修改、虚假成分；</w:t>
      </w:r>
    </w:p>
    <w:p w14:paraId="5D89439B">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二、严格依照国家和省、市、县关于招标投标等方面的法律、法规、规章、规范性文件，参加公共资源交易招标投标活动；积极履行社会责任，促进廉政建设；</w:t>
      </w:r>
    </w:p>
    <w:p w14:paraId="75F37748">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三、严格遵守即时信息公示规定，及时更新公共资源交易中心主体信息库中信息；</w:t>
      </w:r>
    </w:p>
    <w:p w14:paraId="18340D87">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四、自我约束、自我管理，守合同、重信用，不参与围标串标、弄虚作假、骗取中标、干扰评标、违约毁约、恶意投诉等行为，主动维护公共资源交易招标投标的良好秩序；</w:t>
      </w:r>
    </w:p>
    <w:p w14:paraId="1FF7BE00">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7E40C430">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六、自觉接受政府部门、行业组织、社会公众、新闻舆论等监督；</w:t>
      </w:r>
    </w:p>
    <w:p w14:paraId="15B35C80">
      <w:pPr>
        <w:shd w:val="clea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七、上述承诺已向本单位员工作了宣传教育；</w:t>
      </w:r>
    </w:p>
    <w:p w14:paraId="1CF0661B">
      <w:pPr>
        <w:shd w:val="clear"/>
        <w:spacing w:line="360" w:lineRule="auto"/>
        <w:ind w:firstLine="480"/>
        <w:rPr>
          <w:rFonts w:eastAsia="宋体" w:cs="宋体"/>
          <w:color w:val="000000"/>
          <w:sz w:val="24"/>
          <w:szCs w:val="21"/>
        </w:rPr>
      </w:pPr>
      <w:r>
        <w:rPr>
          <w:rFonts w:hint="eastAsia" w:eastAsia="宋体" w:cs="宋体"/>
          <w:b/>
          <w:bCs/>
          <w:color w:val="000000"/>
          <w:sz w:val="24"/>
          <w:szCs w:val="21"/>
          <w:lang w:val="zh-CN"/>
        </w:rPr>
        <w:t>如有违反上述承诺的不良行为，本单位同意将其予以上网公示。</w:t>
      </w:r>
    </w:p>
    <w:p w14:paraId="4D89D7D9">
      <w:pPr>
        <w:shd w:val="clear"/>
        <w:snapToGrid w:val="0"/>
        <w:spacing w:line="360" w:lineRule="auto"/>
        <w:outlineLvl w:val="4"/>
        <w:rPr>
          <w:rFonts w:hint="eastAsia" w:ascii="宋体" w:hAnsi="宋体" w:eastAsia="宋体" w:cs="宋体"/>
          <w:bCs/>
          <w:sz w:val="24"/>
        </w:rPr>
      </w:pPr>
    </w:p>
    <w:p w14:paraId="3C2A88F5">
      <w:pPr>
        <w:shd w:val="clear"/>
        <w:snapToGrid w:val="0"/>
        <w:spacing w:line="360" w:lineRule="auto"/>
        <w:jc w:val="center"/>
        <w:outlineLvl w:val="4"/>
        <w:rPr>
          <w:rFonts w:hint="eastAsia" w:ascii="宋体" w:hAnsi="宋体" w:eastAsia="宋体" w:cs="宋体"/>
          <w:bCs/>
          <w:sz w:val="24"/>
        </w:rPr>
      </w:pPr>
      <w:r>
        <w:rPr>
          <w:rFonts w:hint="eastAsia" w:ascii="宋体" w:hAnsi="宋体" w:eastAsia="宋体" w:cs="宋体"/>
          <w:bCs/>
          <w:sz w:val="24"/>
        </w:rPr>
        <w:t xml:space="preserve"> 投标人（加盖CA电子签章）： </w:t>
      </w:r>
    </w:p>
    <w:p w14:paraId="46D4F2C6">
      <w:pPr>
        <w:shd w:val="clear"/>
        <w:spacing w:line="360" w:lineRule="auto"/>
        <w:ind w:firstLine="566"/>
        <w:rPr>
          <w:rFonts w:hint="eastAsia"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7272729D">
      <w:pPr>
        <w:shd w:val="clear"/>
        <w:snapToGrid w:val="0"/>
        <w:spacing w:line="360" w:lineRule="auto"/>
        <w:ind w:firstLine="2880" w:firstLineChars="1200"/>
        <w:outlineLvl w:val="4"/>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2BA3E553">
      <w:pPr>
        <w:shd w:val="clear"/>
        <w:rPr>
          <w:rFonts w:eastAsia="宋体" w:cs="宋体"/>
          <w:b/>
          <w:bCs/>
          <w:color w:val="000000"/>
          <w:sz w:val="28"/>
          <w:szCs w:val="28"/>
        </w:rPr>
      </w:pPr>
    </w:p>
    <w:p w14:paraId="49A17765">
      <w:pPr>
        <w:shd w:val="clear"/>
        <w:rPr>
          <w:rFonts w:eastAsia="宋体" w:cs="宋体"/>
          <w:b/>
          <w:bCs/>
          <w:color w:val="000000"/>
          <w:sz w:val="28"/>
          <w:szCs w:val="28"/>
        </w:rPr>
      </w:pPr>
      <w:r>
        <w:rPr>
          <w:rFonts w:hint="eastAsia" w:eastAsia="宋体" w:cs="宋体"/>
          <w:b/>
          <w:bCs/>
          <w:color w:val="000000"/>
          <w:sz w:val="28"/>
          <w:szCs w:val="28"/>
        </w:rPr>
        <w:br w:type="page"/>
      </w:r>
    </w:p>
    <w:p w14:paraId="526E3A27">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附件4：</w:t>
      </w:r>
    </w:p>
    <w:p w14:paraId="69B9C98D">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供应商情况表</w:t>
      </w:r>
    </w:p>
    <w:tbl>
      <w:tblPr>
        <w:tblStyle w:val="7"/>
        <w:tblW w:w="9464" w:type="dxa"/>
        <w:jc w:val="center"/>
        <w:tblLayout w:type="fixed"/>
        <w:tblCellMar>
          <w:top w:w="0" w:type="dxa"/>
          <w:left w:w="108" w:type="dxa"/>
          <w:bottom w:w="0" w:type="dxa"/>
          <w:right w:w="108" w:type="dxa"/>
        </w:tblCellMar>
      </w:tblPr>
      <w:tblGrid>
        <w:gridCol w:w="2235"/>
        <w:gridCol w:w="708"/>
        <w:gridCol w:w="851"/>
        <w:gridCol w:w="849"/>
        <w:gridCol w:w="568"/>
        <w:gridCol w:w="1307"/>
        <w:gridCol w:w="159"/>
        <w:gridCol w:w="1320"/>
        <w:gridCol w:w="1467"/>
      </w:tblGrid>
      <w:tr w14:paraId="21A4CEA5">
        <w:tblPrEx>
          <w:tblCellMar>
            <w:top w:w="0" w:type="dxa"/>
            <w:left w:w="108" w:type="dxa"/>
            <w:bottom w:w="0" w:type="dxa"/>
            <w:right w:w="108" w:type="dxa"/>
          </w:tblCellMar>
        </w:tblPrEx>
        <w:trPr>
          <w:cantSplit/>
          <w:trHeight w:val="286" w:hRule="atLeas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177608D5">
            <w:pPr>
              <w:shd w:val="clear"/>
              <w:spacing w:line="360" w:lineRule="auto"/>
              <w:jc w:val="center"/>
              <w:rPr>
                <w:rFonts w:eastAsia="宋体" w:cs="宋体"/>
                <w:color w:val="000000"/>
                <w:sz w:val="24"/>
                <w:szCs w:val="24"/>
              </w:rPr>
            </w:pPr>
            <w:r>
              <w:rPr>
                <w:rFonts w:hint="eastAsia" w:eastAsia="宋体" w:cs="宋体"/>
                <w:color w:val="000000"/>
                <w:sz w:val="24"/>
                <w:szCs w:val="24"/>
              </w:rPr>
              <w:t>企业名称</w:t>
            </w:r>
          </w:p>
        </w:tc>
        <w:tc>
          <w:tcPr>
            <w:tcW w:w="7229" w:type="dxa"/>
            <w:gridSpan w:val="8"/>
            <w:tcBorders>
              <w:top w:val="single" w:color="000000" w:sz="4" w:space="0"/>
              <w:left w:val="nil"/>
              <w:bottom w:val="single" w:color="000000" w:sz="4" w:space="0"/>
              <w:right w:val="single" w:color="000000" w:sz="4" w:space="0"/>
            </w:tcBorders>
          </w:tcPr>
          <w:p w14:paraId="263D885B">
            <w:pPr>
              <w:shd w:val="clear"/>
              <w:spacing w:line="360" w:lineRule="auto"/>
              <w:rPr>
                <w:rFonts w:eastAsia="宋体" w:cs="宋体"/>
                <w:color w:val="000000"/>
                <w:sz w:val="24"/>
                <w:szCs w:val="24"/>
              </w:rPr>
            </w:pPr>
          </w:p>
        </w:tc>
      </w:tr>
      <w:tr w14:paraId="6F4257DE">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4A9863A3">
            <w:pPr>
              <w:shd w:val="clear"/>
              <w:spacing w:line="360" w:lineRule="auto"/>
              <w:jc w:val="center"/>
              <w:rPr>
                <w:rFonts w:eastAsia="宋体" w:cs="宋体"/>
                <w:color w:val="000000"/>
                <w:sz w:val="24"/>
                <w:szCs w:val="24"/>
              </w:rPr>
            </w:pPr>
            <w:r>
              <w:rPr>
                <w:rFonts w:hint="eastAsia" w:eastAsia="宋体" w:cs="宋体"/>
                <w:color w:val="000000"/>
                <w:sz w:val="24"/>
                <w:szCs w:val="24"/>
              </w:rPr>
              <w:t>总部地址</w:t>
            </w:r>
          </w:p>
        </w:tc>
        <w:tc>
          <w:tcPr>
            <w:tcW w:w="7229" w:type="dxa"/>
            <w:gridSpan w:val="8"/>
            <w:tcBorders>
              <w:top w:val="single" w:color="000000" w:sz="4" w:space="0"/>
              <w:left w:val="nil"/>
              <w:bottom w:val="single" w:color="000000" w:sz="4" w:space="0"/>
              <w:right w:val="single" w:color="000000" w:sz="4" w:space="0"/>
            </w:tcBorders>
          </w:tcPr>
          <w:p w14:paraId="533339EF">
            <w:pPr>
              <w:shd w:val="clear"/>
              <w:spacing w:line="360" w:lineRule="auto"/>
              <w:rPr>
                <w:rFonts w:eastAsia="宋体" w:cs="宋体"/>
                <w:color w:val="000000"/>
                <w:sz w:val="24"/>
                <w:szCs w:val="24"/>
              </w:rPr>
            </w:pPr>
          </w:p>
        </w:tc>
      </w:tr>
      <w:tr w14:paraId="57591493">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5F31DBE1">
            <w:pPr>
              <w:shd w:val="clear"/>
              <w:spacing w:line="360" w:lineRule="auto"/>
              <w:jc w:val="center"/>
              <w:rPr>
                <w:rFonts w:eastAsia="宋体" w:cs="宋体"/>
                <w:color w:val="000000"/>
                <w:sz w:val="24"/>
                <w:szCs w:val="24"/>
              </w:rPr>
            </w:pPr>
            <w:r>
              <w:rPr>
                <w:rFonts w:hint="eastAsia" w:eastAsia="宋体" w:cs="宋体"/>
                <w:color w:val="000000"/>
                <w:sz w:val="24"/>
                <w:szCs w:val="24"/>
              </w:rPr>
              <w:t>分支机构</w:t>
            </w:r>
          </w:p>
        </w:tc>
        <w:tc>
          <w:tcPr>
            <w:tcW w:w="7229" w:type="dxa"/>
            <w:gridSpan w:val="8"/>
            <w:tcBorders>
              <w:top w:val="single" w:color="000000" w:sz="4" w:space="0"/>
              <w:left w:val="nil"/>
              <w:bottom w:val="single" w:color="000000" w:sz="4" w:space="0"/>
              <w:right w:val="single" w:color="000000" w:sz="4" w:space="0"/>
            </w:tcBorders>
          </w:tcPr>
          <w:p w14:paraId="16CD26E0">
            <w:pPr>
              <w:shd w:val="clear"/>
              <w:spacing w:line="360" w:lineRule="auto"/>
              <w:rPr>
                <w:rFonts w:eastAsia="宋体" w:cs="宋体"/>
                <w:color w:val="000000"/>
                <w:sz w:val="24"/>
                <w:szCs w:val="24"/>
              </w:rPr>
            </w:pPr>
          </w:p>
        </w:tc>
      </w:tr>
      <w:tr w14:paraId="2F2E1E86">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0F7723E5">
            <w:pPr>
              <w:shd w:val="clear"/>
              <w:spacing w:line="360" w:lineRule="auto"/>
              <w:jc w:val="center"/>
              <w:rPr>
                <w:rFonts w:eastAsia="宋体" w:cs="宋体"/>
                <w:color w:val="000000"/>
                <w:sz w:val="24"/>
                <w:szCs w:val="24"/>
              </w:rPr>
            </w:pPr>
            <w:r>
              <w:rPr>
                <w:rFonts w:hint="eastAsia" w:eastAsia="宋体" w:cs="宋体"/>
                <w:color w:val="000000"/>
                <w:sz w:val="24"/>
                <w:szCs w:val="24"/>
              </w:rPr>
              <w:t>当地代表处地址</w:t>
            </w:r>
          </w:p>
        </w:tc>
        <w:tc>
          <w:tcPr>
            <w:tcW w:w="7229" w:type="dxa"/>
            <w:gridSpan w:val="8"/>
            <w:tcBorders>
              <w:top w:val="single" w:color="000000" w:sz="4" w:space="0"/>
              <w:left w:val="nil"/>
              <w:bottom w:val="single" w:color="000000" w:sz="4" w:space="0"/>
              <w:right w:val="single" w:color="000000" w:sz="4" w:space="0"/>
            </w:tcBorders>
          </w:tcPr>
          <w:p w14:paraId="68A8CF85">
            <w:pPr>
              <w:shd w:val="clear"/>
              <w:spacing w:line="360" w:lineRule="auto"/>
              <w:rPr>
                <w:rFonts w:eastAsia="宋体" w:cs="宋体"/>
                <w:color w:val="000000"/>
                <w:sz w:val="24"/>
                <w:szCs w:val="24"/>
              </w:rPr>
            </w:pPr>
          </w:p>
        </w:tc>
      </w:tr>
      <w:tr w14:paraId="291A34E1">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1755C22A">
            <w:pPr>
              <w:shd w:val="clear"/>
              <w:spacing w:line="360" w:lineRule="auto"/>
              <w:jc w:val="center"/>
              <w:rPr>
                <w:rFonts w:eastAsia="宋体" w:cs="宋体"/>
                <w:color w:val="000000"/>
                <w:sz w:val="24"/>
                <w:szCs w:val="24"/>
              </w:rPr>
            </w:pPr>
            <w:r>
              <w:rPr>
                <w:rFonts w:hint="eastAsia" w:eastAsia="宋体" w:cs="宋体"/>
                <w:color w:val="000000"/>
                <w:sz w:val="24"/>
                <w:szCs w:val="24"/>
              </w:rPr>
              <w:t>电话</w:t>
            </w:r>
          </w:p>
        </w:tc>
        <w:tc>
          <w:tcPr>
            <w:tcW w:w="2408" w:type="dxa"/>
            <w:gridSpan w:val="3"/>
            <w:tcBorders>
              <w:top w:val="single" w:color="000000" w:sz="4" w:space="0"/>
              <w:left w:val="nil"/>
              <w:bottom w:val="single" w:color="000000" w:sz="4" w:space="0"/>
              <w:right w:val="single" w:color="000000" w:sz="4" w:space="0"/>
            </w:tcBorders>
          </w:tcPr>
          <w:p w14:paraId="500683AC">
            <w:pPr>
              <w:shd w:val="clear"/>
              <w:spacing w:line="360" w:lineRule="auto"/>
              <w:rPr>
                <w:rFonts w:eastAsia="宋体" w:cs="宋体"/>
                <w:color w:val="000000"/>
                <w:sz w:val="24"/>
                <w:szCs w:val="24"/>
              </w:rPr>
            </w:pPr>
          </w:p>
        </w:tc>
        <w:tc>
          <w:tcPr>
            <w:tcW w:w="1875" w:type="dxa"/>
            <w:gridSpan w:val="2"/>
            <w:tcBorders>
              <w:top w:val="single" w:color="000000" w:sz="4" w:space="0"/>
              <w:left w:val="nil"/>
              <w:bottom w:val="single" w:color="000000" w:sz="4" w:space="0"/>
              <w:right w:val="single" w:color="000000" w:sz="4" w:space="0"/>
            </w:tcBorders>
          </w:tcPr>
          <w:p w14:paraId="24F64317">
            <w:pPr>
              <w:shd w:val="clear"/>
              <w:spacing w:line="360" w:lineRule="auto"/>
              <w:jc w:val="center"/>
              <w:rPr>
                <w:rFonts w:eastAsia="宋体" w:cs="宋体"/>
                <w:color w:val="000000"/>
                <w:sz w:val="24"/>
                <w:szCs w:val="24"/>
              </w:rPr>
            </w:pPr>
            <w:r>
              <w:rPr>
                <w:rFonts w:hint="eastAsia" w:eastAsia="宋体" w:cs="宋体"/>
                <w:color w:val="000000"/>
                <w:sz w:val="24"/>
                <w:szCs w:val="24"/>
              </w:rPr>
              <w:t>联系人</w:t>
            </w:r>
          </w:p>
        </w:tc>
        <w:tc>
          <w:tcPr>
            <w:tcW w:w="2946" w:type="dxa"/>
            <w:gridSpan w:val="3"/>
            <w:tcBorders>
              <w:top w:val="single" w:color="000000" w:sz="4" w:space="0"/>
              <w:left w:val="nil"/>
              <w:bottom w:val="single" w:color="000000" w:sz="4" w:space="0"/>
              <w:right w:val="single" w:color="000000" w:sz="4" w:space="0"/>
            </w:tcBorders>
          </w:tcPr>
          <w:p w14:paraId="16788886">
            <w:pPr>
              <w:shd w:val="clear"/>
              <w:spacing w:line="360" w:lineRule="auto"/>
              <w:rPr>
                <w:rFonts w:eastAsia="宋体" w:cs="宋体"/>
                <w:color w:val="000000"/>
                <w:sz w:val="24"/>
                <w:szCs w:val="24"/>
              </w:rPr>
            </w:pPr>
          </w:p>
        </w:tc>
      </w:tr>
      <w:tr w14:paraId="5A52614A">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6D6B580E">
            <w:pPr>
              <w:shd w:val="clear"/>
              <w:spacing w:line="360" w:lineRule="auto"/>
              <w:jc w:val="center"/>
              <w:rPr>
                <w:rFonts w:eastAsia="宋体" w:cs="宋体"/>
                <w:color w:val="000000"/>
                <w:sz w:val="24"/>
                <w:szCs w:val="24"/>
              </w:rPr>
            </w:pPr>
            <w:r>
              <w:rPr>
                <w:rFonts w:hint="eastAsia" w:eastAsia="宋体" w:cs="宋体"/>
                <w:color w:val="000000"/>
                <w:sz w:val="24"/>
                <w:szCs w:val="24"/>
              </w:rPr>
              <w:t>传真</w:t>
            </w:r>
          </w:p>
        </w:tc>
        <w:tc>
          <w:tcPr>
            <w:tcW w:w="2408" w:type="dxa"/>
            <w:gridSpan w:val="3"/>
            <w:tcBorders>
              <w:top w:val="single" w:color="000000" w:sz="4" w:space="0"/>
              <w:left w:val="nil"/>
              <w:bottom w:val="single" w:color="000000" w:sz="4" w:space="0"/>
              <w:right w:val="single" w:color="000000" w:sz="4" w:space="0"/>
            </w:tcBorders>
          </w:tcPr>
          <w:p w14:paraId="4A1DF364">
            <w:pPr>
              <w:shd w:val="clear"/>
              <w:spacing w:line="360" w:lineRule="auto"/>
              <w:rPr>
                <w:rFonts w:eastAsia="宋体" w:cs="宋体"/>
                <w:color w:val="000000"/>
                <w:sz w:val="24"/>
                <w:szCs w:val="24"/>
              </w:rPr>
            </w:pPr>
          </w:p>
        </w:tc>
        <w:tc>
          <w:tcPr>
            <w:tcW w:w="1875" w:type="dxa"/>
            <w:gridSpan w:val="2"/>
            <w:tcBorders>
              <w:top w:val="single" w:color="000000" w:sz="4" w:space="0"/>
              <w:left w:val="nil"/>
              <w:bottom w:val="single" w:color="000000" w:sz="4" w:space="0"/>
              <w:right w:val="single" w:color="000000" w:sz="4" w:space="0"/>
            </w:tcBorders>
          </w:tcPr>
          <w:p w14:paraId="7A0F2927">
            <w:pPr>
              <w:shd w:val="clear"/>
              <w:spacing w:line="360" w:lineRule="auto"/>
              <w:jc w:val="center"/>
              <w:rPr>
                <w:rFonts w:eastAsia="宋体" w:cs="宋体"/>
                <w:color w:val="000000"/>
                <w:sz w:val="24"/>
                <w:szCs w:val="24"/>
              </w:rPr>
            </w:pPr>
            <w:r>
              <w:rPr>
                <w:rFonts w:hint="eastAsia" w:eastAsia="宋体" w:cs="宋体"/>
                <w:color w:val="000000"/>
                <w:sz w:val="24"/>
                <w:szCs w:val="24"/>
              </w:rPr>
              <w:t>电子邮件</w:t>
            </w:r>
          </w:p>
        </w:tc>
        <w:tc>
          <w:tcPr>
            <w:tcW w:w="2946" w:type="dxa"/>
            <w:gridSpan w:val="3"/>
            <w:tcBorders>
              <w:top w:val="single" w:color="000000" w:sz="4" w:space="0"/>
              <w:left w:val="nil"/>
              <w:bottom w:val="single" w:color="000000" w:sz="4" w:space="0"/>
              <w:right w:val="single" w:color="000000" w:sz="4" w:space="0"/>
            </w:tcBorders>
          </w:tcPr>
          <w:p w14:paraId="32AAB79A">
            <w:pPr>
              <w:shd w:val="clear"/>
              <w:spacing w:line="360" w:lineRule="auto"/>
              <w:rPr>
                <w:rFonts w:eastAsia="宋体" w:cs="宋体"/>
                <w:color w:val="000000"/>
                <w:sz w:val="24"/>
                <w:szCs w:val="24"/>
              </w:rPr>
            </w:pPr>
          </w:p>
        </w:tc>
      </w:tr>
      <w:tr w14:paraId="7A467084">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256B45A0">
            <w:pPr>
              <w:shd w:val="clear"/>
              <w:spacing w:line="360" w:lineRule="auto"/>
              <w:jc w:val="center"/>
              <w:rPr>
                <w:rFonts w:eastAsia="宋体" w:cs="宋体"/>
                <w:color w:val="000000"/>
                <w:sz w:val="24"/>
                <w:szCs w:val="24"/>
              </w:rPr>
            </w:pPr>
            <w:r>
              <w:rPr>
                <w:rFonts w:hint="eastAsia" w:eastAsia="宋体" w:cs="宋体"/>
                <w:color w:val="000000"/>
                <w:sz w:val="24"/>
                <w:szCs w:val="24"/>
              </w:rPr>
              <w:t>注册地</w:t>
            </w:r>
          </w:p>
        </w:tc>
        <w:tc>
          <w:tcPr>
            <w:tcW w:w="2408" w:type="dxa"/>
            <w:gridSpan w:val="3"/>
            <w:tcBorders>
              <w:top w:val="single" w:color="000000" w:sz="4" w:space="0"/>
              <w:left w:val="nil"/>
              <w:bottom w:val="single" w:color="000000" w:sz="4" w:space="0"/>
              <w:right w:val="single" w:color="000000" w:sz="4" w:space="0"/>
            </w:tcBorders>
          </w:tcPr>
          <w:p w14:paraId="1F5ADAA0">
            <w:pPr>
              <w:shd w:val="clear"/>
              <w:spacing w:line="360" w:lineRule="auto"/>
              <w:rPr>
                <w:rFonts w:eastAsia="宋体" w:cs="宋体"/>
                <w:color w:val="000000"/>
                <w:sz w:val="24"/>
                <w:szCs w:val="24"/>
              </w:rPr>
            </w:pPr>
          </w:p>
        </w:tc>
        <w:tc>
          <w:tcPr>
            <w:tcW w:w="1875" w:type="dxa"/>
            <w:gridSpan w:val="2"/>
            <w:tcBorders>
              <w:top w:val="single" w:color="000000" w:sz="4" w:space="0"/>
              <w:left w:val="nil"/>
              <w:bottom w:val="single" w:color="000000" w:sz="4" w:space="0"/>
              <w:right w:val="single" w:color="000000" w:sz="4" w:space="0"/>
            </w:tcBorders>
          </w:tcPr>
          <w:p w14:paraId="7B81FB3F">
            <w:pPr>
              <w:shd w:val="clear"/>
              <w:spacing w:line="360" w:lineRule="auto"/>
              <w:jc w:val="center"/>
              <w:rPr>
                <w:rFonts w:eastAsia="宋体" w:cs="宋体"/>
                <w:color w:val="000000"/>
                <w:sz w:val="24"/>
                <w:szCs w:val="24"/>
              </w:rPr>
            </w:pPr>
            <w:r>
              <w:rPr>
                <w:rFonts w:hint="eastAsia" w:eastAsia="宋体" w:cs="宋体"/>
                <w:color w:val="000000"/>
                <w:sz w:val="24"/>
                <w:szCs w:val="24"/>
              </w:rPr>
              <w:t>注册年份</w:t>
            </w:r>
          </w:p>
        </w:tc>
        <w:tc>
          <w:tcPr>
            <w:tcW w:w="2946" w:type="dxa"/>
            <w:gridSpan w:val="3"/>
            <w:tcBorders>
              <w:top w:val="single" w:color="000000" w:sz="4" w:space="0"/>
              <w:left w:val="nil"/>
              <w:bottom w:val="single" w:color="000000" w:sz="4" w:space="0"/>
              <w:right w:val="single" w:color="000000" w:sz="4" w:space="0"/>
            </w:tcBorders>
          </w:tcPr>
          <w:p w14:paraId="449098E5">
            <w:pPr>
              <w:shd w:val="clear"/>
              <w:spacing w:line="360" w:lineRule="auto"/>
              <w:rPr>
                <w:rFonts w:eastAsia="宋体" w:cs="宋体"/>
                <w:color w:val="000000"/>
                <w:sz w:val="24"/>
                <w:szCs w:val="24"/>
              </w:rPr>
            </w:pPr>
          </w:p>
        </w:tc>
      </w:tr>
      <w:tr w14:paraId="704A824C">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7B57644C">
            <w:pPr>
              <w:shd w:val="clear"/>
              <w:spacing w:line="360" w:lineRule="auto"/>
              <w:jc w:val="center"/>
              <w:rPr>
                <w:rFonts w:eastAsia="宋体" w:cs="宋体"/>
                <w:color w:val="000000"/>
                <w:sz w:val="24"/>
                <w:szCs w:val="24"/>
              </w:rPr>
            </w:pPr>
            <w:r>
              <w:rPr>
                <w:rFonts w:hint="eastAsia" w:eastAsia="宋体" w:cs="宋体"/>
                <w:color w:val="000000"/>
                <w:sz w:val="24"/>
                <w:szCs w:val="24"/>
              </w:rPr>
              <w:t>资质等级</w:t>
            </w:r>
          </w:p>
        </w:tc>
        <w:tc>
          <w:tcPr>
            <w:tcW w:w="7229" w:type="dxa"/>
            <w:gridSpan w:val="8"/>
            <w:tcBorders>
              <w:top w:val="single" w:color="000000" w:sz="4" w:space="0"/>
              <w:left w:val="nil"/>
              <w:bottom w:val="single" w:color="000000" w:sz="4" w:space="0"/>
              <w:right w:val="single" w:color="000000" w:sz="4" w:space="0"/>
            </w:tcBorders>
          </w:tcPr>
          <w:p w14:paraId="62AFAA9F">
            <w:pPr>
              <w:shd w:val="clear"/>
              <w:spacing w:line="360" w:lineRule="auto"/>
              <w:rPr>
                <w:rFonts w:eastAsia="宋体" w:cs="宋体"/>
                <w:color w:val="000000"/>
                <w:sz w:val="24"/>
                <w:szCs w:val="24"/>
              </w:rPr>
            </w:pPr>
            <w:r>
              <w:rPr>
                <w:rFonts w:hint="eastAsia" w:eastAsia="宋体" w:cs="宋体"/>
                <w:color w:val="000000"/>
                <w:sz w:val="24"/>
                <w:szCs w:val="24"/>
              </w:rPr>
              <w:t>公司具备的相关资质等级及相应的证书号</w:t>
            </w:r>
          </w:p>
          <w:p w14:paraId="08318F13">
            <w:pPr>
              <w:shd w:val="clear"/>
              <w:spacing w:line="360" w:lineRule="auto"/>
              <w:rPr>
                <w:rFonts w:eastAsia="宋体" w:cs="宋体"/>
                <w:color w:val="000000"/>
                <w:sz w:val="24"/>
                <w:szCs w:val="24"/>
              </w:rPr>
            </w:pPr>
            <w:r>
              <w:rPr>
                <w:rFonts w:hint="eastAsia" w:eastAsia="宋体" w:cs="宋体"/>
                <w:color w:val="000000"/>
                <w:sz w:val="24"/>
                <w:szCs w:val="24"/>
              </w:rPr>
              <w:t>（请附有关证书的复印件）</w:t>
            </w:r>
          </w:p>
        </w:tc>
      </w:tr>
      <w:tr w14:paraId="44BB9859">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757598DD">
            <w:pPr>
              <w:shd w:val="clear"/>
              <w:spacing w:line="360" w:lineRule="auto"/>
              <w:jc w:val="center"/>
              <w:rPr>
                <w:rFonts w:eastAsia="宋体" w:cs="宋体"/>
                <w:color w:val="000000"/>
                <w:sz w:val="24"/>
                <w:szCs w:val="24"/>
              </w:rPr>
            </w:pPr>
            <w:r>
              <w:rPr>
                <w:rFonts w:hint="eastAsia" w:eastAsia="宋体" w:cs="宋体"/>
                <w:color w:val="000000"/>
                <w:sz w:val="24"/>
                <w:szCs w:val="24"/>
              </w:rPr>
              <w:t>质量管理体系</w:t>
            </w:r>
          </w:p>
        </w:tc>
        <w:tc>
          <w:tcPr>
            <w:tcW w:w="7229" w:type="dxa"/>
            <w:gridSpan w:val="8"/>
            <w:tcBorders>
              <w:top w:val="single" w:color="000000" w:sz="4" w:space="0"/>
              <w:left w:val="nil"/>
              <w:bottom w:val="single" w:color="000000" w:sz="4" w:space="0"/>
              <w:right w:val="single" w:color="000000" w:sz="4" w:space="0"/>
            </w:tcBorders>
          </w:tcPr>
          <w:p w14:paraId="3B764ED8">
            <w:pPr>
              <w:shd w:val="clear"/>
              <w:spacing w:line="360" w:lineRule="auto"/>
              <w:rPr>
                <w:rFonts w:eastAsia="宋体" w:cs="宋体"/>
                <w:color w:val="000000"/>
                <w:sz w:val="24"/>
                <w:szCs w:val="24"/>
              </w:rPr>
            </w:pPr>
            <w:r>
              <w:rPr>
                <w:rFonts w:hint="eastAsia" w:eastAsia="宋体" w:cs="宋体"/>
                <w:color w:val="000000"/>
                <w:sz w:val="24"/>
                <w:szCs w:val="24"/>
              </w:rPr>
              <w:t>公司</w:t>
            </w:r>
            <w:r>
              <w:rPr>
                <w:rFonts w:hint="eastAsia" w:eastAsia="宋体" w:cs="宋体"/>
                <w:color w:val="000000"/>
                <w:sz w:val="24"/>
                <w:szCs w:val="24"/>
                <w:u w:val="single"/>
              </w:rPr>
              <w:t xml:space="preserve">   （是否通过，何种）   </w:t>
            </w:r>
            <w:r>
              <w:rPr>
                <w:rFonts w:hint="eastAsia" w:eastAsia="宋体" w:cs="宋体"/>
                <w:color w:val="000000"/>
                <w:sz w:val="24"/>
                <w:szCs w:val="24"/>
              </w:rPr>
              <w:t>质量保证体系认证（如通过请附相关在有效期内的证书复印件）</w:t>
            </w:r>
          </w:p>
        </w:tc>
      </w:tr>
      <w:tr w14:paraId="5A1F69BB">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6BD06D0A">
            <w:pPr>
              <w:shd w:val="clear"/>
              <w:spacing w:line="360" w:lineRule="auto"/>
              <w:jc w:val="center"/>
              <w:rPr>
                <w:rFonts w:eastAsia="宋体" w:cs="宋体"/>
                <w:color w:val="000000"/>
                <w:sz w:val="24"/>
                <w:szCs w:val="24"/>
              </w:rPr>
            </w:pPr>
            <w:r>
              <w:rPr>
                <w:rFonts w:hint="eastAsia" w:eastAsia="宋体" w:cs="宋体"/>
                <w:color w:val="000000"/>
                <w:sz w:val="24"/>
                <w:szCs w:val="24"/>
              </w:rPr>
              <w:t>项目负责人</w:t>
            </w:r>
          </w:p>
        </w:tc>
        <w:tc>
          <w:tcPr>
            <w:tcW w:w="1559" w:type="dxa"/>
            <w:gridSpan w:val="2"/>
            <w:tcBorders>
              <w:top w:val="single" w:color="000000" w:sz="4" w:space="0"/>
              <w:left w:val="nil"/>
              <w:bottom w:val="single" w:color="000000" w:sz="4" w:space="0"/>
              <w:right w:val="single" w:color="000000" w:sz="4" w:space="0"/>
            </w:tcBorders>
          </w:tcPr>
          <w:p w14:paraId="35F40940">
            <w:pPr>
              <w:shd w:val="clear"/>
              <w:spacing w:line="360" w:lineRule="auto"/>
              <w:jc w:val="center"/>
              <w:rPr>
                <w:rFonts w:eastAsia="宋体" w:cs="宋体"/>
                <w:color w:val="000000"/>
                <w:sz w:val="24"/>
                <w:szCs w:val="24"/>
              </w:rPr>
            </w:pPr>
          </w:p>
        </w:tc>
        <w:tc>
          <w:tcPr>
            <w:tcW w:w="1417" w:type="dxa"/>
            <w:gridSpan w:val="2"/>
            <w:tcBorders>
              <w:top w:val="single" w:color="000000" w:sz="4" w:space="0"/>
              <w:left w:val="nil"/>
              <w:bottom w:val="single" w:color="000000" w:sz="4" w:space="0"/>
              <w:right w:val="single" w:color="000000" w:sz="4" w:space="0"/>
            </w:tcBorders>
          </w:tcPr>
          <w:p w14:paraId="6E13B663">
            <w:pPr>
              <w:shd w:val="clear"/>
              <w:spacing w:line="360" w:lineRule="auto"/>
              <w:jc w:val="center"/>
              <w:rPr>
                <w:rFonts w:eastAsia="宋体" w:cs="宋体"/>
                <w:color w:val="000000"/>
                <w:sz w:val="24"/>
                <w:szCs w:val="24"/>
              </w:rPr>
            </w:pPr>
            <w:r>
              <w:rPr>
                <w:rFonts w:hint="eastAsia" w:eastAsia="宋体" w:cs="宋体"/>
                <w:color w:val="000000"/>
                <w:sz w:val="24"/>
                <w:szCs w:val="24"/>
              </w:rPr>
              <w:t>年龄</w:t>
            </w:r>
          </w:p>
        </w:tc>
        <w:tc>
          <w:tcPr>
            <w:tcW w:w="1466" w:type="dxa"/>
            <w:gridSpan w:val="2"/>
            <w:tcBorders>
              <w:top w:val="single" w:color="000000" w:sz="4" w:space="0"/>
              <w:left w:val="nil"/>
              <w:bottom w:val="single" w:color="000000" w:sz="4" w:space="0"/>
              <w:right w:val="single" w:color="000000" w:sz="4" w:space="0"/>
            </w:tcBorders>
          </w:tcPr>
          <w:p w14:paraId="0548E184">
            <w:pPr>
              <w:shd w:val="clear"/>
              <w:spacing w:line="360" w:lineRule="auto"/>
              <w:jc w:val="center"/>
              <w:rPr>
                <w:rFonts w:eastAsia="宋体" w:cs="宋体"/>
                <w:color w:val="000000"/>
                <w:sz w:val="24"/>
                <w:szCs w:val="24"/>
              </w:rPr>
            </w:pPr>
          </w:p>
        </w:tc>
        <w:tc>
          <w:tcPr>
            <w:tcW w:w="1320" w:type="dxa"/>
            <w:tcBorders>
              <w:top w:val="single" w:color="000000" w:sz="4" w:space="0"/>
              <w:left w:val="nil"/>
              <w:bottom w:val="single" w:color="000000" w:sz="4" w:space="0"/>
              <w:right w:val="single" w:color="000000" w:sz="4" w:space="0"/>
            </w:tcBorders>
          </w:tcPr>
          <w:p w14:paraId="580027A5">
            <w:pPr>
              <w:shd w:val="clear"/>
              <w:spacing w:line="360" w:lineRule="auto"/>
              <w:jc w:val="center"/>
              <w:rPr>
                <w:rFonts w:eastAsia="宋体" w:cs="宋体"/>
                <w:color w:val="000000"/>
                <w:sz w:val="24"/>
                <w:szCs w:val="24"/>
              </w:rPr>
            </w:pPr>
            <w:r>
              <w:rPr>
                <w:rFonts w:hint="eastAsia" w:eastAsia="宋体" w:cs="宋体"/>
                <w:color w:val="000000"/>
                <w:sz w:val="24"/>
                <w:szCs w:val="24"/>
              </w:rPr>
              <w:t>性别</w:t>
            </w:r>
          </w:p>
        </w:tc>
        <w:tc>
          <w:tcPr>
            <w:tcW w:w="1467" w:type="dxa"/>
            <w:tcBorders>
              <w:top w:val="single" w:color="000000" w:sz="4" w:space="0"/>
              <w:left w:val="nil"/>
              <w:bottom w:val="single" w:color="000000" w:sz="4" w:space="0"/>
              <w:right w:val="single" w:color="000000" w:sz="4" w:space="0"/>
            </w:tcBorders>
          </w:tcPr>
          <w:p w14:paraId="18FDC29B">
            <w:pPr>
              <w:shd w:val="clear"/>
              <w:spacing w:line="360" w:lineRule="auto"/>
              <w:jc w:val="center"/>
              <w:rPr>
                <w:rFonts w:eastAsia="宋体" w:cs="宋体"/>
                <w:color w:val="000000"/>
                <w:sz w:val="24"/>
                <w:szCs w:val="24"/>
              </w:rPr>
            </w:pPr>
          </w:p>
        </w:tc>
      </w:tr>
      <w:tr w14:paraId="4E19E9F3">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02281855">
            <w:pPr>
              <w:shd w:val="clear"/>
              <w:spacing w:line="360" w:lineRule="auto"/>
              <w:jc w:val="center"/>
              <w:rPr>
                <w:rFonts w:eastAsia="宋体" w:cs="宋体"/>
                <w:color w:val="000000"/>
                <w:sz w:val="24"/>
                <w:szCs w:val="24"/>
              </w:rPr>
            </w:pPr>
            <w:r>
              <w:rPr>
                <w:rFonts w:hint="eastAsia" w:eastAsia="宋体" w:cs="宋体"/>
                <w:color w:val="000000"/>
                <w:sz w:val="24"/>
                <w:szCs w:val="24"/>
              </w:rPr>
              <w:t>职务职称</w:t>
            </w:r>
          </w:p>
        </w:tc>
        <w:tc>
          <w:tcPr>
            <w:tcW w:w="2976" w:type="dxa"/>
            <w:gridSpan w:val="4"/>
            <w:tcBorders>
              <w:top w:val="single" w:color="000000" w:sz="4" w:space="0"/>
              <w:left w:val="nil"/>
              <w:bottom w:val="single" w:color="000000" w:sz="4" w:space="0"/>
              <w:right w:val="single" w:color="000000" w:sz="4" w:space="0"/>
            </w:tcBorders>
          </w:tcPr>
          <w:p w14:paraId="573A2FD9">
            <w:pPr>
              <w:shd w:val="clear"/>
              <w:spacing w:line="360" w:lineRule="auto"/>
              <w:rPr>
                <w:rFonts w:eastAsia="宋体" w:cs="宋体"/>
                <w:color w:val="000000"/>
                <w:sz w:val="24"/>
                <w:szCs w:val="24"/>
              </w:rPr>
            </w:pPr>
          </w:p>
        </w:tc>
        <w:tc>
          <w:tcPr>
            <w:tcW w:w="1466" w:type="dxa"/>
            <w:gridSpan w:val="2"/>
            <w:tcBorders>
              <w:top w:val="single" w:color="000000" w:sz="4" w:space="0"/>
              <w:left w:val="nil"/>
              <w:bottom w:val="single" w:color="000000" w:sz="4" w:space="0"/>
              <w:right w:val="single" w:color="000000" w:sz="4" w:space="0"/>
            </w:tcBorders>
          </w:tcPr>
          <w:p w14:paraId="6E4A6FCC">
            <w:pPr>
              <w:shd w:val="clear"/>
              <w:spacing w:line="360" w:lineRule="auto"/>
              <w:rPr>
                <w:rFonts w:eastAsia="宋体" w:cs="宋体"/>
                <w:color w:val="000000"/>
                <w:sz w:val="24"/>
                <w:szCs w:val="24"/>
              </w:rPr>
            </w:pPr>
            <w:r>
              <w:rPr>
                <w:rFonts w:hint="eastAsia" w:eastAsia="宋体" w:cs="宋体"/>
                <w:color w:val="000000"/>
                <w:sz w:val="24"/>
                <w:szCs w:val="24"/>
              </w:rPr>
              <w:t>执业资格</w:t>
            </w:r>
          </w:p>
        </w:tc>
        <w:tc>
          <w:tcPr>
            <w:tcW w:w="2787" w:type="dxa"/>
            <w:gridSpan w:val="2"/>
            <w:tcBorders>
              <w:top w:val="single" w:color="000000" w:sz="4" w:space="0"/>
              <w:left w:val="nil"/>
              <w:bottom w:val="single" w:color="000000" w:sz="4" w:space="0"/>
              <w:right w:val="single" w:color="000000" w:sz="4" w:space="0"/>
            </w:tcBorders>
          </w:tcPr>
          <w:p w14:paraId="38AFDF65">
            <w:pPr>
              <w:shd w:val="clear"/>
              <w:spacing w:line="360" w:lineRule="auto"/>
              <w:rPr>
                <w:rFonts w:eastAsia="宋体" w:cs="宋体"/>
                <w:color w:val="000000"/>
                <w:sz w:val="24"/>
                <w:szCs w:val="24"/>
              </w:rPr>
            </w:pPr>
          </w:p>
        </w:tc>
      </w:tr>
      <w:tr w14:paraId="164E2FEB">
        <w:tblPrEx>
          <w:tblCellMar>
            <w:top w:w="0" w:type="dxa"/>
            <w:left w:w="108" w:type="dxa"/>
            <w:bottom w:w="0" w:type="dxa"/>
            <w:right w:w="108" w:type="dxa"/>
          </w:tblCellMar>
        </w:tblPrEx>
        <w:trPr>
          <w:cantSplit/>
          <w:trHeight w:val="2234" w:hRule="atLeas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5330FB53">
            <w:pPr>
              <w:shd w:val="clear"/>
              <w:spacing w:line="360" w:lineRule="auto"/>
              <w:jc w:val="center"/>
              <w:rPr>
                <w:rFonts w:eastAsia="宋体" w:cs="宋体"/>
                <w:color w:val="000000"/>
                <w:sz w:val="24"/>
                <w:szCs w:val="24"/>
              </w:rPr>
            </w:pPr>
            <w:r>
              <w:rPr>
                <w:rFonts w:hint="eastAsia" w:eastAsia="宋体" w:cs="宋体"/>
                <w:color w:val="000000"/>
                <w:sz w:val="24"/>
                <w:szCs w:val="24"/>
              </w:rPr>
              <w:t>经营范围</w:t>
            </w:r>
          </w:p>
        </w:tc>
        <w:tc>
          <w:tcPr>
            <w:tcW w:w="7229" w:type="dxa"/>
            <w:gridSpan w:val="8"/>
            <w:tcBorders>
              <w:top w:val="single" w:color="000000" w:sz="4" w:space="0"/>
              <w:left w:val="nil"/>
              <w:bottom w:val="single" w:color="000000" w:sz="4" w:space="0"/>
              <w:right w:val="single" w:color="000000" w:sz="4" w:space="0"/>
            </w:tcBorders>
          </w:tcPr>
          <w:p w14:paraId="19267626">
            <w:pPr>
              <w:shd w:val="clear"/>
              <w:spacing w:line="360" w:lineRule="auto"/>
              <w:rPr>
                <w:rFonts w:eastAsia="宋体" w:cs="宋体"/>
                <w:color w:val="000000"/>
                <w:sz w:val="24"/>
                <w:szCs w:val="24"/>
              </w:rPr>
            </w:pPr>
            <w:r>
              <w:rPr>
                <w:rFonts w:hint="eastAsia" w:eastAsia="宋体" w:cs="宋体"/>
                <w:color w:val="000000"/>
                <w:sz w:val="24"/>
                <w:szCs w:val="24"/>
              </w:rPr>
              <w:t>营业执照载明：</w:t>
            </w:r>
          </w:p>
          <w:p w14:paraId="738F3EDB">
            <w:pPr>
              <w:shd w:val="clear"/>
              <w:spacing w:line="360" w:lineRule="auto"/>
              <w:rPr>
                <w:rFonts w:eastAsia="宋体" w:cs="宋体"/>
                <w:color w:val="000000"/>
                <w:sz w:val="24"/>
                <w:szCs w:val="24"/>
                <w:u w:val="single"/>
              </w:rPr>
            </w:pPr>
            <w:r>
              <w:rPr>
                <w:rFonts w:hint="eastAsia" w:eastAsia="宋体" w:cs="宋体"/>
                <w:color w:val="000000"/>
                <w:sz w:val="24"/>
                <w:szCs w:val="24"/>
              </w:rPr>
              <w:t>1.</w:t>
            </w:r>
            <w:r>
              <w:rPr>
                <w:rFonts w:hint="eastAsia" w:eastAsia="宋体" w:cs="宋体"/>
                <w:color w:val="000000"/>
                <w:sz w:val="24"/>
                <w:szCs w:val="24"/>
                <w:u w:val="single"/>
              </w:rPr>
              <w:t xml:space="preserve">                                               </w:t>
            </w:r>
          </w:p>
          <w:p w14:paraId="596B5A75">
            <w:pPr>
              <w:shd w:val="clear"/>
              <w:spacing w:line="360" w:lineRule="auto"/>
              <w:rPr>
                <w:rFonts w:eastAsia="宋体" w:cs="宋体"/>
                <w:color w:val="000000"/>
                <w:sz w:val="24"/>
                <w:szCs w:val="24"/>
                <w:u w:val="single"/>
              </w:rPr>
            </w:pPr>
            <w:r>
              <w:rPr>
                <w:rFonts w:hint="eastAsia" w:eastAsia="宋体" w:cs="宋体"/>
                <w:color w:val="000000"/>
                <w:sz w:val="24"/>
                <w:szCs w:val="24"/>
              </w:rPr>
              <w:t>2.</w:t>
            </w:r>
            <w:r>
              <w:rPr>
                <w:rFonts w:hint="eastAsia" w:eastAsia="宋体" w:cs="宋体"/>
                <w:color w:val="000000"/>
                <w:sz w:val="24"/>
                <w:szCs w:val="24"/>
                <w:u w:val="single"/>
              </w:rPr>
              <w:t xml:space="preserve">                                               </w:t>
            </w:r>
          </w:p>
          <w:p w14:paraId="067A20EF">
            <w:pPr>
              <w:shd w:val="clear"/>
              <w:spacing w:line="360" w:lineRule="auto"/>
              <w:rPr>
                <w:rFonts w:eastAsia="宋体" w:cs="宋体"/>
                <w:color w:val="000000"/>
                <w:sz w:val="24"/>
                <w:szCs w:val="24"/>
              </w:rPr>
            </w:pPr>
            <w:r>
              <w:rPr>
                <w:rFonts w:hint="eastAsia" w:eastAsia="宋体" w:cs="宋体"/>
                <w:color w:val="000000"/>
                <w:sz w:val="24"/>
                <w:szCs w:val="24"/>
              </w:rPr>
              <w:t>………………………</w:t>
            </w:r>
          </w:p>
        </w:tc>
      </w:tr>
      <w:tr w14:paraId="58BBA888">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vAlign w:val="center"/>
          </w:tcPr>
          <w:p w14:paraId="5090FB99">
            <w:pPr>
              <w:shd w:val="clear"/>
              <w:spacing w:line="360" w:lineRule="auto"/>
              <w:rPr>
                <w:rFonts w:eastAsia="宋体" w:cs="宋体"/>
                <w:color w:val="000000"/>
                <w:sz w:val="24"/>
                <w:szCs w:val="24"/>
              </w:rPr>
            </w:pPr>
            <w:r>
              <w:rPr>
                <w:rFonts w:hint="eastAsia" w:eastAsia="宋体" w:cs="宋体"/>
                <w:color w:val="000000"/>
                <w:sz w:val="24"/>
                <w:szCs w:val="24"/>
              </w:rPr>
              <w:t>从事类似相关项目的经历及年数</w:t>
            </w:r>
          </w:p>
        </w:tc>
        <w:tc>
          <w:tcPr>
            <w:tcW w:w="6521" w:type="dxa"/>
            <w:gridSpan w:val="7"/>
            <w:tcBorders>
              <w:top w:val="single" w:color="000000" w:sz="4" w:space="0"/>
              <w:left w:val="nil"/>
              <w:bottom w:val="single" w:color="000000" w:sz="4" w:space="0"/>
              <w:right w:val="single" w:color="000000" w:sz="4" w:space="0"/>
            </w:tcBorders>
          </w:tcPr>
          <w:p w14:paraId="65110362">
            <w:pPr>
              <w:shd w:val="clear"/>
              <w:spacing w:line="360" w:lineRule="auto"/>
              <w:rPr>
                <w:rFonts w:eastAsia="宋体" w:cs="宋体"/>
                <w:color w:val="000000"/>
                <w:sz w:val="24"/>
                <w:szCs w:val="24"/>
              </w:rPr>
            </w:pPr>
          </w:p>
        </w:tc>
      </w:tr>
      <w:tr w14:paraId="14847BB5">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vAlign w:val="center"/>
          </w:tcPr>
          <w:p w14:paraId="323D52C2">
            <w:pPr>
              <w:shd w:val="clear"/>
              <w:spacing w:line="360" w:lineRule="auto"/>
              <w:rPr>
                <w:rFonts w:eastAsia="宋体" w:cs="宋体"/>
                <w:color w:val="000000"/>
                <w:sz w:val="24"/>
                <w:szCs w:val="24"/>
              </w:rPr>
            </w:pPr>
            <w:r>
              <w:rPr>
                <w:rFonts w:hint="eastAsia" w:eastAsia="宋体" w:cs="宋体"/>
                <w:color w:val="000000"/>
                <w:sz w:val="24"/>
                <w:szCs w:val="24"/>
              </w:rPr>
              <w:t>其他认为有必要提供的内容，可自行添加</w:t>
            </w:r>
          </w:p>
        </w:tc>
        <w:tc>
          <w:tcPr>
            <w:tcW w:w="6521" w:type="dxa"/>
            <w:gridSpan w:val="7"/>
            <w:tcBorders>
              <w:top w:val="single" w:color="000000" w:sz="4" w:space="0"/>
              <w:left w:val="nil"/>
              <w:bottom w:val="single" w:color="000000" w:sz="4" w:space="0"/>
              <w:right w:val="single" w:color="000000" w:sz="4" w:space="0"/>
            </w:tcBorders>
          </w:tcPr>
          <w:p w14:paraId="759C9EC9">
            <w:pPr>
              <w:shd w:val="clear"/>
              <w:spacing w:line="360" w:lineRule="auto"/>
              <w:rPr>
                <w:rFonts w:eastAsia="宋体" w:cs="宋体"/>
                <w:color w:val="000000"/>
                <w:sz w:val="24"/>
                <w:szCs w:val="24"/>
              </w:rPr>
            </w:pPr>
          </w:p>
        </w:tc>
      </w:tr>
    </w:tbl>
    <w:p w14:paraId="398A9DCE">
      <w:pPr>
        <w:shd w:val="clear"/>
        <w:spacing w:line="360" w:lineRule="auto"/>
        <w:ind w:firstLine="480"/>
        <w:jc w:val="right"/>
        <w:rPr>
          <w:rFonts w:eastAsia="宋体" w:cs="宋体"/>
          <w:color w:val="000000"/>
          <w:sz w:val="24"/>
          <w:szCs w:val="24"/>
        </w:rPr>
      </w:pPr>
    </w:p>
    <w:p w14:paraId="15D4B384">
      <w:pPr>
        <w:shd w:val="clear"/>
        <w:snapToGrid w:val="0"/>
        <w:spacing w:line="360" w:lineRule="auto"/>
        <w:jc w:val="right"/>
        <w:outlineLvl w:val="4"/>
        <w:rPr>
          <w:rFonts w:hint="eastAsia" w:ascii="宋体" w:hAnsi="宋体" w:eastAsia="宋体" w:cs="宋体"/>
          <w:bCs/>
          <w:sz w:val="24"/>
        </w:rPr>
      </w:pPr>
      <w:r>
        <w:rPr>
          <w:rFonts w:hint="eastAsia" w:ascii="宋体" w:hAnsi="宋体" w:eastAsia="宋体" w:cs="宋体"/>
          <w:bCs/>
          <w:sz w:val="24"/>
        </w:rPr>
        <w:t xml:space="preserve">投标人（加盖CA电子签章）： </w:t>
      </w:r>
    </w:p>
    <w:p w14:paraId="1BF793F7">
      <w:pPr>
        <w:shd w:val="clear"/>
        <w:snapToGrid w:val="0"/>
        <w:spacing w:line="360" w:lineRule="auto"/>
        <w:jc w:val="right"/>
        <w:outlineLvl w:val="4"/>
        <w:rPr>
          <w:rFonts w:hint="eastAsia"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03F42960">
      <w:pPr>
        <w:shd w:val="clear"/>
        <w:spacing w:line="360" w:lineRule="auto"/>
        <w:ind w:firstLine="480"/>
        <w:jc w:val="right"/>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48E3F5A8">
      <w:pPr>
        <w:shd w:val="clear"/>
        <w:rPr>
          <w:rFonts w:eastAsia="宋体" w:cs="宋体"/>
          <w:b/>
          <w:bCs/>
          <w:color w:val="000000"/>
          <w:sz w:val="28"/>
          <w:szCs w:val="28"/>
        </w:rPr>
      </w:pPr>
    </w:p>
    <w:p w14:paraId="6C540732">
      <w:pPr>
        <w:shd w:val="clear"/>
        <w:rPr>
          <w:rFonts w:eastAsia="宋体" w:cs="宋体"/>
          <w:b/>
          <w:bCs/>
          <w:color w:val="000000"/>
          <w:sz w:val="28"/>
          <w:szCs w:val="28"/>
        </w:rPr>
      </w:pPr>
      <w:r>
        <w:rPr>
          <w:rFonts w:hint="eastAsia" w:eastAsia="宋体" w:cs="宋体"/>
          <w:b/>
          <w:bCs/>
          <w:color w:val="000000"/>
          <w:sz w:val="28"/>
          <w:szCs w:val="28"/>
        </w:rPr>
        <w:br w:type="page"/>
      </w:r>
    </w:p>
    <w:p w14:paraId="6EA4E8D8">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附件5：</w:t>
      </w:r>
    </w:p>
    <w:p w14:paraId="4785A506">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投标人符合《政府采购法》第二十二条规定条件的声明函</w:t>
      </w:r>
    </w:p>
    <w:p w14:paraId="6D18A913">
      <w:pPr>
        <w:shd w:val="clear"/>
        <w:spacing w:line="360" w:lineRule="auto"/>
        <w:rPr>
          <w:rFonts w:eastAsia="宋体" w:cs="宋体"/>
          <w:color w:val="000000"/>
          <w:sz w:val="24"/>
          <w:szCs w:val="21"/>
          <w:u w:val="single"/>
        </w:rPr>
      </w:pPr>
    </w:p>
    <w:p w14:paraId="661B2C32">
      <w:pPr>
        <w:shd w:val="clear"/>
        <w:spacing w:line="360" w:lineRule="auto"/>
        <w:ind w:firstLine="480"/>
        <w:rPr>
          <w:rFonts w:eastAsia="宋体" w:cs="宋体"/>
          <w:b/>
          <w:bCs/>
          <w:color w:val="000000"/>
          <w:sz w:val="24"/>
          <w:szCs w:val="21"/>
        </w:rPr>
      </w:pPr>
      <w:r>
        <w:rPr>
          <w:rFonts w:hint="eastAsia" w:eastAsia="宋体" w:cs="宋体"/>
          <w:bCs/>
          <w:color w:val="000000"/>
          <w:sz w:val="24"/>
          <w:szCs w:val="21"/>
        </w:rPr>
        <w:t>我单位参加</w:t>
      </w:r>
      <w:r>
        <w:rPr>
          <w:rFonts w:hint="eastAsia" w:eastAsia="宋体" w:cs="宋体"/>
          <w:bCs/>
          <w:color w:val="000000"/>
          <w:sz w:val="24"/>
          <w:szCs w:val="21"/>
          <w:u w:val="single"/>
        </w:rPr>
        <w:t xml:space="preserve">                   </w:t>
      </w:r>
      <w:r>
        <w:rPr>
          <w:rFonts w:hint="eastAsia" w:eastAsia="宋体" w:cs="宋体"/>
          <w:bCs/>
          <w:color w:val="000000"/>
          <w:sz w:val="24"/>
          <w:szCs w:val="21"/>
        </w:rPr>
        <w:t>（项目名称），</w:t>
      </w:r>
      <w:r>
        <w:rPr>
          <w:rFonts w:hint="eastAsia" w:eastAsia="宋体" w:cs="宋体"/>
          <w:bCs/>
          <w:color w:val="000000"/>
          <w:sz w:val="24"/>
          <w:szCs w:val="21"/>
          <w:u w:val="single"/>
        </w:rPr>
        <w:t xml:space="preserve">               </w:t>
      </w:r>
      <w:r>
        <w:rPr>
          <w:rFonts w:hint="eastAsia" w:eastAsia="宋体" w:cs="宋体"/>
          <w:bCs/>
          <w:color w:val="000000"/>
          <w:sz w:val="24"/>
          <w:szCs w:val="21"/>
        </w:rPr>
        <w:t>（项目编号）投标活动。针对《中华人民共和国政府采购法》第二十二条规定做出如下声明：</w:t>
      </w:r>
    </w:p>
    <w:p w14:paraId="3B7B6264">
      <w:pPr>
        <w:shd w:val="clear"/>
        <w:spacing w:line="360" w:lineRule="auto"/>
        <w:ind w:firstLine="480"/>
        <w:rPr>
          <w:rFonts w:eastAsia="宋体" w:cs="宋体"/>
          <w:color w:val="000000"/>
          <w:sz w:val="24"/>
          <w:szCs w:val="21"/>
        </w:rPr>
      </w:pPr>
      <w:r>
        <w:rPr>
          <w:rFonts w:hint="eastAsia" w:eastAsia="宋体" w:cs="宋体"/>
          <w:bCs/>
          <w:color w:val="000000"/>
          <w:sz w:val="24"/>
          <w:szCs w:val="21"/>
        </w:rPr>
        <w:t>1.我单位具有独立承担民事责任的能力；</w:t>
      </w:r>
    </w:p>
    <w:p w14:paraId="077A6335">
      <w:pPr>
        <w:shd w:val="clear"/>
        <w:spacing w:line="360" w:lineRule="auto"/>
        <w:ind w:firstLine="480"/>
        <w:rPr>
          <w:rFonts w:eastAsia="宋体" w:cs="宋体"/>
          <w:color w:val="000000"/>
          <w:sz w:val="24"/>
          <w:szCs w:val="21"/>
        </w:rPr>
      </w:pPr>
      <w:r>
        <w:rPr>
          <w:rFonts w:hint="eastAsia" w:eastAsia="宋体" w:cs="宋体"/>
          <w:color w:val="000000"/>
          <w:sz w:val="24"/>
          <w:szCs w:val="21"/>
        </w:rPr>
        <w:t>2.我单位具有良好的商业信誉和健全的财务会计制度；</w:t>
      </w:r>
    </w:p>
    <w:p w14:paraId="7D3CA9AA">
      <w:pPr>
        <w:shd w:val="clear"/>
        <w:spacing w:line="360" w:lineRule="auto"/>
        <w:ind w:firstLine="480"/>
        <w:rPr>
          <w:rFonts w:eastAsia="宋体" w:cs="宋体"/>
          <w:color w:val="000000"/>
          <w:sz w:val="24"/>
          <w:szCs w:val="21"/>
        </w:rPr>
      </w:pPr>
      <w:r>
        <w:rPr>
          <w:rFonts w:hint="eastAsia" w:eastAsia="宋体" w:cs="宋体"/>
          <w:color w:val="000000"/>
          <w:sz w:val="24"/>
          <w:szCs w:val="21"/>
        </w:rPr>
        <w:t>3.我单位具有履行合同所必需的设备和专业技术能力；</w:t>
      </w:r>
    </w:p>
    <w:p w14:paraId="1B45CE8E">
      <w:pPr>
        <w:shd w:val="clear"/>
        <w:spacing w:line="360" w:lineRule="auto"/>
        <w:ind w:firstLine="480"/>
        <w:rPr>
          <w:rFonts w:eastAsia="宋体" w:cs="宋体"/>
          <w:color w:val="000000"/>
          <w:sz w:val="24"/>
          <w:szCs w:val="21"/>
        </w:rPr>
      </w:pPr>
      <w:r>
        <w:rPr>
          <w:rFonts w:hint="eastAsia" w:eastAsia="宋体" w:cs="宋体"/>
          <w:color w:val="000000"/>
          <w:sz w:val="24"/>
          <w:szCs w:val="21"/>
        </w:rPr>
        <w:t>4.我单位有依法缴纳税收和社会保障资金的良好记录；</w:t>
      </w:r>
    </w:p>
    <w:p w14:paraId="6011D15C">
      <w:pPr>
        <w:shd w:val="clear"/>
        <w:spacing w:line="360" w:lineRule="auto"/>
        <w:ind w:firstLine="480"/>
        <w:rPr>
          <w:rFonts w:eastAsia="宋体" w:cs="宋体"/>
          <w:color w:val="000000"/>
          <w:sz w:val="24"/>
          <w:szCs w:val="21"/>
        </w:rPr>
      </w:pPr>
      <w:r>
        <w:rPr>
          <w:rFonts w:hint="eastAsia" w:eastAsia="宋体" w:cs="宋体"/>
          <w:color w:val="000000"/>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699A3F8">
      <w:pPr>
        <w:shd w:val="clear"/>
        <w:spacing w:line="360" w:lineRule="auto"/>
        <w:ind w:firstLine="480"/>
        <w:rPr>
          <w:rFonts w:eastAsia="宋体" w:cs="宋体"/>
          <w:bCs/>
          <w:color w:val="000000"/>
          <w:sz w:val="24"/>
          <w:szCs w:val="21"/>
        </w:rPr>
      </w:pPr>
      <w:r>
        <w:rPr>
          <w:rFonts w:hint="eastAsia" w:eastAsia="宋体" w:cs="宋体"/>
          <w:color w:val="000000"/>
          <w:sz w:val="24"/>
          <w:szCs w:val="21"/>
        </w:rPr>
        <w:t>6.我单位满足法律、行政法规规定的其他条件。</w:t>
      </w:r>
    </w:p>
    <w:p w14:paraId="6F3429FF">
      <w:pPr>
        <w:pStyle w:val="13"/>
        <w:shd w:val="clear"/>
        <w:spacing w:line="360" w:lineRule="auto"/>
        <w:ind w:firstLine="560"/>
        <w:rPr>
          <w:rFonts w:ascii="Times New Roman" w:eastAsia="宋体" w:cs="宋体"/>
          <w:color w:val="000000"/>
        </w:rPr>
      </w:pPr>
    </w:p>
    <w:p w14:paraId="3F3C11B9">
      <w:pPr>
        <w:shd w:val="clear"/>
        <w:snapToGrid w:val="0"/>
        <w:spacing w:line="360" w:lineRule="auto"/>
        <w:jc w:val="center"/>
        <w:outlineLvl w:val="4"/>
        <w:rPr>
          <w:rFonts w:hint="eastAsia" w:ascii="宋体" w:hAnsi="宋体" w:eastAsia="宋体" w:cs="宋体"/>
          <w:bCs/>
          <w:sz w:val="24"/>
        </w:rPr>
      </w:pPr>
      <w:r>
        <w:rPr>
          <w:rFonts w:hint="eastAsia" w:ascii="宋体" w:hAnsi="宋体" w:eastAsia="宋体" w:cs="宋体"/>
          <w:bCs/>
          <w:sz w:val="24"/>
        </w:rPr>
        <w:t xml:space="preserve"> 投标人（加盖CA电子签章）： </w:t>
      </w:r>
    </w:p>
    <w:p w14:paraId="7E80CA3C">
      <w:pPr>
        <w:shd w:val="clear"/>
        <w:spacing w:line="360" w:lineRule="auto"/>
        <w:ind w:firstLine="566"/>
        <w:rPr>
          <w:rFonts w:hint="eastAsia"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2DDB4C72">
      <w:pPr>
        <w:shd w:val="clear"/>
        <w:spacing w:line="360" w:lineRule="auto"/>
        <w:ind w:firstLine="2920" w:firstLineChars="1217"/>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51107393">
      <w:pPr>
        <w:pStyle w:val="13"/>
        <w:shd w:val="clear"/>
        <w:spacing w:line="360" w:lineRule="auto"/>
        <w:ind w:firstLine="560"/>
        <w:rPr>
          <w:rFonts w:ascii="Times New Roman" w:eastAsia="宋体" w:cs="宋体"/>
          <w:color w:val="000000"/>
        </w:rPr>
      </w:pPr>
    </w:p>
    <w:p w14:paraId="7F2EB726">
      <w:pPr>
        <w:shd w:val="clear"/>
        <w:spacing w:line="360" w:lineRule="auto"/>
        <w:jc w:val="center"/>
        <w:outlineLvl w:val="3"/>
        <w:rPr>
          <w:rFonts w:eastAsia="宋体" w:cs="宋体"/>
          <w:color w:val="000000"/>
          <w:sz w:val="24"/>
          <w:szCs w:val="21"/>
        </w:rPr>
      </w:pPr>
      <w:r>
        <w:rPr>
          <w:rFonts w:hint="eastAsia" w:eastAsia="宋体" w:cs="宋体"/>
          <w:color w:val="000000"/>
          <w:sz w:val="24"/>
          <w:szCs w:val="21"/>
        </w:rPr>
        <w:br w:type="page" w:clear="all"/>
      </w:r>
    </w:p>
    <w:p w14:paraId="3E352A76">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附件6：</w:t>
      </w:r>
    </w:p>
    <w:p w14:paraId="18AABBE0">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法定代表人身份证明</w:t>
      </w:r>
    </w:p>
    <w:p w14:paraId="68F62D08">
      <w:pPr>
        <w:shd w:val="clear"/>
        <w:spacing w:line="360" w:lineRule="auto"/>
        <w:jc w:val="center"/>
        <w:rPr>
          <w:rFonts w:eastAsia="宋体" w:cs="宋体"/>
          <w:color w:val="000000"/>
          <w:sz w:val="24"/>
          <w:szCs w:val="21"/>
          <w:u w:val="single"/>
        </w:rPr>
      </w:pPr>
      <w:r>
        <w:rPr>
          <w:rFonts w:hint="eastAsia" w:eastAsia="宋体" w:cs="宋体"/>
          <w:color w:val="000000"/>
          <w:sz w:val="24"/>
          <w:szCs w:val="21"/>
          <w:u w:val="single"/>
        </w:rPr>
        <w:t>（法定代表人参加投标时，须出示此证明）</w:t>
      </w:r>
    </w:p>
    <w:p w14:paraId="472A6FA3">
      <w:pPr>
        <w:shd w:val="clear"/>
        <w:spacing w:line="360" w:lineRule="auto"/>
        <w:jc w:val="center"/>
        <w:rPr>
          <w:rFonts w:eastAsia="宋体" w:cs="宋体"/>
          <w:color w:val="000000"/>
          <w:sz w:val="24"/>
          <w:szCs w:val="21"/>
        </w:rPr>
      </w:pPr>
    </w:p>
    <w:p w14:paraId="420990FD">
      <w:pPr>
        <w:shd w:val="clear"/>
        <w:spacing w:line="360" w:lineRule="auto"/>
        <w:rPr>
          <w:rFonts w:ascii="宋体" w:hAnsi="宋体" w:cs="宋体"/>
          <w:sz w:val="24"/>
        </w:rPr>
      </w:pPr>
    </w:p>
    <w:p w14:paraId="040C0C69">
      <w:pPr>
        <w:shd w:val="clear"/>
        <w:spacing w:line="360" w:lineRule="auto"/>
        <w:ind w:firstLine="480"/>
        <w:rPr>
          <w:rFonts w:ascii="宋体" w:hAnsi="宋体" w:cs="宋体"/>
          <w:sz w:val="24"/>
        </w:rPr>
      </w:pPr>
      <w:r>
        <w:rPr>
          <w:rFonts w:hint="eastAsia" w:ascii="宋体" w:hAnsi="宋体" w:eastAsia="宋体" w:cs="宋体"/>
          <w:sz w:val="24"/>
          <w:u w:val="single"/>
        </w:rPr>
        <w:t xml:space="preserve">        </w:t>
      </w:r>
      <w:r>
        <w:rPr>
          <w:rFonts w:hint="eastAsia" w:ascii="宋体" w:hAnsi="宋体" w:eastAsia="宋体" w:cs="宋体"/>
          <w:sz w:val="24"/>
        </w:rPr>
        <w:t>先生/女士： 现任我单位</w:t>
      </w:r>
      <w:r>
        <w:rPr>
          <w:rFonts w:hint="eastAsia" w:ascii="宋体" w:hAnsi="宋体" w:eastAsia="宋体" w:cs="宋体"/>
          <w:sz w:val="24"/>
          <w:u w:val="single"/>
        </w:rPr>
        <w:t xml:space="preserve">        </w:t>
      </w:r>
      <w:r>
        <w:rPr>
          <w:rFonts w:hint="eastAsia" w:ascii="宋体" w:hAnsi="宋体" w:eastAsia="宋体" w:cs="宋体"/>
          <w:sz w:val="24"/>
        </w:rPr>
        <w:t>职务，为法定代表人，特此证明。</w:t>
      </w:r>
    </w:p>
    <w:p w14:paraId="5D44CB18">
      <w:pPr>
        <w:shd w:val="clear"/>
        <w:spacing w:line="360" w:lineRule="auto"/>
        <w:rPr>
          <w:rFonts w:eastAsia="宋体" w:cs="宋体"/>
          <w:color w:val="000000"/>
          <w:sz w:val="24"/>
          <w:szCs w:val="21"/>
        </w:rPr>
      </w:pPr>
    </w:p>
    <w:p w14:paraId="33304557">
      <w:pPr>
        <w:shd w:val="clear"/>
        <w:spacing w:line="360" w:lineRule="auto"/>
        <w:ind w:firstLine="480"/>
        <w:rPr>
          <w:rFonts w:eastAsia="宋体" w:cs="宋体"/>
          <w:color w:val="000000"/>
          <w:sz w:val="24"/>
          <w:szCs w:val="21"/>
        </w:rPr>
      </w:pPr>
      <w:r>
        <w:rPr>
          <w:rFonts w:hint="eastAsia" w:eastAsia="宋体" w:cs="宋体"/>
          <w:color w:val="000000"/>
          <w:sz w:val="24"/>
          <w:szCs w:val="21"/>
        </w:rPr>
        <w:t>附：法定代表人情况：</w:t>
      </w:r>
    </w:p>
    <w:p w14:paraId="5DE0EA7A">
      <w:pPr>
        <w:shd w:val="clear"/>
        <w:spacing w:line="360" w:lineRule="auto"/>
        <w:ind w:firstLine="480"/>
        <w:rPr>
          <w:rFonts w:eastAsia="宋体" w:cs="宋体"/>
          <w:color w:val="000000"/>
          <w:sz w:val="24"/>
          <w:szCs w:val="21"/>
          <w:u w:val="single"/>
        </w:rPr>
      </w:pPr>
      <w:r>
        <w:rPr>
          <w:rFonts w:hint="eastAsia" w:eastAsia="宋体" w:cs="宋体"/>
          <w:color w:val="000000"/>
          <w:sz w:val="24"/>
          <w:szCs w:val="21"/>
        </w:rPr>
        <w:t>姓名：</w:t>
      </w:r>
      <w:r>
        <w:rPr>
          <w:rFonts w:hint="eastAsia" w:eastAsia="宋体" w:cs="宋体"/>
          <w:color w:val="000000"/>
          <w:sz w:val="24"/>
          <w:szCs w:val="21"/>
          <w:u w:val="single"/>
        </w:rPr>
        <w:t xml:space="preserve">         </w:t>
      </w:r>
      <w:r>
        <w:rPr>
          <w:rFonts w:hint="eastAsia" w:eastAsia="宋体" w:cs="宋体"/>
          <w:color w:val="000000"/>
          <w:sz w:val="24"/>
          <w:szCs w:val="21"/>
        </w:rPr>
        <w:t>性别：</w:t>
      </w:r>
      <w:r>
        <w:rPr>
          <w:rFonts w:hint="eastAsia" w:eastAsia="宋体" w:cs="宋体"/>
          <w:color w:val="000000"/>
          <w:sz w:val="24"/>
          <w:szCs w:val="21"/>
          <w:u w:val="single"/>
        </w:rPr>
        <w:t xml:space="preserve">    </w:t>
      </w:r>
      <w:r>
        <w:rPr>
          <w:rFonts w:hint="eastAsia" w:eastAsia="宋体" w:cs="宋体"/>
          <w:color w:val="000000"/>
          <w:sz w:val="24"/>
          <w:szCs w:val="21"/>
        </w:rPr>
        <w:t>年龄：</w:t>
      </w:r>
      <w:r>
        <w:rPr>
          <w:rFonts w:hint="eastAsia" w:eastAsia="宋体" w:cs="宋体"/>
          <w:color w:val="000000"/>
          <w:sz w:val="24"/>
          <w:szCs w:val="21"/>
          <w:u w:val="single"/>
        </w:rPr>
        <w:t xml:space="preserve">      </w:t>
      </w:r>
      <w:r>
        <w:rPr>
          <w:rFonts w:hint="eastAsia" w:eastAsia="宋体" w:cs="宋体"/>
          <w:color w:val="000000"/>
          <w:sz w:val="24"/>
          <w:szCs w:val="21"/>
        </w:rPr>
        <w:t>职务：</w:t>
      </w:r>
      <w:r>
        <w:rPr>
          <w:rFonts w:hint="eastAsia" w:eastAsia="宋体" w:cs="宋体"/>
          <w:color w:val="000000"/>
          <w:sz w:val="24"/>
          <w:szCs w:val="21"/>
          <w:u w:val="single"/>
        </w:rPr>
        <w:t xml:space="preserve">          </w:t>
      </w:r>
    </w:p>
    <w:p w14:paraId="18903C4A">
      <w:pPr>
        <w:shd w:val="clear"/>
        <w:spacing w:line="360" w:lineRule="auto"/>
        <w:ind w:firstLine="480"/>
        <w:rPr>
          <w:rFonts w:eastAsia="宋体" w:cs="宋体"/>
          <w:color w:val="000000"/>
          <w:sz w:val="24"/>
          <w:szCs w:val="21"/>
        </w:rPr>
      </w:pPr>
      <w:r>
        <w:rPr>
          <w:rFonts w:hint="eastAsia" w:eastAsia="宋体" w:cs="宋体"/>
          <w:color w:val="000000"/>
          <w:sz w:val="24"/>
          <w:szCs w:val="21"/>
        </w:rPr>
        <w:t>身份证号码：</w:t>
      </w:r>
      <w:r>
        <w:rPr>
          <w:rFonts w:hint="eastAsia" w:eastAsia="宋体" w:cs="宋体"/>
          <w:color w:val="000000"/>
          <w:sz w:val="24"/>
          <w:szCs w:val="21"/>
          <w:u w:val="single"/>
        </w:rPr>
        <w:t xml:space="preserve">                                         </w:t>
      </w:r>
    </w:p>
    <w:p w14:paraId="7065A0EC">
      <w:pPr>
        <w:shd w:val="clear"/>
        <w:spacing w:line="360" w:lineRule="auto"/>
        <w:ind w:firstLine="480"/>
        <w:rPr>
          <w:rFonts w:eastAsia="宋体" w:cs="宋体"/>
          <w:color w:val="000000"/>
          <w:sz w:val="24"/>
          <w:szCs w:val="21"/>
        </w:rPr>
      </w:pPr>
      <w:r>
        <w:rPr>
          <w:rFonts w:hint="eastAsia" w:eastAsia="宋体" w:cs="宋体"/>
          <w:color w:val="000000"/>
          <w:sz w:val="24"/>
          <w:szCs w:val="21"/>
        </w:rPr>
        <w:t>手机：</w:t>
      </w:r>
      <w:r>
        <w:rPr>
          <w:rFonts w:hint="eastAsia" w:eastAsia="宋体" w:cs="宋体"/>
          <w:color w:val="000000"/>
          <w:sz w:val="24"/>
          <w:szCs w:val="21"/>
          <w:u w:val="single"/>
        </w:rPr>
        <w:t xml:space="preserve">                  </w:t>
      </w:r>
      <w:r>
        <w:rPr>
          <w:rFonts w:hint="eastAsia" w:eastAsia="宋体" w:cs="宋体"/>
          <w:color w:val="000000"/>
          <w:sz w:val="24"/>
          <w:szCs w:val="21"/>
        </w:rPr>
        <w:t>传真：</w:t>
      </w:r>
      <w:r>
        <w:rPr>
          <w:rFonts w:hint="eastAsia" w:eastAsia="宋体" w:cs="宋体"/>
          <w:color w:val="000000"/>
          <w:sz w:val="24"/>
          <w:szCs w:val="21"/>
          <w:u w:val="single"/>
        </w:rPr>
        <w:t xml:space="preserve">                       </w:t>
      </w:r>
    </w:p>
    <w:p w14:paraId="05DB66DD">
      <w:pPr>
        <w:shd w:val="clear"/>
        <w:spacing w:line="360" w:lineRule="auto"/>
        <w:rPr>
          <w:rFonts w:eastAsia="宋体" w:cs="宋体"/>
          <w:b/>
          <w:bCs/>
          <w:color w:val="000000"/>
          <w:sz w:val="24"/>
          <w:szCs w:val="21"/>
        </w:rPr>
      </w:pPr>
    </w:p>
    <w:p w14:paraId="4D05D9C4">
      <w:pPr>
        <w:shd w:val="clear"/>
        <w:spacing w:line="360" w:lineRule="auto"/>
        <w:rPr>
          <w:rFonts w:eastAsia="宋体" w:cs="宋体"/>
          <w:color w:val="000000"/>
          <w:sz w:val="24"/>
          <w:szCs w:val="21"/>
        </w:rPr>
      </w:pPr>
      <w:r>
        <w:rPr>
          <w:rFonts w:hint="eastAsia" w:eastAsia="宋体" w:cs="宋体"/>
          <w:b/>
          <w:bCs/>
          <w:color w:val="000000"/>
          <w:sz w:val="24"/>
          <w:szCs w:val="21"/>
        </w:rPr>
        <w:t> 注：提供法定代表人的身份证复印件盖公章</w:t>
      </w:r>
    </w:p>
    <w:p w14:paraId="748017DB">
      <w:pPr>
        <w:shd w:val="clear"/>
        <w:spacing w:line="360" w:lineRule="auto"/>
        <w:rPr>
          <w:rFonts w:eastAsia="宋体" w:cs="宋体"/>
          <w:color w:val="000000"/>
          <w:sz w:val="24"/>
          <w:szCs w:val="21"/>
        </w:rPr>
      </w:pPr>
    </w:p>
    <w:p w14:paraId="71201CB9">
      <w:pPr>
        <w:shd w:val="clear"/>
        <w:spacing w:line="360" w:lineRule="auto"/>
        <w:ind w:firstLine="2920" w:firstLineChars="1217"/>
        <w:rPr>
          <w:rFonts w:hint="eastAsia" w:ascii="宋体" w:hAnsi="宋体" w:eastAsia="宋体" w:cs="宋体"/>
          <w:bCs/>
          <w:sz w:val="24"/>
        </w:rPr>
      </w:pPr>
    </w:p>
    <w:p w14:paraId="77FAE242">
      <w:pPr>
        <w:shd w:val="clear"/>
        <w:spacing w:line="360" w:lineRule="auto"/>
        <w:ind w:firstLine="2920" w:firstLineChars="1217"/>
        <w:rPr>
          <w:rFonts w:hint="eastAsia" w:ascii="宋体" w:hAnsi="宋体" w:eastAsia="宋体" w:cs="宋体"/>
          <w:bCs/>
          <w:sz w:val="24"/>
        </w:rPr>
      </w:pPr>
      <w:r>
        <w:rPr>
          <w:rFonts w:hint="eastAsia" w:ascii="宋体" w:hAnsi="宋体" w:eastAsia="宋体" w:cs="宋体"/>
          <w:bCs/>
          <w:sz w:val="24"/>
        </w:rPr>
        <w:t>投标人（加盖CA电子签章）：</w:t>
      </w:r>
    </w:p>
    <w:p w14:paraId="6EC70452">
      <w:pPr>
        <w:shd w:val="clear"/>
        <w:spacing w:line="360" w:lineRule="auto"/>
        <w:ind w:firstLine="2920" w:firstLineChars="1217"/>
        <w:rPr>
          <w:rFonts w:hint="eastAsia" w:ascii="宋体" w:hAnsi="宋体" w:eastAsia="宋体" w:cs="宋体"/>
          <w:bCs/>
          <w:sz w:val="24"/>
        </w:rPr>
      </w:pPr>
      <w:r>
        <w:rPr>
          <w:rFonts w:hint="eastAsia" w:eastAsia="宋体" w:cs="宋体"/>
          <w:color w:val="000000"/>
          <w:sz w:val="24"/>
          <w:szCs w:val="21"/>
        </w:rPr>
        <w:t>法定代表人（签字或加盖CA电子签章）</w:t>
      </w:r>
    </w:p>
    <w:p w14:paraId="63FDB1DA">
      <w:pPr>
        <w:shd w:val="clear"/>
        <w:spacing w:line="360" w:lineRule="auto"/>
        <w:ind w:firstLine="2920" w:firstLineChars="1217"/>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169CDFF9">
      <w:pPr>
        <w:shd w:val="clear"/>
        <w:spacing w:line="360" w:lineRule="auto"/>
        <w:rPr>
          <w:rFonts w:eastAsia="宋体" w:cs="宋体"/>
          <w:color w:val="000000"/>
          <w:sz w:val="24"/>
          <w:szCs w:val="21"/>
        </w:rPr>
      </w:pPr>
      <w:r>
        <w:rPr>
          <w:rFonts w:hint="eastAsia" w:eastAsia="宋体" w:cs="宋体"/>
          <w:color w:val="000000"/>
          <w:sz w:val="24"/>
          <w:szCs w:val="21"/>
        </w:rPr>
        <w:t xml:space="preserve">         </w:t>
      </w:r>
    </w:p>
    <w:p w14:paraId="1B491CE4">
      <w:pPr>
        <w:shd w:val="clear"/>
        <w:spacing w:line="360" w:lineRule="auto"/>
        <w:rPr>
          <w:rFonts w:eastAsia="宋体" w:cs="宋体"/>
          <w:color w:val="000000"/>
          <w:sz w:val="24"/>
          <w:szCs w:val="21"/>
        </w:rPr>
      </w:pPr>
    </w:p>
    <w:p w14:paraId="5EE60A9A">
      <w:pPr>
        <w:shd w:val="clear"/>
        <w:spacing w:line="360" w:lineRule="auto"/>
        <w:ind w:firstLine="720" w:firstLineChars="300"/>
        <w:rPr>
          <w:rFonts w:eastAsia="宋体" w:cs="宋体"/>
          <w:color w:val="000000"/>
          <w:sz w:val="24"/>
          <w:szCs w:val="21"/>
        </w:rPr>
      </w:pPr>
    </w:p>
    <w:p w14:paraId="3A31A37E">
      <w:pPr>
        <w:shd w:val="clear"/>
        <w:spacing w:line="360" w:lineRule="auto"/>
        <w:ind w:firstLine="720" w:firstLineChars="300"/>
        <w:rPr>
          <w:rFonts w:eastAsia="宋体" w:cs="宋体"/>
          <w:color w:val="000000"/>
          <w:sz w:val="24"/>
          <w:szCs w:val="21"/>
        </w:rPr>
      </w:pPr>
      <w:r>
        <w:rPr>
          <w:rFonts w:hint="eastAsia" w:eastAsia="宋体" w:cs="宋体"/>
          <w:color w:val="000000"/>
          <w:sz w:val="24"/>
          <w:szCs w:val="21"/>
        </w:rPr>
        <w:t xml:space="preserve"> </w:t>
      </w:r>
    </w:p>
    <w:p w14:paraId="1D59E1AE">
      <w:pPr>
        <w:shd w:val="clear"/>
        <w:spacing w:line="360" w:lineRule="auto"/>
        <w:rPr>
          <w:rFonts w:eastAsia="宋体" w:cs="宋体"/>
          <w:color w:val="000000"/>
          <w:sz w:val="24"/>
          <w:szCs w:val="21"/>
        </w:rPr>
      </w:pPr>
    </w:p>
    <w:p w14:paraId="1C339FF0">
      <w:pPr>
        <w:shd w:val="clear"/>
        <w:spacing w:line="360" w:lineRule="auto"/>
        <w:ind w:firstLine="480"/>
        <w:rPr>
          <w:rFonts w:eastAsia="宋体" w:cs="宋体"/>
          <w:color w:val="000000"/>
          <w:sz w:val="24"/>
          <w:szCs w:val="21"/>
        </w:rPr>
      </w:pPr>
    </w:p>
    <w:p w14:paraId="038B77DC">
      <w:pPr>
        <w:shd w:val="clear"/>
        <w:spacing w:line="360" w:lineRule="auto"/>
        <w:ind w:firstLine="482"/>
        <w:rPr>
          <w:rFonts w:eastAsia="宋体" w:cs="宋体"/>
          <w:b/>
          <w:bCs/>
          <w:color w:val="000000"/>
          <w:sz w:val="24"/>
          <w:szCs w:val="21"/>
        </w:rPr>
      </w:pPr>
    </w:p>
    <w:p w14:paraId="1881D2D8">
      <w:pPr>
        <w:shd w:val="clear"/>
        <w:spacing w:line="360" w:lineRule="auto"/>
        <w:jc w:val="center"/>
        <w:outlineLvl w:val="3"/>
        <w:rPr>
          <w:rFonts w:eastAsia="宋体" w:cs="宋体"/>
          <w:b/>
          <w:bCs/>
          <w:color w:val="000000"/>
          <w:sz w:val="24"/>
          <w:szCs w:val="21"/>
        </w:rPr>
      </w:pPr>
      <w:r>
        <w:rPr>
          <w:rFonts w:hint="eastAsia" w:eastAsia="宋体" w:cs="宋体"/>
          <w:b/>
          <w:bCs/>
          <w:color w:val="000000"/>
          <w:sz w:val="24"/>
          <w:szCs w:val="21"/>
        </w:rPr>
        <w:br w:type="page" w:clear="all"/>
      </w:r>
    </w:p>
    <w:p w14:paraId="47826A7B">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附件7：</w:t>
      </w:r>
    </w:p>
    <w:p w14:paraId="713BCB7E">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授权委托书</w:t>
      </w:r>
    </w:p>
    <w:p w14:paraId="1DFAA6AC">
      <w:pPr>
        <w:shd w:val="clear"/>
        <w:spacing w:line="360" w:lineRule="auto"/>
        <w:jc w:val="center"/>
        <w:rPr>
          <w:rFonts w:eastAsia="宋体" w:cs="宋体"/>
          <w:color w:val="000000"/>
          <w:sz w:val="24"/>
          <w:szCs w:val="21"/>
          <w:u w:val="single"/>
        </w:rPr>
      </w:pPr>
      <w:r>
        <w:rPr>
          <w:rFonts w:hint="eastAsia" w:eastAsia="宋体" w:cs="宋体"/>
          <w:color w:val="000000"/>
          <w:sz w:val="24"/>
          <w:szCs w:val="21"/>
          <w:u w:val="single"/>
        </w:rPr>
        <w:t>（被授权人参加投标时，须出示此证明）</w:t>
      </w:r>
    </w:p>
    <w:p w14:paraId="33D8DEBD">
      <w:pPr>
        <w:shd w:val="clear"/>
        <w:spacing w:line="360" w:lineRule="auto"/>
        <w:ind w:firstLine="480" w:firstLineChars="200"/>
        <w:rPr>
          <w:rFonts w:ascii="宋体" w:hAnsi="宋体"/>
          <w:sz w:val="24"/>
        </w:rPr>
      </w:pPr>
    </w:p>
    <w:p w14:paraId="21E5D2BA">
      <w:pPr>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本人</w:t>
      </w:r>
      <w:r>
        <w:rPr>
          <w:rFonts w:hint="eastAsia" w:ascii="宋体" w:hAnsi="宋体" w:eastAsia="宋体" w:cs="宋体"/>
          <w:sz w:val="24"/>
          <w:u w:val="single"/>
        </w:rPr>
        <w:t xml:space="preserve">   </w:t>
      </w:r>
      <w:r>
        <w:rPr>
          <w:rFonts w:hint="eastAsia" w:ascii="宋体" w:hAnsi="宋体" w:eastAsia="宋体" w:cs="宋体"/>
          <w:sz w:val="24"/>
        </w:rPr>
        <w:t>（姓名）系</w:t>
      </w:r>
      <w:r>
        <w:rPr>
          <w:rFonts w:hint="eastAsia" w:ascii="宋体" w:hAnsi="宋体" w:eastAsia="宋体" w:cs="宋体"/>
          <w:sz w:val="24"/>
          <w:u w:val="single"/>
        </w:rPr>
        <w:t xml:space="preserve">      </w:t>
      </w:r>
      <w:r>
        <w:rPr>
          <w:rFonts w:hint="eastAsia" w:ascii="宋体" w:hAnsi="宋体" w:eastAsia="宋体" w:cs="宋体"/>
          <w:sz w:val="24"/>
        </w:rPr>
        <w:t>（授权单位名称）的法定代表人，现委托</w:t>
      </w:r>
      <w:r>
        <w:rPr>
          <w:rFonts w:hint="eastAsia" w:ascii="宋体" w:hAnsi="宋体" w:eastAsia="宋体" w:cs="宋体"/>
          <w:sz w:val="24"/>
          <w:u w:val="single"/>
        </w:rPr>
        <w:t xml:space="preserve">    </w:t>
      </w:r>
      <w:r>
        <w:rPr>
          <w:rFonts w:hint="eastAsia" w:ascii="宋体" w:hAnsi="宋体" w:eastAsia="宋体" w:cs="宋体"/>
          <w:sz w:val="24"/>
        </w:rPr>
        <w:t>（姓名）（身份证号：</w:t>
      </w:r>
      <w:r>
        <w:rPr>
          <w:rFonts w:hint="eastAsia" w:ascii="宋体" w:hAnsi="宋体" w:eastAsia="宋体" w:cs="宋体"/>
          <w:sz w:val="24"/>
          <w:u w:val="single"/>
        </w:rPr>
        <w:t xml:space="preserve">          </w:t>
      </w:r>
      <w:r>
        <w:rPr>
          <w:rFonts w:hint="eastAsia" w:ascii="宋体" w:hAnsi="宋体" w:eastAsia="宋体" w:cs="宋体"/>
          <w:sz w:val="24"/>
        </w:rPr>
        <w:t>）为我方代理人，以我方名义全权处理与本次采购项目</w:t>
      </w:r>
      <w:r>
        <w:rPr>
          <w:rFonts w:hint="eastAsia" w:ascii="宋体" w:hAnsi="宋体" w:eastAsia="宋体" w:cs="宋体"/>
          <w:sz w:val="24"/>
          <w:u w:val="single"/>
        </w:rPr>
        <w:t xml:space="preserve">          </w:t>
      </w:r>
      <w:r>
        <w:rPr>
          <w:rFonts w:hint="eastAsia" w:ascii="宋体" w:hAnsi="宋体" w:eastAsia="宋体" w:cs="宋体"/>
          <w:sz w:val="24"/>
        </w:rPr>
        <w:t>（项目编号：</w:t>
      </w:r>
      <w:r>
        <w:rPr>
          <w:rFonts w:hint="eastAsia" w:ascii="宋体" w:hAnsi="宋体" w:eastAsia="宋体" w:cs="宋体"/>
          <w:sz w:val="24"/>
          <w:u w:val="single"/>
        </w:rPr>
        <w:t xml:space="preserve">           </w:t>
      </w:r>
      <w:r>
        <w:rPr>
          <w:rFonts w:hint="eastAsia" w:ascii="宋体" w:hAnsi="宋体" w:eastAsia="宋体" w:cs="宋体"/>
          <w:sz w:val="24"/>
        </w:rPr>
        <w:t>）有关的一切事务，其法律后果由我方承担。</w:t>
      </w:r>
    </w:p>
    <w:p w14:paraId="08D1E9CA">
      <w:pPr>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本授权书于2026年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日起生效。代理人无转委托权。</w:t>
      </w:r>
    </w:p>
    <w:p w14:paraId="7802910B">
      <w:pPr>
        <w:shd w:val="clear"/>
        <w:spacing w:line="360" w:lineRule="auto"/>
        <w:ind w:firstLine="360" w:firstLineChars="150"/>
        <w:rPr>
          <w:rFonts w:hint="eastAsia" w:ascii="宋体" w:hAnsi="宋体" w:eastAsia="宋体" w:cs="宋体"/>
          <w:sz w:val="24"/>
        </w:rPr>
      </w:pPr>
      <w:r>
        <w:rPr>
          <w:rFonts w:hint="eastAsia" w:ascii="宋体" w:hAnsi="宋体" w:eastAsia="宋体" w:cs="宋体"/>
          <w:sz w:val="24"/>
        </w:rPr>
        <w:t>代理人</w:t>
      </w:r>
      <w:r>
        <w:rPr>
          <w:rFonts w:hint="eastAsia" w:ascii="宋体" w:hAnsi="宋体" w:eastAsia="宋体" w:cs="宋体"/>
          <w:sz w:val="24"/>
          <w:lang w:eastAsia="zh-CN"/>
        </w:rPr>
        <w:t>（</w:t>
      </w:r>
      <w:r>
        <w:rPr>
          <w:rFonts w:hint="eastAsia" w:ascii="宋体" w:hAnsi="宋体" w:eastAsia="宋体" w:cs="宋体"/>
          <w:sz w:val="24"/>
        </w:rPr>
        <w:t>被授权人</w:t>
      </w:r>
      <w:r>
        <w:rPr>
          <w:rFonts w:hint="eastAsia" w:ascii="宋体" w:hAnsi="宋体" w:eastAsia="宋体" w:cs="宋体"/>
          <w:sz w:val="24"/>
          <w:lang w:eastAsia="zh-CN"/>
        </w:rPr>
        <w:t>）</w:t>
      </w:r>
      <w:r>
        <w:rPr>
          <w:rFonts w:hint="eastAsia" w:ascii="宋体" w:hAnsi="宋体" w:eastAsia="宋体" w:cs="宋体"/>
          <w:sz w:val="24"/>
        </w:rPr>
        <w:t>：</w:t>
      </w:r>
    </w:p>
    <w:p w14:paraId="158348B6">
      <w:pPr>
        <w:shd w:val="clear"/>
        <w:spacing w:line="360" w:lineRule="auto"/>
        <w:ind w:firstLine="360" w:firstLineChars="150"/>
        <w:rPr>
          <w:rFonts w:hint="eastAsia" w:ascii="宋体" w:hAnsi="宋体" w:eastAsia="宋体" w:cs="宋体"/>
          <w:sz w:val="24"/>
        </w:rPr>
      </w:pPr>
      <w:r>
        <w:rPr>
          <w:rFonts w:hint="eastAsia" w:ascii="宋体" w:hAnsi="宋体" w:eastAsia="宋体" w:cs="宋体"/>
          <w:sz w:val="24"/>
        </w:rPr>
        <w:t>授权单位名称（加盖CA电子签章）：</w:t>
      </w:r>
    </w:p>
    <w:p w14:paraId="68892F61">
      <w:pPr>
        <w:shd w:val="clear"/>
        <w:spacing w:line="360" w:lineRule="auto"/>
        <w:ind w:firstLine="360" w:firstLineChars="150"/>
        <w:rPr>
          <w:rFonts w:hint="eastAsia" w:ascii="宋体" w:hAnsi="宋体" w:eastAsia="宋体" w:cs="宋体"/>
          <w:sz w:val="24"/>
        </w:rPr>
      </w:pPr>
      <w:r>
        <w:rPr>
          <w:rFonts w:hint="eastAsia" w:ascii="宋体" w:hAnsi="宋体" w:eastAsia="宋体" w:cs="宋体"/>
          <w:sz w:val="24"/>
        </w:rPr>
        <w:t>授权单位法定代表人（签字或加盖CA电子签章）：</w:t>
      </w:r>
    </w:p>
    <w:p w14:paraId="71EB7E18">
      <w:pPr>
        <w:shd w:val="clear"/>
        <w:spacing w:line="360" w:lineRule="auto"/>
        <w:jc w:val="right"/>
        <w:rPr>
          <w:rFonts w:hint="eastAsia" w:ascii="宋体" w:hAnsi="宋体" w:eastAsia="宋体" w:cs="宋体"/>
          <w:sz w:val="24"/>
        </w:rPr>
      </w:pPr>
    </w:p>
    <w:p w14:paraId="72514119">
      <w:pPr>
        <w:shd w:val="clear"/>
        <w:spacing w:line="360" w:lineRule="auto"/>
        <w:jc w:val="right"/>
        <w:rPr>
          <w:rFonts w:hint="eastAsia" w:ascii="宋体" w:hAnsi="宋体" w:eastAsia="宋体" w:cs="宋体"/>
          <w:sz w:val="24"/>
        </w:rPr>
      </w:pPr>
      <w:r>
        <w:rPr>
          <w:rFonts w:hint="eastAsia" w:ascii="宋体" w:hAnsi="宋体" w:eastAsia="宋体" w:cs="宋体"/>
          <w:sz w:val="24"/>
          <w:lang w:val="zh-CN" w:bidi="ar"/>
        </w:rPr>
        <w:t>时间：</w:t>
      </w:r>
      <w:r>
        <w:rPr>
          <w:rFonts w:hint="eastAsia" w:ascii="宋体" w:hAnsi="宋体" w:eastAsia="宋体" w:cs="宋体"/>
          <w:sz w:val="24"/>
          <w:lang w:bidi="ar"/>
        </w:rPr>
        <w:t>2026年</w:t>
      </w:r>
      <w:r>
        <w:rPr>
          <w:rFonts w:hint="eastAsia" w:ascii="宋体" w:hAnsi="宋体" w:eastAsia="宋体" w:cs="宋体"/>
          <w:sz w:val="24"/>
          <w:lang w:val="zh-CN" w:bidi="ar"/>
        </w:rPr>
        <w:t xml:space="preserve">  月   日</w:t>
      </w:r>
    </w:p>
    <w:p w14:paraId="323B48F4">
      <w:pPr>
        <w:shd w:val="clear"/>
        <w:snapToGrid w:val="0"/>
        <w:spacing w:line="360" w:lineRule="auto"/>
        <w:ind w:firstLine="463" w:firstLineChars="192"/>
        <w:contextualSpacing/>
        <w:rPr>
          <w:rFonts w:hint="eastAsia" w:ascii="宋体" w:hAnsi="宋体" w:eastAsia="宋体" w:cs="宋体"/>
          <w:b/>
          <w:sz w:val="24"/>
        </w:rPr>
      </w:pPr>
    </w:p>
    <w:p w14:paraId="276A8FA2">
      <w:pPr>
        <w:shd w:val="clear"/>
        <w:snapToGrid w:val="0"/>
        <w:spacing w:line="360" w:lineRule="auto"/>
        <w:ind w:firstLine="463" w:firstLineChars="192"/>
        <w:contextualSpacing/>
        <w:rPr>
          <w:rFonts w:hint="eastAsia" w:ascii="宋体" w:hAnsi="宋体" w:eastAsia="宋体" w:cs="宋体"/>
          <w:b/>
          <w:sz w:val="24"/>
        </w:rPr>
      </w:pPr>
      <w:r>
        <w:rPr>
          <w:rFonts w:hint="eastAsia" w:ascii="宋体" w:hAnsi="宋体" w:eastAsia="宋体" w:cs="宋体"/>
          <w:b/>
          <w:sz w:val="24"/>
        </w:rPr>
        <w:t>注：法定代表人本人身份证复印件及被授权人本人身份证复印件盖公章</w:t>
      </w:r>
    </w:p>
    <w:p w14:paraId="3E150F45">
      <w:pPr>
        <w:shd w:val="clear"/>
        <w:spacing w:line="360" w:lineRule="auto"/>
        <w:jc w:val="center"/>
        <w:rPr>
          <w:rFonts w:eastAsia="宋体" w:cs="宋体"/>
          <w:color w:val="000000"/>
          <w:sz w:val="24"/>
          <w:szCs w:val="21"/>
        </w:rPr>
      </w:pPr>
    </w:p>
    <w:p w14:paraId="48F7A69A">
      <w:pPr>
        <w:shd w:val="clear"/>
        <w:spacing w:line="360" w:lineRule="auto"/>
        <w:ind w:firstLine="482"/>
        <w:rPr>
          <w:rFonts w:eastAsia="宋体" w:cs="宋体"/>
          <w:b/>
          <w:bCs/>
          <w:color w:val="000000"/>
          <w:sz w:val="24"/>
          <w:szCs w:val="21"/>
        </w:rPr>
      </w:pPr>
    </w:p>
    <w:p w14:paraId="5FBF484C">
      <w:pPr>
        <w:shd w:val="clear"/>
        <w:spacing w:line="360" w:lineRule="auto"/>
        <w:rPr>
          <w:rFonts w:eastAsia="宋体" w:cs="宋体"/>
          <w:color w:val="000000"/>
          <w:sz w:val="24"/>
          <w:szCs w:val="21"/>
        </w:rPr>
      </w:pPr>
      <w:r>
        <w:rPr>
          <w:rFonts w:hint="eastAsia" w:eastAsia="宋体" w:cs="宋体"/>
          <w:b/>
          <w:bCs/>
          <w:color w:val="000000"/>
          <w:sz w:val="24"/>
          <w:szCs w:val="21"/>
        </w:rPr>
        <w:br w:type="page" w:clear="all"/>
      </w:r>
    </w:p>
    <w:p w14:paraId="48456A18">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附件8：</w:t>
      </w:r>
    </w:p>
    <w:p w14:paraId="2A03F66F">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声 明</w:t>
      </w:r>
    </w:p>
    <w:p w14:paraId="7511C063">
      <w:pPr>
        <w:shd w:val="clear"/>
        <w:spacing w:line="360" w:lineRule="auto"/>
        <w:ind w:firstLine="420"/>
        <w:rPr>
          <w:rFonts w:ascii="宋体" w:hAnsi="宋体" w:cs="宋体"/>
          <w:sz w:val="24"/>
          <w:u w:val="single"/>
        </w:rPr>
      </w:pPr>
    </w:p>
    <w:p w14:paraId="450E7B6B">
      <w:pPr>
        <w:shd w:val="clear"/>
        <w:spacing w:line="360" w:lineRule="auto"/>
        <w:ind w:firstLine="420"/>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（采购人）：</w:t>
      </w:r>
    </w:p>
    <w:p w14:paraId="57A18F9C">
      <w:pPr>
        <w:shd w:val="clear"/>
        <w:spacing w:line="360" w:lineRule="auto"/>
        <w:ind w:firstLine="420"/>
        <w:rPr>
          <w:rFonts w:hint="eastAsia" w:ascii="宋体" w:hAnsi="宋体" w:eastAsia="宋体" w:cs="宋体"/>
          <w:bCs/>
          <w:sz w:val="24"/>
        </w:rPr>
      </w:pPr>
      <w:r>
        <w:rPr>
          <w:rFonts w:hint="eastAsia" w:ascii="宋体" w:hAnsi="宋体" w:eastAsia="宋体" w:cs="宋体"/>
          <w:bCs/>
          <w:sz w:val="24"/>
        </w:rPr>
        <w:t>我单位不存在以下情况：</w:t>
      </w:r>
    </w:p>
    <w:p w14:paraId="6C0F4868">
      <w:pPr>
        <w:shd w:val="clear"/>
        <w:spacing w:line="360" w:lineRule="auto"/>
        <w:ind w:firstLine="420"/>
        <w:rPr>
          <w:rFonts w:hint="eastAsia" w:ascii="宋体" w:hAnsi="宋体" w:eastAsia="宋体" w:cs="宋体"/>
          <w:bCs/>
          <w:sz w:val="24"/>
        </w:rPr>
      </w:pPr>
      <w:r>
        <w:rPr>
          <w:rFonts w:hint="eastAsia" w:ascii="宋体" w:hAnsi="宋体" w:eastAsia="宋体" w:cs="宋体"/>
          <w:bCs/>
          <w:sz w:val="24"/>
        </w:rPr>
        <w:t>1.单位负责人为同一人或者存在直接控股、管理关系的不同供应商，同时参加同一合同项下的政府采购活动。</w:t>
      </w:r>
    </w:p>
    <w:p w14:paraId="2159BDD6">
      <w:pPr>
        <w:widowControl/>
        <w:shd w:val="clear"/>
        <w:spacing w:line="360" w:lineRule="auto"/>
        <w:ind w:left="18" w:right="1" w:firstLine="420"/>
        <w:jc w:val="left"/>
        <w:rPr>
          <w:rFonts w:hint="eastAsia" w:ascii="宋体" w:hAnsi="宋体" w:eastAsia="宋体" w:cs="宋体"/>
          <w:sz w:val="24"/>
        </w:rPr>
      </w:pPr>
      <w:r>
        <w:rPr>
          <w:rFonts w:hint="eastAsia" w:ascii="宋体" w:hAnsi="宋体" w:eastAsia="宋体" w:cs="宋体"/>
          <w:sz w:val="24"/>
        </w:rPr>
        <w:t>2.为采购项目提供整体设计、规范编制或者项目管理、监理、检测等服务的供应商，再参加该采购项目的其他采购活动。</w:t>
      </w:r>
    </w:p>
    <w:p w14:paraId="0AD47E8E">
      <w:pPr>
        <w:widowControl/>
        <w:shd w:val="clear"/>
        <w:spacing w:line="360" w:lineRule="auto"/>
        <w:ind w:left="18" w:right="1" w:firstLine="420"/>
        <w:jc w:val="left"/>
        <w:rPr>
          <w:rFonts w:hint="eastAsia" w:ascii="宋体" w:hAnsi="宋体" w:eastAsia="宋体" w:cs="宋体"/>
          <w:sz w:val="24"/>
        </w:rPr>
      </w:pPr>
      <w:r>
        <w:rPr>
          <w:rFonts w:hint="eastAsia" w:ascii="宋体" w:hAnsi="宋体" w:eastAsia="宋体" w:cs="宋体"/>
          <w:sz w:val="24"/>
        </w:rPr>
        <w:t>特此声明。</w:t>
      </w:r>
    </w:p>
    <w:p w14:paraId="1507CFD3">
      <w:pPr>
        <w:shd w:val="clear"/>
        <w:spacing w:line="360" w:lineRule="auto"/>
        <w:rPr>
          <w:rFonts w:hint="eastAsia" w:ascii="宋体" w:hAnsi="宋体" w:eastAsia="宋体" w:cs="宋体"/>
          <w:sz w:val="32"/>
          <w:szCs w:val="32"/>
        </w:rPr>
      </w:pPr>
    </w:p>
    <w:p w14:paraId="67BC9B01">
      <w:pPr>
        <w:shd w:val="clear"/>
        <w:snapToGrid w:val="0"/>
        <w:spacing w:line="360" w:lineRule="auto"/>
        <w:jc w:val="center"/>
        <w:outlineLvl w:val="4"/>
        <w:rPr>
          <w:rFonts w:hint="eastAsia" w:ascii="宋体" w:hAnsi="宋体" w:eastAsia="宋体" w:cs="宋体"/>
          <w:bCs/>
          <w:sz w:val="24"/>
        </w:rPr>
      </w:pPr>
      <w:r>
        <w:rPr>
          <w:rFonts w:hint="eastAsia" w:ascii="宋体" w:hAnsi="宋体" w:eastAsia="宋体" w:cs="宋体"/>
          <w:bCs/>
          <w:sz w:val="24"/>
        </w:rPr>
        <w:t xml:space="preserve">     投标人（加盖CA电子签章）： </w:t>
      </w:r>
    </w:p>
    <w:p w14:paraId="49936EE6">
      <w:pPr>
        <w:shd w:val="clear"/>
        <w:spacing w:line="360" w:lineRule="auto"/>
        <w:ind w:firstLine="566"/>
        <w:rPr>
          <w:rFonts w:hint="eastAsia"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381238DC">
      <w:pPr>
        <w:shd w:val="clear"/>
        <w:spacing w:line="360" w:lineRule="auto"/>
        <w:ind w:firstLine="3160" w:firstLineChars="1317"/>
        <w:rPr>
          <w:rFonts w:hint="eastAsia" w:ascii="宋体" w:hAnsi="宋体" w:eastAsia="宋体" w:cs="宋体"/>
          <w:color w:val="000000"/>
          <w:sz w:val="24"/>
          <w:szCs w:val="26"/>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2E1C1874">
      <w:pPr>
        <w:widowControl/>
        <w:shd w:val="clear"/>
        <w:spacing w:line="360" w:lineRule="auto"/>
        <w:jc w:val="center"/>
        <w:rPr>
          <w:rFonts w:eastAsia="宋体" w:cs="宋体"/>
          <w:color w:val="000000"/>
          <w:sz w:val="24"/>
          <w:szCs w:val="21"/>
        </w:rPr>
      </w:pPr>
    </w:p>
    <w:p w14:paraId="06E2ED64">
      <w:pPr>
        <w:widowControl/>
        <w:shd w:val="clear"/>
        <w:ind w:firstLine="482"/>
        <w:jc w:val="left"/>
        <w:rPr>
          <w:rFonts w:eastAsia="宋体" w:cs="宋体"/>
          <w:b/>
          <w:bCs/>
          <w:color w:val="000000"/>
          <w:sz w:val="24"/>
          <w:szCs w:val="21"/>
        </w:rPr>
      </w:pPr>
      <w:r>
        <w:rPr>
          <w:rFonts w:eastAsia="宋体" w:cs="宋体"/>
          <w:b/>
          <w:bCs/>
          <w:color w:val="000000"/>
          <w:sz w:val="24"/>
          <w:szCs w:val="21"/>
        </w:rPr>
        <w:br w:type="page" w:clear="all"/>
      </w:r>
    </w:p>
    <w:p w14:paraId="4AB9C13C">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附件9：</w:t>
      </w:r>
    </w:p>
    <w:p w14:paraId="53370592">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中小企业声明函（货物）</w:t>
      </w:r>
    </w:p>
    <w:p w14:paraId="00DD85AA">
      <w:pPr>
        <w:shd w:val="clear"/>
        <w:snapToGrid w:val="0"/>
        <w:spacing w:line="360" w:lineRule="auto"/>
        <w:ind w:firstLine="480" w:firstLineChars="200"/>
        <w:outlineLvl w:val="0"/>
        <w:rPr>
          <w:rFonts w:hint="eastAsia" w:ascii="宋体" w:hAnsi="宋体" w:eastAsia="宋体" w:cs="宋体"/>
          <w:sz w:val="24"/>
          <w:szCs w:val="24"/>
          <w:lang w:bidi="zh-CN"/>
        </w:rPr>
      </w:pPr>
    </w:p>
    <w:p w14:paraId="4D5D7325">
      <w:pPr>
        <w:shd w:val="clear"/>
        <w:snapToGrid w:val="0"/>
        <w:spacing w:line="360" w:lineRule="auto"/>
        <w:ind w:firstLine="480" w:firstLineChars="200"/>
        <w:outlineLvl w:val="0"/>
        <w:rPr>
          <w:rFonts w:hint="eastAsia" w:ascii="宋体" w:hAnsi="宋体" w:eastAsia="宋体" w:cs="宋体"/>
          <w:sz w:val="24"/>
          <w:szCs w:val="24"/>
          <w:lang w:bidi="zh-CN"/>
        </w:rPr>
      </w:pPr>
      <w:r>
        <w:rPr>
          <w:rFonts w:hint="eastAsia" w:ascii="宋体" w:hAnsi="宋体" w:eastAsia="宋体" w:cs="宋体"/>
          <w:sz w:val="24"/>
          <w:szCs w:val="24"/>
          <w:lang w:bidi="zh-CN"/>
        </w:rPr>
        <w:t>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（单位名称）</w:t>
      </w:r>
      <w:r>
        <w:rPr>
          <w:rFonts w:hint="eastAsia" w:ascii="宋体" w:hAnsi="宋体" w:eastAsia="宋体" w:cs="宋体"/>
          <w:sz w:val="24"/>
          <w:szCs w:val="24"/>
          <w:lang w:bidi="zh-CN"/>
        </w:rPr>
        <w:t>的</w:t>
      </w:r>
      <w:r>
        <w:rPr>
          <w:rFonts w:hint="eastAsia" w:ascii="宋体" w:hAnsi="宋体" w:eastAsia="宋体" w:cs="宋体"/>
          <w:sz w:val="24"/>
          <w:szCs w:val="24"/>
          <w:u w:val="single"/>
          <w:lang w:bidi="zh-CN"/>
        </w:rPr>
        <w:t>（项目名称）</w:t>
      </w:r>
      <w:r>
        <w:rPr>
          <w:rFonts w:hint="eastAsia" w:ascii="宋体" w:hAnsi="宋体" w:eastAsia="宋体" w:cs="宋体"/>
          <w:sz w:val="24"/>
          <w:szCs w:val="24"/>
          <w:lang w:bidi="zh-CN"/>
        </w:rPr>
        <w:t>采购活动，提供的货物全部由符合政策要求的中小企业制造。相关企业（含联合体中的中小企业、签订分包意向协议的中小企业） 的具体情况如下：</w:t>
      </w:r>
    </w:p>
    <w:p w14:paraId="1517289D">
      <w:pPr>
        <w:shd w:val="clear"/>
        <w:snapToGrid w:val="0"/>
        <w:spacing w:line="360" w:lineRule="auto"/>
        <w:outlineLvl w:val="0"/>
        <w:rPr>
          <w:rFonts w:hint="eastAsia" w:ascii="宋体" w:hAnsi="宋体" w:eastAsia="宋体" w:cs="宋体"/>
          <w:sz w:val="24"/>
          <w:szCs w:val="24"/>
          <w:lang w:bidi="zh-CN"/>
        </w:rPr>
      </w:pPr>
      <w:r>
        <w:rPr>
          <w:rFonts w:hint="eastAsia" w:ascii="宋体" w:hAnsi="宋体" w:eastAsia="宋体" w:cs="宋体"/>
          <w:sz w:val="24"/>
          <w:szCs w:val="24"/>
          <w:lang w:bidi="zh-CN"/>
        </w:rPr>
        <w:t>1.</w:t>
      </w:r>
      <w:r>
        <w:rPr>
          <w:rFonts w:hint="eastAsia" w:ascii="宋体" w:hAnsi="宋体" w:eastAsia="宋体" w:cs="宋体"/>
          <w:sz w:val="24"/>
          <w:szCs w:val="24"/>
          <w:u w:val="single"/>
          <w:lang w:bidi="zh-CN"/>
        </w:rPr>
        <w:t xml:space="preserve"> （标的名称）</w:t>
      </w:r>
      <w:r>
        <w:rPr>
          <w:rFonts w:hint="eastAsia" w:ascii="宋体" w:hAnsi="宋体" w:eastAsia="宋体" w:cs="宋体"/>
          <w:sz w:val="24"/>
          <w:szCs w:val="24"/>
          <w:lang w:bidi="zh-CN"/>
        </w:rPr>
        <w:t xml:space="preserve"> ，属于</w:t>
      </w:r>
      <w:r>
        <w:rPr>
          <w:rFonts w:hint="eastAsia" w:ascii="宋体" w:hAnsi="宋体" w:eastAsia="宋体" w:cs="宋体"/>
          <w:sz w:val="24"/>
          <w:szCs w:val="24"/>
          <w:u w:val="single"/>
          <w:lang w:bidi="zh-CN"/>
        </w:rPr>
        <w:t>（采购文件中明确的所属行业）</w:t>
      </w:r>
      <w:r>
        <w:rPr>
          <w:rFonts w:hint="eastAsia" w:ascii="宋体" w:hAnsi="宋体" w:eastAsia="宋体" w:cs="宋体"/>
          <w:sz w:val="24"/>
          <w:szCs w:val="24"/>
          <w:lang w:bidi="zh-CN"/>
        </w:rPr>
        <w:t>行业；制造商为</w:t>
      </w:r>
      <w:r>
        <w:rPr>
          <w:rFonts w:hint="eastAsia" w:ascii="宋体" w:hAnsi="宋体" w:eastAsia="宋体" w:cs="宋体"/>
          <w:sz w:val="24"/>
          <w:szCs w:val="24"/>
          <w:u w:val="single"/>
          <w:lang w:bidi="zh-CN"/>
        </w:rPr>
        <w:t>（企业名称）</w:t>
      </w:r>
      <w:r>
        <w:rPr>
          <w:rFonts w:hint="eastAsia" w:ascii="宋体" w:hAnsi="宋体" w:eastAsia="宋体" w:cs="宋体"/>
          <w:sz w:val="24"/>
          <w:szCs w:val="24"/>
          <w:lang w:bidi="zh-CN"/>
        </w:rPr>
        <w:t>，从业人员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万元，属于</w:t>
      </w:r>
      <w:r>
        <w:rPr>
          <w:rFonts w:hint="eastAsia" w:ascii="宋体" w:hAnsi="宋体" w:eastAsia="宋体" w:cs="宋体"/>
          <w:sz w:val="24"/>
          <w:szCs w:val="24"/>
          <w:u w:val="single"/>
          <w:lang w:bidi="zh-CN"/>
        </w:rPr>
        <w:t>（中型企业、小型企业、微型企业）</w:t>
      </w:r>
      <w:r>
        <w:rPr>
          <w:rFonts w:hint="eastAsia" w:ascii="宋体" w:hAnsi="宋体" w:eastAsia="宋体" w:cs="宋体"/>
          <w:sz w:val="24"/>
          <w:szCs w:val="24"/>
          <w:lang w:bidi="zh-CN"/>
        </w:rPr>
        <w:t>；</w:t>
      </w:r>
    </w:p>
    <w:p w14:paraId="347DC9A1">
      <w:pPr>
        <w:shd w:val="clear"/>
        <w:snapToGrid w:val="0"/>
        <w:spacing w:line="360" w:lineRule="auto"/>
        <w:outlineLvl w:val="0"/>
        <w:rPr>
          <w:rFonts w:hint="eastAsia" w:ascii="宋体" w:hAnsi="宋体" w:eastAsia="宋体" w:cs="宋体"/>
          <w:sz w:val="24"/>
          <w:szCs w:val="24"/>
          <w:lang w:bidi="zh-CN"/>
        </w:rPr>
      </w:pPr>
      <w:r>
        <w:rPr>
          <w:rFonts w:hint="eastAsia" w:ascii="宋体" w:hAnsi="宋体" w:eastAsia="宋体" w:cs="宋体"/>
          <w:sz w:val="24"/>
          <w:szCs w:val="24"/>
          <w:lang w:bidi="zh-CN"/>
        </w:rPr>
        <w:t>2.</w:t>
      </w:r>
      <w:r>
        <w:rPr>
          <w:rFonts w:hint="eastAsia" w:ascii="宋体" w:hAnsi="宋体" w:eastAsia="宋体" w:cs="宋体"/>
          <w:i/>
          <w:sz w:val="24"/>
          <w:szCs w:val="24"/>
          <w:u w:val="single"/>
          <w:lang w:bidi="zh-CN"/>
        </w:rPr>
        <w:t xml:space="preserve"> </w:t>
      </w:r>
      <w:r>
        <w:rPr>
          <w:rFonts w:hint="eastAsia" w:ascii="宋体" w:hAnsi="宋体" w:eastAsia="宋体" w:cs="宋体"/>
          <w:sz w:val="24"/>
          <w:szCs w:val="24"/>
          <w:u w:val="single"/>
          <w:lang w:bidi="zh-CN"/>
        </w:rPr>
        <w:t xml:space="preserve">（标的名称） </w:t>
      </w:r>
      <w:r>
        <w:rPr>
          <w:rFonts w:hint="eastAsia" w:ascii="宋体" w:hAnsi="宋体" w:eastAsia="宋体" w:cs="宋体"/>
          <w:sz w:val="24"/>
          <w:szCs w:val="24"/>
          <w:lang w:bidi="zh-CN"/>
        </w:rPr>
        <w:t>，属于</w:t>
      </w:r>
      <w:r>
        <w:rPr>
          <w:rFonts w:hint="eastAsia" w:ascii="宋体" w:hAnsi="宋体" w:eastAsia="宋体" w:cs="宋体"/>
          <w:sz w:val="24"/>
          <w:szCs w:val="24"/>
          <w:u w:val="single"/>
          <w:lang w:bidi="zh-CN"/>
        </w:rPr>
        <w:t>（采购文件中明确的所属行业）</w:t>
      </w:r>
      <w:r>
        <w:rPr>
          <w:rFonts w:hint="eastAsia" w:ascii="宋体" w:hAnsi="宋体" w:eastAsia="宋体" w:cs="宋体"/>
          <w:sz w:val="24"/>
          <w:szCs w:val="24"/>
          <w:lang w:bidi="zh-CN"/>
        </w:rPr>
        <w:t>行业；制造商为</w:t>
      </w:r>
      <w:r>
        <w:rPr>
          <w:rFonts w:hint="eastAsia" w:ascii="宋体" w:hAnsi="宋体" w:eastAsia="宋体" w:cs="宋体"/>
          <w:sz w:val="24"/>
          <w:szCs w:val="24"/>
          <w:u w:val="single"/>
          <w:lang w:bidi="zh-CN"/>
        </w:rPr>
        <w:t>（企业名称）</w:t>
      </w:r>
      <w:r>
        <w:rPr>
          <w:rFonts w:hint="eastAsia" w:ascii="宋体" w:hAnsi="宋体" w:eastAsia="宋体" w:cs="宋体"/>
          <w:sz w:val="24"/>
          <w:szCs w:val="24"/>
          <w:lang w:bidi="zh-CN"/>
        </w:rPr>
        <w:t>，从业人员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万元，属于</w:t>
      </w:r>
      <w:r>
        <w:rPr>
          <w:rFonts w:hint="eastAsia" w:ascii="宋体" w:hAnsi="宋体" w:eastAsia="宋体" w:cs="宋体"/>
          <w:sz w:val="24"/>
          <w:szCs w:val="24"/>
          <w:u w:val="single"/>
          <w:lang w:bidi="zh-CN"/>
        </w:rPr>
        <w:t>（中型企业、小型企业、微型企业）</w:t>
      </w:r>
      <w:r>
        <w:rPr>
          <w:rFonts w:hint="eastAsia" w:ascii="宋体" w:hAnsi="宋体" w:eastAsia="宋体" w:cs="宋体"/>
          <w:sz w:val="24"/>
          <w:szCs w:val="24"/>
          <w:lang w:bidi="zh-CN"/>
        </w:rPr>
        <w:t>；</w:t>
      </w:r>
    </w:p>
    <w:p w14:paraId="58AD00F9">
      <w:pPr>
        <w:shd w:val="clear"/>
        <w:snapToGrid w:val="0"/>
        <w:spacing w:line="360" w:lineRule="auto"/>
        <w:outlineLvl w:val="0"/>
        <w:rPr>
          <w:rFonts w:hint="eastAsia" w:ascii="宋体" w:hAnsi="宋体" w:eastAsia="宋体" w:cs="宋体"/>
          <w:sz w:val="24"/>
          <w:szCs w:val="24"/>
          <w:lang w:bidi="zh-CN"/>
        </w:rPr>
      </w:pPr>
      <w:r>
        <w:rPr>
          <w:rFonts w:hint="eastAsia" w:ascii="宋体" w:hAnsi="宋体" w:eastAsia="宋体" w:cs="宋体"/>
          <w:sz w:val="24"/>
          <w:szCs w:val="24"/>
          <w:lang w:bidi="zh-CN"/>
        </w:rPr>
        <w:t>……</w:t>
      </w:r>
    </w:p>
    <w:p w14:paraId="000B4859">
      <w:pPr>
        <w:shd w:val="clear"/>
        <w:snapToGrid w:val="0"/>
        <w:spacing w:line="360" w:lineRule="auto"/>
        <w:ind w:firstLine="480" w:firstLineChars="200"/>
        <w:outlineLvl w:val="0"/>
        <w:rPr>
          <w:rFonts w:hint="eastAsia" w:ascii="宋体" w:hAnsi="宋体" w:eastAsia="宋体" w:cs="宋体"/>
          <w:sz w:val="24"/>
          <w:szCs w:val="24"/>
          <w:lang w:bidi="zh-CN"/>
        </w:rPr>
      </w:pPr>
      <w:r>
        <w:rPr>
          <w:rFonts w:hint="eastAsia" w:ascii="宋体" w:hAnsi="宋体" w:eastAsia="宋体" w:cs="宋体"/>
          <w:sz w:val="24"/>
          <w:szCs w:val="24"/>
          <w:lang w:bidi="zh-CN"/>
        </w:rPr>
        <w:t>以上企业，不属于大企业的分支机构，不存在控股股东为大企业的情形，也不存在与大企业的负责人为同一人的情形。</w:t>
      </w:r>
    </w:p>
    <w:p w14:paraId="4BE3236C">
      <w:pPr>
        <w:shd w:val="clear"/>
        <w:snapToGrid w:val="0"/>
        <w:spacing w:line="360" w:lineRule="auto"/>
        <w:ind w:firstLine="480" w:firstLineChars="200"/>
        <w:outlineLvl w:val="0"/>
        <w:rPr>
          <w:rFonts w:hint="eastAsia" w:ascii="宋体" w:hAnsi="宋体" w:eastAsia="宋体" w:cs="宋体"/>
          <w:sz w:val="24"/>
          <w:szCs w:val="24"/>
          <w:lang w:bidi="zh-CN"/>
        </w:rPr>
      </w:pPr>
      <w:r>
        <w:rPr>
          <w:rFonts w:hint="eastAsia" w:ascii="宋体" w:hAnsi="宋体" w:eastAsia="宋体" w:cs="宋体"/>
          <w:sz w:val="24"/>
          <w:szCs w:val="24"/>
          <w:lang w:bidi="zh-CN"/>
        </w:rPr>
        <w:t>本企业对上述声明内容的真实性负责。如有虚假，将依法承担相应责任。</w:t>
      </w:r>
    </w:p>
    <w:p w14:paraId="63D2BCB3">
      <w:pPr>
        <w:shd w:val="clear"/>
        <w:snapToGrid w:val="0"/>
        <w:spacing w:line="360" w:lineRule="auto"/>
        <w:outlineLvl w:val="0"/>
        <w:rPr>
          <w:rFonts w:hint="eastAsia" w:ascii="宋体" w:hAnsi="宋体" w:eastAsia="宋体" w:cs="宋体"/>
          <w:sz w:val="24"/>
          <w:szCs w:val="24"/>
          <w:highlight w:val="green"/>
          <w:lang w:bidi="zh-CN"/>
        </w:rPr>
      </w:pPr>
    </w:p>
    <w:p w14:paraId="269E1E08">
      <w:pPr>
        <w:shd w:val="clear"/>
        <w:snapToGrid w:val="0"/>
        <w:spacing w:line="360" w:lineRule="auto"/>
        <w:outlineLvl w:val="0"/>
        <w:rPr>
          <w:rFonts w:hint="eastAsia" w:ascii="宋体" w:hAnsi="宋体" w:eastAsia="宋体" w:cs="宋体"/>
          <w:sz w:val="24"/>
          <w:szCs w:val="24"/>
          <w:lang w:bidi="zh-CN"/>
        </w:rPr>
      </w:pPr>
      <w:r>
        <w:rPr>
          <w:rFonts w:hint="eastAsia" w:ascii="宋体" w:hAnsi="宋体" w:eastAsia="宋体" w:cs="宋体"/>
          <w:sz w:val="24"/>
          <w:szCs w:val="24"/>
          <w:lang w:bidi="zh-CN"/>
        </w:rPr>
        <w:t>注：1.如项目属性为“货物”，请按本表填写。</w:t>
      </w:r>
    </w:p>
    <w:p w14:paraId="1AF2EE2D">
      <w:pPr>
        <w:shd w:val="clear"/>
        <w:snapToGrid w:val="0"/>
        <w:spacing w:line="360" w:lineRule="auto"/>
        <w:ind w:firstLine="480" w:firstLineChars="200"/>
        <w:outlineLvl w:val="0"/>
        <w:rPr>
          <w:rFonts w:hint="eastAsia" w:ascii="宋体" w:hAnsi="宋体" w:eastAsia="宋体" w:cs="宋体"/>
          <w:sz w:val="24"/>
          <w:szCs w:val="24"/>
          <w:lang w:bidi="zh-CN"/>
        </w:rPr>
      </w:pPr>
      <w:r>
        <w:rPr>
          <w:rFonts w:hint="eastAsia" w:ascii="宋体" w:hAnsi="宋体" w:eastAsia="宋体" w:cs="宋体"/>
          <w:sz w:val="24"/>
          <w:szCs w:val="24"/>
          <w:lang w:bidi="zh-CN"/>
        </w:rPr>
        <w:t>2.从业人员、营业收入、资产总额填报上一年度数据，无上一年度数据的新成立企业可不填报。</w:t>
      </w:r>
    </w:p>
    <w:p w14:paraId="74A802F2">
      <w:pPr>
        <w:shd w:val="clear"/>
        <w:snapToGrid w:val="0"/>
        <w:spacing w:line="360" w:lineRule="auto"/>
        <w:ind w:firstLine="480" w:firstLineChars="200"/>
        <w:outlineLvl w:val="0"/>
        <w:rPr>
          <w:rFonts w:hint="eastAsia" w:ascii="宋体" w:hAnsi="宋体" w:eastAsia="宋体" w:cs="宋体"/>
          <w:sz w:val="24"/>
          <w:szCs w:val="24"/>
          <w:lang w:bidi="zh-CN"/>
        </w:rPr>
      </w:pPr>
      <w:r>
        <w:rPr>
          <w:rFonts w:hint="eastAsia" w:ascii="宋体" w:hAnsi="宋体" w:eastAsia="宋体" w:cs="宋体"/>
          <w:sz w:val="24"/>
          <w:szCs w:val="24"/>
          <w:lang w:bidi="zh-CN"/>
        </w:rPr>
        <w:t>3.投标供应商须根据上述要求，详细列明货物清单中所有产品制造商的具体情况，否则不能享受中小企业扶持政策。</w:t>
      </w:r>
    </w:p>
    <w:p w14:paraId="6C85EC81">
      <w:pPr>
        <w:shd w:val="clear"/>
        <w:snapToGrid w:val="0"/>
        <w:spacing w:line="360" w:lineRule="auto"/>
        <w:ind w:firstLine="480" w:firstLineChars="200"/>
        <w:outlineLvl w:val="0"/>
        <w:rPr>
          <w:rFonts w:hint="eastAsia" w:ascii="宋体" w:hAnsi="宋体" w:eastAsia="宋体" w:cs="宋体"/>
          <w:sz w:val="24"/>
          <w:szCs w:val="24"/>
          <w:lang w:bidi="zh-CN"/>
        </w:rPr>
      </w:pPr>
      <w:r>
        <w:rPr>
          <w:rFonts w:hint="eastAsia" w:ascii="宋体" w:hAnsi="宋体" w:eastAsia="宋体" w:cs="宋体"/>
          <w:sz w:val="24"/>
          <w:szCs w:val="24"/>
          <w:lang w:bidi="zh-CN"/>
        </w:rPr>
        <w:t>4.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68CF14F6">
      <w:pPr>
        <w:shd w:val="clear"/>
        <w:snapToGrid w:val="0"/>
        <w:spacing w:line="360" w:lineRule="auto"/>
        <w:outlineLvl w:val="0"/>
        <w:rPr>
          <w:rFonts w:hint="eastAsia" w:ascii="宋体" w:hAnsi="宋体" w:eastAsia="宋体" w:cs="宋体"/>
          <w:sz w:val="24"/>
          <w:szCs w:val="24"/>
          <w:lang w:bidi="zh-CN"/>
        </w:rPr>
      </w:pPr>
    </w:p>
    <w:p w14:paraId="6B640432">
      <w:pPr>
        <w:shd w:val="clear"/>
        <w:spacing w:line="360" w:lineRule="auto"/>
        <w:ind w:firstLine="4200"/>
        <w:jc w:val="center"/>
        <w:outlineLvl w:val="0"/>
        <w:rPr>
          <w:rFonts w:eastAsia="宋体" w:cs="宋体"/>
          <w:color w:val="000000"/>
          <w:sz w:val="24"/>
          <w:szCs w:val="28"/>
        </w:rPr>
      </w:pPr>
      <w:r>
        <w:rPr>
          <w:rFonts w:hint="eastAsia" w:eastAsia="宋体" w:cs="宋体"/>
          <w:color w:val="000000"/>
          <w:sz w:val="24"/>
          <w:szCs w:val="28"/>
          <w:lang w:bidi="zh-CN"/>
        </w:rPr>
        <w:t>企业名称（</w:t>
      </w:r>
      <w:r>
        <w:rPr>
          <w:rFonts w:hint="eastAsia" w:ascii="宋体" w:hAnsi="宋体" w:eastAsia="宋体" w:cs="宋体"/>
          <w:bCs/>
          <w:sz w:val="24"/>
        </w:rPr>
        <w:t>加盖CA电子签章</w:t>
      </w:r>
      <w:r>
        <w:rPr>
          <w:rFonts w:hint="eastAsia" w:eastAsia="宋体" w:cs="宋体"/>
          <w:color w:val="000000"/>
          <w:sz w:val="24"/>
          <w:szCs w:val="28"/>
          <w:lang w:bidi="zh-CN"/>
        </w:rPr>
        <w:t>）：</w:t>
      </w:r>
    </w:p>
    <w:p w14:paraId="7701E267">
      <w:pPr>
        <w:shd w:val="clear"/>
        <w:spacing w:line="360" w:lineRule="auto"/>
        <w:ind w:firstLine="4800" w:firstLineChars="2000"/>
        <w:outlineLvl w:val="0"/>
        <w:rPr>
          <w:rFonts w:eastAsia="宋体" w:cs="宋体"/>
          <w:color w:val="000000"/>
          <w:sz w:val="24"/>
          <w:szCs w:val="28"/>
        </w:rPr>
      </w:pPr>
      <w:r>
        <w:rPr>
          <w:rFonts w:hint="eastAsia" w:eastAsia="宋体" w:cs="宋体"/>
          <w:color w:val="000000"/>
          <w:sz w:val="24"/>
          <w:szCs w:val="28"/>
          <w:lang w:bidi="zh-CN"/>
        </w:rPr>
        <w:t>日 期：</w:t>
      </w:r>
    </w:p>
    <w:p w14:paraId="1E578D85">
      <w:pPr>
        <w:shd w:val="clear"/>
        <w:spacing w:line="360" w:lineRule="auto"/>
        <w:jc w:val="center"/>
        <w:outlineLvl w:val="3"/>
        <w:rPr>
          <w:rFonts w:eastAsia="宋体" w:cs="宋体"/>
          <w:b/>
          <w:bCs/>
          <w:color w:val="000000"/>
          <w:sz w:val="28"/>
          <w:szCs w:val="28"/>
        </w:rPr>
      </w:pPr>
      <w:r>
        <w:rPr>
          <w:rFonts w:hint="eastAsia" w:eastAsia="宋体" w:cs="宋体"/>
          <w:color w:val="000000"/>
          <w:sz w:val="24"/>
          <w:szCs w:val="21"/>
        </w:rPr>
        <w:br w:type="page" w:clear="all"/>
      </w:r>
      <w:r>
        <w:rPr>
          <w:rFonts w:hint="eastAsia" w:eastAsia="宋体" w:cs="宋体"/>
          <w:b/>
          <w:bCs/>
          <w:color w:val="000000"/>
          <w:sz w:val="28"/>
          <w:szCs w:val="28"/>
        </w:rPr>
        <w:t>残疾人福利性单位声明函</w:t>
      </w:r>
    </w:p>
    <w:p w14:paraId="1FDCE3C9">
      <w:pPr>
        <w:shd w:val="clear"/>
        <w:spacing w:line="360" w:lineRule="auto"/>
        <w:ind w:firstLine="480"/>
        <w:rPr>
          <w:rFonts w:eastAsia="宋体" w:cs="宋体"/>
          <w:color w:val="000000"/>
          <w:sz w:val="24"/>
        </w:rPr>
      </w:pPr>
      <w:r>
        <w:rPr>
          <w:rFonts w:hint="eastAsia"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1B5FE5">
      <w:pPr>
        <w:shd w:val="clear"/>
        <w:spacing w:line="360" w:lineRule="auto"/>
        <w:ind w:firstLine="480"/>
        <w:rPr>
          <w:rFonts w:eastAsia="宋体" w:cs="宋体"/>
          <w:color w:val="000000"/>
          <w:sz w:val="24"/>
        </w:rPr>
      </w:pPr>
      <w:r>
        <w:rPr>
          <w:rFonts w:hint="eastAsia" w:eastAsia="宋体" w:cs="宋体"/>
          <w:color w:val="000000"/>
          <w:sz w:val="24"/>
        </w:rPr>
        <w:t>本单位对上述声明的真实性负责。如有虚假，将依法承担相应责任。</w:t>
      </w:r>
    </w:p>
    <w:p w14:paraId="4D3AD824">
      <w:pPr>
        <w:shd w:val="clear"/>
        <w:spacing w:line="360" w:lineRule="auto"/>
        <w:ind w:firstLine="480"/>
        <w:jc w:val="center"/>
        <w:rPr>
          <w:rFonts w:eastAsia="宋体" w:cs="宋体"/>
          <w:color w:val="000000"/>
          <w:sz w:val="24"/>
        </w:rPr>
      </w:pPr>
      <w:r>
        <w:rPr>
          <w:rFonts w:hint="eastAsia" w:eastAsia="宋体" w:cs="宋体"/>
          <w:color w:val="000000"/>
          <w:sz w:val="24"/>
        </w:rPr>
        <w:t xml:space="preserve">                   供应商公章：</w:t>
      </w:r>
    </w:p>
    <w:p w14:paraId="6582B1F8">
      <w:pPr>
        <w:shd w:val="clear"/>
        <w:spacing w:line="360" w:lineRule="auto"/>
        <w:ind w:firstLine="480"/>
        <w:jc w:val="center"/>
        <w:rPr>
          <w:rFonts w:eastAsia="宋体" w:cs="宋体"/>
          <w:color w:val="000000"/>
          <w:sz w:val="24"/>
        </w:rPr>
      </w:pPr>
      <w:r>
        <w:rPr>
          <w:rFonts w:hint="eastAsia" w:eastAsia="宋体" w:cs="宋体"/>
          <w:color w:val="000000"/>
          <w:sz w:val="24"/>
        </w:rPr>
        <w:t xml:space="preserve">                         日期：</w:t>
      </w:r>
    </w:p>
    <w:p w14:paraId="61F26F94">
      <w:pPr>
        <w:shd w:val="clear"/>
        <w:spacing w:line="360" w:lineRule="auto"/>
        <w:ind w:firstLine="566"/>
        <w:rPr>
          <w:rFonts w:eastAsia="宋体"/>
          <w:color w:val="000000"/>
          <w:sz w:val="24"/>
          <w:szCs w:val="26"/>
        </w:rPr>
      </w:pPr>
    </w:p>
    <w:p w14:paraId="2CAF5D9A">
      <w:pPr>
        <w:shd w:val="clear"/>
        <w:spacing w:line="360" w:lineRule="auto"/>
        <w:ind w:firstLine="566"/>
        <w:rPr>
          <w:rFonts w:eastAsia="宋体"/>
          <w:color w:val="000000"/>
          <w:sz w:val="24"/>
          <w:szCs w:val="26"/>
        </w:rPr>
      </w:pPr>
      <w:r>
        <w:rPr>
          <w:rFonts w:hint="eastAsia" w:eastAsia="宋体"/>
          <w:color w:val="000000"/>
          <w:sz w:val="24"/>
          <w:szCs w:val="26"/>
        </w:rPr>
        <w:t>享受政府采购支持政策的残疾人福利性单位应当同时满足以下条件：</w:t>
      </w:r>
    </w:p>
    <w:p w14:paraId="5EA6B8CE">
      <w:pPr>
        <w:shd w:val="clear"/>
        <w:spacing w:line="360" w:lineRule="auto"/>
        <w:ind w:firstLine="480"/>
        <w:rPr>
          <w:rFonts w:eastAsia="宋体"/>
          <w:color w:val="000000"/>
          <w:sz w:val="24"/>
          <w:szCs w:val="26"/>
        </w:rPr>
      </w:pPr>
      <w:r>
        <w:rPr>
          <w:rFonts w:hint="eastAsia" w:eastAsia="宋体"/>
          <w:color w:val="000000"/>
          <w:sz w:val="24"/>
          <w:szCs w:val="26"/>
        </w:rPr>
        <w:t>（一）安置的残疾人占本单位在职职工人数的比例不低于25%（含25%），并且安置的残疾人人数不少于10人（含10人）；</w:t>
      </w:r>
    </w:p>
    <w:p w14:paraId="3D0CAB33">
      <w:pPr>
        <w:shd w:val="clear"/>
        <w:spacing w:line="360" w:lineRule="auto"/>
        <w:ind w:firstLine="480"/>
        <w:rPr>
          <w:rFonts w:eastAsia="宋体"/>
          <w:color w:val="000000"/>
          <w:sz w:val="24"/>
          <w:szCs w:val="26"/>
        </w:rPr>
      </w:pPr>
      <w:r>
        <w:rPr>
          <w:rFonts w:hint="eastAsia" w:eastAsia="宋体"/>
          <w:color w:val="000000"/>
          <w:sz w:val="24"/>
          <w:szCs w:val="26"/>
        </w:rPr>
        <w:t>（二）依法与安置的每位残疾人签订了一年以上（含一年）的劳动合同或服务协议；</w:t>
      </w:r>
    </w:p>
    <w:p w14:paraId="2A10A0BD">
      <w:pPr>
        <w:shd w:val="clear"/>
        <w:spacing w:line="360" w:lineRule="auto"/>
        <w:ind w:firstLine="480"/>
        <w:rPr>
          <w:rFonts w:eastAsia="宋体"/>
          <w:color w:val="000000"/>
          <w:sz w:val="24"/>
          <w:szCs w:val="26"/>
        </w:rPr>
      </w:pPr>
      <w:r>
        <w:rPr>
          <w:rFonts w:hint="eastAsia" w:eastAsia="宋体"/>
          <w:color w:val="000000"/>
          <w:sz w:val="24"/>
          <w:szCs w:val="26"/>
        </w:rPr>
        <w:t>（三）为安置的每位残疾人按月足额缴纳了基本养老保险、基本医疗保险、失业保险、工伤保险和生育保险等社会保险费；</w:t>
      </w:r>
    </w:p>
    <w:p w14:paraId="5AF34B00">
      <w:pPr>
        <w:shd w:val="clear"/>
        <w:spacing w:line="360" w:lineRule="auto"/>
        <w:ind w:firstLine="480"/>
        <w:rPr>
          <w:rFonts w:eastAsia="宋体"/>
          <w:color w:val="000000"/>
          <w:sz w:val="24"/>
          <w:szCs w:val="26"/>
        </w:rPr>
      </w:pPr>
      <w:r>
        <w:rPr>
          <w:rFonts w:hint="eastAsia" w:eastAsia="宋体"/>
          <w:color w:val="000000"/>
          <w:sz w:val="24"/>
          <w:szCs w:val="26"/>
        </w:rPr>
        <w:t>（四）通过银行等金融机构向安置的每位残疾人，按月支付了不低于单位所在区县适用的经省级人民政府批准的月最低工资标准的工资；</w:t>
      </w:r>
    </w:p>
    <w:p w14:paraId="42911EC2">
      <w:pPr>
        <w:shd w:val="clear"/>
        <w:spacing w:line="360" w:lineRule="auto"/>
        <w:ind w:firstLine="480"/>
        <w:rPr>
          <w:rFonts w:eastAsia="宋体"/>
          <w:color w:val="000000"/>
          <w:sz w:val="24"/>
          <w:szCs w:val="26"/>
        </w:rPr>
      </w:pPr>
      <w:r>
        <w:rPr>
          <w:rFonts w:hint="eastAsia" w:eastAsia="宋体"/>
          <w:color w:val="000000"/>
          <w:sz w:val="24"/>
          <w:szCs w:val="26"/>
        </w:rPr>
        <w:t>（五）提供本单位制造的货物、承担的工程或者服务（以下简称产品），或者提供其他残疾人福利性单位制造的货物（不包括使用非残疾人福利性单位注册商标的货物）。</w:t>
      </w:r>
    </w:p>
    <w:p w14:paraId="5455D78F">
      <w:pPr>
        <w:shd w:val="clear"/>
        <w:spacing w:line="360" w:lineRule="auto"/>
        <w:ind w:firstLine="480"/>
        <w:rPr>
          <w:rFonts w:eastAsia="宋体" w:cs="宋体"/>
          <w:color w:val="000000"/>
        </w:rPr>
      </w:pPr>
      <w:r>
        <w:rPr>
          <w:rFonts w:hint="eastAsia" w:eastAsia="宋体"/>
          <w:color w:val="000000"/>
          <w:sz w:val="24"/>
          <w:szCs w:val="26"/>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eastAsia="宋体" w:cs="宋体"/>
          <w:color w:val="000000"/>
        </w:rPr>
        <w:t xml:space="preserve">  </w:t>
      </w:r>
    </w:p>
    <w:p w14:paraId="7C3B760B">
      <w:pPr>
        <w:shd w:val="clear"/>
        <w:rPr>
          <w:rFonts w:eastAsia="宋体" w:cs="宋体"/>
          <w:b/>
          <w:color w:val="000000"/>
          <w:szCs w:val="24"/>
        </w:rPr>
      </w:pPr>
      <w:r>
        <w:rPr>
          <w:rFonts w:eastAsia="宋体" w:cs="宋体"/>
          <w:b/>
          <w:color w:val="000000"/>
          <w:szCs w:val="24"/>
        </w:rPr>
        <w:br w:type="page"/>
      </w:r>
    </w:p>
    <w:p w14:paraId="102C6FD2">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监狱企业的证明</w:t>
      </w:r>
    </w:p>
    <w:p w14:paraId="13CA8D74">
      <w:pPr>
        <w:shd w:val="clear"/>
        <w:spacing w:line="360" w:lineRule="auto"/>
        <w:jc w:val="center"/>
        <w:rPr>
          <w:rFonts w:eastAsia="宋体"/>
          <w:color w:val="000000"/>
          <w:sz w:val="24"/>
          <w:szCs w:val="26"/>
        </w:rPr>
      </w:pPr>
      <w:r>
        <w:rPr>
          <w:rFonts w:eastAsia="宋体"/>
          <w:color w:val="000000"/>
          <w:sz w:val="24"/>
          <w:szCs w:val="26"/>
        </w:rPr>
        <w:t>（格式自拟）</w:t>
      </w:r>
    </w:p>
    <w:p w14:paraId="5CA15D87">
      <w:pPr>
        <w:shd w:val="clear"/>
        <w:spacing w:line="360" w:lineRule="auto"/>
        <w:ind w:firstLine="566"/>
        <w:rPr>
          <w:rFonts w:eastAsia="宋体"/>
          <w:color w:val="000000"/>
          <w:sz w:val="24"/>
          <w:szCs w:val="26"/>
        </w:rPr>
      </w:pPr>
      <w:r>
        <w:rPr>
          <w:rFonts w:eastAsia="宋体"/>
          <w:color w:val="000000"/>
          <w:sz w:val="24"/>
          <w:szCs w:val="26"/>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58DDB56">
      <w:pPr>
        <w:shd w:val="clear"/>
        <w:spacing w:line="360" w:lineRule="auto"/>
        <w:rPr>
          <w:rFonts w:eastAsia="宋体" w:cs="宋体"/>
          <w:color w:val="000000"/>
        </w:rPr>
      </w:pPr>
    </w:p>
    <w:p w14:paraId="1E243D2C">
      <w:pPr>
        <w:shd w:val="clear"/>
        <w:rPr>
          <w:rFonts w:eastAsia="宋体" w:cs="宋体"/>
          <w:color w:val="000000"/>
        </w:rPr>
      </w:pPr>
      <w:r>
        <w:rPr>
          <w:rFonts w:hint="eastAsia" w:eastAsia="宋体" w:cs="宋体"/>
          <w:color w:val="000000"/>
        </w:rPr>
        <w:br w:type="page"/>
      </w:r>
    </w:p>
    <w:p w14:paraId="6F4B8D09">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附件10：</w:t>
      </w:r>
    </w:p>
    <w:p w14:paraId="406E7A1F">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投标声明函</w:t>
      </w:r>
    </w:p>
    <w:p w14:paraId="694FC7CF">
      <w:pPr>
        <w:shd w:val="clear"/>
        <w:spacing w:line="360" w:lineRule="auto"/>
        <w:ind w:firstLine="482"/>
        <w:rPr>
          <w:rFonts w:eastAsia="宋体" w:cs="宋体"/>
          <w:color w:val="000000"/>
          <w:sz w:val="24"/>
          <w:szCs w:val="21"/>
        </w:rPr>
      </w:pPr>
    </w:p>
    <w:p w14:paraId="34B13428">
      <w:pPr>
        <w:shd w:val="clear"/>
        <w:spacing w:line="360" w:lineRule="auto"/>
        <w:ind w:firstLine="482"/>
        <w:rPr>
          <w:rFonts w:eastAsia="宋体" w:cs="宋体"/>
          <w:b/>
          <w:bCs/>
          <w:color w:val="000000"/>
          <w:sz w:val="24"/>
          <w:szCs w:val="21"/>
        </w:rPr>
      </w:pPr>
      <w:r>
        <w:rPr>
          <w:rFonts w:hint="eastAsia" w:eastAsia="宋体" w:cs="宋体"/>
          <w:color w:val="000000"/>
          <w:sz w:val="24"/>
          <w:szCs w:val="21"/>
        </w:rPr>
        <w:t>致：</w:t>
      </w:r>
      <w:r>
        <w:rPr>
          <w:rFonts w:hint="eastAsia" w:eastAsia="宋体" w:cs="宋体"/>
          <w:color w:val="000000"/>
          <w:sz w:val="24"/>
          <w:szCs w:val="21"/>
          <w:u w:val="single"/>
          <w:shd w:val="clear" w:color="auto" w:fill="FFFFFF"/>
        </w:rPr>
        <w:t xml:space="preserve">           </w:t>
      </w:r>
      <w:r>
        <w:rPr>
          <w:rFonts w:hint="eastAsia" w:eastAsia="宋体" w:cs="宋体"/>
          <w:color w:val="000000"/>
          <w:sz w:val="24"/>
          <w:szCs w:val="21"/>
          <w:shd w:val="clear" w:color="auto" w:fill="FFFFFF"/>
        </w:rPr>
        <w:t>（采购人）</w:t>
      </w:r>
      <w:r>
        <w:rPr>
          <w:rFonts w:hint="eastAsia" w:eastAsia="宋体" w:cs="宋体"/>
          <w:color w:val="000000"/>
          <w:sz w:val="24"/>
          <w:szCs w:val="21"/>
        </w:rPr>
        <w:t>：</w:t>
      </w:r>
      <w:r>
        <w:rPr>
          <w:rFonts w:hint="eastAsia" w:eastAsia="宋体" w:cs="宋体"/>
          <w:b/>
          <w:bCs/>
          <w:color w:val="000000"/>
          <w:sz w:val="24"/>
          <w:szCs w:val="21"/>
        </w:rPr>
        <w:t xml:space="preserve">   </w:t>
      </w:r>
    </w:p>
    <w:p w14:paraId="0D2AA1D9">
      <w:pPr>
        <w:shd w:val="clear"/>
        <w:tabs>
          <w:tab w:val="left" w:pos="420"/>
          <w:tab w:val="left" w:pos="562"/>
          <w:tab w:val="left" w:pos="945"/>
          <w:tab w:val="left" w:pos="5382"/>
          <w:tab w:val="left" w:pos="7560"/>
        </w:tabs>
        <w:spacing w:line="360" w:lineRule="auto"/>
        <w:ind w:firstLine="480"/>
        <w:jc w:val="left"/>
        <w:rPr>
          <w:rFonts w:eastAsia="宋体" w:cs="宋体"/>
          <w:color w:val="000000"/>
          <w:sz w:val="24"/>
          <w:szCs w:val="21"/>
        </w:rPr>
      </w:pPr>
      <w:bookmarkStart w:id="15" w:name="_Toc396833717"/>
      <w:r>
        <w:rPr>
          <w:rFonts w:hint="eastAsia" w:eastAsia="宋体" w:cs="宋体"/>
          <w:color w:val="000000"/>
          <w:sz w:val="24"/>
          <w:szCs w:val="21"/>
        </w:rPr>
        <w:t>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p>
    <w:p w14:paraId="378FC7F7">
      <w:pPr>
        <w:numPr>
          <w:ilvl w:val="1"/>
          <w:numId w:val="0"/>
        </w:numPr>
        <w:shd w:val="clear"/>
        <w:tabs>
          <w:tab w:val="left" w:pos="420"/>
          <w:tab w:val="left" w:pos="945"/>
          <w:tab w:val="left" w:pos="5382"/>
          <w:tab w:val="left" w:pos="7560"/>
        </w:tabs>
        <w:spacing w:line="360" w:lineRule="auto"/>
        <w:ind w:firstLine="480"/>
        <w:jc w:val="left"/>
        <w:rPr>
          <w:rFonts w:eastAsia="宋体" w:cs="宋体"/>
          <w:color w:val="000000"/>
          <w:sz w:val="24"/>
          <w:szCs w:val="21"/>
        </w:rPr>
      </w:pPr>
      <w:r>
        <w:rPr>
          <w:rFonts w:eastAsia="宋体"/>
          <w:color w:val="000000"/>
          <w:sz w:val="24"/>
          <w:szCs w:val="21"/>
        </w:rPr>
        <w:t>1</w:t>
      </w:r>
      <w:r>
        <w:rPr>
          <w:rFonts w:hint="eastAsia" w:eastAsia="宋体"/>
          <w:color w:val="000000"/>
          <w:sz w:val="24"/>
          <w:szCs w:val="21"/>
        </w:rPr>
        <w:t>.</w:t>
      </w:r>
      <w:r>
        <w:rPr>
          <w:rFonts w:hint="eastAsia" w:eastAsia="宋体" w:cs="宋体"/>
          <w:color w:val="000000"/>
          <w:sz w:val="24"/>
          <w:szCs w:val="21"/>
        </w:rPr>
        <w:t>我方承诺信用记录中未</w:t>
      </w:r>
      <w:r>
        <w:rPr>
          <w:rFonts w:hint="eastAsia" w:eastAsia="宋体" w:cs="宋体"/>
          <w:color w:val="000000"/>
          <w:sz w:val="24"/>
          <w:szCs w:val="24"/>
        </w:rPr>
        <w:t>被“信用中国”网站</w:t>
      </w:r>
      <w:r>
        <w:rPr>
          <w:rFonts w:hint="eastAsia" w:eastAsia="宋体" w:cs="宋体"/>
          <w:color w:val="000000"/>
          <w:sz w:val="24"/>
          <w:szCs w:val="24"/>
          <w:lang w:eastAsia="zh-CN"/>
        </w:rPr>
        <w:t>（</w:t>
      </w:r>
      <w:r>
        <w:fldChar w:fldCharType="begin"/>
      </w:r>
      <w:r>
        <w:instrText xml:space="preserve"> HYPERLINK "http://www.creditchina.gov.cn" \o "http://www.creditchina.gov.cn" </w:instrText>
      </w:r>
      <w:r>
        <w:fldChar w:fldCharType="separate"/>
      </w:r>
      <w:r>
        <w:rPr>
          <w:rFonts w:hint="eastAsia" w:eastAsia="宋体" w:cs="宋体"/>
          <w:color w:val="000000"/>
          <w:sz w:val="24"/>
          <w:szCs w:val="24"/>
        </w:rPr>
        <w:t>www.creditchina.gov.cn</w:t>
      </w:r>
      <w:r>
        <w:rPr>
          <w:rFonts w:hint="eastAsia" w:eastAsia="宋体" w:cs="宋体"/>
          <w:color w:val="000000"/>
          <w:sz w:val="24"/>
          <w:szCs w:val="24"/>
        </w:rPr>
        <w:fldChar w:fldCharType="end"/>
      </w:r>
      <w:r>
        <w:rPr>
          <w:rFonts w:hint="eastAsia" w:eastAsia="宋体" w:cs="宋体"/>
          <w:color w:val="000000"/>
          <w:sz w:val="24"/>
          <w:szCs w:val="24"/>
          <w:lang w:eastAsia="zh-CN"/>
        </w:rPr>
        <w:t>）</w:t>
      </w:r>
      <w:r>
        <w:rPr>
          <w:rFonts w:hint="eastAsia" w:eastAsia="宋体" w:cs="宋体"/>
          <w:color w:val="000000"/>
          <w:sz w:val="24"/>
          <w:szCs w:val="24"/>
        </w:rPr>
        <w:t>、中华人民共和国最高人民法院网站（</w:t>
      </w:r>
      <w:r>
        <w:fldChar w:fldCharType="begin"/>
      </w:r>
      <w:r>
        <w:instrText xml:space="preserve"> HYPERLINK "http://www.court.gov.cn/" \o "http://www.court.gov.cn/" </w:instrText>
      </w:r>
      <w:r>
        <w:fldChar w:fldCharType="separate"/>
      </w:r>
      <w:r>
        <w:rPr>
          <w:rFonts w:hint="eastAsia" w:eastAsia="宋体" w:cs="宋体"/>
          <w:color w:val="000000"/>
          <w:sz w:val="24"/>
          <w:szCs w:val="24"/>
        </w:rPr>
        <w:t>http：//www.court.gov.cn</w:t>
      </w:r>
      <w:r>
        <w:rPr>
          <w:rFonts w:hint="eastAsia" w:eastAsia="宋体" w:cs="宋体"/>
          <w:color w:val="000000"/>
          <w:sz w:val="24"/>
          <w:szCs w:val="24"/>
        </w:rPr>
        <w:fldChar w:fldCharType="end"/>
      </w:r>
      <w:r>
        <w:rPr>
          <w:rFonts w:hint="eastAsia" w:eastAsia="宋体" w:cs="宋体"/>
          <w:color w:val="000000"/>
          <w:sz w:val="24"/>
          <w:szCs w:val="24"/>
        </w:rPr>
        <w:t>）等渠道列入信用记录失信被执行人，未被中国政府采购网</w:t>
      </w:r>
      <w:r>
        <w:rPr>
          <w:rFonts w:hint="eastAsia" w:eastAsia="宋体" w:cs="宋体"/>
          <w:color w:val="000000"/>
          <w:sz w:val="24"/>
          <w:szCs w:val="24"/>
          <w:lang w:eastAsia="zh-CN"/>
        </w:rPr>
        <w:t>（</w:t>
      </w:r>
      <w:r>
        <w:fldChar w:fldCharType="begin"/>
      </w:r>
      <w:r>
        <w:instrText xml:space="preserve"> HYPERLINK "http://www.ccgp.gov.cn" \o "http://www.ccgp.gov.cn" </w:instrText>
      </w:r>
      <w:r>
        <w:fldChar w:fldCharType="separate"/>
      </w:r>
      <w:r>
        <w:rPr>
          <w:rFonts w:hint="eastAsia" w:eastAsia="宋体" w:cs="宋体"/>
          <w:color w:val="000000"/>
          <w:sz w:val="24"/>
          <w:szCs w:val="24"/>
        </w:rPr>
        <w:t>www.ccgp.gov.cn</w:t>
      </w:r>
      <w:r>
        <w:rPr>
          <w:rFonts w:hint="eastAsia" w:eastAsia="宋体" w:cs="宋体"/>
          <w:color w:val="000000"/>
          <w:sz w:val="24"/>
          <w:szCs w:val="24"/>
        </w:rPr>
        <w:fldChar w:fldCharType="end"/>
      </w:r>
      <w:r>
        <w:rPr>
          <w:rFonts w:hint="eastAsia" w:eastAsia="宋体" w:cs="宋体"/>
          <w:color w:val="000000"/>
          <w:sz w:val="24"/>
          <w:szCs w:val="24"/>
          <w:lang w:eastAsia="zh-CN"/>
        </w:rPr>
        <w:t>）</w:t>
      </w:r>
      <w:r>
        <w:rPr>
          <w:rFonts w:hint="eastAsia" w:eastAsia="宋体" w:cs="宋体"/>
          <w:color w:val="000000"/>
          <w:sz w:val="24"/>
          <w:szCs w:val="24"/>
        </w:rPr>
        <w:t>等渠道列入政府采购严重违法失信行为记录名单，未被中华人民共和国应急管理部网站（http：//www.mem.gov.cn/）等渠道列入安全生产失信联合惩戒“黑名单”，未被国家税务总局网站（</w:t>
      </w:r>
      <w:r>
        <w:fldChar w:fldCharType="begin"/>
      </w:r>
      <w:r>
        <w:instrText xml:space="preserve"> HYPERLINK "http://hd.chinatax.gov.cn/xxk/" \o "http://hd.chinatax.gov.cn/xxk/" </w:instrText>
      </w:r>
      <w:r>
        <w:fldChar w:fldCharType="separate"/>
      </w:r>
      <w:r>
        <w:rPr>
          <w:rFonts w:hint="eastAsia" w:eastAsia="宋体" w:cs="宋体"/>
          <w:color w:val="000000"/>
          <w:sz w:val="24"/>
          <w:szCs w:val="24"/>
        </w:rPr>
        <w:t>http：//hd.chinatax.gov.cn/xxk</w:t>
      </w:r>
      <w:r>
        <w:rPr>
          <w:rFonts w:hint="eastAsia" w:eastAsia="宋体" w:cs="宋体"/>
          <w:color w:val="000000"/>
          <w:sz w:val="24"/>
          <w:szCs w:val="24"/>
        </w:rPr>
        <w:fldChar w:fldCharType="end"/>
      </w:r>
      <w:r>
        <w:rPr>
          <w:rFonts w:hint="eastAsia" w:eastAsia="宋体" w:cs="宋体"/>
          <w:color w:val="000000"/>
          <w:sz w:val="24"/>
          <w:szCs w:val="24"/>
        </w:rPr>
        <w:t>）等渠道列入重大税收违法案件当事人名单，未被国家企业信用信息公示系统（</w:t>
      </w:r>
      <w:r>
        <w:fldChar w:fldCharType="begin"/>
      </w:r>
      <w:r>
        <w:instrText xml:space="preserve"> HYPERLINK "http://www.gsxt.gov.cn" \o "http://www.gsxt.gov.cn" </w:instrText>
      </w:r>
      <w:r>
        <w:fldChar w:fldCharType="separate"/>
      </w:r>
      <w:r>
        <w:rPr>
          <w:rFonts w:hint="eastAsia" w:eastAsia="宋体" w:cs="宋体"/>
          <w:color w:val="000000"/>
          <w:sz w:val="24"/>
          <w:szCs w:val="24"/>
        </w:rPr>
        <w:t>http：//www.gsxt.gov.cn</w:t>
      </w:r>
      <w:r>
        <w:rPr>
          <w:rFonts w:hint="eastAsia" w:eastAsia="宋体" w:cs="宋体"/>
          <w:color w:val="000000"/>
          <w:sz w:val="24"/>
          <w:szCs w:val="24"/>
        </w:rPr>
        <w:fldChar w:fldCharType="end"/>
      </w:r>
      <w:r>
        <w:rPr>
          <w:rFonts w:hint="eastAsia" w:eastAsia="宋体" w:cs="宋体"/>
          <w:color w:val="000000"/>
          <w:sz w:val="24"/>
          <w:szCs w:val="24"/>
        </w:rPr>
        <w:t>）等渠道列入经营异常名录、严重违法失信企业名单，未被全国公共资源交易平台（</w:t>
      </w:r>
      <w:r>
        <w:fldChar w:fldCharType="begin"/>
      </w:r>
      <w:r>
        <w:instrText xml:space="preserve"> HYPERLINK "http://www.ggzy.gov.cn" \o "http://www.ggzy.gov.cn" </w:instrText>
      </w:r>
      <w:r>
        <w:fldChar w:fldCharType="separate"/>
      </w:r>
      <w:r>
        <w:rPr>
          <w:rFonts w:hint="eastAsia" w:eastAsia="宋体" w:cs="宋体"/>
          <w:color w:val="000000"/>
          <w:sz w:val="24"/>
          <w:szCs w:val="24"/>
        </w:rPr>
        <w:t>http：//www.ggzy.gov.cn</w:t>
      </w:r>
      <w:r>
        <w:rPr>
          <w:rFonts w:hint="eastAsia" w:eastAsia="宋体" w:cs="宋体"/>
          <w:color w:val="000000"/>
          <w:sz w:val="24"/>
          <w:szCs w:val="24"/>
        </w:rPr>
        <w:fldChar w:fldCharType="end"/>
      </w:r>
      <w:r>
        <w:rPr>
          <w:rFonts w:hint="eastAsia" w:eastAsia="宋体" w:cs="宋体"/>
          <w:color w:val="000000"/>
          <w:sz w:val="24"/>
          <w:szCs w:val="24"/>
        </w:rPr>
        <w:t>）等渠道列入黑名单</w:t>
      </w:r>
      <w:r>
        <w:rPr>
          <w:rFonts w:hint="eastAsia" w:eastAsia="宋体" w:cs="宋体"/>
          <w:color w:val="000000"/>
          <w:sz w:val="24"/>
          <w:szCs w:val="21"/>
        </w:rPr>
        <w:t>，否则，可将我方的投标文件按照无效投标文件处理。</w:t>
      </w:r>
    </w:p>
    <w:p w14:paraId="21F7292C">
      <w:pPr>
        <w:shd w:val="clear"/>
        <w:tabs>
          <w:tab w:val="left" w:pos="420"/>
          <w:tab w:val="left" w:pos="945"/>
          <w:tab w:val="left" w:pos="5382"/>
          <w:tab w:val="left" w:pos="7560"/>
        </w:tabs>
        <w:spacing w:line="360" w:lineRule="auto"/>
        <w:ind w:firstLine="480"/>
        <w:jc w:val="left"/>
        <w:rPr>
          <w:rFonts w:eastAsia="宋体" w:cs="宋体"/>
          <w:color w:val="000000"/>
          <w:sz w:val="24"/>
          <w:szCs w:val="21"/>
        </w:rPr>
      </w:pPr>
      <w:r>
        <w:rPr>
          <w:rFonts w:hint="eastAsia" w:eastAsia="宋体" w:cs="宋体"/>
          <w:color w:val="000000"/>
          <w:sz w:val="24"/>
          <w:szCs w:val="21"/>
        </w:rPr>
        <w:t>2.我方承诺参加本次采购活动前三年内，在经营活动中没有重大违法记录，否则，可将我方的投标文件按照无效投标文件处理。</w:t>
      </w:r>
    </w:p>
    <w:p w14:paraId="21F339AE">
      <w:pPr>
        <w:shd w:val="clear"/>
        <w:tabs>
          <w:tab w:val="left" w:pos="420"/>
          <w:tab w:val="left" w:pos="945"/>
          <w:tab w:val="left" w:pos="5382"/>
          <w:tab w:val="left" w:pos="7560"/>
        </w:tabs>
        <w:spacing w:line="360" w:lineRule="auto"/>
        <w:ind w:firstLine="480"/>
        <w:jc w:val="left"/>
        <w:rPr>
          <w:rFonts w:eastAsia="宋体" w:cs="宋体"/>
          <w:color w:val="000000"/>
          <w:sz w:val="24"/>
          <w:szCs w:val="21"/>
        </w:rPr>
      </w:pPr>
      <w:r>
        <w:rPr>
          <w:rFonts w:hint="eastAsia" w:eastAsia="宋体" w:cs="宋体"/>
          <w:color w:val="000000"/>
          <w:sz w:val="24"/>
          <w:szCs w:val="21"/>
        </w:rPr>
        <w:t>3.我方承诺按照本项目招标文件和相关技术标准的条件，提供货物及相关服务，并承担因货物质量或服务等引起的一切责任。</w:t>
      </w:r>
    </w:p>
    <w:p w14:paraId="0AF880A3">
      <w:pPr>
        <w:shd w:val="clea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4.我方对本项目招标文件（包括修改文件及有关附件）完全理解，并承诺在发生争议时，不会以对招标文件存在误解、不明为由，向你方行使任何法律上的抗辩权。</w:t>
      </w:r>
    </w:p>
    <w:p w14:paraId="7A6B9812">
      <w:pPr>
        <w:shd w:val="clea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5.我方投标文件有效期为自开标日起</w:t>
      </w:r>
      <w:r>
        <w:rPr>
          <w:rFonts w:hint="eastAsia" w:eastAsia="宋体" w:cs="宋体"/>
          <w:color w:val="000000"/>
          <w:sz w:val="24"/>
          <w:szCs w:val="21"/>
          <w:u w:val="single"/>
        </w:rPr>
        <w:t>60</w:t>
      </w:r>
      <w:r>
        <w:rPr>
          <w:rFonts w:hint="eastAsia" w:eastAsia="宋体" w:cs="宋体"/>
          <w:color w:val="000000"/>
          <w:sz w:val="24"/>
          <w:szCs w:val="21"/>
        </w:rPr>
        <w:t>天，若中标，则投标有效期自动延续至合同履行完毕。</w:t>
      </w:r>
    </w:p>
    <w:p w14:paraId="0CB5E6D9">
      <w:pPr>
        <w:shd w:val="clea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6.我方承诺接受招标文件规定的付款方式。</w:t>
      </w:r>
    </w:p>
    <w:p w14:paraId="3965D37F">
      <w:pPr>
        <w:shd w:val="clea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7.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126F7F9D">
      <w:pPr>
        <w:shd w:val="clea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8.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5A7F60A8">
      <w:pPr>
        <w:shd w:val="clea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9.我方委托授权（姓名：</w:t>
      </w:r>
      <w:r>
        <w:rPr>
          <w:rFonts w:hint="eastAsia" w:eastAsia="宋体" w:cs="宋体"/>
          <w:color w:val="000000"/>
          <w:sz w:val="24"/>
          <w:szCs w:val="21"/>
          <w:u w:val="single"/>
        </w:rPr>
        <w:t xml:space="preserve">       </w:t>
      </w:r>
      <w:r>
        <w:rPr>
          <w:rFonts w:hint="eastAsia" w:eastAsia="宋体" w:cs="宋体"/>
          <w:color w:val="000000"/>
          <w:sz w:val="24"/>
          <w:szCs w:val="21"/>
        </w:rPr>
        <w:t>，身份证号：_________，联系电话：________）作为我方的代理人参加本项目投标，负责提交投标文件以及其它相关资料，参加开标，接受质询并予以澄清，签署、接受招投标过程中的各种法律文件，办理投标过程中的其他相关事务。</w:t>
      </w:r>
    </w:p>
    <w:p w14:paraId="63ABF6D4">
      <w:pPr>
        <w:shd w:val="clea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10.我方承诺将严格遵守相关法律法规，若存在违法违规行为，将承担相应的法律后果。</w:t>
      </w:r>
    </w:p>
    <w:p w14:paraId="57290F23">
      <w:pPr>
        <w:shd w:val="clear"/>
        <w:tabs>
          <w:tab w:val="left" w:pos="945"/>
        </w:tabs>
        <w:spacing w:line="360" w:lineRule="auto"/>
        <w:jc w:val="right"/>
        <w:rPr>
          <w:rFonts w:eastAsia="宋体" w:cs="宋体"/>
          <w:color w:val="000000"/>
          <w:sz w:val="24"/>
          <w:szCs w:val="21"/>
        </w:rPr>
      </w:pPr>
    </w:p>
    <w:p w14:paraId="5D368FAC">
      <w:pPr>
        <w:shd w:val="clear"/>
        <w:tabs>
          <w:tab w:val="left" w:pos="945"/>
        </w:tabs>
        <w:spacing w:line="360" w:lineRule="auto"/>
        <w:jc w:val="right"/>
        <w:rPr>
          <w:rFonts w:eastAsia="宋体" w:cs="宋体"/>
          <w:color w:val="000000"/>
          <w:sz w:val="24"/>
          <w:szCs w:val="21"/>
        </w:rPr>
      </w:pPr>
    </w:p>
    <w:bookmarkEnd w:id="15"/>
    <w:p w14:paraId="1132B126">
      <w:pPr>
        <w:shd w:val="clear"/>
        <w:snapToGrid w:val="0"/>
        <w:spacing w:line="360" w:lineRule="auto"/>
        <w:jc w:val="center"/>
        <w:outlineLvl w:val="4"/>
        <w:rPr>
          <w:rFonts w:hint="eastAsia" w:ascii="宋体" w:hAnsi="宋体" w:eastAsia="宋体" w:cs="宋体"/>
          <w:bCs/>
          <w:sz w:val="24"/>
        </w:rPr>
      </w:pPr>
      <w:r>
        <w:rPr>
          <w:rFonts w:hint="eastAsia" w:ascii="宋体" w:hAnsi="宋体" w:eastAsia="宋体" w:cs="宋体"/>
          <w:bCs/>
          <w:sz w:val="24"/>
        </w:rPr>
        <w:t xml:space="preserve">  投标人（加盖CA电子签章）： </w:t>
      </w:r>
    </w:p>
    <w:p w14:paraId="60C2B55A">
      <w:pPr>
        <w:shd w:val="clear"/>
        <w:spacing w:line="360" w:lineRule="auto"/>
        <w:ind w:firstLine="566"/>
        <w:rPr>
          <w:rFonts w:hint="eastAsia"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28B42087">
      <w:pPr>
        <w:shd w:val="clear"/>
        <w:spacing w:line="360" w:lineRule="auto"/>
        <w:ind w:firstLine="2920" w:firstLineChars="1217"/>
        <w:rPr>
          <w:rFonts w:eastAsia="宋体" w:cs="宋体"/>
          <w:color w:val="000000"/>
          <w:sz w:val="24"/>
          <w:szCs w:val="21"/>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2150A4ED">
      <w:pPr>
        <w:shd w:val="clear"/>
        <w:rPr>
          <w:rFonts w:eastAsia="宋体" w:cs="宋体"/>
          <w:b/>
          <w:bCs/>
          <w:color w:val="000000"/>
          <w:sz w:val="28"/>
          <w:szCs w:val="28"/>
        </w:rPr>
      </w:pPr>
      <w:r>
        <w:rPr>
          <w:rFonts w:hint="eastAsia" w:eastAsia="宋体" w:cs="宋体"/>
          <w:color w:val="000000"/>
          <w:sz w:val="24"/>
          <w:szCs w:val="21"/>
        </w:rPr>
        <w:br w:type="page" w:clear="all"/>
      </w:r>
    </w:p>
    <w:p w14:paraId="2DD3CF52">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附件11：</w:t>
      </w:r>
    </w:p>
    <w:p w14:paraId="31C5519C">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投标响应函（格式不得变动）</w:t>
      </w:r>
    </w:p>
    <w:p w14:paraId="79D898D2">
      <w:pPr>
        <w:shd w:val="clear"/>
        <w:spacing w:line="360" w:lineRule="auto"/>
        <w:jc w:val="left"/>
        <w:rPr>
          <w:rFonts w:eastAsia="宋体" w:cs="宋体"/>
          <w:color w:val="000000"/>
          <w:sz w:val="24"/>
          <w:szCs w:val="21"/>
          <w:u w:val="single"/>
        </w:rPr>
      </w:pPr>
    </w:p>
    <w:p w14:paraId="056BB79D">
      <w:pPr>
        <w:shd w:val="clear"/>
        <w:spacing w:line="360" w:lineRule="auto"/>
        <w:jc w:val="left"/>
        <w:rPr>
          <w:rFonts w:eastAsia="宋体" w:cs="宋体"/>
          <w:color w:val="000000"/>
          <w:sz w:val="24"/>
          <w:szCs w:val="21"/>
        </w:rPr>
      </w:pPr>
      <w:r>
        <w:rPr>
          <w:rFonts w:hint="eastAsia" w:eastAsia="宋体" w:cs="宋体"/>
          <w:color w:val="000000"/>
          <w:sz w:val="24"/>
          <w:szCs w:val="21"/>
          <w:u w:val="single"/>
        </w:rPr>
        <w:t xml:space="preserve">                </w:t>
      </w:r>
      <w:r>
        <w:rPr>
          <w:rFonts w:hint="eastAsia" w:eastAsia="宋体" w:cs="宋体"/>
          <w:color w:val="000000"/>
          <w:sz w:val="24"/>
          <w:szCs w:val="21"/>
        </w:rPr>
        <w:t>（采购人）：</w:t>
      </w:r>
    </w:p>
    <w:p w14:paraId="106FB750">
      <w:pPr>
        <w:shd w:val="clear"/>
        <w:spacing w:line="360" w:lineRule="auto"/>
        <w:ind w:firstLine="480"/>
        <w:rPr>
          <w:rFonts w:eastAsia="宋体" w:cs="宋体"/>
          <w:color w:val="000000"/>
          <w:sz w:val="24"/>
          <w:szCs w:val="21"/>
        </w:rPr>
      </w:pPr>
      <w:r>
        <w:rPr>
          <w:rFonts w:hint="eastAsia" w:eastAsia="宋体" w:cs="宋体"/>
          <w:color w:val="000000"/>
          <w:sz w:val="24"/>
          <w:szCs w:val="21"/>
        </w:rPr>
        <w:t>依据贵单位</w:t>
      </w:r>
      <w:r>
        <w:rPr>
          <w:rFonts w:hint="eastAsia" w:eastAsia="宋体" w:cs="宋体"/>
          <w:color w:val="000000"/>
          <w:sz w:val="24"/>
          <w:szCs w:val="21"/>
          <w:u w:val="single"/>
        </w:rPr>
        <w:t xml:space="preserve">         </w:t>
      </w:r>
      <w:r>
        <w:rPr>
          <w:rFonts w:hint="eastAsia" w:eastAsia="宋体" w:cs="宋体"/>
          <w:color w:val="000000"/>
          <w:sz w:val="24"/>
          <w:szCs w:val="21"/>
        </w:rPr>
        <w:t>（招标项目名称）项目公开招标采购的邀请，我方授权</w:t>
      </w:r>
      <w:r>
        <w:rPr>
          <w:rFonts w:hint="eastAsia" w:eastAsia="宋体" w:cs="宋体"/>
          <w:color w:val="000000"/>
          <w:sz w:val="24"/>
          <w:szCs w:val="21"/>
          <w:u w:val="single"/>
        </w:rPr>
        <w:t xml:space="preserve">       </w:t>
      </w:r>
      <w:r>
        <w:rPr>
          <w:rFonts w:hint="eastAsia" w:eastAsia="宋体" w:cs="宋体"/>
          <w:color w:val="000000"/>
          <w:sz w:val="24"/>
          <w:szCs w:val="21"/>
        </w:rPr>
        <w:t>（姓名）</w:t>
      </w:r>
      <w:r>
        <w:rPr>
          <w:rFonts w:hint="eastAsia" w:eastAsia="宋体" w:cs="宋体"/>
          <w:color w:val="000000"/>
          <w:sz w:val="24"/>
          <w:szCs w:val="21"/>
          <w:u w:val="single"/>
        </w:rPr>
        <w:t xml:space="preserve">      </w:t>
      </w:r>
      <w:r>
        <w:rPr>
          <w:rFonts w:hint="eastAsia" w:eastAsia="宋体" w:cs="宋体"/>
          <w:color w:val="000000"/>
          <w:sz w:val="24"/>
          <w:szCs w:val="21"/>
        </w:rPr>
        <w:t>（职务）为全权代表参加该项目的投标工作，全权处理本次投标的有关事宜。同时，我公司声明如下：</w:t>
      </w:r>
    </w:p>
    <w:p w14:paraId="28D83129">
      <w:pPr>
        <w:shd w:val="clear"/>
        <w:spacing w:line="360" w:lineRule="auto"/>
        <w:ind w:firstLine="480"/>
        <w:rPr>
          <w:rFonts w:eastAsia="宋体" w:cs="宋体"/>
          <w:color w:val="000000"/>
          <w:sz w:val="24"/>
          <w:szCs w:val="21"/>
        </w:rPr>
      </w:pPr>
      <w:r>
        <w:rPr>
          <w:rFonts w:hint="eastAsia" w:eastAsia="宋体" w:cs="宋体"/>
          <w:color w:val="000000"/>
          <w:sz w:val="24"/>
          <w:szCs w:val="21"/>
        </w:rPr>
        <w:t>1.我方同意并接受本项目招标文件的各项要求，遵守招标文件中的各项规定，按招标文件的要求提供报价。</w:t>
      </w:r>
    </w:p>
    <w:p w14:paraId="08E2B51C">
      <w:pPr>
        <w:shd w:val="clear"/>
        <w:spacing w:line="360" w:lineRule="auto"/>
        <w:ind w:firstLine="480"/>
        <w:rPr>
          <w:rFonts w:eastAsia="宋体" w:cs="宋体"/>
          <w:color w:val="000000"/>
          <w:sz w:val="24"/>
          <w:szCs w:val="21"/>
        </w:rPr>
      </w:pPr>
      <w:r>
        <w:rPr>
          <w:rFonts w:hint="eastAsia" w:eastAsia="宋体" w:cs="宋体"/>
          <w:color w:val="000000"/>
          <w:sz w:val="24"/>
          <w:szCs w:val="21"/>
        </w:rPr>
        <w:t>2.我方已经详细审查了全部招标文件，我方已完全清晰理解招标文件的要求，不存在任何含糊不清和误解之处，同意放弃对这些文件所提出的异议和质疑的权利。</w:t>
      </w:r>
    </w:p>
    <w:p w14:paraId="7C4AA406">
      <w:pPr>
        <w:shd w:val="clear"/>
        <w:spacing w:line="360" w:lineRule="auto"/>
        <w:ind w:firstLine="480"/>
        <w:rPr>
          <w:rFonts w:eastAsia="宋体" w:cs="宋体"/>
          <w:color w:val="000000"/>
          <w:sz w:val="24"/>
          <w:szCs w:val="21"/>
        </w:rPr>
      </w:pPr>
      <w:r>
        <w:rPr>
          <w:rFonts w:hint="eastAsia" w:eastAsia="宋体" w:cs="宋体"/>
          <w:color w:val="000000"/>
          <w:sz w:val="24"/>
          <w:szCs w:val="21"/>
        </w:rPr>
        <w:t>3.我方愿意提供</w:t>
      </w:r>
      <w:r>
        <w:rPr>
          <w:rFonts w:hint="eastAsia" w:eastAsia="宋体" w:cs="宋体"/>
          <w:color w:val="000000"/>
          <w:sz w:val="24"/>
          <w:szCs w:val="21"/>
          <w:lang w:eastAsia="zh-CN"/>
        </w:rPr>
        <w:t>采购人</w:t>
      </w:r>
      <w:r>
        <w:rPr>
          <w:rFonts w:hint="eastAsia" w:eastAsia="宋体" w:cs="宋体"/>
          <w:color w:val="000000"/>
          <w:sz w:val="24"/>
          <w:szCs w:val="21"/>
        </w:rPr>
        <w:t>在招标文件中要求的所有资料。</w:t>
      </w:r>
    </w:p>
    <w:p w14:paraId="56836480">
      <w:pPr>
        <w:shd w:val="clear"/>
        <w:spacing w:line="360" w:lineRule="auto"/>
        <w:ind w:firstLine="480"/>
        <w:rPr>
          <w:rFonts w:eastAsia="宋体" w:cs="宋体"/>
          <w:color w:val="000000"/>
          <w:sz w:val="24"/>
          <w:szCs w:val="21"/>
        </w:rPr>
      </w:pPr>
      <w:r>
        <w:rPr>
          <w:rFonts w:hint="eastAsia" w:eastAsia="宋体" w:cs="宋体"/>
          <w:color w:val="000000"/>
          <w:sz w:val="24"/>
          <w:szCs w:val="21"/>
        </w:rPr>
        <w:t>4.我方承诺在本次招标响应中提供的一切文件，无论是原件还是复印件均真实有效，绝无任何虚假、伪造和夸大的成份。否则，愿承担相应的后果和法律责任。</w:t>
      </w:r>
    </w:p>
    <w:p w14:paraId="09B3791D">
      <w:pPr>
        <w:shd w:val="clear"/>
        <w:spacing w:line="360" w:lineRule="auto"/>
        <w:ind w:firstLine="480"/>
        <w:rPr>
          <w:rFonts w:eastAsia="宋体" w:cs="宋体"/>
          <w:color w:val="000000"/>
          <w:sz w:val="24"/>
          <w:szCs w:val="21"/>
        </w:rPr>
      </w:pPr>
      <w:r>
        <w:rPr>
          <w:rFonts w:hint="eastAsia" w:eastAsia="宋体" w:cs="宋体"/>
          <w:color w:val="000000"/>
          <w:sz w:val="24"/>
          <w:szCs w:val="21"/>
        </w:rPr>
        <w:t>5.我方尊重评标小组所作的评定结果，同时也清楚理解到投标报价最低并非意味着必定获得中标资格。</w:t>
      </w:r>
    </w:p>
    <w:p w14:paraId="453A159E">
      <w:pPr>
        <w:shd w:val="clear"/>
        <w:spacing w:line="360" w:lineRule="auto"/>
        <w:ind w:firstLine="480"/>
        <w:rPr>
          <w:rFonts w:eastAsia="宋体" w:cs="宋体"/>
          <w:color w:val="000000"/>
          <w:sz w:val="24"/>
          <w:szCs w:val="21"/>
        </w:rPr>
      </w:pPr>
      <w:r>
        <w:rPr>
          <w:rFonts w:hint="eastAsia" w:eastAsia="宋体" w:cs="宋体"/>
          <w:color w:val="000000"/>
          <w:sz w:val="24"/>
          <w:szCs w:val="21"/>
        </w:rPr>
        <w:t xml:space="preserve">6.一旦我方中标，我方将根据招标文件的规定，严格履行招标文件中规定的每一项要求，按期、按质、按量履行合同的义务。 </w:t>
      </w:r>
    </w:p>
    <w:p w14:paraId="605C1E32">
      <w:pPr>
        <w:shd w:val="clear"/>
        <w:spacing w:line="360" w:lineRule="auto"/>
        <w:ind w:firstLine="480"/>
        <w:jc w:val="right"/>
        <w:rPr>
          <w:rFonts w:eastAsia="宋体" w:cs="宋体"/>
          <w:color w:val="000000"/>
          <w:sz w:val="24"/>
          <w:szCs w:val="21"/>
        </w:rPr>
      </w:pPr>
    </w:p>
    <w:p w14:paraId="48FF4F29">
      <w:pPr>
        <w:shd w:val="clear"/>
        <w:snapToGrid w:val="0"/>
        <w:spacing w:line="360" w:lineRule="auto"/>
        <w:jc w:val="center"/>
        <w:outlineLvl w:val="4"/>
        <w:rPr>
          <w:rFonts w:hint="eastAsia" w:ascii="宋体" w:hAnsi="宋体" w:eastAsia="宋体" w:cs="宋体"/>
          <w:bCs/>
          <w:sz w:val="24"/>
        </w:rPr>
      </w:pPr>
      <w:r>
        <w:rPr>
          <w:rFonts w:hint="eastAsia" w:ascii="宋体" w:hAnsi="宋体" w:eastAsia="宋体" w:cs="宋体"/>
          <w:bCs/>
          <w:sz w:val="24"/>
        </w:rPr>
        <w:t xml:space="preserve">    投标人（加盖CA电子签章）： </w:t>
      </w:r>
    </w:p>
    <w:p w14:paraId="058CC06C">
      <w:pPr>
        <w:shd w:val="clear"/>
        <w:spacing w:line="360" w:lineRule="auto"/>
        <w:ind w:firstLine="566"/>
        <w:rPr>
          <w:rFonts w:hint="eastAsia"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03BEB1A0">
      <w:pPr>
        <w:shd w:val="clear"/>
        <w:spacing w:line="360" w:lineRule="auto"/>
        <w:jc w:val="center"/>
        <w:rPr>
          <w:rFonts w:eastAsia="宋体" w:cs="宋体"/>
          <w:color w:val="000000"/>
          <w:sz w:val="24"/>
          <w:szCs w:val="21"/>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45B0F80E">
      <w:pPr>
        <w:pStyle w:val="14"/>
        <w:shd w:val="clear"/>
        <w:ind w:firstLine="723"/>
        <w:rPr>
          <w:rFonts w:ascii="Times New Roman" w:hAnsi="Times New Roman"/>
          <w:color w:val="000000"/>
        </w:rPr>
      </w:pPr>
    </w:p>
    <w:p w14:paraId="3128FC04">
      <w:pPr>
        <w:shd w:val="clear"/>
        <w:spacing w:line="360" w:lineRule="auto"/>
        <w:ind w:firstLine="482"/>
        <w:jc w:val="center"/>
        <w:rPr>
          <w:rFonts w:eastAsia="宋体" w:cs="宋体"/>
          <w:b/>
          <w:bCs/>
          <w:color w:val="000000"/>
          <w:sz w:val="24"/>
          <w:szCs w:val="24"/>
        </w:rPr>
      </w:pPr>
      <w:r>
        <w:rPr>
          <w:rFonts w:hint="eastAsia" w:eastAsia="宋体" w:cs="宋体"/>
          <w:b/>
          <w:bCs/>
          <w:color w:val="000000"/>
          <w:szCs w:val="21"/>
        </w:rPr>
        <w:br w:type="page" w:clear="all"/>
      </w:r>
    </w:p>
    <w:p w14:paraId="0C58F182">
      <w:pPr>
        <w:shd w:val="clear"/>
        <w:spacing w:line="360" w:lineRule="auto"/>
        <w:jc w:val="left"/>
        <w:outlineLvl w:val="3"/>
        <w:rPr>
          <w:rFonts w:eastAsia="宋体" w:cs="宋体"/>
          <w:b/>
          <w:bCs/>
          <w:color w:val="000000"/>
          <w:sz w:val="28"/>
          <w:szCs w:val="28"/>
        </w:rPr>
      </w:pPr>
      <w:r>
        <w:rPr>
          <w:rFonts w:hint="eastAsia" w:eastAsia="宋体" w:cs="宋体"/>
          <w:b/>
          <w:bCs/>
          <w:color w:val="000000"/>
          <w:sz w:val="24"/>
          <w:szCs w:val="21"/>
        </w:rPr>
        <w:t>附件12：</w:t>
      </w:r>
    </w:p>
    <w:p w14:paraId="4B35C9B7">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商务条款正负偏离表</w:t>
      </w:r>
    </w:p>
    <w:p w14:paraId="698841E0">
      <w:pPr>
        <w:pStyle w:val="20"/>
        <w:shd w:val="clear"/>
        <w:spacing w:line="360" w:lineRule="auto"/>
        <w:rPr>
          <w:rFonts w:eastAsia="宋体" w:cs="宋体"/>
          <w:color w:val="000000"/>
          <w:szCs w:val="24"/>
        </w:rPr>
      </w:pPr>
      <w:r>
        <w:rPr>
          <w:rFonts w:hint="eastAsia" w:eastAsia="宋体" w:cs="宋体"/>
          <w:color w:val="000000"/>
          <w:szCs w:val="24"/>
        </w:rPr>
        <w:t>项目名称：</w:t>
      </w:r>
    </w:p>
    <w:p w14:paraId="2B542AC2">
      <w:pPr>
        <w:pStyle w:val="20"/>
        <w:shd w:val="clear"/>
        <w:spacing w:line="360" w:lineRule="auto"/>
        <w:rPr>
          <w:rFonts w:eastAsia="宋体" w:cs="宋体"/>
          <w:color w:val="000000"/>
          <w:szCs w:val="24"/>
        </w:rPr>
      </w:pPr>
      <w:r>
        <w:rPr>
          <w:rFonts w:hint="eastAsia" w:eastAsia="宋体" w:cs="宋体"/>
          <w:color w:val="000000"/>
          <w:szCs w:val="24"/>
        </w:rPr>
        <w:t>项目编号：</w:t>
      </w:r>
    </w:p>
    <w:tbl>
      <w:tblPr>
        <w:tblStyle w:val="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6AA58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rPr>
        <w:tc>
          <w:tcPr>
            <w:tcW w:w="851" w:type="dxa"/>
            <w:vAlign w:val="center"/>
          </w:tcPr>
          <w:p w14:paraId="56F91C08">
            <w:pPr>
              <w:shd w:val="clear"/>
              <w:spacing w:line="360" w:lineRule="auto"/>
              <w:jc w:val="center"/>
              <w:rPr>
                <w:rFonts w:eastAsia="宋体" w:cs="宋体"/>
                <w:color w:val="000000"/>
                <w:sz w:val="24"/>
                <w:szCs w:val="24"/>
              </w:rPr>
            </w:pPr>
            <w:r>
              <w:rPr>
                <w:rFonts w:hint="eastAsia" w:eastAsia="宋体" w:cs="宋体"/>
                <w:color w:val="000000"/>
                <w:sz w:val="24"/>
                <w:szCs w:val="24"/>
              </w:rPr>
              <w:t>序号</w:t>
            </w:r>
          </w:p>
        </w:tc>
        <w:tc>
          <w:tcPr>
            <w:tcW w:w="2331" w:type="dxa"/>
            <w:vAlign w:val="center"/>
          </w:tcPr>
          <w:p w14:paraId="2DB54AA8">
            <w:pPr>
              <w:shd w:val="clear"/>
              <w:spacing w:line="360" w:lineRule="auto"/>
              <w:jc w:val="center"/>
              <w:rPr>
                <w:rFonts w:eastAsia="宋体" w:cs="宋体"/>
                <w:color w:val="000000"/>
                <w:sz w:val="24"/>
                <w:szCs w:val="24"/>
              </w:rPr>
            </w:pPr>
            <w:r>
              <w:rPr>
                <w:rFonts w:hint="eastAsia" w:eastAsia="宋体" w:cs="宋体"/>
                <w:color w:val="000000"/>
                <w:sz w:val="24"/>
                <w:szCs w:val="24"/>
              </w:rPr>
              <w:t>招标文件要求的商务条款</w:t>
            </w:r>
          </w:p>
        </w:tc>
        <w:tc>
          <w:tcPr>
            <w:tcW w:w="2297" w:type="dxa"/>
            <w:vAlign w:val="center"/>
          </w:tcPr>
          <w:p w14:paraId="1EFDCA27">
            <w:pPr>
              <w:shd w:val="clear"/>
              <w:spacing w:line="360" w:lineRule="auto"/>
              <w:jc w:val="center"/>
              <w:rPr>
                <w:rFonts w:eastAsia="宋体" w:cs="宋体"/>
                <w:color w:val="000000"/>
                <w:sz w:val="24"/>
                <w:szCs w:val="24"/>
              </w:rPr>
            </w:pPr>
            <w:r>
              <w:rPr>
                <w:rFonts w:hint="eastAsia" w:eastAsia="宋体" w:cs="宋体"/>
                <w:color w:val="000000"/>
                <w:sz w:val="24"/>
                <w:szCs w:val="24"/>
              </w:rPr>
              <w:t>投标文件响应情况</w:t>
            </w:r>
          </w:p>
        </w:tc>
        <w:tc>
          <w:tcPr>
            <w:tcW w:w="2362" w:type="dxa"/>
            <w:vAlign w:val="center"/>
          </w:tcPr>
          <w:p w14:paraId="0940F9B6">
            <w:pPr>
              <w:shd w:val="clear"/>
              <w:spacing w:line="360" w:lineRule="auto"/>
              <w:jc w:val="center"/>
              <w:rPr>
                <w:rFonts w:eastAsia="宋体" w:cs="宋体"/>
                <w:color w:val="000000"/>
                <w:sz w:val="24"/>
                <w:szCs w:val="24"/>
              </w:rPr>
            </w:pPr>
            <w:r>
              <w:rPr>
                <w:rFonts w:hint="eastAsia" w:eastAsia="宋体" w:cs="宋体"/>
                <w:color w:val="000000"/>
                <w:sz w:val="24"/>
                <w:szCs w:val="24"/>
              </w:rPr>
              <w:t>偏离说明</w:t>
            </w:r>
          </w:p>
        </w:tc>
        <w:tc>
          <w:tcPr>
            <w:tcW w:w="1445" w:type="dxa"/>
            <w:vAlign w:val="center"/>
          </w:tcPr>
          <w:p w14:paraId="1CB86FCB">
            <w:pPr>
              <w:shd w:val="clear"/>
              <w:spacing w:line="360" w:lineRule="auto"/>
              <w:jc w:val="center"/>
              <w:rPr>
                <w:rFonts w:eastAsia="宋体" w:cs="宋体"/>
                <w:color w:val="000000"/>
                <w:sz w:val="24"/>
                <w:szCs w:val="24"/>
              </w:rPr>
            </w:pPr>
            <w:r>
              <w:rPr>
                <w:rFonts w:hint="eastAsia" w:eastAsia="宋体" w:cs="宋体"/>
                <w:color w:val="000000"/>
                <w:sz w:val="24"/>
                <w:szCs w:val="24"/>
              </w:rPr>
              <w:t>备注</w:t>
            </w:r>
          </w:p>
        </w:tc>
      </w:tr>
      <w:tr w14:paraId="62736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6C183877">
            <w:pPr>
              <w:shd w:val="clear"/>
              <w:spacing w:line="360" w:lineRule="auto"/>
              <w:jc w:val="center"/>
              <w:rPr>
                <w:rFonts w:eastAsia="宋体" w:cs="宋体"/>
                <w:color w:val="000000"/>
                <w:sz w:val="24"/>
                <w:szCs w:val="24"/>
              </w:rPr>
            </w:pPr>
            <w:r>
              <w:rPr>
                <w:rFonts w:hint="eastAsia" w:eastAsia="宋体" w:cs="宋体"/>
                <w:color w:val="000000"/>
                <w:sz w:val="24"/>
                <w:szCs w:val="24"/>
              </w:rPr>
              <w:t>1</w:t>
            </w:r>
          </w:p>
        </w:tc>
        <w:tc>
          <w:tcPr>
            <w:tcW w:w="2331" w:type="dxa"/>
            <w:vAlign w:val="center"/>
          </w:tcPr>
          <w:p w14:paraId="783B27CF">
            <w:pPr>
              <w:shd w:val="clear"/>
              <w:spacing w:line="360" w:lineRule="auto"/>
              <w:jc w:val="left"/>
              <w:rPr>
                <w:rFonts w:eastAsia="宋体" w:cs="宋体"/>
                <w:color w:val="000000"/>
                <w:sz w:val="24"/>
                <w:szCs w:val="24"/>
              </w:rPr>
            </w:pPr>
          </w:p>
        </w:tc>
        <w:tc>
          <w:tcPr>
            <w:tcW w:w="2297" w:type="dxa"/>
            <w:vAlign w:val="center"/>
          </w:tcPr>
          <w:p w14:paraId="107336B3">
            <w:pPr>
              <w:shd w:val="clear"/>
              <w:spacing w:line="360" w:lineRule="auto"/>
              <w:jc w:val="left"/>
              <w:rPr>
                <w:rFonts w:eastAsia="宋体" w:cs="宋体"/>
                <w:color w:val="000000"/>
                <w:sz w:val="24"/>
                <w:szCs w:val="24"/>
              </w:rPr>
            </w:pPr>
          </w:p>
        </w:tc>
        <w:tc>
          <w:tcPr>
            <w:tcW w:w="2362" w:type="dxa"/>
            <w:vAlign w:val="center"/>
          </w:tcPr>
          <w:p w14:paraId="2F06264D">
            <w:pPr>
              <w:shd w:val="clear"/>
              <w:spacing w:line="360" w:lineRule="auto"/>
              <w:jc w:val="left"/>
              <w:rPr>
                <w:rFonts w:eastAsia="宋体" w:cs="宋体"/>
                <w:color w:val="000000"/>
                <w:sz w:val="24"/>
                <w:szCs w:val="24"/>
              </w:rPr>
            </w:pPr>
          </w:p>
        </w:tc>
        <w:tc>
          <w:tcPr>
            <w:tcW w:w="1445" w:type="dxa"/>
          </w:tcPr>
          <w:p w14:paraId="19F8376F">
            <w:pPr>
              <w:shd w:val="clear"/>
              <w:spacing w:line="360" w:lineRule="auto"/>
              <w:jc w:val="left"/>
              <w:rPr>
                <w:rFonts w:eastAsia="宋体" w:cs="宋体"/>
                <w:color w:val="000000"/>
                <w:sz w:val="24"/>
                <w:szCs w:val="24"/>
              </w:rPr>
            </w:pPr>
          </w:p>
        </w:tc>
      </w:tr>
      <w:tr w14:paraId="4B8F6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7F4B3EFC">
            <w:pPr>
              <w:shd w:val="clear"/>
              <w:spacing w:line="360" w:lineRule="auto"/>
              <w:jc w:val="center"/>
              <w:rPr>
                <w:rFonts w:eastAsia="宋体" w:cs="宋体"/>
                <w:color w:val="000000"/>
                <w:sz w:val="24"/>
                <w:szCs w:val="24"/>
              </w:rPr>
            </w:pPr>
            <w:r>
              <w:rPr>
                <w:rFonts w:hint="eastAsia" w:eastAsia="宋体" w:cs="宋体"/>
                <w:color w:val="000000"/>
                <w:sz w:val="24"/>
                <w:szCs w:val="24"/>
              </w:rPr>
              <w:t>2</w:t>
            </w:r>
          </w:p>
        </w:tc>
        <w:tc>
          <w:tcPr>
            <w:tcW w:w="2331" w:type="dxa"/>
            <w:vAlign w:val="center"/>
          </w:tcPr>
          <w:p w14:paraId="04BC33E0">
            <w:pPr>
              <w:shd w:val="clear"/>
              <w:spacing w:line="360" w:lineRule="auto"/>
              <w:jc w:val="left"/>
              <w:rPr>
                <w:rFonts w:eastAsia="宋体" w:cs="宋体"/>
                <w:color w:val="000000"/>
                <w:sz w:val="24"/>
                <w:szCs w:val="24"/>
              </w:rPr>
            </w:pPr>
          </w:p>
        </w:tc>
        <w:tc>
          <w:tcPr>
            <w:tcW w:w="2297" w:type="dxa"/>
            <w:vAlign w:val="center"/>
          </w:tcPr>
          <w:p w14:paraId="431EC243">
            <w:pPr>
              <w:shd w:val="clear"/>
              <w:spacing w:line="360" w:lineRule="auto"/>
              <w:jc w:val="left"/>
              <w:rPr>
                <w:rFonts w:eastAsia="宋体" w:cs="宋体"/>
                <w:color w:val="000000"/>
                <w:sz w:val="24"/>
                <w:szCs w:val="24"/>
              </w:rPr>
            </w:pPr>
          </w:p>
        </w:tc>
        <w:tc>
          <w:tcPr>
            <w:tcW w:w="2362" w:type="dxa"/>
            <w:vAlign w:val="center"/>
          </w:tcPr>
          <w:p w14:paraId="0E0F4C6D">
            <w:pPr>
              <w:shd w:val="clear"/>
              <w:spacing w:line="360" w:lineRule="auto"/>
              <w:jc w:val="left"/>
              <w:rPr>
                <w:rFonts w:eastAsia="宋体" w:cs="宋体"/>
                <w:color w:val="000000"/>
                <w:sz w:val="24"/>
                <w:szCs w:val="24"/>
              </w:rPr>
            </w:pPr>
          </w:p>
        </w:tc>
        <w:tc>
          <w:tcPr>
            <w:tcW w:w="1445" w:type="dxa"/>
          </w:tcPr>
          <w:p w14:paraId="7BF39B08">
            <w:pPr>
              <w:shd w:val="clear"/>
              <w:spacing w:line="360" w:lineRule="auto"/>
              <w:jc w:val="left"/>
              <w:rPr>
                <w:rFonts w:eastAsia="宋体" w:cs="宋体"/>
                <w:color w:val="000000"/>
                <w:sz w:val="24"/>
                <w:szCs w:val="24"/>
              </w:rPr>
            </w:pPr>
          </w:p>
        </w:tc>
      </w:tr>
      <w:tr w14:paraId="7F291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5851C271">
            <w:pPr>
              <w:shd w:val="clear"/>
              <w:spacing w:line="360" w:lineRule="auto"/>
              <w:jc w:val="center"/>
              <w:rPr>
                <w:rFonts w:eastAsia="宋体" w:cs="宋体"/>
                <w:color w:val="000000"/>
                <w:sz w:val="24"/>
                <w:szCs w:val="24"/>
              </w:rPr>
            </w:pPr>
            <w:r>
              <w:rPr>
                <w:rFonts w:hint="eastAsia" w:eastAsia="宋体" w:cs="宋体"/>
                <w:color w:val="000000"/>
                <w:sz w:val="24"/>
                <w:szCs w:val="24"/>
              </w:rPr>
              <w:t>3</w:t>
            </w:r>
          </w:p>
        </w:tc>
        <w:tc>
          <w:tcPr>
            <w:tcW w:w="2331" w:type="dxa"/>
            <w:vAlign w:val="center"/>
          </w:tcPr>
          <w:p w14:paraId="539D51CD">
            <w:pPr>
              <w:shd w:val="clear"/>
              <w:spacing w:line="360" w:lineRule="auto"/>
              <w:jc w:val="left"/>
              <w:rPr>
                <w:rFonts w:eastAsia="宋体" w:cs="宋体"/>
                <w:color w:val="000000"/>
                <w:sz w:val="24"/>
                <w:szCs w:val="24"/>
              </w:rPr>
            </w:pPr>
          </w:p>
        </w:tc>
        <w:tc>
          <w:tcPr>
            <w:tcW w:w="2297" w:type="dxa"/>
            <w:vAlign w:val="center"/>
          </w:tcPr>
          <w:p w14:paraId="5557FCC3">
            <w:pPr>
              <w:shd w:val="clear"/>
              <w:spacing w:line="360" w:lineRule="auto"/>
              <w:jc w:val="left"/>
              <w:rPr>
                <w:rFonts w:eastAsia="宋体" w:cs="宋体"/>
                <w:color w:val="000000"/>
                <w:sz w:val="24"/>
                <w:szCs w:val="24"/>
              </w:rPr>
            </w:pPr>
          </w:p>
        </w:tc>
        <w:tc>
          <w:tcPr>
            <w:tcW w:w="2362" w:type="dxa"/>
            <w:vAlign w:val="center"/>
          </w:tcPr>
          <w:p w14:paraId="2B88B622">
            <w:pPr>
              <w:shd w:val="clear"/>
              <w:spacing w:line="360" w:lineRule="auto"/>
              <w:jc w:val="left"/>
              <w:rPr>
                <w:rFonts w:eastAsia="宋体" w:cs="宋体"/>
                <w:color w:val="000000"/>
                <w:sz w:val="24"/>
                <w:szCs w:val="24"/>
              </w:rPr>
            </w:pPr>
          </w:p>
        </w:tc>
        <w:tc>
          <w:tcPr>
            <w:tcW w:w="1445" w:type="dxa"/>
          </w:tcPr>
          <w:p w14:paraId="36C00268">
            <w:pPr>
              <w:shd w:val="clear"/>
              <w:spacing w:line="360" w:lineRule="auto"/>
              <w:jc w:val="left"/>
              <w:rPr>
                <w:rFonts w:eastAsia="宋体" w:cs="宋体"/>
                <w:color w:val="000000"/>
                <w:sz w:val="24"/>
                <w:szCs w:val="24"/>
              </w:rPr>
            </w:pPr>
          </w:p>
        </w:tc>
      </w:tr>
      <w:tr w14:paraId="218D2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65885476">
            <w:pPr>
              <w:shd w:val="clear"/>
              <w:spacing w:line="360" w:lineRule="auto"/>
              <w:jc w:val="center"/>
              <w:rPr>
                <w:rFonts w:eastAsia="宋体" w:cs="宋体"/>
                <w:color w:val="000000"/>
                <w:sz w:val="24"/>
                <w:szCs w:val="24"/>
              </w:rPr>
            </w:pPr>
            <w:r>
              <w:rPr>
                <w:rFonts w:hint="eastAsia" w:eastAsia="宋体" w:cs="宋体"/>
                <w:color w:val="000000"/>
                <w:sz w:val="24"/>
                <w:szCs w:val="24"/>
              </w:rPr>
              <w:t>4</w:t>
            </w:r>
          </w:p>
        </w:tc>
        <w:tc>
          <w:tcPr>
            <w:tcW w:w="2331" w:type="dxa"/>
            <w:vAlign w:val="center"/>
          </w:tcPr>
          <w:p w14:paraId="3A1D2F53">
            <w:pPr>
              <w:shd w:val="clear"/>
              <w:spacing w:line="360" w:lineRule="auto"/>
              <w:jc w:val="left"/>
              <w:rPr>
                <w:rFonts w:eastAsia="宋体" w:cs="宋体"/>
                <w:color w:val="000000"/>
                <w:sz w:val="24"/>
                <w:szCs w:val="24"/>
              </w:rPr>
            </w:pPr>
          </w:p>
        </w:tc>
        <w:tc>
          <w:tcPr>
            <w:tcW w:w="2297" w:type="dxa"/>
            <w:vAlign w:val="center"/>
          </w:tcPr>
          <w:p w14:paraId="0CAD51AE">
            <w:pPr>
              <w:shd w:val="clear"/>
              <w:spacing w:line="360" w:lineRule="auto"/>
              <w:jc w:val="left"/>
              <w:rPr>
                <w:rFonts w:eastAsia="宋体" w:cs="宋体"/>
                <w:color w:val="000000"/>
                <w:sz w:val="24"/>
                <w:szCs w:val="24"/>
              </w:rPr>
            </w:pPr>
          </w:p>
        </w:tc>
        <w:tc>
          <w:tcPr>
            <w:tcW w:w="2362" w:type="dxa"/>
            <w:vAlign w:val="center"/>
          </w:tcPr>
          <w:p w14:paraId="70234179">
            <w:pPr>
              <w:shd w:val="clear"/>
              <w:spacing w:line="360" w:lineRule="auto"/>
              <w:jc w:val="left"/>
              <w:rPr>
                <w:rFonts w:eastAsia="宋体" w:cs="宋体"/>
                <w:color w:val="000000"/>
                <w:sz w:val="24"/>
                <w:szCs w:val="24"/>
              </w:rPr>
            </w:pPr>
          </w:p>
        </w:tc>
        <w:tc>
          <w:tcPr>
            <w:tcW w:w="1445" w:type="dxa"/>
          </w:tcPr>
          <w:p w14:paraId="1393A0D1">
            <w:pPr>
              <w:shd w:val="clear"/>
              <w:spacing w:line="360" w:lineRule="auto"/>
              <w:jc w:val="left"/>
              <w:rPr>
                <w:rFonts w:eastAsia="宋体" w:cs="宋体"/>
                <w:color w:val="000000"/>
                <w:sz w:val="24"/>
                <w:szCs w:val="24"/>
              </w:rPr>
            </w:pPr>
          </w:p>
        </w:tc>
      </w:tr>
    </w:tbl>
    <w:p w14:paraId="402E2317">
      <w:pPr>
        <w:shd w:val="clear"/>
        <w:spacing w:line="360" w:lineRule="auto"/>
        <w:rPr>
          <w:rFonts w:eastAsia="宋体" w:cs="宋体"/>
          <w:color w:val="000000"/>
          <w:sz w:val="24"/>
          <w:szCs w:val="24"/>
        </w:rPr>
      </w:pPr>
    </w:p>
    <w:p w14:paraId="4504F110">
      <w:pPr>
        <w:shd w:val="clear"/>
        <w:snapToGrid w:val="0"/>
        <w:spacing w:line="360" w:lineRule="auto"/>
        <w:jc w:val="left"/>
        <w:outlineLvl w:val="4"/>
        <w:rPr>
          <w:rFonts w:hint="eastAsia" w:ascii="宋体" w:hAnsi="宋体" w:eastAsia="宋体" w:cs="宋体"/>
          <w:bCs/>
          <w:sz w:val="24"/>
        </w:rPr>
      </w:pPr>
      <w:r>
        <w:rPr>
          <w:rFonts w:hint="eastAsia" w:ascii="宋体" w:hAnsi="宋体" w:eastAsia="宋体" w:cs="宋体"/>
          <w:bCs/>
          <w:sz w:val="24"/>
        </w:rPr>
        <w:t xml:space="preserve">投标人（加盖CA电子签章）： </w:t>
      </w:r>
    </w:p>
    <w:p w14:paraId="69A0C621">
      <w:pPr>
        <w:shd w:val="clear"/>
        <w:snapToGrid w:val="0"/>
        <w:spacing w:line="360" w:lineRule="auto"/>
        <w:jc w:val="left"/>
        <w:outlineLvl w:val="4"/>
        <w:rPr>
          <w:rFonts w:hint="eastAsia"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57DDDF97">
      <w:pPr>
        <w:pStyle w:val="20"/>
        <w:shd w:val="clear"/>
        <w:spacing w:line="360" w:lineRule="auto"/>
        <w:rPr>
          <w:rFonts w:eastAsia="宋体" w:cs="宋体"/>
          <w:color w:val="000000"/>
          <w:szCs w:val="24"/>
        </w:rPr>
      </w:pPr>
      <w:r>
        <w:rPr>
          <w:rFonts w:hint="eastAsia" w:ascii="宋体" w:hAnsi="宋体" w:eastAsia="宋体" w:cs="宋体"/>
          <w:bCs/>
          <w:lang w:val="zh-CN"/>
        </w:rPr>
        <w:t>时间：</w:t>
      </w:r>
      <w:r>
        <w:rPr>
          <w:rFonts w:hint="eastAsia" w:ascii="宋体" w:hAnsi="宋体" w:eastAsia="宋体" w:cs="宋体"/>
          <w:bCs/>
        </w:rPr>
        <w:t>2026年</w:t>
      </w:r>
      <w:r>
        <w:rPr>
          <w:rFonts w:hint="eastAsia" w:ascii="宋体" w:hAnsi="宋体" w:eastAsia="宋体" w:cs="宋体"/>
          <w:bCs/>
          <w:lang w:val="zh-CN"/>
        </w:rPr>
        <w:t xml:space="preserve">  月   日</w:t>
      </w:r>
    </w:p>
    <w:p w14:paraId="75D78A81">
      <w:pPr>
        <w:pStyle w:val="20"/>
        <w:shd w:val="clear"/>
        <w:spacing w:line="360" w:lineRule="auto"/>
        <w:rPr>
          <w:rFonts w:eastAsia="宋体" w:cs="宋体"/>
          <w:color w:val="000000"/>
          <w:szCs w:val="24"/>
        </w:rPr>
      </w:pPr>
    </w:p>
    <w:p w14:paraId="68E97138">
      <w:pPr>
        <w:shd w:val="clear"/>
        <w:spacing w:line="360" w:lineRule="auto"/>
        <w:ind w:firstLine="480"/>
        <w:rPr>
          <w:rFonts w:eastAsia="宋体" w:cs="宋体"/>
          <w:color w:val="000000"/>
          <w:sz w:val="24"/>
          <w:szCs w:val="24"/>
        </w:rPr>
      </w:pPr>
      <w:r>
        <w:rPr>
          <w:rFonts w:hint="eastAsia" w:eastAsia="宋体" w:cs="宋体"/>
          <w:color w:val="000000"/>
          <w:sz w:val="24"/>
          <w:szCs w:val="24"/>
          <w:lang w:val="zh-CN"/>
        </w:rPr>
        <w:t>注：1</w:t>
      </w:r>
      <w:r>
        <w:rPr>
          <w:rFonts w:hint="eastAsia" w:eastAsia="宋体" w:cs="宋体"/>
          <w:color w:val="000000"/>
          <w:sz w:val="24"/>
          <w:szCs w:val="24"/>
        </w:rPr>
        <w:t>.</w:t>
      </w:r>
      <w:r>
        <w:rPr>
          <w:rFonts w:hint="eastAsia" w:eastAsia="宋体" w:cs="宋体"/>
          <w:color w:val="000000"/>
          <w:sz w:val="24"/>
          <w:szCs w:val="24"/>
          <w:lang w:val="zh-CN"/>
        </w:rPr>
        <w:t>供应商提交的响应文件中与招标文件第三部分“项目需求”中的</w:t>
      </w:r>
      <w:r>
        <w:rPr>
          <w:rFonts w:hint="eastAsia" w:eastAsia="宋体" w:cs="宋体"/>
          <w:b/>
          <w:bCs/>
          <w:color w:val="000000"/>
          <w:sz w:val="24"/>
          <w:szCs w:val="24"/>
          <w:lang w:val="zh-CN"/>
        </w:rPr>
        <w:t>商务</w:t>
      </w:r>
      <w:r>
        <w:rPr>
          <w:rFonts w:hint="eastAsia" w:eastAsia="宋体" w:cs="宋体"/>
          <w:color w:val="000000"/>
          <w:sz w:val="24"/>
          <w:szCs w:val="24"/>
          <w:lang w:val="zh-CN"/>
        </w:rPr>
        <w:t>要求，应逐条填列在偏离表中。也可以提供经签署、盖章的空白表格，采购人将视为供应商完全接受第三部分“项目需求”中的商务部分的条款内容。</w:t>
      </w:r>
    </w:p>
    <w:p w14:paraId="5EA96302">
      <w:pPr>
        <w:shd w:val="clear"/>
        <w:spacing w:line="360" w:lineRule="auto"/>
        <w:ind w:firstLine="480"/>
        <w:rPr>
          <w:rFonts w:eastAsia="宋体" w:cs="宋体"/>
          <w:color w:val="000000"/>
          <w:sz w:val="24"/>
          <w:szCs w:val="24"/>
        </w:rPr>
      </w:pPr>
      <w:r>
        <w:rPr>
          <w:rFonts w:hint="eastAsia" w:eastAsia="宋体" w:cs="宋体"/>
          <w:color w:val="000000"/>
          <w:sz w:val="24"/>
          <w:szCs w:val="24"/>
          <w:lang w:val="zh-CN"/>
        </w:rPr>
        <w:t>2</w:t>
      </w:r>
      <w:r>
        <w:rPr>
          <w:rFonts w:hint="eastAsia" w:eastAsia="宋体" w:cs="宋体"/>
          <w:color w:val="000000"/>
          <w:sz w:val="24"/>
          <w:szCs w:val="24"/>
        </w:rPr>
        <w:t>.</w:t>
      </w:r>
      <w:r>
        <w:rPr>
          <w:rFonts w:hint="eastAsia" w:eastAsia="宋体" w:cs="宋体"/>
          <w:color w:val="000000"/>
          <w:sz w:val="24"/>
          <w:szCs w:val="24"/>
          <w:lang w:val="zh-CN"/>
        </w:rPr>
        <w:t>“偏离说明”一栏选择“正偏离”、“负偏离”进行填写。正偏离的确认和负偏离的是否响应采购文件，经三分之二评委认定。</w:t>
      </w:r>
    </w:p>
    <w:p w14:paraId="2348329F">
      <w:pPr>
        <w:shd w:val="clear"/>
        <w:spacing w:line="360" w:lineRule="auto"/>
        <w:ind w:firstLine="480"/>
        <w:rPr>
          <w:rFonts w:eastAsia="宋体" w:cs="宋体"/>
          <w:color w:val="000000"/>
          <w:sz w:val="24"/>
          <w:szCs w:val="24"/>
        </w:rPr>
      </w:pPr>
      <w:r>
        <w:rPr>
          <w:rFonts w:hint="eastAsia" w:eastAsia="宋体" w:cs="宋体"/>
          <w:color w:val="000000"/>
          <w:sz w:val="24"/>
          <w:szCs w:val="24"/>
          <w:lang w:val="zh-CN"/>
        </w:rPr>
        <w:t>3</w:t>
      </w:r>
      <w:r>
        <w:rPr>
          <w:rFonts w:hint="eastAsia" w:eastAsia="宋体" w:cs="宋体"/>
          <w:color w:val="000000"/>
          <w:sz w:val="24"/>
          <w:szCs w:val="24"/>
        </w:rPr>
        <w:t>.</w:t>
      </w:r>
      <w:r>
        <w:rPr>
          <w:rFonts w:hint="eastAsia" w:eastAsia="宋体" w:cs="宋体"/>
          <w:color w:val="000000"/>
          <w:sz w:val="24"/>
          <w:szCs w:val="24"/>
          <w:lang w:val="zh-CN"/>
        </w:rPr>
        <w:t>供应商如果虚假响应，将承担被暂停参加采购人招标活动的风险。</w:t>
      </w:r>
    </w:p>
    <w:p w14:paraId="23CAD102">
      <w:pPr>
        <w:shd w:val="clear"/>
        <w:spacing w:line="360" w:lineRule="auto"/>
        <w:ind w:firstLine="480"/>
        <w:rPr>
          <w:rFonts w:eastAsia="宋体" w:cs="宋体"/>
          <w:color w:val="000000"/>
          <w:sz w:val="24"/>
          <w:szCs w:val="24"/>
        </w:rPr>
      </w:pPr>
      <w:r>
        <w:rPr>
          <w:rFonts w:hint="eastAsia" w:eastAsia="宋体" w:cs="宋体"/>
          <w:color w:val="000000"/>
          <w:sz w:val="24"/>
          <w:szCs w:val="24"/>
          <w:lang w:val="zh-CN"/>
        </w:rPr>
        <w:t>4</w:t>
      </w:r>
      <w:r>
        <w:rPr>
          <w:rFonts w:hint="eastAsia" w:eastAsia="宋体" w:cs="宋体"/>
          <w:color w:val="000000"/>
          <w:sz w:val="24"/>
          <w:szCs w:val="24"/>
        </w:rPr>
        <w:t>.</w:t>
      </w:r>
      <w:r>
        <w:rPr>
          <w:rFonts w:hint="eastAsia" w:eastAsia="宋体" w:cs="宋体"/>
          <w:color w:val="000000"/>
          <w:sz w:val="24"/>
          <w:szCs w:val="24"/>
          <w:lang w:val="zh-CN"/>
        </w:rPr>
        <w:t>供应商若提供其他增值服务，可以在表中自行据实填写。</w:t>
      </w:r>
    </w:p>
    <w:p w14:paraId="36C10C00">
      <w:pPr>
        <w:shd w:val="clear"/>
        <w:spacing w:line="360" w:lineRule="auto"/>
        <w:rPr>
          <w:rFonts w:eastAsia="宋体" w:cs="宋体"/>
          <w:color w:val="000000"/>
          <w:sz w:val="24"/>
          <w:szCs w:val="24"/>
        </w:rPr>
      </w:pPr>
    </w:p>
    <w:p w14:paraId="26F62069">
      <w:pPr>
        <w:shd w:val="clear"/>
        <w:spacing w:line="360" w:lineRule="auto"/>
        <w:jc w:val="center"/>
        <w:outlineLvl w:val="3"/>
        <w:rPr>
          <w:color w:val="000000"/>
          <w:szCs w:val="21"/>
        </w:rPr>
      </w:pPr>
      <w:r>
        <w:rPr>
          <w:rFonts w:hint="eastAsia"/>
          <w:color w:val="000000"/>
          <w:szCs w:val="21"/>
        </w:rPr>
        <w:br w:type="page" w:clear="all"/>
      </w:r>
    </w:p>
    <w:p w14:paraId="4B462FC4">
      <w:pPr>
        <w:shd w:val="clear"/>
        <w:spacing w:line="360" w:lineRule="auto"/>
        <w:outlineLvl w:val="3"/>
        <w:rPr>
          <w:rFonts w:eastAsia="宋体" w:cs="宋体"/>
          <w:b/>
          <w:bCs/>
          <w:color w:val="000000"/>
          <w:sz w:val="28"/>
          <w:szCs w:val="28"/>
        </w:rPr>
      </w:pPr>
      <w:r>
        <w:rPr>
          <w:rFonts w:hint="eastAsia" w:eastAsia="宋体" w:cs="宋体"/>
          <w:b/>
          <w:bCs/>
          <w:color w:val="000000"/>
          <w:sz w:val="24"/>
          <w:szCs w:val="21"/>
        </w:rPr>
        <w:t>附件13：</w:t>
      </w:r>
    </w:p>
    <w:p w14:paraId="5EA340F4">
      <w:pPr>
        <w:shd w:val="clear"/>
        <w:spacing w:line="360" w:lineRule="auto"/>
        <w:jc w:val="center"/>
        <w:outlineLvl w:val="3"/>
        <w:rPr>
          <w:rFonts w:eastAsia="宋体" w:cs="宋体"/>
          <w:b/>
          <w:bCs/>
          <w:color w:val="000000"/>
          <w:sz w:val="28"/>
          <w:szCs w:val="28"/>
        </w:rPr>
      </w:pPr>
      <w:r>
        <w:rPr>
          <w:rFonts w:hint="eastAsia" w:eastAsia="宋体" w:cs="宋体"/>
          <w:b/>
          <w:bCs/>
          <w:color w:val="000000"/>
          <w:sz w:val="28"/>
          <w:szCs w:val="28"/>
        </w:rPr>
        <w:t>《</w:t>
      </w:r>
      <w:r>
        <w:rPr>
          <w:rFonts w:hint="eastAsia" w:ascii="宋体" w:hAnsi="宋体" w:eastAsia="宋体" w:cs="宋体"/>
          <w:b/>
          <w:bCs/>
          <w:kern w:val="2"/>
          <w:sz w:val="24"/>
          <w:szCs w:val="24"/>
          <w:lang w:eastAsia="zh-CN"/>
        </w:rPr>
        <w:t>☆</w:t>
      </w:r>
      <w:r>
        <w:rPr>
          <w:rFonts w:hint="eastAsia" w:eastAsia="宋体" w:cs="宋体"/>
          <w:b/>
          <w:bCs/>
          <w:color w:val="000000"/>
          <w:sz w:val="28"/>
          <w:szCs w:val="28"/>
        </w:rPr>
        <w:t>技术条款响应正负偏离表》</w:t>
      </w:r>
    </w:p>
    <w:p w14:paraId="37FFA6CF">
      <w:pPr>
        <w:shd w:val="clear"/>
        <w:spacing w:line="420" w:lineRule="exact"/>
        <w:ind w:firstLine="480"/>
        <w:jc w:val="left"/>
        <w:rPr>
          <w:rFonts w:eastAsia="宋体" w:cs="宋体"/>
          <w:color w:val="000000"/>
          <w:sz w:val="24"/>
          <w:szCs w:val="24"/>
        </w:rPr>
      </w:pPr>
      <w:r>
        <w:rPr>
          <w:rFonts w:hint="eastAsia" w:eastAsia="宋体" w:cs="宋体"/>
          <w:color w:val="000000"/>
          <w:sz w:val="24"/>
          <w:szCs w:val="24"/>
        </w:rPr>
        <w:t>1.供应商必须满足响应文件中</w:t>
      </w:r>
      <w:r>
        <w:rPr>
          <w:rFonts w:hint="eastAsia" w:ascii="宋体" w:hAnsi="宋体" w:eastAsia="宋体" w:cs="宋体"/>
          <w:b/>
          <w:bCs/>
          <w:kern w:val="2"/>
          <w:sz w:val="24"/>
          <w:szCs w:val="24"/>
        </w:rPr>
        <w:t>“</w:t>
      </w:r>
      <w:r>
        <w:rPr>
          <w:rFonts w:hint="eastAsia" w:ascii="宋体" w:hAnsi="宋体" w:eastAsia="宋体" w:cs="宋体"/>
          <w:b/>
          <w:bCs/>
          <w:kern w:val="2"/>
          <w:sz w:val="24"/>
          <w:szCs w:val="24"/>
          <w:lang w:eastAsia="zh-CN"/>
        </w:rPr>
        <w:t>☆</w:t>
      </w:r>
      <w:r>
        <w:rPr>
          <w:rFonts w:hint="eastAsia" w:ascii="宋体" w:hAnsi="宋体" w:eastAsia="宋体" w:cs="宋体"/>
          <w:b/>
          <w:bCs/>
          <w:kern w:val="2"/>
          <w:sz w:val="24"/>
          <w:szCs w:val="24"/>
        </w:rPr>
        <w:t>”</w:t>
      </w:r>
      <w:r>
        <w:rPr>
          <w:rFonts w:hint="eastAsia" w:eastAsia="宋体" w:cs="宋体"/>
          <w:color w:val="000000"/>
          <w:sz w:val="24"/>
          <w:szCs w:val="24"/>
        </w:rPr>
        <w:t>针对产品设备提出的全部技术规格与要求，逐一逐条响应填写《</w:t>
      </w:r>
      <w:r>
        <w:rPr>
          <w:rFonts w:hint="eastAsia" w:ascii="宋体" w:hAnsi="宋体" w:eastAsia="宋体" w:cs="宋体"/>
          <w:b/>
          <w:bCs/>
          <w:kern w:val="2"/>
          <w:sz w:val="24"/>
          <w:szCs w:val="24"/>
          <w:lang w:eastAsia="zh-CN"/>
        </w:rPr>
        <w:t>☆</w:t>
      </w:r>
      <w:r>
        <w:rPr>
          <w:rFonts w:hint="eastAsia" w:eastAsia="宋体" w:cs="宋体"/>
          <w:color w:val="000000"/>
          <w:sz w:val="24"/>
          <w:szCs w:val="24"/>
        </w:rPr>
        <w:t>技术条款响应正负偏离表》；</w:t>
      </w:r>
    </w:p>
    <w:p w14:paraId="65AF28B1">
      <w:pPr>
        <w:shd w:val="clear"/>
        <w:tabs>
          <w:tab w:val="left" w:pos="720"/>
        </w:tabs>
        <w:spacing w:line="420" w:lineRule="exact"/>
        <w:ind w:firstLine="485"/>
        <w:jc w:val="center"/>
        <w:rPr>
          <w:rFonts w:eastAsia="宋体" w:cs="宋体"/>
          <w:color w:val="000000"/>
          <w:sz w:val="24"/>
          <w:szCs w:val="24"/>
        </w:rPr>
      </w:pPr>
      <w:r>
        <w:rPr>
          <w:rFonts w:hint="eastAsia" w:eastAsia="宋体" w:cs="宋体"/>
          <w:color w:val="000000"/>
          <w:sz w:val="24"/>
          <w:szCs w:val="24"/>
        </w:rPr>
        <w:t>《</w:t>
      </w:r>
      <w:r>
        <w:rPr>
          <w:rFonts w:hint="eastAsia" w:eastAsia="宋体" w:cs="宋体"/>
          <w:color w:val="000000"/>
          <w:sz w:val="24"/>
          <w:szCs w:val="24"/>
          <w:lang w:eastAsia="zh-CN"/>
        </w:rPr>
        <w:t>☆</w:t>
      </w:r>
      <w:r>
        <w:rPr>
          <w:rFonts w:hint="eastAsia" w:eastAsia="宋体" w:cs="宋体"/>
          <w:color w:val="000000"/>
          <w:sz w:val="24"/>
          <w:szCs w:val="24"/>
        </w:rPr>
        <w:t>技术条款响应正负偏离表》</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1243"/>
        <w:gridCol w:w="1599"/>
        <w:gridCol w:w="1767"/>
        <w:gridCol w:w="2019"/>
        <w:gridCol w:w="1363"/>
        <w:gridCol w:w="809"/>
      </w:tblGrid>
      <w:tr w14:paraId="2886E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743" w:type="dxa"/>
            <w:vAlign w:val="center"/>
          </w:tcPr>
          <w:p w14:paraId="0BB8F1CF">
            <w:pPr>
              <w:shd w:val="clear"/>
              <w:spacing w:line="420" w:lineRule="exact"/>
              <w:jc w:val="center"/>
              <w:rPr>
                <w:rFonts w:eastAsia="宋体" w:cs="宋体"/>
                <w:color w:val="000000"/>
                <w:sz w:val="24"/>
                <w:szCs w:val="24"/>
              </w:rPr>
            </w:pPr>
            <w:r>
              <w:rPr>
                <w:rFonts w:hint="eastAsia" w:eastAsia="宋体" w:cs="宋体"/>
                <w:color w:val="000000"/>
                <w:sz w:val="24"/>
                <w:szCs w:val="24"/>
              </w:rPr>
              <w:t>序号</w:t>
            </w:r>
          </w:p>
        </w:tc>
        <w:tc>
          <w:tcPr>
            <w:tcW w:w="1243" w:type="dxa"/>
            <w:vAlign w:val="center"/>
          </w:tcPr>
          <w:p w14:paraId="51214E11">
            <w:pPr>
              <w:shd w:val="clear"/>
              <w:spacing w:line="420" w:lineRule="exact"/>
              <w:jc w:val="center"/>
              <w:rPr>
                <w:rFonts w:eastAsia="宋体" w:cs="宋体"/>
                <w:color w:val="000000"/>
                <w:sz w:val="24"/>
                <w:szCs w:val="24"/>
              </w:rPr>
            </w:pPr>
            <w:r>
              <w:rPr>
                <w:rFonts w:hint="eastAsia" w:eastAsia="宋体" w:cs="宋体"/>
                <w:color w:val="000000"/>
                <w:sz w:val="24"/>
                <w:szCs w:val="24"/>
              </w:rPr>
              <w:t>项目名称</w:t>
            </w:r>
          </w:p>
        </w:tc>
        <w:tc>
          <w:tcPr>
            <w:tcW w:w="1599" w:type="dxa"/>
            <w:vAlign w:val="center"/>
          </w:tcPr>
          <w:p w14:paraId="05BCC10A">
            <w:pPr>
              <w:shd w:val="clear"/>
              <w:spacing w:line="420" w:lineRule="exact"/>
              <w:jc w:val="center"/>
              <w:rPr>
                <w:rFonts w:eastAsia="宋体" w:cs="宋体"/>
                <w:color w:val="000000"/>
                <w:sz w:val="24"/>
                <w:szCs w:val="24"/>
              </w:rPr>
            </w:pPr>
            <w:r>
              <w:rPr>
                <w:rFonts w:hint="eastAsia" w:eastAsia="宋体" w:cs="宋体"/>
                <w:color w:val="000000"/>
                <w:sz w:val="24"/>
                <w:szCs w:val="24"/>
              </w:rPr>
              <w:t>品牌型号</w:t>
            </w:r>
          </w:p>
        </w:tc>
        <w:tc>
          <w:tcPr>
            <w:tcW w:w="1767" w:type="dxa"/>
            <w:vAlign w:val="center"/>
          </w:tcPr>
          <w:p w14:paraId="35464E76">
            <w:pPr>
              <w:shd w:val="clear"/>
              <w:spacing w:line="420" w:lineRule="exact"/>
              <w:jc w:val="center"/>
              <w:rPr>
                <w:rFonts w:eastAsia="宋体" w:cs="宋体"/>
                <w:color w:val="000000"/>
                <w:sz w:val="24"/>
                <w:szCs w:val="24"/>
              </w:rPr>
            </w:pPr>
            <w:r>
              <w:rPr>
                <w:rFonts w:hint="eastAsia" w:eastAsia="宋体" w:cs="宋体"/>
                <w:color w:val="000000"/>
                <w:sz w:val="24"/>
                <w:szCs w:val="24"/>
              </w:rPr>
              <w:t>公开招标文件设备参数要求</w:t>
            </w:r>
          </w:p>
        </w:tc>
        <w:tc>
          <w:tcPr>
            <w:tcW w:w="2019" w:type="dxa"/>
            <w:vAlign w:val="center"/>
          </w:tcPr>
          <w:p w14:paraId="653CD6B0">
            <w:pPr>
              <w:shd w:val="clear"/>
              <w:spacing w:line="420" w:lineRule="exact"/>
              <w:jc w:val="center"/>
              <w:rPr>
                <w:rFonts w:eastAsia="宋体" w:cs="宋体"/>
                <w:color w:val="000000"/>
                <w:sz w:val="24"/>
                <w:szCs w:val="24"/>
              </w:rPr>
            </w:pPr>
            <w:r>
              <w:rPr>
                <w:rFonts w:hint="eastAsia" w:eastAsia="宋体" w:cs="宋体"/>
                <w:color w:val="000000"/>
                <w:sz w:val="24"/>
                <w:szCs w:val="24"/>
              </w:rPr>
              <w:t>所投设备</w:t>
            </w:r>
          </w:p>
          <w:p w14:paraId="6A050543">
            <w:pPr>
              <w:shd w:val="clear"/>
              <w:spacing w:line="420" w:lineRule="exact"/>
              <w:jc w:val="center"/>
              <w:rPr>
                <w:rFonts w:eastAsia="宋体" w:cs="宋体"/>
                <w:color w:val="000000"/>
                <w:sz w:val="24"/>
                <w:szCs w:val="24"/>
              </w:rPr>
            </w:pPr>
            <w:r>
              <w:rPr>
                <w:rFonts w:hint="eastAsia" w:eastAsia="宋体" w:cs="宋体"/>
                <w:color w:val="000000"/>
                <w:sz w:val="24"/>
                <w:szCs w:val="24"/>
              </w:rPr>
              <w:t>技术响应参数</w:t>
            </w:r>
          </w:p>
        </w:tc>
        <w:tc>
          <w:tcPr>
            <w:tcW w:w="1363" w:type="dxa"/>
            <w:vAlign w:val="center"/>
          </w:tcPr>
          <w:p w14:paraId="5DA7C7AF">
            <w:pPr>
              <w:shd w:val="clear"/>
              <w:spacing w:line="420" w:lineRule="exact"/>
              <w:jc w:val="center"/>
              <w:rPr>
                <w:rFonts w:eastAsia="宋体" w:cs="宋体"/>
                <w:color w:val="000000"/>
                <w:sz w:val="24"/>
                <w:szCs w:val="24"/>
              </w:rPr>
            </w:pPr>
            <w:r>
              <w:rPr>
                <w:rFonts w:hint="eastAsia" w:eastAsia="宋体" w:cs="宋体"/>
                <w:color w:val="000000"/>
                <w:sz w:val="24"/>
                <w:szCs w:val="24"/>
              </w:rPr>
              <w:t>偏离/响应</w:t>
            </w:r>
          </w:p>
        </w:tc>
        <w:tc>
          <w:tcPr>
            <w:tcW w:w="809" w:type="dxa"/>
            <w:vAlign w:val="center"/>
          </w:tcPr>
          <w:p w14:paraId="08A47771">
            <w:pPr>
              <w:shd w:val="clear"/>
              <w:spacing w:line="420" w:lineRule="exact"/>
              <w:jc w:val="center"/>
              <w:rPr>
                <w:rFonts w:eastAsia="宋体" w:cs="宋体"/>
                <w:color w:val="000000"/>
                <w:sz w:val="24"/>
                <w:szCs w:val="24"/>
              </w:rPr>
            </w:pPr>
            <w:r>
              <w:rPr>
                <w:rFonts w:hint="eastAsia" w:eastAsia="宋体" w:cs="宋体"/>
                <w:color w:val="000000"/>
                <w:sz w:val="24"/>
                <w:szCs w:val="24"/>
              </w:rPr>
              <w:t>说明</w:t>
            </w:r>
          </w:p>
        </w:tc>
      </w:tr>
      <w:tr w14:paraId="33C65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5B8B1795">
            <w:pPr>
              <w:shd w:val="clear"/>
              <w:spacing w:line="420" w:lineRule="exact"/>
              <w:jc w:val="center"/>
              <w:rPr>
                <w:rFonts w:eastAsia="宋体" w:cs="宋体"/>
                <w:color w:val="000000"/>
                <w:sz w:val="24"/>
                <w:szCs w:val="24"/>
              </w:rPr>
            </w:pPr>
            <w:r>
              <w:rPr>
                <w:rFonts w:hint="eastAsia" w:eastAsia="宋体" w:cs="宋体"/>
                <w:color w:val="000000"/>
                <w:sz w:val="24"/>
                <w:szCs w:val="24"/>
              </w:rPr>
              <w:t>1</w:t>
            </w:r>
          </w:p>
        </w:tc>
        <w:tc>
          <w:tcPr>
            <w:tcW w:w="1243" w:type="dxa"/>
            <w:vAlign w:val="center"/>
          </w:tcPr>
          <w:p w14:paraId="02148766">
            <w:pPr>
              <w:shd w:val="clear"/>
              <w:spacing w:line="420" w:lineRule="exact"/>
              <w:jc w:val="center"/>
              <w:rPr>
                <w:rFonts w:eastAsia="宋体" w:cs="宋体"/>
                <w:color w:val="000000"/>
                <w:sz w:val="24"/>
                <w:szCs w:val="24"/>
              </w:rPr>
            </w:pPr>
          </w:p>
        </w:tc>
        <w:tc>
          <w:tcPr>
            <w:tcW w:w="1599" w:type="dxa"/>
            <w:vAlign w:val="center"/>
          </w:tcPr>
          <w:p w14:paraId="689B067B">
            <w:pPr>
              <w:shd w:val="clear"/>
              <w:spacing w:line="420" w:lineRule="exact"/>
              <w:jc w:val="center"/>
              <w:rPr>
                <w:rFonts w:eastAsia="宋体" w:cs="宋体"/>
                <w:color w:val="000000"/>
                <w:sz w:val="24"/>
                <w:szCs w:val="24"/>
              </w:rPr>
            </w:pPr>
          </w:p>
        </w:tc>
        <w:tc>
          <w:tcPr>
            <w:tcW w:w="1767" w:type="dxa"/>
            <w:vAlign w:val="center"/>
          </w:tcPr>
          <w:p w14:paraId="1E547FE5">
            <w:pPr>
              <w:shd w:val="clear"/>
              <w:spacing w:line="420" w:lineRule="exact"/>
              <w:jc w:val="center"/>
              <w:rPr>
                <w:rFonts w:eastAsia="宋体" w:cs="宋体"/>
                <w:color w:val="000000"/>
                <w:sz w:val="24"/>
                <w:szCs w:val="24"/>
              </w:rPr>
            </w:pPr>
          </w:p>
        </w:tc>
        <w:tc>
          <w:tcPr>
            <w:tcW w:w="2019" w:type="dxa"/>
            <w:vAlign w:val="center"/>
          </w:tcPr>
          <w:p w14:paraId="2ABB2B31">
            <w:pPr>
              <w:shd w:val="clear"/>
              <w:spacing w:line="420" w:lineRule="exact"/>
              <w:jc w:val="center"/>
              <w:rPr>
                <w:rFonts w:eastAsia="宋体" w:cs="宋体"/>
                <w:color w:val="000000"/>
                <w:sz w:val="24"/>
                <w:szCs w:val="24"/>
              </w:rPr>
            </w:pPr>
          </w:p>
        </w:tc>
        <w:tc>
          <w:tcPr>
            <w:tcW w:w="1363" w:type="dxa"/>
            <w:vAlign w:val="center"/>
          </w:tcPr>
          <w:p w14:paraId="6974B6B6">
            <w:pPr>
              <w:shd w:val="clear"/>
              <w:spacing w:line="420" w:lineRule="exact"/>
              <w:jc w:val="center"/>
              <w:rPr>
                <w:rFonts w:eastAsia="宋体" w:cs="宋体"/>
                <w:color w:val="000000"/>
                <w:sz w:val="24"/>
                <w:szCs w:val="24"/>
              </w:rPr>
            </w:pPr>
          </w:p>
        </w:tc>
        <w:tc>
          <w:tcPr>
            <w:tcW w:w="809" w:type="dxa"/>
            <w:vAlign w:val="center"/>
          </w:tcPr>
          <w:p w14:paraId="3D9261FF">
            <w:pPr>
              <w:shd w:val="clear"/>
              <w:spacing w:line="420" w:lineRule="exact"/>
              <w:jc w:val="center"/>
              <w:rPr>
                <w:rFonts w:eastAsia="宋体" w:cs="宋体"/>
                <w:color w:val="000000"/>
                <w:sz w:val="24"/>
                <w:szCs w:val="24"/>
              </w:rPr>
            </w:pPr>
          </w:p>
        </w:tc>
      </w:tr>
      <w:tr w14:paraId="21923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5A7D08A5">
            <w:pPr>
              <w:shd w:val="clear"/>
              <w:spacing w:line="420" w:lineRule="exact"/>
              <w:jc w:val="center"/>
              <w:rPr>
                <w:rFonts w:eastAsia="宋体" w:cs="宋体"/>
                <w:color w:val="000000"/>
                <w:sz w:val="24"/>
                <w:szCs w:val="24"/>
              </w:rPr>
            </w:pPr>
            <w:r>
              <w:rPr>
                <w:rFonts w:hint="eastAsia" w:eastAsia="宋体" w:cs="宋体"/>
                <w:color w:val="000000"/>
                <w:sz w:val="24"/>
                <w:szCs w:val="24"/>
              </w:rPr>
              <w:t>……</w:t>
            </w:r>
          </w:p>
        </w:tc>
        <w:tc>
          <w:tcPr>
            <w:tcW w:w="1243" w:type="dxa"/>
            <w:vAlign w:val="center"/>
          </w:tcPr>
          <w:p w14:paraId="09C18AEB">
            <w:pPr>
              <w:shd w:val="clear"/>
              <w:spacing w:line="420" w:lineRule="exact"/>
              <w:jc w:val="center"/>
              <w:rPr>
                <w:rFonts w:eastAsia="宋体" w:cs="宋体"/>
                <w:color w:val="000000"/>
                <w:sz w:val="24"/>
                <w:szCs w:val="24"/>
              </w:rPr>
            </w:pPr>
          </w:p>
        </w:tc>
        <w:tc>
          <w:tcPr>
            <w:tcW w:w="1599" w:type="dxa"/>
            <w:vAlign w:val="center"/>
          </w:tcPr>
          <w:p w14:paraId="60FB1F34">
            <w:pPr>
              <w:shd w:val="clear"/>
              <w:spacing w:line="420" w:lineRule="exact"/>
              <w:jc w:val="center"/>
              <w:rPr>
                <w:rFonts w:eastAsia="宋体" w:cs="宋体"/>
                <w:color w:val="000000"/>
                <w:sz w:val="24"/>
                <w:szCs w:val="24"/>
              </w:rPr>
            </w:pPr>
          </w:p>
        </w:tc>
        <w:tc>
          <w:tcPr>
            <w:tcW w:w="1767" w:type="dxa"/>
            <w:vAlign w:val="center"/>
          </w:tcPr>
          <w:p w14:paraId="1CE8F2D2">
            <w:pPr>
              <w:shd w:val="clear"/>
              <w:spacing w:line="420" w:lineRule="exact"/>
              <w:jc w:val="center"/>
              <w:rPr>
                <w:rFonts w:eastAsia="宋体" w:cs="宋体"/>
                <w:color w:val="000000"/>
                <w:sz w:val="24"/>
                <w:szCs w:val="24"/>
              </w:rPr>
            </w:pPr>
          </w:p>
        </w:tc>
        <w:tc>
          <w:tcPr>
            <w:tcW w:w="2019" w:type="dxa"/>
            <w:vAlign w:val="center"/>
          </w:tcPr>
          <w:p w14:paraId="2FB82F77">
            <w:pPr>
              <w:shd w:val="clear"/>
              <w:spacing w:line="420" w:lineRule="exact"/>
              <w:jc w:val="center"/>
              <w:rPr>
                <w:rFonts w:eastAsia="宋体" w:cs="宋体"/>
                <w:color w:val="000000"/>
                <w:sz w:val="24"/>
                <w:szCs w:val="24"/>
              </w:rPr>
            </w:pPr>
          </w:p>
        </w:tc>
        <w:tc>
          <w:tcPr>
            <w:tcW w:w="1363" w:type="dxa"/>
            <w:vAlign w:val="center"/>
          </w:tcPr>
          <w:p w14:paraId="4801C584">
            <w:pPr>
              <w:shd w:val="clear"/>
              <w:spacing w:line="420" w:lineRule="exact"/>
              <w:jc w:val="center"/>
              <w:rPr>
                <w:rFonts w:eastAsia="宋体" w:cs="宋体"/>
                <w:color w:val="000000"/>
                <w:sz w:val="24"/>
                <w:szCs w:val="24"/>
              </w:rPr>
            </w:pPr>
          </w:p>
        </w:tc>
        <w:tc>
          <w:tcPr>
            <w:tcW w:w="809" w:type="dxa"/>
            <w:vAlign w:val="center"/>
          </w:tcPr>
          <w:p w14:paraId="07033844">
            <w:pPr>
              <w:shd w:val="clear"/>
              <w:spacing w:line="420" w:lineRule="exact"/>
              <w:jc w:val="center"/>
              <w:rPr>
                <w:rFonts w:eastAsia="宋体" w:cs="宋体"/>
                <w:color w:val="000000"/>
                <w:sz w:val="24"/>
                <w:szCs w:val="24"/>
              </w:rPr>
            </w:pPr>
          </w:p>
        </w:tc>
      </w:tr>
    </w:tbl>
    <w:p w14:paraId="02607F48">
      <w:pPr>
        <w:shd w:val="clear"/>
        <w:spacing w:line="420" w:lineRule="exact"/>
        <w:ind w:firstLine="485"/>
        <w:rPr>
          <w:rFonts w:eastAsia="宋体" w:cs="宋体"/>
          <w:color w:val="000000"/>
          <w:sz w:val="24"/>
          <w:szCs w:val="24"/>
        </w:rPr>
      </w:pPr>
      <w:r>
        <w:rPr>
          <w:rFonts w:hint="eastAsia" w:eastAsia="宋体" w:cs="宋体"/>
          <w:color w:val="000000"/>
          <w:sz w:val="24"/>
          <w:szCs w:val="24"/>
        </w:rPr>
        <w:t>注：</w:t>
      </w:r>
    </w:p>
    <w:p w14:paraId="4AFFB05E">
      <w:pPr>
        <w:shd w:val="clear"/>
        <w:spacing w:line="420" w:lineRule="exact"/>
        <w:ind w:firstLine="485"/>
        <w:rPr>
          <w:rFonts w:eastAsia="宋体" w:cs="宋体"/>
          <w:color w:val="000000"/>
          <w:sz w:val="24"/>
          <w:szCs w:val="24"/>
        </w:rPr>
      </w:pPr>
      <w:r>
        <w:rPr>
          <w:rFonts w:hint="eastAsia" w:eastAsia="宋体" w:cs="宋体"/>
          <w:color w:val="000000"/>
          <w:sz w:val="24"/>
          <w:szCs w:val="24"/>
        </w:rPr>
        <w:t>①公开招标响应供应商应对照公开招标文件第三章项目需求内的要求，逐一填写。</w:t>
      </w:r>
    </w:p>
    <w:p w14:paraId="4E1DDD5E">
      <w:pPr>
        <w:shd w:val="clear"/>
        <w:spacing w:line="420" w:lineRule="exact"/>
        <w:ind w:firstLine="485"/>
        <w:rPr>
          <w:rFonts w:eastAsia="宋体" w:cs="宋体"/>
          <w:color w:val="000000"/>
          <w:sz w:val="24"/>
          <w:szCs w:val="24"/>
        </w:rPr>
      </w:pPr>
      <w:r>
        <w:rPr>
          <w:rFonts w:hint="eastAsia" w:eastAsia="宋体" w:cs="宋体"/>
          <w:color w:val="000000"/>
          <w:sz w:val="24"/>
          <w:szCs w:val="24"/>
        </w:rPr>
        <w:t>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p>
    <w:p w14:paraId="6AC23A1C">
      <w:pPr>
        <w:shd w:val="clear"/>
        <w:spacing w:line="420" w:lineRule="exact"/>
        <w:ind w:firstLine="485"/>
        <w:rPr>
          <w:rFonts w:eastAsia="宋体" w:cs="宋体"/>
          <w:color w:val="000000"/>
          <w:sz w:val="24"/>
          <w:szCs w:val="24"/>
        </w:rPr>
      </w:pPr>
      <w:r>
        <w:rPr>
          <w:rFonts w:hint="eastAsia" w:eastAsia="宋体" w:cs="宋体"/>
          <w:color w:val="000000"/>
          <w:sz w:val="24"/>
          <w:szCs w:val="24"/>
        </w:rPr>
        <w:t>③本项目</w:t>
      </w:r>
      <w:r>
        <w:rPr>
          <w:rFonts w:hint="eastAsia" w:ascii="宋体" w:hAnsi="宋体" w:eastAsia="宋体" w:cs="宋体"/>
          <w:b/>
          <w:bCs/>
          <w:kern w:val="2"/>
          <w:sz w:val="24"/>
          <w:szCs w:val="24"/>
        </w:rPr>
        <w:t>“</w:t>
      </w:r>
      <w:r>
        <w:rPr>
          <w:rFonts w:hint="eastAsia" w:ascii="宋体" w:hAnsi="宋体" w:eastAsia="宋体" w:cs="宋体"/>
          <w:b/>
          <w:bCs/>
          <w:kern w:val="2"/>
          <w:sz w:val="24"/>
          <w:szCs w:val="24"/>
          <w:lang w:eastAsia="zh-CN"/>
        </w:rPr>
        <w:t>☆</w:t>
      </w:r>
      <w:r>
        <w:rPr>
          <w:rFonts w:hint="eastAsia" w:ascii="宋体" w:hAnsi="宋体" w:eastAsia="宋体" w:cs="宋体"/>
          <w:b/>
          <w:bCs/>
          <w:kern w:val="2"/>
          <w:sz w:val="24"/>
          <w:szCs w:val="24"/>
        </w:rPr>
        <w:t>”</w:t>
      </w:r>
      <w:r>
        <w:rPr>
          <w:rFonts w:hint="eastAsia" w:eastAsia="宋体" w:cs="宋体"/>
          <w:color w:val="000000"/>
          <w:sz w:val="24"/>
          <w:szCs w:val="24"/>
        </w:rPr>
        <w:t>需求产品所有技术规格参数要求，须实质性响应不接受负偏离。</w:t>
      </w:r>
    </w:p>
    <w:p w14:paraId="383C31A5">
      <w:pPr>
        <w:shd w:val="clear"/>
        <w:spacing w:line="420" w:lineRule="exact"/>
        <w:ind w:firstLine="485"/>
        <w:rPr>
          <w:rFonts w:eastAsia="宋体" w:cs="宋体"/>
          <w:color w:val="000000"/>
          <w:sz w:val="24"/>
          <w:szCs w:val="24"/>
        </w:rPr>
      </w:pPr>
      <w:r>
        <w:rPr>
          <w:rFonts w:hint="eastAsia" w:eastAsia="宋体" w:cs="宋体"/>
          <w:color w:val="000000"/>
          <w:sz w:val="24"/>
          <w:szCs w:val="24"/>
        </w:rPr>
        <w:t>④该表不作为公开招标响应供应商对项目需求产品技术要求等的详细描述和说明的替代。</w:t>
      </w:r>
    </w:p>
    <w:p w14:paraId="784948E0">
      <w:pPr>
        <w:shd w:val="clear"/>
        <w:spacing w:line="420" w:lineRule="exact"/>
        <w:ind w:firstLine="485"/>
        <w:rPr>
          <w:rFonts w:eastAsia="宋体" w:cs="宋体"/>
          <w:color w:val="000000"/>
          <w:sz w:val="24"/>
          <w:szCs w:val="24"/>
        </w:rPr>
      </w:pPr>
      <w:r>
        <w:rPr>
          <w:rFonts w:hint="eastAsia" w:eastAsia="宋体" w:cs="宋体"/>
          <w:color w:val="000000"/>
          <w:sz w:val="24"/>
          <w:szCs w:val="24"/>
        </w:rPr>
        <w:t>⑤公开招标响应供应商如果虚假响应，将承担一切可能的风险。</w:t>
      </w:r>
    </w:p>
    <w:p w14:paraId="2E7DB396">
      <w:pPr>
        <w:shd w:val="clear"/>
        <w:spacing w:line="420" w:lineRule="exact"/>
        <w:ind w:firstLine="485"/>
        <w:rPr>
          <w:rFonts w:eastAsia="宋体" w:cs="宋体"/>
          <w:color w:val="000000"/>
          <w:sz w:val="24"/>
          <w:szCs w:val="24"/>
        </w:rPr>
      </w:pPr>
      <w:r>
        <w:rPr>
          <w:rFonts w:hint="eastAsia" w:eastAsia="宋体" w:cs="宋体"/>
          <w:color w:val="000000"/>
          <w:sz w:val="24"/>
          <w:szCs w:val="24"/>
        </w:rPr>
        <w:t>⑥所投品牌型号，必须确定、唯一。</w:t>
      </w:r>
    </w:p>
    <w:p w14:paraId="275F3EDC">
      <w:pPr>
        <w:shd w:val="clear"/>
        <w:spacing w:line="420" w:lineRule="exact"/>
        <w:ind w:firstLine="485"/>
        <w:rPr>
          <w:rFonts w:eastAsia="宋体" w:cs="宋体"/>
          <w:color w:val="000000"/>
          <w:sz w:val="24"/>
          <w:szCs w:val="24"/>
        </w:rPr>
      </w:pPr>
    </w:p>
    <w:p w14:paraId="0BFB4EB3">
      <w:pPr>
        <w:shd w:val="clear"/>
        <w:snapToGrid w:val="0"/>
        <w:spacing w:line="360" w:lineRule="auto"/>
        <w:jc w:val="right"/>
        <w:outlineLvl w:val="4"/>
        <w:rPr>
          <w:rFonts w:hint="eastAsia" w:ascii="宋体" w:hAnsi="宋体" w:eastAsia="宋体" w:cs="宋体"/>
          <w:bCs/>
          <w:sz w:val="24"/>
        </w:rPr>
      </w:pPr>
      <w:r>
        <w:rPr>
          <w:rFonts w:hint="eastAsia" w:ascii="宋体" w:hAnsi="宋体" w:eastAsia="宋体" w:cs="宋体"/>
          <w:bCs/>
          <w:sz w:val="24"/>
        </w:rPr>
        <w:t xml:space="preserve">投标人（加盖CA电子签章）： </w:t>
      </w:r>
    </w:p>
    <w:p w14:paraId="4306D529">
      <w:pPr>
        <w:shd w:val="clear"/>
        <w:snapToGrid w:val="0"/>
        <w:spacing w:line="360" w:lineRule="auto"/>
        <w:jc w:val="right"/>
        <w:outlineLvl w:val="4"/>
        <w:rPr>
          <w:rFonts w:hint="eastAsia"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782C5F35">
      <w:pPr>
        <w:shd w:val="clear"/>
        <w:spacing w:line="360" w:lineRule="auto"/>
        <w:jc w:val="right"/>
        <w:outlineLvl w:val="3"/>
        <w:rPr>
          <w:rFonts w:eastAsia="宋体" w:cs="宋体"/>
          <w:b/>
          <w:bCs/>
          <w:color w:val="000000"/>
          <w:sz w:val="28"/>
          <w:szCs w:val="28"/>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594D61DF">
      <w:pPr>
        <w:shd w:val="clear"/>
        <w:rPr>
          <w:rFonts w:eastAsia="宋体" w:cs="宋体"/>
          <w:b/>
          <w:bCs/>
          <w:color w:val="000000"/>
          <w:sz w:val="28"/>
          <w:szCs w:val="28"/>
        </w:rPr>
      </w:pPr>
      <w:r>
        <w:rPr>
          <w:rFonts w:hint="eastAsia" w:eastAsia="宋体" w:cs="宋体"/>
          <w:b/>
          <w:bCs/>
          <w:color w:val="000000"/>
          <w:sz w:val="28"/>
          <w:szCs w:val="28"/>
        </w:rPr>
        <w:br w:type="page"/>
      </w:r>
    </w:p>
    <w:p w14:paraId="08B09E54">
      <w:pPr>
        <w:widowControl/>
        <w:shd w:val="clear"/>
        <w:spacing w:line="360" w:lineRule="auto"/>
        <w:jc w:val="left"/>
        <w:rPr>
          <w:rFonts w:eastAsia="宋体" w:cs="宋体"/>
          <w:b/>
          <w:bCs/>
          <w:color w:val="000000"/>
          <w:sz w:val="28"/>
          <w:szCs w:val="28"/>
        </w:rPr>
      </w:pPr>
      <w:r>
        <w:rPr>
          <w:rFonts w:hint="eastAsia" w:eastAsia="宋体" w:cs="宋体"/>
          <w:b/>
          <w:bCs/>
          <w:color w:val="000000"/>
          <w:sz w:val="24"/>
          <w:szCs w:val="21"/>
        </w:rPr>
        <w:t>附件14：</w:t>
      </w:r>
    </w:p>
    <w:p w14:paraId="7AB6A8B8">
      <w:pPr>
        <w:widowControl/>
        <w:shd w:val="clear"/>
        <w:spacing w:line="360" w:lineRule="auto"/>
        <w:jc w:val="center"/>
        <w:rPr>
          <w:rFonts w:eastAsia="宋体" w:cs="宋体"/>
          <w:b/>
          <w:bCs/>
          <w:color w:val="000000"/>
          <w:sz w:val="28"/>
          <w:szCs w:val="28"/>
        </w:rPr>
      </w:pPr>
      <w:r>
        <w:rPr>
          <w:rFonts w:hint="eastAsia" w:eastAsia="宋体" w:cs="宋体"/>
          <w:b/>
          <w:bCs/>
          <w:color w:val="000000"/>
          <w:sz w:val="28"/>
          <w:szCs w:val="28"/>
        </w:rPr>
        <w:t>《技术条款响应正负偏离表》</w:t>
      </w:r>
    </w:p>
    <w:p w14:paraId="4C73A17D">
      <w:pPr>
        <w:shd w:val="clear"/>
        <w:spacing w:line="420" w:lineRule="exact"/>
        <w:ind w:firstLine="480"/>
        <w:jc w:val="left"/>
        <w:rPr>
          <w:rFonts w:eastAsia="宋体" w:cs="宋体"/>
          <w:color w:val="000000"/>
          <w:sz w:val="24"/>
          <w:szCs w:val="24"/>
        </w:rPr>
      </w:pPr>
      <w:r>
        <w:rPr>
          <w:rFonts w:hint="eastAsia" w:eastAsia="宋体" w:cs="宋体"/>
          <w:color w:val="000000"/>
          <w:sz w:val="24"/>
          <w:szCs w:val="24"/>
        </w:rPr>
        <w:t>1.供应商必须满足响应文件中针对产品设备提出的全部技术规格与要求，逐一逐条响应填写《技术条款响应正负偏离表》；</w:t>
      </w:r>
    </w:p>
    <w:p w14:paraId="0B0721FD">
      <w:pPr>
        <w:shd w:val="clear"/>
        <w:spacing w:line="420" w:lineRule="exact"/>
        <w:ind w:firstLine="480"/>
        <w:jc w:val="left"/>
        <w:rPr>
          <w:rFonts w:eastAsia="宋体" w:cs="宋体"/>
          <w:color w:val="000000"/>
          <w:sz w:val="24"/>
          <w:szCs w:val="24"/>
        </w:rPr>
      </w:pPr>
      <w:r>
        <w:rPr>
          <w:rFonts w:hint="eastAsia" w:eastAsia="宋体" w:cs="宋体"/>
          <w:color w:val="000000"/>
          <w:sz w:val="24"/>
          <w:szCs w:val="24"/>
        </w:rPr>
        <w:t>2.供应商提供的货物和服务与采购人提出的项目需求说明中的技术要求不同，必须在逐一逐条填写响应的《技术条款响应正负偏离表》上明示偏离的部分。</w:t>
      </w:r>
    </w:p>
    <w:p w14:paraId="2BAF97C4">
      <w:pPr>
        <w:shd w:val="clear"/>
        <w:tabs>
          <w:tab w:val="left" w:pos="720"/>
        </w:tabs>
        <w:spacing w:line="420" w:lineRule="exact"/>
        <w:ind w:firstLine="485"/>
        <w:jc w:val="center"/>
        <w:rPr>
          <w:rFonts w:eastAsia="宋体" w:cs="宋体"/>
          <w:color w:val="000000"/>
          <w:sz w:val="24"/>
          <w:szCs w:val="24"/>
        </w:rPr>
      </w:pPr>
      <w:r>
        <w:rPr>
          <w:rFonts w:hint="eastAsia" w:eastAsia="宋体" w:cs="宋体"/>
          <w:color w:val="000000"/>
          <w:sz w:val="24"/>
          <w:szCs w:val="24"/>
        </w:rPr>
        <w:t>《技术条款响应正负偏离表》</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1243"/>
        <w:gridCol w:w="1599"/>
        <w:gridCol w:w="1767"/>
        <w:gridCol w:w="2019"/>
        <w:gridCol w:w="1363"/>
        <w:gridCol w:w="809"/>
      </w:tblGrid>
      <w:tr w14:paraId="33885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743" w:type="dxa"/>
            <w:vAlign w:val="center"/>
          </w:tcPr>
          <w:p w14:paraId="0A5DFE2B">
            <w:pPr>
              <w:shd w:val="clear"/>
              <w:spacing w:line="420" w:lineRule="exact"/>
              <w:jc w:val="center"/>
              <w:rPr>
                <w:rFonts w:eastAsia="宋体" w:cs="宋体"/>
                <w:color w:val="000000"/>
                <w:sz w:val="24"/>
                <w:szCs w:val="24"/>
              </w:rPr>
            </w:pPr>
            <w:r>
              <w:rPr>
                <w:rFonts w:hint="eastAsia" w:eastAsia="宋体" w:cs="宋体"/>
                <w:color w:val="000000"/>
                <w:sz w:val="24"/>
                <w:szCs w:val="24"/>
              </w:rPr>
              <w:t>序号</w:t>
            </w:r>
          </w:p>
        </w:tc>
        <w:tc>
          <w:tcPr>
            <w:tcW w:w="1243" w:type="dxa"/>
            <w:vAlign w:val="center"/>
          </w:tcPr>
          <w:p w14:paraId="52EC616E">
            <w:pPr>
              <w:shd w:val="clear"/>
              <w:spacing w:line="420" w:lineRule="exact"/>
              <w:jc w:val="center"/>
              <w:rPr>
                <w:rFonts w:eastAsia="宋体" w:cs="宋体"/>
                <w:color w:val="000000"/>
                <w:sz w:val="24"/>
                <w:szCs w:val="24"/>
              </w:rPr>
            </w:pPr>
            <w:r>
              <w:rPr>
                <w:rFonts w:hint="eastAsia" w:eastAsia="宋体" w:cs="宋体"/>
                <w:color w:val="000000"/>
                <w:sz w:val="24"/>
                <w:szCs w:val="24"/>
              </w:rPr>
              <w:t>项目名称</w:t>
            </w:r>
          </w:p>
        </w:tc>
        <w:tc>
          <w:tcPr>
            <w:tcW w:w="1599" w:type="dxa"/>
            <w:vAlign w:val="center"/>
          </w:tcPr>
          <w:p w14:paraId="5162A070">
            <w:pPr>
              <w:shd w:val="clear"/>
              <w:spacing w:line="420" w:lineRule="exact"/>
              <w:jc w:val="center"/>
              <w:rPr>
                <w:rFonts w:eastAsia="宋体" w:cs="宋体"/>
                <w:color w:val="000000"/>
                <w:sz w:val="24"/>
                <w:szCs w:val="24"/>
              </w:rPr>
            </w:pPr>
            <w:r>
              <w:rPr>
                <w:rFonts w:hint="eastAsia" w:eastAsia="宋体" w:cs="宋体"/>
                <w:color w:val="000000"/>
                <w:sz w:val="24"/>
                <w:szCs w:val="24"/>
              </w:rPr>
              <w:t>品牌型号</w:t>
            </w:r>
          </w:p>
        </w:tc>
        <w:tc>
          <w:tcPr>
            <w:tcW w:w="1767" w:type="dxa"/>
            <w:vAlign w:val="center"/>
          </w:tcPr>
          <w:p w14:paraId="4FB1BC9B">
            <w:pPr>
              <w:shd w:val="clear"/>
              <w:spacing w:line="420" w:lineRule="exact"/>
              <w:jc w:val="center"/>
              <w:rPr>
                <w:rFonts w:eastAsia="宋体" w:cs="宋体"/>
                <w:color w:val="000000"/>
                <w:sz w:val="24"/>
                <w:szCs w:val="24"/>
              </w:rPr>
            </w:pPr>
            <w:r>
              <w:rPr>
                <w:rFonts w:hint="eastAsia" w:eastAsia="宋体" w:cs="宋体"/>
                <w:color w:val="000000"/>
                <w:sz w:val="24"/>
                <w:szCs w:val="24"/>
              </w:rPr>
              <w:t>公开招标文件设备参数要求</w:t>
            </w:r>
          </w:p>
        </w:tc>
        <w:tc>
          <w:tcPr>
            <w:tcW w:w="2019" w:type="dxa"/>
            <w:vAlign w:val="center"/>
          </w:tcPr>
          <w:p w14:paraId="709D70EE">
            <w:pPr>
              <w:shd w:val="clear"/>
              <w:spacing w:line="420" w:lineRule="exact"/>
              <w:jc w:val="center"/>
              <w:rPr>
                <w:rFonts w:eastAsia="宋体" w:cs="宋体"/>
                <w:color w:val="000000"/>
                <w:sz w:val="24"/>
                <w:szCs w:val="24"/>
              </w:rPr>
            </w:pPr>
            <w:r>
              <w:rPr>
                <w:rFonts w:hint="eastAsia" w:eastAsia="宋体" w:cs="宋体"/>
                <w:color w:val="000000"/>
                <w:sz w:val="24"/>
                <w:szCs w:val="24"/>
              </w:rPr>
              <w:t>所投设备</w:t>
            </w:r>
          </w:p>
          <w:p w14:paraId="63024681">
            <w:pPr>
              <w:shd w:val="clear"/>
              <w:spacing w:line="420" w:lineRule="exact"/>
              <w:jc w:val="center"/>
              <w:rPr>
                <w:rFonts w:eastAsia="宋体" w:cs="宋体"/>
                <w:color w:val="000000"/>
                <w:sz w:val="24"/>
                <w:szCs w:val="24"/>
              </w:rPr>
            </w:pPr>
            <w:r>
              <w:rPr>
                <w:rFonts w:hint="eastAsia" w:eastAsia="宋体" w:cs="宋体"/>
                <w:color w:val="000000"/>
                <w:sz w:val="24"/>
                <w:szCs w:val="24"/>
              </w:rPr>
              <w:t>技术响应参数</w:t>
            </w:r>
          </w:p>
        </w:tc>
        <w:tc>
          <w:tcPr>
            <w:tcW w:w="1363" w:type="dxa"/>
            <w:vAlign w:val="center"/>
          </w:tcPr>
          <w:p w14:paraId="6957C05E">
            <w:pPr>
              <w:shd w:val="clear"/>
              <w:spacing w:line="420" w:lineRule="exact"/>
              <w:jc w:val="center"/>
              <w:rPr>
                <w:rFonts w:eastAsia="宋体" w:cs="宋体"/>
                <w:color w:val="000000"/>
                <w:sz w:val="24"/>
                <w:szCs w:val="24"/>
              </w:rPr>
            </w:pPr>
            <w:r>
              <w:rPr>
                <w:rFonts w:hint="eastAsia" w:eastAsia="宋体" w:cs="宋体"/>
                <w:color w:val="000000"/>
                <w:sz w:val="24"/>
                <w:szCs w:val="24"/>
              </w:rPr>
              <w:t>偏离/响应</w:t>
            </w:r>
          </w:p>
        </w:tc>
        <w:tc>
          <w:tcPr>
            <w:tcW w:w="809" w:type="dxa"/>
            <w:vAlign w:val="center"/>
          </w:tcPr>
          <w:p w14:paraId="667BB980">
            <w:pPr>
              <w:shd w:val="clear"/>
              <w:spacing w:line="420" w:lineRule="exact"/>
              <w:jc w:val="center"/>
              <w:rPr>
                <w:rFonts w:eastAsia="宋体" w:cs="宋体"/>
                <w:color w:val="000000"/>
                <w:sz w:val="24"/>
                <w:szCs w:val="24"/>
              </w:rPr>
            </w:pPr>
            <w:r>
              <w:rPr>
                <w:rFonts w:hint="eastAsia" w:eastAsia="宋体" w:cs="宋体"/>
                <w:color w:val="000000"/>
                <w:sz w:val="24"/>
                <w:szCs w:val="24"/>
              </w:rPr>
              <w:t>说明</w:t>
            </w:r>
          </w:p>
        </w:tc>
      </w:tr>
      <w:tr w14:paraId="55AAE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11910BA3">
            <w:pPr>
              <w:shd w:val="clear"/>
              <w:spacing w:line="420" w:lineRule="exact"/>
              <w:jc w:val="center"/>
              <w:rPr>
                <w:rFonts w:eastAsia="宋体" w:cs="宋体"/>
                <w:color w:val="000000"/>
                <w:sz w:val="24"/>
                <w:szCs w:val="24"/>
              </w:rPr>
            </w:pPr>
            <w:r>
              <w:rPr>
                <w:rFonts w:hint="eastAsia" w:eastAsia="宋体" w:cs="宋体"/>
                <w:color w:val="000000"/>
                <w:sz w:val="24"/>
                <w:szCs w:val="24"/>
              </w:rPr>
              <w:t>1</w:t>
            </w:r>
          </w:p>
        </w:tc>
        <w:tc>
          <w:tcPr>
            <w:tcW w:w="1243" w:type="dxa"/>
            <w:vAlign w:val="center"/>
          </w:tcPr>
          <w:p w14:paraId="04781D4C">
            <w:pPr>
              <w:shd w:val="clear"/>
              <w:spacing w:line="420" w:lineRule="exact"/>
              <w:jc w:val="center"/>
              <w:rPr>
                <w:rFonts w:eastAsia="宋体" w:cs="宋体"/>
                <w:color w:val="000000"/>
                <w:sz w:val="24"/>
                <w:szCs w:val="24"/>
              </w:rPr>
            </w:pPr>
          </w:p>
        </w:tc>
        <w:tc>
          <w:tcPr>
            <w:tcW w:w="1599" w:type="dxa"/>
            <w:vAlign w:val="center"/>
          </w:tcPr>
          <w:p w14:paraId="0F089F1D">
            <w:pPr>
              <w:shd w:val="clear"/>
              <w:spacing w:line="420" w:lineRule="exact"/>
              <w:jc w:val="center"/>
              <w:rPr>
                <w:rFonts w:eastAsia="宋体" w:cs="宋体"/>
                <w:color w:val="000000"/>
                <w:sz w:val="24"/>
                <w:szCs w:val="24"/>
              </w:rPr>
            </w:pPr>
          </w:p>
        </w:tc>
        <w:tc>
          <w:tcPr>
            <w:tcW w:w="1767" w:type="dxa"/>
            <w:vAlign w:val="center"/>
          </w:tcPr>
          <w:p w14:paraId="58CCDF58">
            <w:pPr>
              <w:shd w:val="clear"/>
              <w:spacing w:line="420" w:lineRule="exact"/>
              <w:jc w:val="center"/>
              <w:rPr>
                <w:rFonts w:eastAsia="宋体" w:cs="宋体"/>
                <w:color w:val="000000"/>
                <w:sz w:val="24"/>
                <w:szCs w:val="24"/>
              </w:rPr>
            </w:pPr>
          </w:p>
        </w:tc>
        <w:tc>
          <w:tcPr>
            <w:tcW w:w="2019" w:type="dxa"/>
            <w:vAlign w:val="center"/>
          </w:tcPr>
          <w:p w14:paraId="46A11B92">
            <w:pPr>
              <w:shd w:val="clear"/>
              <w:spacing w:line="420" w:lineRule="exact"/>
              <w:jc w:val="center"/>
              <w:rPr>
                <w:rFonts w:eastAsia="宋体" w:cs="宋体"/>
                <w:color w:val="000000"/>
                <w:sz w:val="24"/>
                <w:szCs w:val="24"/>
              </w:rPr>
            </w:pPr>
          </w:p>
        </w:tc>
        <w:tc>
          <w:tcPr>
            <w:tcW w:w="1363" w:type="dxa"/>
            <w:vAlign w:val="center"/>
          </w:tcPr>
          <w:p w14:paraId="2DAB7965">
            <w:pPr>
              <w:shd w:val="clear"/>
              <w:spacing w:line="420" w:lineRule="exact"/>
              <w:jc w:val="center"/>
              <w:rPr>
                <w:rFonts w:eastAsia="宋体" w:cs="宋体"/>
                <w:color w:val="000000"/>
                <w:sz w:val="24"/>
                <w:szCs w:val="24"/>
              </w:rPr>
            </w:pPr>
          </w:p>
        </w:tc>
        <w:tc>
          <w:tcPr>
            <w:tcW w:w="809" w:type="dxa"/>
            <w:vAlign w:val="center"/>
          </w:tcPr>
          <w:p w14:paraId="265CEADD">
            <w:pPr>
              <w:shd w:val="clear"/>
              <w:spacing w:line="420" w:lineRule="exact"/>
              <w:jc w:val="center"/>
              <w:rPr>
                <w:rFonts w:eastAsia="宋体" w:cs="宋体"/>
                <w:color w:val="000000"/>
                <w:sz w:val="24"/>
                <w:szCs w:val="24"/>
              </w:rPr>
            </w:pPr>
          </w:p>
        </w:tc>
      </w:tr>
      <w:tr w14:paraId="69932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191CC864">
            <w:pPr>
              <w:shd w:val="clear"/>
              <w:spacing w:line="420" w:lineRule="exact"/>
              <w:jc w:val="center"/>
              <w:rPr>
                <w:rFonts w:eastAsia="宋体" w:cs="宋体"/>
                <w:color w:val="000000"/>
                <w:sz w:val="24"/>
                <w:szCs w:val="24"/>
              </w:rPr>
            </w:pPr>
            <w:r>
              <w:rPr>
                <w:rFonts w:hint="eastAsia" w:eastAsia="宋体" w:cs="宋体"/>
                <w:color w:val="000000"/>
                <w:sz w:val="24"/>
                <w:szCs w:val="24"/>
              </w:rPr>
              <w:t>……</w:t>
            </w:r>
          </w:p>
        </w:tc>
        <w:tc>
          <w:tcPr>
            <w:tcW w:w="1243" w:type="dxa"/>
            <w:vAlign w:val="center"/>
          </w:tcPr>
          <w:p w14:paraId="00405137">
            <w:pPr>
              <w:shd w:val="clear"/>
              <w:spacing w:line="420" w:lineRule="exact"/>
              <w:jc w:val="center"/>
              <w:rPr>
                <w:rFonts w:eastAsia="宋体" w:cs="宋体"/>
                <w:color w:val="000000"/>
                <w:sz w:val="24"/>
                <w:szCs w:val="24"/>
              </w:rPr>
            </w:pPr>
          </w:p>
        </w:tc>
        <w:tc>
          <w:tcPr>
            <w:tcW w:w="1599" w:type="dxa"/>
            <w:vAlign w:val="center"/>
          </w:tcPr>
          <w:p w14:paraId="3E7856E4">
            <w:pPr>
              <w:shd w:val="clear"/>
              <w:spacing w:line="420" w:lineRule="exact"/>
              <w:jc w:val="center"/>
              <w:rPr>
                <w:rFonts w:eastAsia="宋体" w:cs="宋体"/>
                <w:color w:val="000000"/>
                <w:sz w:val="24"/>
                <w:szCs w:val="24"/>
              </w:rPr>
            </w:pPr>
          </w:p>
        </w:tc>
        <w:tc>
          <w:tcPr>
            <w:tcW w:w="1767" w:type="dxa"/>
            <w:vAlign w:val="center"/>
          </w:tcPr>
          <w:p w14:paraId="29AA2D3E">
            <w:pPr>
              <w:shd w:val="clear"/>
              <w:spacing w:line="420" w:lineRule="exact"/>
              <w:jc w:val="center"/>
              <w:rPr>
                <w:rFonts w:eastAsia="宋体" w:cs="宋体"/>
                <w:color w:val="000000"/>
                <w:sz w:val="24"/>
                <w:szCs w:val="24"/>
              </w:rPr>
            </w:pPr>
          </w:p>
        </w:tc>
        <w:tc>
          <w:tcPr>
            <w:tcW w:w="2019" w:type="dxa"/>
            <w:vAlign w:val="center"/>
          </w:tcPr>
          <w:p w14:paraId="00965F2C">
            <w:pPr>
              <w:shd w:val="clear"/>
              <w:spacing w:line="420" w:lineRule="exact"/>
              <w:jc w:val="center"/>
              <w:rPr>
                <w:rFonts w:eastAsia="宋体" w:cs="宋体"/>
                <w:color w:val="000000"/>
                <w:sz w:val="24"/>
                <w:szCs w:val="24"/>
              </w:rPr>
            </w:pPr>
          </w:p>
        </w:tc>
        <w:tc>
          <w:tcPr>
            <w:tcW w:w="1363" w:type="dxa"/>
            <w:vAlign w:val="center"/>
          </w:tcPr>
          <w:p w14:paraId="23CDBE94">
            <w:pPr>
              <w:shd w:val="clear"/>
              <w:spacing w:line="420" w:lineRule="exact"/>
              <w:jc w:val="center"/>
              <w:rPr>
                <w:rFonts w:eastAsia="宋体" w:cs="宋体"/>
                <w:color w:val="000000"/>
                <w:sz w:val="24"/>
                <w:szCs w:val="24"/>
              </w:rPr>
            </w:pPr>
          </w:p>
        </w:tc>
        <w:tc>
          <w:tcPr>
            <w:tcW w:w="809" w:type="dxa"/>
            <w:vAlign w:val="center"/>
          </w:tcPr>
          <w:p w14:paraId="2714F1F6">
            <w:pPr>
              <w:shd w:val="clear"/>
              <w:spacing w:line="420" w:lineRule="exact"/>
              <w:jc w:val="center"/>
              <w:rPr>
                <w:rFonts w:eastAsia="宋体" w:cs="宋体"/>
                <w:color w:val="000000"/>
                <w:sz w:val="24"/>
                <w:szCs w:val="24"/>
              </w:rPr>
            </w:pPr>
          </w:p>
        </w:tc>
      </w:tr>
    </w:tbl>
    <w:p w14:paraId="4C474511">
      <w:pPr>
        <w:shd w:val="clear"/>
        <w:spacing w:line="420" w:lineRule="exact"/>
        <w:ind w:firstLine="485"/>
        <w:rPr>
          <w:rFonts w:eastAsia="宋体" w:cs="宋体"/>
          <w:color w:val="000000"/>
          <w:sz w:val="24"/>
          <w:szCs w:val="24"/>
        </w:rPr>
      </w:pPr>
      <w:r>
        <w:rPr>
          <w:rFonts w:hint="eastAsia" w:eastAsia="宋体" w:cs="宋体"/>
          <w:color w:val="000000"/>
          <w:sz w:val="24"/>
          <w:szCs w:val="24"/>
        </w:rPr>
        <w:t>注：</w:t>
      </w:r>
    </w:p>
    <w:p w14:paraId="65317AFC">
      <w:pPr>
        <w:shd w:val="clear"/>
        <w:spacing w:line="420" w:lineRule="exact"/>
        <w:ind w:firstLine="485"/>
        <w:rPr>
          <w:rFonts w:eastAsia="宋体" w:cs="宋体"/>
          <w:color w:val="000000"/>
          <w:sz w:val="24"/>
          <w:szCs w:val="24"/>
        </w:rPr>
      </w:pPr>
      <w:r>
        <w:rPr>
          <w:rFonts w:hint="eastAsia" w:eastAsia="宋体" w:cs="宋体"/>
          <w:color w:val="000000"/>
          <w:sz w:val="24"/>
          <w:szCs w:val="24"/>
        </w:rPr>
        <w:t>①公开招标响应供应商应对照公开招标文件第三章项目需求内的要求，逐一填写。</w:t>
      </w:r>
    </w:p>
    <w:p w14:paraId="3647FF46">
      <w:pPr>
        <w:shd w:val="clear"/>
        <w:spacing w:line="420" w:lineRule="exact"/>
        <w:ind w:firstLine="485"/>
        <w:rPr>
          <w:rFonts w:eastAsia="宋体" w:cs="宋体"/>
          <w:color w:val="000000"/>
          <w:sz w:val="24"/>
          <w:szCs w:val="24"/>
        </w:rPr>
      </w:pPr>
      <w:r>
        <w:rPr>
          <w:rFonts w:hint="eastAsia" w:eastAsia="宋体" w:cs="宋体"/>
          <w:color w:val="000000"/>
          <w:sz w:val="24"/>
          <w:szCs w:val="24"/>
        </w:rPr>
        <w:t>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p>
    <w:p w14:paraId="0318DF39">
      <w:pPr>
        <w:shd w:val="clear"/>
        <w:spacing w:line="420" w:lineRule="exact"/>
        <w:ind w:firstLine="485"/>
        <w:rPr>
          <w:rFonts w:eastAsia="宋体" w:cs="宋体"/>
          <w:color w:val="000000"/>
          <w:sz w:val="24"/>
          <w:szCs w:val="24"/>
        </w:rPr>
      </w:pPr>
      <w:r>
        <w:rPr>
          <w:rFonts w:hint="eastAsia" w:eastAsia="宋体" w:cs="宋体"/>
          <w:color w:val="000000"/>
          <w:sz w:val="24"/>
          <w:szCs w:val="24"/>
        </w:rPr>
        <w:t>③该表不作为公开招标响应供应商对项目需求产品技术要求等的详细描述和说明的替代。</w:t>
      </w:r>
    </w:p>
    <w:p w14:paraId="6C38496C">
      <w:pPr>
        <w:shd w:val="clear"/>
        <w:spacing w:line="420" w:lineRule="exact"/>
        <w:ind w:firstLine="485"/>
        <w:rPr>
          <w:rFonts w:eastAsia="宋体" w:cs="宋体"/>
          <w:color w:val="000000"/>
          <w:sz w:val="24"/>
          <w:szCs w:val="24"/>
        </w:rPr>
      </w:pPr>
      <w:r>
        <w:rPr>
          <w:rFonts w:hint="eastAsia" w:eastAsia="宋体" w:cs="宋体"/>
          <w:color w:val="000000"/>
          <w:sz w:val="24"/>
          <w:szCs w:val="24"/>
        </w:rPr>
        <w:t>④公开招标响应供应商如果虚假响应，将承担一切可能的风险。</w:t>
      </w:r>
    </w:p>
    <w:p w14:paraId="4665AB86">
      <w:pPr>
        <w:shd w:val="clear"/>
        <w:spacing w:line="420" w:lineRule="exact"/>
        <w:ind w:firstLine="485"/>
        <w:rPr>
          <w:rFonts w:eastAsia="宋体" w:cs="宋体"/>
          <w:color w:val="000000"/>
          <w:sz w:val="24"/>
          <w:szCs w:val="24"/>
        </w:rPr>
      </w:pPr>
      <w:r>
        <w:rPr>
          <w:rFonts w:hint="eastAsia" w:eastAsia="宋体" w:cs="宋体"/>
          <w:color w:val="000000"/>
          <w:sz w:val="24"/>
          <w:szCs w:val="24"/>
        </w:rPr>
        <w:t>⑤所投品牌型号，必须确定、唯一。</w:t>
      </w:r>
    </w:p>
    <w:p w14:paraId="457204D4">
      <w:pPr>
        <w:shd w:val="clear"/>
        <w:spacing w:line="420" w:lineRule="exact"/>
        <w:ind w:firstLine="485"/>
        <w:rPr>
          <w:rFonts w:eastAsia="宋体" w:cs="宋体"/>
          <w:color w:val="000000"/>
          <w:sz w:val="24"/>
          <w:szCs w:val="24"/>
        </w:rPr>
      </w:pPr>
    </w:p>
    <w:p w14:paraId="423007FE">
      <w:pPr>
        <w:shd w:val="clear"/>
        <w:snapToGrid w:val="0"/>
        <w:spacing w:line="360" w:lineRule="auto"/>
        <w:jc w:val="right"/>
        <w:outlineLvl w:val="4"/>
        <w:rPr>
          <w:rFonts w:hint="eastAsia" w:ascii="宋体" w:hAnsi="宋体" w:eastAsia="宋体" w:cs="宋体"/>
          <w:bCs/>
          <w:sz w:val="24"/>
        </w:rPr>
      </w:pPr>
      <w:r>
        <w:rPr>
          <w:rFonts w:hint="eastAsia" w:ascii="宋体" w:hAnsi="宋体" w:eastAsia="宋体" w:cs="宋体"/>
          <w:bCs/>
          <w:sz w:val="24"/>
        </w:rPr>
        <w:t xml:space="preserve">投标人（加盖CA电子签章）： </w:t>
      </w:r>
    </w:p>
    <w:p w14:paraId="47AF5FFC">
      <w:pPr>
        <w:shd w:val="clear"/>
        <w:snapToGrid w:val="0"/>
        <w:spacing w:line="360" w:lineRule="auto"/>
        <w:jc w:val="right"/>
        <w:outlineLvl w:val="4"/>
        <w:rPr>
          <w:rFonts w:hint="eastAsia"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2E020FAE">
      <w:pPr>
        <w:shd w:val="clear"/>
        <w:spacing w:line="420" w:lineRule="exact"/>
        <w:jc w:val="right"/>
        <w:rPr>
          <w:rFonts w:hint="eastAsia" w:ascii="宋体" w:hAnsi="宋体" w:eastAsia="宋体" w:cs="宋体"/>
          <w:bCs/>
          <w:sz w:val="24"/>
          <w:lang w:val="zh-CN"/>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1F9A6A0C">
      <w:pPr>
        <w:shd w:val="clear"/>
        <w:spacing w:line="420" w:lineRule="exact"/>
        <w:jc w:val="right"/>
        <w:rPr>
          <w:rFonts w:hint="eastAsia" w:ascii="宋体" w:hAnsi="宋体" w:eastAsia="宋体" w:cs="宋体"/>
          <w:bCs/>
          <w:sz w:val="24"/>
          <w:lang w:val="zh-CN"/>
        </w:rPr>
      </w:pPr>
    </w:p>
    <w:p w14:paraId="0D80C38B">
      <w:pPr>
        <w:shd w:val="clear"/>
        <w:rPr>
          <w:rFonts w:hint="eastAsia" w:ascii="宋体" w:hAnsi="宋体" w:eastAsia="宋体" w:cs="宋体"/>
          <w:bCs/>
          <w:sz w:val="24"/>
          <w:lang w:val="zh-CN"/>
        </w:rPr>
      </w:pPr>
      <w:r>
        <w:rPr>
          <w:rFonts w:hint="eastAsia" w:ascii="宋体" w:hAnsi="宋体" w:eastAsia="宋体" w:cs="宋体"/>
          <w:bCs/>
          <w:sz w:val="24"/>
          <w:lang w:val="zh-CN"/>
        </w:rPr>
        <w:br w:type="page"/>
      </w:r>
    </w:p>
    <w:p w14:paraId="1352D014">
      <w:pPr>
        <w:widowControl/>
        <w:shd w:val="clear"/>
        <w:spacing w:line="360" w:lineRule="auto"/>
        <w:jc w:val="left"/>
        <w:rPr>
          <w:rFonts w:hint="eastAsia" w:eastAsia="宋体" w:cs="宋体"/>
          <w:b/>
          <w:bCs/>
          <w:color w:val="000000"/>
          <w:sz w:val="24"/>
          <w:szCs w:val="21"/>
        </w:rPr>
      </w:pPr>
      <w:r>
        <w:rPr>
          <w:rFonts w:hint="eastAsia" w:eastAsia="宋体" w:cs="宋体"/>
          <w:b/>
          <w:bCs/>
          <w:color w:val="000000"/>
          <w:sz w:val="24"/>
          <w:szCs w:val="21"/>
        </w:rPr>
        <w:t>附件1</w:t>
      </w:r>
      <w:r>
        <w:rPr>
          <w:rFonts w:hint="eastAsia" w:eastAsia="宋体" w:cs="宋体"/>
          <w:b/>
          <w:bCs/>
          <w:color w:val="000000"/>
          <w:sz w:val="24"/>
          <w:szCs w:val="21"/>
          <w:lang w:val="en-US" w:eastAsia="zh-CN"/>
        </w:rPr>
        <w:t>5</w:t>
      </w:r>
      <w:r>
        <w:rPr>
          <w:rFonts w:hint="eastAsia" w:eastAsia="宋体" w:cs="宋体"/>
          <w:b/>
          <w:bCs/>
          <w:color w:val="000000"/>
          <w:sz w:val="24"/>
          <w:szCs w:val="21"/>
        </w:rPr>
        <w:t>：</w:t>
      </w:r>
    </w:p>
    <w:p w14:paraId="044A704F">
      <w:pPr>
        <w:widowControl/>
        <w:shd w:val="clear"/>
        <w:spacing w:line="360" w:lineRule="auto"/>
        <w:jc w:val="center"/>
        <w:rPr>
          <w:rFonts w:hint="eastAsia" w:eastAsia="宋体" w:cs="宋体"/>
          <w:b/>
          <w:bCs/>
          <w:color w:val="000000"/>
          <w:sz w:val="28"/>
          <w:szCs w:val="28"/>
        </w:rPr>
      </w:pPr>
      <w:r>
        <w:rPr>
          <w:rFonts w:hint="eastAsia" w:eastAsia="宋体" w:cs="宋体"/>
          <w:b/>
          <w:bCs/>
          <w:color w:val="000000"/>
          <w:sz w:val="28"/>
          <w:szCs w:val="28"/>
        </w:rPr>
        <w:t>关于符合本国产品标准的声明函</w:t>
      </w:r>
    </w:p>
    <w:p w14:paraId="24C62F66">
      <w:pPr>
        <w:shd w:val="clear"/>
        <w:spacing w:line="380" w:lineRule="exact"/>
        <w:ind w:firstLine="480"/>
        <w:rPr>
          <w:shd w:val="clear" w:fill="FFFFFF"/>
        </w:rPr>
      </w:pPr>
    </w:p>
    <w:p w14:paraId="3DD5ED79">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shd w:val="clear" w:fill="FFFFFF"/>
        </w:rPr>
        <w:t> </w:t>
      </w: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23C17AAA">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37BA0FF1">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24948061">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w:t>
      </w:r>
    </w:p>
    <w:p w14:paraId="18E9C7D0">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本公司（单位）对上述声明内容的真实性负责。如有虚假，愿承担相应法律责任。</w:t>
      </w:r>
    </w:p>
    <w:p w14:paraId="76EE0A94">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shd w:val="clear" w:fill="FFFFFF"/>
        </w:rPr>
        <w:t> </w:t>
      </w:r>
    </w:p>
    <w:p w14:paraId="1C00CB40">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 xml:space="preserve">   公司（单位）名称（加盖CA电子公章）：         </w:t>
      </w:r>
    </w:p>
    <w:p w14:paraId="42EB4C92">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shd w:val="clear" w:fill="FFFFFF"/>
        </w:rPr>
        <w:t xml:space="preserve">日期：      年   月   日         </w:t>
      </w:r>
    </w:p>
    <w:p w14:paraId="1FA98A1A">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w:t>
      </w:r>
    </w:p>
    <w:p w14:paraId="724C0015">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color w:val="000000"/>
          <w:sz w:val="24"/>
          <w:szCs w:val="24"/>
          <w:shd w:val="clear" w:fill="FFFFFF"/>
        </w:rPr>
        <w:t>_________________</w:t>
      </w:r>
    </w:p>
    <w:p w14:paraId="567D75A6">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1.产品如有型号，请在“产品名称”栏一并填写。</w:t>
      </w:r>
    </w:p>
    <w:p w14:paraId="1B8988CD">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2.生产厂名与厂址应与生产厂营业执照载明的相关信息保持一致。</w:t>
      </w:r>
    </w:p>
    <w:p w14:paraId="66230B1E">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088ED787">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4.该产品的关键组件要求实施前，“关键组件”栏可不填，下同。</w:t>
      </w:r>
    </w:p>
    <w:p w14:paraId="3B91E4D8">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5.该产品的关键工序要求实施前，“关键工序”栏可不填，下同。</w:t>
      </w:r>
    </w:p>
    <w:p w14:paraId="17DF712B">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eastAsia="宋体" w:cs="宋体"/>
          <w:b/>
          <w:bCs/>
          <w:color w:val="000000"/>
          <w:sz w:val="24"/>
          <w:szCs w:val="21"/>
        </w:rPr>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19DB7C54">
      <w:pPr>
        <w:shd w:val="clear"/>
        <w:spacing w:line="420" w:lineRule="exact"/>
        <w:jc w:val="right"/>
        <w:rPr>
          <w:rFonts w:hint="eastAsia" w:ascii="宋体" w:hAnsi="宋体" w:eastAsia="宋体" w:cs="宋体"/>
          <w:bCs/>
          <w:sz w:val="24"/>
          <w:lang w:val="zh-CN"/>
        </w:rPr>
      </w:pPr>
    </w:p>
    <w:p w14:paraId="2020447B">
      <w:pPr>
        <w:widowControl/>
        <w:shd w:val="clear"/>
        <w:ind w:firstLine="482"/>
        <w:jc w:val="left"/>
        <w:rPr>
          <w:rFonts w:eastAsia="宋体" w:cs="宋体"/>
          <w:b/>
          <w:bCs/>
          <w:color w:val="000000"/>
          <w:sz w:val="24"/>
          <w:szCs w:val="21"/>
        </w:rPr>
      </w:pPr>
    </w:p>
    <w:p w14:paraId="60873B8B">
      <w:pPr>
        <w:widowControl/>
        <w:shd w:val="clear"/>
        <w:jc w:val="left"/>
        <w:rPr>
          <w:rFonts w:hint="eastAsia" w:ascii="宋体" w:hAnsi="宋体" w:eastAsia="宋体" w:cs="宋体"/>
        </w:rPr>
      </w:pPr>
    </w:p>
    <w:sectPr>
      <w:headerReference r:id="rId10" w:type="first"/>
      <w:footerReference r:id="rId12" w:type="first"/>
      <w:headerReference r:id="rId9" w:type="default"/>
      <w:footerReference r:id="rId11" w:type="default"/>
      <w:pgSz w:w="11906" w:h="16838"/>
      <w:pgMar w:top="1588" w:right="1418" w:bottom="1418" w:left="170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2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swiss"/>
    <w:pitch w:val="default"/>
    <w:sig w:usb0="00000000" w:usb1="00000000" w:usb2="00000009" w:usb3="00000000" w:csb0="200001FF" w:csb1="00000000"/>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84C71">
    <w:pPr>
      <w:pStyle w:val="2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85</w:t>
    </w:r>
    <w:r>
      <w:rPr>
        <w:b/>
        <w:sz w:val="24"/>
        <w:szCs w:val="24"/>
      </w:rPr>
      <w:fldChar w:fldCharType="end"/>
    </w:r>
  </w:p>
  <w:p w14:paraId="2E494712">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72D83">
    <w:pPr>
      <w:pStyle w:val="22"/>
      <w:framePr w:wrap="around" w:vAnchor="text" w:hAnchor="margin" w:xAlign="right" w:y="1"/>
      <w:rPr>
        <w:rStyle w:val="23"/>
      </w:rPr>
    </w:pPr>
    <w:r>
      <w:fldChar w:fldCharType="begin"/>
    </w:r>
    <w:r>
      <w:rPr>
        <w:rStyle w:val="23"/>
      </w:rPr>
      <w:instrText xml:space="preserve">PAGE  </w:instrText>
    </w:r>
    <w:r>
      <w:fldChar w:fldCharType="end"/>
    </w:r>
  </w:p>
  <w:p w14:paraId="23A9F04E">
    <w:pPr>
      <w:pStyle w:val="2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893FB">
    <w:pPr>
      <w:pStyle w:val="2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85</w:t>
    </w:r>
    <w:r>
      <w:rPr>
        <w:b/>
        <w:sz w:val="24"/>
        <w:szCs w:val="24"/>
      </w:rPr>
      <w:fldChar w:fldCharType="end"/>
    </w:r>
    <w:r>
      <w:rPr>
        <w:rFonts w:hint="eastAsia"/>
        <w:b/>
        <w:sz w:val="24"/>
        <w:szCs w:val="24"/>
      </w:rPr>
      <w:t xml:space="preserve"> </w:t>
    </w:r>
  </w:p>
  <w:p w14:paraId="0561C753">
    <w:pPr>
      <w:pStyle w:val="2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52808">
    <w:pPr>
      <w:pStyle w:val="22"/>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85</w:t>
    </w:r>
    <w:r>
      <w:rPr>
        <w:b/>
        <w:sz w:val="24"/>
        <w:szCs w:val="24"/>
      </w:rPr>
      <w:fldChar w:fldCharType="end"/>
    </w:r>
  </w:p>
  <w:p w14:paraId="1FED925A"/>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B8BB2">
    <w:pPr>
      <w:pStyle w:val="22"/>
      <w:ind w:right="18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22350" cy="189230"/>
                      </a:xfrm>
                      <a:prstGeom prst="rect">
                        <a:avLst/>
                      </a:prstGeom>
                      <a:noFill/>
                      <a:ln>
                        <a:noFill/>
                      </a:ln>
                    </wps:spPr>
                    <wps:txbx>
                      <w:txbxContent>
                        <w:p w14:paraId="4F846EC0">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rPr>
                              <w:sz w:val="18"/>
                            </w:rPr>
                            <w:fldChar w:fldCharType="begin"/>
                          </w:r>
                          <w:r>
                            <w:rPr>
                              <w:sz w:val="18"/>
                            </w:rPr>
                            <w:instrText xml:space="preserve">NUMPAGES \* MERGEFORMAT</w:instrText>
                          </w:r>
                          <w:r>
                            <w:rPr>
                              <w:sz w:val="18"/>
                            </w:rPr>
                            <w:fldChar w:fldCharType="separate"/>
                          </w:r>
                          <w:r>
                            <w:rPr>
                              <w:sz w:val="18"/>
                            </w:rPr>
                            <w:t>66</w:t>
                          </w:r>
                          <w:r>
                            <w:rPr>
                              <w:sz w:val="18"/>
                            </w:rPr>
                            <w:fldChar w:fldCharType="end"/>
                          </w:r>
                          <w:r>
                            <w:rPr>
                              <w:rFonts w:hint="eastAsia"/>
                              <w:sz w:val="18"/>
                            </w:rPr>
                            <w:t xml:space="preserve"> 页</w:t>
                          </w:r>
                        </w:p>
                        <w:p w14:paraId="269990CC"/>
                        <w:p w14:paraId="6C549BCD"/>
                      </w:txbxContent>
                    </wps:txbx>
                    <wps:bodyPr wrap="square" lIns="0" tIns="0" rIns="0" bIns="0" upright="1"/>
                  </wps:wsp>
                </a:graphicData>
              </a:graphic>
            </wp:anchor>
          </w:drawing>
        </mc:Choice>
        <mc:Fallback>
          <w:pict>
            <v:shape id="_x0000_s1026" o:spid="_x0000_s1026" o:spt="202" type="#_x0000_t202" style="position:absolute;left:0pt;margin-top:0pt;height:14.9pt;width:80.5pt;mso-position-horizontal:center;mso-position-horizontal-relative:margin;z-index:251659264;mso-width-relative:page;mso-height-relative:page;" filled="f" stroked="f" coordsize="21600,21600" o:gfxdata="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3Ue9PTAAAABAEAAA8AAAAAAAAAAQAgAAAAIgAAAGRycy9k&#10;b3ducmV2LnhtbFBLAQIUABQAAAAIAIdO4kBG6pyhzgEAAI4DAAAOAAAAAAAAAAEAIAAAACIBAABk&#10;cnMvZTJvRG9jLnhtbFBLBQYAAAAABgAGAFkBAABiBQAAAAA=&#10;">
              <v:fill on="f" focussize="0,0"/>
              <v:stroke on="f"/>
              <v:imagedata o:title=""/>
              <o:lock v:ext="edit" aspectratio="f"/>
              <v:textbox inset="0mm,0mm,0mm,0mm">
                <w:txbxContent>
                  <w:p w14:paraId="4F846EC0">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rPr>
                        <w:sz w:val="18"/>
                      </w:rPr>
                      <w:fldChar w:fldCharType="begin"/>
                    </w:r>
                    <w:r>
                      <w:rPr>
                        <w:sz w:val="18"/>
                      </w:rPr>
                      <w:instrText xml:space="preserve">NUMPAGES \* MERGEFORMAT</w:instrText>
                    </w:r>
                    <w:r>
                      <w:rPr>
                        <w:sz w:val="18"/>
                      </w:rPr>
                      <w:fldChar w:fldCharType="separate"/>
                    </w:r>
                    <w:r>
                      <w:rPr>
                        <w:sz w:val="18"/>
                      </w:rPr>
                      <w:t>66</w:t>
                    </w:r>
                    <w:r>
                      <w:rPr>
                        <w:sz w:val="18"/>
                      </w:rPr>
                      <w:fldChar w:fldCharType="end"/>
                    </w:r>
                    <w:r>
                      <w:rPr>
                        <w:rFonts w:hint="eastAsia"/>
                        <w:sz w:val="18"/>
                      </w:rPr>
                      <w:t xml:space="preserve"> 页</w:t>
                    </w:r>
                  </w:p>
                  <w:p w14:paraId="269990CC"/>
                  <w:p w14:paraId="6C549BCD"/>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26771">
    <w:pPr>
      <w:pStyle w:val="21"/>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47768">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8F8B8">
    <w:pPr>
      <w:pStyle w:val="21"/>
      <w:pBdr>
        <w:bottom w:val="none" w:color="000000"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012C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31D57">
    <w:pPr>
      <w:tabs>
        <w:tab w:val="left" w:pos="6300"/>
      </w:tabs>
      <w:spacing w:line="300" w:lineRule="auto"/>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FF897"/>
    <w:multiLevelType w:val="singleLevel"/>
    <w:tmpl w:val="8F9FF897"/>
    <w:lvl w:ilvl="0" w:tentative="0">
      <w:start w:val="1"/>
      <w:numFmt w:val="decimalEnclosedCircleChinese"/>
      <w:suff w:val="nothing"/>
      <w:lvlText w:val="%1　"/>
      <w:lvlJc w:val="left"/>
      <w:pPr>
        <w:ind w:left="0" w:firstLine="400"/>
      </w:pPr>
      <w:rPr>
        <w:rFonts w:hint="eastAsia"/>
      </w:rPr>
    </w:lvl>
  </w:abstractNum>
  <w:abstractNum w:abstractNumId="1">
    <w:nsid w:val="D0AF848E"/>
    <w:multiLevelType w:val="multilevel"/>
    <w:tmpl w:val="D0AF848E"/>
    <w:lvl w:ilvl="0" w:tentative="0">
      <w:start w:val="1"/>
      <w:numFmt w:val="chineseCounting"/>
      <w:suff w:val="nothing"/>
      <w:lvlText w:val="%1、"/>
      <w:lvlJc w:val="left"/>
      <w:pPr>
        <w:tabs>
          <w:tab w:val="left" w:pos="0"/>
        </w:tabs>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4"/>
      <w:suff w:val="nothing"/>
      <w:lvlText w:val="（%4）"/>
      <w:lvlJc w:val="left"/>
      <w:pPr>
        <w:ind w:left="0" w:firstLine="402"/>
      </w:pPr>
      <w:rPr>
        <w:rFonts w:hint="eastAsia"/>
        <w:color w:val="auto"/>
      </w:rPr>
    </w:lvl>
    <w:lvl w:ilvl="4" w:tentative="0">
      <w:start w:val="1"/>
      <w:numFmt w:val="decimal"/>
      <w:suff w:val="nothing"/>
      <w:lvlText w:val="%5）"/>
      <w:lvlJc w:val="left"/>
      <w:pPr>
        <w:ind w:left="0" w:firstLine="402"/>
      </w:pPr>
      <w:rPr>
        <w:rFonts w:hint="eastAsia"/>
      </w:rPr>
    </w:lvl>
    <w:lvl w:ilvl="5" w:tentative="0">
      <w:start w:val="1"/>
      <w:numFmt w:val="decimalEnclosedCircleChinese"/>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3BE"/>
    <w:rsid w:val="00174A6D"/>
    <w:rsid w:val="002F2A9A"/>
    <w:rsid w:val="00310885"/>
    <w:rsid w:val="00312438"/>
    <w:rsid w:val="00441FDF"/>
    <w:rsid w:val="004600D0"/>
    <w:rsid w:val="00511FA3"/>
    <w:rsid w:val="00551A07"/>
    <w:rsid w:val="005E5C5B"/>
    <w:rsid w:val="006B7311"/>
    <w:rsid w:val="00721B71"/>
    <w:rsid w:val="00885344"/>
    <w:rsid w:val="00AC53BE"/>
    <w:rsid w:val="00B67CE2"/>
    <w:rsid w:val="00C91CA2"/>
    <w:rsid w:val="00D22DE8"/>
    <w:rsid w:val="00D50053"/>
    <w:rsid w:val="00D854AA"/>
    <w:rsid w:val="00EC575D"/>
    <w:rsid w:val="00F35FDE"/>
    <w:rsid w:val="00F858E8"/>
    <w:rsid w:val="00FC0D21"/>
    <w:rsid w:val="0110119E"/>
    <w:rsid w:val="01483505"/>
    <w:rsid w:val="01826A17"/>
    <w:rsid w:val="01883901"/>
    <w:rsid w:val="02181129"/>
    <w:rsid w:val="02C30465"/>
    <w:rsid w:val="02DF169E"/>
    <w:rsid w:val="032F2286"/>
    <w:rsid w:val="036C34DA"/>
    <w:rsid w:val="05DD06BF"/>
    <w:rsid w:val="05E97064"/>
    <w:rsid w:val="06D71A0B"/>
    <w:rsid w:val="08045760"/>
    <w:rsid w:val="081B3F09"/>
    <w:rsid w:val="082C3238"/>
    <w:rsid w:val="08847D2B"/>
    <w:rsid w:val="08D12032"/>
    <w:rsid w:val="091D4AEF"/>
    <w:rsid w:val="094C439D"/>
    <w:rsid w:val="09592E17"/>
    <w:rsid w:val="096A04BC"/>
    <w:rsid w:val="09AA4D5C"/>
    <w:rsid w:val="09F71624"/>
    <w:rsid w:val="0A4F76B2"/>
    <w:rsid w:val="0A902921"/>
    <w:rsid w:val="0AAB29FE"/>
    <w:rsid w:val="0B0E131B"/>
    <w:rsid w:val="0B790BB4"/>
    <w:rsid w:val="0B974E6D"/>
    <w:rsid w:val="0C5E25D8"/>
    <w:rsid w:val="0CA35A93"/>
    <w:rsid w:val="0CDC7AD1"/>
    <w:rsid w:val="0DE406AD"/>
    <w:rsid w:val="0E3A41D5"/>
    <w:rsid w:val="0E5232CD"/>
    <w:rsid w:val="0F30714E"/>
    <w:rsid w:val="0F621C35"/>
    <w:rsid w:val="0FF33D68"/>
    <w:rsid w:val="10127E14"/>
    <w:rsid w:val="107D3403"/>
    <w:rsid w:val="10920FBB"/>
    <w:rsid w:val="12101035"/>
    <w:rsid w:val="12885796"/>
    <w:rsid w:val="13674B86"/>
    <w:rsid w:val="139279D7"/>
    <w:rsid w:val="13957F96"/>
    <w:rsid w:val="1457489F"/>
    <w:rsid w:val="15063063"/>
    <w:rsid w:val="15C90482"/>
    <w:rsid w:val="16201DAA"/>
    <w:rsid w:val="177D3630"/>
    <w:rsid w:val="178B7998"/>
    <w:rsid w:val="18273A1C"/>
    <w:rsid w:val="18745201"/>
    <w:rsid w:val="18994B69"/>
    <w:rsid w:val="19084106"/>
    <w:rsid w:val="195A402A"/>
    <w:rsid w:val="19715731"/>
    <w:rsid w:val="19A370D2"/>
    <w:rsid w:val="19D11E91"/>
    <w:rsid w:val="1AEF6A73"/>
    <w:rsid w:val="1B2C03B3"/>
    <w:rsid w:val="1B72228E"/>
    <w:rsid w:val="1B8847D2"/>
    <w:rsid w:val="1BAF4208"/>
    <w:rsid w:val="1BC33A5C"/>
    <w:rsid w:val="1BF260EF"/>
    <w:rsid w:val="1C4A7CD9"/>
    <w:rsid w:val="1C896A53"/>
    <w:rsid w:val="1CE617B0"/>
    <w:rsid w:val="1D801E68"/>
    <w:rsid w:val="1D90796E"/>
    <w:rsid w:val="1DB26DC6"/>
    <w:rsid w:val="1DC26578"/>
    <w:rsid w:val="1E221F74"/>
    <w:rsid w:val="1EE937D9"/>
    <w:rsid w:val="1F093390"/>
    <w:rsid w:val="201900EE"/>
    <w:rsid w:val="20B41BC5"/>
    <w:rsid w:val="20EF0E4F"/>
    <w:rsid w:val="21577120"/>
    <w:rsid w:val="22E22A19"/>
    <w:rsid w:val="23C969D1"/>
    <w:rsid w:val="23DB3D90"/>
    <w:rsid w:val="243948BB"/>
    <w:rsid w:val="249F3256"/>
    <w:rsid w:val="24E862E1"/>
    <w:rsid w:val="26DD00C8"/>
    <w:rsid w:val="27232340"/>
    <w:rsid w:val="2797771A"/>
    <w:rsid w:val="283D7C94"/>
    <w:rsid w:val="28664D21"/>
    <w:rsid w:val="28A058BA"/>
    <w:rsid w:val="28A15125"/>
    <w:rsid w:val="28B83071"/>
    <w:rsid w:val="294E0E09"/>
    <w:rsid w:val="29C923E2"/>
    <w:rsid w:val="2A3873C3"/>
    <w:rsid w:val="2AAA1BA5"/>
    <w:rsid w:val="2AC1385C"/>
    <w:rsid w:val="2BA9339E"/>
    <w:rsid w:val="2C520517"/>
    <w:rsid w:val="2CB05936"/>
    <w:rsid w:val="2D3C4B1D"/>
    <w:rsid w:val="2E312AA7"/>
    <w:rsid w:val="2E582CD9"/>
    <w:rsid w:val="308C0468"/>
    <w:rsid w:val="308F44E3"/>
    <w:rsid w:val="31065A7A"/>
    <w:rsid w:val="313621ED"/>
    <w:rsid w:val="31746EE9"/>
    <w:rsid w:val="31E542D4"/>
    <w:rsid w:val="33CC638D"/>
    <w:rsid w:val="35470E02"/>
    <w:rsid w:val="357A7C98"/>
    <w:rsid w:val="35810F69"/>
    <w:rsid w:val="36301896"/>
    <w:rsid w:val="36C46BAE"/>
    <w:rsid w:val="372413FB"/>
    <w:rsid w:val="374B6987"/>
    <w:rsid w:val="37F05D99"/>
    <w:rsid w:val="38E7220B"/>
    <w:rsid w:val="38FD5968"/>
    <w:rsid w:val="390C2146"/>
    <w:rsid w:val="39C944DB"/>
    <w:rsid w:val="39E44E71"/>
    <w:rsid w:val="3B0B5DE1"/>
    <w:rsid w:val="3B12699B"/>
    <w:rsid w:val="3BA37EBC"/>
    <w:rsid w:val="3CEC29BB"/>
    <w:rsid w:val="3D1858FD"/>
    <w:rsid w:val="3D1D0DC6"/>
    <w:rsid w:val="3D9B07F4"/>
    <w:rsid w:val="3DEC4CDA"/>
    <w:rsid w:val="3EB55F52"/>
    <w:rsid w:val="3EC3774B"/>
    <w:rsid w:val="3F112FC0"/>
    <w:rsid w:val="3F75726F"/>
    <w:rsid w:val="3F7E18C4"/>
    <w:rsid w:val="3F964334"/>
    <w:rsid w:val="3FD86C91"/>
    <w:rsid w:val="40734047"/>
    <w:rsid w:val="4245747B"/>
    <w:rsid w:val="43000F6E"/>
    <w:rsid w:val="43361FA9"/>
    <w:rsid w:val="43C81360"/>
    <w:rsid w:val="43E20674"/>
    <w:rsid w:val="448E4357"/>
    <w:rsid w:val="44965F18"/>
    <w:rsid w:val="45891BDB"/>
    <w:rsid w:val="4672745B"/>
    <w:rsid w:val="47D760BA"/>
    <w:rsid w:val="48364415"/>
    <w:rsid w:val="48C26836"/>
    <w:rsid w:val="48D04E05"/>
    <w:rsid w:val="49540B94"/>
    <w:rsid w:val="495A6EFE"/>
    <w:rsid w:val="4A6C0C97"/>
    <w:rsid w:val="4AA85A47"/>
    <w:rsid w:val="4AE2683B"/>
    <w:rsid w:val="4BCE5D44"/>
    <w:rsid w:val="4BD65355"/>
    <w:rsid w:val="4BDE7972"/>
    <w:rsid w:val="4C6A199D"/>
    <w:rsid w:val="4CB15FE4"/>
    <w:rsid w:val="4D0729F7"/>
    <w:rsid w:val="4D5E3EFC"/>
    <w:rsid w:val="4D995B52"/>
    <w:rsid w:val="4DCA6198"/>
    <w:rsid w:val="4DE6441C"/>
    <w:rsid w:val="4E8A3DE2"/>
    <w:rsid w:val="4F191400"/>
    <w:rsid w:val="4F702FD7"/>
    <w:rsid w:val="4FF05EC6"/>
    <w:rsid w:val="514B3CFC"/>
    <w:rsid w:val="51BC3BEA"/>
    <w:rsid w:val="51D50E2C"/>
    <w:rsid w:val="52A336C4"/>
    <w:rsid w:val="54862E60"/>
    <w:rsid w:val="552F7491"/>
    <w:rsid w:val="55985036"/>
    <w:rsid w:val="56A87FE7"/>
    <w:rsid w:val="56EA6C38"/>
    <w:rsid w:val="57446E61"/>
    <w:rsid w:val="57BA0D74"/>
    <w:rsid w:val="5814296E"/>
    <w:rsid w:val="581D5F78"/>
    <w:rsid w:val="59804C51"/>
    <w:rsid w:val="59FD190B"/>
    <w:rsid w:val="5A9F4737"/>
    <w:rsid w:val="5B614207"/>
    <w:rsid w:val="5B8E5344"/>
    <w:rsid w:val="5C4A0E74"/>
    <w:rsid w:val="5CA02A22"/>
    <w:rsid w:val="5D2D69AC"/>
    <w:rsid w:val="5DD01BC5"/>
    <w:rsid w:val="5E597E85"/>
    <w:rsid w:val="5E7D61D2"/>
    <w:rsid w:val="5F3833E6"/>
    <w:rsid w:val="5F591D9E"/>
    <w:rsid w:val="5FD56E87"/>
    <w:rsid w:val="5FE231A1"/>
    <w:rsid w:val="613227E3"/>
    <w:rsid w:val="624C748C"/>
    <w:rsid w:val="62CD4485"/>
    <w:rsid w:val="62FA7330"/>
    <w:rsid w:val="6384309D"/>
    <w:rsid w:val="6424218B"/>
    <w:rsid w:val="64A62BA0"/>
    <w:rsid w:val="64DF4547"/>
    <w:rsid w:val="65C21C5B"/>
    <w:rsid w:val="65C751FD"/>
    <w:rsid w:val="65E4194A"/>
    <w:rsid w:val="66430FEE"/>
    <w:rsid w:val="66FD119D"/>
    <w:rsid w:val="680D18B3"/>
    <w:rsid w:val="683230C8"/>
    <w:rsid w:val="684D0A38"/>
    <w:rsid w:val="689478DF"/>
    <w:rsid w:val="6938639F"/>
    <w:rsid w:val="69AE2685"/>
    <w:rsid w:val="6AA1457D"/>
    <w:rsid w:val="6B2036AC"/>
    <w:rsid w:val="6BAA6D24"/>
    <w:rsid w:val="6CFF7C56"/>
    <w:rsid w:val="6E6C6F43"/>
    <w:rsid w:val="6ECB6264"/>
    <w:rsid w:val="6F193BC2"/>
    <w:rsid w:val="6F1E7F02"/>
    <w:rsid w:val="6F527ABA"/>
    <w:rsid w:val="701337DF"/>
    <w:rsid w:val="701960CD"/>
    <w:rsid w:val="712C4146"/>
    <w:rsid w:val="725B321B"/>
    <w:rsid w:val="7375030D"/>
    <w:rsid w:val="73B356A6"/>
    <w:rsid w:val="741C0142"/>
    <w:rsid w:val="74312486"/>
    <w:rsid w:val="7467439D"/>
    <w:rsid w:val="74EE31F1"/>
    <w:rsid w:val="75630D65"/>
    <w:rsid w:val="768B28C4"/>
    <w:rsid w:val="76EA7823"/>
    <w:rsid w:val="77514BED"/>
    <w:rsid w:val="77562203"/>
    <w:rsid w:val="77746F28"/>
    <w:rsid w:val="786D5069"/>
    <w:rsid w:val="79A94B1F"/>
    <w:rsid w:val="79C913B2"/>
    <w:rsid w:val="7BD26057"/>
    <w:rsid w:val="7DCF28D1"/>
    <w:rsid w:val="7F43083A"/>
    <w:rsid w:val="7F57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sz w:val="26"/>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4"/>
    <w:basedOn w:val="1"/>
    <w:next w:val="1"/>
    <w:unhideWhenUsed/>
    <w:qFormat/>
    <w:uiPriority w:val="9"/>
    <w:pPr>
      <w:keepNext/>
      <w:keepLines/>
      <w:numPr>
        <w:ilvl w:val="3"/>
        <w:numId w:val="1"/>
      </w:numPr>
      <w:spacing w:line="372" w:lineRule="auto"/>
      <w:ind w:firstLine="560" w:firstLineChars="200"/>
      <w:outlineLvl w:val="3"/>
    </w:pPr>
    <w:rPr>
      <w:rFonts w:asciiTheme="majorHAnsi" w:hAnsiTheme="majorHAnsi" w:eastAsiaTheme="majorEastAsia" w:cstheme="majorEastAsia"/>
      <w:b/>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Plain Text"/>
    <w:basedOn w:val="1"/>
    <w:qFormat/>
    <w:uiPriority w:val="0"/>
    <w:rPr>
      <w:rFonts w:hAnsi="Courier New"/>
      <w:sz w:val="20"/>
      <w:szCs w:val="21"/>
    </w:rPr>
  </w:style>
  <w:style w:type="paragraph" w:styleId="6">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table" w:styleId="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0">
    <w:name w:val="正文首行缩进 211"/>
    <w:basedOn w:val="11"/>
    <w:unhideWhenUsed/>
    <w:qFormat/>
    <w:uiPriority w:val="0"/>
    <w:pPr>
      <w:spacing w:line="360" w:lineRule="auto"/>
      <w:ind w:left="0"/>
      <w:jc w:val="center"/>
    </w:pPr>
    <w:rPr>
      <w:rFonts w:ascii="Times New Roman" w:eastAsia="宋体" w:cs="宋体"/>
      <w:b/>
      <w:color w:val="000000"/>
      <w:sz w:val="48"/>
      <w:szCs w:val="48"/>
    </w:rPr>
  </w:style>
  <w:style w:type="paragraph" w:customStyle="1" w:styleId="11">
    <w:name w:val="正文文本缩进11"/>
    <w:basedOn w:val="1"/>
    <w:next w:val="12"/>
    <w:qFormat/>
    <w:uiPriority w:val="0"/>
    <w:pPr>
      <w:spacing w:line="520" w:lineRule="exact"/>
      <w:ind w:left="570"/>
    </w:pPr>
    <w:rPr>
      <w:rFonts w:hint="eastAsia" w:ascii="楷体_GB2312"/>
    </w:rPr>
  </w:style>
  <w:style w:type="paragraph" w:customStyle="1" w:styleId="12">
    <w:name w:val="寄信人地址11"/>
    <w:basedOn w:val="1"/>
    <w:unhideWhenUsed/>
    <w:qFormat/>
    <w:uiPriority w:val="99"/>
    <w:rPr>
      <w:rFonts w:ascii="Arial" w:hAnsi="Arial"/>
    </w:rPr>
  </w:style>
  <w:style w:type="paragraph" w:customStyle="1" w:styleId="13">
    <w:name w:val="正文文本1"/>
    <w:basedOn w:val="1"/>
    <w:next w:val="1"/>
    <w:qFormat/>
    <w:uiPriority w:val="0"/>
    <w:pPr>
      <w:spacing w:line="400" w:lineRule="exact"/>
    </w:pPr>
    <w:rPr>
      <w:rFonts w:ascii="楷体_GB2312"/>
      <w:sz w:val="28"/>
    </w:rPr>
  </w:style>
  <w:style w:type="paragraph" w:customStyle="1" w:styleId="14">
    <w:name w:val="正文缩进1"/>
    <w:basedOn w:val="1"/>
    <w:qFormat/>
    <w:uiPriority w:val="0"/>
    <w:pPr>
      <w:spacing w:line="360" w:lineRule="auto"/>
      <w:jc w:val="center"/>
    </w:pPr>
    <w:rPr>
      <w:rFonts w:ascii="宋体" w:hAnsi="宋体" w:eastAsia="宋体"/>
      <w:b/>
      <w:sz w:val="36"/>
    </w:rPr>
  </w:style>
  <w:style w:type="character" w:customStyle="1" w:styleId="15">
    <w:name w:val="超链接1"/>
    <w:qFormat/>
    <w:uiPriority w:val="99"/>
    <w:rPr>
      <w:rFonts w:hint="default" w:ascii="Times New Roman" w:hAnsi="Times New Roman" w:eastAsia="楷体_GB2312" w:cs="Times New Roman"/>
      <w:sz w:val="26"/>
      <w:lang w:val="en-US" w:eastAsia="zh-CN" w:bidi="ar-SA"/>
    </w:rPr>
  </w:style>
  <w:style w:type="paragraph" w:customStyle="1" w:styleId="16">
    <w:name w:val="标题 211"/>
    <w:basedOn w:val="1"/>
    <w:next w:val="1"/>
    <w:qFormat/>
    <w:uiPriority w:val="0"/>
    <w:pPr>
      <w:keepNext/>
      <w:keepLines/>
      <w:jc w:val="left"/>
      <w:outlineLvl w:val="1"/>
    </w:pPr>
    <w:rPr>
      <w:rFonts w:ascii="宋体" w:hAnsi="宋体"/>
      <w:b/>
    </w:rPr>
  </w:style>
  <w:style w:type="paragraph" w:customStyle="1" w:styleId="1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8">
    <w:name w:val="null3"/>
    <w:qFormat/>
    <w:uiPriority w:val="0"/>
    <w:rPr>
      <w:rFonts w:hint="eastAsia" w:ascii="Calibri" w:hAnsi="Calibri" w:eastAsia="宋体" w:cs="Times New Roman"/>
      <w:lang w:val="en-US" w:eastAsia="zh-Hans" w:bidi="ar-SA"/>
    </w:rPr>
  </w:style>
  <w:style w:type="paragraph" w:customStyle="1" w:styleId="19">
    <w:name w:val="目录 11"/>
    <w:basedOn w:val="1"/>
    <w:next w:val="1"/>
    <w:qFormat/>
    <w:uiPriority w:val="0"/>
    <w:pPr>
      <w:jc w:val="left"/>
    </w:pPr>
    <w:rPr>
      <w:sz w:val="24"/>
    </w:rPr>
  </w:style>
  <w:style w:type="paragraph" w:customStyle="1" w:styleId="20">
    <w:name w:val="无间隔1"/>
    <w:qFormat/>
    <w:uiPriority w:val="0"/>
    <w:pPr>
      <w:widowControl w:val="0"/>
      <w:spacing w:line="300" w:lineRule="auto"/>
    </w:pPr>
    <w:rPr>
      <w:rFonts w:ascii="Times New Roman" w:hAnsi="Times New Roman" w:eastAsia="华文仿宋" w:cs="Times New Roman"/>
      <w:sz w:val="24"/>
      <w:szCs w:val="21"/>
      <w:lang w:val="en-US" w:eastAsia="zh-CN" w:bidi="ar-SA"/>
    </w:rPr>
  </w:style>
  <w:style w:type="paragraph" w:customStyle="1" w:styleId="21">
    <w:name w:val="页眉11"/>
    <w:basedOn w:val="1"/>
    <w:qFormat/>
    <w:uiPriority w:val="99"/>
    <w:pPr>
      <w:pBdr>
        <w:bottom w:val="single" w:color="000000" w:sz="6" w:space="1"/>
      </w:pBdr>
      <w:tabs>
        <w:tab w:val="center" w:pos="4153"/>
        <w:tab w:val="right" w:pos="8306"/>
      </w:tabs>
      <w:jc w:val="center"/>
    </w:pPr>
    <w:rPr>
      <w:sz w:val="18"/>
    </w:rPr>
  </w:style>
  <w:style w:type="paragraph" w:customStyle="1" w:styleId="22">
    <w:name w:val="页脚11"/>
    <w:basedOn w:val="1"/>
    <w:qFormat/>
    <w:uiPriority w:val="99"/>
    <w:pPr>
      <w:tabs>
        <w:tab w:val="center" w:pos="4153"/>
        <w:tab w:val="right" w:pos="8306"/>
      </w:tabs>
      <w:jc w:val="left"/>
    </w:pPr>
    <w:rPr>
      <w:sz w:val="18"/>
    </w:rPr>
  </w:style>
  <w:style w:type="character" w:customStyle="1" w:styleId="23">
    <w:name w:val="页码1"/>
    <w:qFormat/>
    <w:uiPriority w:val="0"/>
  </w:style>
  <w:style w:type="paragraph" w:customStyle="1" w:styleId="24">
    <w:name w:val="01、普通正文"/>
    <w:basedOn w:val="1"/>
    <w:qFormat/>
    <w:uiPriority w:val="0"/>
    <w:pPr>
      <w:tabs>
        <w:tab w:val="left" w:pos="0"/>
      </w:tabs>
      <w:wordWrap w:val="0"/>
      <w:topLinePunct/>
    </w:pPr>
    <w:rPr>
      <w:rFonts w:ascii="宋体" w:hAnsi="宋体" w:eastAsia="宋体"/>
      <w:snapToGrid w:val="0"/>
    </w:rPr>
  </w:style>
  <w:style w:type="character" w:customStyle="1" w:styleId="25">
    <w:name w:val="页眉 字符"/>
    <w:basedOn w:val="9"/>
    <w:link w:val="6"/>
    <w:qFormat/>
    <w:uiPriority w:val="0"/>
    <w:rPr>
      <w:rFonts w:eastAsia="楷体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93</Pages>
  <Words>44351</Words>
  <Characters>48342</Characters>
  <Lines>1519</Lines>
  <Paragraphs>1435</Paragraphs>
  <TotalTime>31</TotalTime>
  <ScaleCrop>false</ScaleCrop>
  <LinksUpToDate>false</LinksUpToDate>
  <CharactersWithSpaces>48760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2025-11-04T03:59:00Z</dcterms:created>
  <dc:creator>HUAWEI</dc:creator>
  <cp:lastModifiedBy>余管琦</cp:lastModifiedBy>
  <cp:lastPrinted>2026-06-09T07:05:00Z</cp:lastPrinted>
  <dcterms:modified xsi:type="dcterms:W3CDTF">2026-07-22T08:49:24Z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eyJoZGlkIjoiNzczMDFlYjNmNWE2MjNkODg5YjBlYjc2NzVlYzJiY2EiLCJ1c2VySWQiOiIzMTEyNzcyNzUifQ==</vt:lpwstr>
  </property>
  <property fmtid="{D5CDD505-2E9C-101B-9397-08002B2CF9AE}" pid="4" name="ICV">
    <vt:lpwstr>FCA5AD04F5AA45A7AE7877E75599549F_13</vt:lpwstr>
  </property>
</Properties>
</file>