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jc w:val="center"/>
        <w:rPr>
          <w:rFonts w:hint="eastAsia" w:ascii="宋体" w:hAnsi="宋体"/>
          <w:b/>
          <w:bCs/>
          <w:sz w:val="72"/>
          <w:szCs w:val="72"/>
        </w:rPr>
      </w:pPr>
      <w:r>
        <w:rPr>
          <w:rFonts w:hint="eastAsia" w:ascii="宋体" w:hAnsi="宋体"/>
          <w:b/>
          <w:bCs/>
          <w:sz w:val="72"/>
          <w:szCs w:val="72"/>
        </w:rPr>
      </w:r>
      <w:r/>
    </w:p>
    <w:p>
      <w:pPr>
        <w:pStyle w:val="915"/>
        <w:ind w:firstLine="0"/>
        <w:jc w:val="center"/>
        <w:rPr>
          <w:rStyle w:val="914"/>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15"/>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15"/>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张家港市公安局南沙派出所智能化设备采购项目</w:t>
      </w:r>
      <w:r/>
    </w:p>
    <w:p>
      <w:pPr>
        <w:pStyle w:val="915"/>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JSZC-320582-JZCG-G2026-0022</w:t>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16"/>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15"/>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7</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36"/>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17"/>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18"/>
        <w:spacing w:line="440" w:lineRule="exact"/>
        <w:rPr>
          <w:rStyle w:val="912"/>
          <w:rFonts w:hint="eastAsia" w:ascii="宋体" w:hAnsi="宋体"/>
          <w:color w:val="auto"/>
          <w:spacing w:val="7"/>
          <w:highlight w:val="none"/>
        </w:rPr>
      </w:pPr>
      <w:r>
        <w:rPr>
          <w:rFonts w:hint="eastAsia" w:ascii="宋体" w:hAnsi="宋体"/>
          <w:color w:val="auto"/>
          <w:spacing w:val="7"/>
          <w:highlight w:val="none"/>
        </w:rPr>
      </w:r>
      <w:r/>
    </w:p>
    <w:p>
      <w:pPr>
        <w:pStyle w:val="899"/>
        <w:ind w:firstLine="961"/>
        <w:jc w:val="center"/>
        <w:keepLines w:val="0"/>
        <w:keepNext w:val="0"/>
        <w:spacing w:before="0" w:after="0" w:line="580" w:lineRule="exact"/>
        <w:widowControl/>
        <w:tabs>
          <w:tab w:val="left" w:pos="0" w:leader="none"/>
        </w:tabs>
        <w:rPr>
          <w:rStyle w:val="910"/>
          <w:rFonts w:hint="eastAsia" w:ascii="华文中宋" w:hAnsi="华文中宋" w:eastAsia="华文中宋"/>
          <w:color w:val="auto"/>
          <w:sz w:val="48"/>
          <w:szCs w:val="48"/>
          <w:highlight w:val="none"/>
        </w:rPr>
      </w:pPr>
      <w:r/>
      <w:bookmarkStart w:id="2" w:name="_Toc21529"/>
      <w:r/>
      <w:bookmarkStart w:id="3" w:name="_Toc2781"/>
      <w:r>
        <w:rPr>
          <w:rStyle w:val="910"/>
          <w:rFonts w:hint="eastAsia" w:ascii="华文中宋" w:hAnsi="华文中宋" w:eastAsia="华文中宋"/>
          <w:color w:val="auto"/>
          <w:sz w:val="48"/>
          <w:szCs w:val="48"/>
          <w:highlight w:val="none"/>
        </w:rPr>
        <w:t xml:space="preserve">第一章  投标邀请</w:t>
      </w:r>
      <w:bookmarkEnd w:id="2"/>
      <w:r/>
      <w:bookmarkEnd w:id="3"/>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张家港市公安局南沙派出所智能化设备采购项目</w:t>
      </w:r>
      <w:r>
        <w:rPr>
          <w:rFonts w:hint="eastAsia" w:ascii="宋体" w:hAnsi="宋体"/>
          <w:color w:val="auto"/>
          <w:szCs w:val="24"/>
          <w:highlight w:val="none"/>
          <w:lang w:val="en-US" w:eastAsia="zh-CN"/>
        </w:rPr>
        <w:t xml:space="preserve">JSZC-320582-JZCG-G2026-0022</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08</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06</w:t>
      </w:r>
      <w:r>
        <w:rPr>
          <w:rFonts w:hint="eastAsia" w:ascii="宋体" w:hAnsi="宋体"/>
          <w:color w:val="auto"/>
          <w:szCs w:val="24"/>
          <w:highlight w:val="none"/>
        </w:rPr>
        <w:t xml:space="preserve"> 09:30（北京时间）前递交投标文件。</w:t>
      </w:r>
      <w:r/>
    </w:p>
    <w:p>
      <w:pPr>
        <w:pStyle w:val="907"/>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07"/>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12"/>
          <w:rFonts w:hint="eastAsia" w:ascii="宋体" w:hAnsi="宋体"/>
          <w:color w:val="auto"/>
          <w:spacing w:val="7"/>
          <w:sz w:val="24"/>
          <w:szCs w:val="24"/>
          <w:highlight w:val="none"/>
          <w:lang w:val="en-US"/>
        </w:rPr>
        <w:t xml:space="preserve">JSZC-320582-JZCG-G2026-0022</w:t>
      </w:r>
      <w:r/>
    </w:p>
    <w:p>
      <w:pPr>
        <w:pStyle w:val="907"/>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张家港市公安局南沙派出所智能化设备采购项目</w:t>
      </w:r>
      <w:r/>
    </w:p>
    <w:p>
      <w:pPr>
        <w:pStyle w:val="907"/>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144.6</w:t>
      </w:r>
      <w:r>
        <w:rPr>
          <w:rFonts w:hint="eastAsia" w:ascii="宋体" w:hAnsi="宋体"/>
          <w:color w:val="auto"/>
          <w:szCs w:val="24"/>
          <w:highlight w:val="none"/>
        </w:rPr>
        <w:t xml:space="preserve">万元</w:t>
      </w:r>
      <w:r/>
    </w:p>
    <w:p>
      <w:pPr>
        <w:pStyle w:val="907"/>
        <w:ind w:firstLine="480"/>
        <w:spacing w:beforeAutospacing="0" w:afterAutospacing="0" w:line="440" w:lineRule="exact"/>
        <w:widowControl/>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最高限价（如有）：</w:t>
      </w:r>
      <w:bookmarkStart w:id="6" w:name="OLE_LINK19"/>
      <w:r>
        <w:rPr>
          <w:rFonts w:hint="eastAsia" w:ascii="宋体" w:hAnsi="宋体"/>
          <w:color w:val="auto"/>
          <w:szCs w:val="24"/>
          <w:highlight w:val="none"/>
          <w:lang w:val="en-US" w:eastAsia="zh-CN"/>
        </w:rPr>
        <w:t xml:space="preserve">144.6万</w:t>
      </w:r>
      <w:bookmarkEnd w:id="6"/>
      <w:r>
        <w:rPr>
          <w:rFonts w:hint="eastAsia" w:ascii="宋体" w:hAnsi="宋体"/>
          <w:color w:val="auto"/>
          <w:szCs w:val="24"/>
          <w:highlight w:val="none"/>
          <w:lang w:val="en-US" w:eastAsia="zh-CN"/>
        </w:rPr>
        <w:t xml:space="preserve">元</w:t>
      </w:r>
      <w:bookmarkEnd w:id="5"/>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7" w:name="OLE_LINK24"/>
      <w:r/>
      <w:bookmarkStart w:id="8" w:name="OLE_LINK18"/>
      <w:r>
        <w:rPr>
          <w:rFonts w:hint="eastAsia" w:ascii="宋体" w:hAnsi="宋体"/>
          <w:color w:val="auto"/>
          <w:sz w:val="24"/>
          <w:szCs w:val="24"/>
          <w:highlight w:val="none"/>
          <w:lang w:val="en-US" w:eastAsia="zh-CN"/>
        </w:rPr>
        <w:t xml:space="preserve">南沙派出所现需采购智能化设备一批，用于派出所安防建设、内部网络搭建、执法规范化监督、信息发布公开等，助力提升南沙派出所的执法效率，优化资源配置，增强安全保障和推动警务现代化的目标，助推公安工作飞速发展，孕育更加高效、更加便捷、更加有力的公安战斗力。</w:t>
      </w:r>
      <w:bookmarkEnd w:id="7"/>
      <w:r/>
      <w:bookmarkEnd w:id="8"/>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9" w:name="OLE_LINK25"/>
      <w:r/>
      <w:bookmarkStart w:id="10" w:name="OLE_LINK20"/>
      <w:r>
        <w:rPr>
          <w:rFonts w:hint="eastAsia" w:ascii="宋体" w:hAnsi="宋体"/>
          <w:color w:val="auto"/>
          <w:sz w:val="24"/>
          <w:szCs w:val="24"/>
          <w:highlight w:val="none"/>
        </w:rPr>
        <w:t xml:space="preserve">合同签订生效后1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0日内供货安装调试结束。遇不可抗力原因需延迟交货的，经采购人同意后可适当延期。</w:t>
      </w:r>
      <w:bookmarkEnd w:id="9"/>
      <w:r/>
      <w:bookmarkEnd w:id="10"/>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二、申请人的资格要求</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四、提交投标文件截止时间、开标时间和地点</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08</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06 </w:t>
      </w:r>
      <w:r>
        <w:rPr>
          <w:rFonts w:hint="eastAsia" w:ascii="宋体" w:hAnsi="宋体"/>
          <w:color w:val="auto"/>
          <w:szCs w:val="24"/>
          <w:highlight w:val="none"/>
        </w:rPr>
        <w:t xml:space="preserve"> 09:30（北京时间）</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五、公告期限</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六、其他补充事宜</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07"/>
        <w:ind w:firstLine="482"/>
        <w:spacing w:beforeAutospacing="0" w:afterAutospacing="0" w:line="440" w:lineRule="exact"/>
        <w:widowControl/>
        <w:rPr>
          <w:rStyle w:val="910"/>
          <w:rFonts w:hint="eastAsia" w:ascii="宋体" w:hAnsi="宋体"/>
          <w:color w:val="auto"/>
          <w:szCs w:val="24"/>
          <w:highlight w:val="none"/>
        </w:rPr>
      </w:pPr>
      <w:r>
        <w:rPr>
          <w:rStyle w:val="910"/>
          <w:rFonts w:hint="eastAsia" w:ascii="宋体" w:hAnsi="宋体"/>
          <w:color w:val="auto"/>
          <w:szCs w:val="24"/>
          <w:highlight w:val="none"/>
        </w:rPr>
        <w:t xml:space="preserve">七、对本次招标提出询问，请按以下方式联系</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单位名称：江苏省张家港保税区政法和社会管理办公室</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单位地址：张家港市保税区长江中路1002号</w:t>
      </w:r>
      <w:r/>
    </w:p>
    <w:p>
      <w:pPr>
        <w:pStyle w:val="907"/>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齐欣</w:t>
      </w:r>
      <w:r/>
    </w:p>
    <w:p>
      <w:pPr>
        <w:pStyle w:val="907"/>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val="en-US" w:eastAsia="zh-CN"/>
        </w:rPr>
        <w:t xml:space="preserve">13915712339</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07"/>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18"/>
        <w:ind w:firstLine="500"/>
        <w:spacing w:line="440" w:lineRule="exact"/>
        <w:rPr>
          <w:rStyle w:val="912"/>
          <w:rFonts w:hint="eastAsia" w:ascii="宋体" w:hAnsi="宋体"/>
          <w:color w:val="auto"/>
          <w:spacing w:val="7"/>
          <w:highlight w:val="none"/>
        </w:rPr>
      </w:pPr>
      <w:r>
        <w:rPr>
          <w:rFonts w:hint="eastAsia" w:ascii="宋体" w:hAnsi="宋体"/>
          <w:color w:val="auto"/>
          <w:spacing w:val="7"/>
          <w:highlight w:val="none"/>
        </w:rPr>
      </w:r>
      <w:r/>
    </w:p>
    <w:p>
      <w:pPr>
        <w:pStyle w:val="918"/>
        <w:ind w:firstLine="500"/>
        <w:spacing w:line="440" w:lineRule="exact"/>
        <w:rPr>
          <w:rStyle w:val="912"/>
          <w:rFonts w:hint="eastAsia" w:ascii="宋体" w:hAnsi="宋体"/>
          <w:color w:val="auto"/>
          <w:spacing w:val="7"/>
          <w:highlight w:val="none"/>
        </w:rPr>
      </w:pPr>
      <w:r>
        <w:rPr>
          <w:rFonts w:hint="eastAsia" w:ascii="宋体" w:hAnsi="宋体"/>
          <w:color w:val="auto"/>
          <w:spacing w:val="7"/>
          <w:highlight w:val="none"/>
        </w:rPr>
      </w:r>
      <w:r/>
    </w:p>
    <w:p>
      <w:pPr>
        <w:pStyle w:val="919"/>
        <w:pageBreakBefore/>
        <w:spacing w:line="360" w:lineRule="auto"/>
        <w:rPr>
          <w:rFonts w:hint="eastAsia" w:ascii="宋体" w:hAnsi="宋体" w:eastAsia="宋体"/>
          <w:color w:val="auto"/>
          <w:highlight w:val="none"/>
        </w:rPr>
      </w:pPr>
      <w:r/>
      <w:bookmarkStart w:id="11" w:name="_Toc4059"/>
      <w:r/>
      <w:bookmarkStart w:id="12" w:name="_Toc10079"/>
      <w:r>
        <w:rPr>
          <w:rFonts w:hint="eastAsia" w:ascii="宋体" w:hAnsi="宋体" w:eastAsia="宋体"/>
          <w:color w:val="auto"/>
          <w:highlight w:val="none"/>
        </w:rPr>
        <w:t xml:space="preserve">第二章  </w:t>
      </w:r>
      <w:bookmarkStart w:id="13" w:name="_Toc16938518"/>
      <w:r/>
      <w:bookmarkStart w:id="14" w:name="_Toc120614213"/>
      <w:r/>
      <w:bookmarkStart w:id="15" w:name="_Toc20823274"/>
      <w:r/>
      <w:bookmarkStart w:id="16" w:name="_Toc513029202"/>
      <w:r>
        <w:rPr>
          <w:rFonts w:hint="eastAsia" w:ascii="宋体" w:hAnsi="宋体" w:eastAsia="宋体"/>
          <w:color w:val="auto"/>
          <w:highlight w:val="none"/>
        </w:rPr>
        <w:t xml:space="preserve">投标人须知</w:t>
      </w:r>
      <w:bookmarkEnd w:id="11"/>
      <w:r/>
      <w:bookmarkEnd w:id="12"/>
      <w:r/>
      <w:bookmarkEnd w:id="13"/>
      <w:r/>
      <w:bookmarkEnd w:id="14"/>
      <w:r/>
      <w:bookmarkEnd w:id="15"/>
      <w:r/>
      <w:bookmarkEnd w:id="16"/>
      <w:r/>
      <w:r/>
    </w:p>
    <w:p>
      <w:pPr>
        <w:pStyle w:val="920"/>
        <w:ind w:firstLine="482"/>
        <w:jc w:val="left"/>
        <w:spacing w:before="0" w:after="0" w:line="440" w:lineRule="exact"/>
        <w:rPr>
          <w:rStyle w:val="921"/>
          <w:rFonts w:hint="eastAsia" w:ascii="宋体" w:hAnsi="宋体"/>
          <w:b w:val="0"/>
          <w:bCs w:val="0"/>
          <w:color w:val="auto"/>
          <w:sz w:val="24"/>
          <w:szCs w:val="24"/>
          <w:highlight w:val="none"/>
        </w:rPr>
      </w:pPr>
      <w:r/>
      <w:bookmarkStart w:id="17" w:name="_Toc20823275"/>
      <w:r/>
      <w:bookmarkStart w:id="18" w:name="_Toc35266020"/>
      <w:r/>
      <w:bookmarkStart w:id="19" w:name="_Toc16938519"/>
      <w:r/>
      <w:bookmarkStart w:id="20" w:name="_Toc38368120"/>
      <w:r/>
      <w:bookmarkStart w:id="21" w:name="_Toc120614214"/>
      <w:r/>
      <w:bookmarkStart w:id="22" w:name="_Toc513029203"/>
      <w:r/>
      <w:bookmarkStart w:id="23" w:name="_Toc29619"/>
      <w:r/>
      <w:bookmarkStart w:id="24" w:name="_Toc54615239"/>
      <w:r>
        <w:rPr>
          <w:rStyle w:val="921"/>
          <w:rFonts w:hint="eastAsia" w:ascii="宋体" w:hAnsi="宋体"/>
          <w:b w:val="0"/>
          <w:bCs w:val="0"/>
          <w:color w:val="auto"/>
          <w:sz w:val="24"/>
          <w:szCs w:val="24"/>
          <w:highlight w:val="none"/>
        </w:rPr>
        <w:t xml:space="preserve">一、总则</w:t>
      </w:r>
      <w:bookmarkEnd w:id="17"/>
      <w:r/>
      <w:bookmarkEnd w:id="18"/>
      <w:r/>
      <w:bookmarkEnd w:id="19"/>
      <w:r/>
      <w:bookmarkEnd w:id="20"/>
      <w:r/>
      <w:bookmarkEnd w:id="21"/>
      <w:r/>
      <w:bookmarkEnd w:id="22"/>
      <w:r/>
      <w:bookmarkEnd w:id="23"/>
      <w:r/>
      <w:bookmarkEnd w:id="24"/>
      <w:r/>
      <w:r/>
    </w:p>
    <w:p>
      <w:pPr>
        <w:ind w:firstLine="482"/>
        <w:keepLines/>
        <w:keepNext/>
        <w:spacing w:line="440" w:lineRule="exact"/>
        <w:rPr>
          <w:rFonts w:hint="eastAsia" w:ascii="宋体" w:hAnsi="宋体"/>
          <w:b/>
          <w:bCs/>
          <w:color w:val="auto"/>
          <w:sz w:val="24"/>
          <w:szCs w:val="24"/>
          <w:highlight w:val="none"/>
        </w:rPr>
        <w:outlineLvl w:val="3"/>
      </w:pPr>
      <w:r/>
      <w:bookmarkStart w:id="25" w:name="_Hlt16619475"/>
      <w:r/>
      <w:bookmarkEnd w:id="25"/>
      <w:r/>
      <w:bookmarkStart w:id="26" w:name="_Toc458694821"/>
      <w:r/>
      <w:bookmarkStart w:id="27" w:name="_Toc513029204"/>
      <w:r/>
      <w:bookmarkStart w:id="28" w:name="_Toc16938520"/>
      <w:r/>
      <w:bookmarkStart w:id="29" w:name="_Toc20823276"/>
      <w:r>
        <w:rPr>
          <w:rFonts w:hint="eastAsia" w:ascii="宋体" w:hAnsi="宋体"/>
          <w:b/>
          <w:bCs/>
          <w:color w:val="auto"/>
          <w:sz w:val="24"/>
          <w:szCs w:val="24"/>
          <w:highlight w:val="none"/>
        </w:rPr>
        <w:t xml:space="preserve">1</w:t>
      </w:r>
      <w:bookmarkEnd w:id="26"/>
      <w:r>
        <w:rPr>
          <w:rFonts w:hint="eastAsia" w:ascii="宋体" w:hAnsi="宋体"/>
          <w:b/>
          <w:bCs/>
          <w:color w:val="auto"/>
          <w:sz w:val="24"/>
          <w:szCs w:val="24"/>
          <w:highlight w:val="none"/>
        </w:rPr>
        <w:t xml:space="preserve">.招标方式</w:t>
      </w:r>
      <w:bookmarkEnd w:id="27"/>
      <w:r/>
      <w:bookmarkEnd w:id="28"/>
      <w:r/>
      <w:bookmarkEnd w:id="29"/>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0" w:name="_Toc16938521"/>
      <w:r/>
      <w:bookmarkStart w:id="31" w:name="_Toc20823277"/>
      <w:r/>
      <w:bookmarkStart w:id="32" w:name="_Toc513029205"/>
      <w:r>
        <w:rPr>
          <w:rFonts w:hint="eastAsia" w:ascii="宋体" w:hAnsi="宋体"/>
          <w:b/>
          <w:bCs/>
          <w:color w:val="auto"/>
          <w:sz w:val="24"/>
          <w:szCs w:val="24"/>
          <w:highlight w:val="none"/>
        </w:rPr>
        <w:t xml:space="preserve">2.合格的投标人</w:t>
      </w:r>
      <w:bookmarkEnd w:id="30"/>
      <w:r/>
      <w:bookmarkEnd w:id="31"/>
      <w:r/>
      <w:bookmarkEnd w:id="3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3" w:name="_Toc16938522"/>
      <w:r/>
      <w:bookmarkStart w:id="34" w:name="_Toc513029206"/>
      <w:r/>
      <w:bookmarkStart w:id="35" w:name="_Toc20823278"/>
      <w:r>
        <w:rPr>
          <w:rFonts w:hint="eastAsia" w:ascii="宋体" w:hAnsi="宋体"/>
          <w:b/>
          <w:bCs/>
          <w:color w:val="auto"/>
          <w:sz w:val="24"/>
          <w:szCs w:val="24"/>
          <w:highlight w:val="none"/>
        </w:rPr>
        <w:t xml:space="preserve">3.适用法律</w:t>
      </w:r>
      <w:bookmarkEnd w:id="33"/>
      <w:r/>
      <w:bookmarkEnd w:id="34"/>
      <w:r/>
      <w:bookmarkEnd w:id="35"/>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6" w:name="_Toc16938523"/>
      <w:r/>
      <w:bookmarkStart w:id="37" w:name="_Toc513029207"/>
      <w:r/>
      <w:bookmarkStart w:id="38" w:name="_Toc462564067"/>
      <w:r/>
      <w:bookmarkStart w:id="39" w:name="_Toc20823279"/>
      <w:r>
        <w:rPr>
          <w:rFonts w:hint="eastAsia" w:ascii="宋体" w:hAnsi="宋体"/>
          <w:b/>
          <w:bCs/>
          <w:color w:val="auto"/>
          <w:sz w:val="24"/>
          <w:szCs w:val="24"/>
          <w:highlight w:val="none"/>
        </w:rPr>
        <w:t xml:space="preserve">4.投标费用</w:t>
      </w:r>
      <w:bookmarkEnd w:id="36"/>
      <w:r/>
      <w:bookmarkEnd w:id="37"/>
      <w:r/>
      <w:bookmarkEnd w:id="38"/>
      <w:r/>
      <w:bookmarkEnd w:id="3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0"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0"/>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4.2本次招标公共资源交易中心和采购人不收取标书工本费与中标服务费。</w:t>
      </w:r>
      <w:bookmarkStart w:id="41" w:name="EB4bef91ec166246f78c716ddc8194a87a"/>
      <w:r/>
      <w:bookmarkEnd w:id="4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20"/>
        <w:ind w:firstLine="482"/>
        <w:jc w:val="left"/>
        <w:spacing w:before="0" w:after="0" w:line="440" w:lineRule="exact"/>
        <w:rPr>
          <w:rStyle w:val="921"/>
          <w:rFonts w:hint="eastAsia" w:ascii="宋体" w:hAnsi="宋体"/>
          <w:b w:val="0"/>
          <w:bCs w:val="0"/>
          <w:color w:val="auto"/>
          <w:sz w:val="24"/>
          <w:szCs w:val="24"/>
          <w:highlight w:val="none"/>
        </w:rPr>
      </w:pPr>
      <w:r/>
      <w:bookmarkStart w:id="42" w:name="_Toc38368121"/>
      <w:r/>
      <w:bookmarkStart w:id="43" w:name="_Toc120614215"/>
      <w:r/>
      <w:bookmarkStart w:id="44" w:name="_Toc513029209"/>
      <w:r/>
      <w:bookmarkStart w:id="45" w:name="_Toc54615240"/>
      <w:r/>
      <w:bookmarkStart w:id="46" w:name="_Toc20823281"/>
      <w:r/>
      <w:bookmarkStart w:id="47" w:name="_Toc16938525"/>
      <w:r/>
      <w:bookmarkStart w:id="48" w:name="_Toc12536"/>
      <w:r/>
      <w:bookmarkStart w:id="49" w:name="_Toc35266021"/>
      <w:r>
        <w:rPr>
          <w:rStyle w:val="921"/>
          <w:rFonts w:hint="eastAsia" w:ascii="宋体" w:hAnsi="宋体"/>
          <w:b w:val="0"/>
          <w:bCs w:val="0"/>
          <w:color w:val="auto"/>
          <w:sz w:val="24"/>
          <w:szCs w:val="24"/>
          <w:highlight w:val="none"/>
        </w:rPr>
        <w:t xml:space="preserve">二、招标文件</w:t>
      </w:r>
      <w:bookmarkEnd w:id="42"/>
      <w:r/>
      <w:bookmarkEnd w:id="43"/>
      <w:r/>
      <w:bookmarkEnd w:id="44"/>
      <w:r/>
      <w:bookmarkEnd w:id="45"/>
      <w:r/>
      <w:bookmarkEnd w:id="46"/>
      <w:r/>
      <w:bookmarkEnd w:id="47"/>
      <w:r/>
      <w:bookmarkEnd w:id="48"/>
      <w:r/>
      <w:bookmarkEnd w:id="49"/>
      <w:r/>
      <w:r/>
    </w:p>
    <w:p>
      <w:pPr>
        <w:ind w:firstLine="482"/>
        <w:keepLines/>
        <w:keepNext/>
        <w:spacing w:line="440" w:lineRule="exact"/>
        <w:rPr>
          <w:rFonts w:hint="eastAsia" w:ascii="宋体" w:hAnsi="宋体"/>
          <w:b/>
          <w:bCs/>
          <w:color w:val="auto"/>
          <w:sz w:val="24"/>
          <w:szCs w:val="24"/>
          <w:highlight w:val="none"/>
        </w:rPr>
        <w:outlineLvl w:val="3"/>
      </w:pPr>
      <w:r/>
      <w:bookmarkStart w:id="50" w:name="_Toc513029210"/>
      <w:r/>
      <w:bookmarkStart w:id="51" w:name="_Toc16938526"/>
      <w:r/>
      <w:bookmarkStart w:id="52" w:name="_Toc20823282"/>
      <w:r>
        <w:rPr>
          <w:rFonts w:hint="eastAsia" w:ascii="宋体" w:hAnsi="宋体"/>
          <w:b/>
          <w:bCs/>
          <w:color w:val="auto"/>
          <w:sz w:val="24"/>
          <w:szCs w:val="24"/>
          <w:highlight w:val="none"/>
        </w:rPr>
        <w:t xml:space="preserve">6.招标文件构成</w:t>
      </w:r>
      <w:bookmarkEnd w:id="50"/>
      <w:r/>
      <w:bookmarkEnd w:id="51"/>
      <w:r/>
      <w:bookmarkEnd w:id="5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3" w:name="EBbdde166065d14b62851231a61e89e609"/>
      <w:r>
        <w:rPr>
          <w:rFonts w:hint="eastAsia" w:ascii="宋体" w:hAnsi="宋体"/>
          <w:color w:val="auto"/>
          <w:sz w:val="24"/>
          <w:szCs w:val="24"/>
          <w:highlight w:val="none"/>
        </w:rPr>
        <w:t xml:space="preserve">公共资源交易中心</w:t>
      </w:r>
      <w:bookmarkEnd w:id="53"/>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4" w:name="_Toc462564071"/>
      <w:r/>
      <w:bookmarkStart w:id="55" w:name="_Toc20823284"/>
      <w:r/>
      <w:bookmarkStart w:id="56" w:name="_Toc513029212"/>
      <w:r/>
      <w:bookmarkStart w:id="57" w:name="_Toc16938528"/>
      <w:r>
        <w:rPr>
          <w:rFonts w:hint="eastAsia" w:ascii="宋体" w:hAnsi="宋体"/>
          <w:b/>
          <w:bCs/>
          <w:color w:val="auto"/>
          <w:sz w:val="24"/>
          <w:szCs w:val="24"/>
          <w:highlight w:val="none"/>
        </w:rPr>
        <w:t xml:space="preserve">7.招标文件的澄清或修改</w:t>
      </w:r>
      <w:bookmarkEnd w:id="54"/>
      <w:r/>
      <w:bookmarkEnd w:id="55"/>
      <w:r/>
      <w:bookmarkEnd w:id="56"/>
      <w:r/>
      <w:bookmarkEnd w:id="5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8" w:name="EBeec936f32a574d52a4992a8b94773f89"/>
      <w:r>
        <w:rPr>
          <w:rFonts w:hint="eastAsia" w:ascii="宋体" w:hAnsi="宋体"/>
          <w:color w:val="auto"/>
          <w:sz w:val="24"/>
          <w:szCs w:val="24"/>
          <w:highlight w:val="none"/>
        </w:rPr>
        <w:t xml:space="preserve">，公共资源交易中心</w:t>
      </w:r>
      <w:bookmarkEnd w:id="58"/>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9" w:name="EB14f04c7329d342c2b5d53bfcbbeaa167"/>
      <w:r>
        <w:rPr>
          <w:rFonts w:hint="eastAsia" w:ascii="宋体" w:hAnsi="宋体"/>
          <w:bCs/>
          <w:color w:val="auto"/>
          <w:sz w:val="24"/>
          <w:szCs w:val="24"/>
          <w:highlight w:val="none"/>
        </w:rPr>
        <w:t xml:space="preserve">公共资源交易中心</w:t>
      </w:r>
      <w:bookmarkEnd w:id="59"/>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20"/>
        <w:ind w:firstLine="480"/>
        <w:jc w:val="left"/>
        <w:spacing w:before="0" w:after="0" w:line="440" w:lineRule="exact"/>
        <w:rPr>
          <w:rStyle w:val="921"/>
          <w:rFonts w:hint="eastAsia" w:ascii="宋体" w:hAnsi="宋体"/>
          <w:b w:val="0"/>
          <w:bCs w:val="0"/>
          <w:color w:val="auto"/>
          <w:sz w:val="24"/>
          <w:szCs w:val="24"/>
          <w:highlight w:val="none"/>
        </w:rPr>
      </w:pPr>
      <w:r/>
      <w:bookmarkStart w:id="60" w:name="_Toc12827"/>
      <w:r/>
      <w:bookmarkStart w:id="61" w:name="_Toc20823285"/>
      <w:r/>
      <w:bookmarkStart w:id="62" w:name="_Toc462564072"/>
      <w:r/>
      <w:bookmarkStart w:id="63" w:name="_Toc38368122"/>
      <w:r/>
      <w:bookmarkStart w:id="64" w:name="_Toc35266022"/>
      <w:r/>
      <w:bookmarkStart w:id="65" w:name="_Toc54615241"/>
      <w:r/>
      <w:bookmarkStart w:id="66" w:name="_Toc120614216"/>
      <w:r/>
      <w:bookmarkStart w:id="67" w:name="_Toc513029213"/>
      <w:r/>
      <w:bookmarkStart w:id="68" w:name="_Toc16938529"/>
      <w:r>
        <w:rPr>
          <w:rStyle w:val="921"/>
          <w:rFonts w:hint="eastAsia" w:ascii="宋体" w:hAnsi="宋体"/>
          <w:b w:val="0"/>
          <w:bCs w:val="0"/>
          <w:color w:val="auto"/>
          <w:sz w:val="24"/>
          <w:szCs w:val="24"/>
          <w:highlight w:val="none"/>
        </w:rPr>
        <w:t xml:space="preserve">三、投标文件的编制</w:t>
      </w:r>
      <w:bookmarkEnd w:id="60"/>
      <w:r/>
      <w:bookmarkEnd w:id="61"/>
      <w:r/>
      <w:bookmarkEnd w:id="62"/>
      <w:r/>
      <w:bookmarkEnd w:id="63"/>
      <w:r/>
      <w:bookmarkEnd w:id="64"/>
      <w:r/>
      <w:bookmarkEnd w:id="65"/>
      <w:r/>
      <w:bookmarkEnd w:id="66"/>
      <w:r/>
      <w:bookmarkEnd w:id="67"/>
      <w:r/>
      <w:bookmarkEnd w:id="68"/>
      <w:r/>
      <w:r/>
    </w:p>
    <w:p>
      <w:pPr>
        <w:ind w:firstLine="482"/>
        <w:keepLines/>
        <w:keepNext/>
        <w:spacing w:line="440" w:lineRule="exact"/>
        <w:rPr>
          <w:rFonts w:hint="eastAsia" w:ascii="宋体" w:hAnsi="宋体"/>
          <w:b/>
          <w:bCs/>
          <w:color w:val="auto"/>
          <w:sz w:val="24"/>
          <w:szCs w:val="24"/>
          <w:highlight w:val="none"/>
        </w:rPr>
        <w:outlineLvl w:val="3"/>
      </w:pPr>
      <w:r/>
      <w:bookmarkStart w:id="69" w:name="_Toc16938530"/>
      <w:r/>
      <w:bookmarkStart w:id="70" w:name="_Toc20823286"/>
      <w:r/>
      <w:bookmarkStart w:id="71" w:name="_Toc513029214"/>
      <w:r/>
      <w:bookmarkStart w:id="72" w:name="_Toc462564073"/>
      <w:r>
        <w:rPr>
          <w:rFonts w:hint="eastAsia" w:ascii="宋体" w:hAnsi="宋体"/>
          <w:b/>
          <w:bCs/>
          <w:color w:val="auto"/>
          <w:sz w:val="24"/>
          <w:szCs w:val="24"/>
          <w:highlight w:val="none"/>
        </w:rPr>
        <w:t xml:space="preserve">8.投标文件的语言及度量衡单位</w:t>
      </w:r>
      <w:bookmarkEnd w:id="69"/>
      <w:r/>
      <w:bookmarkEnd w:id="70"/>
      <w:r/>
      <w:bookmarkEnd w:id="71"/>
      <w:r/>
      <w:bookmarkEnd w:id="7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3" w:name="EB93850d2cac274df984aa2f93878c3cfe"/>
      <w:r>
        <w:rPr>
          <w:rFonts w:hint="eastAsia" w:ascii="宋体" w:hAnsi="宋体"/>
          <w:color w:val="auto"/>
          <w:sz w:val="24"/>
          <w:szCs w:val="24"/>
          <w:highlight w:val="none"/>
        </w:rPr>
        <w:t xml:space="preserve">公共资源交易中心</w:t>
      </w:r>
      <w:bookmarkEnd w:id="73"/>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4" w:name="_Toc20823287"/>
      <w:r/>
      <w:bookmarkStart w:id="75" w:name="_Toc513029215"/>
      <w:r/>
      <w:bookmarkStart w:id="76" w:name="_Toc462564074"/>
      <w:r/>
      <w:bookmarkStart w:id="77" w:name="_Toc16938531"/>
      <w:r>
        <w:rPr>
          <w:rFonts w:hint="eastAsia" w:ascii="宋体" w:hAnsi="宋体"/>
          <w:b/>
          <w:bCs/>
          <w:color w:val="auto"/>
          <w:sz w:val="24"/>
          <w:szCs w:val="24"/>
          <w:highlight w:val="none"/>
        </w:rPr>
        <w:t xml:space="preserve">9.投标文件构成</w:t>
      </w:r>
      <w:bookmarkEnd w:id="74"/>
      <w:r/>
      <w:bookmarkEnd w:id="75"/>
      <w:r/>
      <w:bookmarkEnd w:id="76"/>
      <w:r/>
      <w:bookmarkEnd w:id="7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8" w:name="_Hlt26954838"/>
      <w:r/>
      <w:bookmarkEnd w:id="78"/>
      <w:r/>
      <w:bookmarkStart w:id="79" w:name="_Hlt26670360"/>
      <w:r/>
      <w:bookmarkEnd w:id="79"/>
      <w:r/>
      <w:bookmarkStart w:id="80" w:name="_Hlt26668975"/>
      <w:r/>
      <w:bookmarkEnd w:id="80"/>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1" w:name="_Hlt26668999"/>
      <w:r/>
      <w:bookmarkEnd w:id="81"/>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2" w:name="_Toc14577355"/>
      <w:r/>
      <w:bookmarkStart w:id="83" w:name="_Toc49090508"/>
      <w:r>
        <w:rPr>
          <w:rFonts w:hint="eastAsia" w:ascii="宋体" w:hAnsi="宋体"/>
          <w:b/>
          <w:bCs/>
          <w:color w:val="auto"/>
          <w:sz w:val="24"/>
          <w:szCs w:val="24"/>
          <w:highlight w:val="none"/>
        </w:rPr>
        <w:t xml:space="preserve">12.投标配置与分项报价</w:t>
      </w:r>
      <w:bookmarkStart w:id="84" w:name="_Hlt26670373"/>
      <w:r/>
      <w:bookmarkEnd w:id="84"/>
      <w:r>
        <w:rPr>
          <w:rFonts w:hint="eastAsia" w:ascii="宋体" w:hAnsi="宋体"/>
          <w:b/>
          <w:bCs/>
          <w:color w:val="auto"/>
          <w:sz w:val="24"/>
          <w:szCs w:val="24"/>
          <w:highlight w:val="none"/>
        </w:rPr>
        <w:t xml:space="preserve">表</w:t>
      </w:r>
      <w:bookmarkEnd w:id="82"/>
      <w:r/>
      <w:bookmarkEnd w:id="83"/>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5" w:name="EB8486dd9157984dc9aa62437fb6aa6f0f"/>
      <w:r/>
      <w:bookmarkEnd w:id="8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6" w:name="_Hlt26670486"/>
      <w:r/>
      <w:bookmarkEnd w:id="86"/>
      <w:r/>
      <w:bookmarkStart w:id="87" w:name="_Hlt26670482"/>
      <w:r/>
      <w:bookmarkEnd w:id="87"/>
      <w:r/>
      <w:bookmarkStart w:id="88" w:name="_Hlt26954731"/>
      <w:r/>
      <w:bookmarkEnd w:id="88"/>
      <w:r/>
      <w:bookmarkStart w:id="89" w:name="_Hlt26954846"/>
      <w:r/>
      <w:bookmarkEnd w:id="89"/>
      <w:r/>
      <w:bookmarkStart w:id="90" w:name="_Hlt26954848"/>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2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2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12"/>
          <w:rFonts w:hint="eastAsia" w:ascii="宋体" w:hAnsi="宋体"/>
          <w:color w:val="auto"/>
          <w:spacing w:val="7"/>
          <w:sz w:val="24"/>
          <w:szCs w:val="24"/>
          <w:highlight w:val="none"/>
        </w:rPr>
        <w:outlineLvl w:val="3"/>
      </w:pPr>
      <w:r>
        <w:rPr>
          <w:rStyle w:val="912"/>
          <w:rFonts w:hint="eastAsia" w:ascii="宋体" w:hAnsi="宋体"/>
          <w:color w:val="auto"/>
          <w:spacing w:val="7"/>
          <w:sz w:val="24"/>
          <w:szCs w:val="24"/>
          <w:highlight w:val="none"/>
        </w:rPr>
        <w:t xml:space="preserve">14.1 投标人的总体情况应在电子投标文件中作出说明。</w:t>
      </w:r>
      <w:bookmarkStart w:id="91" w:name="_Hlt26954850"/>
      <w:r/>
      <w:bookmarkEnd w:id="91"/>
      <w:r/>
      <w:bookmarkStart w:id="92" w:name="_Hlt26670489"/>
      <w:r/>
      <w:bookmarkEnd w:id="92"/>
      <w:r/>
      <w:bookmarkStart w:id="93" w:name="EBf6e5e332cb7245ab8f3a9801503c122b"/>
      <w:r/>
      <w:bookmarkEnd w:id="93"/>
      <w:r/>
      <w:bookmarkStart w:id="94" w:name="_Hlt26954734"/>
      <w:r/>
      <w:bookmarkEnd w:id="94"/>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2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22"/>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5" w:name="EB42bffacbc3774d8f9be92be41fabfc13"/>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6" w:name="EB1a73f2f6d8ff43b6a705c8d1929594b0"/>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7" w:name="EBcd0282bdfe9441e3bba982eac64d1aaa"/>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8" w:name="_Hlt26954739"/>
      <w:r/>
      <w:bookmarkEnd w:id="98"/>
      <w:r/>
      <w:bookmarkStart w:id="99" w:name="_Hlt26954852"/>
      <w:r/>
      <w:bookmarkEnd w:id="99"/>
      <w:r/>
      <w:bookmarkStart w:id="100" w:name="EBfdb2e00cf1ee477a9cdb47d13b603829"/>
      <w:r/>
      <w:bookmarkEnd w:id="100"/>
      <w:r/>
      <w:r/>
    </w:p>
    <w:p>
      <w:pPr>
        <w:pStyle w:val="923"/>
        <w:ind w:firstLine="482"/>
        <w:spacing w:line="440" w:lineRule="exact"/>
        <w:rPr>
          <w:rStyle w:val="921"/>
          <w:rFonts w:hint="eastAsia" w:ascii="宋体" w:hAnsi="宋体"/>
          <w:color w:val="auto"/>
          <w:sz w:val="24"/>
          <w:szCs w:val="24"/>
          <w:highlight w:val="none"/>
        </w:rPr>
      </w:pPr>
      <w:r>
        <w:rPr>
          <w:rStyle w:val="921"/>
          <w:rFonts w:hint="eastAsia" w:ascii="宋体" w:hAnsi="宋体"/>
          <w:color w:val="auto"/>
          <w:sz w:val="24"/>
          <w:szCs w:val="24"/>
          <w:highlight w:val="none"/>
        </w:rPr>
        <w:t xml:space="preserve">四、投标文件的制作、上传、递交</w:t>
      </w:r>
      <w:r/>
    </w:p>
    <w:p>
      <w:pPr>
        <w:pStyle w:val="924"/>
        <w:ind w:firstLine="500"/>
        <w:spacing w:line="440" w:lineRule="exact"/>
        <w:rPr>
          <w:rStyle w:val="912"/>
          <w:rFonts w:hint="eastAsia" w:ascii="宋体" w:hAnsi="宋体"/>
          <w:b/>
          <w:bCs/>
          <w:color w:val="auto"/>
          <w:spacing w:val="7"/>
          <w:sz w:val="24"/>
          <w:szCs w:val="24"/>
          <w:highlight w:val="none"/>
        </w:rPr>
        <w:outlineLvl w:val="3"/>
      </w:pPr>
      <w:r>
        <w:rPr>
          <w:rStyle w:val="912"/>
          <w:rFonts w:hint="eastAsia" w:ascii="宋体" w:hAnsi="宋体"/>
          <w:b/>
          <w:bCs/>
          <w:color w:val="auto"/>
          <w:spacing w:val="7"/>
          <w:sz w:val="24"/>
          <w:szCs w:val="24"/>
          <w:highlight w:val="none"/>
        </w:rPr>
        <w:t xml:space="preserve">18.投标文件的递交</w:t>
      </w:r>
      <w:r/>
    </w:p>
    <w:p>
      <w:pPr>
        <w:pStyle w:val="924"/>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18.1电子投标文件的递交</w:t>
      </w:r>
      <w:r/>
    </w:p>
    <w:p>
      <w:pPr>
        <w:pStyle w:val="924"/>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1" w:name="EB5e78b12e89984a20ab881c475623475b"/>
      <w:r/>
      <w:bookmarkEnd w:id="101"/>
      <w:r/>
      <w:r/>
    </w:p>
    <w:p>
      <w:pPr>
        <w:pStyle w:val="924"/>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25"/>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25"/>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2" w:name="EB4c6421107b4c4e38bf2769d0237905a7"/>
      <w:r/>
      <w:bookmarkEnd w:id="102"/>
      <w:r/>
      <w:r/>
    </w:p>
    <w:p>
      <w:pPr>
        <w:pStyle w:val="925"/>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25"/>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3" w:name="EBfffe463a2deb4e7cad93cb8e37ffda5e"/>
      <w:r>
        <w:rPr>
          <w:rFonts w:hint="eastAsia" w:ascii="宋体" w:hAnsi="宋体" w:eastAsia="宋体"/>
          <w:color w:val="auto"/>
          <w:highlight w:val="none"/>
        </w:rPr>
        <w:t xml:space="preserve">公共资源交易中心</w:t>
      </w:r>
      <w:bookmarkEnd w:id="103"/>
      <w:r>
        <w:rPr>
          <w:rFonts w:hint="eastAsia" w:ascii="宋体" w:hAnsi="宋体" w:eastAsia="宋体"/>
          <w:color w:val="auto"/>
          <w:highlight w:val="none"/>
        </w:rPr>
        <w:t xml:space="preserve">拒绝接收在其规定的投标截止时间后递交的任何投标文件。</w:t>
      </w:r>
      <w:r/>
    </w:p>
    <w:p>
      <w:pPr>
        <w:pStyle w:val="925"/>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25"/>
        <w:ind w:firstLine="508"/>
        <w:spacing w:line="440" w:lineRule="exact"/>
        <w:rPr>
          <w:rStyle w:val="912"/>
          <w:rFonts w:hint="eastAsia" w:ascii="宋体" w:hAnsi="宋体"/>
          <w:color w:val="auto"/>
          <w:spacing w:val="7"/>
          <w:sz w:val="24"/>
          <w:szCs w:val="28"/>
          <w:highlight w:val="none"/>
        </w:rPr>
      </w:pPr>
      <w:r>
        <w:rPr>
          <w:rStyle w:val="912"/>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26"/>
        <w:ind w:firstLine="500"/>
        <w:spacing w:line="440" w:lineRule="exact"/>
        <w:rPr>
          <w:rStyle w:val="912"/>
          <w:rFonts w:hint="eastAsia" w:ascii="宋体" w:hAnsi="宋体"/>
          <w:color w:val="auto"/>
          <w:spacing w:val="7"/>
          <w:sz w:val="24"/>
          <w:szCs w:val="28"/>
          <w:highlight w:val="none"/>
        </w:rPr>
      </w:pPr>
      <w:r>
        <w:rPr>
          <w:rStyle w:val="912"/>
          <w:rFonts w:hint="eastAsia" w:ascii="宋体" w:hAnsi="宋体"/>
          <w:color w:val="auto"/>
          <w:spacing w:val="7"/>
          <w:sz w:val="24"/>
          <w:szCs w:val="28"/>
          <w:highlight w:val="none"/>
        </w:rPr>
        <w:t xml:space="preserve">21.2 投标人撤回电子投标文件，则认为其不再参与本项目投标活动。</w:t>
      </w:r>
      <w:r/>
    </w:p>
    <w:p>
      <w:pPr>
        <w:pStyle w:val="926"/>
        <w:ind w:firstLine="500"/>
        <w:spacing w:line="440" w:lineRule="exact"/>
        <w:rPr>
          <w:rStyle w:val="912"/>
          <w:rFonts w:hint="eastAsia" w:ascii="宋体" w:hAnsi="宋体"/>
          <w:color w:val="auto"/>
          <w:spacing w:val="7"/>
          <w:sz w:val="24"/>
          <w:szCs w:val="28"/>
          <w:highlight w:val="none"/>
        </w:rPr>
      </w:pPr>
      <w:r>
        <w:rPr>
          <w:rStyle w:val="912"/>
          <w:rFonts w:hint="eastAsia" w:ascii="宋体" w:hAnsi="宋体"/>
          <w:color w:val="auto"/>
          <w:spacing w:val="7"/>
          <w:sz w:val="24"/>
          <w:szCs w:val="28"/>
          <w:highlight w:val="none"/>
        </w:rPr>
        <w:t xml:space="preserve">21.3 在投标截止时间之后，投标人不得对其电子投标文件作任何修改。</w:t>
      </w:r>
      <w:r/>
    </w:p>
    <w:p>
      <w:pPr>
        <w:pStyle w:val="926"/>
        <w:ind w:firstLine="500"/>
        <w:spacing w:line="440" w:lineRule="exact"/>
        <w:rPr>
          <w:rStyle w:val="912"/>
          <w:rFonts w:hint="eastAsia" w:ascii="宋体" w:hAnsi="宋体"/>
          <w:color w:val="auto"/>
          <w:spacing w:val="7"/>
          <w:sz w:val="24"/>
          <w:szCs w:val="28"/>
          <w:highlight w:val="none"/>
        </w:rPr>
      </w:pPr>
      <w:r>
        <w:rPr>
          <w:rStyle w:val="912"/>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26"/>
        <w:ind w:firstLine="500"/>
        <w:spacing w:line="440" w:lineRule="exact"/>
        <w:rPr>
          <w:rStyle w:val="912"/>
          <w:rFonts w:hint="eastAsia" w:ascii="宋体" w:hAnsi="宋体"/>
          <w:color w:val="auto"/>
          <w:spacing w:val="7"/>
          <w:sz w:val="24"/>
          <w:szCs w:val="28"/>
          <w:highlight w:val="none"/>
        </w:rPr>
      </w:pPr>
      <w:r>
        <w:rPr>
          <w:rStyle w:val="912"/>
          <w:rFonts w:hint="eastAsia" w:ascii="宋体" w:hAnsi="宋体"/>
          <w:color w:val="auto"/>
          <w:spacing w:val="7"/>
          <w:sz w:val="24"/>
          <w:szCs w:val="28"/>
          <w:highlight w:val="none"/>
        </w:rPr>
        <w:t xml:space="preserve">21.5 不论投标人中标与否，投标文件均不退回。</w:t>
      </w:r>
      <w:r/>
    </w:p>
    <w:p>
      <w:pPr>
        <w:pStyle w:val="920"/>
        <w:ind w:firstLine="482"/>
        <w:jc w:val="left"/>
        <w:spacing w:before="0" w:after="0" w:line="440" w:lineRule="exact"/>
        <w:rPr>
          <w:rStyle w:val="921"/>
          <w:rFonts w:hint="eastAsia" w:ascii="宋体" w:hAnsi="宋体"/>
          <w:b w:val="0"/>
          <w:bCs w:val="0"/>
          <w:color w:val="auto"/>
          <w:sz w:val="24"/>
          <w:szCs w:val="24"/>
          <w:highlight w:val="none"/>
        </w:rPr>
      </w:pPr>
      <w:r/>
      <w:bookmarkStart w:id="104" w:name="EB7c302f080cf342679641097daf23b42b"/>
      <w:r/>
      <w:bookmarkEnd w:id="104"/>
      <w:r/>
      <w:bookmarkStart w:id="105" w:name="_Toc20823301"/>
      <w:r/>
      <w:bookmarkStart w:id="106" w:name="_Toc35266024"/>
      <w:r/>
      <w:bookmarkStart w:id="107" w:name="_Toc16938545"/>
      <w:r/>
      <w:bookmarkStart w:id="108" w:name="_Toc38368124"/>
      <w:r/>
      <w:bookmarkStart w:id="109" w:name="_Toc513029229"/>
      <w:r/>
      <w:bookmarkStart w:id="110" w:name="_Toc120614218"/>
      <w:r/>
      <w:bookmarkStart w:id="111" w:name="_Toc17299"/>
      <w:r/>
      <w:bookmarkStart w:id="112" w:name="_Toc54615243"/>
      <w:r>
        <w:rPr>
          <w:rStyle w:val="921"/>
          <w:rFonts w:hint="eastAsia" w:ascii="宋体" w:hAnsi="宋体"/>
          <w:b w:val="0"/>
          <w:bCs w:val="0"/>
          <w:color w:val="auto"/>
          <w:sz w:val="24"/>
          <w:szCs w:val="24"/>
          <w:highlight w:val="none"/>
        </w:rPr>
        <w:t xml:space="preserve">五、开标与评标</w:t>
      </w:r>
      <w:bookmarkEnd w:id="105"/>
      <w:r/>
      <w:bookmarkEnd w:id="106"/>
      <w:r/>
      <w:bookmarkEnd w:id="107"/>
      <w:r/>
      <w:bookmarkEnd w:id="108"/>
      <w:r/>
      <w:bookmarkEnd w:id="109"/>
      <w:r/>
      <w:bookmarkEnd w:id="110"/>
      <w:r/>
      <w:bookmarkEnd w:id="111"/>
      <w:r/>
      <w:bookmarkEnd w:id="112"/>
      <w:r/>
      <w:r/>
    </w:p>
    <w:p>
      <w:pPr>
        <w:ind w:firstLine="482"/>
        <w:keepLines/>
        <w:keepNext/>
        <w:spacing w:line="440" w:lineRule="exact"/>
        <w:rPr>
          <w:rFonts w:hint="eastAsia" w:ascii="宋体" w:hAnsi="宋体"/>
          <w:b/>
          <w:bCs/>
          <w:color w:val="auto"/>
          <w:sz w:val="24"/>
          <w:szCs w:val="24"/>
          <w:highlight w:val="none"/>
        </w:rPr>
        <w:outlineLvl w:val="3"/>
      </w:pPr>
      <w:r/>
      <w:bookmarkStart w:id="113" w:name="_Toc513029230"/>
      <w:r/>
      <w:bookmarkStart w:id="114" w:name="_Toc16938546"/>
      <w:r/>
      <w:bookmarkStart w:id="115" w:name="_Toc20823302"/>
      <w:r>
        <w:rPr>
          <w:rFonts w:hint="eastAsia" w:ascii="宋体" w:hAnsi="宋体"/>
          <w:b/>
          <w:bCs/>
          <w:color w:val="auto"/>
          <w:sz w:val="24"/>
          <w:szCs w:val="24"/>
          <w:highlight w:val="none"/>
        </w:rPr>
        <w:t xml:space="preserve">22.开标</w:t>
      </w:r>
      <w:bookmarkEnd w:id="113"/>
      <w:r/>
      <w:bookmarkEnd w:id="114"/>
      <w:r/>
      <w:bookmarkEnd w:id="115"/>
      <w:r/>
      <w:r/>
    </w:p>
    <w:p>
      <w:pPr>
        <w:ind w:firstLine="480"/>
        <w:spacing w:line="440" w:lineRule="exact"/>
        <w:rPr>
          <w:rStyle w:val="912"/>
          <w:rFonts w:hint="eastAsia" w:ascii="宋体" w:hAnsi="宋体"/>
          <w:color w:val="auto"/>
          <w:spacing w:val="7"/>
          <w:sz w:val="24"/>
          <w:szCs w:val="24"/>
          <w:highlight w:val="none"/>
        </w:rPr>
      </w:pPr>
      <w:r/>
      <w:bookmarkStart w:id="116" w:name="EB45a41a7a147945c0bb92535f2d40058d"/>
      <w:r/>
      <w:bookmarkEnd w:id="116"/>
      <w:r>
        <w:rPr>
          <w:rStyle w:val="912"/>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7" w:name="EBd93f728e80de47e5afd77299c0ffdfa6"/>
      <w:r>
        <w:rPr>
          <w:rFonts w:hint="eastAsia" w:ascii="宋体" w:hAnsi="宋体"/>
          <w:color w:val="auto"/>
          <w:sz w:val="24"/>
          <w:szCs w:val="24"/>
          <w:highlight w:val="none"/>
        </w:rPr>
        <w:t xml:space="preserve">公共资源交易中心</w:t>
      </w:r>
      <w:bookmarkEnd w:id="117"/>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8" w:name="EB8495c46e8cb146ec80ae8c0f7928221c"/>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9" w:name="_Toc513029232"/>
      <w:r/>
      <w:bookmarkStart w:id="120" w:name="_Toc20823304"/>
      <w:r/>
      <w:bookmarkStart w:id="121" w:name="_Toc16938548"/>
      <w:r>
        <w:rPr>
          <w:rFonts w:hint="eastAsia" w:ascii="宋体" w:hAnsi="宋体"/>
          <w:b/>
          <w:bCs/>
          <w:color w:val="auto"/>
          <w:sz w:val="24"/>
          <w:szCs w:val="24"/>
          <w:highlight w:val="none"/>
        </w:rPr>
        <w:t xml:space="preserve">25．投标的澄清</w:t>
      </w:r>
      <w:bookmarkEnd w:id="119"/>
      <w:r/>
      <w:bookmarkEnd w:id="120"/>
      <w:r/>
      <w:bookmarkEnd w:id="121"/>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27"/>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12"/>
          <w:rFonts w:hint="eastAsia" w:ascii="宋体" w:hAnsi="宋体"/>
          <w:b/>
          <w:bCs/>
          <w:color w:val="auto"/>
          <w:spacing w:val="7"/>
          <w:sz w:val="24"/>
          <w:szCs w:val="24"/>
          <w:highlight w:val="none"/>
          <w:lang w:val="zh-CN"/>
        </w:rPr>
      </w:pPr>
      <w:r>
        <w:rPr>
          <w:rStyle w:val="912"/>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2"/>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2" w:name="EB3164982f155e42e086cd4685f4d2aafa"/>
      <w:r/>
      <w:bookmarkEnd w:id="122"/>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3" w:name="_Toc513029233"/>
      <w:r/>
      <w:bookmarkStart w:id="124" w:name="_Toc16938549"/>
      <w:r/>
      <w:bookmarkStart w:id="125" w:name="_Toc20823305"/>
      <w:r>
        <w:rPr>
          <w:rFonts w:hint="eastAsia" w:ascii="宋体" w:hAnsi="宋体"/>
          <w:b/>
          <w:bCs/>
          <w:color w:val="auto"/>
          <w:sz w:val="24"/>
          <w:szCs w:val="24"/>
          <w:highlight w:val="none"/>
        </w:rPr>
        <w:t xml:space="preserve">26</w:t>
      </w:r>
      <w:bookmarkEnd w:id="123"/>
      <w:r/>
      <w:bookmarkEnd w:id="124"/>
      <w:r/>
      <w:bookmarkEnd w:id="125"/>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6" w:name="EB8e3ec86c09a94dac9cc9034e6027ee19"/>
      <w:r/>
      <w:bookmarkEnd w:id="126"/>
      <w:r/>
      <w:r/>
    </w:p>
    <w:p>
      <w:pPr>
        <w:pStyle w:val="726"/>
        <w:spacing w:line="440" w:lineRule="exact"/>
        <w:rPr>
          <w:rFonts w:hint="eastAsia"/>
          <w:b/>
          <w:bCs/>
          <w:color w:val="auto"/>
          <w:highlight w:val="none"/>
        </w:rPr>
      </w:pPr>
      <w:r>
        <w:rPr>
          <w:rFonts w:hint="eastAsia"/>
          <w:b/>
          <w:bCs/>
          <w:color w:val="auto"/>
          <w:highlight w:val="none"/>
        </w:rPr>
        <w:t xml:space="preserve">26.6 异常低价投标审查</w:t>
      </w:r>
      <w:r/>
    </w:p>
    <w:p>
      <w:pPr>
        <w:pStyle w:val="726"/>
        <w:spacing w:line="440" w:lineRule="exact"/>
        <w:rPr>
          <w:rFonts w:hint="eastAsia" w:ascii="宋体" w:hAnsi="宋体" w:eastAsia="宋体" w:cs="宋体"/>
          <w:sz w:val="24"/>
          <w:szCs w:val="28"/>
          <w:highlight w:val="none"/>
        </w:rPr>
      </w:pPr>
      <w:r/>
      <w:bookmarkStart w:id="127" w:name="_Toc16938550"/>
      <w:r/>
      <w:bookmarkStart w:id="128" w:name="_Toc20823306"/>
      <w:r/>
      <w:bookmarkStart w:id="129" w:name="_Toc513029234"/>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7"/>
      <w:r/>
      <w:bookmarkEnd w:id="128"/>
      <w:r/>
      <w:bookmarkEnd w:id="129"/>
      <w:r>
        <w:rPr>
          <w:rFonts w:hint="eastAsia" w:ascii="宋体" w:hAnsi="宋体"/>
          <w:b/>
          <w:bCs/>
          <w:color w:val="auto"/>
          <w:sz w:val="24"/>
          <w:szCs w:val="24"/>
          <w:highlight w:val="none"/>
        </w:rPr>
        <w:t xml:space="preserve">.无效投标条款和废标条款</w:t>
      </w:r>
      <w:r/>
    </w:p>
    <w:p>
      <w:pPr>
        <w:pStyle w:val="928"/>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 无效投标条款</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 投标人未按照招标文件要求上传电子投标文件的；</w:t>
      </w:r>
      <w:r/>
    </w:p>
    <w:p>
      <w:pPr>
        <w:pStyle w:val="929"/>
        <w:ind w:firstLine="508"/>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27.1.3 投标文件中没有《开标一览表》或《开标一览表》未加盖投标人公章的；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27.1.4 投标文件中任何有选择的报价；</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27.1.6 不同投标人的投标文件由同一单位或者个人编制；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27.1.7 不同投标人委托同一单位或者个人办理投标事宜；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27.1.8 不同投标人的投标文件制作机器码一致的；</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27.1.9 不同投标人的投标文件载明的项目管理成员或者联系人员为同一人；</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27.1.10 不同投标人的投标文件异常一致或者投标报价呈规律性差异；</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27.1.11 </w:t>
      </w:r>
      <w:r>
        <w:rPr>
          <w:rStyle w:val="912"/>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12"/>
          <w:rFonts w:hint="eastAsia" w:ascii="宋体" w:hAnsi="宋体"/>
          <w:color w:val="auto"/>
          <w:spacing w:val="7"/>
          <w:sz w:val="24"/>
          <w:szCs w:val="24"/>
          <w:highlight w:val="none"/>
        </w:rPr>
        <w:t xml:space="preserve">；</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27.1.14 不同供应商的单位负责人为同一人或者存在直接控股、管理关系的；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27.1.15 为采购项目提供整体设计、规范编制或者项目管理、监理、检测等服务的；</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27.1.16 资格证明文件中要求加盖公章而未加盖公章的；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27.1.17 投标文件未按招标文件要求签署、盖章的；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27.1.19 报价超过招标文件中规定的预算金额或者最高限价的；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27.1.20 投标文件含有采购人不能接受的附加条件的； </w:t>
      </w:r>
      <w:r/>
    </w:p>
    <w:p>
      <w:pPr>
        <w:pStyle w:val="929"/>
        <w:ind w:firstLine="500"/>
        <w:spacing w:line="440" w:lineRule="exact"/>
        <w:rPr>
          <w:rStyle w:val="912"/>
          <w:rFonts w:hint="eastAsia" w:ascii="宋体" w:hAnsi="宋体"/>
          <w:b/>
          <w:bCs/>
          <w:color w:val="auto"/>
          <w:spacing w:val="7"/>
          <w:sz w:val="24"/>
          <w:szCs w:val="24"/>
          <w:highlight w:val="none"/>
        </w:rPr>
      </w:pPr>
      <w:r>
        <w:rPr>
          <w:rStyle w:val="912"/>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12"/>
          <w:rFonts w:hint="eastAsia" w:ascii="宋体" w:hAnsi="宋体"/>
          <w:color w:val="auto"/>
          <w:spacing w:val="7"/>
          <w:sz w:val="24"/>
          <w:szCs w:val="24"/>
          <w:highlight w:val="none"/>
        </w:rPr>
        <w:t xml:space="preserve"> </w:t>
      </w:r>
      <w:r/>
    </w:p>
    <w:p>
      <w:pPr>
        <w:pStyle w:val="929"/>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27.1.22 法律、法规和采购文件规定的其他无效情形; </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27.2 废标条款：</w:t>
      </w:r>
      <w:r/>
    </w:p>
    <w:p>
      <w:pPr>
        <w:pStyle w:val="930"/>
        <w:ind w:firstLine="508"/>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(1)符合专业条件的供应商或者对招标文件作实质响应的供应商不足三家的； </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(2)出现影响采购公正的违法、违规行为的；</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(3)投标人的报价均超过了采购预算，采购人不能支付的；</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(4)因重大变故，采购任务取消的。</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(5)因苏采云系统系统故障原因造成开标不成功的。</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27.3 投标截止时间结束后参加投标的供应商不足三家的处理：</w:t>
      </w:r>
      <w:r/>
    </w:p>
    <w:p>
      <w:pPr>
        <w:pStyle w:val="930"/>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20"/>
        <w:ind w:firstLine="482"/>
        <w:jc w:val="left"/>
        <w:spacing w:before="0" w:after="0" w:line="440" w:lineRule="exact"/>
        <w:rPr>
          <w:rStyle w:val="921"/>
          <w:rFonts w:hint="eastAsia" w:ascii="宋体" w:hAnsi="宋体"/>
          <w:b w:val="0"/>
          <w:bCs w:val="0"/>
          <w:color w:val="auto"/>
          <w:sz w:val="24"/>
          <w:szCs w:val="24"/>
          <w:highlight w:val="none"/>
        </w:rPr>
      </w:pPr>
      <w:r/>
      <w:bookmarkStart w:id="130" w:name="_Toc20823307"/>
      <w:r/>
      <w:bookmarkStart w:id="131" w:name="_Toc513029235"/>
      <w:r/>
      <w:bookmarkStart w:id="132" w:name="_Toc16938551"/>
      <w:r/>
      <w:bookmarkStart w:id="133" w:name="_Toc54615244"/>
      <w:r/>
      <w:bookmarkStart w:id="134" w:name="_Toc120614219"/>
      <w:r/>
      <w:bookmarkStart w:id="135" w:name="_Toc35266025"/>
      <w:r/>
      <w:bookmarkStart w:id="136" w:name="_Toc28184"/>
      <w:r/>
      <w:bookmarkStart w:id="137" w:name="_Toc38368125"/>
      <w:r>
        <w:rPr>
          <w:rStyle w:val="921"/>
          <w:rFonts w:hint="eastAsia" w:ascii="宋体" w:hAnsi="宋体"/>
          <w:b w:val="0"/>
          <w:bCs w:val="0"/>
          <w:color w:val="auto"/>
          <w:sz w:val="24"/>
          <w:szCs w:val="24"/>
          <w:highlight w:val="none"/>
        </w:rPr>
        <w:t xml:space="preserve">六、</w:t>
      </w:r>
      <w:bookmarkEnd w:id="130"/>
      <w:r/>
      <w:bookmarkEnd w:id="131"/>
      <w:r/>
      <w:bookmarkEnd w:id="132"/>
      <w:r>
        <w:rPr>
          <w:rStyle w:val="921"/>
          <w:rFonts w:hint="eastAsia" w:ascii="宋体" w:hAnsi="宋体"/>
          <w:b w:val="0"/>
          <w:bCs w:val="0"/>
          <w:color w:val="auto"/>
          <w:sz w:val="24"/>
          <w:szCs w:val="24"/>
          <w:highlight w:val="none"/>
        </w:rPr>
        <w:t xml:space="preserve">定标</w:t>
      </w:r>
      <w:bookmarkEnd w:id="133"/>
      <w:r/>
      <w:bookmarkEnd w:id="134"/>
      <w:r/>
      <w:bookmarkEnd w:id="135"/>
      <w:r/>
      <w:bookmarkEnd w:id="136"/>
      <w:r/>
      <w:bookmarkEnd w:id="137"/>
      <w:r/>
      <w:r/>
    </w:p>
    <w:p>
      <w:pPr>
        <w:ind w:firstLine="482"/>
        <w:keepLines/>
        <w:keepNext/>
        <w:spacing w:line="440" w:lineRule="exact"/>
        <w:rPr>
          <w:rFonts w:hint="eastAsia" w:ascii="宋体" w:hAnsi="宋体"/>
          <w:b/>
          <w:bCs/>
          <w:color w:val="auto"/>
          <w:sz w:val="24"/>
          <w:szCs w:val="24"/>
          <w:highlight w:val="none"/>
        </w:rPr>
        <w:outlineLvl w:val="3"/>
      </w:pPr>
      <w:r/>
      <w:bookmarkStart w:id="138" w:name="_Toc513029238"/>
      <w:r/>
      <w:bookmarkStart w:id="139" w:name="_Toc20823310"/>
      <w:r/>
      <w:bookmarkStart w:id="140" w:name="_Toc16938554"/>
      <w:r>
        <w:rPr>
          <w:rFonts w:hint="eastAsia" w:ascii="宋体" w:hAnsi="宋体"/>
          <w:b/>
          <w:bCs/>
          <w:color w:val="auto"/>
          <w:sz w:val="24"/>
          <w:szCs w:val="24"/>
          <w:highlight w:val="none"/>
        </w:rPr>
        <w:t xml:space="preserve">28</w:t>
      </w:r>
      <w:bookmarkEnd w:id="138"/>
      <w:r>
        <w:rPr>
          <w:rFonts w:hint="eastAsia" w:ascii="宋体" w:hAnsi="宋体"/>
          <w:b/>
          <w:bCs/>
          <w:color w:val="auto"/>
          <w:sz w:val="24"/>
          <w:szCs w:val="24"/>
          <w:highlight w:val="none"/>
        </w:rPr>
        <w:t xml:space="preserve">.确定</w:t>
      </w:r>
      <w:bookmarkEnd w:id="139"/>
      <w:r/>
      <w:bookmarkEnd w:id="140"/>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1" w:name="EB0a0bb8d9f8954ef79aa564dbfd72d9f1"/>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2" w:name="EB099f29e99fec42e0b68e9bb29a0c4ea8"/>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3" w:name="EB8773124fd4fb4b248e75c3aa7fb3bbda"/>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4" w:name="EB74ca8e7cbd0c43048dde3bacda3415fd"/>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31"/>
        <w:ind w:firstLine="500"/>
        <w:spacing w:line="440" w:lineRule="exact"/>
        <w:rPr>
          <w:rStyle w:val="912"/>
          <w:rFonts w:hint="eastAsia" w:ascii="宋体" w:hAnsi="宋体"/>
          <w:color w:val="auto"/>
          <w:spacing w:val="7"/>
          <w:sz w:val="24"/>
          <w:szCs w:val="24"/>
          <w:highlight w:val="none"/>
        </w:rPr>
      </w:pPr>
      <w:r>
        <w:rPr>
          <w:rStyle w:val="912"/>
          <w:rFonts w:hint="eastAsia" w:ascii="宋体" w:hAnsi="宋体"/>
          <w:color w:val="auto"/>
          <w:spacing w:val="7"/>
          <w:sz w:val="24"/>
          <w:szCs w:val="24"/>
          <w:highlight w:val="none"/>
        </w:rPr>
        <w:t xml:space="preserve">32.1合同签订前，中标人向采购单位交付的履约保证金为合同总价款的</w:t>
      </w:r>
      <w:r>
        <w:rPr>
          <w:rStyle w:val="912"/>
          <w:rFonts w:hint="eastAsia" w:ascii="宋体" w:hAnsi="宋体"/>
          <w:color w:val="auto"/>
          <w:spacing w:val="7"/>
          <w:sz w:val="24"/>
          <w:szCs w:val="24"/>
          <w:highlight w:val="none"/>
          <w:lang w:val="en-US"/>
        </w:rPr>
        <w:t xml:space="preserve">2</w:t>
      </w:r>
      <w:r>
        <w:rPr>
          <w:rStyle w:val="912"/>
          <w:rFonts w:hint="eastAsia" w:ascii="宋体" w:hAnsi="宋体"/>
          <w:color w:val="auto"/>
          <w:spacing w:val="7"/>
          <w:sz w:val="24"/>
          <w:szCs w:val="24"/>
          <w:highlight w:val="none"/>
        </w:rPr>
        <w:t xml:space="preserve">％。</w:t>
      </w:r>
      <w:bookmarkStart w:id="145" w:name="EB8c6891da72364e93a7598f4884fbe954"/>
      <w:r/>
      <w:bookmarkEnd w:id="145"/>
      <w:r>
        <w:rPr>
          <w:rStyle w:val="912"/>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19"/>
        <w:pageBreakBefore/>
        <w:spacing w:line="360" w:lineRule="auto"/>
        <w:rPr>
          <w:rFonts w:hint="eastAsia" w:ascii="宋体" w:hAnsi="宋体" w:eastAsia="宋体"/>
          <w:color w:val="auto"/>
          <w:highlight w:val="none"/>
        </w:rPr>
      </w:pPr>
      <w:r/>
      <w:bookmarkStart w:id="146" w:name="_Toc54615245"/>
      <w:r/>
      <w:bookmarkStart w:id="147" w:name="_Toc35266027"/>
      <w:r/>
      <w:bookmarkStart w:id="148" w:name="_Toc38368127"/>
      <w:r/>
      <w:bookmarkStart w:id="149" w:name="_Toc22460"/>
      <w:r/>
      <w:bookmarkStart w:id="150" w:name="_Toc31775"/>
      <w:r/>
      <w:bookmarkStart w:id="151" w:name="_Toc12745"/>
      <w:r/>
      <w:bookmarkStart w:id="152" w:name="_Toc3449"/>
      <w:r>
        <w:rPr>
          <w:rFonts w:hint="eastAsia" w:ascii="宋体" w:hAnsi="宋体" w:eastAsia="宋体"/>
          <w:color w:val="auto"/>
          <w:highlight w:val="none"/>
        </w:rPr>
        <w:t xml:space="preserve">第三章 合同条款及格式</w:t>
      </w:r>
      <w:bookmarkEnd w:id="146"/>
      <w:r/>
      <w:bookmarkEnd w:id="147"/>
      <w:r/>
      <w:bookmarkEnd w:id="148"/>
      <w:r/>
      <w:bookmarkEnd w:id="149"/>
      <w:r/>
      <w:bookmarkEnd w:id="150"/>
      <w:r/>
      <w:bookmarkEnd w:id="151"/>
      <w:r/>
      <w:bookmarkEnd w:id="152"/>
      <w:r/>
      <w:r/>
    </w:p>
    <w:p>
      <w:pPr>
        <w:pStyle w:val="932"/>
        <w:ind w:firstLine="480"/>
        <w:spacing w:line="440" w:lineRule="exact"/>
        <w:rPr>
          <w:rStyle w:val="912"/>
          <w:rFonts w:hAnsi="宋体" w:eastAsia="Times New Roman"/>
          <w:color w:val="auto"/>
          <w:sz w:val="24"/>
          <w:highlight w:val="none"/>
        </w:rPr>
      </w:pPr>
      <w:r>
        <w:rPr>
          <w:rStyle w:val="912"/>
          <w:rFonts w:hAnsi="宋体" w:eastAsia="Times New Roman"/>
          <w:color w:val="auto"/>
          <w:sz w:val="24"/>
          <w:highlight w:val="none"/>
        </w:rPr>
        <w:t xml:space="preserve">以下为中标</w:t>
      </w:r>
      <w:r>
        <w:rPr>
          <w:rStyle w:val="912"/>
          <w:rFonts w:hint="eastAsia" w:ascii="宋体" w:hAnsi="宋体"/>
          <w:color w:val="auto"/>
          <w:sz w:val="24"/>
          <w:highlight w:val="none"/>
        </w:rPr>
        <w:t xml:space="preserve">(</w:t>
      </w:r>
      <w:r>
        <w:rPr>
          <w:rStyle w:val="912"/>
          <w:rFonts w:hAnsi="宋体" w:eastAsia="Times New Roman"/>
          <w:color w:val="auto"/>
          <w:sz w:val="24"/>
          <w:highlight w:val="none"/>
        </w:rPr>
        <w:t xml:space="preserve">成交</w:t>
      </w:r>
      <w:r>
        <w:rPr>
          <w:rStyle w:val="912"/>
          <w:rFonts w:hint="eastAsia" w:ascii="宋体" w:hAnsi="宋体"/>
          <w:color w:val="auto"/>
          <w:sz w:val="24"/>
          <w:highlight w:val="none"/>
        </w:rPr>
        <w:t xml:space="preserve">)</w:t>
      </w:r>
      <w:r>
        <w:rPr>
          <w:rStyle w:val="912"/>
          <w:rFonts w:hAnsi="宋体" w:eastAsia="Times New Roman"/>
          <w:color w:val="auto"/>
          <w:sz w:val="24"/>
          <w:highlight w:val="none"/>
        </w:rPr>
        <w:t xml:space="preserve">后签定本项目合同的通用条款，中标</w:t>
      </w:r>
      <w:r>
        <w:rPr>
          <w:rStyle w:val="912"/>
          <w:rFonts w:hint="eastAsia" w:ascii="宋体" w:hAnsi="宋体"/>
          <w:color w:val="auto"/>
          <w:sz w:val="24"/>
          <w:highlight w:val="none"/>
        </w:rPr>
        <w:t xml:space="preserve">(</w:t>
      </w:r>
      <w:r>
        <w:rPr>
          <w:rStyle w:val="912"/>
          <w:rFonts w:hAnsi="宋体" w:eastAsia="Times New Roman"/>
          <w:color w:val="auto"/>
          <w:sz w:val="24"/>
          <w:highlight w:val="none"/>
        </w:rPr>
        <w:t xml:space="preserve">成交</w:t>
      </w:r>
      <w:r>
        <w:rPr>
          <w:rStyle w:val="912"/>
          <w:rFonts w:hint="eastAsia" w:ascii="宋体" w:hAnsi="宋体"/>
          <w:color w:val="auto"/>
          <w:sz w:val="24"/>
          <w:highlight w:val="none"/>
        </w:rPr>
        <w:t xml:space="preserve">)</w:t>
      </w:r>
      <w:r>
        <w:rPr>
          <w:rStyle w:val="912"/>
          <w:rFonts w:hAnsi="宋体" w:eastAsia="Times New Roman"/>
          <w:color w:val="auto"/>
          <w:sz w:val="24"/>
          <w:highlight w:val="none"/>
        </w:rPr>
        <w:t xml:space="preserve">供应商不得提出实质性的修改。</w:t>
      </w:r>
      <w:r/>
    </w:p>
    <w:p>
      <w:pPr>
        <w:pStyle w:val="932"/>
        <w:jc w:val="center"/>
        <w:rPr>
          <w:rStyle w:val="912"/>
          <w:rFonts w:hint="eastAsia"/>
          <w:b/>
          <w:color w:val="auto"/>
          <w:sz w:val="32"/>
          <w:highlight w:val="none"/>
        </w:rPr>
      </w:pPr>
      <w:r>
        <w:rPr>
          <w:rStyle w:val="912"/>
          <w:rFonts w:hint="eastAsia"/>
          <w:b/>
          <w:color w:val="auto"/>
          <w:sz w:val="32"/>
          <w:highlight w:val="none"/>
        </w:rPr>
        <w:t xml:space="preserve">张家港市政府采购合同</w:t>
      </w:r>
      <w:r/>
    </w:p>
    <w:p>
      <w:pPr>
        <w:pStyle w:val="932"/>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项目名称：</w:t>
      </w:r>
      <w:bookmarkStart w:id="153" w:name="biaoduanname_1"/>
      <w:r>
        <w:rPr>
          <w:rStyle w:val="912"/>
          <w:rFonts w:hint="eastAsia" w:ascii="宋体" w:hAnsi="宋体"/>
          <w:color w:val="auto"/>
          <w:sz w:val="24"/>
          <w:highlight w:val="none"/>
        </w:rPr>
        <w:t xml:space="preserve">                   </w:t>
      </w:r>
      <w:bookmarkEnd w:id="153"/>
      <w:r>
        <w:rPr>
          <w:rStyle w:val="912"/>
          <w:rFonts w:hint="eastAsia" w:ascii="宋体" w:hAnsi="宋体"/>
          <w:color w:val="auto"/>
          <w:sz w:val="24"/>
          <w:highlight w:val="none"/>
        </w:rPr>
        <w:t xml:space="preserve">         </w:t>
      </w:r>
      <w:r/>
    </w:p>
    <w:p>
      <w:pPr>
        <w:pStyle w:val="932"/>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项目编号：</w:t>
      </w:r>
      <w:bookmarkStart w:id="154" w:name="projectno"/>
      <w:r>
        <w:rPr>
          <w:rStyle w:val="912"/>
          <w:rFonts w:hint="eastAsia" w:ascii="宋体" w:hAnsi="宋体"/>
          <w:color w:val="auto"/>
          <w:sz w:val="24"/>
          <w:highlight w:val="none"/>
        </w:rPr>
        <w:t xml:space="preserve">                  </w:t>
      </w:r>
      <w:bookmarkEnd w:id="154"/>
      <w:r/>
      <w:r/>
    </w:p>
    <w:p>
      <w:pPr>
        <w:pStyle w:val="932"/>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甲方：（买方）</w:t>
      </w:r>
      <w:r>
        <w:rPr>
          <w:rStyle w:val="912"/>
          <w:rFonts w:hint="eastAsia" w:ascii="宋体" w:hAnsi="宋体"/>
          <w:color w:val="auto"/>
          <w:sz w:val="24"/>
          <w:highlight w:val="none"/>
          <w:u w:val="single"/>
        </w:rPr>
        <w:t xml:space="preserve"> </w:t>
      </w:r>
      <w:bookmarkStart w:id="155" w:name="jianshedanwei_1"/>
      <w:r>
        <w:rPr>
          <w:rStyle w:val="912"/>
          <w:rFonts w:hint="eastAsia" w:ascii="宋体" w:hAnsi="宋体"/>
          <w:color w:val="auto"/>
          <w:sz w:val="24"/>
          <w:highlight w:val="none"/>
          <w:u w:val="single"/>
        </w:rPr>
        <w:t xml:space="preserve">                  </w:t>
      </w:r>
      <w:bookmarkEnd w:id="155"/>
      <w:r>
        <w:rPr>
          <w:rStyle w:val="912"/>
          <w:rFonts w:hint="eastAsia" w:ascii="宋体" w:hAnsi="宋体"/>
          <w:color w:val="auto"/>
          <w:sz w:val="24"/>
          <w:highlight w:val="none"/>
          <w:u w:val="single"/>
        </w:rPr>
        <w:t xml:space="preserve"> </w:t>
      </w:r>
      <w:r/>
    </w:p>
    <w:p>
      <w:pPr>
        <w:pStyle w:val="932"/>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乙方：（卖方）</w:t>
      </w:r>
      <w:r>
        <w:rPr>
          <w:rStyle w:val="912"/>
          <w:rFonts w:hint="eastAsia" w:ascii="宋体" w:hAnsi="宋体"/>
          <w:color w:val="auto"/>
          <w:sz w:val="24"/>
          <w:highlight w:val="none"/>
          <w:u w:val="single"/>
        </w:rPr>
        <w:t xml:space="preserve"> </w:t>
      </w:r>
      <w:bookmarkStart w:id="156" w:name="zhongbiaodanweiname_1"/>
      <w:r>
        <w:rPr>
          <w:rStyle w:val="912"/>
          <w:rFonts w:hint="eastAsia" w:ascii="宋体" w:hAnsi="宋体"/>
          <w:color w:val="auto"/>
          <w:sz w:val="24"/>
          <w:highlight w:val="none"/>
          <w:u w:val="single"/>
        </w:rPr>
        <w:t xml:space="preserve">                    </w:t>
      </w:r>
      <w:bookmarkEnd w:id="156"/>
      <w:r>
        <w:rPr>
          <w:rStyle w:val="912"/>
          <w:rFonts w:hint="eastAsia" w:ascii="宋体" w:hAnsi="宋体"/>
          <w:color w:val="auto"/>
          <w:sz w:val="24"/>
          <w:highlight w:val="none"/>
          <w:u w:val="single"/>
        </w:rPr>
        <w:t xml:space="preserve"> </w:t>
      </w:r>
      <w:r/>
    </w:p>
    <w:p>
      <w:pPr>
        <w:pStyle w:val="932"/>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25"/>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itemname"/>
            <w:r>
              <w:rPr>
                <w:rFonts w:hint="eastAsia" w:ascii="宋体" w:hAnsi="宋体"/>
                <w:color w:val="auto"/>
                <w:sz w:val="24"/>
                <w:szCs w:val="24"/>
                <w:highlight w:val="none"/>
              </w:rPr>
              <w:t xml:space="preserve">      </w:t>
            </w:r>
            <w:bookmarkEnd w:id="157"/>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8"/>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32"/>
        <w:ind w:firstLine="480"/>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2.1 本合同金额为（大写）：</w:t>
      </w:r>
      <w:r>
        <w:rPr>
          <w:rStyle w:val="912"/>
          <w:rFonts w:hint="eastAsia" w:ascii="宋体" w:hAnsi="宋体"/>
          <w:color w:val="auto"/>
          <w:sz w:val="24"/>
          <w:highlight w:val="none"/>
          <w:u w:val="single"/>
        </w:rPr>
        <w:t xml:space="preserve"> </w:t>
      </w:r>
      <w:bookmarkStart w:id="159" w:name="zhongbiaopriceup"/>
      <w:r>
        <w:rPr>
          <w:rStyle w:val="912"/>
          <w:rFonts w:hint="eastAsia" w:ascii="宋体" w:hAnsi="宋体"/>
          <w:color w:val="auto"/>
          <w:sz w:val="24"/>
          <w:highlight w:val="none"/>
          <w:u w:val="single"/>
        </w:rPr>
        <w:t xml:space="preserve">             </w:t>
      </w:r>
      <w:bookmarkEnd w:id="159"/>
      <w:r>
        <w:rPr>
          <w:rStyle w:val="912"/>
          <w:rFonts w:hint="eastAsia" w:ascii="宋体" w:hAnsi="宋体"/>
          <w:color w:val="auto"/>
          <w:sz w:val="24"/>
          <w:highlight w:val="none"/>
        </w:rPr>
        <w:t xml:space="preserve">（</w:t>
      </w:r>
      <w:r>
        <w:rPr>
          <w:rStyle w:val="912"/>
          <w:rFonts w:hint="eastAsia" w:ascii="宋体" w:hAnsi="宋体"/>
          <w:color w:val="auto"/>
          <w:sz w:val="24"/>
          <w:highlight w:val="none"/>
          <w:u w:val="single"/>
        </w:rPr>
        <w:t xml:space="preserve"> </w:t>
      </w:r>
      <w:bookmarkStart w:id="160" w:name="zhongbiaopricelow"/>
      <w:r>
        <w:rPr>
          <w:rStyle w:val="912"/>
          <w:rFonts w:hint="eastAsia" w:ascii="宋体" w:hAnsi="宋体"/>
          <w:color w:val="auto"/>
          <w:sz w:val="24"/>
          <w:highlight w:val="none"/>
          <w:u w:val="single"/>
        </w:rPr>
        <w:t xml:space="preserve">           </w:t>
      </w:r>
      <w:bookmarkEnd w:id="160"/>
      <w:r>
        <w:rPr>
          <w:rStyle w:val="912"/>
          <w:rFonts w:hint="eastAsia" w:ascii="宋体" w:hAnsi="宋体"/>
          <w:color w:val="auto"/>
          <w:sz w:val="24"/>
          <w:highlight w:val="none"/>
          <w:u w:val="single"/>
        </w:rPr>
        <w:t xml:space="preserve"> </w:t>
      </w:r>
      <w:r>
        <w:rPr>
          <w:rStyle w:val="912"/>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32"/>
        <w:ind w:left="407"/>
        <w:spacing w:line="440" w:lineRule="exact"/>
        <w:rPr>
          <w:rStyle w:val="912"/>
          <w:rFonts w:hint="eastAsia" w:ascii="宋体" w:hAnsi="宋体"/>
          <w:b/>
          <w:color w:val="auto"/>
          <w:sz w:val="24"/>
          <w:highlight w:val="none"/>
        </w:rPr>
      </w:pPr>
      <w:r>
        <w:rPr>
          <w:rStyle w:val="912"/>
          <w:rFonts w:hint="eastAsia" w:ascii="宋体" w:hAnsi="宋体"/>
          <w:b/>
          <w:color w:val="auto"/>
          <w:sz w:val="24"/>
          <w:highlight w:val="none"/>
        </w:rPr>
        <w:t xml:space="preserve">六、履约保证金</w:t>
      </w:r>
      <w:r/>
    </w:p>
    <w:p>
      <w:pPr>
        <w:pStyle w:val="932"/>
        <w:ind w:firstLine="480"/>
        <w:spacing w:line="440" w:lineRule="exact"/>
        <w:rPr>
          <w:rStyle w:val="912"/>
          <w:rFonts w:hint="eastAsia" w:ascii="宋体" w:hAnsi="宋体"/>
          <w:color w:val="auto"/>
          <w:sz w:val="24"/>
          <w:highlight w:val="none"/>
        </w:rPr>
      </w:pPr>
      <w:r>
        <w:rPr>
          <w:rStyle w:val="912"/>
          <w:rFonts w:hint="eastAsia" w:ascii="宋体" w:hAnsi="宋体"/>
          <w:color w:val="auto"/>
          <w:sz w:val="24"/>
          <w:highlight w:val="none"/>
        </w:rPr>
        <w:t xml:space="preserve">6.1合同签订前，乙方向采购单位交纳人民币</w:t>
      </w:r>
      <w:r>
        <w:rPr>
          <w:rStyle w:val="912"/>
          <w:rFonts w:hint="eastAsia" w:ascii="宋体" w:hAnsi="宋体"/>
          <w:color w:val="auto"/>
          <w:sz w:val="24"/>
          <w:highlight w:val="none"/>
          <w:u w:val="single"/>
        </w:rPr>
        <w:t xml:space="preserve"> </w:t>
      </w:r>
      <w:bookmarkStart w:id="161" w:name="lvbzj"/>
      <w:r>
        <w:rPr>
          <w:rStyle w:val="912"/>
          <w:rFonts w:hint="eastAsia" w:ascii="宋体" w:hAnsi="宋体"/>
          <w:color w:val="auto"/>
          <w:sz w:val="24"/>
          <w:highlight w:val="none"/>
          <w:u w:val="single"/>
        </w:rPr>
        <w:t xml:space="preserve">  </w:t>
      </w:r>
      <w:bookmarkEnd w:id="161"/>
      <w:r>
        <w:rPr>
          <w:rStyle w:val="912"/>
          <w:rFonts w:hint="eastAsia" w:ascii="宋体" w:hAnsi="宋体"/>
          <w:color w:val="auto"/>
          <w:sz w:val="24"/>
          <w:highlight w:val="none"/>
          <w:u w:val="single"/>
        </w:rPr>
        <w:t xml:space="preserve"> </w:t>
      </w:r>
      <w:r>
        <w:rPr>
          <w:rStyle w:val="912"/>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33"/>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33"/>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33"/>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33"/>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33"/>
        <w:spacing w:line="440" w:lineRule="exact"/>
        <w:rPr>
          <w:rFonts w:hint="eastAsia"/>
          <w:b/>
          <w:color w:val="auto"/>
          <w:highlight w:val="none"/>
        </w:rPr>
      </w:pPr>
      <w:r>
        <w:rPr>
          <w:rFonts w:hint="eastAsia"/>
          <w:b/>
          <w:color w:val="auto"/>
          <w:highlight w:val="none"/>
        </w:rPr>
        <w:t xml:space="preserve">七、转包或分包 </w:t>
      </w:r>
      <w:r/>
    </w:p>
    <w:p>
      <w:pPr>
        <w:pStyle w:val="933"/>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33"/>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2" w:name="jiaohuoq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3" w:name="jiaohuofangsh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4" w:name="jiaohuodidian"/>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pStyle w:val="933"/>
        <w:spacing w:line="440" w:lineRule="exact"/>
        <w:rPr>
          <w:rFonts w:hint="eastAsia"/>
          <w:b/>
          <w:color w:val="auto"/>
          <w:highlight w:val="none"/>
        </w:rPr>
      </w:pPr>
      <w:r>
        <w:rPr>
          <w:rFonts w:hint="eastAsia"/>
          <w:b/>
          <w:color w:val="auto"/>
          <w:highlight w:val="none"/>
        </w:rPr>
        <w:t xml:space="preserve">九、货款支付 </w:t>
      </w:r>
      <w:r/>
    </w:p>
    <w:p>
      <w:pPr>
        <w:pStyle w:val="933"/>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33"/>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33"/>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33"/>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33"/>
        <w:spacing w:line="440" w:lineRule="exact"/>
        <w:rPr>
          <w:rFonts w:hint="eastAsia"/>
          <w:b/>
          <w:color w:val="auto"/>
          <w:highlight w:val="none"/>
        </w:rPr>
      </w:pPr>
      <w:r>
        <w:rPr>
          <w:rFonts w:hint="eastAsia"/>
          <w:b/>
          <w:color w:val="auto"/>
          <w:highlight w:val="none"/>
        </w:rPr>
        <w:t xml:space="preserve">十、税 </w:t>
      </w:r>
      <w:r/>
    </w:p>
    <w:p>
      <w:pPr>
        <w:pStyle w:val="933"/>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5" w:name="xiangyingdate"/>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6"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7" w:name="wanchengyanshou"/>
      <w:r>
        <w:rPr>
          <w:rFonts w:hint="eastAsia" w:ascii="宋体" w:hAnsi="宋体"/>
          <w:b/>
          <w:color w:val="auto"/>
          <w:sz w:val="24"/>
          <w:szCs w:val="24"/>
          <w:highlight w:val="none"/>
          <w:u w:val="single"/>
        </w:rPr>
        <w:t xml:space="preserve">       </w:t>
      </w:r>
      <w:bookmarkEnd w:id="167"/>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33"/>
        <w:spacing w:line="440" w:lineRule="exact"/>
        <w:rPr>
          <w:rFonts w:hint="eastAsia"/>
          <w:color w:val="auto"/>
          <w:highlight w:val="none"/>
        </w:rPr>
      </w:pPr>
      <w:r>
        <w:rPr>
          <w:rFonts w:hint="eastAsia"/>
          <w:color w:val="auto"/>
          <w:highlight w:val="none"/>
        </w:rPr>
      </w:r>
      <w:r/>
    </w:p>
    <w:p>
      <w:pPr>
        <w:pStyle w:val="933"/>
        <w:spacing w:line="440" w:lineRule="exact"/>
        <w:rPr>
          <w:rFonts w:hint="eastAsia"/>
          <w:color w:val="auto"/>
          <w:highlight w:val="none"/>
        </w:rPr>
      </w:pPr>
      <w:r>
        <w:rPr>
          <w:rFonts w:hint="eastAsia"/>
          <w:color w:val="auto"/>
          <w:highlight w:val="none"/>
        </w:rPr>
        <w:t xml:space="preserve">甲方： </w:t>
      </w:r>
      <w:r/>
    </w:p>
    <w:p>
      <w:pPr>
        <w:pStyle w:val="933"/>
        <w:spacing w:line="440" w:lineRule="exact"/>
        <w:rPr>
          <w:rFonts w:hint="eastAsia"/>
          <w:color w:val="auto"/>
          <w:highlight w:val="none"/>
        </w:rPr>
      </w:pPr>
      <w:r>
        <w:rPr>
          <w:rFonts w:hint="eastAsia"/>
          <w:color w:val="auto"/>
          <w:highlight w:val="none"/>
        </w:rPr>
        <w:t xml:space="preserve">地址： </w:t>
      </w:r>
      <w:r/>
    </w:p>
    <w:p>
      <w:pPr>
        <w:pStyle w:val="933"/>
        <w:spacing w:line="440" w:lineRule="exact"/>
        <w:rPr>
          <w:rFonts w:hint="eastAsia"/>
          <w:color w:val="auto"/>
          <w:highlight w:val="none"/>
        </w:rPr>
      </w:pPr>
      <w:r>
        <w:rPr>
          <w:rFonts w:hint="eastAsia"/>
          <w:color w:val="auto"/>
          <w:highlight w:val="none"/>
        </w:rPr>
        <w:t xml:space="preserve">法定代表人或授权代表： </w:t>
      </w:r>
      <w:r/>
    </w:p>
    <w:p>
      <w:pPr>
        <w:pStyle w:val="933"/>
        <w:spacing w:line="440" w:lineRule="exact"/>
        <w:rPr>
          <w:rFonts w:hint="eastAsia"/>
          <w:color w:val="auto"/>
          <w:highlight w:val="none"/>
        </w:rPr>
      </w:pPr>
      <w:r>
        <w:rPr>
          <w:rFonts w:hint="eastAsia"/>
          <w:color w:val="auto"/>
          <w:highlight w:val="none"/>
        </w:rPr>
        <w:t xml:space="preserve">联系电话： </w:t>
      </w:r>
      <w:r/>
    </w:p>
    <w:p>
      <w:pPr>
        <w:pStyle w:val="933"/>
        <w:spacing w:line="440" w:lineRule="exact"/>
        <w:rPr>
          <w:rFonts w:hint="eastAsia"/>
          <w:color w:val="auto"/>
          <w:highlight w:val="none"/>
        </w:rPr>
      </w:pPr>
      <w:r>
        <w:rPr>
          <w:rFonts w:hint="eastAsia"/>
          <w:color w:val="auto"/>
          <w:highlight w:val="none"/>
        </w:rPr>
        <w:t xml:space="preserve">签订日期： 年 月 日 </w:t>
      </w:r>
      <w:r/>
    </w:p>
    <w:p>
      <w:pPr>
        <w:pStyle w:val="933"/>
        <w:spacing w:line="440" w:lineRule="exact"/>
        <w:rPr>
          <w:color w:val="auto"/>
          <w:highlight w:val="none"/>
        </w:rPr>
      </w:pPr>
      <w:r>
        <w:rPr>
          <w:color w:val="auto"/>
          <w:highlight w:val="none"/>
        </w:rPr>
      </w:r>
      <w:r/>
    </w:p>
    <w:p>
      <w:pPr>
        <w:pStyle w:val="933"/>
        <w:spacing w:line="440" w:lineRule="exact"/>
        <w:rPr>
          <w:rFonts w:hint="eastAsia"/>
          <w:color w:val="auto"/>
          <w:highlight w:val="none"/>
        </w:rPr>
      </w:pPr>
      <w:r>
        <w:rPr>
          <w:rFonts w:hint="eastAsia"/>
          <w:color w:val="auto"/>
          <w:highlight w:val="none"/>
        </w:rPr>
        <w:t xml:space="preserve">乙方： </w:t>
      </w:r>
      <w:r/>
    </w:p>
    <w:p>
      <w:pPr>
        <w:pStyle w:val="933"/>
        <w:spacing w:line="440" w:lineRule="exact"/>
        <w:rPr>
          <w:rFonts w:hint="eastAsia"/>
          <w:color w:val="auto"/>
          <w:highlight w:val="none"/>
        </w:rPr>
      </w:pPr>
      <w:r>
        <w:rPr>
          <w:rFonts w:hint="eastAsia"/>
          <w:color w:val="auto"/>
          <w:highlight w:val="none"/>
        </w:rPr>
        <w:t xml:space="preserve">地址： </w:t>
      </w:r>
      <w:r/>
    </w:p>
    <w:p>
      <w:pPr>
        <w:pStyle w:val="933"/>
        <w:spacing w:line="440" w:lineRule="exact"/>
        <w:rPr>
          <w:rFonts w:hint="eastAsia"/>
          <w:color w:val="auto"/>
          <w:highlight w:val="none"/>
        </w:rPr>
      </w:pPr>
      <w:r>
        <w:rPr>
          <w:rFonts w:hint="eastAsia"/>
          <w:color w:val="auto"/>
          <w:highlight w:val="none"/>
        </w:rPr>
        <w:t xml:space="preserve">法定代表人（或负责人）或授权代表： </w:t>
      </w:r>
      <w:r/>
    </w:p>
    <w:p>
      <w:pPr>
        <w:pStyle w:val="933"/>
        <w:spacing w:line="440" w:lineRule="exact"/>
        <w:rPr>
          <w:rFonts w:hint="eastAsia"/>
          <w:color w:val="auto"/>
          <w:highlight w:val="none"/>
        </w:rPr>
      </w:pPr>
      <w:r>
        <w:rPr>
          <w:rFonts w:hint="eastAsia"/>
          <w:color w:val="auto"/>
          <w:highlight w:val="none"/>
        </w:rPr>
        <w:t xml:space="preserve">联系电话： </w:t>
      </w:r>
      <w:r/>
    </w:p>
    <w:p>
      <w:pPr>
        <w:pStyle w:val="933"/>
        <w:spacing w:line="440" w:lineRule="exact"/>
        <w:rPr>
          <w:rFonts w:hint="eastAsia"/>
          <w:color w:val="auto"/>
          <w:highlight w:val="none"/>
        </w:rPr>
      </w:pPr>
      <w:r>
        <w:rPr>
          <w:rFonts w:hint="eastAsia"/>
          <w:color w:val="auto"/>
          <w:highlight w:val="none"/>
        </w:rPr>
        <w:t xml:space="preserve">签订日期： 年 月 日</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bookmarkStart w:id="168" w:name="_Toc822"/>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69" w:name="_Toc31993"/>
      <w:r>
        <w:rPr>
          <w:rFonts w:hint="eastAsia" w:ascii="宋体" w:hAnsi="宋体" w:eastAsia="宋体" w:cs="Times New Roman"/>
          <w:b/>
          <w:bCs/>
          <w:sz w:val="44"/>
          <w:szCs w:val="32"/>
          <w:lang w:val="en-US" w:eastAsia="zh-CN" w:bidi="ar-SA"/>
        </w:rPr>
        <w:t xml:space="preserve">第四章 项目需求</w:t>
      </w:r>
      <w:bookmarkEnd w:id="169"/>
      <w:r/>
      <w:bookmarkStart w:id="170" w:name="_Toc274321794"/>
      <w:r/>
      <w:bookmarkEnd w:id="170"/>
      <w:r/>
      <w:bookmarkStart w:id="171" w:name="_Toc319429198"/>
      <w:r/>
      <w:bookmarkEnd w:id="171"/>
      <w:r/>
      <w:r/>
    </w:p>
    <w:p>
      <w:pPr>
        <w:spacing w:line="360" w:lineRule="auto"/>
        <w:rPr>
          <w:rFonts w:hint="default" w:ascii="宋体" w:hAnsi="宋体" w:eastAsia="宋体" w:cs="Times New Roman"/>
          <w:b/>
          <w:sz w:val="28"/>
          <w:szCs w:val="28"/>
        </w:rPr>
        <w:outlineLvl w:val="1"/>
      </w:pPr>
      <w:r>
        <w:rPr>
          <w:rFonts w:hint="eastAsia" w:ascii="宋体" w:hAnsi="宋体" w:eastAsia="宋体" w:cs="Times New Roman"/>
          <w:b/>
          <w:sz w:val="28"/>
          <w:szCs w:val="28"/>
        </w:rPr>
        <w:t xml:space="preserve">一、清单</w:t>
      </w:r>
      <w:r/>
    </w:p>
    <w:p>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1.清单</w:t>
      </w:r>
      <w:r/>
    </w:p>
    <w:tbl>
      <w:tblPr>
        <w:tblStyle w:val="725"/>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45"/>
        <w:gridCol w:w="1243"/>
        <w:gridCol w:w="1036"/>
        <w:gridCol w:w="689"/>
        <w:gridCol w:w="689"/>
        <w:gridCol w:w="2837"/>
        <w:gridCol w:w="1036"/>
        <w:gridCol w:w="77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标的属性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普通网络摄像机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人脸识别半球机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人脸识别枪机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室外球机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枪机镜头</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枪机护罩</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摄像机横臂</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不锈钢防水抱杆设备箱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摄像机立杆基础（含混凝土浇筑）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综合解码平台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通用硬件平台（服务器）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软件平台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接入交换机（工业）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光模块1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2922</w:t>
            </w:r>
            <w:r/>
          </w:p>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eastAsia="宋体" w:cs="Times New Roman"/>
              </w:rPr>
            </w:pPr>
            <w:r>
              <w:rPr>
                <w:rFonts w:hint="eastAsia" w:ascii="宋体" w:hAnsi="宋体" w:eastAsia="宋体" w:cs="宋体"/>
                <w:color w:val="000000"/>
                <w:sz w:val="22"/>
              </w:rPr>
              <w:t xml:space="preserve">9750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UPS备用电源线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磁力锁（单）</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磁力锁（双）</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磁力锁配件（单）</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磁力锁配件（双）</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门禁电源线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门禁网线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门禁电锁线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专业音箱1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专业音箱2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全数字会议系统音频传输内嵌软件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会议主席控制内嵌软件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手拉手会议代表控制内嵌软件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无缝高清矩阵切换器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高清无缝混插矩阵切换内嵌软件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网络中控系统逻辑处理内嵌软件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切换控制器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红外发射棒</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专用软件及编程</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音频连接线1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音频连接线2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会议系统附材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半球摄像机（特写）</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半球摄像机（全景）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一键式报警按钮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自复位开关</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车牌识别智能一体机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双路车辆检测器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地感线圈</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辅助摄像机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管理软件（云平台）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室外阻水网线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条型字幕终端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异步网络控制卡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移动会议终端</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指挥调度展示端口</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发送视频一体机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框架结构及包边装饰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高清投影</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电动投影幕</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电动吊架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65寸电视机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宽体信息显示站</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接入公安网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接入监控网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勤务指挥室（公安网）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勤务指挥室（监控网）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政务网交换机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核心交换机（监控网）</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光模块2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三口面板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五口面板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地插双口</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hdmi面板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HDMI模块</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QSFP四万兆线缆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光纤熔接点</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跳纤</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五方通话线缆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室外穿线管</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UPS电源配电箱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二级防雷器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30*3铜排</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电池连接线缆</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105.29</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color w:val="000000"/>
                <w:sz w:val="22"/>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bl>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2"/>
        </w:num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核心产品清单</w:t>
      </w:r>
      <w:r/>
    </w:p>
    <w:tbl>
      <w:tblPr>
        <w:tblStyle w:val="725"/>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color w:val="000000"/>
                <w:sz w:val="24"/>
                <w:szCs w:val="24"/>
              </w:rPr>
              <w:t xml:space="preserve">会议系统主机</w:t>
            </w:r>
            <w:r/>
          </w:p>
        </w:tc>
      </w:tr>
    </w:tbl>
    <w:p>
      <w:pPr>
        <w:jc w:val="center"/>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节能产品政府采购品目清单：</w:t>
      </w:r>
      <w:r/>
    </w:p>
    <w:tbl>
      <w:tblPr>
        <w:tblStyle w:val="725"/>
        <w:tblpPr w:horzAnchor="page" w:tblpX="2261" w:vertAnchor="text" w:tblpY="732"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2"/>
                <w:szCs w:val="24"/>
              </w:rPr>
            </w:pPr>
            <w:r>
              <w:rPr>
                <w:rFonts w:hint="eastAsia" w:eastAsia="宋体" w:cs="Times New Roman"/>
                <w:sz w:val="28"/>
                <w:szCs w:val="36"/>
              </w:rPr>
              <w:t xml:space="preserve">★</w:t>
            </w:r>
            <w:r>
              <w:rPr>
                <w:rFonts w:hint="eastAsia" w:ascii="宋体" w:hAnsi="宋体" w:eastAsia="宋体" w:cs="Times New Roman"/>
                <w:spacing w:val="7"/>
                <w:sz w:val="24"/>
                <w:szCs w:val="24"/>
              </w:rPr>
              <w:t xml:space="preserve">图形工作站（台式计算机）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pacing w:val="7"/>
                <w:sz w:val="24"/>
                <w:szCs w:val="24"/>
              </w:rPr>
            </w:pPr>
            <w:r>
              <w:rPr>
                <w:rFonts w:hint="eastAsia" w:eastAsia="宋体" w:cs="Times New Roman"/>
                <w:sz w:val="28"/>
                <w:szCs w:val="36"/>
              </w:rPr>
              <w:t xml:space="preserve">★</w:t>
            </w:r>
            <w:r>
              <w:rPr>
                <w:rFonts w:hint="eastAsia" w:ascii="宋体" w:hAnsi="宋体" w:eastAsia="宋体" w:cs="Times New Roman"/>
                <w:spacing w:val="7"/>
                <w:sz w:val="24"/>
                <w:szCs w:val="24"/>
              </w:rPr>
              <w:t xml:space="preserve">65寸电视机</w:t>
            </w:r>
            <w:r/>
          </w:p>
        </w:tc>
      </w:tr>
    </w:tbl>
    <w:p>
      <w:pPr>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 xml:space="preserve">注：以</w:t>
      </w:r>
      <w:r>
        <w:rPr>
          <w:rFonts w:hint="eastAsia" w:ascii="宋体" w:hAnsi="宋体" w:eastAsia="宋体" w:cs="Times New Roman"/>
          <w:spacing w:val="7"/>
          <w:sz w:val="24"/>
          <w:szCs w:val="24"/>
          <w:lang w:val="en-US" w:eastAsia="zh-CN" w:bidi="ar-SA"/>
        </w:rPr>
        <w:t xml:space="preserve">★</w:t>
      </w:r>
      <w:r>
        <w:rPr>
          <w:rFonts w:hint="eastAsia" w:ascii="宋体" w:hAnsi="宋体" w:eastAsia="宋体" w:cs="Times New Roman"/>
          <w:spacing w:val="7"/>
          <w:sz w:val="24"/>
          <w:szCs w:val="24"/>
          <w:lang w:val="zh-CN" w:eastAsia="zh-CN" w:bidi="ar-SA"/>
        </w:rPr>
        <w:t xml:space="preserve">标注的为政府强制采购产品</w:t>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凡“节能产品政府采购品目清单”中以★标注的为政府强制采购产品</w:t>
      </w:r>
      <w:r/>
    </w:p>
    <w:p>
      <w:pPr>
        <w:ind w:firstLine="508"/>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环境标志产品政府采购品目清单:</w:t>
      </w:r>
      <w:r/>
    </w:p>
    <w:tbl>
      <w:tblPr>
        <w:tblStyle w:val="725"/>
        <w:tblpPr w:horzAnchor="page" w:tblpX="2425" w:vertAnchor="text" w:tblpY="255"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2"/>
                <w:szCs w:val="24"/>
              </w:rPr>
            </w:pPr>
            <w:r>
              <w:rPr>
                <w:rFonts w:hint="eastAsia" w:ascii="宋体" w:hAnsi="宋体" w:eastAsia="宋体" w:cs="Times New Roman"/>
                <w:spacing w:val="7"/>
                <w:sz w:val="24"/>
                <w:szCs w:val="24"/>
              </w:rPr>
              <w:t xml:space="preserve">图形工作站（台式计算机）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pacing w:val="7"/>
                <w:sz w:val="24"/>
                <w:szCs w:val="24"/>
              </w:rPr>
            </w:pPr>
            <w:r>
              <w:rPr>
                <w:rFonts w:hint="eastAsia" w:ascii="宋体" w:hAnsi="宋体" w:eastAsia="宋体" w:cs="Times New Roman"/>
                <w:spacing w:val="7"/>
                <w:sz w:val="24"/>
                <w:szCs w:val="24"/>
              </w:rPr>
              <w:t xml:space="preserve">65寸电视机</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pacing w:val="7"/>
                <w:sz w:val="24"/>
                <w:szCs w:val="24"/>
              </w:rPr>
            </w:pPr>
            <w:r>
              <w:rPr>
                <w:rFonts w:hint="eastAsia" w:ascii="宋体" w:hAnsi="宋体" w:eastAsia="宋体" w:cs="Times New Roman"/>
                <w:spacing w:val="7"/>
                <w:sz w:val="24"/>
                <w:szCs w:val="24"/>
              </w:rPr>
              <w:t xml:space="preserve">通用硬件平台（服务器）</w:t>
            </w:r>
            <w:r/>
          </w:p>
        </w:tc>
      </w:tr>
    </w:tbl>
    <w:p>
      <w:pPr>
        <w:ind w:firstLine="500"/>
        <w:spacing w:line="440" w:lineRule="exact"/>
        <w:rPr>
          <w:rFonts w:ascii="宋体" w:hAnsi="宋体" w:eastAsia="宋体" w:cs="Times New Roman"/>
          <w:b/>
          <w:bCs/>
          <w:spacing w:val="7"/>
          <w:sz w:val="24"/>
          <w:szCs w:val="22"/>
          <w:lang w:val="en-US" w:eastAsia="zh-CN" w:bidi="ar-SA"/>
        </w:rPr>
      </w:pPr>
      <w:r>
        <w:rPr>
          <w:rFonts w:ascii="宋体" w:hAnsi="宋体" w:eastAsia="宋体" w:cs="Times New Roman"/>
          <w:b/>
          <w:bCs/>
          <w:spacing w:val="7"/>
          <w:sz w:val="24"/>
          <w:szCs w:val="22"/>
          <w:lang w:val="en-US" w:eastAsia="zh-CN" w:bidi="ar-SA"/>
        </w:rPr>
      </w:r>
      <w:r/>
    </w:p>
    <w:p>
      <w:pPr>
        <w:ind w:firstLine="500"/>
        <w:spacing w:line="440" w:lineRule="exact"/>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cs="Times New Roman"/>
          <w:b/>
          <w:bCs/>
          <w:spacing w:val="7"/>
          <w:sz w:val="24"/>
          <w:szCs w:val="24"/>
          <w:lang w:val="en-US" w:eastAsia="zh-CN" w:bidi="ar-SA"/>
        </w:rPr>
      </w:pPr>
      <w:r/>
      <w:bookmarkStart w:id="172" w:name="OLE_LINK22"/>
      <w:r>
        <w:rPr>
          <w:rFonts w:hint="eastAsia" w:ascii="宋体" w:hAnsi="宋体" w:eastAsia="宋体" w:cs="Times New Roman"/>
          <w:b/>
          <w:bCs/>
          <w:spacing w:val="7"/>
          <w:sz w:val="24"/>
          <w:szCs w:val="24"/>
          <w:lang w:val="en-US" w:eastAsia="zh-CN" w:bidi="ar-SA"/>
        </w:rPr>
        <w:t xml:space="preserve">5、政府采购中实施本国产品标准及相关政策</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default" w:eastAsia="宋体" w:cs="Times New Roman"/>
          <w:b/>
          <w:bCs/>
          <w:spacing w:val="7"/>
          <w:sz w:val="24"/>
          <w:szCs w:val="24"/>
        </w:rPr>
      </w:pPr>
      <w:r>
        <w:rPr>
          <w:rFonts w:hint="eastAsia" w:ascii="宋体" w:hAnsi="宋体" w:eastAsia="宋体" w:cs="Times New Roman"/>
          <w:b/>
          <w:bCs/>
          <w:spacing w:val="7"/>
          <w:sz w:val="24"/>
          <w:szCs w:val="24"/>
        </w:rPr>
        <w:t xml:space="preserve">注意事项：</w:t>
      </w:r>
      <w:r>
        <w:rPr>
          <w:rFonts w:hint="eastAsia" w:eastAsia="宋体" w:cs="Times New Roman"/>
          <w:b/>
          <w:bCs/>
          <w:spacing w:val="7"/>
          <w:sz w:val="24"/>
          <w:szCs w:val="24"/>
        </w:rPr>
        <w:t xml:space="preserve">无</w:t>
      </w:r>
      <w:bookmarkEnd w:id="172"/>
      <w:r/>
      <w:r/>
    </w:p>
    <w:p>
      <w:pPr>
        <w:ind w:firstLine="480"/>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line="360" w:lineRule="auto"/>
        <w:rPr>
          <w:rFonts w:hint="default" w:ascii="宋体" w:hAnsi="宋体" w:eastAsia="宋体" w:cs="Times New Roman"/>
          <w:b/>
          <w:sz w:val="28"/>
          <w:szCs w:val="28"/>
        </w:rPr>
        <w:outlineLvl w:val="1"/>
      </w:pPr>
      <w:r/>
      <w:bookmarkStart w:id="173" w:name="EB547595d0f7824228afceafc3b60cc3d8"/>
      <w:r/>
      <w:bookmarkEnd w:id="173"/>
      <w:r>
        <w:rPr>
          <w:rFonts w:hint="eastAsia" w:ascii="宋体" w:hAnsi="宋体" w:eastAsia="宋体" w:cs="Times New Roman"/>
          <w:b/>
          <w:sz w:val="28"/>
          <w:szCs w:val="28"/>
        </w:rPr>
        <w:t xml:space="preserve">二、技术要求</w:t>
      </w:r>
      <w:r/>
    </w:p>
    <w:p>
      <w:pPr>
        <w:ind w:firstLine="562"/>
        <w:jc w:val="left"/>
        <w:spacing w:line="400" w:lineRule="exact"/>
        <w:widowControl/>
        <w:rPr>
          <w:rFonts w:hint="default" w:eastAsia="宋体" w:cs="Times New Roman"/>
          <w:sz w:val="24"/>
          <w:szCs w:val="24"/>
        </w:rPr>
        <w:outlineLvl w:val="0"/>
      </w:pPr>
      <w:r>
        <w:rPr>
          <w:rFonts w:hint="eastAsia" w:ascii="宋体" w:hAnsi="宋体" w:eastAsia="宋体" w:cs="Times New Roman"/>
          <w:b/>
          <w:sz w:val="28"/>
          <w:szCs w:val="28"/>
        </w:rPr>
        <w:t xml:space="preserve">1.项目简介</w:t>
      </w:r>
      <w:r/>
    </w:p>
    <w:p>
      <w:pPr>
        <w:jc w:val="left"/>
        <w:widowControl/>
        <w:rPr>
          <w:rFonts w:hint="default" w:eastAsia="宋体" w:cs="Times New Roman"/>
          <w:sz w:val="24"/>
          <w:szCs w:val="24"/>
        </w:rPr>
      </w:pPr>
      <w:r>
        <w:rPr>
          <w:rFonts w:hint="default" w:eastAsia="宋体" w:cs="Times New Roman"/>
          <w:sz w:val="24"/>
          <w:szCs w:val="24"/>
        </w:rPr>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293"/>
        <w:gridCol w:w="6305"/>
      </w:tblGrid>
      <w:tr>
        <w:trPr/>
        <w:tc>
          <w:tcPr>
            <w:tcW w:w="924"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1</w:t>
            </w:r>
            <w:r/>
          </w:p>
        </w:tc>
        <w:tc>
          <w:tcPr>
            <w:tcW w:w="1293"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项目建设背景</w:t>
            </w:r>
            <w:r/>
          </w:p>
        </w:tc>
        <w:tc>
          <w:tcPr>
            <w:tcW w:w="6305" w:type="dxa"/>
            <w:textDirection w:val="lrTb"/>
            <w:noWrap w:val="false"/>
          </w:tcPr>
          <w:p>
            <w:pPr>
              <w:rPr>
                <w:rFonts w:hint="default" w:ascii="宋体" w:hAnsi="宋体" w:eastAsia="宋体" w:cs="宋体"/>
                <w:sz w:val="24"/>
                <w:szCs w:val="24"/>
              </w:rPr>
            </w:pPr>
            <w:r>
              <w:rPr>
                <w:rFonts w:hint="eastAsia" w:ascii="宋体" w:hAnsi="宋体" w:eastAsia="宋体" w:cs="宋体"/>
                <w:sz w:val="24"/>
                <w:szCs w:val="24"/>
              </w:rPr>
              <w:t xml:space="preserve">南沙派出所现需采购智能化设备一批，用于派出所安防建设、内部网络搭建、执法规范化监督、信息发布公开等，助力提升南沙派出所的执法效率，优化资源配置，增强安全保障和推动警务现代化的目标，助推公安工作飞速发展，孕育更加高效、更加便捷、更加有力的公安战斗力。</w:t>
            </w:r>
            <w:r/>
          </w:p>
        </w:tc>
      </w:tr>
      <w:tr>
        <w:trPr/>
        <w:tc>
          <w:tcPr>
            <w:tcW w:w="924"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2</w:t>
            </w:r>
            <w:r/>
          </w:p>
        </w:tc>
        <w:tc>
          <w:tcPr>
            <w:tcW w:w="1293"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招标内容</w:t>
            </w:r>
            <w:r/>
          </w:p>
        </w:tc>
        <w:tc>
          <w:tcPr>
            <w:tcW w:w="6305" w:type="dxa"/>
            <w:textDirection w:val="lrTb"/>
            <w:noWrap w:val="false"/>
          </w:tcPr>
          <w:p>
            <w:pPr>
              <w:rPr>
                <w:rFonts w:hint="default" w:eastAsia="宋体" w:cs="Times New Roman"/>
                <w:sz w:val="24"/>
                <w:szCs w:val="24"/>
              </w:rPr>
            </w:pPr>
            <w:r/>
            <w:bookmarkStart w:id="174" w:name="_Toc512319876"/>
            <w:r/>
            <w:bookmarkEnd w:id="174"/>
            <w:r/>
            <w:bookmarkStart w:id="175" w:name="_Toc514929239"/>
            <w:r/>
            <w:bookmarkEnd w:id="175"/>
            <w:r/>
            <w:bookmarkStart w:id="176" w:name="_Toc514736069"/>
            <w:r/>
            <w:bookmarkEnd w:id="176"/>
            <w:r/>
            <w:bookmarkStart w:id="177" w:name="_Toc514734986"/>
            <w:r/>
            <w:bookmarkEnd w:id="177"/>
            <w:r/>
            <w:bookmarkStart w:id="178" w:name="_Toc511973154"/>
            <w:r/>
            <w:bookmarkEnd w:id="178"/>
            <w:r/>
            <w:bookmarkStart w:id="179" w:name="_Toc514736188"/>
            <w:r/>
            <w:bookmarkEnd w:id="179"/>
            <w:r>
              <w:rPr>
                <w:rFonts w:hint="eastAsia" w:ascii="宋体" w:hAnsi="宋体" w:eastAsia="宋体" w:cs="宋体"/>
                <w:sz w:val="24"/>
                <w:szCs w:val="24"/>
              </w:rPr>
              <w:t xml:space="preserve">本次招标的项目内容涉及南沙派出所新址，</w:t>
            </w:r>
            <w:r>
              <w:rPr>
                <w:rFonts w:hint="default" w:eastAsia="宋体" w:cs="Times New Roman"/>
                <w:sz w:val="24"/>
                <w:szCs w:val="24"/>
              </w:rPr>
              <w:t xml:space="preserve">均为地上建筑。其中主楼为主办公楼共</w:t>
            </w:r>
            <w:r>
              <w:rPr>
                <w:rFonts w:hint="eastAsia" w:eastAsia="宋体" w:cs="Times New Roman"/>
                <w:sz w:val="24"/>
                <w:szCs w:val="24"/>
              </w:rPr>
              <w:t xml:space="preserve">4</w:t>
            </w:r>
            <w:r>
              <w:rPr>
                <w:rFonts w:hint="default" w:eastAsia="宋体" w:cs="Times New Roman"/>
                <w:sz w:val="24"/>
                <w:szCs w:val="24"/>
              </w:rPr>
              <w:t xml:space="preserve">层，涉及功能房间间包括</w:t>
            </w:r>
            <w:r>
              <w:rPr>
                <w:rFonts w:hint="eastAsia" w:eastAsia="宋体" w:cs="Times New Roman"/>
                <w:sz w:val="24"/>
                <w:szCs w:val="24"/>
              </w:rPr>
              <w:t xml:space="preserve">对外接待大厅、</w:t>
            </w:r>
            <w:r>
              <w:rPr>
                <w:rFonts w:hint="default" w:eastAsia="宋体" w:cs="Times New Roman"/>
                <w:sz w:val="24"/>
                <w:szCs w:val="24"/>
              </w:rPr>
              <w:t xml:space="preserve">办公</w:t>
            </w:r>
            <w:r>
              <w:rPr>
                <w:rFonts w:hint="eastAsia" w:eastAsia="宋体" w:cs="Times New Roman"/>
                <w:sz w:val="24"/>
                <w:szCs w:val="24"/>
              </w:rPr>
              <w:t xml:space="preserve">室、执法办案场所</w:t>
            </w:r>
            <w:r>
              <w:rPr>
                <w:rFonts w:hint="default" w:eastAsia="宋体" w:cs="Times New Roman"/>
                <w:sz w:val="24"/>
                <w:szCs w:val="24"/>
              </w:rPr>
              <w:t xml:space="preserve">等功能房间</w:t>
            </w:r>
            <w:r>
              <w:rPr>
                <w:rFonts w:hint="eastAsia" w:eastAsia="宋体" w:cs="Times New Roman"/>
                <w:sz w:val="24"/>
                <w:szCs w:val="24"/>
              </w:rPr>
              <w:t xml:space="preserve">；辅</w:t>
            </w:r>
            <w:r>
              <w:rPr>
                <w:rFonts w:hint="default" w:eastAsia="宋体" w:cs="Times New Roman"/>
                <w:sz w:val="24"/>
                <w:szCs w:val="24"/>
              </w:rPr>
              <w:t xml:space="preserve">楼</w:t>
            </w:r>
            <w:r>
              <w:rPr>
                <w:rFonts w:hint="eastAsia" w:eastAsia="宋体" w:cs="Times New Roman"/>
                <w:sz w:val="24"/>
                <w:szCs w:val="24"/>
              </w:rPr>
              <w:t xml:space="preserve">3层楼高，</w:t>
            </w:r>
            <w:r>
              <w:rPr>
                <w:rFonts w:hint="default" w:eastAsia="宋体" w:cs="Times New Roman"/>
                <w:sz w:val="24"/>
                <w:szCs w:val="24"/>
              </w:rPr>
              <w:t xml:space="preserve">宿舍、</w:t>
            </w:r>
            <w:r>
              <w:rPr>
                <w:rFonts w:hint="eastAsia" w:eastAsia="宋体" w:cs="Times New Roman"/>
                <w:sz w:val="24"/>
                <w:szCs w:val="24"/>
              </w:rPr>
              <w:t xml:space="preserve">厨房、</w:t>
            </w:r>
            <w:r>
              <w:rPr>
                <w:rFonts w:hint="default" w:eastAsia="宋体" w:cs="Times New Roman"/>
                <w:sz w:val="24"/>
                <w:szCs w:val="24"/>
              </w:rPr>
              <w:t xml:space="preserve">餐厅</w:t>
            </w:r>
            <w:r>
              <w:rPr>
                <w:rFonts w:hint="eastAsia" w:eastAsia="宋体" w:cs="Times New Roman"/>
                <w:sz w:val="24"/>
                <w:szCs w:val="24"/>
              </w:rPr>
              <w:t xml:space="preserve">等</w:t>
            </w:r>
            <w:r>
              <w:rPr>
                <w:rFonts w:hint="default" w:eastAsia="宋体" w:cs="Times New Roman"/>
                <w:sz w:val="24"/>
                <w:szCs w:val="24"/>
              </w:rPr>
              <w:t xml:space="preserve">。</w:t>
            </w:r>
            <w:r/>
          </w:p>
          <w:p>
            <w:pPr>
              <w:ind w:firstLine="480"/>
              <w:rPr>
                <w:rFonts w:hint="default" w:ascii="宋体" w:hAnsi="Times New Roman" w:eastAsia="宋体" w:cs="Times New Roman"/>
                <w:sz w:val="24"/>
                <w:szCs w:val="24"/>
              </w:rPr>
            </w:pPr>
            <w:r>
              <w:rPr>
                <w:rFonts w:hint="default" w:ascii="宋体" w:hAnsi="Times New Roman" w:eastAsia="宋体" w:cs="Times New Roman"/>
                <w:sz w:val="24"/>
                <w:szCs w:val="24"/>
              </w:rPr>
              <w:t xml:space="preserve">根据</w:t>
            </w:r>
            <w:r>
              <w:rPr>
                <w:rFonts w:hint="eastAsia" w:ascii="宋体" w:hAnsi="Times New Roman" w:eastAsia="宋体" w:cs="Times New Roman"/>
                <w:sz w:val="24"/>
                <w:szCs w:val="24"/>
              </w:rPr>
              <w:t xml:space="preserve">张家港市公安</w:t>
            </w:r>
            <w:r>
              <w:rPr>
                <w:rFonts w:hint="default" w:ascii="宋体" w:hAnsi="Times New Roman" w:eastAsia="宋体" w:cs="Times New Roman"/>
                <w:sz w:val="24"/>
                <w:szCs w:val="24"/>
              </w:rPr>
              <w:t xml:space="preserve">局建设需求，本项目主要为</w:t>
            </w:r>
            <w:r>
              <w:rPr>
                <w:rFonts w:hint="eastAsia" w:ascii="宋体" w:hAnsi="Times New Roman" w:eastAsia="宋体" w:cs="Times New Roman"/>
                <w:sz w:val="24"/>
                <w:szCs w:val="24"/>
              </w:rPr>
              <w:t xml:space="preserve">老南沙派出所搬迁</w:t>
            </w:r>
            <w:r>
              <w:rPr>
                <w:rFonts w:hint="default" w:ascii="宋体" w:hAnsi="Times New Roman" w:eastAsia="宋体" w:cs="Times New Roman"/>
                <w:sz w:val="24"/>
                <w:szCs w:val="24"/>
              </w:rPr>
              <w:t xml:space="preserve">、监控系统、门禁系统、综合布线系统等建设，涉及安防监控</w:t>
            </w:r>
            <w:r>
              <w:rPr>
                <w:rFonts w:hint="eastAsia" w:ascii="宋体" w:hAnsi="Times New Roman" w:eastAsia="宋体" w:cs="Times New Roman"/>
                <w:sz w:val="24"/>
                <w:szCs w:val="24"/>
              </w:rPr>
              <w:t xml:space="preserve">系统</w:t>
            </w:r>
            <w:r>
              <w:rPr>
                <w:rFonts w:hint="default" w:ascii="宋体" w:hAnsi="Times New Roman" w:eastAsia="宋体" w:cs="Times New Roman"/>
                <w:sz w:val="24"/>
                <w:szCs w:val="24"/>
              </w:rPr>
              <w:t xml:space="preserve">、门禁</w:t>
            </w:r>
            <w:r>
              <w:rPr>
                <w:rFonts w:hint="eastAsia" w:ascii="宋体" w:hAnsi="Times New Roman" w:eastAsia="宋体" w:cs="Times New Roman"/>
                <w:sz w:val="24"/>
                <w:szCs w:val="24"/>
              </w:rPr>
              <w:t xml:space="preserve">系统、会议系统、执法规范化系统、出入口管理（道闸）系统、信息发布系统、网络系统、综合布线系统、机房</w:t>
            </w:r>
            <w:r>
              <w:rPr>
                <w:rFonts w:hint="default" w:ascii="宋体" w:hAnsi="Times New Roman" w:eastAsia="宋体" w:cs="Times New Roman"/>
                <w:sz w:val="24"/>
                <w:szCs w:val="24"/>
              </w:rPr>
              <w:t xml:space="preserve">等子系统</w:t>
            </w:r>
            <w:r/>
          </w:p>
        </w:tc>
      </w:tr>
      <w:tr>
        <w:trPr/>
        <w:tc>
          <w:tcPr>
            <w:tcW w:w="924"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293"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技术要求</w:t>
            </w:r>
            <w:r/>
          </w:p>
        </w:tc>
        <w:tc>
          <w:tcPr>
            <w:shd w:val="clear" w:color="auto" w:fill="auto"/>
            <w:tcW w:w="6305" w:type="dxa"/>
            <w:textDirection w:val="lrTb"/>
            <w:noWrap w:val="false"/>
          </w:tcPr>
          <w:p>
            <w:pPr>
              <w:rPr>
                <w:rFonts w:hint="default" w:ascii="宋体" w:hAnsi="宋体" w:eastAsia="宋体" w:cs="宋体"/>
                <w:sz w:val="24"/>
                <w:szCs w:val="24"/>
              </w:rPr>
            </w:pPr>
            <w:r>
              <w:rPr>
                <w:rFonts w:hint="eastAsia" w:ascii="宋体" w:hAnsi="宋体" w:eastAsia="宋体" w:cs="宋体"/>
                <w:sz w:val="24"/>
                <w:szCs w:val="24"/>
              </w:rPr>
              <w:t xml:space="preserve">本招标文件提出的技术要求，投标人投标时必须提供相应满足技术要求的前端设备、机房、传输、网络、供电、运输、立杆、设备箱、开挖、设施等相关产品，以满足项目设备的正常使用；如有遗漏，投标人应予以补充，否则一旦中标，将认为投标人认同遗漏部分并免费提供。</w:t>
            </w:r>
            <w:r/>
          </w:p>
        </w:tc>
      </w:tr>
    </w:tbl>
    <w:p>
      <w:pPr>
        <w:jc w:val="left"/>
        <w:widowControl/>
        <w:rPr>
          <w:rFonts w:hint="default" w:eastAsia="宋体" w:cs="Times New Roman"/>
          <w:sz w:val="24"/>
          <w:szCs w:val="24"/>
        </w:rPr>
      </w:pPr>
      <w:r>
        <w:rPr>
          <w:rFonts w:hint="default" w:eastAsia="宋体" w:cs="Times New Roman"/>
          <w:sz w:val="24"/>
          <w:szCs w:val="24"/>
        </w:rPr>
      </w:r>
      <w:r/>
    </w:p>
    <w:p>
      <w:pPr>
        <w:ind w:firstLine="562"/>
        <w:jc w:val="left"/>
        <w:spacing w:line="400" w:lineRule="exact"/>
        <w:widowControl/>
        <w:rPr>
          <w:rFonts w:hint="default" w:ascii="宋体" w:hAnsi="宋体" w:eastAsia="宋体" w:cs="Times New Roman"/>
          <w:b/>
          <w:sz w:val="28"/>
          <w:szCs w:val="28"/>
        </w:rPr>
        <w:outlineLvl w:val="0"/>
      </w:pPr>
      <w:r>
        <w:rPr>
          <w:rFonts w:hint="eastAsia" w:ascii="宋体" w:hAnsi="宋体" w:eastAsia="宋体" w:cs="Times New Roman"/>
          <w:b/>
          <w:sz w:val="28"/>
          <w:szCs w:val="28"/>
        </w:rPr>
        <w:t xml:space="preserve">2.项目系统清单</w:t>
      </w:r>
      <w:r/>
    </w:p>
    <w:p>
      <w:pPr>
        <w:jc w:val="left"/>
        <w:widowControl/>
        <w:rPr>
          <w:rFonts w:hint="default" w:eastAsia="宋体" w:cs="Times New Roman"/>
          <w:sz w:val="24"/>
          <w:szCs w:val="24"/>
        </w:rPr>
      </w:pPr>
      <w:r>
        <w:rPr>
          <w:rFonts w:hint="default" w:eastAsia="宋体" w:cs="Times New Roman"/>
          <w:sz w:val="24"/>
          <w:szCs w:val="24"/>
        </w:rPr>
      </w:r>
      <w:r/>
    </w:p>
    <w:tbl>
      <w:tblPr>
        <w:tblStyle w:val="725"/>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1804"/>
        <w:gridCol w:w="4910"/>
        <w:gridCol w:w="1805"/>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会议系统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执法规范化系统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出入口管理系统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机房建设</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10" w:type="dxa"/>
            <w:vAlign w:val="center"/>
            <w:textDirection w:val="lrTb"/>
            <w:noWrap/>
          </w:tcPr>
          <w:p>
            <w:pPr>
              <w:jc w:val="center"/>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tcPr>
          <w:p>
            <w:pPr>
              <w:jc w:val="center"/>
              <w:widowControl/>
              <w:rPr>
                <w:rFonts w:hint="default" w:ascii="宋体" w:hAnsi="宋体" w:eastAsia="宋体" w:cs="宋体"/>
                <w:color w:val="000000"/>
                <w:sz w:val="24"/>
                <w:szCs w:val="24"/>
              </w:rPr>
            </w:pPr>
            <w:r>
              <w:rPr>
                <w:rFonts w:hint="default" w:ascii="宋体" w:hAnsi="宋体" w:eastAsia="宋体" w:cs="宋体"/>
                <w:color w:val="000000"/>
                <w:sz w:val="24"/>
                <w:szCs w:val="24"/>
              </w:rPr>
            </w:r>
            <w:r/>
          </w:p>
        </w:tc>
      </w:tr>
    </w:tbl>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32"/>
        </w:rPr>
      </w:pPr>
      <w:r>
        <w:rPr>
          <w:rFonts w:hint="eastAsia" w:eastAsia="宋体" w:cs="Times New Roman"/>
          <w:sz w:val="24"/>
          <w:szCs w:val="32"/>
        </w:rPr>
        <w:t xml:space="preserve">每个系统具体要求及参数如下：</w:t>
      </w:r>
      <w:r/>
    </w:p>
    <w:p>
      <w:pPr>
        <w:ind w:firstLine="562"/>
        <w:jc w:val="left"/>
        <w:spacing w:line="400" w:lineRule="exact"/>
        <w:widowControl/>
        <w:rPr>
          <w:rFonts w:hint="default" w:ascii="宋体" w:hAnsi="宋体" w:eastAsia="宋体" w:cs="Times New Roman"/>
          <w:b/>
          <w:sz w:val="28"/>
          <w:szCs w:val="28"/>
        </w:rPr>
        <w:outlineLvl w:val="0"/>
      </w:pPr>
      <w:r>
        <w:rPr>
          <w:rFonts w:hint="eastAsia" w:ascii="宋体" w:hAnsi="宋体" w:eastAsia="宋体" w:cs="Times New Roman"/>
          <w:b/>
          <w:sz w:val="28"/>
          <w:szCs w:val="28"/>
        </w:rPr>
        <w:t xml:space="preserve">3.具体参数要求</w:t>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3.1、监控系统</w:t>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465"/>
        <w:gridCol w:w="1143"/>
        <w:gridCol w:w="7251"/>
      </w:tblGrid>
      <w:tr>
        <w:trPr>
          <w:jc w:val="center"/>
          <w:tblHeader/>
        </w:trPr>
        <w:tc>
          <w:tcPr>
            <w:shd w:val="clear" w:color="auto" w:fill="auto"/>
            <w:tcBorders>
              <w:top w:val="single" w:color="000000" w:sz="4" w:space="0"/>
              <w:left w:val="single" w:color="000000" w:sz="4" w:space="0"/>
              <w:bottom w:val="none" w:color="000000" w:sz="4" w:space="0"/>
              <w:right w:val="single" w:color="000000" w:sz="4" w:space="0"/>
            </w:tcBorders>
            <w:tcW w:w="465"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7251"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non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1、前端监控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left"/>
              <w:widowControl/>
              <w:rPr>
                <w:rFonts w:hint="default" w:ascii="宋体" w:hAnsi="宋体" w:eastAsia="宋体" w:cs="宋体"/>
                <w:sz w:val="24"/>
                <w:szCs w:val="24"/>
              </w:rPr>
            </w:pPr>
            <w:r>
              <w:rPr>
                <w:rFonts w:hint="default" w:ascii="宋体" w:hAnsi="宋体" w:eastAsia="宋体" w:cs="宋体"/>
                <w:sz w:val="24"/>
                <w:szCs w:val="24"/>
              </w:rPr>
            </w:r>
            <w:r/>
          </w:p>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普通网络摄像机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图像分辨率：2560×1440；</w:t>
            </w:r>
            <w:r/>
          </w:p>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支持GB35114A安全加密；</w:t>
            </w:r>
            <w:r/>
          </w:p>
          <w:p>
            <w:pPr>
              <w:numPr>
                <w:ilvl w:val="0"/>
                <w:numId w:val="3"/>
              </w:numPr>
              <w:jc w:val="left"/>
              <w:widowControl/>
              <w:rPr>
                <w:rFonts w:hint="default" w:ascii="宋体" w:hAnsi="宋体" w:eastAsia="宋体" w:cs="宋体"/>
                <w:sz w:val="24"/>
                <w:szCs w:val="24"/>
              </w:rPr>
            </w:pPr>
            <w:r>
              <w:rPr>
                <w:rFonts w:hint="eastAsia" w:ascii="宋体" w:hAnsi="宋体" w:eastAsia="宋体" w:cs="宋体"/>
                <w:sz w:val="24"/>
                <w:szCs w:val="24"/>
              </w:rPr>
              <w:t xml:space="preserve">◆靶面尺寸:≥1/2.7";焦距:≥2.8mm;</w:t>
            </w:r>
            <w:r/>
          </w:p>
          <w:p>
            <w:pPr>
              <w:numPr>
                <w:ilvl w:val="0"/>
                <w:numId w:val="3"/>
              </w:numPr>
              <w:jc w:val="left"/>
              <w:widowControl/>
              <w:rPr>
                <w:rFonts w:hint="default" w:ascii="宋体" w:hAnsi="宋体" w:eastAsia="宋体" w:cs="宋体"/>
                <w:sz w:val="24"/>
                <w:szCs w:val="24"/>
              </w:rPr>
            </w:pPr>
            <w:r>
              <w:rPr>
                <w:rFonts w:hint="eastAsia" w:ascii="宋体" w:hAnsi="宋体" w:eastAsia="宋体" w:cs="宋体"/>
                <w:sz w:val="24"/>
                <w:szCs w:val="24"/>
              </w:rPr>
              <w:t xml:space="preserve">◆最低照度:彩色:≤0.0002 lx，黑白:≤0.0001 1x;光圈:≥F1.2;宽动态:≥120dB;补光:混合补光，红外补光距离≥50m;白光补光距离≥30m;防护等级:≥IP67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eastAsia="宋体" w:cs="Times New Roman"/>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接入协议：支持GB/T28181协议</w:t>
            </w:r>
            <w:r/>
          </w:p>
          <w:p>
            <w:pPr>
              <w:jc w:val="left"/>
              <w:widowControl/>
              <w:rPr>
                <w:rFonts w:hint="default" w:eastAsia="宋体" w:cs="Times New Roman"/>
              </w:rPr>
            </w:pPr>
            <w:r>
              <w:rPr>
                <w:rFonts w:hint="eastAsia" w:ascii="宋体" w:hAnsi="宋体" w:eastAsia="宋体" w:cs="宋体"/>
                <w:i/>
                <w:iCs/>
                <w:sz w:val="24"/>
                <w:szCs w:val="24"/>
                <w:u w:val="single"/>
              </w:rPr>
              <w:t xml:space="preserve">支持GB35114A安全加密；</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1、◆图像分辨率：2560×1440；靶面尺寸：≥1/3＂；焦距：≥2mm；图像分辨率：≥2560 × 1440；最低照度：彩色：≤0.001 lx，黑白：≤0.0001 lx;光圈：≥F1.2；宽动态：≥120dB；补光:红外，红外补光距离≥50 m;白光补光距离≥30 m；防护等级：≥IP67；≥IK08机械碰撞防护等级。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2、◆可通过浏览器或客户端软件开启/关闭电瓶车遗留侦测功能，可设置警戒区域，可对电瓶车停留时间进行设置，可对停留时间超过设置阈值的电瓶车进行检测，叠加目标提示框，并产生报警。</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当自行车、玩具车、婴儿车、手推车或超市推车等目标进入监控区域时，不应产生报警。</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3、◆支持启用/关闭 OSD 叠加显示楼层信息，叠加位置可设置；可设置地下楼层数、地上楼层数、校准楼层等参数；支持智能填充功能，可对修改为纯数字的楼层名称进行连续编号。</w:t>
            </w:r>
            <w:r/>
          </w:p>
          <w:p>
            <w:pPr>
              <w:jc w:val="left"/>
              <w:widowControl/>
              <w:rPr>
                <w:rFonts w:hint="default" w:eastAsia="宋体" w:cs="Times New Roman"/>
              </w:rPr>
            </w:pPr>
            <w:r>
              <w:rPr>
                <w:rFonts w:hint="eastAsia" w:ascii="宋体" w:hAnsi="宋体" w:eastAsia="宋体" w:cs="宋体"/>
                <w:sz w:val="24"/>
                <w:szCs w:val="24"/>
              </w:rPr>
              <w:t xml:space="preserve">4、◆支持声音报警功能，当TOF遮挡报警、电瓶车遗留侦测报警产生报警时，可在报警布防时间内触发联动声音警报，报警声音模式可设置为警戒音和提示音两种。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人脸识别半球机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图像分辨率：2560×1440@25fps，分辨力不小于1400TVL；</w:t>
            </w:r>
            <w:r/>
          </w:p>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支持GB35114A安全加密；</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接入协议：支持GB/T28181、GA/T1400协议</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支持全结构化模式：支持机动车、非机动车、人员等多目标抓拍和属性分析;</w:t>
            </w:r>
            <w:r>
              <w:rPr>
                <w:rFonts w:hint="eastAsia" w:ascii="宋体" w:hAnsi="宋体" w:eastAsia="宋体" w:cs="宋体"/>
                <w:sz w:val="24"/>
                <w:szCs w:val="24"/>
              </w:rPr>
              <w:br/>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1、◆靶面尺寸：≥1/1.8＂；焦距范围：最大焦距≥</w:t>
            </w:r>
            <w:r>
              <w:rPr>
                <w:rFonts w:hint="default" w:ascii="宋体" w:hAnsi="宋体" w:eastAsia="宋体" w:cs="宋体"/>
                <w:sz w:val="24"/>
                <w:szCs w:val="24"/>
              </w:rPr>
              <w:t xml:space="preserve">12mm</w:t>
            </w:r>
            <w:r>
              <w:rPr>
                <w:rFonts w:hint="eastAsia" w:ascii="宋体" w:hAnsi="宋体" w:eastAsia="宋体" w:cs="宋体"/>
                <w:sz w:val="24"/>
                <w:szCs w:val="24"/>
              </w:rPr>
              <w:t xml:space="preserve">，电动镜头,可远程调节镜头倍率和聚焦；最低照度：彩色≤0.0002 lx，黑白≤0.0001 lx；光圈：≥F1.2；</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2、◆补光灯类型：红外；补光距离：监控 ≥</w:t>
            </w:r>
            <w:r>
              <w:rPr>
                <w:rFonts w:hint="default" w:ascii="宋体" w:hAnsi="宋体" w:eastAsia="宋体" w:cs="宋体"/>
                <w:sz w:val="24"/>
                <w:szCs w:val="24"/>
              </w:rPr>
              <w:t xml:space="preserve">3</w:t>
            </w:r>
            <w:r>
              <w:rPr>
                <w:rFonts w:hint="eastAsia" w:ascii="宋体" w:hAnsi="宋体" w:eastAsia="宋体" w:cs="宋体"/>
                <w:sz w:val="24"/>
                <w:szCs w:val="24"/>
              </w:rPr>
              <w:t xml:space="preserve">0 m；目标识别 ≥</w:t>
            </w:r>
            <w:r>
              <w:rPr>
                <w:rFonts w:hint="default" w:ascii="宋体" w:hAnsi="宋体" w:eastAsia="宋体" w:cs="宋体"/>
                <w:sz w:val="24"/>
                <w:szCs w:val="24"/>
              </w:rPr>
              <w:t xml:space="preserve">3</w:t>
            </w:r>
            <w:r>
              <w:rPr>
                <w:rFonts w:hint="eastAsia" w:ascii="宋体" w:hAnsi="宋体" w:eastAsia="宋体" w:cs="宋体"/>
                <w:sz w:val="24"/>
                <w:szCs w:val="24"/>
              </w:rPr>
              <w:t xml:space="preserve"> m；安全防护等级：≥IP67; ≥IK10防暴等级；内置2个麦克风、1个扬声器。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contextualSpacing/>
              <w:ind w:left="0"/>
              <w:jc w:val="lef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1、◆全指向驻极体麦；音频传输距离：≥500 m；动态范围：≥0 dB~90 dB；支持DC12V供电，电源电压在额定值的75%~125%范围变化时，拾音器应能正常工作；</w:t>
            </w:r>
            <w:r/>
          </w:p>
          <w:p>
            <w:pPr>
              <w:jc w:val="left"/>
              <w:widowControl/>
              <w:rPr>
                <w:rFonts w:hint="default" w:eastAsia="宋体" w:cs="Times New Roman"/>
              </w:rPr>
            </w:pPr>
            <w:r>
              <w:rPr>
                <w:rFonts w:hint="eastAsia" w:ascii="宋体" w:hAnsi="宋体" w:eastAsia="宋体" w:cs="宋体"/>
                <w:sz w:val="24"/>
                <w:szCs w:val="24"/>
              </w:rPr>
              <w:t xml:space="preserve">2、◆拾音器静电放电抗扰度等级应符合GB/T 30148-2013中9.3.4的要求；拾音器工作环境：-10~55摄氏度稳定工作；保护电路：雷击保护、电源极性反转保护、静电防护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人脸识别枪机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传感器：≥400万像素CMOS传感器；</w:t>
            </w:r>
            <w:r/>
          </w:p>
          <w:p>
            <w:pPr>
              <w:jc w:val="left"/>
              <w:widowControl/>
              <w:rPr>
                <w:rFonts w:hint="default"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图像分辨率：≥2560 × 1440@25fps；</w:t>
            </w:r>
            <w:r/>
          </w:p>
          <w:p>
            <w:pPr>
              <w:jc w:val="left"/>
              <w:widowControl/>
              <w:rPr>
                <w:rFonts w:hint="default"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支持GB35114A安全加密、支持GB/T28181、GA/T1400协议</w:t>
            </w:r>
            <w:r/>
          </w:p>
          <w:p>
            <w:pPr>
              <w:jc w:val="left"/>
              <w:widowControl/>
              <w:rPr>
                <w:rFonts w:hint="default"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支持全结构化模式：支持机动车、非机动车、人员等多目标抓拍和属性分析；</w:t>
            </w:r>
            <w:r/>
          </w:p>
          <w:p>
            <w:pPr>
              <w:ind w:firstLine="480"/>
              <w:spacing w:line="360" w:lineRule="auto"/>
              <w:widowControl w:val="off"/>
              <w:rPr>
                <w:rFonts w:ascii="宋体" w:hAnsi="宋体" w:eastAsia="宋体" w:cs="Times New Roman"/>
                <w:color w:val="auto"/>
                <w:sz w:val="24"/>
                <w:szCs w:val="22"/>
                <w:lang w:val="en-US" w:eastAsia="zh-CN" w:bidi="ar-SA"/>
              </w:rPr>
            </w:pPr>
            <w:r>
              <w:rPr>
                <w:rFonts w:ascii="宋体" w:hAnsi="宋体" w:eastAsia="宋体" w:cs="Times New Roman"/>
                <w:color w:val="auto"/>
                <w:sz w:val="24"/>
                <w:szCs w:val="22"/>
                <w:lang w:val="en-US" w:eastAsia="zh-CN" w:bidi="ar-SA"/>
              </w:rPr>
            </w:r>
            <w:r/>
          </w:p>
          <w:p>
            <w:pPr>
              <w:numPr>
                <w:ilvl w:val="0"/>
                <w:numId w:val="4"/>
              </w:num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◆靶面尺寸：≥1/1.8＂；焦距范围：最大焦距≥</w:t>
            </w:r>
            <w:r>
              <w:rPr>
                <w:rFonts w:hint="default" w:ascii="宋体" w:hAnsi="宋体" w:eastAsia="宋体" w:cs="宋体"/>
                <w:color w:val="auto"/>
                <w:sz w:val="24"/>
                <w:szCs w:val="24"/>
              </w:rPr>
              <w:t xml:space="preserve">12</w:t>
            </w:r>
            <w:r>
              <w:rPr>
                <w:rFonts w:hint="eastAsia" w:ascii="宋体" w:hAnsi="宋体" w:eastAsia="宋体" w:cs="宋体"/>
                <w:color w:val="auto"/>
                <w:sz w:val="24"/>
                <w:szCs w:val="24"/>
              </w:rPr>
              <w:t xml:space="preserve">mm，电动镜头,可远程调节镜头倍率和聚焦；最低照度：彩色≤0.0002 lx，黑白≤0.0001 lx；光圈：≥F1.2；</w:t>
            </w:r>
            <w:r/>
          </w:p>
          <w:p>
            <w:pPr>
              <w:jc w:val="left"/>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2、◆补光灯类型：≥4颗混合补光灯，每颗由红外和白光灯组成；补光距离：监控 ≥80 m；目标识别 ≥10 m；安全防护等级：≥IP67;</w:t>
            </w:r>
            <w:r/>
          </w:p>
          <w:p>
            <w:pPr>
              <w:jc w:val="left"/>
              <w:widowControl/>
              <w:rPr>
                <w:rFonts w:hint="default" w:eastAsia="宋体" w:cs="Times New Roman"/>
                <w:color w:val="auto"/>
              </w:rPr>
            </w:pPr>
            <w:r>
              <w:rPr>
                <w:rFonts w:hint="eastAsia" w:ascii="宋体" w:hAnsi="宋体" w:eastAsia="宋体" w:cs="宋体"/>
                <w:color w:val="auto"/>
                <w:sz w:val="24"/>
                <w:szCs w:val="24"/>
              </w:rPr>
              <w:t xml:space="preserve">3、◆可对检测区域内不低于60个目标（机动车、非机动车及行人）进行检测、框选跟踪、筛选、抓拍，可将人脸与人体关联显示。内置≥2个麦克风，≥1个扬声器；内置≥2个麦克风，≥1个扬声器。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室外球机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highlight w:val="yellow"/>
              </w:rPr>
            </w:pPr>
            <w:r>
              <w:rPr>
                <w:rFonts w:hint="eastAsia" w:ascii="宋体" w:hAnsi="宋体" w:eastAsia="宋体" w:cs="宋体"/>
                <w:i/>
                <w:iCs/>
                <w:sz w:val="24"/>
                <w:szCs w:val="24"/>
                <w:u w:val="single"/>
              </w:rPr>
              <w:t xml:space="preserve">传感器：不少于2个全景通道和1个细节通道，图像分辨率：全景支持拼接模式和非拼接模式，在拼接模式下，全景通道支持分辨率不小于3680 × 1656；在不拼接模式下，可输出2个全景通道，支持分辨率不小于1920 × 1632；</w:t>
            </w:r>
            <w:r/>
          </w:p>
          <w:p>
            <w:pPr>
              <w:jc w:val="left"/>
              <w:spacing w:after="200"/>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支持GB35114 A级安全加密 ；</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1、◆靶面尺寸：全景≥1/1.8＂；细节≥1/2.8"；最大焦距：全景≥2.8mm；细节≥120mm、25倍光学变倍；最低照度：彩色≤0.0002 lx，黑白≤0.0001 lx；</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2、◆光圈：≥F1.2；补光灯类型：混合补光；补光距离：红外≥100 m；白光≥30 m；安全防护等级：≥IP67;</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全景通道1、2：支持水平:0°-90°，垂直0°-350°，轴心方向0°-350°。细节通道:水平:0°-360°垂直:-10°-90°；全景摄像机可输出2个镜头无缝拼接的全景图像，拼接后的全景画面水平视场角应≥175°，垂直视场角≥75°；</w:t>
            </w:r>
            <w:r/>
          </w:p>
          <w:p>
            <w:pPr>
              <w:jc w:val="left"/>
              <w:widowControl/>
              <w:rPr>
                <w:rFonts w:hint="default" w:eastAsia="宋体" w:cs="Times New Roman"/>
              </w:rPr>
            </w:pPr>
            <w:r>
              <w:rPr>
                <w:rFonts w:hint="eastAsia" w:ascii="宋体" w:hAnsi="宋体" w:eastAsia="宋体" w:cs="宋体"/>
                <w:sz w:val="24"/>
                <w:szCs w:val="24"/>
              </w:rPr>
              <w:t xml:space="preserve">4、◆细节镜头、全景1镜头和全景2镜头可分开进行水平垂直方向调节，全景1镜头进行水平、垂直调节时，全景镜头2可保持不动；全景1镜头和全景2镜头进行水平垂直方向调节时，细节镜头可保持不变。</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室外枪机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eastAsia="宋体" w:cs="Times New Roman"/>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图像分辨率：2688x1520@25fps；</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支持GB35114A安全加密；</w:t>
            </w:r>
            <w:r/>
          </w:p>
          <w:p>
            <w:pPr>
              <w:jc w:val="left"/>
              <w:widowControl/>
              <w:rPr>
                <w:rFonts w:hint="default" w:eastAsia="宋体" w:cs="Times New Roman"/>
                <w:i/>
                <w:iCs/>
                <w:sz w:val="24"/>
                <w:szCs w:val="24"/>
                <w:u w:val="single"/>
              </w:rPr>
            </w:pPr>
            <w:r>
              <w:rPr>
                <w:rFonts w:hint="eastAsia" w:ascii="宋体" w:hAnsi="宋体" w:eastAsia="宋体" w:cs="宋体"/>
                <w:i/>
                <w:iCs/>
                <w:sz w:val="24"/>
                <w:szCs w:val="24"/>
                <w:u w:val="single"/>
              </w:rPr>
              <w:t xml:space="preserve">接入协议：支持GB/T28181协议</w:t>
            </w:r>
            <w:r/>
          </w:p>
          <w:p>
            <w:pPr>
              <w:jc w:val="left"/>
              <w:widowControl/>
              <w:rPr>
                <w:rFonts w:hint="default" w:ascii="宋体" w:hAnsi="宋体" w:eastAsia="宋体" w:cs="宋体"/>
                <w:sz w:val="24"/>
                <w:szCs w:val="24"/>
              </w:rPr>
            </w:pPr>
            <w:r>
              <w:rPr>
                <w:rFonts w:hint="default" w:ascii="宋体" w:hAnsi="宋体" w:eastAsia="宋体" w:cs="宋体"/>
                <w:sz w:val="24"/>
                <w:szCs w:val="24"/>
              </w:rPr>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1、◆靶面尺寸：≥1/3＂；焦距范围：最大焦距≥12 mm；支持自动聚焦功能，在变焦过程中不会虚焦；最低照度：彩色≤0.0005 lx，黑白≤0.0001 lx；</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2、◆接入协议：支持GB/T28181协议；补光灯类型：≥内置白光和红外补光灯；补光距离：红外作用距离≥50m；白光补光距离≥30m；安全防护等级：≥IP67;</w:t>
            </w:r>
            <w:r/>
          </w:p>
          <w:p>
            <w:pPr>
              <w:jc w:val="left"/>
              <w:widowControl/>
              <w:rPr>
                <w:rFonts w:hint="default" w:eastAsia="宋体" w:cs="Times New Roman"/>
              </w:rPr>
            </w:pPr>
            <w:r>
              <w:rPr>
                <w:rFonts w:hint="eastAsia" w:ascii="宋体" w:hAnsi="宋体" w:eastAsia="宋体" w:cs="宋体"/>
                <w:sz w:val="24"/>
                <w:szCs w:val="24"/>
              </w:rPr>
              <w:t xml:space="preserve">3、◆支持1路报警输入，1路报警输出，1路音频输入，1路音频输出，1个SD卡槽，支持DC12V或POE供电;内置GPU芯片，麦克风，扬声器。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枪机镜头</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◆焦距范围：2.7-10mm；镜头像素≥300万；靶面尺寸：≥1/2.7"；支持CS接口、支持红外</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枪机护罩</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室外护罩/内置风扇/DC12V/白喷塑/IP67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12V3A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AC24V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二合一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摄像机横臂</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国产，含支架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球机吊装支架，定制 ，可用于楼顶室外吊装安装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不锈钢防水抱杆设备箱</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≥400*400*200含空开等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高度≥3M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摄像机立杆基础（含混凝土浇筑）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≥600*600*800</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numPr>
                <w:ilvl w:val="0"/>
                <w:numId w:val="5"/>
              </w:numPr>
              <w:jc w:val="left"/>
              <w:widowControl/>
              <w:rPr>
                <w:rFonts w:hint="default" w:ascii="宋体" w:hAnsi="宋体" w:eastAsia="宋体" w:cs="宋体"/>
                <w:sz w:val="24"/>
                <w:szCs w:val="24"/>
              </w:rPr>
            </w:pPr>
            <w:r>
              <w:rPr>
                <w:rFonts w:hint="eastAsia" w:ascii="宋体" w:hAnsi="宋体" w:eastAsia="宋体" w:cs="宋体"/>
                <w:sz w:val="24"/>
                <w:szCs w:val="24"/>
              </w:rPr>
              <w:t xml:space="preserve">◆存储接口：≥16个SATA接口，支持硬盘热插拔；视频接口：≥2×HDMI，≥2×VGA；网络接口：≥2×RJ45 10/100/1000Mbps自适应以太网口；输入带宽：≥320Mbps；输出带宽：≥256Mbps；接入能力：≥32路H.264、H.265格式高清码流接入；同时解码输出24路4MP、H.265 编码、25fps、2560×1440的视频图像；</w:t>
            </w:r>
            <w:r/>
          </w:p>
          <w:p>
            <w:pPr>
              <w:numPr>
                <w:ilvl w:val="0"/>
                <w:numId w:val="5"/>
              </w:numPr>
              <w:jc w:val="left"/>
              <w:widowControl/>
              <w:rPr>
                <w:rFonts w:hint="default" w:ascii="宋体" w:hAnsi="宋体" w:eastAsia="宋体" w:cs="宋体"/>
                <w:sz w:val="24"/>
                <w:szCs w:val="24"/>
              </w:rPr>
            </w:pPr>
            <w:r>
              <w:rPr>
                <w:rFonts w:hint="eastAsia" w:ascii="宋体" w:hAnsi="宋体" w:eastAsia="宋体" w:cs="宋体"/>
                <w:sz w:val="24"/>
                <w:szCs w:val="24"/>
              </w:rPr>
              <w:t xml:space="preserve">▲设备支持文搜内容合规性检测，可自动过滤敏感内容，且合规检测算法支持在线升级；文搜检索结果支持选中查看关联录像/图片，录像片段内显示关联目标跟踪框，支持对录像关联目标及其周围目标进行二次精准检索；（投标时须在响应文件中提供第三方检测机构出具的合格的检验报告或功能截图等相关证明材料）</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设备支持文搜功能，可通过文字语义描述，快速检索目标对象或内容；支持对人体、车辆、非机动车、物品、动物、基础事件等类型的检索；并可基于文搜快速检索的结果，对目标进行图搜的二次精准检索定位；设备支持独立的智能文搜应用模块，应用内置文搜高频热词，如：人的上衣颜色、下装颜色、随身物品、性别；车的颜色、类型、品牌；其他的保安、抽烟、打电话、玩手机等</w:t>
            </w:r>
            <w:r/>
          </w:p>
          <w:p>
            <w:pPr>
              <w:ind w:firstLine="480"/>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1、◆≥12TB容量，3.5英寸，SATA3.0接口，≥7200RPM；刻录技术：CMR</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缓存：≥512MB；最大读取速度：≥265MB/s；接口传输速率（最大值）：≥6.0Gb/s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综合解码平台</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系统支持≥4路HDMI输入，≥8路HDMI输出；</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支持GB/T28181协议；</w:t>
            </w:r>
            <w:r/>
          </w:p>
          <w:p>
            <w:pPr>
              <w:jc w:val="left"/>
              <w:widowControl/>
              <w:rPr>
                <w:rFonts w:hint="default" w:ascii="宋体" w:hAnsi="宋体" w:eastAsia="宋体" w:cs="宋体"/>
                <w:sz w:val="24"/>
                <w:szCs w:val="24"/>
              </w:rPr>
            </w:pPr>
            <w:r>
              <w:rPr>
                <w:rFonts w:hint="default" w:ascii="宋体" w:hAnsi="宋体" w:eastAsia="宋体" w:cs="宋体"/>
                <w:sz w:val="24"/>
                <w:szCs w:val="24"/>
              </w:rPr>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1、◆机架式设计，插拔式模块化设计，业务板卡可热插拔，不区分输入/输出槽位，不区分 2K/4K 槽位，可任意混插，混插后输入/输出功能正常；支持解码H.265、H.264等主流的编码格式；支持 G711-A、G711-U、G722.1、G726、AAC、PCM；</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2、◆支 持 对 接 入 视 频 图 像 进 行支持1/4/6/8/9/16/25/36 画面分割显示，视频切换流畅无黑屏显示，整机支持开窗最大 144个窗口；整机支持≥144个解码通道，支持72路1080P@30Hz或144路720P@30Hz同时解码支持对接LED显示系统，视频输出LED带载能力为单口不低于260 W</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3、▲支持多个电视墙独立控制、独立切换场景，支持实现不低于 16 个电视墙独立管理。支持全部输出口同时输出 3840×2160 分辨率的图像。（投标时须在响应文件中提供第三方检测机构出具的合格的检验报告或功能截图等相关证明材料）</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4、◆支持将 1 路输入视频图像发送至多个输出接口拼接显示； 支持将多路输入视频图像发送至多个输出接口拼接显示；拼接时不同输出口之间，画面同步，画面无撕裂感，且无缝拼接；整机最多支持 12 个拼接源，单个拼接源最大支持 24 路 4K 输入视频融合拼接，支持分辨率为 11520×8640 的信号源同步上墙显示，融合画面同步时间不超过 1ms；具备≥2个千兆网口、≥ 1个万兆 SFP 光口、≥1个 USB 接口；</w:t>
            </w:r>
            <w:r/>
          </w:p>
          <w:p>
            <w:pPr>
              <w:jc w:val="left"/>
              <w:widowControl/>
              <w:rPr>
                <w:rFonts w:hint="default" w:eastAsia="宋体" w:cs="Times New Roman"/>
              </w:rPr>
            </w:pPr>
            <w:r>
              <w:rPr>
                <w:rFonts w:hint="eastAsia" w:ascii="宋体" w:hAnsi="宋体" w:eastAsia="宋体" w:cs="宋体"/>
                <w:sz w:val="24"/>
                <w:szCs w:val="24"/>
              </w:rPr>
              <w:t xml:space="preserve">5、▲支持客户端预编辑操作电视墙时，不实时上墙，待完成编辑后切换上墙。预编辑模式下，客户端支持开窗、窗口伸缩、漫游、拼接、置底、置顶等窗口操作，支持字幕编辑和上墙。（投标时须在响应文件中提供第三方检测机构出具的合格的检验报告或功能截图等相关证明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通用硬件平台（服务器）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参数见“3.11通用硬件平台（服务器）要求”</w:t>
            </w:r>
            <w:r/>
          </w:p>
          <w:p>
            <w:pPr>
              <w:jc w:val="left"/>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软件平台</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综合管理平台支持视频监控、国标级联、入侵报警、门禁管控模块</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视频监控监控点授权容量不低于1000路；门禁管控授权容量不低于500路；   </w:t>
            </w:r>
            <w:r>
              <w:rPr>
                <w:rFonts w:hint="eastAsia" w:ascii="宋体" w:hAnsi="宋体" w:eastAsia="宋体" w:cs="宋体"/>
                <w:sz w:val="24"/>
                <w:szCs w:val="24"/>
              </w:rPr>
              <w:br/>
            </w:r>
            <w:r>
              <w:rPr>
                <w:rFonts w:hint="eastAsia" w:ascii="宋体" w:hAnsi="宋体" w:eastAsia="宋体" w:cs="宋体"/>
                <w:sz w:val="24"/>
                <w:szCs w:val="24"/>
              </w:rPr>
              <w:t xml:space="preserve">1、◆要求系统支持国标协议上下级平台级联，支持流媒体集群配置；要求支持监控点的批量迁移；要求支持热成像相机接入，预览回放、热成像温度、烟火识别报警联动等功能；   </w:t>
            </w:r>
            <w:r>
              <w:rPr>
                <w:rFonts w:hint="eastAsia" w:ascii="宋体" w:hAnsi="宋体" w:eastAsia="宋体" w:cs="宋体"/>
                <w:sz w:val="24"/>
                <w:szCs w:val="24"/>
              </w:rPr>
              <w:br/>
            </w:r>
            <w:r>
              <w:rPr>
                <w:rFonts w:hint="eastAsia" w:ascii="宋体" w:hAnsi="宋体" w:eastAsia="宋体" w:cs="宋体"/>
                <w:sz w:val="24"/>
                <w:szCs w:val="24"/>
              </w:rPr>
              <w:t xml:space="preserve">2、◆要求支持BS客户端、CS客户端、移动客户端视频预览，支持多浏览器实时预览；要求支持对当前预览的窗格和监控点画面进行视图保存，用于后续预览该视图 ； </w:t>
            </w:r>
            <w:r>
              <w:rPr>
                <w:rFonts w:hint="eastAsia" w:ascii="宋体" w:hAnsi="宋体" w:eastAsia="宋体" w:cs="宋体"/>
                <w:sz w:val="24"/>
                <w:szCs w:val="24"/>
              </w:rPr>
              <w:br/>
            </w:r>
            <w:r>
              <w:rPr>
                <w:rFonts w:hint="eastAsia" w:ascii="宋体" w:hAnsi="宋体" w:eastAsia="宋体" w:cs="宋体"/>
                <w:sz w:val="24"/>
                <w:szCs w:val="24"/>
              </w:rPr>
              <w:t xml:space="preserve">3、◆要求支持图片实时监控及历史查询；要求支持显示鱼眼图像或矫正后图像；要求支持客户端预览记忆功能，包括当前预览的监控点和当前分屏状态；要求客户端支持在1/2/3/4/6/8/9/10/13/1</w:t>
            </w:r>
            <w:r>
              <w:rPr>
                <w:rFonts w:hint="eastAsia" w:ascii="宋体" w:hAnsi="宋体" w:eastAsia="宋体" w:cs="宋体"/>
                <w:sz w:val="24"/>
                <w:szCs w:val="24"/>
              </w:rPr>
              <w:t xml:space="preserve">4/16/17/24/25画面分隔模式间进行监控点轮巡预览，轮巡时间可设置，支持全屏显示；要求客户端预览画面支持亮度、对比度、色调、饱和度参数调节；要求预览画面支持监控点信息、语音对讲、开关声音、云台与镜头控制、抓图、多图抓拍等；要求支持控制云台的用户信息叠加到视频画面上，支持按用户的等级对云台进行锁定；要求客户端支持主/子码流切换和预览码流自适应功能，可按4/9/16分屏进行主子码流切换，低于配置的数时主码流预览，高于配置的数时自动切换为子码流；支持在预览监控点画面时进行一键上墙、 云台控制、语音对讲 ；</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要求支持将录像回放和录像下载权限分离，支持为用户分配是否具有录像下载权限，支持录像批量下载；要求支持视频画面叠加水印，包括视频预览、录像回放、即时回放、录像剪辑、手动录像和录像下载时叠加；要求支持定时录像、报警录像和移动侦测录像等录像模式，不同类型录像以不同颜色进行区分；要求支持录像标签功能，支持搜索、修改、删除标签，并可通过标签定位录像并回放；支持通过车牌搜索定位录像并回放；  </w:t>
            </w:r>
            <w:r>
              <w:rPr>
                <w:rFonts w:hint="eastAsia" w:ascii="宋体" w:hAnsi="宋体" w:eastAsia="宋体" w:cs="宋体"/>
                <w:sz w:val="24"/>
                <w:szCs w:val="24"/>
              </w:rPr>
              <w:br/>
            </w:r>
            <w:r>
              <w:rPr>
                <w:rFonts w:hint="eastAsia" w:ascii="宋体" w:hAnsi="宋体" w:eastAsia="宋体" w:cs="宋体"/>
                <w:sz w:val="24"/>
                <w:szCs w:val="24"/>
              </w:rPr>
              <w:t xml:space="preserve">5、◆要求支持按时间、监控点、录像存储方式检索录像；客户端回放支持1/4/6/7/9/16画面分隔模式及全屏显示；支持单帧回放、播放速度控制（1/16、1/8、1/4、1/2、1、2、4、8、16倍速）、同步回放、异步回放；录像回放支持拖动进度条或指定时间点来进行录像定位；支持分段回放，以分段缩略图展示录像片段；要求支持32、64倍速录像回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参数见“3.10图形工作站（台式计算机）技术要求”</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3、传输设备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接入交换机（工业）</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工业级全千兆1光8电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光模块1</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SFP千兆光模块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24芯光纤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8口单模满配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24口含六类模块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CAT6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电源线</w:t>
            </w:r>
            <w:r/>
          </w:p>
        </w:tc>
        <w:tc>
          <w:tcPr>
            <w:shd w:val="clear" w:color="auto" w:fill="auto"/>
            <w:tcBorders>
              <w:top w:val="single" w:color="000000" w:sz="4" w:space="0"/>
              <w:left w:val="single" w:color="000000" w:sz="4" w:space="0"/>
              <w:bottom w:val="non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RVV2*1.0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UPS备用电源线</w:t>
            </w:r>
            <w:r/>
          </w:p>
        </w:tc>
        <w:tc>
          <w:tcPr>
            <w:shd w:val="clear" w:color="auto" w:fill="auto"/>
            <w:tcBorders>
              <w:top w:val="single" w:color="000000" w:sz="4" w:space="0"/>
              <w:left w:val="single" w:color="000000" w:sz="4" w:space="0"/>
              <w:bottom w:val="non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RVV3*2.5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251"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水晶头、管卡等</w:t>
            </w:r>
            <w:r/>
          </w:p>
        </w:tc>
      </w:tr>
    </w:tbl>
    <w:p>
      <w:pPr>
        <w:spacing w:line="360" w:lineRule="auto"/>
        <w:rPr>
          <w:rFonts w:hint="default" w:ascii="宋体" w:hAnsi="Times New Roman" w:eastAsia="宋体" w:cs="Times New Roman"/>
          <w:b/>
          <w:bCs/>
          <w:sz w:val="24"/>
          <w:szCs w:val="28"/>
        </w:rPr>
      </w:pPr>
      <w:r>
        <w:rPr>
          <w:rFonts w:hint="default" w:ascii="宋体" w:hAnsi="Times New Roman" w:eastAsia="宋体" w:cs="Times New Roman"/>
          <w:b/>
          <w:bCs/>
          <w:sz w:val="24"/>
          <w:szCs w:val="28"/>
        </w:rPr>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3.2、门禁系统</w:t>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481"/>
        <w:gridCol w:w="1170"/>
        <w:gridCol w:w="720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设备离线应支持 10000个用户（用户权限应能配置为管理员）、 10000 张人脸库、 50000 张卡片容量、150000 笔记录存储 、 10000 个密码;</w:t>
            </w:r>
            <w:r/>
          </w:p>
          <w:p>
            <w:pPr>
              <w:jc w:val="left"/>
              <w:rPr>
                <w:rFonts w:hint="default" w:ascii="宋体" w:hAnsi="宋体" w:eastAsia="宋体" w:cs="宋体"/>
                <w:sz w:val="24"/>
                <w:szCs w:val="24"/>
              </w:rPr>
            </w:pPr>
            <w:r>
              <w:rPr>
                <w:rFonts w:hint="eastAsia" w:ascii="宋体" w:hAnsi="宋体" w:eastAsia="宋体" w:cs="宋体"/>
                <w:i/>
                <w:iCs/>
                <w:sz w:val="24"/>
                <w:szCs w:val="24"/>
                <w:u w:val="single"/>
              </w:rPr>
              <w:t xml:space="preserve">TCP/IP 有线网络通信，支持 10M/100M/1000M 网络自适应配置，应支持局域网、互联网环境的网络通信；应支持通过 IPV4 或 IPV6 网络地址登录。</w:t>
            </w:r>
            <w:r/>
          </w:p>
          <w:p>
            <w:pPr>
              <w:numPr>
                <w:ilvl w:val="0"/>
                <w:numId w:val="6"/>
              </w:numPr>
              <w:jc w:val="left"/>
              <w:rPr>
                <w:rFonts w:hint="default" w:ascii="宋体" w:hAnsi="宋体" w:eastAsia="宋体" w:cs="宋体"/>
                <w:sz w:val="24"/>
                <w:szCs w:val="24"/>
              </w:rPr>
            </w:pPr>
            <w:r>
              <w:rPr>
                <w:rFonts w:hint="eastAsia" w:ascii="宋体" w:hAnsi="宋体" w:eastAsia="宋体" w:cs="宋体"/>
                <w:sz w:val="24"/>
                <w:szCs w:val="24"/>
              </w:rPr>
              <w:t xml:space="preserve">◆设备支持嵌入式 linux 系统。；前面板防破坏能力应满足 IK07 的要求；结构后壳防破坏能力应满足 IK10 的要求；防水等级应大于IP65；应支持选择嵌入式、壁挂、桌面、立式、人员通道安装；</w:t>
            </w:r>
            <w:r>
              <w:rPr>
                <w:rFonts w:hint="eastAsia" w:ascii="宋体" w:hAnsi="宋体" w:eastAsia="宋体" w:cs="宋体"/>
                <w:sz w:val="24"/>
                <w:szCs w:val="24"/>
              </w:rPr>
              <w:br/>
            </w:r>
            <w:r>
              <w:rPr>
                <w:rFonts w:hint="eastAsia" w:ascii="宋体" w:hAnsi="宋体" w:eastAsia="宋体" w:cs="宋体"/>
                <w:sz w:val="24"/>
                <w:szCs w:val="24"/>
              </w:rPr>
              <w:t xml:space="preserve">2、◆屏幕不小于 7 英寸触摸屏；玻璃屏占比≥90%。屏幕流明度≥600cd/m2；屏幕分辨率应不低于600*1024；屏显下端应具有圆形指示灯，指示灯应支持固定频率的亮起和熄灭（呼吸状态）及识别状态提示。</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◆应采用≥200W 像素双目摄像头，帧率应≥25 帧/s；应支持接入 NVR 设备，实现视频监控录像；应支持双码流技术，主码流和子码流均为 1280×720@25fps 输出；在浏览器下，视频编码格式具有 H.265、H.264、MPEG-4、MJPEG 设置选项；可将 H.265、H.264 格式设置为Baseline/Mai n/High Profile</w:t>
            </w:r>
            <w:r>
              <w:rPr>
                <w:rFonts w:hint="eastAsia" w:ascii="宋体" w:hAnsi="宋体" w:eastAsia="宋体" w:cs="宋体"/>
                <w:sz w:val="24"/>
                <w:szCs w:val="24"/>
              </w:rPr>
              <w:t xml:space="preserve">。"应支持通过文字转换为提示语音的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应支持根据比对结果，输出开关量信号联动门禁等设备；支持通过 RS-485 接口或 Wiegand 接口外接读卡器，实现刷卡功能；支持通过 RS-485 接口或 Wiegand 接口外接门禁一体机；支持通过网络或 RS-485 与电梯做联动控制；支持联动电梯实现呼梯和楼层权限控制。</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◆应支持设备本地人脸注册；应支持远程下发人脸、APP 采集人脸并注册下发；应支持本地 U 盘导入人员信息；支持中心下发黑</w:t>
            </w:r>
            <w:r>
              <w:rPr>
                <w:rFonts w:hint="eastAsia" w:ascii="宋体" w:hAnsi="宋体" w:eastAsia="宋体" w:cs="宋体"/>
                <w:sz w:val="24"/>
                <w:szCs w:val="24"/>
              </w:rPr>
              <w:t xml:space="preserve">名单信息，具有本地黑名单事件报警功能，报警信息应能上传至平台；设备支持本地 U 盘升级、在线远程升级功能；支持本地非明文存储比对结果、身份信息及抓拍人脸照片；支持实时非明文上传比对结果、身份信息及抓拍人脸照片等至管理中心；支持断网续传离线记录非明文数据功能；支持对 USB 导出数据（事件记录及人脸等）应采用非明文方案；支持抓拍图片本地存储功能开启/关闭；支持抓拍图片上传管理平台软件功能开启/关闭；支持设备本地比对结果用户信息脱敏显示功能开启/关闭，即隐藏姓名和工号信息；用户数据及比对记录采用非明文方式导出。</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、◆设备支持GM/T 0028《密码模块安全技术要求》安全二级，并支持在商用密码检测中心官网查询证书有效性。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1、◆结构：塑料面板；性能：最大耐电流1.25A，电压250V；输出：常开；类型：适合埋入式电器盒使用；尺寸：86*86mm；主要功能：开门按钮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磁力锁（单）</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1、◆最大静态直线拉力：280kg ± 10%；状态指示灯：红灯(开门状态) 绿灯(上锁状态)；锁状态侦测信号(门磁)输出:NO/NC/COM接点；工作电压：12V/430mA(±10%)；24V/215mA(±10%)；电源：可自行设定12VDC 或24VDC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磁力锁（双）</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1、◆最大静态直线拉力：280kg ± 10% * 2；状态指示灯：红灯(开门状态) 绿灯(上锁状态)；锁状态侦测信号(门磁)输出:NO/NC/COM接点；工作电压：12V/430mA x 2(±10%)  24V/215mA x 2(±10%)；电源：可自行设定12VDC 或24VDC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磁力锁配件（单）</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1、◆开门角度：90°；选用材料：高强度铝合金，表面喷砂处理；适用门类型：木门/金属门；材质：高强度铝合金，表面喷砂处理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磁力锁配件（双）</w:t>
            </w:r>
            <w:r/>
          </w:p>
        </w:tc>
        <w:tc>
          <w:tcPr>
            <w:shd w:val="clear" w:color="auto" w:fill="auto"/>
            <w:tcBorders>
              <w:top w:val="single" w:color="000000" w:sz="4" w:space="0"/>
              <w:left w:val="non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1、◆开门角度：90°；选用材料：高强度铝合金，表面喷砂处理；适用门类型：木门/金属门；材质：高强度铝合金，表面喷砂处理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门禁电源</w:t>
            </w:r>
            <w:r/>
          </w:p>
        </w:tc>
        <w:tc>
          <w:tcPr>
            <w:shd w:val="clear" w:color="auto" w:fill="auto"/>
            <w:tcBorders>
              <w:top w:val="single" w:color="000000" w:sz="4" w:space="0"/>
              <w:left w:val="non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输入电压：100-240VAC；输出电压：12VDC；工作温度：-10℃-+50℃；工作湿度：＜95%；</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24口交换机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参数见“3.10图形工作站（台式计算机）技术要求”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门禁电源线</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RVV2*1.5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门禁网线</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CAT6E</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门禁电锁线</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RVV4*1.0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3.3、会议系统</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3"/>
        <w:gridCol w:w="1166"/>
        <w:gridCol w:w="7200"/>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1、扩声系统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专业音箱1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1、◆灵敏度：≥96dB/W/M；最大声压级（额定/峰值）：119dB/126dB；覆盖角度：≥(H)80°(V)60°；高音：1.4"压缩高音单元×1；低音：8"低音×1；</w:t>
            </w:r>
            <w:r/>
          </w:p>
          <w:p>
            <w:pPr>
              <w:jc w:val="left"/>
              <w:widowControl/>
              <w:rPr>
                <w:rFonts w:hint="default" w:eastAsia="宋体" w:cs="Times New Roman"/>
                <w:sz w:val="24"/>
                <w:szCs w:val="24"/>
              </w:rPr>
            </w:pPr>
            <w:r>
              <w:rPr>
                <w:rFonts w:hint="eastAsia" w:ascii="宋体" w:hAnsi="宋体" w:eastAsia="宋体" w:cs="宋体"/>
                <w:sz w:val="24"/>
                <w:szCs w:val="24"/>
              </w:rPr>
              <w:t xml:space="preserve">阻抗：≥8Ω；频响：60Hz~20KHz；</w:t>
            </w:r>
            <w:r/>
          </w:p>
          <w:p>
            <w:pPr>
              <w:jc w:val="left"/>
              <w:widowControl/>
              <w:rPr>
                <w:rFonts w:hint="default" w:eastAsia="宋体" w:cs="Times New Roman"/>
                <w:sz w:val="24"/>
                <w:szCs w:val="24"/>
              </w:rPr>
            </w:pPr>
            <w:r>
              <w:rPr>
                <w:rFonts w:hint="eastAsia" w:ascii="宋体" w:hAnsi="宋体" w:eastAsia="宋体" w:cs="宋体"/>
                <w:sz w:val="24"/>
                <w:szCs w:val="24"/>
              </w:rPr>
              <w:t xml:space="preserve">额定功率：≥200W；峰值功率：≥800</w:t>
            </w:r>
            <w:r/>
          </w:p>
          <w:p>
            <w:pPr>
              <w:jc w:val="left"/>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专业音箱2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1、◆灵敏度：≥95dB/W/M；最大声压级（额定/峰值）：≥117dB/123dB；覆盖角度：(H)80°(V)60°；高音：3"锥形高音单元×2；低音：8"低音×1；</w:t>
            </w:r>
            <w:r/>
          </w:p>
          <w:p>
            <w:pPr>
              <w:jc w:val="left"/>
              <w:widowControl/>
              <w:rPr>
                <w:rFonts w:hint="default" w:eastAsia="宋体" w:cs="Times New Roman"/>
                <w:sz w:val="24"/>
                <w:szCs w:val="24"/>
              </w:rPr>
            </w:pPr>
            <w:r>
              <w:rPr>
                <w:rFonts w:hint="eastAsia" w:ascii="宋体" w:hAnsi="宋体" w:eastAsia="宋体" w:cs="宋体"/>
                <w:sz w:val="24"/>
                <w:szCs w:val="24"/>
              </w:rPr>
              <w:t xml:space="preserve">阻抗：≥8Ω；频响：65Hz~20KHz；</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额定功率：≥150W；峰值功率：≥600W；</w:t>
            </w:r>
            <w:r/>
          </w:p>
          <w:p>
            <w:pPr>
              <w:jc w:val="left"/>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1、◆输出功率（20Hz-20KHz/THD≤1％）：立体声/并联8Ω×</w:t>
            </w:r>
            <w:r>
              <w:rPr>
                <w:rFonts w:hint="eastAsia" w:ascii="宋体" w:hAnsi="宋体" w:eastAsia="宋体" w:cs="宋体"/>
                <w:sz w:val="24"/>
                <w:szCs w:val="24"/>
              </w:rPr>
              <w:t xml:space="preserve">2：350W×2；立体声/并联4Ω×2：530W×2；桥接8Ω：1060W；连接座：XLR 、TRS接口；电压增益 (@1KHz)：≥34.4dB；输入灵敏度：≥0.775V/1V/1.44V；输入阻抗：≥10K Ω 非平衡、20KΩ 平衡；频率响应(@1W功率下）：20Hz-20KHz/+0/-2dB；THD+N(@1/8功率下）：≤0.05％；信噪比 (A计权)：≥90dB；阻尼系数 (@ 1KHz)：≥200@ 8 ohms；分离度 (@1KHz)：≥80dB；保护方式：过流保护、直流保护、短路保护；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提供8路Mic输入接口兼容6路线路输入接口，话筒输入接口带48V幻像电源；提供2组立体声输入，4路RCA输入，可连接立体设备。具有≥13个60mm行程的高精密碳膜推子；内置MP3播放器，支持1路USB接口，外接U盘播放音乐；内置USB声卡，连接电脑进行音乐播放和声音录音；内置24位DSP效果器，提供100种预设效果；提供1个USB供电接口，可连接USB照明灯。</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提供2组立体主输出、4路编组输出、4路辅助输出、1组立体声监听输出、1个耳机监听输出、2个效果输出；提供1组主混音断点插入、6个断点插入，可连接额外的处理器（压缩器、均衡器。限幅器等）。支持7段图示均衡推子调节。</w:t>
            </w:r>
            <w:r>
              <w:rPr>
                <w:rFonts w:hint="eastAsia" w:ascii="宋体" w:hAnsi="宋体" w:eastAsia="宋体" w:cs="宋体"/>
                <w:sz w:val="24"/>
                <w:szCs w:val="24"/>
              </w:rPr>
              <w:br/>
            </w:r>
            <w:r>
              <w:rPr>
                <w:rFonts w:hint="eastAsia" w:ascii="宋体" w:hAnsi="宋体" w:eastAsia="宋体" w:cs="宋体"/>
                <w:sz w:val="24"/>
                <w:szCs w:val="24"/>
              </w:rPr>
              <w:t xml:space="preserve">技术参数：</w:t>
            </w:r>
            <w:r>
              <w:rPr>
                <w:rFonts w:hint="eastAsia" w:ascii="宋体" w:hAnsi="宋体" w:eastAsia="宋体" w:cs="宋体"/>
                <w:sz w:val="24"/>
                <w:szCs w:val="24"/>
              </w:rPr>
              <w:br/>
            </w:r>
            <w:r>
              <w:rPr>
                <w:rFonts w:hint="eastAsia" w:ascii="宋体" w:hAnsi="宋体" w:eastAsia="宋体" w:cs="宋体"/>
                <w:sz w:val="24"/>
                <w:szCs w:val="24"/>
              </w:rPr>
              <w:t xml:space="preserve">3、◆麦克风输入：8路</w:t>
            </w:r>
            <w:r>
              <w:rPr>
                <w:rFonts w:hint="eastAsia" w:ascii="宋体" w:hAnsi="宋体" w:eastAsia="宋体" w:cs="宋体"/>
                <w:sz w:val="24"/>
                <w:szCs w:val="24"/>
              </w:rPr>
              <w:t xml:space="preserve">（8个XLR接口）；线路输入：6路单插单声道/立体声自动切换混合接口；立体声输入通道：2组（4路单声道）、4路RCA输入；输出通道：2组立体主输出、4路编组输出、4路辅助输出、1组立体声监听输出、1个耳机监听输出、2个效果输出；INSERT：1组主混音断点插入、6个断点插入；USB接口：外接U盘播放音乐；效果器：24位DSP效果器（包括人声、小房子、大厅、回声、回声+回响、盘子、声乐板、合唱GTR，旋转GTR、颤音GTR类型），100种预设效果；USB声卡端口：支持电脑播放/录音，通过CH11/12通道回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Enternet多用途数据传输及控制端口，可以支持实时管理单台及多台设备。支持通过浏览器访问设备，下载自带管理控制软件；软件界面直观、图形化，可工作在XP/Windows7、8、10等系统环境下；支持iOS、iPad、Android的手机/平板APP进行操作控制；配置双向RS-232接口，可用于控制外部设备。配置RS-485接口，可实现自动摄像跟踪功能。配置8通道可编程GPIO控制接口（v.47592513）（可自定义输入输出）；支持断电自动保护记忆功能；支持通道拷贝、粘贴、联控功能。</w:t>
            </w:r>
            <w:r/>
          </w:p>
          <w:p>
            <w:pPr>
              <w:jc w:val="left"/>
              <w:widowControl/>
              <w:rPr>
                <w:rFonts w:hint="default" w:eastAsia="宋体" w:cs="Times New Roman"/>
                <w:sz w:val="24"/>
                <w:szCs w:val="24"/>
              </w:rPr>
            </w:pPr>
            <w:r>
              <w:rPr>
                <w:rFonts w:hint="eastAsia" w:ascii="宋体" w:hAnsi="宋体" w:eastAsia="宋体" w:cs="宋体"/>
                <w:sz w:val="24"/>
                <w:szCs w:val="24"/>
              </w:rPr>
              <w:t xml:space="preserve">2、▲输入通道支持前级放大、信号发生器、扩展器、压缩器、均衡器（≥12段参量均衡、可选10/15/31段图示均衡器可调，图</w:t>
            </w:r>
            <w:r>
              <w:rPr>
                <w:rFonts w:hint="eastAsia" w:ascii="宋体" w:hAnsi="宋体" w:eastAsia="宋体" w:cs="宋体"/>
                <w:sz w:val="24"/>
                <w:szCs w:val="24"/>
              </w:rPr>
              <w:t xml:space="preserve">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投标时须在响应文件中提供第三方检测机构出具的合格的检验报告或功能截图等相关证明材料）</w:t>
            </w:r>
            <w:r>
              <w:rPr>
                <w:rFonts w:hint="eastAsia" w:ascii="宋体" w:hAnsi="宋体" w:eastAsia="宋体" w:cs="宋体"/>
                <w:sz w:val="24"/>
                <w:szCs w:val="24"/>
              </w:rPr>
              <w:br/>
            </w:r>
            <w:r>
              <w:rPr>
                <w:rFonts w:hint="eastAsia" w:ascii="宋体" w:hAnsi="宋体" w:eastAsia="宋体" w:cs="宋体"/>
                <w:sz w:val="24"/>
                <w:szCs w:val="24"/>
              </w:rPr>
              <w:t xml:space="preserve">3、◆音频处理器具有跨平台软件，可运行的操作系统≥8种；</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sz w:val="24"/>
                <w:szCs w:val="24"/>
              </w:rPr>
              <w:br/>
            </w:r>
            <w:r>
              <w:rPr>
                <w:rFonts w:hint="eastAsia" w:ascii="宋体" w:hAnsi="宋体" w:eastAsia="宋体" w:cs="宋体"/>
                <w:sz w:val="24"/>
                <w:szCs w:val="24"/>
              </w:rPr>
              <w:t xml:space="preserve">技术参数</w:t>
            </w:r>
            <w:r>
              <w:rPr>
                <w:rFonts w:hint="eastAsia" w:ascii="宋体" w:hAnsi="宋体" w:eastAsia="宋体" w:cs="宋体"/>
                <w:sz w:val="24"/>
                <w:szCs w:val="24"/>
              </w:rPr>
              <w:br/>
            </w:r>
            <w:r>
              <w:rPr>
                <w:rFonts w:hint="eastAsia" w:ascii="宋体" w:hAnsi="宋体" w:eastAsia="宋体" w:cs="宋体"/>
                <w:sz w:val="24"/>
                <w:szCs w:val="24"/>
              </w:rPr>
              <w:t xml:space="preserve">4、◆采样率：</w:t>
            </w:r>
            <w:r>
              <w:rPr>
                <w:rFonts w:hint="eastAsia" w:ascii="宋体" w:hAnsi="宋体" w:eastAsia="宋体" w:cs="宋体"/>
                <w:sz w:val="24"/>
                <w:szCs w:val="24"/>
              </w:rPr>
              <w:t xml:space="preserve">≥48K；幻像供电：DC 48V；频率响应：20Hz-20KHz；总谐波失真+噪声：＜0.002% @1KHz ,4dBu；数/模动态范围(A-计权)：≥120dB；模/数动态范围(A-计权)：≥120dB；输入阻抗(平衡式)：≥20KΩ；最大输出阻抗（平衡式)：≥100Ω；通道隔离度：≥1kHz，100dB；输入共模抑制：≥60Hz，80dB；最大输出电平：+24dBu，平衡；最大输入电平：+24dBu，平衡；工作温度：0℃-40℃；工作电源：AC110V-220V,50Hz/60Hz；电源功耗：&lt;40W</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1、◆输入通道及插座：2路XLR母座模拟输入/2组立体声同轴/光纤/ A E S输入(每组数字口传输两路音频信号)；输出通道及插座：2路XLR公座模拟输出/2组立体声同</w:t>
            </w:r>
            <w:r>
              <w:rPr>
                <w:rFonts w:hint="eastAsia" w:ascii="宋体" w:hAnsi="宋体" w:eastAsia="宋体" w:cs="宋体"/>
                <w:sz w:val="24"/>
                <w:szCs w:val="24"/>
              </w:rPr>
              <w:t xml:space="preserve">轴/光纤/ A E S输入(每组数字口传输两路音频信号)；输入范围：≤+20dBu；频率响应：15Hz-25KHz(-0.3dB)；信噪比：≥98dB@1KHz0dBu；失真度：&lt;0.01% OUTPUT=0dBu/1KHz；通道分离度：&gt;80dB(1KHz)；啸叫寻找与抑制方式：全自动式陷波；信号输入频率响应：20Hz-20KHz±0.5dB；滤波器：独立24个每通道；频率分辨率：≥0.5Hz；啸叫寻找时间：0.1—0.5S；显示：采用分辨率为≥144 x 32的LED显示屏，提供4段LED显示输出电平；</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前面板具有≥48个LED灯陷波状态指示灯（具有≥2×12个静态点和≥2×12个动态点）、≥2英寸IPS真彩显示屏、≥1个编码旋钮；后面板具有≥1个船形开关、≥2路XLR母座+2路TRS母座模拟输入、≥2路XLR公座+2路TRS母座模拟输出、≥1个RJ45接口。（投标时须在响应文件中提供第三方检测机构出具的合格的检验报告或功能截图等相关证明材料）</w:t>
            </w:r>
            <w:r>
              <w:rPr>
                <w:rFonts w:hint="eastAsia" w:ascii="宋体" w:hAnsi="宋体" w:eastAsia="宋体" w:cs="宋体"/>
                <w:sz w:val="24"/>
                <w:szCs w:val="24"/>
              </w:rPr>
              <w:br/>
            </w:r>
            <w:r>
              <w:rPr>
                <w:rFonts w:hint="eastAsia" w:ascii="宋体" w:hAnsi="宋体" w:eastAsia="宋体" w:cs="宋体"/>
                <w:sz w:val="24"/>
                <w:szCs w:val="24"/>
              </w:rPr>
              <w:t xml:space="preserve">3、◆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1、◆8通道电源时序打开/关闭；远程控制（上电+24V直流信号）8通道电源时序打开/关闭—当电源开关锁处于off位置时有效；</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单个通道最大负载功率2200W，所有通道负载总功率达6000W；输入连接器：大功率线码式电源连接器；输出连接器：多用途电源插座；</w:t>
            </w:r>
            <w:r>
              <w:rPr>
                <w:rFonts w:hint="eastAsia" w:ascii="宋体" w:hAnsi="宋体" w:eastAsia="宋体" w:cs="宋体"/>
                <w:sz w:val="24"/>
                <w:szCs w:val="24"/>
              </w:rPr>
              <w:br/>
            </w:r>
            <w:r>
              <w:rPr>
                <w:rFonts w:hint="eastAsia" w:ascii="宋体" w:hAnsi="宋体" w:eastAsia="宋体" w:cs="宋体"/>
                <w:sz w:val="24"/>
                <w:szCs w:val="24"/>
              </w:rPr>
              <w:t xml:space="preserve">2、◆额定输出电压：AC ~220V 50Hz；额定输出电流：≥30A ；可控制电源：8路；每路动作延时时间：≥1秒；供电电源：VAC</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220V</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50/60Hz 30A；单路额定输出电源：≥10A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配置接口：1个多功能电源，网络，3.5音频，HDMI</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固定面板尺寸（长*宽）： 140mm*65mm；箱体固定面板尺寸（长*宽）： 128mm*70mm</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2、全数字会议系统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1、◆采用128位AES加密技术，支持 WPA/WPA2 无线安全技术，防止窃听和非授权访问，提供更高的会议系统机密性，内置高性能双CPU处理器，超强的处理能力，同时支持WIFI会议系统和全数字会议系统，采用独创的数字处理和传输技术，20Hz~20KHz带宽的非压缩音频传输，采用超五类线屏蔽线，确保会议信息长距离可靠传输，同时提供完美音质。 具有WIFI网络接口，可以通过连接POE网络交换机扩充无线 AP数量，提供更大的无线覆盖范围。</w:t>
            </w:r>
            <w:r>
              <w:rPr>
                <w:rFonts w:hint="eastAsia" w:ascii="宋体" w:hAnsi="宋体" w:eastAsia="宋体" w:cs="宋体"/>
                <w:sz w:val="24"/>
                <w:szCs w:val="24"/>
              </w:rPr>
              <w:br/>
            </w:r>
            <w:r>
              <w:rPr>
                <w:rFonts w:hint="eastAsia" w:ascii="宋体" w:hAnsi="宋体" w:eastAsia="宋体" w:cs="宋体"/>
                <w:sz w:val="24"/>
                <w:szCs w:val="24"/>
              </w:rPr>
              <w:t xml:space="preserve">2、◆具有手动/自动编ID功能，方便快捷布置会场；支持中英文语言界面切换；PC软件端可查看无线单元的电池电量、WiFi信号等信息状态，具有一键关机所有无线单元功能。</w:t>
            </w:r>
            <w:r>
              <w:rPr>
                <w:rFonts w:hint="eastAsia" w:ascii="宋体" w:hAnsi="宋体" w:eastAsia="宋体" w:cs="宋体"/>
                <w:sz w:val="24"/>
                <w:szCs w:val="24"/>
              </w:rPr>
              <w:br/>
            </w:r>
            <w:r>
              <w:rPr>
                <w:rFonts w:hint="eastAsia" w:ascii="宋体" w:hAnsi="宋体" w:eastAsia="宋体" w:cs="宋体"/>
                <w:sz w:val="24"/>
                <w:szCs w:val="24"/>
              </w:rPr>
              <w:t xml:space="preserve">4、◆具有C/S、B/S管控架构，包括客户端、WEB端、本机全彩触摸屏、安卓手机/平板控制方式；通过客户端、WEB端可调节音频矩阵参数（包括EQ、音量、延时器、会议单元灵敏度等）、≥16通道输出模式切换、开关会议单元、中英俄法四种语言切换、控制角色分离主机功能；使用本机全彩触摸屏可调节会议模式、有线/</w:t>
            </w:r>
            <w:r>
              <w:rPr>
                <w:rFonts w:hint="eastAsia" w:ascii="宋体" w:hAnsi="宋体" w:eastAsia="宋体" w:cs="宋体"/>
                <w:sz w:val="24"/>
                <w:szCs w:val="24"/>
              </w:rPr>
              <w:t xml:space="preserve">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具有消防报警连动触发接口，提供火灾报警信息，第一时间提醒会场人员紧急撤离，确保与会人员安全；支持PELCO-D、VISCA摄像机控制协议，可配合高清摄像跟踪主机，实现自动摄像跟踪，四种话筒管理模式: FIFO/NORMAL/ VOICE(声控)/APPLY。</w:t>
            </w:r>
            <w:r>
              <w:rPr>
                <w:rFonts w:hint="eastAsia" w:ascii="宋体" w:hAnsi="宋体" w:eastAsia="宋体" w:cs="宋体"/>
                <w:sz w:val="24"/>
                <w:szCs w:val="24"/>
              </w:rPr>
              <w:br/>
            </w:r>
            <w:r>
              <w:rPr>
                <w:rFonts w:hint="eastAsia" w:ascii="宋体" w:hAnsi="宋体" w:eastAsia="宋体" w:cs="宋体"/>
                <w:sz w:val="24"/>
                <w:szCs w:val="24"/>
              </w:rPr>
              <w:t xml:space="preserve">5、▲支持主机U盘和客户端软件两种录音方式；搭配会议话筒和录音盒可以录制单个会议单元发言音频和录制所有会议单元混音发言音频。（投标时须在响应文件中提供第三方检测机构出具的合格的检验报告或功能截图等相关证明材料）</w:t>
            </w:r>
            <w:r/>
          </w:p>
          <w:p>
            <w:pPr>
              <w:jc w:val="left"/>
              <w:widowControl/>
              <w:rPr>
                <w:rFonts w:hint="default" w:eastAsia="宋体" w:cs="Times New Roman"/>
                <w:sz w:val="24"/>
                <w:szCs w:val="24"/>
              </w:rPr>
            </w:pPr>
            <w:r>
              <w:rPr>
                <w:rFonts w:hint="eastAsia" w:ascii="宋体" w:hAnsi="宋体" w:eastAsia="宋体" w:cs="宋体"/>
                <w:sz w:val="24"/>
                <w:szCs w:val="24"/>
              </w:rPr>
              <w:t xml:space="preserve">6、◆兼容 IEC 60914，GBT 15381-94标准；WEB管理端具有切换个性化主题风格功能，可切换≥4种风格，可选简约主题、政务主题、时尚主题、活力主题，不同主题提供不同UI界面背景颜色；</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超大系统容量，系统最大支持4096台有线会议单元，300台无线会议单元。系统最大能同时开8个有线话筒和6个无线话筒；</w:t>
            </w:r>
            <w:r/>
          </w:p>
          <w:p>
            <w:pPr>
              <w:numPr>
                <w:ilvl w:val="255"/>
                <w:numId w:val="0"/>
              </w:numPr>
              <w:jc w:val="left"/>
              <w:widowControl/>
              <w:rPr>
                <w:rFonts w:hint="default" w:ascii="宋体" w:hAnsi="宋体" w:eastAsia="宋体" w:cs="宋体"/>
                <w:sz w:val="24"/>
                <w:szCs w:val="24"/>
              </w:rPr>
            </w:pPr>
            <w:r>
              <w:rPr>
                <w:rFonts w:hint="eastAsia" w:ascii="宋体" w:hAnsi="宋体" w:eastAsia="宋体" w:cs="宋体"/>
                <w:sz w:val="24"/>
                <w:szCs w:val="24"/>
              </w:rPr>
              <w:t xml:space="preserve">7、▲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投标时须在响应文件中提供第三方检测机构出具的合格的检验报告或功能截图等相关证明材料）</w:t>
            </w:r>
            <w:r>
              <w:rPr>
                <w:rFonts w:hint="eastAsia" w:ascii="宋体" w:hAnsi="宋体" w:eastAsia="宋体" w:cs="宋体"/>
                <w:sz w:val="24"/>
                <w:szCs w:val="24"/>
              </w:rPr>
              <w:br/>
            </w:r>
            <w:r>
              <w:rPr>
                <w:rFonts w:hint="eastAsia" w:ascii="宋体" w:hAnsi="宋体" w:eastAsia="宋体" w:cs="宋体"/>
                <w:sz w:val="24"/>
                <w:szCs w:val="24"/>
              </w:rPr>
              <w:t xml:space="preserve">8、◆话筒容量：≤4096；通道数量：最大63+1CH；频率响应：20Hz ~ 20KHz；信噪比：&gt;85 dB(A)；动态范围：&gt;8dB；总谐波失真：&lt;0.05%；主电源：90~132VAC/180~264VAC by switch；音频输入：LINE IN 1: 350mV 平衡；LINE IN 2: 350mV 非平衡；音频输出：LINE OUT 1: 1V 平衡；LINE OUT 2: 1V 非平衡；输出负载：&gt;1KΩ；RJ45网口：连接电脑；录音：USB口具有MP3录音功能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全数字会议系统音频传输内嵌软件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软件内嵌于会议系统主机设备，应用于对全数字会议系统音频传输软件的管理或控制；支持中英文语言管理界面；支持同声传译功能；内置DSP音频处理技术，支持EQ均衡调节音频处理能力；支持≥48KHz采样率音频处理能力；遵循规范：IEC60914。</w:t>
            </w:r>
            <w:r>
              <w:rPr>
                <w:rFonts w:hint="eastAsia" w:ascii="宋体" w:hAnsi="宋体" w:eastAsia="宋体" w:cs="宋体"/>
                <w:sz w:val="24"/>
                <w:szCs w:val="24"/>
              </w:rPr>
              <w:br/>
            </w:r>
            <w:r>
              <w:rPr>
                <w:rFonts w:hint="eastAsia" w:ascii="宋体" w:hAnsi="宋体" w:eastAsia="宋体" w:cs="宋体"/>
                <w:sz w:val="24"/>
                <w:szCs w:val="24"/>
              </w:rPr>
              <w:t xml:space="preserve">2、◆支持话筒管理能力，通过不同的模式限制话筒发言数量，保障会场发言秩序；软件支持根据话筒ID提供不同的代码编号给中控系统，与中控系统对接后，可实现摄像自动跟踪功能。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1、◆内置高保真扬声器，并具有音量调节，具有抑制啸叫功能，当话筒打开时，内置的扬声器会自动关闭；具有≥3.5mm 立体声输出插座，可做录音及连接耳机用；采用100M网络传输，实现手拉手级联，长距离输对音质不会有任何影响；耳机音量最大：≥40mW；耳机接口：3.5mm插口；遵循规范：IEC60914；连接头：自带1.8米航空6芯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会议主席控制内嵌软件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软件内嵌于会议主席单元设备，应用于实现会议系统话筒单元的发言及管理。支持指示灯显示发言状态，红色灯亮时，正在发言；遵循规范：IEC60914；支持自动摄像跟踪功能，触发发言按键时，可驱动本机ID代码发送给主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1、◆扬声器内置，并且可调音量；频率响应80Hz-16KHz；麦克风输入阻抗≥1KΩ；灵敏度≥-46dBV/Pa；最大SPL125dB（THD&gt;3%）；信噪比&gt;80dB(A)；HD&lt;0.1%；功耗≥3W</w:t>
            </w:r>
            <w:r>
              <w:rPr>
                <w:rFonts w:hint="eastAsia" w:ascii="宋体" w:hAnsi="宋体" w:eastAsia="宋体" w:cs="宋体"/>
                <w:sz w:val="24"/>
                <w:szCs w:val="24"/>
              </w:rPr>
              <w:br/>
            </w:r>
            <w:r>
              <w:rPr>
                <w:rFonts w:hint="eastAsia" w:ascii="宋体" w:hAnsi="宋体" w:eastAsia="宋体" w:cs="宋体"/>
                <w:sz w:val="24"/>
                <w:szCs w:val="24"/>
              </w:rPr>
              <w:t xml:space="preserve">2、◆耳机负载16-32Ω；耳机音量最大40mW；遵循规范IEC60914；连接头6芯（自带1.8米航空线）；供电方式主机供电</w:t>
            </w:r>
            <w:r/>
          </w:p>
        </w:tc>
      </w:tr>
      <w:tr>
        <w:trPr>
          <w:jc w:val="center"/>
          <w:trHeight w:val="12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手拉手会议代表控制内嵌软件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1、◆遵循规范：IEC60914；支持自动摄像跟踪功能，触发发言按键时，可驱动本机ID代码发送给主机。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20米延长线（一公一母）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1、◆采用铝合金材料；防锈处理；美观实用；一进三出；采用100M 网络传输，可以实现手拉手级联。</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3、信号管理系统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无缝高清矩阵切换器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1、◆支持4个HDMI输入，4个HDMI输出；支持HDMI 1.4标准，支持HDCP1.4标准；最大输入输出分辨率可达3840x2160@30Hz，可兼容该最大分辨率以下的任何分辨率，输出端分辨率与输入端分辨率保持一致；</w:t>
            </w:r>
            <w:r/>
          </w:p>
          <w:p>
            <w:pPr>
              <w:jc w:val="left"/>
              <w:widowControl/>
              <w:rPr>
                <w:rFonts w:hint="default" w:eastAsia="宋体" w:cs="Times New Roman"/>
                <w:sz w:val="24"/>
                <w:szCs w:val="24"/>
              </w:rPr>
            </w:pPr>
            <w:r>
              <w:rPr>
                <w:rFonts w:hint="eastAsia" w:ascii="宋体" w:hAnsi="宋体" w:eastAsia="宋体" w:cs="宋体"/>
                <w:sz w:val="24"/>
                <w:szCs w:val="24"/>
              </w:rPr>
              <w:t xml:space="preserve">2、◆使用DC 12V供电，最大功耗约20W；数字视频输入：4×HDMI数字视频接口；输出接口：4×HDMI数字视频接口；控制接口：1×网口、1×RS 232、1×IR IN、1×USB UPDATE；HDMI：HDMI1.4；HDCP：HDCP1.4；HDMI最大带宽：10.2Gbps；最大传输距离：15米（3840×2160(30Hz)）；20米（1080P(60Hz)）；环境温度：-10℃—+45℃；</w:t>
            </w:r>
            <w:r/>
          </w:p>
          <w:p>
            <w:pPr>
              <w:jc w:val="left"/>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高清无缝混插矩阵切换内嵌软件</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软件内嵌于高清矩阵系统设备，实现信号的处理、切换功能；支持分辨率≥1920×1080P@60Hz、4K的处理能力；采用创新的音频配置/切换技术，杜绝音频切换中的爆音、卡顿现象；支持音视频分离技术，音视频传输相互独立；支持OSD菜单，可配置输出画面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4、集中控制系统(网络型)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1、◆主机内置256MDPR及8 GEMMC的大容量FLASH 存储器；主机具备8路独立可编程串口，可收发RS-232，RS-485及RS-422信号；支持串口环出功能，主机的8路串口均可实现任意一个输入都可以从另外一个串口环出；</w:t>
            </w:r>
            <w:r/>
          </w:p>
          <w:p>
            <w:pPr>
              <w:jc w:val="left"/>
              <w:widowControl/>
              <w:rPr>
                <w:rFonts w:hint="default" w:eastAsia="宋体" w:cs="Times New Roman"/>
                <w:sz w:val="24"/>
                <w:szCs w:val="24"/>
              </w:rPr>
            </w:pPr>
            <w:r>
              <w:rPr>
                <w:rFonts w:hint="eastAsia" w:ascii="宋体" w:hAnsi="宋体" w:eastAsia="宋体" w:cs="宋体"/>
                <w:sz w:val="24"/>
                <w:szCs w:val="24"/>
              </w:rPr>
              <w:t xml:space="preserve">支持多台网络中控主机实现级联控制，达到互联、互控的效果；主机自带≥4.3英寸LCD触摸彩屏，可查看IP地址、修改IP地址；全面支持网络控制，具备网络接口；支持多台IOS平台（iPhone/ipad）、安卓平台等移动设备终端通过wifi与主机通讯；IOS平台（iPhone/ipad）、安卓平台等移动设备终端的编程方式全面兼容传统触屏编程方式，无需重新学习新的编程方法，极其方便升级更换；支持操作状态双向反馈功能，对设备的控制执行状态可一目了然；</w:t>
            </w:r>
            <w:r>
              <w:rPr>
                <w:rFonts w:hint="eastAsia" w:ascii="宋体" w:hAnsi="宋体" w:eastAsia="宋体" w:cs="宋体"/>
                <w:sz w:val="24"/>
                <w:szCs w:val="24"/>
              </w:rPr>
              <w:br/>
            </w:r>
            <w:r>
              <w:rPr>
                <w:rFonts w:hint="eastAsia" w:ascii="宋体" w:hAnsi="宋体" w:eastAsia="宋体" w:cs="宋体"/>
                <w:sz w:val="24"/>
                <w:szCs w:val="24"/>
              </w:rPr>
              <w:t xml:space="preserve">2、◆采用可编程控制平台，交互式的控制结构，中英文可编程界面；采用32位ARM架构内嵌式处理器，处理速度最高≥720MHz；</w:t>
            </w:r>
            <w:r>
              <w:rPr>
                <w:rFonts w:hint="eastAsia" w:ascii="宋体" w:hAnsi="宋体" w:eastAsia="宋体" w:cs="宋体"/>
                <w:sz w:val="24"/>
                <w:szCs w:val="24"/>
              </w:rPr>
              <w:br/>
            </w:r>
            <w:r>
              <w:rPr>
                <w:rFonts w:hint="eastAsia" w:ascii="宋体" w:hAnsi="宋体" w:eastAsia="宋体" w:cs="宋体"/>
                <w:sz w:val="24"/>
                <w:szCs w:val="24"/>
              </w:rPr>
              <w:t xml:space="preserve">3、▲支持≥2种局域网远程桌面方式，无需连接外部网络或使用第三方软件，支持多用户远程协同控制，便于现场运维。（投标时须在响应文件中提供第三方检测机构出具的合格的检验报告或功能截图等相关证明材料）</w:t>
            </w:r>
            <w:r>
              <w:rPr>
                <w:rFonts w:hint="eastAsia" w:ascii="宋体" w:hAnsi="宋体" w:eastAsia="宋体" w:cs="宋体"/>
                <w:sz w:val="24"/>
                <w:szCs w:val="24"/>
              </w:rPr>
              <w:br/>
            </w:r>
            <w:r>
              <w:rPr>
                <w:rFonts w:hint="eastAsia" w:ascii="宋体" w:hAnsi="宋体" w:eastAsia="宋体" w:cs="宋体"/>
                <w:sz w:val="24"/>
                <w:szCs w:val="24"/>
              </w:rPr>
              <w:t xml:space="preserve">4、◆支持1路TF卡接口，实现项目中的程序导入或导出；内嵌智能红外学习功能模块，无须配置专业学习器；可导入各种常用的电器设备的红外代码库到主机，并实现控制；</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主机具备8路独立可编程IR红外发射口；</w:t>
            </w:r>
            <w:r>
              <w:rPr>
                <w:rFonts w:hint="eastAsia" w:ascii="宋体" w:hAnsi="宋体" w:eastAsia="宋体" w:cs="宋体"/>
                <w:sz w:val="24"/>
                <w:szCs w:val="24"/>
              </w:rPr>
              <w:br/>
            </w:r>
            <w:r>
              <w:rPr>
                <w:rFonts w:hint="eastAsia" w:ascii="宋体" w:hAnsi="宋体" w:eastAsia="宋体" w:cs="宋体"/>
                <w:sz w:val="24"/>
                <w:szCs w:val="24"/>
              </w:rPr>
              <w:t xml:space="preserve">主机具备8路数字I/0输入输出控制口，带保护电路；主机具备8路弱电继电器控制接口；主机具备1个NET网络控制接口，可做外部功能扩展使用，可并接256个网络设备；</w:t>
            </w:r>
            <w:r>
              <w:rPr>
                <w:rFonts w:hint="eastAsia" w:ascii="宋体" w:hAnsi="宋体" w:eastAsia="宋体" w:cs="宋体"/>
                <w:sz w:val="24"/>
                <w:szCs w:val="24"/>
              </w:rPr>
              <w:br/>
            </w:r>
            <w:r>
              <w:rPr>
                <w:rFonts w:hint="eastAsia" w:ascii="宋体" w:hAnsi="宋体" w:eastAsia="宋体" w:cs="宋体"/>
                <w:sz w:val="24"/>
                <w:szCs w:val="24"/>
              </w:rPr>
              <w:t xml:space="preserve">5、◆处理器：32位处理器，主频≥720MHZ；存储器：256MByte DDR3 RAM，8 GByte EMMC Flash；串口端口：8个终端模块，每个模块7PIN排针，支持RS-232，RS-485及RS-422信号；红外IR端口：8个终端模块，16PIN排针；I/O端口：8个终端模块，9PIN排针，带保护电路，支持 0-5V 数字输入信号；</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6、◆弱电继电器端口：8个终端模块，16PIN排针，常开型独立继电器，额定 1A/5V 数字信号；NET端口：1个终端模块，4PIN排针，支持NET控制总线，提供DC24V/2A输出电源；封装方式：金属机箱，支持机架安装 ；输入电源：～110-240V 50-60Hz</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网络中控系统逻辑处理内嵌软件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软件内嵌于中央控制系统主机设备，实现系统控制逻辑、处理等功能；主要包括硬件逻辑模块、软件逻辑模块、红外代码管理、编译、下载、监视等；编程软件支持添加与实际工程对应硬件的逻辑模块；实现串口代码数据、IR红外数据、继电器、I/O数据等的代码转发、逻辑算法处理等编程功能；支持界面设计软件实现中控控制界面的制作及编辑，支持互锁模式，支持3D按键等灵活的按键设计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切换控制器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1、◆存储类型  LPDDR4x+UFS2.1；内存容量≥6GB；存储容量≥6GB+64GB、6GB+128GB、6GB+256GB；分辨率：≥2560x1600；触摸屏类型：IPS 十点触控</w:t>
            </w:r>
            <w:r>
              <w:rPr>
                <w:rFonts w:hint="eastAsia" w:eastAsia="宋体" w:cs="Times New Roman"/>
                <w:sz w:val="24"/>
                <w:szCs w:val="24"/>
              </w:rPr>
              <w:t xml:space="preserve">。</w:t>
            </w:r>
            <w:r>
              <w:rPr>
                <w:rFonts w:hint="eastAsia" w:ascii="宋体" w:hAnsi="宋体" w:eastAsia="宋体" w:cs="宋体"/>
                <w:sz w:val="24"/>
                <w:szCs w:val="24"/>
              </w:rPr>
              <w:t xml:space="preserve">电容屏：像素  ≥800万；屏幕尺寸  ≥10.8英寸；后置摄像头像素  ≥1300万；</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2、◆基本参数：3.5mm耳机接口，USB Type-C接口；核心数：八核心；CPU主频：最高2.86GHz</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1、◆无线传输速度: 450Mbps；有线传输率: 10/100Mbps；无线传输速率: 450Mbps；网络标准: 802.11b 802.11g 802.11n；无线网络支持频率: 2.4G；内置防火墙；支持WDS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255"/>
                <w:numId w:val="0"/>
              </w:numPr>
              <w:jc w:val="left"/>
              <w:widowControl/>
              <w:rPr>
                <w:rFonts w:hint="default" w:eastAsia="宋体" w:cs="Times New Roman"/>
                <w:sz w:val="24"/>
                <w:szCs w:val="24"/>
              </w:rPr>
            </w:pPr>
            <w:r>
              <w:rPr>
                <w:rFonts w:hint="eastAsia" w:ascii="宋体" w:hAnsi="宋体" w:eastAsia="宋体" w:cs="宋体"/>
                <w:sz w:val="24"/>
                <w:szCs w:val="24"/>
              </w:rPr>
              <w:t xml:space="preserve">1、◆4路独立音频通道音量调节模块；支持平衡线路级音频输入/出；面板具备小键盘,支持手动操作控制,具有LED指示功能；控制方法: 通过R232协议控制,搭配可编程中控主机使用,也全面支持第三方设备；</w:t>
            </w:r>
            <w:r>
              <w:rPr>
                <w:rFonts w:hint="eastAsia" w:ascii="宋体" w:hAnsi="宋体" w:eastAsia="宋体" w:cs="宋体"/>
                <w:sz w:val="24"/>
                <w:szCs w:val="24"/>
              </w:rPr>
              <w:br/>
            </w:r>
            <w:r>
              <w:rPr>
                <w:rFonts w:hint="eastAsia" w:ascii="宋体" w:hAnsi="宋体" w:eastAsia="宋体" w:cs="宋体"/>
                <w:sz w:val="24"/>
                <w:szCs w:val="24"/>
              </w:rPr>
              <w:t xml:space="preserve">2、◆输入端口：5.8欧式端子，支持平衡线路级音频输入；输出端口：5.8欧式端子，支持平衡线路级音频输出；音量频道输入阻抗：≥680Ω；音量频道输出阻抗：≥10Ω 总谐波失真：-85dB；噪声：-85dB；输入电平：2VPP；.声道间隔：-90DB；静音：-104dB；均匀性：80Hz-16KHz ±0.2dB；衰减范围：0-76DB（非静音，最大值）；频繁响应：80Hz～16KHz（-3DB最小值）；</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协议兼容:搭配可编程中控主机使用,也全面支持第三方设备控制；手动控制：在机器的正前方，有8个轻触开关，紧急情况下可以手动控制继电器的开关，在现场出现特发情况时可以使用这一功能，很好的保护其他的设备；每路继电器都有三连接点的接线柱,具有常开与常闭的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1、◆手动：8路独立电源开关控制；载入容量：单路电流20A；电源：宽电压通用电源（AC110V - AC240V）；控制方法：通过RS-232及中控主机NET网络接口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红外发射棒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红外发射棒,主机自带8根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专用软件及编程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专用软件及编程，主机自带光盘</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5、辅助材料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音频连接线1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卡侬头（母）-卡侬头（公）</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音频连接线2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3.5（耳机插头）-双6.35话筒插头；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HDMI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10M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六类网线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-金银线(300*0.1)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会议系统</w:t>
            </w:r>
            <w:r>
              <w:rPr>
                <w:rFonts w:hint="eastAsia" w:eastAsia="宋体" w:cs="Times New Roma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接插件、专用插座等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3.4、执法规范化系统</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8"/>
        <w:gridCol w:w="983"/>
        <w:gridCol w:w="737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半球摄像机（特写）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图像分辨率：≥2560×1440@25fps；</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接入协议：支持GB/T28181协议</w:t>
            </w:r>
            <w:r/>
          </w:p>
          <w:p>
            <w:pPr>
              <w:numPr>
                <w:ilvl w:val="0"/>
                <w:numId w:val="7"/>
              </w:numPr>
              <w:jc w:val="left"/>
              <w:widowControl/>
              <w:rPr>
                <w:rFonts w:hint="default" w:ascii="宋体" w:hAnsi="宋体" w:eastAsia="宋体" w:cs="宋体"/>
                <w:sz w:val="24"/>
                <w:szCs w:val="24"/>
              </w:rPr>
            </w:pPr>
            <w:r>
              <w:rPr>
                <w:rFonts w:hint="eastAsia" w:ascii="宋体" w:hAnsi="宋体" w:eastAsia="宋体" w:cs="宋体"/>
                <w:sz w:val="24"/>
                <w:szCs w:val="24"/>
              </w:rPr>
              <w:t xml:space="preserve">◆靶面尺寸：≥1/2.7＂；焦距范围：≥2.7~13.5 mm；最低照度：彩色≤0.0002 lx，黑白≤0.0001 lx；补光灯类型：内置红外补光灯；补光距离：红外作用距离≥30m；安全防护等级：≥IP67；支持GB35114A安全加密；内置2个麦克风；内置GPU芯片；支持DC12V/POE供电； </w:t>
            </w:r>
            <w:r/>
          </w:p>
          <w:p>
            <w:pPr>
              <w:numPr>
                <w:ilvl w:val="0"/>
                <w:numId w:val="7"/>
              </w:numPr>
              <w:jc w:val="left"/>
              <w:widowControl/>
              <w:rPr>
                <w:rFonts w:hint="default" w:eastAsia="宋体" w:cs="Times New Roman"/>
              </w:rPr>
            </w:pPr>
            <w:r>
              <w:rPr>
                <w:rFonts w:hint="eastAsia" w:ascii="宋体" w:hAnsi="宋体" w:eastAsia="宋体" w:cs="宋体"/>
                <w:sz w:val="24"/>
                <w:szCs w:val="24"/>
              </w:rPr>
              <w:t xml:space="preserve">▲摄像机采用半弧形鳞片镜面反射式补光灯，补光灯开启后，正面不可见补光灯灯珠，灯光均匀无波纹、圆环状、麻点状、条纹状及不规则亮斑。（投标时须在响应文件中提供第三方检测机构出具的合格的检验报告或功能截图等相关证明材料）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半球摄像机（全景）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图像分辨率：2560×1440@25fps；</w:t>
            </w:r>
            <w:r/>
          </w:p>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接入协议：支持GB/T28181协议</w:t>
            </w:r>
            <w:r>
              <w:rPr>
                <w:rFonts w:hint="eastAsia" w:ascii="宋体" w:hAnsi="宋体" w:eastAsia="宋体" w:cs="宋体"/>
                <w:sz w:val="24"/>
                <w:szCs w:val="24"/>
              </w:rPr>
              <w:br/>
            </w:r>
            <w:r>
              <w:rPr>
                <w:rFonts w:hint="eastAsia" w:ascii="宋体" w:hAnsi="宋体" w:eastAsia="宋体" w:cs="宋体"/>
                <w:sz w:val="24"/>
                <w:szCs w:val="24"/>
              </w:rPr>
              <w:t xml:space="preserve">1、◆靶面尺寸：≥1/2.7＂；焦距范围：≥2.7~13.5 mm；最低照度：彩色≤0.0002 lx，黑白≤0.0001 lx；补光灯类型：内置红外补光灯；补光距离：红外作用距离≥30m；安全防护等级：≥IP67；支持GB35114A安全加密；内置2个麦克风；内置GPU芯片；支持DC12V/POE供电；摄像机采用半弧形鳞片镜面反射式补光灯，补光灯开启后，正面不可见补光灯灯珠，灯光均匀无波纹、圆环状、麻点状、条纹状及不规则亮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传感器：≥400万像素CMOS传感器；</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图像分辨率：≥2560×1440@25fps，分辨力不小于1400TVL</w:t>
            </w:r>
            <w:r/>
          </w:p>
          <w:p>
            <w:pPr>
              <w:jc w:val="left"/>
              <w:widowControl/>
              <w:rPr>
                <w:rFonts w:hint="default" w:ascii="宋体" w:hAnsi="宋体" w:eastAsia="宋体" w:cs="宋体"/>
                <w:i/>
                <w:iCs/>
                <w:sz w:val="24"/>
                <w:szCs w:val="24"/>
              </w:rPr>
            </w:pPr>
            <w:r>
              <w:rPr>
                <w:rFonts w:hint="eastAsia" w:ascii="宋体" w:hAnsi="宋体" w:eastAsia="宋体" w:cs="宋体"/>
                <w:i/>
                <w:iCs/>
                <w:sz w:val="24"/>
                <w:szCs w:val="24"/>
                <w:u w:val="single"/>
              </w:rPr>
              <w:t xml:space="preserve">支持GB35114A安全加密；</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接入协议：支持GB/T28181、GA/T1400协议、确保接入执法规范化系统</w:t>
            </w:r>
            <w:r/>
          </w:p>
          <w:p>
            <w:pPr>
              <w:numPr>
                <w:ilvl w:val="255"/>
                <w:numId w:val="0"/>
              </w:numPr>
              <w:jc w:val="left"/>
              <w:widowControl/>
              <w:rPr>
                <w:rFonts w:hint="default" w:ascii="宋体" w:hAnsi="宋体" w:eastAsia="宋体" w:cs="宋体"/>
                <w:sz w:val="24"/>
                <w:szCs w:val="24"/>
              </w:rPr>
            </w:pPr>
            <w:r>
              <w:rPr>
                <w:rFonts w:hint="eastAsia" w:ascii="宋体" w:hAnsi="宋体" w:eastAsia="宋体" w:cs="宋体"/>
                <w:sz w:val="24"/>
                <w:szCs w:val="24"/>
              </w:rPr>
              <w:t xml:space="preserve">1、◆靶面尺寸：≥1/1.8＂；焦距范围：≥2.8-12mm，电动镜头,可远程调节镜头倍率和聚焦；最低照度：彩色≤0.0002 lx，黑白≤0.0001 lx；光圈：≥F1.2；补光灯类型：红外补光灯；补光距离：监控 ≥30米；安全防护等级：≥IP67;</w:t>
            </w:r>
            <w:r>
              <w:rPr>
                <w:rFonts w:hint="eastAsia" w:ascii="宋体" w:hAnsi="宋体" w:eastAsia="宋体" w:cs="宋体"/>
                <w:sz w:val="24"/>
                <w:szCs w:val="24"/>
              </w:rPr>
              <w:br/>
            </w:r>
            <w:r>
              <w:rPr>
                <w:rFonts w:hint="eastAsia" w:ascii="宋体" w:hAnsi="宋体" w:eastAsia="宋体" w:cs="宋体"/>
                <w:sz w:val="24"/>
                <w:szCs w:val="24"/>
              </w:rPr>
              <w:t xml:space="preserve">2、◆支持人脸抓拍，支持快速抓拍模式和优选抓拍模式，支持去误报和去重；支持侧脸过滤功能，可过滤上下、左右角度达到预设值的人脸；采用金属外壳；内置2个麦克风、1个扬声器；</w:t>
            </w:r>
            <w:r>
              <w:rPr>
                <w:rFonts w:hint="eastAsia" w:ascii="宋体" w:hAnsi="宋体" w:eastAsia="宋体" w:cs="宋体"/>
                <w:sz w:val="24"/>
                <w:szCs w:val="24"/>
              </w:rPr>
              <w:br/>
            </w:r>
            <w:r>
              <w:rPr>
                <w:rFonts w:hint="eastAsia" w:ascii="宋体" w:hAnsi="宋体" w:eastAsia="宋体" w:cs="宋体"/>
                <w:sz w:val="24"/>
                <w:szCs w:val="24"/>
              </w:rPr>
              <w:t xml:space="preserve">3、▲设备具有耀光抑制功能，耀光区域≤1%。（投标时须在响应文件中提供第三方检测机构出具的合格的检验报告或功能截图等相关证明材料）</w:t>
            </w:r>
            <w:r>
              <w:rPr>
                <w:rFonts w:hint="eastAsia" w:ascii="宋体" w:hAnsi="宋体" w:eastAsia="宋体" w:cs="宋体"/>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红外+微波+智能芯片复合探测技术</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数字智能逻辑分析技术</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1、◆≥10.525GHz平面微波探测器；温度补偿功能，减少温度影响；灵敏度可调以适应不同环境；报警输出常开/常闭可调；防拆功能 工作电压：DC10-16V；消耗电流：≦80mA ；环境温度：-20℃到+50℃；安装高度：1.8m-2.2m；探测距离：8-12m；探测角度：84度(左右）110度（上下）；探测方式：红外+微波模块；报警输出：常开/常闭可调；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拾音头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监听面积：10平方米-40平方米</w:t>
            </w:r>
            <w:r>
              <w:rPr>
                <w:rFonts w:hint="eastAsia" w:ascii="宋体" w:hAnsi="宋体" w:eastAsia="宋体" w:cs="宋体"/>
                <w:i/>
                <w:iCs/>
                <w:sz w:val="24"/>
                <w:szCs w:val="24"/>
                <w:u w:val="single"/>
              </w:rPr>
              <w:br/>
            </w:r>
            <w:r>
              <w:rPr>
                <w:rFonts w:hint="eastAsia" w:ascii="宋体" w:hAnsi="宋体" w:eastAsia="宋体" w:cs="宋体"/>
                <w:i/>
                <w:iCs/>
                <w:sz w:val="24"/>
                <w:szCs w:val="24"/>
                <w:u w:val="single"/>
              </w:rPr>
              <w:t xml:space="preserve">音频传输距离：3000米</w:t>
            </w:r>
            <w:r>
              <w:rPr>
                <w:rFonts w:hint="eastAsia" w:ascii="宋体" w:hAnsi="宋体" w:eastAsia="宋体" w:cs="宋体"/>
                <w:sz w:val="24"/>
                <w:szCs w:val="24"/>
                <w:u w:val="single"/>
              </w:rPr>
              <w:br/>
            </w:r>
            <w:r>
              <w:rPr>
                <w:rFonts w:hint="eastAsia" w:ascii="宋体" w:hAnsi="宋体" w:eastAsia="宋体" w:cs="宋体"/>
                <w:sz w:val="24"/>
                <w:szCs w:val="24"/>
              </w:rPr>
              <w:t xml:space="preserve">1、◆频率响应：20Hz ～ 20kHz；灵敏度：-40dB；信噪比：65dB ( 1米40 dB音源)30dB (10米40 dB音源) 1KHz at 1 Pa；指向特性：全方向性；动态范围：104dB (1KHz at Max dB SPL)；最大承受音压：120dB SPL (1KHz,THD 1%)；输出阻抗：600欧姆非平衡；输出信号幅度：2.5Vpp/-25db；</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2、◆麦克风：大型震膜电容咪头；保护电路：雷击保护、电源极性反转保护；连接方式：电源线（红色）、音频（白色）、公共地（黑色）；传输线缆：3芯0.5mm2 RVVP屏蔽电缆；电源电压：直流稳压DC 12V，大于500米推荐15V；电源电流：20 mA；工作环境温度：-25℃ ～ 70℃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一键式报警按钮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防火ABS阻燃外壳；常开/常闭型；钥匙复位；可用于86盒安装；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自复位开关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可用于86盒安装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额定电压：≥DC 12V；额定电流：≥300mA</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1、◆不少于2路开关量输入3路开关量输出，并支持市局执法规范软件，用于管理及控制灯光、工作指示灯开启及关闭、硬盘录像机报警输入等信号</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六类网线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VV2*1.0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接插件、专用插座等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3.5、出入口管理系统</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7"/>
        <w:gridCol w:w="1706"/>
        <w:gridCol w:w="6696"/>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车牌识别智能一体机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400万像素星光级高清相机模块；夜间识别无需环境光,减少光污染；≥21.5寸高清LCD显示屏，支持二维码显示，采用直流无刷三代道闸机芯，高效能电机、编码器限位，运行稳定、可靠性高；支持微信、支付宝等多种移动支付方式，支持无感支付功能，先出场后扣费，极致通行体验；支持云平台管理，多个车场集中管控，可视化远程运维；配合车道管理机，实现云呼叫、云岗亭功能，真正无人值守管理。</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2、◆系统支持白天至少1000辆车辆进场录像，号牌的图像水平分辨率不低于100个像素点且不大于160个像素点，车牌号牌识别准确率≥99.8%</w:t>
            </w:r>
            <w:r/>
          </w:p>
          <w:p>
            <w:pPr>
              <w:jc w:val="left"/>
              <w:widowControl/>
              <w:rPr>
                <w:rFonts w:hint="default" w:eastAsia="宋体" w:cs="Times New Roman"/>
                <w:sz w:val="24"/>
                <w:szCs w:val="24"/>
              </w:rPr>
            </w:pPr>
            <w:r>
              <w:rPr>
                <w:rFonts w:hint="eastAsia" w:ascii="宋体" w:hAnsi="宋体" w:eastAsia="宋体" w:cs="宋体"/>
                <w:sz w:val="24"/>
                <w:szCs w:val="24"/>
              </w:rPr>
              <w:t xml:space="preserve">3、◆道闸需配置有道闸杆检测装置：能自动检测闸杆异常情况并拍照上传、报警、处理；通过测距模块获取闸杆信号进行报警，并提醒管理人员维修更换；</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道闸升降时间2-6S，具备变频调速功能，可实现起落杆加减速调整，如高速起杆、慢速落杆，且起落杆速度不少于三挡可调；栏杆臂起落角度范围在0°-90°、偏差在±3°；且运行噪音＜60dB</w:t>
            </w:r>
            <w:r>
              <w:rPr>
                <w:rFonts w:hint="eastAsia" w:ascii="宋体" w:hAnsi="宋体" w:eastAsia="宋体" w:cs="宋体"/>
                <w:sz w:val="24"/>
                <w:szCs w:val="24"/>
              </w:rPr>
              <w:br/>
            </w:r>
            <w:r>
              <w:rPr>
                <w:rFonts w:hint="eastAsia" w:ascii="宋体" w:hAnsi="宋体" w:eastAsia="宋体" w:cs="宋体"/>
                <w:sz w:val="24"/>
                <w:szCs w:val="24"/>
              </w:rPr>
              <w:t xml:space="preserve">整机参数：</w:t>
            </w:r>
            <w:r/>
          </w:p>
          <w:p>
            <w:pPr>
              <w:numPr>
                <w:ilvl w:val="0"/>
                <w:numId w:val="8"/>
              </w:numPr>
              <w:jc w:val="left"/>
              <w:widowControl/>
              <w:rPr>
                <w:rFonts w:hint="default" w:ascii="宋体" w:hAnsi="宋体" w:eastAsia="宋体" w:cs="宋体"/>
                <w:sz w:val="24"/>
                <w:szCs w:val="24"/>
              </w:rPr>
            </w:pPr>
            <w:r>
              <w:rPr>
                <w:rFonts w:hint="eastAsia" w:ascii="宋体" w:hAnsi="宋体" w:eastAsia="宋体" w:cs="宋体"/>
                <w:sz w:val="24"/>
                <w:szCs w:val="24"/>
              </w:rPr>
              <w:t xml:space="preserve">◆工作电压：AC220V±10% 防护等级：IP54；工作温度：-30℃~+65℃ 通讯方式：TCP/IP；相对湿度：≤90%，无凝露（常温）；屏幕尺寸：≥21.5英寸；相机参数：镜头：≥400W高清广角镜头；传感器类型：1/2.8英寸CMOS ；抓拍图片分辨率：≥2688*1520；车辆识别率：≥99.9%</w:t>
            </w:r>
            <w:r>
              <w:rPr>
                <w:rFonts w:hint="eastAsia" w:ascii="宋体" w:hAnsi="宋体" w:eastAsia="宋体" w:cs="宋体"/>
                <w:sz w:val="24"/>
                <w:szCs w:val="24"/>
              </w:rPr>
              <w:br/>
            </w:r>
            <w:r>
              <w:rPr>
                <w:rFonts w:hint="eastAsia" w:ascii="宋体" w:hAnsi="宋体" w:eastAsia="宋体" w:cs="宋体"/>
                <w:sz w:val="24"/>
                <w:szCs w:val="24"/>
              </w:rPr>
              <w:t xml:space="preserve">道闸参数：</w:t>
            </w:r>
            <w:r>
              <w:rPr>
                <w:rFonts w:hint="eastAsia" w:ascii="宋体" w:hAnsi="宋体" w:eastAsia="宋体" w:cs="宋体"/>
                <w:sz w:val="24"/>
                <w:szCs w:val="24"/>
              </w:rPr>
              <w:br/>
            </w:r>
            <w:r>
              <w:rPr>
                <w:rFonts w:hint="eastAsia" w:ascii="宋体" w:hAnsi="宋体" w:eastAsia="宋体" w:cs="宋体"/>
                <w:sz w:val="24"/>
                <w:szCs w:val="24"/>
              </w:rPr>
              <w:t xml:space="preserve">5、◆遥控距离：≥30m；最大杆长：直杆≤6m，曲臂杆≤5m，栅栏杆≤4m 分辨率：1920*1080；运行速度：直杆1s～6s(可调)、曲臂杆1.5s～6s 、栅栏杆2s～6s(可调) 双通道LVDS，8位RGB信号输入，最大亮度：1000cd/m2，≥16.7M色显示器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无线遥控距离:10~40米(受实际环境影响）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双路车辆检测器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探测距离≤6米,TDD,FDD抗干扰模式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地感线圈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0.75m</w:t>
            </w:r>
            <w:r>
              <w:rPr>
                <w:rFonts w:hint="eastAsia" w:ascii="宋体" w:hAnsi="宋体" w:eastAsia="宋体" w:cs="宋体"/>
                <w:sz w:val="24"/>
                <w:szCs w:val="24"/>
                <w:vertAlign w:val="superscript"/>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辅助摄像机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300万高清镜头识别相机，识别率≥99.8%；支持视频流和触发识别，根据每个安装现场环境自由切换；全系列车牌识别（蓝牌、黄牌、警牌、新武警、新军牌、阴阳光车牌、单双层车牌、新能源车牌、港澳车牌）                    </w:t>
            </w:r>
            <w:r>
              <w:rPr>
                <w:rFonts w:hint="eastAsia" w:ascii="宋体" w:hAnsi="宋体" w:eastAsia="宋体" w:cs="宋体"/>
                <w:sz w:val="24"/>
                <w:szCs w:val="24"/>
              </w:rPr>
              <w:br/>
            </w:r>
            <w:r>
              <w:rPr>
                <w:rFonts w:hint="eastAsia" w:ascii="宋体" w:hAnsi="宋体" w:eastAsia="宋体" w:cs="宋体"/>
                <w:sz w:val="24"/>
                <w:szCs w:val="24"/>
              </w:rPr>
              <w:t xml:space="preserve">智能补光，自动开启关闭无需人为设置；</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2、◆车牌识别摄像机镜头抓拍图片分辨率≥2560*1944，且符合GA/T 833检验要求；且支持机动车，非机动车抓拍，支持真车检测、车牌防伪功能；支持OSD叠加功能，叠加内容至少包括时间、日期、自定义文本内容；</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3、◆车牌识别摄像机需支持电动调焦功能，配置有灯带，且补光灯支持手动1-100级调节功能；且镜头前配置有加热部件，具有除雾功能；</w:t>
            </w:r>
            <w:r>
              <w:rPr>
                <w:rFonts w:hint="eastAsia" w:ascii="宋体" w:hAnsi="宋体" w:eastAsia="宋体" w:cs="宋体"/>
                <w:sz w:val="24"/>
                <w:szCs w:val="24"/>
              </w:rPr>
              <w:br/>
            </w:r>
            <w:r>
              <w:rPr>
                <w:rFonts w:hint="eastAsia" w:ascii="宋体" w:hAnsi="宋体" w:eastAsia="宋体" w:cs="宋体"/>
                <w:sz w:val="24"/>
                <w:szCs w:val="24"/>
              </w:rPr>
              <w:t xml:space="preserve">整机参数：</w:t>
            </w:r>
            <w:r>
              <w:rPr>
                <w:rFonts w:hint="eastAsia" w:ascii="宋体" w:hAnsi="宋体" w:eastAsia="宋体" w:cs="宋体"/>
                <w:sz w:val="24"/>
                <w:szCs w:val="24"/>
              </w:rPr>
              <w:br/>
            </w:r>
            <w:r>
              <w:rPr>
                <w:rFonts w:hint="eastAsia" w:ascii="宋体" w:hAnsi="宋体" w:eastAsia="宋体" w:cs="宋体"/>
                <w:sz w:val="24"/>
                <w:szCs w:val="24"/>
              </w:rPr>
              <w:t xml:space="preserve">4、◆工作电压：AC220V±10% 防护等级：IP54；工作温度：-30℃~+65℃ 通讯方式：TCP/IP；相对湿度：≤90%，无凝露（常温）；屏幕参数：功耗： 小于等于50W；通讯方式： 485通讯；LED显示屏： 横向显示，自定义显示内容；LED亮度：1200cd；相机参数：镜头：≥300万高清镜头；传感器类型：1/2.7" CMOS Image Sensor；抓拍图片分辨率：≥300万像素；综合识别率：≥99.8%；  综合抓拍率：≥99.9% </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6436"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参数见“3.10图形工作站（台式计算机）技术要求”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管理软件（云平台）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系统管理：用户管理、权限管理、部门管理等。车场监控：实时过车信息监控。基本配置：停车场信息、出入口信息、车道信息、相机信息、万能语音版配置。车辆监控：车辆出入车数据、在查车辆、删除场内车等。规则配置：收费规则配置（免费、按次收费、按时收费、日夜分时按次收费）、节假日免费配置、临时车放行、固定车放行、无牌车放行、特殊字放行、分组车位满放行、无在场记录放行等；固定车管理、残疾人车管理、包月车管理、车辆分组管理等；综合查询：过车收费信息查询、临时订单查询。</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三、传输设备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一光一电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PVC25管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室外阻水网线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cat5e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RVV3*1.5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24芯光纤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汽车专用，与闸机横杆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≥600*800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3.6、信息发布系统</w:t>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7"/>
        <w:gridCol w:w="1689"/>
        <w:gridCol w:w="6713"/>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1、一层办公门厅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条型字幕终端</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1、◆像素点间距：≤4.75mm；像素密度：≥44321Dots/m2；单元板分辨率：≥2048Dots；像素构成：1R、1G；驱动方式：恒流驱动；供电方式：支持电源均流DC4.2V～DC5V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异步网络控制卡</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单色1024K/双色512K/三基色320K点; 宽度≤4096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参数见“3.10图形工作站（台式计算机）技术要求”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1、◆保护功能 输入AC端自带保护盖，且具备过流、断路、短路、过压、欠压、防雷等保护功能；</w:t>
            </w:r>
            <w:r/>
          </w:p>
          <w:p>
            <w:pPr>
              <w:numPr>
                <w:ilvl w:val="255"/>
                <w:numId w:val="0"/>
              </w:numPr>
              <w:jc w:val="left"/>
              <w:widowControl/>
              <w:rPr>
                <w:rFonts w:hint="default" w:ascii="宋体" w:hAnsi="宋体" w:eastAsia="宋体" w:cs="宋体"/>
                <w:sz w:val="24"/>
                <w:szCs w:val="24"/>
              </w:rPr>
            </w:pPr>
            <w:r>
              <w:rPr>
                <w:rFonts w:hint="eastAsia" w:ascii="宋体" w:hAnsi="宋体" w:eastAsia="宋体" w:cs="宋体"/>
                <w:sz w:val="24"/>
                <w:szCs w:val="24"/>
              </w:rPr>
              <w:t xml:space="preserve">泄漏电流 泄漏电流≤0.25mA；接地阻抗 外壳与大地阻抗≤10mΩ；抗电强度 输入对输出，AC2000V/1min；输入对地，AC1500V/1min；输出对地，AC500V/1min；平均无故障时间 MTBF≥10000H；输入电压范围 180VAC～264VAC</w:t>
            </w:r>
            <w:r/>
          </w:p>
        </w:tc>
      </w:tr>
      <w:tr>
        <w:trPr>
          <w:jc w:val="center"/>
          <w:trHeight w:val="26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屏体内部电源线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color w:val="auto"/>
                <w:sz w:val="24"/>
                <w:szCs w:val="24"/>
              </w:rPr>
              <w:t xml:space="preserve">黑色铝合金外框，约648cmx54.6cm，结合现场情况定制</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2、社区警务中心、接警大厅、联席指挥室、案管室、三楼会议室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移动会议终端</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i/>
                <w:iCs/>
                <w:sz w:val="24"/>
                <w:szCs w:val="24"/>
                <w:u w:val="single"/>
              </w:rPr>
              <w:t xml:space="preserve">1、显示尺寸：</w:t>
            </w:r>
            <w:r>
              <w:rPr>
                <w:rFonts w:hint="eastAsia" w:ascii="宋体" w:hAnsi="宋体" w:eastAsia="宋体" w:cs="宋体"/>
                <w:sz w:val="24"/>
                <w:szCs w:val="24"/>
              </w:rPr>
              <w:t xml:space="preserve">≥</w:t>
            </w:r>
            <w:r>
              <w:rPr>
                <w:rFonts w:hint="eastAsia" w:ascii="宋体" w:hAnsi="宋体" w:eastAsia="宋体" w:cs="宋体"/>
                <w:i/>
                <w:iCs/>
                <w:sz w:val="24"/>
                <w:szCs w:val="24"/>
                <w:u w:val="single"/>
              </w:rPr>
              <w:t xml:space="preserve">86英寸；</w:t>
            </w:r>
            <w:r/>
          </w:p>
          <w:p>
            <w:pPr>
              <w:jc w:val="left"/>
              <w:widowControl/>
              <w:rPr>
                <w:rFonts w:hint="default" w:eastAsia="宋体" w:cs="Times New Roman"/>
                <w:sz w:val="24"/>
                <w:szCs w:val="24"/>
              </w:rPr>
            </w:pPr>
            <w:r>
              <w:rPr>
                <w:rFonts w:hint="eastAsia" w:ascii="宋体" w:hAnsi="宋体" w:eastAsia="宋体" w:cs="宋体"/>
                <w:i/>
                <w:iCs/>
                <w:sz w:val="24"/>
                <w:szCs w:val="24"/>
                <w:u w:val="single"/>
              </w:rPr>
              <w:t xml:space="preserve">背光源类型：DLED；</w:t>
            </w:r>
            <w:r/>
          </w:p>
          <w:p>
            <w:pPr>
              <w:jc w:val="left"/>
              <w:widowControl/>
              <w:rPr>
                <w:rFonts w:hint="default" w:eastAsia="宋体" w:cs="Times New Roman"/>
                <w:sz w:val="24"/>
                <w:szCs w:val="24"/>
              </w:rPr>
            </w:pPr>
            <w:r>
              <w:rPr>
                <w:rFonts w:hint="eastAsia" w:ascii="宋体" w:hAnsi="宋体" w:eastAsia="宋体" w:cs="宋体"/>
                <w:i/>
                <w:iCs/>
                <w:sz w:val="24"/>
                <w:szCs w:val="24"/>
                <w:u w:val="single"/>
              </w:rPr>
              <w:t xml:space="preserve">像素间距：0.1645（H）× 0.4935（V）mm；</w:t>
            </w:r>
            <w:r/>
          </w:p>
          <w:p>
            <w:pPr>
              <w:jc w:val="left"/>
              <w:widowControl/>
              <w:rPr>
                <w:rFonts w:hint="default" w:eastAsia="宋体" w:cs="Times New Roman"/>
                <w:sz w:val="24"/>
                <w:szCs w:val="24"/>
              </w:rPr>
            </w:pPr>
            <w:r>
              <w:rPr>
                <w:rFonts w:hint="eastAsia" w:ascii="宋体" w:hAnsi="宋体" w:eastAsia="宋体" w:cs="宋体"/>
                <w:i/>
                <w:iCs/>
                <w:sz w:val="24"/>
                <w:szCs w:val="24"/>
                <w:u w:val="single"/>
              </w:rPr>
              <w:t xml:space="preserve">物理分辨率：</w:t>
            </w:r>
            <w:r>
              <w:rPr>
                <w:rFonts w:hint="eastAsia" w:ascii="宋体" w:hAnsi="宋体" w:eastAsia="宋体" w:cs="宋体"/>
                <w:sz w:val="24"/>
                <w:szCs w:val="24"/>
              </w:rPr>
              <w:t xml:space="preserve">≥</w:t>
            </w:r>
            <w:r>
              <w:rPr>
                <w:rFonts w:hint="eastAsia" w:ascii="宋体" w:hAnsi="宋体" w:eastAsia="宋体" w:cs="宋体"/>
                <w:i/>
                <w:iCs/>
                <w:sz w:val="24"/>
                <w:szCs w:val="24"/>
                <w:u w:val="single"/>
              </w:rPr>
              <w:t xml:space="preserve">3840 × 2160 @60 Hz；</w:t>
            </w:r>
            <w:r/>
          </w:p>
          <w:p>
            <w:pPr>
              <w:jc w:val="left"/>
              <w:widowControl/>
              <w:rPr>
                <w:rFonts w:hint="default" w:eastAsia="宋体" w:cs="Times New Roman"/>
                <w:sz w:val="24"/>
                <w:szCs w:val="24"/>
              </w:rPr>
            </w:pPr>
            <w:r>
              <w:rPr>
                <w:rFonts w:hint="eastAsia" w:ascii="宋体" w:hAnsi="宋体" w:eastAsia="宋体" w:cs="宋体"/>
                <w:sz w:val="24"/>
                <w:szCs w:val="24"/>
              </w:rPr>
              <w:t xml:space="preserve">2、◆亮度：不低于350 cd/m²（Typ.）；色深度：10bit；</w:t>
            </w:r>
            <w:r/>
          </w:p>
          <w:p>
            <w:pPr>
              <w:jc w:val="left"/>
              <w:widowControl/>
              <w:rPr>
                <w:rFonts w:hint="default" w:eastAsia="宋体" w:cs="Times New Roman"/>
                <w:sz w:val="24"/>
                <w:szCs w:val="24"/>
              </w:rPr>
            </w:pPr>
            <w:r>
              <w:rPr>
                <w:rFonts w:hint="eastAsia" w:ascii="宋体" w:hAnsi="宋体" w:eastAsia="宋体" w:cs="宋体"/>
                <w:sz w:val="24"/>
                <w:szCs w:val="24"/>
              </w:rPr>
              <w:t xml:space="preserve">对比度：5000:1；响应时间：6 ms；色域：90% NTSC（CIE1931）（Typ.）；刷新率：60 Hz；</w:t>
            </w:r>
            <w:r/>
          </w:p>
          <w:p>
            <w:pPr>
              <w:jc w:val="left"/>
              <w:widowControl/>
              <w:rPr>
                <w:rFonts w:hint="default" w:eastAsia="宋体" w:cs="Times New Roman"/>
                <w:color w:val="auto"/>
                <w:sz w:val="24"/>
                <w:szCs w:val="24"/>
              </w:rPr>
            </w:pPr>
            <w:r>
              <w:rPr>
                <w:rFonts w:hint="eastAsia" w:ascii="宋体" w:hAnsi="宋体" w:eastAsia="宋体" w:cs="宋体"/>
                <w:sz w:val="24"/>
                <w:szCs w:val="24"/>
              </w:rPr>
              <w:t xml:space="preserve">3、◆可视角：178°(H)/178°(V)；连续使用时间：≥7 * 16 H；表面雾度：25%Haze，3H；显示区域：1895.04mm ╳ 1065.96mm ；触摸方式：红外触控；玻璃：防眩光、防爆钢化玻璃；触控点：安卓下20点，Windows下50点；触控响应速度：＜5ms</w:t>
            </w:r>
            <w:r>
              <w:rPr>
                <w:rFonts w:hint="eastAsia" w:ascii="宋体" w:hAnsi="宋体" w:eastAsia="宋体" w:cs="宋体"/>
                <w:color w:val="auto"/>
                <w:sz w:val="24"/>
                <w:szCs w:val="24"/>
              </w:rPr>
              <w:t xml:space="preserve">；触摸精度：90%以上的触摸区域为 ±1 mm；触摸工艺：零贴合 ；</w:t>
            </w:r>
            <w:r/>
          </w:p>
          <w:p>
            <w:pPr>
              <w:jc w:val="left"/>
              <w:widowControl/>
              <w:rPr>
                <w:rFonts w:hint="default" w:eastAsia="宋体" w:cs="Times New Roman"/>
                <w:sz w:val="24"/>
                <w:szCs w:val="24"/>
              </w:rPr>
            </w:pPr>
            <w:r>
              <w:rPr>
                <w:rFonts w:hint="eastAsia" w:ascii="宋体" w:hAnsi="宋体" w:eastAsia="宋体" w:cs="宋体"/>
                <w:color w:val="auto"/>
                <w:sz w:val="24"/>
                <w:szCs w:val="24"/>
              </w:rPr>
              <w:t xml:space="preserve">4、◆CPU：</w:t>
            </w:r>
            <w:r>
              <w:rPr>
                <w:rFonts w:hint="eastAsia" w:ascii="宋体" w:hAnsi="宋体" w:eastAsia="宋体" w:cs="宋体"/>
                <w:color w:val="auto"/>
                <w:sz w:val="24"/>
                <w:szCs w:val="24"/>
                <w:lang w:eastAsia="zh-CN"/>
              </w:rPr>
              <w:t xml:space="preserve">不低于</w:t>
            </w:r>
            <w:r>
              <w:rPr>
                <w:rFonts w:hint="eastAsia" w:ascii="宋体" w:hAnsi="宋体" w:eastAsia="宋体" w:cs="宋体"/>
                <w:color w:val="auto"/>
                <w:sz w:val="24"/>
                <w:szCs w:val="24"/>
              </w:rPr>
              <w:t xml:space="preserve">A76 x 4+A55 x 4，主频≥2.4GHz</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内存：≥8GB；内置存储：≥64</w:t>
            </w:r>
            <w:r>
              <w:rPr>
                <w:rFonts w:hint="eastAsia" w:ascii="宋体" w:hAnsi="宋体" w:eastAsia="宋体" w:cs="宋体"/>
                <w:sz w:val="24"/>
                <w:szCs w:val="24"/>
              </w:rPr>
              <w:t xml:space="preserve">GB；网卡：内置千兆网卡，支持路由功能，双WiFi ；像素：拍照≥4800万，录像≥800万；摄像头功能：支持Android系统与OPS间智能切换，支持最佳视角，支持人脸美颜；摄像头分辨率：≥4K ；规格：全指向8阵列排布；</w:t>
            </w:r>
            <w:r/>
          </w:p>
          <w:p>
            <w:pPr>
              <w:jc w:val="left"/>
              <w:widowControl/>
              <w:rPr>
                <w:rFonts w:hint="default" w:eastAsia="宋体" w:cs="Times New Roman"/>
                <w:sz w:val="24"/>
                <w:szCs w:val="24"/>
              </w:rPr>
            </w:pPr>
            <w:r>
              <w:rPr>
                <w:rFonts w:hint="eastAsia" w:ascii="宋体" w:hAnsi="宋体" w:eastAsia="宋体" w:cs="宋体"/>
                <w:sz w:val="24"/>
                <w:szCs w:val="24"/>
              </w:rPr>
              <w:t xml:space="preserve">麦克风功能：支持回声消除，智能降噪、智能音幕、发言人跟随；采样率：≥32 K；声音采集距离：≥12m ；</w:t>
            </w:r>
            <w:r/>
          </w:p>
          <w:p>
            <w:pPr>
              <w:jc w:val="left"/>
              <w:widowControl/>
              <w:rPr>
                <w:rFonts w:hint="default" w:eastAsia="宋体" w:cs="Times New Roman"/>
                <w:sz w:val="24"/>
                <w:szCs w:val="24"/>
              </w:rPr>
            </w:pPr>
            <w:r>
              <w:rPr>
                <w:rFonts w:hint="eastAsia" w:ascii="宋体" w:hAnsi="宋体" w:eastAsia="宋体" w:cs="宋体"/>
                <w:sz w:val="24"/>
                <w:szCs w:val="24"/>
              </w:rPr>
              <w:t xml:space="preserve">5、◆浏览器搜索插入：白板软件内支持浏览器搜索功能，可长按网页种图片或截图插入至白板；</w:t>
            </w:r>
            <w:r/>
          </w:p>
          <w:p>
            <w:pPr>
              <w:jc w:val="left"/>
              <w:widowControl/>
              <w:rPr>
                <w:rFonts w:hint="default" w:eastAsia="宋体" w:cs="Times New Roman"/>
                <w:sz w:val="24"/>
                <w:szCs w:val="24"/>
              </w:rPr>
            </w:pPr>
            <w:r>
              <w:rPr>
                <w:rFonts w:hint="eastAsia" w:ascii="宋体" w:hAnsi="宋体" w:eastAsia="宋体" w:cs="宋体"/>
                <w:sz w:val="24"/>
                <w:szCs w:val="24"/>
              </w:rPr>
              <w:t xml:space="preserve">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1、◆支持 Windows / Mac OS；</w:t>
            </w:r>
            <w:r/>
          </w:p>
          <w:p>
            <w:pPr>
              <w:jc w:val="left"/>
              <w:widowControl/>
              <w:rPr>
                <w:rFonts w:hint="default" w:eastAsia="宋体" w:cs="Times New Roman"/>
                <w:sz w:val="24"/>
                <w:szCs w:val="24"/>
              </w:rPr>
            </w:pPr>
            <w:r>
              <w:rPr>
                <w:rFonts w:hint="eastAsia" w:ascii="宋体" w:hAnsi="宋体" w:eastAsia="宋体" w:cs="宋体"/>
                <w:sz w:val="24"/>
                <w:szCs w:val="24"/>
              </w:rPr>
              <w:t xml:space="preserve">Type-C接口即插即用；支持WiFi 2.4G/5G 双频；</w:t>
            </w:r>
            <w:r/>
          </w:p>
          <w:p>
            <w:pPr>
              <w:jc w:val="left"/>
              <w:widowControl/>
              <w:rPr>
                <w:rFonts w:hint="default" w:eastAsia="宋体" w:cs="Times New Roman"/>
                <w:sz w:val="24"/>
                <w:szCs w:val="24"/>
              </w:rPr>
            </w:pPr>
            <w:r>
              <w:rPr>
                <w:rFonts w:hint="eastAsia" w:ascii="宋体" w:hAnsi="宋体" w:eastAsia="宋体" w:cs="宋体"/>
                <w:sz w:val="24"/>
                <w:szCs w:val="24"/>
              </w:rPr>
              <w:t xml:space="preserve">最高支持4K分辨率；投屏器增加NFC模块，支持NFC投屏；支持OTA升级；</w:t>
            </w:r>
            <w:r/>
          </w:p>
          <w:p>
            <w:pPr>
              <w:jc w:val="left"/>
              <w:widowControl/>
              <w:rPr>
                <w:rFonts w:hint="default" w:eastAsia="宋体" w:cs="Times New Roman"/>
                <w:sz w:val="24"/>
                <w:szCs w:val="24"/>
              </w:rPr>
            </w:pPr>
            <w:r>
              <w:rPr>
                <w:rFonts w:hint="eastAsia" w:ascii="宋体" w:hAnsi="宋体" w:eastAsia="宋体" w:cs="宋体"/>
                <w:sz w:val="24"/>
                <w:szCs w:val="24"/>
              </w:rPr>
              <w:t xml:space="preserve">2、◆内存：≥512 MB；内置存储：≥4 GB；</w:t>
            </w:r>
            <w:r/>
          </w:p>
          <w:p>
            <w:pPr>
              <w:jc w:val="left"/>
              <w:widowControl/>
              <w:rPr>
                <w:rFonts w:hint="default" w:eastAsia="宋体" w:cs="Times New Roman"/>
                <w:sz w:val="24"/>
                <w:szCs w:val="24"/>
              </w:rPr>
            </w:pPr>
            <w:r>
              <w:rPr>
                <w:rFonts w:hint="eastAsia" w:ascii="宋体" w:hAnsi="宋体" w:eastAsia="宋体" w:cs="宋体"/>
                <w:sz w:val="24"/>
                <w:szCs w:val="24"/>
              </w:rPr>
              <w:t xml:space="preserve">网卡：内置千兆网卡，支持2.4G/5G ；分辨率：≥1080P/4K ；帧率：≥30fps；</w:t>
            </w:r>
            <w:r/>
          </w:p>
          <w:p>
            <w:pPr>
              <w:jc w:val="left"/>
              <w:widowControl/>
              <w:rPr>
                <w:rFonts w:hint="default" w:eastAsia="宋体" w:cs="Times New Roman"/>
                <w:sz w:val="24"/>
                <w:szCs w:val="24"/>
              </w:rPr>
            </w:pPr>
            <w:r>
              <w:rPr>
                <w:rFonts w:hint="eastAsia" w:ascii="宋体" w:hAnsi="宋体" w:eastAsia="宋体" w:cs="宋体"/>
                <w:sz w:val="24"/>
                <w:szCs w:val="24"/>
              </w:rPr>
              <w:t xml:space="preserve">传输延迟：≤200ms；</w:t>
            </w:r>
            <w:r/>
          </w:p>
          <w:p>
            <w:pPr>
              <w:jc w:val="left"/>
              <w:widowControl/>
              <w:rPr>
                <w:rFonts w:hint="default" w:eastAsia="宋体" w:cs="Times New Roman"/>
                <w:sz w:val="24"/>
                <w:szCs w:val="24"/>
              </w:rPr>
            </w:pPr>
            <w:r>
              <w:rPr>
                <w:rFonts w:hint="eastAsia" w:ascii="宋体" w:hAnsi="宋体" w:eastAsia="宋体" w:cs="宋体"/>
                <w:sz w:val="24"/>
                <w:szCs w:val="24"/>
              </w:rPr>
              <w:t xml:space="preserve">无线传输协议：IEEE 802.11 a/g/n/ac；</w:t>
            </w:r>
            <w:r/>
          </w:p>
          <w:p>
            <w:pPr>
              <w:jc w:val="left"/>
              <w:widowControl/>
              <w:rPr>
                <w:rFonts w:hint="default" w:eastAsia="宋体" w:cs="Times New Roman"/>
                <w:sz w:val="24"/>
                <w:szCs w:val="24"/>
              </w:rPr>
            </w:pPr>
            <w:r>
              <w:rPr>
                <w:rFonts w:hint="eastAsia" w:ascii="宋体" w:hAnsi="宋体" w:eastAsia="宋体" w:cs="宋体"/>
                <w:sz w:val="24"/>
                <w:szCs w:val="24"/>
              </w:rPr>
              <w:t xml:space="preserve">加密：AES；</w:t>
            </w:r>
            <w:r/>
          </w:p>
          <w:p>
            <w:pPr>
              <w:jc w:val="left"/>
              <w:widowControl/>
              <w:rPr>
                <w:rFonts w:hint="default" w:eastAsia="宋体" w:cs="Times New Roman"/>
                <w:sz w:val="24"/>
                <w:szCs w:val="24"/>
              </w:rPr>
            </w:pPr>
            <w:r>
              <w:rPr>
                <w:rFonts w:hint="eastAsia" w:ascii="宋体" w:hAnsi="宋体" w:eastAsia="宋体" w:cs="宋体"/>
                <w:sz w:val="24"/>
                <w:szCs w:val="24"/>
              </w:rPr>
              <w:t xml:space="preserve">NFC：ISO / IEC 14443- A协议，13.56MHZ，106 Kbps；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工作湿度：10-95%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1、◆无线接收器：USB HID；充电方式：USB Type-C；笔尖初始驱动压力：&lt;10 g；无线有效距离：≤6 m（无遮挡）；USB Type-C充电：5 V/110 mA；</w:t>
            </w:r>
            <w:r>
              <w:rPr>
                <w:rFonts w:hint="eastAsia" w:ascii="宋体" w:hAnsi="宋体" w:eastAsia="宋体" w:cs="宋体"/>
                <w:sz w:val="24"/>
                <w:szCs w:val="24"/>
                <w:lang w:eastAsia="zh-CN"/>
              </w:rPr>
              <w:t xml:space="preserve">支持</w:t>
            </w:r>
            <w:r>
              <w:rPr>
                <w:rFonts w:hint="eastAsia" w:ascii="宋体" w:hAnsi="宋体" w:eastAsia="宋体" w:cs="宋体"/>
                <w:sz w:val="24"/>
                <w:szCs w:val="24"/>
              </w:rPr>
              <w:t xml:space="preserve">操作系统：Windows 7 SP1及以上、Android 7.0及以上；存储温度：-20~45 ℃；工作温度：0~45 ℃</w:t>
            </w:r>
            <w:r>
              <w:rPr>
                <w:rFonts w:hint="eastAsia" w:ascii="宋体" w:hAnsi="宋体" w:eastAsia="宋体" w:cs="宋体"/>
                <w:sz w:val="24"/>
                <w:szCs w:val="24"/>
              </w:rPr>
              <w:br/>
            </w:r>
            <w:r>
              <w:rPr>
                <w:rFonts w:hint="eastAsia" w:ascii="宋体" w:hAnsi="宋体" w:eastAsia="宋体" w:cs="宋体"/>
                <w:sz w:val="24"/>
                <w:szCs w:val="24"/>
              </w:rPr>
              <w:t xml:space="preserve">2、◆电池循环寿命：≥500次，电池容量≥80%；按键操作寿命：≥300,000次；笔尖耐磨次数：100,000次，磨损≤1 mm；测试环境：粗糙度1.0磨砂玻璃；测试力度：500 g；往返行程：10 cm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1、◆承重： ≥200Lbs （90.9kg）；升降高度： 1010mm~1450mm；适用会议平板尺寸： 55/65/75/86 英寸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壁挂支架</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3、二层监控室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指挥调度展示端口</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◆尺寸：宽度≥4.8米，高度≥2.7米，分辨率不低于3840（宽）*2160（高），净显示面积不低于12.96平方米，全金属自然散热结构，箱体内部无风扇，防尘，静音设计；</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物理实像素点间距≤1.25mm；物理实像素点密度：≥640000点/㎡；物理实像素箱体分辨率≥480×270dots；像素组成：纯红+纯绿+纯蓝，每个像素点由独立的红绿蓝发光芯片构成,不接受像素点之间红绿蓝发光芯片复用（不接受虚拟像素及动态像素引擎）。采用RGB晶片全倒装技术，发光晶片单边尺寸≤90μm，COB封装，无引线；</w:t>
            </w:r>
            <w:r/>
          </w:p>
          <w:p>
            <w:pPr>
              <w:jc w:val="left"/>
              <w:widowControl/>
              <w:rPr>
                <w:rFonts w:hint="default" w:ascii="宋体" w:hAnsi="宋体" w:eastAsia="宋体" w:cs="宋体"/>
                <w:sz w:val="24"/>
                <w:szCs w:val="24"/>
              </w:rPr>
            </w:pPr>
            <w:r>
              <w:rPr>
                <w:rFonts w:hint="default" w:ascii="宋体" w:hAnsi="宋体" w:eastAsia="宋体" w:cs="宋体"/>
                <w:sz w:val="24"/>
                <w:szCs w:val="24"/>
              </w:rPr>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1、◆显示屏亮度：≥600cd/m²；视角水平≥175°/垂直≥175°；像素中心距偏差＜1%；对比度≥15000:1；灰度等级≥16bit；平整度/箱体间隙：≤0.05mm；拼装精度：≤0.05mm；水平/垂直相对错位等级：C级：≤0.1%；</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2、◆亮度均匀性：C级：IGU≥99%；基色主波长误差：C级；ΔλD≤2nm；白场色坐标：x坐标：0.27-0.33，y坐标：0.25-0.37；亮度鉴别等级：C级；Bj≥20；</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3、◆换帧频率：C级；FH=50/60/120Hz；刷新率：C级，fC≥3840Hz；像素失控率：C级：测试结果无像素失控点；</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4、◆LED显示屏经济节能，要求峰值功耗：≤350W/m²，平均功耗：≤120W/m²；</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5、◆温升：LED显示屏正常使用达到热平衡后，屏体结构金属部分、绝缘材料温升≤15℃；屏体防护：符合 GB/T 4208-2017 标准，防尘 IP6X，防水 IPX5；水平燃烧试验：符合GB/T 2408-2021塑料燃烧性能的测定水平法和垂直法标准中水平燃烧试验要求，满足HB等级；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6、◆机械碰撞防护等级：符合据 GB/T 20138-2023 电器设备外壳对外界机械碰撞的防护等级（IK 代码）标准，满足IK06机械碰撞防护要求；</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具有有效改善墨色一致性，提升显示屏亮度等相关封装方法或关键技术；具有高对比度及良好的亮度均匀性，要求具备相应关键技术，该技术同时可减少像素间的光串扰问题；具有填充层，粘接层等多层覆膜工艺，以提升产品的物理防护性能及产品显示效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编辑控制软件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i/>
                <w:iCs/>
                <w:sz w:val="24"/>
                <w:szCs w:val="24"/>
                <w:u w:val="single"/>
              </w:rPr>
              <w:t xml:space="preserve">与展示端口选用同一品牌产品</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1、◆专用管理软件，配合发送、接收、监控以及多功能卡，用户可以方便的实现对屏的智能配置、参数调节、亮度控制、电源管理、屏体校正以及硬件监控；</w:t>
            </w:r>
            <w:r/>
          </w:p>
          <w:p>
            <w:pPr>
              <w:jc w:val="left"/>
              <w:widowControl/>
              <w:rPr>
                <w:rFonts w:hint="default" w:eastAsia="宋体" w:cs="Times New Roman"/>
                <w:sz w:val="24"/>
                <w:szCs w:val="24"/>
              </w:rPr>
            </w:pPr>
            <w:r>
              <w:rPr>
                <w:rFonts w:hint="eastAsia" w:ascii="宋体" w:hAnsi="宋体" w:eastAsia="宋体" w:cs="宋体"/>
                <w:sz w:val="24"/>
                <w:szCs w:val="24"/>
              </w:rPr>
              <w:t xml:space="preserve">2、◆系统支持区域图像死灯率检测系统软件功能，系统需考虑热量均匀分布及散热，具有传热设计简要计算软件，系统支持需考虑屏体温度监测，具有多点温度监测系统软件功能，系统支持智能修复及检测控制软件功能</w:t>
            </w:r>
            <w:r/>
          </w:p>
          <w:p>
            <w:pPr>
              <w:jc w:val="left"/>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发送视频一体机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与展示端口选用同一品牌产品</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 6 画面显示，位置，大小可自由调节</w:t>
            </w:r>
            <w:r/>
          </w:p>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支持对视频信号任意切换，裁剪，拼接，缩放</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1、◆支持 1 路 DP 1.2、1 路 HDMI 2.0 输入; 2 路 HDMI 1.4 和 2 路 DVI 输入；支持 16 路千兆网口输出,支持最大带载 1048 万像素，最宽 16384 像素，或最高 8192 像素；支持最大输入分辨率 4096×2160@60Hz，支持自定义分辨率设置；支持精确颜色管理，调整显示屏色域; 支持视频同步锁相技术；</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2、◆支持独立音频输入输出; 支持 HDMI 和 DP 音频解析输出；支持 LAN 口控制,RS232 串口协议控制; 支持手机端 APP 控制；支持 HDCP 协议的高带宽数字内容保护技术；支持亮度和色温调节；二合一处理器产品具有视频控制器嵌入式软件；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eastAsia="宋体" w:cs="Times New Roman"/>
                <w:sz w:val="24"/>
                <w:szCs w:val="24"/>
              </w:rPr>
            </w:pPr>
            <w:r>
              <w:rPr>
                <w:rFonts w:hint="eastAsia" w:ascii="宋体" w:hAnsi="宋体" w:eastAsia="宋体" w:cs="宋体"/>
                <w:sz w:val="24"/>
                <w:szCs w:val="24"/>
              </w:rPr>
              <w:t xml:space="preserve">1、◆不低于15kw配电系统，具备PLC远程控制功能；</w:t>
            </w:r>
            <w:r/>
          </w:p>
          <w:p>
            <w:pPr>
              <w:jc w:val="left"/>
              <w:widowControl/>
              <w:rPr>
                <w:rFonts w:hint="default" w:eastAsia="宋体" w:cs="Times New Roman"/>
                <w:sz w:val="24"/>
                <w:szCs w:val="24"/>
              </w:rPr>
            </w:pPr>
            <w:r>
              <w:rPr>
                <w:rFonts w:hint="eastAsia" w:ascii="宋体" w:hAnsi="宋体" w:eastAsia="宋体" w:cs="宋体"/>
                <w:sz w:val="24"/>
                <w:szCs w:val="24"/>
              </w:rPr>
              <w:t xml:space="preserve">三相配电系统，功率根据屏体峰值功耗并预留一定冗余；</w:t>
            </w:r>
            <w:r/>
          </w:p>
          <w:p>
            <w:pPr>
              <w:jc w:val="left"/>
              <w:widowControl/>
              <w:rPr>
                <w:rFonts w:hint="default" w:eastAsia="宋体" w:cs="Times New Roman"/>
                <w:sz w:val="24"/>
                <w:szCs w:val="24"/>
              </w:rPr>
            </w:pPr>
            <w:r>
              <w:rPr>
                <w:rFonts w:hint="eastAsia" w:ascii="宋体" w:hAnsi="宋体" w:eastAsia="宋体" w:cs="宋体"/>
                <w:sz w:val="24"/>
                <w:szCs w:val="24"/>
              </w:rPr>
              <w:t xml:space="preserve">具有过载、过流、过载保护；</w:t>
            </w:r>
            <w:r/>
          </w:p>
          <w:p>
            <w:pPr>
              <w:jc w:val="left"/>
              <w:widowControl/>
              <w:rPr>
                <w:rFonts w:hint="default" w:eastAsia="宋体" w:cs="Times New Roman"/>
                <w:sz w:val="24"/>
                <w:szCs w:val="24"/>
              </w:rPr>
            </w:pPr>
            <w:r>
              <w:rPr>
                <w:rFonts w:hint="eastAsia" w:ascii="宋体" w:hAnsi="宋体" w:eastAsia="宋体" w:cs="宋体"/>
                <w:sz w:val="24"/>
                <w:szCs w:val="24"/>
              </w:rPr>
              <w:t xml:space="preserve">通过定制软件控制电源系统的开关,具有温湿度采集；</w:t>
            </w:r>
            <w:r/>
          </w:p>
          <w:p>
            <w:pPr>
              <w:jc w:val="left"/>
              <w:widowControl/>
              <w:rPr>
                <w:rFonts w:hint="default" w:eastAsia="宋体" w:cs="Times New Roman"/>
                <w:sz w:val="24"/>
                <w:szCs w:val="24"/>
              </w:rPr>
            </w:pPr>
            <w:r>
              <w:rPr>
                <w:rFonts w:hint="eastAsia" w:ascii="宋体" w:hAnsi="宋体" w:eastAsia="宋体" w:cs="宋体"/>
                <w:sz w:val="24"/>
                <w:szCs w:val="24"/>
              </w:rPr>
              <w:t xml:space="preserve">2、◆通过PLC可设定任意时间开启和关闭LED显示屏电源；</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通过PLC可设定任意时间关闭计算机；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框架结构及包边装饰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根据现场实际情况调整，满足工作需要。</w:t>
            </w:r>
            <w:r/>
          </w:p>
          <w:p>
            <w:pPr>
              <w:jc w:val="left"/>
              <w:widowControl/>
              <w:rPr>
                <w:rFonts w:hint="default" w:eastAsia="宋体" w:cs="Times New Roman"/>
                <w:sz w:val="24"/>
                <w:szCs w:val="24"/>
              </w:rPr>
            </w:pPr>
            <w:r>
              <w:rPr>
                <w:rFonts w:hint="eastAsia" w:ascii="宋体" w:hAnsi="宋体" w:eastAsia="宋体" w:cs="宋体"/>
                <w:sz w:val="24"/>
                <w:szCs w:val="24"/>
              </w:rPr>
              <w:t xml:space="preserve">1、◆显示屏固定安装支撑结构采用优质冷轧钢板框架结构组合形式；</w:t>
            </w:r>
            <w:r/>
          </w:p>
          <w:p>
            <w:pPr>
              <w:jc w:val="left"/>
              <w:widowControl/>
              <w:rPr>
                <w:rFonts w:hint="default" w:eastAsia="宋体" w:cs="Times New Roman"/>
                <w:sz w:val="24"/>
                <w:szCs w:val="24"/>
              </w:rPr>
            </w:pPr>
            <w:r>
              <w:rPr>
                <w:rFonts w:hint="eastAsia" w:ascii="宋体" w:hAnsi="宋体" w:eastAsia="宋体" w:cs="宋体"/>
                <w:sz w:val="24"/>
                <w:szCs w:val="24"/>
              </w:rPr>
              <w:t xml:space="preserve">2、◆零件采用壁厚2mm Q235板材制作，采用机加工冲孔、折弯工艺，表面酸洗、磷化、烤漆，烤漆颜色为哑光黑色，具有足够的静态与动态机械强度和刚度；确保支架受力均匀，长期使用支架变形容许值≤3mm；显示屏采用落地式支架，前维护方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PVC25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cat5e</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4、四层多功能室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高清投影</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i/>
                <w:sz w:val="24"/>
                <w:szCs w:val="24"/>
                <w:u w:val="single"/>
              </w:rPr>
            </w:pPr>
            <w:r>
              <w:rPr>
                <w:rFonts w:hint="eastAsia" w:ascii="宋体" w:hAnsi="宋体" w:eastAsia="宋体" w:cs="宋体"/>
                <w:i/>
                <w:sz w:val="24"/>
                <w:szCs w:val="24"/>
                <w:u w:val="single"/>
              </w:rPr>
              <w:t xml:space="preserve">≥</w:t>
            </w:r>
            <w:r>
              <w:rPr>
                <w:rFonts w:hint="eastAsia" w:ascii="宋体" w:hAnsi="宋体" w:eastAsia="宋体" w:cs="宋体"/>
                <w:i/>
                <w:iCs/>
                <w:sz w:val="24"/>
                <w:szCs w:val="24"/>
                <w:u w:val="single"/>
              </w:rPr>
              <w:t xml:space="preserve">5000流明；</w:t>
            </w:r>
            <w:r>
              <w:rPr>
                <w:rFonts w:hint="eastAsia" w:ascii="宋体" w:hAnsi="宋体" w:eastAsia="宋体" w:cs="宋体"/>
                <w:i/>
                <w:sz w:val="24"/>
                <w:szCs w:val="24"/>
                <w:u w:val="single"/>
              </w:rPr>
              <w:t xml:space="preserve">≥</w:t>
            </w:r>
            <w:r>
              <w:rPr>
                <w:rFonts w:hint="eastAsia" w:ascii="宋体" w:hAnsi="宋体" w:eastAsia="宋体" w:cs="宋体"/>
                <w:i/>
                <w:iCs/>
                <w:sz w:val="24"/>
                <w:szCs w:val="24"/>
                <w:u w:val="single"/>
              </w:rPr>
              <w:t xml:space="preserve">1920*1200分辨率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电动投影幕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150寸，16:9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电动吊架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1、◆2米，超薄机身设计，满足天天花狭窄的场合；大行程，超低噪音，运行平稳；无线遥控，使用方便可靠；过热保护功能、噪音低、行程可随意调节</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5、值班室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65寸电视机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≥65寸液晶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65寸壁挂支架</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6、后端设备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图形工作站（台式计算机）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参数见“3.10图形工作站（台式计算机）技术要求”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宽体信息显示站</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含支架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3.7、网络系统</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8"/>
        <w:gridCol w:w="1603"/>
        <w:gridCol w:w="6758"/>
      </w:tblGrid>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widowControl/>
              <w:rPr>
                <w:rFonts w:hint="default" w:ascii="宋体" w:hAnsi="宋体" w:eastAsia="宋体" w:cs="宋体"/>
                <w:b/>
                <w:bCs/>
                <w:sz w:val="20"/>
                <w:szCs w:val="20"/>
              </w:rPr>
            </w:pPr>
            <w:r>
              <w:rPr>
                <w:rFonts w:hint="eastAsia" w:ascii="宋体" w:hAnsi="宋体" w:eastAsia="宋体" w:cs="宋体"/>
                <w:b/>
                <w:bCs/>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接入公安网</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1、规格要求：10/100/1000M以太网电接口≥48个、万兆SFP+光口≥6个；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2、◆性能要求：交换容量≥7.58Tbps、包转发率≥256Mpps；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3、◆支持远程镜像功能，可跨越多网段多交换机进行镜像，支持对远程设备进行管理；</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4、◆支持一般链路事件的监控；支持断电告警功能；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5、◆支持网络有环路条件下，ERPS能自动block相关链路，当拓扑有变化时，能够根据拓扑变化调整端口状态；</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6、◆支持增强型多VLAN子网流量工程EMVTE,可以实现非环网条件下的快速收敛；支持生成树快速收敛功能，在网络拓扑发生变化时，设备能经行快速收敛(收敛时间不高于60ms)；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7、◆支持跨设备链路聚合组，组成双活系统，有效的保证了网络链路的可靠性；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8、◆支持将IPv6的数据包直接封装在IPv4的数据包中，并通过内嵌于IPv6地址的IPv4地址信息实现无需显式配置隧道就可以直接在IPv4网络上传输。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接入监控网</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1、规格要求：10/100/1000M以太网电接口≥48个、万兆SFP+光口≥6个；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2、◆性能要求：交换容量≥7.58Tbps、包转发率≥256Mpps；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3、◆支持远程镜像功能，可跨越多网段多交换机进行镜像，支持对远程设备进行管理；</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4、◆支持一般链路事件的监控；支持断电告警功能；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5、◆支持网络有环路条件下，ERPS能自动block相关链路，当拓扑有变化时，能够根据拓扑变化调整端口状态；</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6、◆支持增强型多VLAN子网流量工程EMVTE,可以实现非环网条件下的快速收敛；支持生成树快速收敛功能，在网络拓扑发生变化时，设备能经行快速收敛(收敛时间不高于60ms)；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7、◆支持跨设备链路聚合组，组成双活系统，有效的保证了网络链路的可靠性；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8、◆支持将IPv6的数据包直接封装在IPv4的数据包中，并通过内嵌于IPv6地址的IPv4地址信息实现无需显式配置隧道就可以直接在IPv4网络上传输。</w:t>
            </w:r>
            <w:r>
              <w:rPr>
                <w:rFonts w:hint="eastAsia" w:ascii="宋体" w:hAnsi="宋体" w:eastAsia="宋体" w:cs="宋体"/>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勤务指挥室（公安网）</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1、规格要求：10/100/1000M以太网电接口≥48个、万兆SFP+光口≥6个；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2、◆性能要求：交换容量≥7.58Tbps、包转发率≥256Mpps；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3、◆支持远程镜像功能，可跨越多网段多交换机进行镜像，支持对远程设备进行管理；</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4、◆支持一般链路事件的监控；支持断电告警功能；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5、◆支持网络有环路条件下，ERPS能自动block相关链路，当拓扑有变化时，能够根据拓扑变化调整端口状态；</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6、◆支持增强型多VLAN子网流量工程EMVTE,可以实现非环网条件下的快速收敛；支持生成树快速收敛功能，在网络拓扑发生变化时，设备能经行快速收敛(收敛时间不高于60ms)；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7、◆支持跨设备链路聚合组，组成双活系统，有效的保证了网络链路的可靠性；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8、◆支持将IPv6的数据包直接封装在IPv4的数据包中，并通过内嵌于IPv6地址的IPv4地址信息实现无需显式配置隧道就可以直接在IPv4网络上传输。</w:t>
            </w:r>
            <w:r>
              <w:rPr>
                <w:rFonts w:hint="eastAsia" w:ascii="宋体" w:hAnsi="宋体" w:eastAsia="宋体" w:cs="宋体"/>
                <w:sz w:val="24"/>
                <w:szCs w:val="24"/>
              </w:rPr>
              <w:b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勤务指挥室（监控网）</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1、规格要求：10/100/1000M电口≥24个、万兆SFP+接口≥4个，扩展槽≥2个。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2、◆交换容量≥3.3Tbps 、包转发率≥110Mpps；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3、◆设备采用绿色环保、无风扇静音设计，支持扩展槽≥2个； </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4、◆支持IEEE 802.3az能效以太网标准，支持端口LED shutoff功能，可灵活设定指示灯自动的UP或者DOWN；</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5、◆支持QinQ增强特性，具备灵活QinQ功能和选择性QinQ功能，提供更多、更灵活的业务承载方案；支持多对一VLAN转换功能，节省VLAN 资源；支持CPU镜像、多session镜像功能；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6、◆支持生成树快速收敛协议，广播收敛时间＜30ms，单播收敛时间＜35ms，降低拓扑变化对业务的影响；支持G.8032协议，具备防环功能；支持增强型多VLAN子网流量工程，可以实现非环网条件下的快速收敛；</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7、◆支持信源组播受控、目的组播受控、策略组播等IPv4/IPv6受控组播功能，保证数据的安全性；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8、◆内置DHCPv6 Server，支持IPv6 SAVI接入网源地址验证功能，从接入层保证源地址的真实性，增强IPv6网络安全性；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9、◆支持DHCP Snooping per vlan功能，能基于VLAN开启DHCP Snooping功能，可实现隔离各VLAN下联网络；</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10、◆支持IPv4/IPv6 ACL、CPU安全保护机制、防止DOS攻击等安全防护功能，支持多种认证方式（802.1X认证、Portal认证等），提供丰富的接入安全以及业务策略；</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11、◆支持ARP自动防御特性：ARP防扫描、ARP网关防护和 AM访问管理功能；支持动态ARP检测功能，从源头防止ARP欺骗和攻击；</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12、◆支持sFlow功能，对转发的流量按需采样，并实时地将采样流量上送到收集器，用于生成统计信息图表；</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13、◆支持断电告警（Dying Gasp）功能和802.1agOAM，便于管理员及时有效的实现网络快速故障检测与定位；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政务网交换机</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1、规格要求：10/100/1000M电口≥24个、万兆SFP+接口≥4个，扩展槽≥2个。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2、◆交换容量≥3.3Tbps 、包转发率≥110Mpps；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3、◆设备采用绿色环保、无风扇静音设计，支持扩展槽≥2个； </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4、◆支持IEEE 802.3az能效以太网标准，支持端口LED shutoff功能，可灵活设定指示灯自动的UP或者DOWN；</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5、◆支持QinQ增强特性，具备灵活QinQ功能和选择性QinQ功能，提供更多、更灵活的业务承载方案；支持多对一VLAN转换功能，节省VLAN 资源；支持CPU镜像、多session镜像功能；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6、◆支持生成树快速收敛协议，广播收敛时间＜30ms，单播收敛时间＜35ms，降低拓扑变化对业务的影响；支持G.8032协议，具备防环功能；支持增强型多VLAN子网流量工程，可以实现非环网条件下的快速收敛；</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7、◆支持信源组播受控、目的组播受控、策略组播等IPv4/IPv6受控组播功能，保证数据的安全性；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8、◆内置DHCPv6 Server，支持IPv6 SAVI接入网源地址验证功能，从接入层保证源地址的真实性，增强IPv6网络安全性；</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9、◆支持DHCP Snooping per vlan功能，能基于VLAN开启DHCP Snooping功能，可实现隔离各VLAN下联网络；</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10、◆支持IPv4/IPv6 ACL、CPU安全保护机制、防止DOS攻击等安全防护功能，支持多种认证方式（802.1X认证、Portal认证等），提供丰富的接入安全以及业务策略；</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11、◆支持ARP自动防御特性：ARP防扫描、ARP网关防护和 AM访问管理功能；支持动态ARP检测功能，从源头防止ARP欺骗和攻击；</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12、◆支持sFlow功能，对转发的流量按需采样，并实时地将采样流量上送到收集器，用于生成统计信息图表；</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13、◆支持断电告警（Dying Gasp）功能和802.1agOAM，便于管理员及时有效的实现网络快速故障检测与定位；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1、规格要求：10/100/1000M以太网电接口≥48个、万兆SFP+光口≥6个；</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2、◆性能要求：交换容量≥7Tbps、包转发率≥250Mpps；全部电口支持最大30W （802.3at标准，支持POE/POE+）供电，PoE功率不小于740W；</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3、◆支持远程镜像（RSPAN）功能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4、◆支持OAM-EFM功能；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5、◆增强型多Vlan子网流量工程EMVTE；</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6、◆支持生成树快速收敛功能，支持基于流的负载分担 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7、◆支持断电告警（Dying Gasp）功能，交换机能在断电一瞬间通过网管端口将断电告警类型的trap包发送给管理端。</w:t>
            </w:r>
            <w:r/>
          </w:p>
          <w:p>
            <w:pPr>
              <w:jc w:val="left"/>
              <w:widowControl/>
              <w:rPr>
                <w:rFonts w:hint="default" w:ascii="宋体" w:hAnsi="宋体" w:eastAsia="宋体" w:cs="宋体"/>
                <w:sz w:val="24"/>
                <w:szCs w:val="24"/>
              </w:rPr>
            </w:pPr>
            <w:r>
              <w:rPr>
                <w:rFonts w:hint="default" w:ascii="宋体" w:hAnsi="宋体" w:eastAsia="宋体" w:cs="宋体"/>
                <w:sz w:val="24"/>
                <w:szCs w:val="24"/>
              </w:rPr>
              <w:t xml:space="preserve">支持静态路由，支持虚拟化VSF，支持MC-LAG</w:t>
            </w:r>
            <w:r/>
          </w:p>
          <w:p>
            <w:pPr>
              <w:jc w:val="left"/>
              <w:widowControl/>
              <w:rPr>
                <w:rFonts w:hint="default" w:ascii="宋体" w:hAnsi="宋体" w:eastAsia="宋体" w:cs="宋体"/>
                <w:sz w:val="24"/>
                <w:szCs w:val="24"/>
              </w:rPr>
            </w:pPr>
            <w:r>
              <w:rPr>
                <w:rFonts w:hint="default" w:ascii="宋体" w:hAnsi="宋体" w:eastAsia="宋体" w:cs="宋体"/>
                <w:sz w:val="24"/>
                <w:szCs w:val="24"/>
              </w:rPr>
              <w:t xml:space="preserve">支持CLI配置&amp;标准NMS管理，支持ImCloud 云平台和APP统一管理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光模块2</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光模块-SFP-GE-单模模块-(1310nm,10km,LC)口</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核心交换机（监控网）</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1、规格要求：固化10/100/1000M以太网电接口≥24个，千兆光接口SFP≥24个，固化万兆SFP+接口大于等于6个，支持SFP+≥8扩展槽位，配置双电源。</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2、◆性能要求：交换容量≥25.6Tbps，包转发率≥930Mpps</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3.◆支持RIP、RIPng、OSPF、OSPFv3、IS-IS、IS-ISv6、BGP、BGP4+</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4、◆支持NETCONF，</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5、◆支持MPLS VPN技术</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6、◆支持OSPF SM 3 国密认证</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7、◆支持BFD for OSPF</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8、◆支持M-LAG</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9、◆增强型多Vlan子网流量工程EMVTE</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10、◆支持DHCP Snooping per Vlan</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11、◆断电告警功能</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12、◆支持IPv6 SAVI 技术</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13、◆远程镜像（RSPAN）功能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光模块2</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光模块-SFP-GE-单模模块-(1310nm,10km,LC)</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b/>
                <w:bCs/>
                <w:sz w:val="24"/>
                <w:szCs w:val="24"/>
              </w:rPr>
              <w:t xml:space="preserve">3、其他要求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675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i/>
                <w:iCs/>
                <w:sz w:val="24"/>
                <w:szCs w:val="24"/>
                <w:u w:val="single"/>
              </w:rPr>
              <w:t xml:space="preserve">为了保障整体网络兼容性和统一售后，要求“接入公安网、接入监控网、勤务指挥室（公安网）、勤务指挥室（监控网）、政务网交换机、接入交换机、核心交换机（监控网）”网络设备为同一品牌，并提供3年原厂质保服务</w:t>
            </w:r>
            <w:r/>
          </w:p>
        </w:tc>
      </w:tr>
    </w:tbl>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3.8、综合布线</w:t>
      </w:r>
      <w:r/>
    </w:p>
    <w:tbl>
      <w:tblPr>
        <w:tblStyle w:val="72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25"/>
        <w:gridCol w:w="3406"/>
        <w:gridCol w:w="4024"/>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1.前端设备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三口面板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五口面板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地插双口</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六类信息插座模块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hdmi面板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全铜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HDMI模块</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与强电面板配套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24口含六类模块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网络理线架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2、后端设备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FC24芯3U单模满配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QSFP四万兆线缆</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t xml:space="preserve">40G QSFP+ 3m</w:t>
            </w:r>
            <w:r>
              <w:rPr>
                <w:rFonts w:hint="eastAsia" w:ascii="宋体" w:hAnsi="宋体" w:eastAsia="宋体" w:cs="宋体"/>
                <w:sz w:val="24"/>
                <w:szCs w:val="24"/>
              </w:rPr>
              <w:t xml:space="preserve">电缆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42U</w:t>
            </w:r>
            <w:r/>
          </w:p>
        </w:tc>
      </w:tr>
      <w:tr>
        <w:trPr>
          <w:jc w:val="center"/>
        </w:trPr>
        <w:tc>
          <w:tcPr>
            <w:gridSpan w:val="3"/>
            <w:shd w:val="clear" w:color="auto" w:fill="auto"/>
            <w:tcBorders>
              <w:top w:val="single" w:color="000000" w:sz="4" w:space="0"/>
              <w:left w:val="single" w:color="000000" w:sz="4" w:space="0"/>
              <w:bottom w:val="single" w:color="000000" w:sz="4" w:space="0"/>
              <w:right w:val="none" w:color="000000" w:sz="4" w:space="0"/>
            </w:tcBorders>
            <w:tcW w:w="5000" w:type="pct"/>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3、传输设备</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24芯光纤</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光纤熔接点</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光纤熔接</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3M</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跳纤</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3M</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六类网线</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RVV2*1.0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五方通话线缆</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RVP4*1.0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室外穿线管</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PE50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≥600*600*800</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805"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3"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70" w:type="pct"/>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水晶头、管卡等</w:t>
            </w:r>
            <w:r/>
          </w:p>
        </w:tc>
      </w:tr>
    </w:tbl>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default" w:eastAsia="宋体" w:cs="Times New Roman"/>
          <w:sz w:val="24"/>
          <w:szCs w:val="24"/>
        </w:rPr>
        <w:br w:type="page" w:clear="all"/>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3.9、机房建设</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1"/>
        <w:gridCol w:w="1190"/>
        <w:gridCol w:w="717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参数</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b/>
                <w:bCs/>
                <w:sz w:val="24"/>
                <w:szCs w:val="24"/>
              </w:rPr>
            </w:pPr>
            <w:r>
              <w:rPr>
                <w:rFonts w:hint="eastAsia" w:ascii="宋体" w:hAnsi="宋体" w:eastAsia="宋体" w:cs="宋体"/>
                <w:b/>
                <w:bCs/>
                <w:sz w:val="24"/>
                <w:szCs w:val="24"/>
              </w:rPr>
              <w:t xml:space="preserve">八、机房设备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1、◆10KVA 2小时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i/>
                <w:sz w:val="24"/>
                <w:szCs w:val="24"/>
                <w:u w:val="single"/>
              </w:rPr>
              <w:t xml:space="preserve">12V-100AH延时2小时</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1、◆容量要求：要求投标方能提供容量10h率25℃额定容量为12V/100Ah（或接近容量）单体的蓄电池。蓄电池按GB/T 19638.2-2005 《固定型阀控密封式铅酸蓄电池》规定的方法试验，10小时率放电容量≥C10；3小时率放电容量≥0.75C10；1小时率放电容量≥0.55C10；</w:t>
            </w:r>
            <w:r/>
          </w:p>
          <w:p>
            <w:pPr>
              <w:jc w:val="left"/>
              <w:widowControl/>
              <w:rPr>
                <w:rFonts w:hint="default" w:ascii="宋体" w:hAnsi="宋体" w:eastAsia="宋体" w:cs="宋体"/>
                <w:sz w:val="24"/>
                <w:szCs w:val="24"/>
              </w:rPr>
            </w:pPr>
            <w:r>
              <w:rPr>
                <w:rFonts w:hint="eastAsia" w:ascii="宋体" w:hAnsi="宋体" w:eastAsia="宋体" w:cs="宋体"/>
                <w:sz w:val="24"/>
                <w:szCs w:val="24"/>
              </w:rPr>
              <w:t xml:space="preserve">2、◆结构：正、负极端子有明显标志，便于连接；外观：蓄电池外观不得有变形、漏液、裂纹及污迹，标志要清晰；气密性：蓄电池应能承受50kPa的正压或负压而不破裂、不开胶，压力释放后壳体无残余变形；防爆性能：蓄电池在充电过程中遇到明火，内部应不引燃、不引爆；大电流耐受能力：进行3h率容量试验并达到额定容量值的蓄电池完全充电后，在20℃-25℃环境中，以30I10（A）的电流放电3min，段子、极柱及汇流排不应熔化或熔断；槽、盖不应熔化或变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1、◆A32，含100A电池空开。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UPS电源配电箱</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1、◆3个63A，三相空开（一路市电、一路UPS电、一路维修旁路）、防浪涌保护2、25路16A双匹输出；3、箱子规格：600*800箱门运行指示灯和电源指示灯；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二级防雷器</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1、◆AM2-40/435毫米标准导轨安装，维护极为方便，额定电压220V，最大持续运行电压385V，标称放电电流20kA，最大放电电流40kA，限制电压＜1800V。</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1、◆AM3-20/2 3具有失效检测指示，可带遥信报警接口，标准模块化安装，可插拔更换防雷模块，具备大的雷电流泄放能力，适用于单相配电系统的电源第三级防雷，此级防雷器并联于线路中，对后接设备的功率无限制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30*3铜排</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30*3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电池连接线缆</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ZRBVR10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ZRBVR50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ZRBVR25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接地母线敷设</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ZRBVR6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600*600*35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等电位连接、铜鼻子等接地辅材，接地安装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7178" w:type="dxa"/>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i/>
                <w:sz w:val="24"/>
                <w:szCs w:val="24"/>
                <w:u w:val="single"/>
              </w:rPr>
              <w:t xml:space="preserve">蓄电池需采用全密封胶体防爆免维护蓄电池，由UPS电源厂家配套提供，为了保证售后服务的一致性和协调性，本项目UPS主机和蓄电池要求均为同一品牌。</w:t>
            </w:r>
            <w:r/>
          </w:p>
        </w:tc>
      </w:tr>
    </w:tbl>
    <w:p>
      <w:pPr>
        <w:jc w:val="left"/>
        <w:widowControl/>
        <w:rPr>
          <w:rFonts w:hint="default" w:eastAsia="宋体" w:cs="Times New Roman"/>
          <w:sz w:val="24"/>
          <w:szCs w:val="24"/>
        </w:rPr>
      </w:pPr>
      <w:r>
        <w:rPr>
          <w:rFonts w:hint="default" w:eastAsia="宋体" w:cs="Times New Roman"/>
          <w:sz w:val="24"/>
          <w:szCs w:val="24"/>
        </w:rPr>
      </w:r>
      <w:r/>
    </w:p>
    <w:p>
      <w:pPr>
        <w:ind w:firstLine="480"/>
        <w:spacing w:line="360" w:lineRule="auto"/>
        <w:rPr>
          <w:rFonts w:hint="default" w:ascii="宋体" w:hAnsi="宋体" w:eastAsia="宋体" w:cs="Times New Roman"/>
          <w:sz w:val="24"/>
        </w:rPr>
      </w:pPr>
      <w:r>
        <w:rPr>
          <w:rFonts w:hint="default" w:ascii="宋体" w:hAnsi="宋体" w:eastAsia="宋体" w:cs="Times New Roman"/>
          <w:sz w:val="24"/>
        </w:rPr>
      </w:r>
      <w:r/>
    </w:p>
    <w:p>
      <w:pPr>
        <w:jc w:val="left"/>
        <w:widowControl/>
        <w:rPr>
          <w:rFonts w:hint="default" w:eastAsia="宋体" w:cs="Times New Roman"/>
          <w:sz w:val="24"/>
          <w:szCs w:val="24"/>
        </w:rPr>
      </w:pPr>
      <w:r>
        <w:rPr>
          <w:rFonts w:hint="default" w:eastAsia="宋体" w:cs="Times New Roman"/>
          <w:sz w:val="24"/>
          <w:szCs w:val="24"/>
        </w:rPr>
      </w:r>
      <w:r/>
    </w:p>
    <w:p>
      <w:pPr>
        <w:jc w:val="left"/>
        <w:widowControl w:val="off"/>
        <w:rPr>
          <w:rFonts w:ascii="宋体" w:hAnsi="Times New Roman" w:eastAsia="宋体" w:cs="Times New Roman"/>
          <w:b/>
          <w:bCs/>
          <w:sz w:val="24"/>
          <w:szCs w:val="28"/>
          <w:lang w:val="en-US" w:eastAsia="zh-CN" w:bidi="ar-SA"/>
        </w:rPr>
      </w:pPr>
      <w:r>
        <w:rPr>
          <w:rFonts w:hint="eastAsia" w:ascii="宋体" w:hAnsi="Times New Roman" w:eastAsia="宋体" w:cs="Times New Roman"/>
          <w:b/>
          <w:bCs/>
          <w:sz w:val="24"/>
          <w:szCs w:val="28"/>
          <w:lang w:val="en-US" w:eastAsia="zh-CN" w:bidi="ar-SA"/>
        </w:rPr>
        <w:t xml:space="preserve">3.10、图形工作站（台式计算机）技术要求</w:t>
      </w:r>
      <w:r/>
    </w:p>
    <w:p>
      <w:pPr>
        <w:ind w:firstLine="480"/>
        <w:spacing w:line="360" w:lineRule="auto"/>
        <w:rPr>
          <w:rFonts w:hint="default" w:ascii="宋体" w:hAnsi="宋体" w:eastAsia="宋体" w:cs="Times New Roman"/>
          <w:sz w:val="24"/>
        </w:rPr>
      </w:pPr>
      <w:r>
        <w:rPr>
          <w:rFonts w:hint="default" w:ascii="宋体" w:hAnsi="宋体" w:eastAsia="宋体" w:cs="Times New Roman"/>
          <w:sz w:val="24"/>
        </w:rPr>
      </w:r>
      <w:r/>
    </w:p>
    <w:tbl>
      <w:tblPr>
        <w:tblStyle w:val="746"/>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7"/>
      </w:tblGrid>
      <w:tr>
        <w:trPr/>
        <w:tc>
          <w:tcPr>
            <w:shd w:val="clear" w:color="auto" w:fill="auto"/>
            <w:tcW w:w="7179" w:type="dxa"/>
            <w:textDirection w:val="lrTb"/>
            <w:noWrap w:val="false"/>
          </w:tcPr>
          <w:tbl>
            <w:tblPr>
              <w:tblStyle w:val="725"/>
              <w:tblW w:w="8501" w:type="dxa"/>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679"/>
              <w:gridCol w:w="1184"/>
              <w:gridCol w:w="5942"/>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指标要求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CPU 信息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配置不少于1颗CPU，每颗CPU物理核心数≥8核，每颗CPU主频≥3.0GHz，所有核心智能频率可提升至≥2.3GHz，三级缓存≥16MB，支持超线程技术，处理器基础功耗65W</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内存配置容量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≥8GB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支持DDR4及以上内存类型</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内存条配置数量（板载内存不涉及）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主板集成模块</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集成资源扩展模块、计算处理模块、音频扩展模块等，主板的互联拓扑可通过处理器或交换电路实现</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主板支持的 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CPU:支持国产架构CPU，内存:支持DDR4，UDIMM内存</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主板内置PCIe 插槽数量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 PCIe 插槽数量不少于 2个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主板其他内置接口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提供≥8个USB接口（，USB接口支持有瞬间过流保护功能；VGA≥1个，HDMI≥1个,M.2 插槽≥1个；SATA接口≥1个；音频接口≥5个。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单内存插槽最大可支持容量（板载内存不涉及）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≥32GB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内存插槽满配时提供的最高内存总容量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≥128GB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存储设备规格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固态盘数量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固态存储容量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240GB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机械硬盘总容量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≥512GB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机械硬盘转速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≥5400转</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支持SATA3.0接口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机械硬盘形态</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3.5英寸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固态存储接口协议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支持SATA/NVMe接口协议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固态存储形态</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支持M.2标准尺寸和接口协议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存储设备扩展盘位</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存储设备其他参数要求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a）固态盘标准应符合SJ/T 11654相关规定；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b）机械硬盘准备时间应不大于30s；侧面固定螺丝孔数量可为4孔或6孔；工作状态环境温度应满足5℃~55℃；其它参数应符合GB/T 12628相关规定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显卡规格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独立显卡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独立显卡显存类型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显存类型DDR4</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独立显卡显存位宽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配置独立显卡，显存位宽≥64 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显存频率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≥2666MHz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独立显卡显存容量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配置独立显卡，显存容量≥1GB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独立显卡接口协议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 PCIe 协议版本大于等于 2.0 或 HT（HyperTransport）协议版本大于等于 3.0 的独立显卡接口协议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显示设备规格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显示屏屏占比</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≥90%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显示屏像素密度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≥90像素/英寸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显示屏可视角度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水平≥178°</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显示屏尺寸</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≥23.8 英寸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显示屏屏幕比例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16:09</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显示器外观颜色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显示屏防蓝光</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支持防蓝光模式，蓝光加权辐射亮度比应0.00060W/( ·cd ·sr) (瓦每坎特拉每球面度)</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显示屏低频闪</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显示屏应支持低频闪≤-35dB</w:t>
                  </w:r>
                  <w:r/>
                </w:p>
              </w:tc>
            </w:tr>
            <w:tr>
              <w:trPr>
                <w:trHeight w:val="20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显示屏防炫目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显示屏镜面反射率≤10%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外设规格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104 键</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键盘连接方式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USB接口有线键盘</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键盘键程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3.3±0.5mm</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键盘按键压力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按键压力应在 0.54 N±0.14N</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有线键盘连接线</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≥1.5 米</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鼠标连接方式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USB接口有线鼠标</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有线鼠标连接线</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≥1.5 米</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 DPI分辨率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≥1200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黑色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鼠标其他要求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其它参数应符合 GB/T 26245 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网络设备规格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有线网卡数量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外部接口规格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USB 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机箱前面板应提供不少于板载4个USB 3.0接口(不接受主板转接USB接口)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视频接口数量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音频接口数量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前置：1个音频输出，1个麦克风</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后置：1个音频输入/输出，1个麦克风</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整机基础规格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整机外观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 产品表面不应有凹痕、划伤、裂缝、变形和污染等。表面涂层均匀，不应起泡、龟裂、脱落和磨损，金属零部件无锈蚀及其它机械损伤；</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 产品表面说明功能的文字、符号、标志，应清晰、端正、牢固</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前面板提供电源指示灯和硬盘指示灯，显示机器运行状态和工作状态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整机结构</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a）机箱应符合 GB/T 4208、GB/T 26246 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b）产品内部结构应符合通用部件的安装需求；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c）所有输入输出接口应符合相关国家或行业标准；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d）产品零部件应紧固无松动，可插拔部件应可靠连接，开关、按钮和其它控制部件应灵活可靠，布局应方便使用；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e）所有 I/O 连接器及需插接线缆的部位应预留采购人操作空间，方便插拔解锁与插拔线缆；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f）可插拔板卡插槽部位应预留安装、拆卸或更换板卡空间；</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g）拆装可能接触到的金属剪口或金属尖角部位应做防划伤处理，以保证安全；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h）整机内部走线应规整，固线结构和 位置要合理可靠并做防割线处理，需便于理线和插拔操作，走线应不影响系统各主要部件组装和拆卸；</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i）如需通过孔走线，过线孔应做防割线处理；</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j）各插头位置和插拔方向应合理，应做到插拔无障碍设计，具备防呆设计， 有效避免误操作；</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k）各主要部件拆装无障碍，使用常规工具拆装，无特殊拆装工具需求；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l）各主要部件拆装步骤要少，各自拆装需避免相互干扰；免工具拆卸机箱；</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m）对于整机或零部件外表面为高亮面的，应粘贴保护膜，保护膜粘贴牢固，运输、组装等过程不易脱落，撕下无残留</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n）其它要求应符合GB/T 9813.1的相关规定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机箱防护要求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机箱应符合 GB/T 4208 中 IP20 防护要求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整机噪音</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产品工作在空闲状态下，产品噪声声功率级应不超过3.2Bel</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整机散热</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在环境温度 25℃及处理器满载情况下，产品表面温度应符合如下要求：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a）出风口在机箱后面板情况下，出风口温度不高于 55℃；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b）可触及面温度不高于 45℃；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c）显示器表面温度：显示屏不高于38℃，显示屏上下灯带位置温度（如涉及）不高于40℃，出风口温度不高于45℃</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在环境温度35℃环境中无空气对流情况下工作运行2小时以上；</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配备强力散热风扇（风扇寿命≥4万小时）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整机能效限定值</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产品能效限定值应达到 GB 28380-2012标准中能效等级2级及以上</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机身材质</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金属</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黑色</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机箱尺寸容量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≥10L，不超过25L，须提供全扩展标准的塔式机箱,支持全高全长双宽扩展卡，确保更大可扩展区域和更高效的散热效率,机箱前面板顶部需提供一体式顶置提手,(不接受机箱顶置螺丝嵌入式提手)方便搬运部署.</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CPU性能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CPU 物理核数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≥8</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≥2.3GHz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≥16MB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CPU 支持的内存最高速率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≥3200 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内存性能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内存读写速率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≥3200 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显卡性能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显示分辨率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≥300MHz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≥1000MT/s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显卡可支持多屏同时显示数量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 2块屏幕同时显示，分辨率不低于1920x1080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显示设备性能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显示屏刷新率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100Hz</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显示屏位深</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≥8 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显示屏色域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≥99% sRGB</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显示屏色准</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△E ≤ 4</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显示屏响应时间</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≤8ms</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显示屏亮度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250 尼特</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显示屏亮度一致性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≥70%</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显示屏对比度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2500:1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显示屏其他参数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其它参数应符合 SJ/T 11292 的相关规定，低蓝光护眼</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网络设备性能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有线网卡速率</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有线网卡速率最高速率1000Mbps，支持10Mbps、100Mbps、1000Mbps 速率自适应；</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主板功能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内存扩展接口（板载内存不涉及）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≥4 个</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存储扩展接口（板载存储不涉及）</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支持SATA3.0、SAS3.0、M.2等类型接口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主板USB瞬间过流保护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支持有瞬间过流保护功能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主板防静电保护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支持防静电保护功能</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I/O 接口功能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显卡功能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显卡外接显示接口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显卡外接显示接口支持HDMI和VGA</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独立显卡数量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显示设备功能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显示器接口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显示器与显卡外接显示接口匹配</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显示器支架</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显示器支架须支持前后俯仰调节底座,方便日常师生教学，提供100X100mm标准VESA壁挂孔，支持学校后期支架/壁挂的功能;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显示器参数调节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a）提供 OSD 选单按钮用于调节色彩、模式等；</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b）支持色温、亮度、对比度调节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存储功能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通过SATA 固态存储/SATA 硬磁盘等存储部件提供存储功能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网络设备功能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a）支持网络连接、网络开启/关闭功能；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b）支持访问网络和数据交换功能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支持数据传输能力，并提供数据流量和异常日志记录功能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有线网卡接口类型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支持RJ45接口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网络设备拆装</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网络设备支持物理拆装，包括无线网卡和蓝牙模块等</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外部接口功能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音频接口类型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支持3.5mm孔径4段式接口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视频接口类型</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外接显示接口支持HDMI和VGA</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HDMI、DP、Type-C 显示接口要求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外接显示接口支持HDMI，HDMI接口支持音频和视频同步输出</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电源功能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电源线适配能力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电源适配器电线组件符合GB/T 15934的要求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操作系统及软件功能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中文信息处理要求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 18030的相关规定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操作系统备份及还原功能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支持操作系统备份及还原功能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固件备份还原能力</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支持备份及还原固件的功能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操作系统及驱动升级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支持通过网络、闪存盘等方式对操作系统、驱动进行升级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固件升级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支持通过网络、闪存盘等方式对固件进行升级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BIOS 支持关闭通讯接口</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支持BIOS关闭以太网及USB接口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固件查看信息</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支持查看固件版本、内存信息、主板信息、处理器信息和系统时间信息等功能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固件设置启动顺序</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支持设置启动顺序功能，并按照设置的启动顺序启动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固件设置口令</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支持设置口令、修改口令、验证口令功能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固件设置网络引导</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支持网络引导启动和关闭功能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存储设备可靠性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固态存储寿命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TBW≥80TB(条件:240GB硬盘容量)</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机械硬盘寿命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通电时间≥5 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显示设备可靠性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显示屏屏幕失效点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9813.2的要求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外设可靠性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键盘按键寿命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≥1000 万次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鼠标按键寿命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≥500 万次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键盘鼠标线材寿命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键盘鼠标所用线材经±60°弯折不低于3000次，功能、外观完好</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≥4 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整机可靠性要求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电磁兼容性要求的抗扰度</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9254.2的规定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环境条件要求的气候环境适应性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环境条件要求的振动适应性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环境条件要求的冲击适应性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环境条件要求的碰撞适应性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环境条件要求的运输包装件跌落适应性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9813.1中规定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MTBF 测试</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MTBF(m1)≥100万小时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常用软件兼容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支持流式软件、版式软件、浏览器、邮件、解压软件、多媒体、图形图像处理等常用软件</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数据库兼容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兼容3个及以上厂商的数据库产品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中间件兼容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兼容3个及以上厂商中间件产品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平台软件兼容</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兼容3个及以上厂商云计算及大数据平台</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包装及运输要求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标志、包装、运输和贮存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9813.1和商品包装政府采购需求标准的相关规定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配置检查工具</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硬件主要参数检测，优化加速，系统垃圾清理，病毒查杀，原厂驱动更新，网络测速，网络诊断，自动识别品牌型号、序列号，自动识别保修开始至截止信息。</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a）供应商提供电话、电子邮件、远程连接等多种形式服务；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供应商在接到采购单位维修函电后，必须在1小时内对采购单位所提出的维修要求作出响应，4小时内到达维修现场，并在最短时间内修复完毕，对于未能解决的问题和故障应提供可行的升级方案，并提供周转设备或更换设备；</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c）建立全国技术服务体系和服务团体，符合专业服务体系标准要求，提供原厂中文服务；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d）服务周期内提供产品的维修、换件和升级服务</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 设备停产后应继续提供质量保障服务（含备品备件），服务终止时间与最后一批设备交付时间间隔不低于6年；</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 产品停止服务时间应提前1年告知；</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 应明确产品发布日期</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预装操作系统</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预装符合桌面操作系统政府采购需求标准的正版激活版操作系统</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提供培训材料、产品手册、培训视频等培训相关内容</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典型问题解决手册</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提供典型问题解决说明文档或视频</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厂家升级软件与扩容服务</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提供上门升级部件/软件与扩容的增值服务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整机质量服务要求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整机提供3年免费原厂质保，3年免费上门服务,供货时需出具售后服务承诺函，承诺函需注明所投产品原厂官网可查400技术支持电话、售后服务网点以及整机售后维保情况。</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合格证书要求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提供产品合格证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开箱组装/使用指导要求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提供开箱组装/使用指导</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驱动下载服务要求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提供驱动光盘或下载方式</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兼容适配软件下载服务要求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提供兼容适配软件下载渠道（光盘、网站）</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供应链合规性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产品部件保障</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保障产品主要部件，提供6年的备件服务能力（自购买之日起），或提供可兼容原设备的升级换代产品</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供应链质量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当产品部件出现供应风险时，供应商应通知采购人并提供风险应对方案确保产品的服务保障</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供应能力证明</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提供供应链稳定承诺书，确保产品的部件在产品服务周期内稳定供货</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CPU 和操作系统等关键部件应当符合安全可靠测评要求</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整机安全性要求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密码算法实现</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CPU 芯片应符合GM/T 0008的相关规定，或芯片密码模块应符合GB/T 37092或GM/T 0028的相关规定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信息安全基本要求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a) 产品应符合GB/T 39276的5.2的规定；</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b) 生产厂商应建立漏洞跟踪表，保证产品版本涉及的漏洞（如驱动程序等）可查看；</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c) 产品不得包含已知的恶意代码或漏洞，不存在未声明的指令、功能、接口</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固件安全启动</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支持固件安全启动功能，固件启动过程中只有通过启动校验才能正常启动</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rPr>
                  </w:pPr>
                  <w:r>
                    <w:rPr>
                      <w:rFonts w:hint="eastAsia" w:ascii="宋体" w:hAnsi="宋体" w:eastAsia="宋体" w:cs="宋体"/>
                      <w:sz w:val="24"/>
                      <w:szCs w:val="24"/>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left"/>
                    <w:widowControl/>
                    <w:rPr>
                      <w:rFonts w:hint="default" w:ascii="宋体" w:hAnsi="宋体" w:eastAsia="宋体" w:cs="宋体"/>
                      <w:i/>
                      <w:iCs/>
                      <w:sz w:val="24"/>
                      <w:szCs w:val="24"/>
                      <w:u w:val="single"/>
                    </w:rPr>
                  </w:pPr>
                  <w:r>
                    <w:rPr>
                      <w:rFonts w:hint="eastAsia" w:ascii="宋体" w:hAnsi="宋体" w:eastAsia="宋体" w:cs="宋体"/>
                      <w:i/>
                      <w:iCs/>
                      <w:sz w:val="24"/>
                      <w:szCs w:val="24"/>
                      <w:u w:val="single"/>
                    </w:rPr>
                    <w:t xml:space="preserve">符合GB/T 26572中规定</w:t>
                  </w:r>
                  <w:r/>
                </w:p>
              </w:tc>
            </w:tr>
          </w:tbl>
          <w:p>
            <w:pPr>
              <w:rPr>
                <w:rFonts w:hint="default" w:ascii="宋体" w:hAnsi="宋体" w:eastAsia="宋体" w:cs="宋体"/>
                <w:i/>
                <w:iCs/>
                <w:sz w:val="24"/>
                <w:szCs w:val="24"/>
                <w:u w:val="single"/>
              </w:rPr>
            </w:pPr>
            <w:r>
              <w:rPr>
                <w:rFonts w:hint="default" w:ascii="宋体" w:hAnsi="宋体" w:eastAsia="宋体" w:cs="宋体"/>
                <w:i/>
                <w:iCs/>
                <w:sz w:val="24"/>
                <w:szCs w:val="24"/>
                <w:u w:val="single"/>
              </w:rPr>
            </w:r>
            <w:r/>
          </w:p>
        </w:tc>
      </w:tr>
    </w:tbl>
    <w:p>
      <w:pPr>
        <w:jc w:val="left"/>
        <w:widowControl/>
        <w:rPr>
          <w:rFonts w:hint="default" w:eastAsia="宋体" w:cs="Times New Roman"/>
          <w:sz w:val="24"/>
          <w:szCs w:val="24"/>
        </w:rPr>
      </w:pPr>
      <w:r>
        <w:rPr>
          <w:rFonts w:hint="default" w:eastAsia="宋体" w:cs="Times New Roman"/>
          <w:sz w:val="24"/>
          <w:szCs w:val="24"/>
        </w:rPr>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3.11、通用硬件平台（服务器）技术要求</w:t>
      </w:r>
      <w:r/>
    </w:p>
    <w:tbl>
      <w:tblPr>
        <w:tblStyle w:val="1007"/>
        <w:tblpPr w:horzAnchor="page" w:tblpX="1875" w:vertAnchor="text" w:tblpY="293" w:leftFromText="180" w:topFromText="0" w:rightFromText="180" w:bottomFromText="0"/>
        <w:tblW w:w="814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153"/>
        <w:gridCol w:w="996"/>
        <w:gridCol w:w="5280"/>
      </w:tblGrid>
      <w:tr>
        <w:trPr>
          <w:trHeight w:val="909"/>
        </w:trPr>
        <w:tc>
          <w:tcPr>
            <w:tcW w:w="719" w:type="dxa"/>
            <w:vAlign w:val="center"/>
            <w:textDirection w:val="lrTb"/>
            <w:noWrap w:val="false"/>
          </w:tcPr>
          <w:p>
            <w:pPr>
              <w:jc w:val="center"/>
              <w:spacing w:line="330" w:lineRule="auto"/>
              <w:widowControl/>
              <w:rPr>
                <w:rFonts w:hint="default" w:ascii="宋体" w:hAnsi="宋体" w:eastAsia="宋体" w:cs="宋体"/>
                <w:sz w:val="24"/>
                <w:szCs w:val="24"/>
              </w:rPr>
            </w:pPr>
            <w:r>
              <w:rPr>
                <w:rFonts w:hint="default" w:ascii="宋体" w:hAnsi="宋体" w:eastAsia="宋体" w:cs="宋体"/>
                <w:sz w:val="24"/>
                <w:szCs w:val="24"/>
              </w:rPr>
            </w:r>
            <w:r/>
          </w:p>
          <w:p>
            <w:pPr>
              <w:ind w:left="184"/>
              <w:jc w:val="center"/>
              <w:spacing w:before="58" w:line="223" w:lineRule="auto"/>
              <w:rPr>
                <w:rFonts w:hint="default" w:ascii="宋体" w:hAnsi="宋体" w:eastAsia="宋体" w:cs="宋体"/>
                <w:sz w:val="24"/>
                <w:szCs w:val="24"/>
                <w:lang w:eastAsia="en-US"/>
              </w:rPr>
            </w:pPr>
            <w:r>
              <w:rPr>
                <w:rFonts w:hint="eastAsia" w:ascii="宋体" w:hAnsi="宋体" w:eastAsia="宋体" w:cs="宋体"/>
                <w:b/>
                <w:bCs/>
                <w:spacing w:val="-6"/>
                <w:sz w:val="24"/>
                <w:szCs w:val="24"/>
                <w:lang w:eastAsia="en-US"/>
              </w:rPr>
              <w:t xml:space="preserve">序号</w:t>
            </w:r>
            <w:r/>
          </w:p>
        </w:tc>
        <w:tc>
          <w:tcPr>
            <w:tcW w:w="1153" w:type="dxa"/>
            <w:vAlign w:val="center"/>
            <w:textDirection w:val="lrTb"/>
            <w:noWrap w:val="false"/>
          </w:tcPr>
          <w:p>
            <w:pPr>
              <w:ind w:left="142" w:right="137" w:firstLine="25"/>
              <w:jc w:val="center"/>
              <w:spacing w:before="242" w:line="302" w:lineRule="auto"/>
              <w:rPr>
                <w:rFonts w:hint="default" w:ascii="宋体" w:hAnsi="宋体" w:eastAsia="宋体" w:cs="宋体"/>
                <w:sz w:val="24"/>
                <w:szCs w:val="24"/>
                <w:lang w:eastAsia="en-US"/>
              </w:rPr>
            </w:pPr>
            <w:r>
              <w:rPr>
                <w:rFonts w:hint="eastAsia" w:ascii="宋体" w:hAnsi="宋体" w:eastAsia="宋体" w:cs="宋体"/>
                <w:b/>
                <w:bCs/>
                <w:spacing w:val="-7"/>
                <w:sz w:val="24"/>
                <w:szCs w:val="24"/>
                <w:lang w:eastAsia="en-US"/>
              </w:rPr>
              <w:t xml:space="preserve">一级</w:t>
            </w:r>
            <w:r>
              <w:rPr>
                <w:rFonts w:hint="eastAsia" w:ascii="宋体" w:hAnsi="宋体" w:eastAsia="宋体" w:cs="宋体"/>
                <w:b/>
                <w:bCs/>
                <w:spacing w:val="-3"/>
                <w:position w:val="-1"/>
                <w:sz w:val="24"/>
                <w:szCs w:val="24"/>
                <w:lang w:eastAsia="en-US"/>
              </w:rPr>
              <w:t xml:space="preserve">指标</w:t>
            </w:r>
            <w:r/>
          </w:p>
        </w:tc>
        <w:tc>
          <w:tcPr>
            <w:tcW w:w="996" w:type="dxa"/>
            <w:vAlign w:val="center"/>
            <w:textDirection w:val="lrTb"/>
            <w:noWrap w:val="false"/>
          </w:tcPr>
          <w:p>
            <w:pPr>
              <w:jc w:val="center"/>
              <w:spacing w:line="317" w:lineRule="auto"/>
              <w:widowControl/>
              <w:rPr>
                <w:rFonts w:hint="default" w:ascii="宋体" w:hAnsi="宋体" w:eastAsia="宋体" w:cs="宋体"/>
                <w:spacing w:val="-2"/>
                <w:sz w:val="24"/>
                <w:szCs w:val="24"/>
                <w:lang w:eastAsia="en-US"/>
              </w:rPr>
            </w:pPr>
            <w:r>
              <w:rPr>
                <w:rFonts w:hint="default" w:ascii="宋体" w:hAnsi="宋体" w:eastAsia="宋体" w:cs="宋体"/>
                <w:spacing w:val="-2"/>
                <w:sz w:val="24"/>
                <w:szCs w:val="24"/>
                <w:lang w:eastAsia="en-US"/>
              </w:rPr>
            </w:r>
            <w:r/>
          </w:p>
          <w:p>
            <w:pPr>
              <w:ind w:left="151"/>
              <w:jc w:val="center"/>
              <w:spacing w:before="59" w:line="234"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二级指标</w:t>
            </w:r>
            <w:r/>
          </w:p>
        </w:tc>
        <w:tc>
          <w:tcPr>
            <w:tcW w:w="5280" w:type="dxa"/>
            <w:vAlign w:val="center"/>
            <w:textDirection w:val="lrTb"/>
            <w:noWrap w:val="false"/>
          </w:tcPr>
          <w:p>
            <w:pPr>
              <w:spacing w:line="330"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135"/>
              <w:spacing w:before="59" w:line="222" w:lineRule="auto"/>
              <w:rPr>
                <w:rFonts w:hint="default" w:ascii="宋体" w:hAnsi="宋体" w:eastAsia="宋体" w:cs="宋体"/>
                <w:i/>
                <w:iCs/>
                <w:sz w:val="24"/>
                <w:szCs w:val="24"/>
                <w:u w:val="single"/>
                <w:lang w:eastAsia="en-US"/>
              </w:rPr>
            </w:pPr>
            <w:r>
              <w:rPr>
                <w:rFonts w:hint="eastAsia" w:ascii="宋体" w:hAnsi="宋体" w:eastAsia="宋体" w:cs="宋体"/>
                <w:b/>
                <w:bCs/>
                <w:i/>
                <w:iCs/>
                <w:spacing w:val="-3"/>
                <w:sz w:val="24"/>
                <w:szCs w:val="24"/>
                <w:u w:val="single"/>
                <w:lang w:eastAsia="en-US"/>
              </w:rPr>
              <w:t xml:space="preserve">指标要求</w:t>
            </w:r>
            <w:r/>
          </w:p>
        </w:tc>
      </w:tr>
      <w:tr>
        <w:trPr>
          <w:trHeight w:val="964"/>
        </w:trPr>
        <w:tc>
          <w:tcPr>
            <w:tcW w:w="719" w:type="dxa"/>
            <w:vAlign w:val="center"/>
            <w:textDirection w:val="lrTb"/>
            <w:noWrap w:val="false"/>
          </w:tcPr>
          <w:p>
            <w:pPr>
              <w:jc w:val="center"/>
              <w:spacing w:line="330" w:lineRule="auto"/>
              <w:widowControl/>
              <w:rPr>
                <w:rFonts w:hint="default" w:ascii="宋体" w:hAnsi="宋体" w:eastAsia="宋体" w:cs="宋体"/>
                <w:sz w:val="24"/>
                <w:szCs w:val="24"/>
              </w:rPr>
            </w:pPr>
            <w:r>
              <w:rPr>
                <w:rFonts w:hint="default" w:ascii="宋体" w:hAnsi="宋体" w:eastAsia="宋体" w:cs="宋体"/>
                <w:sz w:val="24"/>
                <w:szCs w:val="24"/>
              </w:rPr>
            </w:r>
            <w:r/>
          </w:p>
          <w:p>
            <w:pPr>
              <w:ind w:left="327"/>
              <w:spacing w:before="59" w:line="239" w:lineRule="exact"/>
              <w:rPr>
                <w:rFonts w:hint="default" w:ascii="宋体" w:hAnsi="宋体" w:eastAsia="宋体" w:cs="宋体"/>
                <w:sz w:val="24"/>
                <w:szCs w:val="24"/>
                <w:lang w:eastAsia="en-US"/>
              </w:rPr>
            </w:pPr>
            <w:r>
              <w:rPr>
                <w:rFonts w:hint="eastAsia" w:ascii="宋体" w:hAnsi="宋体" w:eastAsia="宋体" w:cs="宋体"/>
                <w:position w:val="1"/>
                <w:sz w:val="24"/>
                <w:szCs w:val="24"/>
                <w:lang w:eastAsia="en-US"/>
              </w:rPr>
              <w:t xml:space="preserve">1</w:t>
            </w:r>
            <w:r/>
          </w:p>
        </w:tc>
        <w:tc>
          <w:tcPr>
            <w:tcW w:w="1153" w:type="dxa"/>
            <w:vAlign w:val="center"/>
            <w:textDirection w:val="lrTb"/>
            <w:noWrap w:val="false"/>
          </w:tcPr>
          <w:p>
            <w:pPr>
              <w:jc w:val="center"/>
              <w:spacing w:line="246" w:lineRule="auto"/>
              <w:widowControl/>
              <w:rPr>
                <w:rFonts w:hint="default" w:ascii="宋体" w:hAnsi="宋体" w:eastAsia="宋体" w:cs="宋体"/>
                <w:sz w:val="24"/>
                <w:szCs w:val="24"/>
              </w:rPr>
            </w:pPr>
            <w:r>
              <w:rPr>
                <w:rFonts w:hint="default" w:ascii="宋体" w:hAnsi="宋体" w:eastAsia="宋体" w:cs="宋体"/>
                <w:sz w:val="24"/>
                <w:szCs w:val="24"/>
              </w:rPr>
            </w:r>
            <w:r/>
          </w:p>
          <w:p>
            <w:pPr>
              <w:ind w:left="161" w:right="160" w:hanging="1"/>
              <w:jc w:val="center"/>
              <w:spacing w:before="59" w:line="258"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CPU</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jc w:val="center"/>
              <w:spacing w:line="337" w:lineRule="auto"/>
              <w:widowControl/>
              <w:rPr>
                <w:rFonts w:hint="default" w:ascii="宋体" w:hAnsi="宋体" w:eastAsia="宋体" w:cs="宋体"/>
                <w:spacing w:val="-2"/>
                <w:sz w:val="24"/>
                <w:szCs w:val="24"/>
                <w:lang w:eastAsia="en-US"/>
              </w:rPr>
            </w:pPr>
            <w:r>
              <w:rPr>
                <w:rFonts w:hint="default" w:ascii="宋体" w:hAnsi="宋体" w:eastAsia="宋体" w:cs="宋体"/>
                <w:spacing w:val="-2"/>
                <w:sz w:val="24"/>
                <w:szCs w:val="24"/>
                <w:lang w:eastAsia="en-US"/>
              </w:rPr>
            </w:r>
            <w:r/>
          </w:p>
          <w:p>
            <w:pPr>
              <w:ind w:left="106"/>
              <w:jc w:val="center"/>
              <w:spacing w:before="59" w:line="223"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CPU 信息</w:t>
            </w:r>
            <w:r/>
          </w:p>
        </w:tc>
        <w:tc>
          <w:tcPr>
            <w:tcW w:w="5280" w:type="dxa"/>
            <w:vAlign w:val="center"/>
            <w:textDirection w:val="lrTb"/>
            <w:noWrap w:val="false"/>
          </w:tcPr>
          <w:p>
            <w:pPr>
              <w:ind w:left="110" w:right="172"/>
              <w:spacing w:before="37" w:line="235" w:lineRule="auto"/>
              <w:rPr>
                <w:rFonts w:hint="default" w:ascii="宋体" w:hAnsi="宋体" w:eastAsia="宋体" w:cs="宋体"/>
                <w:i/>
                <w:iCs/>
                <w:sz w:val="24"/>
                <w:szCs w:val="24"/>
                <w:u w:val="single"/>
                <w:lang w:eastAsia="en-US"/>
              </w:rPr>
            </w:pPr>
            <w:r>
              <w:rPr>
                <w:rFonts w:hint="eastAsia" w:ascii="宋体" w:hAnsi="宋体" w:eastAsia="宋体" w:cs="宋体"/>
                <w:i/>
                <w:iCs/>
                <w:sz w:val="24"/>
                <w:szCs w:val="24"/>
                <w:u w:val="single"/>
                <w:lang w:eastAsia="en-US"/>
              </w:rPr>
              <w:t xml:space="preserve">CPU：≥2颗处理器，单处理器物理核心数≥8核，主频≥3.0.GHz，末级缓存容量≥16MB，线程数≥16线程，支持内存的最高速率≥3200 MHz；</w:t>
            </w:r>
            <w:r/>
          </w:p>
        </w:tc>
      </w:tr>
      <w:tr>
        <w:trPr>
          <w:trHeight w:val="725"/>
        </w:trPr>
        <w:tc>
          <w:tcPr>
            <w:tcW w:w="719" w:type="dxa"/>
            <w:vAlign w:val="center"/>
            <w:textDirection w:val="lrTb"/>
            <w:noWrap w:val="false"/>
          </w:tcPr>
          <w:p>
            <w:pPr>
              <w:ind w:left="316"/>
              <w:spacing w:before="274" w:line="239" w:lineRule="exact"/>
              <w:rPr>
                <w:rFonts w:hint="default" w:ascii="宋体" w:hAnsi="宋体" w:eastAsia="宋体" w:cs="宋体"/>
                <w:sz w:val="24"/>
                <w:szCs w:val="24"/>
                <w:lang w:eastAsia="en-US"/>
              </w:rPr>
            </w:pPr>
            <w:r>
              <w:rPr>
                <w:rFonts w:hint="eastAsia" w:ascii="宋体" w:hAnsi="宋体" w:eastAsia="宋体" w:cs="宋体"/>
                <w:position w:val="1"/>
                <w:sz w:val="24"/>
                <w:szCs w:val="24"/>
                <w:lang w:eastAsia="en-US"/>
              </w:rPr>
              <w:t xml:space="preserve">2</w:t>
            </w:r>
            <w:r/>
          </w:p>
        </w:tc>
        <w:tc>
          <w:tcPr>
            <w:tcBorders>
              <w:bottom w:val="none" w:color="000000" w:sz="4" w:space="0"/>
            </w:tcBorders>
            <w:tcW w:w="1153" w:type="dxa"/>
            <w:vAlign w:val="center"/>
            <w:vMerge w:val="restart"/>
            <w:textDirection w:val="lrTb"/>
            <w:noWrap w:val="false"/>
          </w:tcPr>
          <w:p>
            <w:pPr>
              <w:jc w:val="center"/>
              <w:spacing w:line="245" w:lineRule="auto"/>
              <w:widowControl/>
              <w:rPr>
                <w:rFonts w:hint="default" w:ascii="宋体" w:hAnsi="宋体" w:eastAsia="宋体" w:cs="宋体"/>
                <w:sz w:val="24"/>
                <w:szCs w:val="24"/>
              </w:rPr>
            </w:pPr>
            <w:r>
              <w:rPr>
                <w:rFonts w:hint="default" w:ascii="宋体" w:hAnsi="宋体" w:eastAsia="宋体" w:cs="宋体"/>
                <w:sz w:val="24"/>
                <w:szCs w:val="24"/>
              </w:rPr>
            </w:r>
            <w:r/>
          </w:p>
          <w:p>
            <w:pPr>
              <w:jc w:val="center"/>
              <w:spacing w:line="246" w:lineRule="auto"/>
              <w:widowControl/>
              <w:rPr>
                <w:rFonts w:hint="default" w:ascii="宋体" w:hAnsi="宋体" w:eastAsia="宋体" w:cs="宋体"/>
                <w:sz w:val="24"/>
                <w:szCs w:val="24"/>
              </w:rPr>
            </w:pPr>
            <w:r>
              <w:rPr>
                <w:rFonts w:hint="default" w:ascii="宋体" w:hAnsi="宋体" w:eastAsia="宋体" w:cs="宋体"/>
                <w:sz w:val="24"/>
                <w:szCs w:val="24"/>
              </w:rPr>
            </w:r>
            <w:r/>
          </w:p>
          <w:p>
            <w:pPr>
              <w:ind w:left="162" w:right="117" w:hanging="47"/>
              <w:jc w:val="center"/>
              <w:spacing w:before="58" w:line="248"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主板</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主板支持的 CPU 和内存情况</w:t>
            </w:r>
            <w:r/>
          </w:p>
        </w:tc>
        <w:tc>
          <w:tcPr>
            <w:tcW w:w="5280" w:type="dxa"/>
            <w:vAlign w:val="center"/>
            <w:textDirection w:val="lrTb"/>
            <w:noWrap w:val="false"/>
          </w:tcPr>
          <w:p>
            <w:pPr>
              <w:ind w:left="120" w:right="172" w:hanging="10"/>
              <w:spacing w:before="15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内存：≥64G DDR4，</w:t>
            </w:r>
            <w:r/>
          </w:p>
        </w:tc>
      </w:tr>
      <w:tr>
        <w:trPr>
          <w:trHeight w:val="725"/>
        </w:trPr>
        <w:tc>
          <w:tcPr>
            <w:tcW w:w="719" w:type="dxa"/>
            <w:vAlign w:val="center"/>
            <w:textDirection w:val="lrTb"/>
            <w:noWrap w:val="false"/>
          </w:tcPr>
          <w:p>
            <w:pPr>
              <w:ind w:left="318"/>
              <w:spacing w:before="273" w:line="238" w:lineRule="exact"/>
              <w:rPr>
                <w:rFonts w:hint="default" w:ascii="宋体" w:hAnsi="宋体" w:eastAsia="宋体" w:cs="宋体"/>
                <w:sz w:val="24"/>
                <w:szCs w:val="24"/>
                <w:lang w:eastAsia="en-US"/>
              </w:rPr>
            </w:pPr>
            <w:r>
              <w:rPr>
                <w:rFonts w:hint="eastAsia" w:ascii="宋体" w:hAnsi="宋体" w:eastAsia="宋体" w:cs="宋体"/>
                <w:position w:val="1"/>
                <w:sz w:val="24"/>
                <w:szCs w:val="24"/>
                <w:lang w:eastAsia="en-US"/>
              </w:rPr>
              <w:t xml:space="preserve">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主板内存槽数量</w:t>
            </w:r>
            <w:r/>
          </w:p>
        </w:tc>
        <w:tc>
          <w:tcPr>
            <w:tcW w:w="5280" w:type="dxa"/>
            <w:vAlign w:val="center"/>
            <w:textDirection w:val="lrTb"/>
            <w:noWrap w:val="false"/>
          </w:tcPr>
          <w:p>
            <w:pPr>
              <w:ind w:left="113" w:right="172"/>
              <w:spacing w:before="161"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≥8根内存插槽；</w:t>
            </w:r>
            <w:r/>
          </w:p>
        </w:tc>
      </w:tr>
      <w:tr>
        <w:trPr>
          <w:trHeight w:val="725"/>
        </w:trPr>
        <w:tc>
          <w:tcPr>
            <w:tcW w:w="719" w:type="dxa"/>
            <w:vAlign w:val="center"/>
            <w:textDirection w:val="lrTb"/>
            <w:noWrap w:val="false"/>
          </w:tcPr>
          <w:p>
            <w:pPr>
              <w:ind w:left="313"/>
              <w:spacing w:before="273" w:line="239" w:lineRule="exact"/>
              <w:rPr>
                <w:rFonts w:hint="default" w:ascii="宋体" w:hAnsi="宋体" w:eastAsia="宋体" w:cs="宋体"/>
                <w:sz w:val="24"/>
                <w:szCs w:val="24"/>
                <w:lang w:eastAsia="en-US"/>
              </w:rPr>
            </w:pPr>
            <w:r>
              <w:rPr>
                <w:rFonts w:hint="eastAsia" w:ascii="宋体" w:hAnsi="宋体" w:eastAsia="宋体" w:cs="宋体"/>
                <w:position w:val="1"/>
                <w:sz w:val="24"/>
                <w:szCs w:val="24"/>
                <w:lang w:eastAsia="en-US"/>
              </w:rPr>
              <w:t xml:space="preserve">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主板存储接口</w:t>
            </w:r>
            <w:r/>
          </w:p>
        </w:tc>
        <w:tc>
          <w:tcPr>
            <w:tcW w:w="5280" w:type="dxa"/>
            <w:vAlign w:val="center"/>
            <w:textDirection w:val="lrTb"/>
            <w:noWrap w:val="false"/>
          </w:tcPr>
          <w:p>
            <w:pPr>
              <w:ind w:left="113" w:right="172" w:firstLine="4"/>
              <w:spacing w:before="161" w:line="247"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至少支持SATA、SAS、M.2、U.2等</w:t>
            </w:r>
            <w:r>
              <w:rPr>
                <w:rFonts w:hint="eastAsia" w:ascii="宋体" w:hAnsi="宋体" w:eastAsia="宋体" w:cs="宋体"/>
                <w:i/>
                <w:iCs/>
                <w:spacing w:val="-4"/>
                <w:sz w:val="24"/>
                <w:szCs w:val="24"/>
                <w:u w:val="single"/>
                <w:lang w:eastAsia="en-US"/>
              </w:rPr>
              <w:t xml:space="preserve">存储接口中的1种</w:t>
            </w:r>
            <w:r/>
          </w:p>
        </w:tc>
      </w:tr>
      <w:tr>
        <w:trPr>
          <w:trHeight w:val="452"/>
        </w:trPr>
        <w:tc>
          <w:tcPr>
            <w:tcW w:w="719" w:type="dxa"/>
            <w:vAlign w:val="center"/>
            <w:textDirection w:val="lrTb"/>
            <w:noWrap w:val="false"/>
          </w:tcPr>
          <w:p>
            <w:pPr>
              <w:ind w:left="317"/>
              <w:spacing w:before="58" w:line="242" w:lineRule="auto"/>
              <w:rPr>
                <w:rFonts w:hint="default"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 PCIe插槽数量及规格</w:t>
            </w:r>
            <w:r/>
          </w:p>
        </w:tc>
        <w:tc>
          <w:tcPr>
            <w:tcW w:w="5280" w:type="dxa"/>
            <w:vAlign w:val="center"/>
            <w:textDirection w:val="lrTb"/>
            <w:noWrap w:val="false"/>
          </w:tcPr>
          <w:p>
            <w:pPr>
              <w:ind w:left="110" w:right="172" w:firstLine="2"/>
              <w:spacing w:before="33" w:line="230" w:lineRule="auto"/>
              <w:rPr>
                <w:rFonts w:hint="default" w:ascii="宋体" w:hAnsi="宋体" w:eastAsia="宋体" w:cs="宋体"/>
                <w:i/>
                <w:iCs/>
                <w:sz w:val="24"/>
                <w:szCs w:val="24"/>
                <w:u w:val="single"/>
                <w:lang w:eastAsia="en-US"/>
              </w:rPr>
            </w:pPr>
            <w:r>
              <w:rPr>
                <w:rFonts w:hint="eastAsia" w:ascii="宋体" w:hAnsi="宋体" w:eastAsia="宋体" w:cs="宋体"/>
                <w:i/>
                <w:iCs/>
                <w:sz w:val="24"/>
                <w:szCs w:val="24"/>
                <w:u w:val="single"/>
                <w:lang w:eastAsia="en-US"/>
              </w:rPr>
              <w:t xml:space="preserve">≥4个标准PCIE插槽</w:t>
            </w:r>
            <w:r/>
          </w:p>
        </w:tc>
      </w:tr>
      <w:tr>
        <w:trPr>
          <w:trHeight w:val="452"/>
        </w:trPr>
        <w:tc>
          <w:tcPr>
            <w:tcW w:w="719" w:type="dxa"/>
            <w:vAlign w:val="center"/>
            <w:textDirection w:val="lrTb"/>
            <w:noWrap w:val="false"/>
          </w:tcPr>
          <w:p>
            <w:pPr>
              <w:ind w:left="317"/>
              <w:spacing w:before="58" w:line="242" w:lineRule="auto"/>
              <w:rPr>
                <w:rFonts w:hint="default"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特殊孔位及接口</w:t>
            </w:r>
            <w:r/>
          </w:p>
        </w:tc>
        <w:tc>
          <w:tcPr>
            <w:tcW w:w="5280" w:type="dxa"/>
            <w:vAlign w:val="center"/>
            <w:textDirection w:val="lrTb"/>
            <w:noWrap w:val="false"/>
          </w:tcPr>
          <w:p>
            <w:pPr>
              <w:ind w:left="108" w:right="136" w:hanging="2"/>
              <w:spacing w:before="58" w:line="248" w:lineRule="auto"/>
              <w:rPr>
                <w:rFonts w:hint="default" w:ascii="宋体" w:hAnsi="宋体" w:eastAsia="宋体" w:cs="宋体"/>
                <w:i/>
                <w:iCs/>
                <w:spacing w:val="-2"/>
                <w:sz w:val="24"/>
                <w:szCs w:val="24"/>
                <w:u w:val="single"/>
                <w:lang w:eastAsia="en-US"/>
              </w:rPr>
            </w:pPr>
            <w:r>
              <w:rPr>
                <w:rFonts w:hint="eastAsia" w:ascii="宋体" w:hAnsi="宋体" w:eastAsia="宋体" w:cs="宋体"/>
                <w:i/>
                <w:iCs/>
                <w:spacing w:val="-2"/>
                <w:sz w:val="24"/>
                <w:szCs w:val="24"/>
                <w:u w:val="single"/>
                <w:lang w:eastAsia="en-US"/>
              </w:rPr>
              <w:t xml:space="preserve">a)服务器机箱内主板可根据用户实际使用需求支持安装多功能导入装置板卡，机箱内需预留多功能导入装置板卡安装位置，容量不小于</w:t>
            </w:r>
            <w:r/>
          </w:p>
          <w:p>
            <w:pPr>
              <w:ind w:left="108" w:right="136" w:hanging="2"/>
              <w:spacing w:before="58" w:line="248" w:lineRule="auto"/>
              <w:rPr>
                <w:rFonts w:hint="default" w:ascii="宋体" w:hAnsi="宋体" w:eastAsia="宋体" w:cs="宋体"/>
                <w:i/>
                <w:iCs/>
                <w:spacing w:val="-2"/>
                <w:sz w:val="24"/>
                <w:szCs w:val="24"/>
                <w:u w:val="single"/>
                <w:lang w:eastAsia="en-US"/>
              </w:rPr>
            </w:pPr>
            <w:r>
              <w:rPr>
                <w:rFonts w:hint="eastAsia" w:ascii="宋体" w:hAnsi="宋体" w:eastAsia="宋体" w:cs="宋体"/>
                <w:i/>
                <w:iCs/>
                <w:spacing w:val="-2"/>
                <w:sz w:val="24"/>
                <w:szCs w:val="24"/>
                <w:u w:val="single"/>
                <w:lang w:eastAsia="en-US"/>
              </w:rPr>
              <w:t xml:space="preserve">55mm×45mm×15mm（长×宽×高，单位毫米）；</w:t>
            </w:r>
            <w:r/>
          </w:p>
          <w:p>
            <w:pPr>
              <w:ind w:left="108" w:right="136" w:hanging="2"/>
              <w:spacing w:before="58" w:line="248" w:lineRule="auto"/>
              <w:rPr>
                <w:rFonts w:hint="default" w:ascii="宋体" w:hAnsi="宋体" w:eastAsia="宋体" w:cs="宋体"/>
                <w:i/>
                <w:iCs/>
                <w:spacing w:val="-2"/>
                <w:sz w:val="24"/>
                <w:szCs w:val="24"/>
                <w:u w:val="single"/>
                <w:lang w:eastAsia="en-US"/>
              </w:rPr>
            </w:pPr>
            <w:r>
              <w:rPr>
                <w:rFonts w:hint="eastAsia" w:ascii="宋体" w:hAnsi="宋体" w:eastAsia="宋体" w:cs="宋体"/>
                <w:i/>
                <w:iCs/>
                <w:spacing w:val="-2"/>
                <w:sz w:val="24"/>
                <w:szCs w:val="24"/>
                <w:u w:val="single"/>
                <w:lang w:eastAsia="en-US"/>
              </w:rPr>
              <w:t xml:space="preserve">b)服务器主板可根据用户实际使用需求预留满足 USB2.0 或 USB3.0 数据传输规范的接口，工作电压5V，采用 USB2.0 时，最大过电流应不小于 0.5A，采用 USB3.0 时，最大过电流应不小于 1A</w:t>
            </w:r>
            <w:r/>
          </w:p>
        </w:tc>
      </w:tr>
      <w:tr>
        <w:trPr>
          <w:trHeight w:val="169"/>
        </w:trPr>
        <w:tc>
          <w:tcPr>
            <w:tcW w:w="719" w:type="dxa"/>
            <w:vAlign w:val="center"/>
            <w:textDirection w:val="lrTb"/>
            <w:noWrap w:val="false"/>
          </w:tcPr>
          <w:p>
            <w:pPr>
              <w:jc w:val="center"/>
              <w:spacing w:before="59" w:line="237" w:lineRule="exact"/>
              <w:rPr>
                <w:rFonts w:hint="default" w:ascii="宋体" w:hAnsi="宋体" w:eastAsia="宋体" w:cs="宋体"/>
                <w:sz w:val="24"/>
                <w:szCs w:val="24"/>
              </w:rPr>
            </w:pPr>
            <w:r>
              <w:rPr>
                <w:rFonts w:hint="eastAsia" w:ascii="宋体" w:hAnsi="宋体" w:eastAsia="宋体" w:cs="宋体"/>
                <w:position w:val="1"/>
                <w:sz w:val="24"/>
                <w:szCs w:val="24"/>
              </w:rPr>
              <w:t xml:space="preserve">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板载网络接口</w:t>
            </w:r>
            <w:r/>
          </w:p>
        </w:tc>
        <w:tc>
          <w:tcPr>
            <w:tcW w:w="5280" w:type="dxa"/>
            <w:vAlign w:val="center"/>
            <w:textDirection w:val="lrTb"/>
            <w:noWrap w:val="false"/>
          </w:tcPr>
          <w:p>
            <w:pPr>
              <w:ind w:left="120" w:right="172" w:hanging="9"/>
              <w:spacing w:before="59" w:line="249"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支持板载网络接口不少于1个</w:t>
            </w:r>
            <w:r>
              <w:rPr>
                <w:rFonts w:hint="eastAsia" w:ascii="宋体" w:hAnsi="宋体" w:eastAsia="宋体" w:cs="宋体"/>
                <w:i/>
                <w:iCs/>
                <w:spacing w:val="-7"/>
                <w:sz w:val="24"/>
                <w:szCs w:val="24"/>
                <w:u w:val="single"/>
                <w:lang w:eastAsia="en-US"/>
              </w:rPr>
              <w:t xml:space="preserve">1GE网口</w:t>
            </w:r>
            <w:r/>
          </w:p>
        </w:tc>
      </w:tr>
      <w:tr>
        <w:trPr>
          <w:trHeight w:val="245"/>
        </w:trPr>
        <w:tc>
          <w:tcPr>
            <w:tcW w:w="719" w:type="dxa"/>
            <w:vAlign w:val="center"/>
            <w:textDirection w:val="lrTb"/>
            <w:noWrap w:val="false"/>
          </w:tcPr>
          <w:p>
            <w:pPr>
              <w:ind w:left="256"/>
              <w:spacing w:before="31" w:line="209" w:lineRule="auto"/>
              <w:rPr>
                <w:rFonts w:hint="default" w:ascii="宋体" w:hAnsi="宋体" w:eastAsia="宋体" w:cs="宋体"/>
                <w:sz w:val="24"/>
                <w:szCs w:val="24"/>
              </w:rPr>
            </w:pPr>
            <w:r>
              <w:rPr>
                <w:rFonts w:hint="eastAsia" w:ascii="宋体" w:hAnsi="宋体" w:eastAsia="宋体" w:cs="宋体"/>
                <w:spacing w:val="-9"/>
                <w:sz w:val="24"/>
                <w:szCs w:val="24"/>
              </w:rPr>
              <w:t xml:space="preserve">8</w:t>
            </w:r>
            <w:r/>
          </w:p>
        </w:tc>
        <w:tc>
          <w:tcPr>
            <w:tcW w:w="1153" w:type="dxa"/>
            <w:vAlign w:val="center"/>
            <w:vMerge w:val="restart"/>
            <w:textDirection w:val="lrTb"/>
            <w:noWrap w:val="false"/>
          </w:tcPr>
          <w:p>
            <w:pPr>
              <w:ind w:left="107"/>
              <w:jc w:val="center"/>
              <w:spacing w:before="58" w:line="222" w:lineRule="auto"/>
              <w:rPr>
                <w:rFonts w:hint="default" w:ascii="宋体" w:hAnsi="宋体" w:eastAsia="宋体" w:cs="宋体"/>
                <w:spacing w:val="-1"/>
                <w:sz w:val="24"/>
                <w:szCs w:val="24"/>
                <w:lang w:eastAsia="en-US"/>
              </w:rPr>
            </w:pPr>
            <w:r>
              <w:rPr>
                <w:rFonts w:hint="eastAsia" w:ascii="宋体" w:hAnsi="宋体" w:eastAsia="宋体" w:cs="宋体"/>
                <w:spacing w:val="-1"/>
                <w:sz w:val="24"/>
                <w:szCs w:val="24"/>
                <w:lang w:eastAsia="en-US"/>
              </w:rPr>
              <w:t xml:space="preserve">内存规格</w:t>
            </w:r>
            <w:r/>
          </w:p>
        </w:tc>
        <w:tc>
          <w:tcPr>
            <w:tcW w:w="996" w:type="dxa"/>
            <w:vAlign w:val="center"/>
            <w:textDirection w:val="lrTb"/>
            <w:noWrap w:val="false"/>
          </w:tcPr>
          <w:p>
            <w:pPr>
              <w:jc w:val="center"/>
              <w:spacing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内存数量</w:t>
            </w:r>
            <w:r/>
          </w:p>
        </w:tc>
        <w:tc>
          <w:tcPr>
            <w:tcW w:w="5280" w:type="dxa"/>
            <w:vAlign w:val="center"/>
            <w:textDirection w:val="lrTb"/>
            <w:noWrap w:val="false"/>
          </w:tcPr>
          <w:p>
            <w:pPr>
              <w:ind w:left="107"/>
              <w:spacing w:before="58" w:line="222"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≥4</w:t>
            </w:r>
            <w:r/>
          </w:p>
        </w:tc>
      </w:tr>
      <w:tr>
        <w:trPr>
          <w:trHeight w:val="520"/>
        </w:trPr>
        <w:tc>
          <w:tcPr>
            <w:tcW w:w="719" w:type="dxa"/>
            <w:vAlign w:val="center"/>
            <w:textDirection w:val="lrTb"/>
            <w:noWrap w:val="false"/>
          </w:tcPr>
          <w:p>
            <w:pPr>
              <w:jc w:val="center"/>
              <w:spacing w:before="58" w:line="222" w:lineRule="auto"/>
              <w:rPr>
                <w:rFonts w:hint="default" w:ascii="宋体" w:hAnsi="宋体" w:eastAsia="宋体" w:cs="宋体"/>
                <w:spacing w:val="-1"/>
                <w:sz w:val="24"/>
                <w:szCs w:val="24"/>
              </w:rPr>
            </w:pPr>
            <w:r>
              <w:rPr>
                <w:rFonts w:hint="eastAsia" w:ascii="宋体" w:hAnsi="宋体" w:eastAsia="宋体" w:cs="宋体"/>
                <w:spacing w:val="-1"/>
                <w:sz w:val="24"/>
                <w:szCs w:val="24"/>
              </w:rPr>
              <w:t xml:space="preserve">9</w:t>
            </w:r>
            <w:r/>
          </w:p>
        </w:tc>
        <w:tc>
          <w:tcPr>
            <w:tcW w:w="1153" w:type="dxa"/>
            <w:vAlign w:val="center"/>
            <w:vMerge w:val="continue"/>
            <w:textDirection w:val="lrTb"/>
            <w:noWrap w:val="false"/>
          </w:tcPr>
          <w:p>
            <w:pPr>
              <w:ind w:left="107"/>
              <w:jc w:val="center"/>
              <w:spacing w:before="58" w:line="222" w:lineRule="auto"/>
              <w:rPr>
                <w:rFonts w:hint="default" w:ascii="宋体" w:hAnsi="宋体" w:eastAsia="宋体" w:cs="宋体"/>
                <w:spacing w:val="-1"/>
                <w:sz w:val="24"/>
                <w:szCs w:val="24"/>
                <w:lang w:eastAsia="en-US"/>
              </w:rPr>
            </w:pPr>
            <w:r>
              <w:rPr>
                <w:rFonts w:hint="default" w:ascii="宋体" w:hAnsi="宋体" w:eastAsia="宋体" w:cs="宋体"/>
                <w:spacing w:val="-1"/>
                <w:sz w:val="24"/>
                <w:szCs w:val="24"/>
                <w:lang w:eastAsia="en-US"/>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内存规格</w:t>
            </w:r>
            <w:r/>
          </w:p>
        </w:tc>
        <w:tc>
          <w:tcPr>
            <w:tcW w:w="5280" w:type="dxa"/>
            <w:vAlign w:val="center"/>
            <w:textDirection w:val="lrTb"/>
            <w:noWrap w:val="false"/>
          </w:tcPr>
          <w:p>
            <w:pPr>
              <w:ind w:left="107"/>
              <w:spacing w:before="58" w:line="222"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≥DDR4</w:t>
            </w:r>
            <w:r/>
          </w:p>
        </w:tc>
      </w:tr>
      <w:tr>
        <w:trPr>
          <w:trHeight w:val="520"/>
        </w:trPr>
        <w:tc>
          <w:tcPr>
            <w:tcW w:w="719" w:type="dxa"/>
            <w:vAlign w:val="center"/>
            <w:textDirection w:val="lrTb"/>
            <w:noWrap w:val="false"/>
          </w:tcPr>
          <w:p>
            <w:pPr>
              <w:ind w:left="256"/>
              <w:jc w:val="center"/>
              <w:spacing w:before="59" w:line="239" w:lineRule="exact"/>
              <w:rPr>
                <w:rFonts w:hint="default" w:ascii="宋体" w:hAnsi="宋体" w:eastAsia="宋体" w:cs="宋体"/>
                <w:spacing w:val="-9"/>
                <w:position w:val="1"/>
                <w:sz w:val="24"/>
                <w:szCs w:val="24"/>
              </w:rPr>
            </w:pPr>
            <w:r>
              <w:rPr>
                <w:rFonts w:hint="default" w:ascii="宋体" w:hAnsi="宋体" w:eastAsia="宋体" w:cs="宋体"/>
                <w:spacing w:val="-9"/>
                <w:position w:val="1"/>
                <w:sz w:val="24"/>
                <w:szCs w:val="24"/>
              </w:rPr>
            </w:r>
            <w:r/>
          </w:p>
        </w:tc>
        <w:tc>
          <w:tcPr>
            <w:tcBorders>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default" w:ascii="宋体" w:hAnsi="宋体" w:eastAsia="宋体" w:cs="宋体"/>
                <w:spacing w:val="-2"/>
                <w:sz w:val="24"/>
                <w:szCs w:val="24"/>
                <w:lang w:eastAsia="en-US"/>
              </w:rPr>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内存通道</w:t>
            </w:r>
            <w:r/>
          </w:p>
        </w:tc>
        <w:tc>
          <w:tcPr>
            <w:tcW w:w="5280" w:type="dxa"/>
            <w:vAlign w:val="center"/>
            <w:textDirection w:val="lrTb"/>
            <w:noWrap w:val="false"/>
          </w:tcPr>
          <w:p>
            <w:pPr>
              <w:ind w:left="107"/>
              <w:spacing w:before="58" w:line="222"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支持多个内存接口通道，每个通道可支持 1DPC 或 2DPC，当支持 2DPC时，印制电路板上应具备插槽的序号标识，具体通道数应在随机文件中明确</w:t>
            </w:r>
            <w:r/>
          </w:p>
        </w:tc>
      </w:tr>
      <w:tr>
        <w:trPr>
          <w:trHeight w:val="485"/>
        </w:trPr>
        <w:tc>
          <w:tcPr>
            <w:tcW w:w="719" w:type="dxa"/>
            <w:vAlign w:val="center"/>
            <w:textDirection w:val="lrTb"/>
            <w:noWrap w:val="false"/>
          </w:tcPr>
          <w:p>
            <w:pPr>
              <w:ind w:left="256"/>
              <w:spacing w:before="151" w:line="237" w:lineRule="exact"/>
              <w:rPr>
                <w:rFonts w:hint="default" w:ascii="宋体" w:hAnsi="宋体" w:eastAsia="宋体" w:cs="宋体"/>
                <w:sz w:val="24"/>
                <w:szCs w:val="24"/>
              </w:rPr>
            </w:pPr>
            <w:r>
              <w:rPr>
                <w:rFonts w:hint="eastAsia" w:ascii="宋体" w:hAnsi="宋体" w:eastAsia="宋体" w:cs="宋体"/>
                <w:spacing w:val="-9"/>
                <w:position w:val="1"/>
                <w:sz w:val="24"/>
                <w:szCs w:val="24"/>
                <w:lang w:eastAsia="en-US"/>
              </w:rPr>
              <w:t xml:space="preserve">1</w:t>
            </w:r>
            <w:r>
              <w:rPr>
                <w:rFonts w:hint="eastAsia" w:ascii="宋体" w:hAnsi="宋体" w:eastAsia="宋体" w:cs="宋体"/>
                <w:spacing w:val="-9"/>
                <w:position w:val="1"/>
                <w:sz w:val="24"/>
                <w:szCs w:val="24"/>
              </w:rPr>
              <w:t xml:space="preserve">0</w:t>
            </w:r>
            <w:r/>
          </w:p>
        </w:tc>
        <w:tc>
          <w:tcPr>
            <w:tcW w:w="1153" w:type="dxa"/>
            <w:vAlign w:val="center"/>
            <w:vMerge w:val="restart"/>
            <w:textDirection w:val="lrTb"/>
            <w:noWrap w:val="false"/>
          </w:tcPr>
          <w:p>
            <w:pPr>
              <w:ind w:left="186" w:right="141" w:hanging="47"/>
              <w:jc w:val="center"/>
              <w:spacing w:before="59" w:line="248" w:lineRule="auto"/>
              <w:rPr>
                <w:rFonts w:hint="default" w:ascii="宋体" w:hAnsi="宋体" w:eastAsia="宋体" w:cs="宋体"/>
                <w:spacing w:val="-1"/>
                <w:sz w:val="24"/>
                <w:szCs w:val="24"/>
                <w:lang w:eastAsia="en-US"/>
              </w:rPr>
            </w:pPr>
            <w:r>
              <w:rPr>
                <w:rFonts w:hint="default" w:ascii="宋体" w:hAnsi="宋体" w:eastAsia="宋体" w:cs="宋体"/>
                <w:spacing w:val="-1"/>
                <w:sz w:val="24"/>
                <w:szCs w:val="24"/>
                <w:lang w:eastAsia="en-US"/>
              </w:rPr>
            </w:r>
            <w:r/>
          </w:p>
          <w:p>
            <w:pPr>
              <w:ind w:left="186" w:right="141" w:hanging="47"/>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存储</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硬盘类型</w:t>
            </w:r>
            <w:r/>
          </w:p>
        </w:tc>
        <w:tc>
          <w:tcPr>
            <w:tcW w:w="5280" w:type="dxa"/>
            <w:vAlign w:val="center"/>
            <w:textDirection w:val="lrTb"/>
            <w:noWrap w:val="false"/>
          </w:tcPr>
          <w:p>
            <w:pPr>
              <w:ind w:left="115" w:right="168" w:hanging="2"/>
              <w:spacing w:before="38" w:line="22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SAS 硬盘（Raid1）</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z w:val="24"/>
                <w:szCs w:val="24"/>
              </w:rPr>
            </w:pPr>
            <w:r>
              <w:rPr>
                <w:rFonts w:hint="eastAsia" w:ascii="宋体" w:hAnsi="宋体" w:eastAsia="宋体" w:cs="宋体"/>
                <w:spacing w:val="-9"/>
                <w:position w:val="1"/>
                <w:sz w:val="24"/>
                <w:szCs w:val="24"/>
                <w:lang w:eastAsia="en-US"/>
              </w:rPr>
              <w:t xml:space="preserve">1</w:t>
            </w:r>
            <w:r>
              <w:rPr>
                <w:rFonts w:hint="eastAsia" w:ascii="宋体" w:hAnsi="宋体" w:eastAsia="宋体" w:cs="宋体"/>
                <w:spacing w:val="-9"/>
                <w:position w:val="1"/>
                <w:sz w:val="24"/>
                <w:szCs w:val="24"/>
              </w:rPr>
              <w:t xml:space="preserve">1</w:t>
            </w:r>
            <w:r/>
          </w:p>
        </w:tc>
        <w:tc>
          <w:tcPr>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硬磁盘实配容量</w:t>
            </w:r>
            <w:r/>
          </w:p>
        </w:tc>
        <w:tc>
          <w:tcPr>
            <w:tcW w:w="5280" w:type="dxa"/>
            <w:vAlign w:val="center"/>
            <w:textDirection w:val="lrTb"/>
            <w:noWrap w:val="false"/>
          </w:tcPr>
          <w:p>
            <w:pPr>
              <w:ind w:left="113" w:right="168" w:firstLine="1"/>
              <w:spacing w:line="23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≥2块1.2T</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pacing w:val="-9"/>
                <w:position w:val="1"/>
                <w:sz w:val="24"/>
                <w:szCs w:val="24"/>
              </w:rPr>
            </w:pPr>
            <w:r>
              <w:rPr>
                <w:rFonts w:hint="eastAsia" w:ascii="宋体" w:hAnsi="宋体" w:eastAsia="宋体" w:cs="宋体"/>
                <w:spacing w:val="-9"/>
                <w:position w:val="1"/>
                <w:sz w:val="24"/>
                <w:szCs w:val="24"/>
              </w:rPr>
              <w:t xml:space="preserve">11</w:t>
            </w:r>
            <w:r/>
          </w:p>
        </w:tc>
        <w:tc>
          <w:tcPr>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硬磁盘实配容量</w:t>
            </w:r>
            <w:r/>
          </w:p>
        </w:tc>
        <w:tc>
          <w:tcPr>
            <w:tcW w:w="5280" w:type="dxa"/>
            <w:vAlign w:val="center"/>
            <w:textDirection w:val="lrTb"/>
            <w:noWrap w:val="false"/>
          </w:tcPr>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服务器产品至少要配备一款存储设备</w: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a)若配备硬磁盘，服务器提供的实配硬磁盘可用容量应不小于600GB b)若配备固态盘，实配固态盘单盘可用容量不小于 480GB，NVMe SSD容量不小于960GB</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pacing w:val="-9"/>
                <w:position w:val="1"/>
                <w:sz w:val="24"/>
                <w:szCs w:val="24"/>
              </w:rPr>
            </w:pPr>
            <w:r>
              <w:rPr>
                <w:rFonts w:hint="eastAsia" w:ascii="宋体" w:hAnsi="宋体" w:eastAsia="宋体" w:cs="宋体"/>
                <w:spacing w:val="-9"/>
                <w:position w:val="1"/>
                <w:sz w:val="24"/>
                <w:szCs w:val="24"/>
              </w:rPr>
              <w:t xml:space="preserve">12</w:t>
            </w:r>
            <w:r/>
          </w:p>
        </w:tc>
        <w:tc>
          <w:tcPr>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default" w:ascii="宋体" w:hAnsi="宋体" w:eastAsia="宋体" w:cs="宋体"/>
                <w:spacing w:val="-2"/>
                <w:sz w:val="24"/>
                <w:szCs w:val="24"/>
                <w:lang w:eastAsia="en-US"/>
              </w:rPr>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硬盘接口类型</w:t>
            </w:r>
            <w:r/>
          </w:p>
        </w:tc>
        <w:tc>
          <w:tcPr>
            <w:tcW w:w="5280" w:type="dxa"/>
            <w:vAlign w:val="center"/>
            <w:textDirection w:val="lrTb"/>
            <w:noWrap w:val="false"/>
          </w:tcPr>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a)若配备硬磁盘，应提供 SAS 3.0或 SATA 3.0 及以上接口；</w: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b)若配备固态盘，应提供至少 1 种类型固态盘接口，如 UFS、SATA、PCIe等</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pacing w:val="-9"/>
                <w:position w:val="1"/>
                <w:sz w:val="24"/>
                <w:szCs w:val="24"/>
              </w:rPr>
            </w:pPr>
            <w:r>
              <w:rPr>
                <w:rFonts w:hint="eastAsia" w:ascii="宋体" w:hAnsi="宋体" w:eastAsia="宋体" w:cs="宋体"/>
                <w:spacing w:val="-9"/>
                <w:position w:val="1"/>
                <w:sz w:val="24"/>
                <w:szCs w:val="24"/>
              </w:rPr>
              <w:t xml:space="preserve">13</w:t>
            </w:r>
            <w:r/>
          </w:p>
        </w:tc>
        <w:tc>
          <w:tcPr>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硬盘实配数量</w:t>
            </w:r>
            <w:r/>
          </w:p>
        </w:tc>
        <w:tc>
          <w:tcPr>
            <w:tcW w:w="5280" w:type="dxa"/>
            <w:vAlign w:val="center"/>
            <w:textDirection w:val="lrTb"/>
            <w:noWrap w:val="false"/>
          </w:tcPr>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a)若配备硬磁盘，服务器提供的实配硬磁盘数量应不小于 2 块，可实现互为备份；</w: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b)若配备固态盘，实配盘数应不小于 1 块</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pacing w:val="-9"/>
                <w:position w:val="1"/>
                <w:sz w:val="24"/>
                <w:szCs w:val="24"/>
              </w:rPr>
            </w:pPr>
            <w:r>
              <w:rPr>
                <w:rFonts w:hint="eastAsia" w:ascii="宋体" w:hAnsi="宋体" w:eastAsia="宋体" w:cs="宋体"/>
                <w:spacing w:val="-9"/>
                <w:position w:val="1"/>
                <w:sz w:val="24"/>
                <w:szCs w:val="24"/>
              </w:rPr>
              <w:t xml:space="preserve">14</w:t>
            </w:r>
            <w:r/>
          </w:p>
        </w:tc>
        <w:tc>
          <w:tcPr>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硬盘插槽数量及规格</w:t>
            </w:r>
            <w:r/>
          </w:p>
        </w:tc>
        <w:tc>
          <w:tcPr>
            <w:tcW w:w="5280" w:type="dxa"/>
            <w:vAlign w:val="center"/>
            <w:textDirection w:val="lrTb"/>
            <w:noWrap w:val="false"/>
          </w:tcPr>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a) 供应商应给出配置的硬盘尺寸，如 2.5 英寸、3.5 英寸硬磁盘；</w: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b) 机箱高度为88.9mm 的服务器可支持的硬盘数量应不少于 8 块，机箱高度为44.45mm 的服务器可支持的硬盘数量应不少于 4 块。</w: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c) 存储型服务器可支持硬盘数量应不少于 24 块</w:t>
            </w:r>
            <w:r/>
          </w:p>
        </w:tc>
      </w:tr>
      <w:tr>
        <w:trPr>
          <w:trHeight w:val="638"/>
        </w:trPr>
        <w:tc>
          <w:tcPr>
            <w:tcW w:w="719" w:type="dxa"/>
            <w:vAlign w:val="center"/>
            <w:textDirection w:val="lrTb"/>
            <w:noWrap w:val="false"/>
          </w:tcPr>
          <w:p>
            <w:pPr>
              <w:ind w:left="256"/>
              <w:spacing w:before="59" w:line="239" w:lineRule="exact"/>
              <w:rPr>
                <w:rFonts w:hint="default" w:ascii="宋体" w:hAnsi="宋体" w:eastAsia="宋体" w:cs="宋体"/>
                <w:spacing w:val="-9"/>
                <w:position w:val="1"/>
                <w:sz w:val="24"/>
                <w:szCs w:val="24"/>
              </w:rPr>
            </w:pPr>
            <w:r>
              <w:rPr>
                <w:rFonts w:hint="eastAsia" w:ascii="宋体" w:hAnsi="宋体" w:eastAsia="宋体" w:cs="宋体"/>
                <w:spacing w:val="-9"/>
                <w:position w:val="1"/>
                <w:sz w:val="24"/>
                <w:szCs w:val="24"/>
              </w:rPr>
              <w:t xml:space="preserve">15</w:t>
            </w:r>
            <w:r/>
          </w:p>
        </w:tc>
        <w:tc>
          <w:tcPr>
            <w:tcBorders>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spacing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硬盘其他参数要求</w:t>
            </w:r>
            <w:r/>
          </w:p>
        </w:tc>
        <w:tc>
          <w:tcPr>
            <w:tcW w:w="5280" w:type="dxa"/>
            <w:vAlign w:val="center"/>
            <w:textDirection w:val="lrTb"/>
            <w:noWrap w:val="false"/>
          </w:tcPr>
          <w:p>
            <w:pPr>
              <w:ind w:left="20" w:right="20" w:firstLine="74"/>
              <w:spacing w:before="19" w:line="352"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a)机械硬盘准备时间应不大于30s；侧面固定螺丝孔数量可为 4 孔或6孔；工作状态环境温度应满足 5℃ ~55℃ , 其它参数应符合 GB/T 12628的相关规定；</w:t>
            </w:r>
            <w:r>
              <w:rPr>
                <w:rFonts w:hint="default" w:ascii="宋体" w:hAnsi="宋体" w:eastAsia="宋体" w:cs="宋体"/>
                <w:i/>
                <w:iCs/>
                <w:spacing w:val="-1"/>
                <w:sz w:val="24"/>
                <w:szCs w:val="24"/>
                <w:u w:val="singl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771650" cy="309880"/>
                              </a:xfrm>
                              <a:prstGeom prst="rect">
                                <a:avLst/>
                              </a:prstGeom>
                              <a:noFill/>
                              <a:ln>
                                <a:noFill/>
                              </a:ln>
                              <a:effectLst/>
                            </wps:spPr>
                            <wps:txbx>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wps:txbx>
                            <wps:bodyPr lIns="0" tIns="0" rIns="0" bIns="0" upright="1"/>
                          </wps:wsp>
                        </a:graphicData>
                      </a:graphic>
                    </wp:anchor>
                  </w:drawing>
                </mc:Choice>
                <mc:Fallback>
                  <w:pict>
                    <v:shape id="shape 0" o:spid="_x0000_s0" o:spt="202" type="#_x0000_t202" style="position:absolute;z-index:251673600;o:allowoverlap:true;o:allowincell:true;mso-position-horizontal-relative:text;margin-left:27.6pt;mso-position-horizontal:absolute;mso-position-vertical-relative:text;margin-top:2.8pt;mso-position-vertical:absolute;width:139.5pt;height:24.4pt;mso-wrap-distance-left:9.0pt;mso-wrap-distance-top:0.0pt;mso-wrap-distance-right:9.0pt;mso-wrap-distance-bottom:0.0pt;visibility:visible;" filled="f" stroked="f">
                      <v:textbox inset="0,0,0,0">
                        <w:txbxContent>
                          <w:p>
                            <w:pPr>
                              <w:ind w:left="20" w:right="20" w:firstLine="74"/>
                              <w:spacing w:before="19"/>
                              <w:rPr>
                                <w:rFonts w:hint="default" w:ascii="黑体" w:hAnsi="黑体" w:eastAsia="黑体" w:cs="黑体"/>
                                <w:sz w:val="18"/>
                                <w:szCs w:val="18"/>
                                <w:lang w:eastAsia="en-US"/>
                              </w:rPr>
                            </w:pPr>
                            <w:r>
                              <w:rPr>
                                <w:rFonts w:hint="default" w:ascii="黑体" w:hAnsi="黑体" w:eastAsia="黑体" w:cs="黑体"/>
                                <w:sz w:val="18"/>
                                <w:szCs w:val="18"/>
                                <w:lang w:eastAsia="en-US"/>
                              </w:rPr>
                            </w:r>
                            <w:r/>
                          </w:p>
                        </w:txbxContent>
                      </v:textbox>
                    </v:shape>
                  </w:pict>
                </mc:Fallback>
              </mc:AlternateContent>
            </w:r>
            <w:r/>
          </w:p>
          <w:p>
            <w:pPr>
              <w:ind w:left="111" w:right="123" w:hanging="4"/>
              <w:spacing w:before="58" w:line="248"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b)若服务器支持固态盘，固态盘符合 SJ/T 11654 相关规定</w:t>
            </w:r>
            <w:r/>
          </w:p>
        </w:tc>
      </w:tr>
      <w:tr>
        <w:trPr>
          <w:trHeight w:val="488"/>
        </w:trPr>
        <w:tc>
          <w:tcPr>
            <w:tcW w:w="719" w:type="dxa"/>
            <w:vAlign w:val="center"/>
            <w:textDirection w:val="lrTb"/>
            <w:noWrap w:val="false"/>
          </w:tcPr>
          <w:p>
            <w:pPr>
              <w:ind w:left="256"/>
              <w:jc w:val="center"/>
              <w:spacing w:before="156" w:line="237" w:lineRule="exact"/>
              <w:rPr>
                <w:rFonts w:hint="default" w:ascii="宋体" w:hAnsi="宋体" w:eastAsia="宋体" w:cs="宋体"/>
                <w:sz w:val="24"/>
                <w:szCs w:val="24"/>
                <w:lang w:eastAsia="en-US"/>
              </w:rPr>
            </w:pPr>
            <w:r>
              <w:rPr>
                <w:rFonts w:hint="eastAsia" w:ascii="宋体" w:hAnsi="宋体" w:eastAsia="宋体" w:cs="宋体"/>
                <w:spacing w:val="-9"/>
                <w:position w:val="1"/>
                <w:sz w:val="24"/>
                <w:szCs w:val="24"/>
                <w:lang w:eastAsia="en-US"/>
              </w:rPr>
              <w:t xml:space="preserve">19</w:t>
            </w:r>
            <w:r/>
          </w:p>
        </w:tc>
        <w:tc>
          <w:tcPr>
            <w:tcW w:w="1153" w:type="dxa"/>
            <w:vAlign w:val="center"/>
            <w:textDirection w:val="lrTb"/>
            <w:noWrap w:val="false"/>
          </w:tcPr>
          <w:p>
            <w:pPr>
              <w:ind w:left="189" w:right="185"/>
              <w:jc w:val="center"/>
              <w:spacing w:before="43" w:line="223"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RAID</w:t>
            </w:r>
            <w:r>
              <w:rPr>
                <w:rFonts w:hint="eastAsia" w:ascii="宋体" w:hAnsi="宋体" w:eastAsia="宋体" w:cs="宋体"/>
                <w:spacing w:val="-5"/>
                <w:sz w:val="24"/>
                <w:szCs w:val="24"/>
                <w:lang w:eastAsia="en-US"/>
              </w:rPr>
              <w:t xml:space="preserve">卡规</w:t>
            </w:r>
            <w:r>
              <w:rPr>
                <w:rFonts w:hint="eastAsia" w:ascii="宋体" w:hAnsi="宋体" w:eastAsia="宋体" w:cs="宋体"/>
                <w:spacing w:val="-11"/>
                <w:sz w:val="24"/>
                <w:szCs w:val="24"/>
                <w:lang w:eastAsia="en-US"/>
              </w:rPr>
              <w:t xml:space="preserve">格（若</w:t>
            </w:r>
            <w:r>
              <w:rPr>
                <w:rFonts w:hint="eastAsia" w:ascii="宋体" w:hAnsi="宋体" w:eastAsia="宋体" w:cs="宋体"/>
                <w:spacing w:val="-4"/>
                <w:sz w:val="24"/>
                <w:szCs w:val="24"/>
                <w:lang w:eastAsia="en-US"/>
              </w:rPr>
              <w:t xml:space="preserve">支持</w:t>
            </w:r>
            <w:r>
              <w:rPr>
                <w:rFonts w:hint="eastAsia" w:ascii="宋体" w:hAnsi="宋体" w:eastAsia="宋体" w:cs="宋体"/>
                <w:spacing w:val="-2"/>
                <w:sz w:val="24"/>
                <w:szCs w:val="24"/>
                <w:lang w:eastAsia="en-US"/>
              </w:rPr>
              <w:t xml:space="preserve">RAID</w:t>
            </w:r>
            <w:r>
              <w:rPr>
                <w:rFonts w:hint="eastAsia" w:ascii="宋体" w:hAnsi="宋体" w:eastAsia="宋体" w:cs="宋体"/>
                <w:spacing w:val="-4"/>
                <w:sz w:val="24"/>
                <w:szCs w:val="24"/>
                <w:lang w:eastAsia="en-US"/>
              </w:rPr>
              <w:t xml:space="preserve">卡）</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卡支持的 SAS接口数</w:t>
            </w:r>
            <w:r/>
          </w:p>
        </w:tc>
        <w:tc>
          <w:tcPr>
            <w:tcW w:w="5280" w:type="dxa"/>
            <w:vAlign w:val="center"/>
            <w:textDirection w:val="lrTb"/>
            <w:noWrap w:val="false"/>
          </w:tcPr>
          <w:p>
            <w:pPr>
              <w:ind w:left="131"/>
              <w:spacing w:before="163"/>
              <w:rPr>
                <w:rFonts w:hint="default" w:ascii="宋体" w:hAnsi="宋体" w:eastAsia="宋体" w:cs="宋体"/>
                <w:i/>
                <w:iCs/>
                <w:sz w:val="24"/>
                <w:szCs w:val="24"/>
                <w:u w:val="single"/>
                <w:lang w:eastAsia="en-US"/>
              </w:rPr>
            </w:pPr>
            <w:r>
              <w:rPr>
                <w:rFonts w:hint="eastAsia" w:ascii="宋体" w:hAnsi="宋体" w:eastAsia="宋体" w:cs="宋体"/>
                <w:i/>
                <w:iCs/>
                <w:spacing w:val="-13"/>
                <w:sz w:val="24"/>
                <w:szCs w:val="24"/>
                <w:u w:val="single"/>
                <w:lang w:eastAsia="en-US"/>
              </w:rPr>
              <w:t xml:space="preserve">≥8</w:t>
            </w:r>
            <w:r/>
          </w:p>
        </w:tc>
      </w:tr>
      <w:tr>
        <w:trPr>
          <w:trHeight w:val="1684"/>
        </w:trPr>
        <w:tc>
          <w:tcPr>
            <w:tcW w:w="719" w:type="dxa"/>
            <w:vAlign w:val="center"/>
            <w:textDirection w:val="lrTb"/>
            <w:noWrap w:val="false"/>
          </w:tcPr>
          <w:p>
            <w:pPr>
              <w:jc w:val="center"/>
              <w:spacing w:before="59"/>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20</w:t>
            </w:r>
            <w:r/>
          </w:p>
        </w:tc>
        <w:tc>
          <w:tcPr>
            <w:tcW w:w="1153" w:type="dxa"/>
            <w:vAlign w:val="center"/>
            <w:textDirection w:val="lrTb"/>
            <w:noWrap w:val="false"/>
          </w:tcPr>
          <w:p>
            <w:pPr>
              <w:ind w:left="186" w:right="119" w:hanging="66"/>
              <w:jc w:val="center"/>
              <w:spacing w:before="37" w:line="246"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SAS直</w:t>
            </w:r>
            <w:r>
              <w:rPr>
                <w:rFonts w:hint="eastAsia" w:ascii="宋体" w:hAnsi="宋体" w:eastAsia="宋体" w:cs="宋体"/>
                <w:spacing w:val="-3"/>
                <w:sz w:val="24"/>
                <w:szCs w:val="24"/>
                <w:lang w:eastAsia="en-US"/>
              </w:rPr>
              <w:t xml:space="preserve">通卡</w:t>
            </w:r>
            <w:r/>
          </w:p>
          <w:p>
            <w:pPr>
              <w:ind w:left="110" w:right="130" w:firstLine="76"/>
              <w:jc w:val="center"/>
              <w:spacing w:line="246"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规格</w:t>
            </w:r>
            <w:r>
              <w:rPr>
                <w:rFonts w:hint="eastAsia" w:ascii="宋体" w:hAnsi="宋体" w:eastAsia="宋体" w:cs="宋体"/>
                <w:spacing w:val="8"/>
                <w:sz w:val="24"/>
                <w:szCs w:val="24"/>
                <w:lang w:eastAsia="en-US"/>
              </w:rPr>
              <w:t xml:space="preserve">(若支</w:t>
            </w:r>
            <w:r>
              <w:rPr>
                <w:rFonts w:hint="eastAsia" w:ascii="宋体" w:hAnsi="宋体" w:eastAsia="宋体" w:cs="宋体"/>
                <w:spacing w:val="-4"/>
                <w:sz w:val="24"/>
                <w:szCs w:val="24"/>
                <w:lang w:eastAsia="en-US"/>
              </w:rPr>
              <w:t xml:space="preserve">持SAS</w:t>
            </w:r>
            <w:r>
              <w:rPr>
                <w:rFonts w:hint="eastAsia" w:ascii="宋体" w:hAnsi="宋体" w:eastAsia="宋体" w:cs="宋体"/>
                <w:spacing w:val="35"/>
                <w:sz w:val="24"/>
                <w:szCs w:val="24"/>
                <w:lang w:eastAsia="en-US"/>
              </w:rPr>
              <w:t xml:space="preserve">直通</w:t>
            </w:r>
            <w:r/>
          </w:p>
          <w:p>
            <w:pPr>
              <w:ind w:left="235"/>
              <w:jc w:val="center"/>
              <w:spacing w:line="201"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卡)</w:t>
            </w:r>
            <w:r/>
          </w:p>
        </w:tc>
        <w:tc>
          <w:tcPr>
            <w:tcW w:w="996" w:type="dxa"/>
            <w:vAlign w:val="center"/>
            <w:textDirection w:val="lrTb"/>
            <w:noWrap w:val="false"/>
          </w:tcPr>
          <w:p>
            <w:pPr>
              <w:spacing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SAS直通卡SAS接口数量</w:t>
            </w:r>
            <w:r/>
          </w:p>
        </w:tc>
        <w:tc>
          <w:tcPr>
            <w:tcW w:w="5280" w:type="dxa"/>
            <w:vAlign w:val="center"/>
            <w:textDirection w:val="lrTb"/>
            <w:noWrap w:val="false"/>
          </w:tcPr>
          <w:p>
            <w:pPr>
              <w:spacing w:line="347"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spacing w:line="347"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31"/>
              <w:spacing w:before="59"/>
              <w:rPr>
                <w:rFonts w:hint="default" w:ascii="宋体" w:hAnsi="宋体" w:eastAsia="黑体" w:cs="宋体"/>
                <w:i/>
                <w:iCs/>
                <w:sz w:val="24"/>
                <w:szCs w:val="24"/>
                <w:u w:val="single"/>
              </w:rPr>
            </w:pPr>
            <w:r>
              <w:rPr>
                <w:rFonts w:hint="eastAsia" w:ascii="宋体" w:hAnsi="宋体" w:eastAsia="宋体" w:cs="宋体"/>
                <w:i/>
                <w:iCs/>
                <w:spacing w:val="-13"/>
                <w:sz w:val="24"/>
                <w:szCs w:val="24"/>
                <w:u w:val="single"/>
              </w:rPr>
              <w:t xml:space="preserve">/</w:t>
            </w:r>
            <w:r/>
          </w:p>
        </w:tc>
      </w:tr>
      <w:tr>
        <w:trPr>
          <w:trHeight w:val="1444"/>
        </w:trPr>
        <w:tc>
          <w:tcPr>
            <w:tcW w:w="719" w:type="dxa"/>
            <w:vAlign w:val="center"/>
            <w:textDirection w:val="lrTb"/>
            <w:noWrap w:val="false"/>
          </w:tcPr>
          <w:p>
            <w:pPr>
              <w:jc w:val="center"/>
              <w:spacing w:before="59" w:line="239"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21</w:t>
            </w:r>
            <w:r/>
          </w:p>
        </w:tc>
        <w:tc>
          <w:tcPr>
            <w:tcW w:w="1153" w:type="dxa"/>
            <w:vAlign w:val="center"/>
            <w:textDirection w:val="lrTb"/>
            <w:noWrap w:val="false"/>
          </w:tcPr>
          <w:p>
            <w:pPr>
              <w:ind w:left="110" w:right="119" w:firstLine="11"/>
              <w:jc w:val="center"/>
              <w:spacing w:before="40" w:line="246"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HBA卡</w:t>
            </w:r>
            <w:r>
              <w:rPr>
                <w:rFonts w:hint="eastAsia" w:ascii="宋体" w:hAnsi="宋体" w:eastAsia="宋体" w:cs="宋体"/>
                <w:spacing w:val="35"/>
                <w:sz w:val="24"/>
                <w:szCs w:val="24"/>
                <w:lang w:eastAsia="en-US"/>
              </w:rPr>
              <w:t xml:space="preserve">规格</w:t>
            </w:r>
            <w:r>
              <w:rPr>
                <w:rFonts w:hint="eastAsia" w:ascii="宋体" w:hAnsi="宋体" w:eastAsia="宋体" w:cs="宋体"/>
                <w:spacing w:val="8"/>
                <w:sz w:val="24"/>
                <w:szCs w:val="24"/>
                <w:lang w:eastAsia="en-US"/>
              </w:rPr>
              <w:t xml:space="preserve">(若支</w:t>
            </w:r>
            <w:r>
              <w:rPr>
                <w:rFonts w:hint="eastAsia" w:ascii="宋体" w:hAnsi="宋体" w:eastAsia="宋体" w:cs="宋体"/>
                <w:spacing w:val="-4"/>
                <w:sz w:val="24"/>
                <w:szCs w:val="24"/>
                <w:lang w:eastAsia="en-US"/>
              </w:rPr>
              <w:t xml:space="preserve">持HBA</w:t>
            </w:r>
            <w:r>
              <w:rPr>
                <w:rFonts w:hint="eastAsia" w:ascii="宋体" w:hAnsi="宋体" w:eastAsia="宋体" w:cs="宋体"/>
                <w:spacing w:val="35"/>
                <w:sz w:val="24"/>
                <w:szCs w:val="24"/>
                <w:lang w:eastAsia="en-US"/>
              </w:rPr>
              <w:t xml:space="preserve">直通</w:t>
            </w:r>
            <w:r/>
          </w:p>
          <w:p>
            <w:pPr>
              <w:ind w:left="235"/>
              <w:jc w:val="center"/>
              <w:spacing w:line="198"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卡)</w:t>
            </w:r>
            <w:r/>
          </w:p>
        </w:tc>
        <w:tc>
          <w:tcPr>
            <w:tcW w:w="996" w:type="dxa"/>
            <w:vAlign w:val="center"/>
            <w:textDirection w:val="lrTb"/>
            <w:noWrap w:val="false"/>
          </w:tcPr>
          <w:p>
            <w:pPr>
              <w:jc w:val="center"/>
              <w:spacing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HBA卡端口数量</w:t>
            </w:r>
            <w:r/>
          </w:p>
        </w:tc>
        <w:tc>
          <w:tcPr>
            <w:tcW w:w="5280" w:type="dxa"/>
            <w:vAlign w:val="center"/>
            <w:textDirection w:val="lrTb"/>
            <w:noWrap w:val="false"/>
          </w:tcPr>
          <w:p>
            <w:pPr>
              <w:spacing w:line="289"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spacing w:line="289"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31"/>
              <w:spacing w:before="58"/>
              <w:rPr>
                <w:rFonts w:hint="default" w:ascii="宋体" w:hAnsi="宋体" w:eastAsia="黑体" w:cs="宋体"/>
                <w:i/>
                <w:iCs/>
                <w:sz w:val="24"/>
                <w:szCs w:val="24"/>
                <w:u w:val="single"/>
              </w:rPr>
            </w:pPr>
            <w:r>
              <w:rPr>
                <w:rFonts w:hint="eastAsia" w:ascii="宋体" w:hAnsi="宋体" w:eastAsia="宋体" w:cs="宋体"/>
                <w:i/>
                <w:iCs/>
                <w:spacing w:val="-13"/>
                <w:sz w:val="24"/>
                <w:szCs w:val="24"/>
                <w:u w:val="single"/>
              </w:rPr>
              <w:t xml:space="preserve">/</w:t>
            </w:r>
            <w:r/>
          </w:p>
        </w:tc>
      </w:tr>
      <w:tr>
        <w:trPr>
          <w:trHeight w:val="1684"/>
        </w:trPr>
        <w:tc>
          <w:tcPr>
            <w:tcW w:w="719" w:type="dxa"/>
            <w:vAlign w:val="center"/>
            <w:textDirection w:val="lrTb"/>
            <w:noWrap w:val="false"/>
          </w:tcPr>
          <w:p>
            <w:pPr>
              <w:jc w:val="center"/>
              <w:spacing w:before="59" w:line="239"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22</w:t>
            </w:r>
            <w:r/>
          </w:p>
        </w:tc>
        <w:tc>
          <w:tcPr>
            <w:tcBorders>
              <w:bottom w:val="none" w:color="000000" w:sz="4" w:space="0"/>
            </w:tcBorders>
            <w:tcW w:w="1153" w:type="dxa"/>
            <w:vAlign w:val="center"/>
            <w:vMerge w:val="restart"/>
            <w:textDirection w:val="lrTb"/>
            <w:noWrap w:val="false"/>
          </w:tcPr>
          <w:p>
            <w:pPr>
              <w:ind w:right="141"/>
              <w:jc w:val="center"/>
              <w:spacing w:before="58"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网络</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ind w:right="123"/>
              <w:jc w:val="center"/>
              <w:spacing w:before="59"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网口速率和数量</w:t>
            </w:r>
            <w:r/>
          </w:p>
        </w:tc>
        <w:tc>
          <w:tcPr>
            <w:tcW w:w="5280" w:type="dxa"/>
            <w:vAlign w:val="center"/>
            <w:textDirection w:val="lrTb"/>
            <w:noWrap w:val="false"/>
          </w:tcPr>
          <w:p>
            <w:pPr>
              <w:spacing w:line="289"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spacing w:line="290"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12" w:right="168" w:firstLine="2"/>
              <w:spacing w:before="58"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配备网口数量不少于1个，且网口速率不少于1GE</w:t>
            </w:r>
            <w:r/>
          </w:p>
        </w:tc>
      </w:tr>
      <w:tr>
        <w:trPr>
          <w:trHeight w:val="1684"/>
        </w:trPr>
        <w:tc>
          <w:tcPr>
            <w:tcW w:w="719" w:type="dxa"/>
            <w:vAlign w:val="center"/>
            <w:textDirection w:val="lrTb"/>
            <w:noWrap w:val="false"/>
          </w:tcPr>
          <w:p>
            <w:pPr>
              <w:jc w:val="center"/>
              <w:spacing w:before="58" w:line="238"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50"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存储型服务器网口速率和数量</w:t>
            </w:r>
            <w:r/>
          </w:p>
        </w:tc>
        <w:tc>
          <w:tcPr>
            <w:tcW w:w="5280" w:type="dxa"/>
            <w:vAlign w:val="center"/>
            <w:textDirection w:val="lrTb"/>
            <w:noWrap w:val="false"/>
          </w:tcPr>
          <w:p>
            <w:pPr>
              <w:ind w:right="168"/>
              <w:spacing w:before="5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存储型服务器1GE网口数量不少于</w:t>
            </w:r>
            <w:r>
              <w:rPr>
                <w:rFonts w:hint="eastAsia" w:ascii="宋体" w:hAnsi="宋体" w:eastAsia="宋体" w:cs="宋体"/>
                <w:i/>
                <w:iCs/>
                <w:sz w:val="24"/>
                <w:szCs w:val="24"/>
                <w:u w:val="single"/>
                <w:lang w:eastAsia="en-US"/>
              </w:rPr>
              <w:t xml:space="preserve">2个，10GE以上网口数量不少于2个</w:t>
            </w:r>
            <w:r/>
          </w:p>
        </w:tc>
      </w:tr>
      <w:tr>
        <w:trPr>
          <w:trHeight w:val="725"/>
        </w:trPr>
        <w:tc>
          <w:tcPr>
            <w:tcW w:w="719" w:type="dxa"/>
            <w:vAlign w:val="center"/>
            <w:textDirection w:val="lrTb"/>
            <w:noWrap w:val="false"/>
          </w:tcPr>
          <w:p>
            <w:pPr>
              <w:ind w:left="246"/>
              <w:spacing w:before="274" w:line="240"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独立网卡网口数量</w:t>
            </w:r>
            <w:r/>
          </w:p>
        </w:tc>
        <w:tc>
          <w:tcPr>
            <w:tcW w:w="5280" w:type="dxa"/>
            <w:vAlign w:val="center"/>
            <w:textDirection w:val="lrTb"/>
            <w:noWrap w:val="false"/>
          </w:tcPr>
          <w:p>
            <w:pPr>
              <w:ind w:left="115" w:right="168" w:hanging="2"/>
              <w:spacing w:before="162" w:line="25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若配备独立网卡，独立网卡网口数</w:t>
            </w:r>
            <w:r>
              <w:rPr>
                <w:rFonts w:hint="eastAsia" w:ascii="宋体" w:hAnsi="宋体" w:eastAsia="宋体" w:cs="宋体"/>
                <w:i/>
                <w:iCs/>
                <w:spacing w:val="-4"/>
                <w:sz w:val="24"/>
                <w:szCs w:val="24"/>
                <w:u w:val="single"/>
                <w:lang w:eastAsia="en-US"/>
              </w:rPr>
              <w:t xml:space="preserve">量≥0</w:t>
            </w:r>
            <w:r/>
          </w:p>
        </w:tc>
      </w:tr>
      <w:tr>
        <w:trPr>
          <w:trHeight w:val="1224"/>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25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独立网卡接口类型</w:t>
            </w:r>
            <w:r/>
          </w:p>
        </w:tc>
        <w:tc>
          <w:tcPr>
            <w:tcW w:w="5280" w:type="dxa"/>
            <w:vAlign w:val="center"/>
            <w:textDirection w:val="lrTb"/>
            <w:noWrap w:val="false"/>
          </w:tcPr>
          <w:p>
            <w:pPr>
              <w:spacing w:before="58"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支持RJ45/QSFP/SFP等</w:t>
            </w:r>
            <w:r/>
          </w:p>
        </w:tc>
      </w:tr>
      <w:tr>
        <w:trPr>
          <w:trHeight w:val="994"/>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26</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板载网卡接口类型</w:t>
            </w:r>
            <w:r/>
          </w:p>
        </w:tc>
        <w:tc>
          <w:tcPr>
            <w:tcW w:w="5280" w:type="dxa"/>
            <w:vAlign w:val="center"/>
            <w:textDirection w:val="lrTb"/>
            <w:noWrap w:val="false"/>
          </w:tcPr>
          <w:p>
            <w:pPr>
              <w:spacing w:before="59"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支持RJ45/QSFP/SFP等</w:t>
            </w:r>
            <w:r/>
          </w:p>
        </w:tc>
      </w:tr>
      <w:tr>
        <w:trPr>
          <w:trHeight w:val="485"/>
        </w:trPr>
        <w:tc>
          <w:tcPr>
            <w:tcW w:w="719" w:type="dxa"/>
            <w:vAlign w:val="center"/>
            <w:textDirection w:val="lrTb"/>
            <w:noWrap w:val="false"/>
          </w:tcPr>
          <w:p>
            <w:pPr>
              <w:ind w:left="246"/>
              <w:spacing w:before="157" w:line="240"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27</w:t>
            </w:r>
            <w:r/>
          </w:p>
        </w:tc>
        <w:tc>
          <w:tcPr>
            <w:tcBorders>
              <w:bottom w:val="none" w:color="000000" w:sz="4" w:space="0"/>
            </w:tcBorders>
            <w:tcW w:w="1153" w:type="dxa"/>
            <w:vAlign w:val="center"/>
            <w:textDirection w:val="lrTb"/>
            <w:noWrap w:val="false"/>
          </w:tcPr>
          <w:p>
            <w:pPr>
              <w:ind w:left="139"/>
              <w:jc w:val="center"/>
              <w:spacing w:before="289" w:line="190"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外部</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显示接口</w:t>
            </w:r>
            <w:r/>
          </w:p>
        </w:tc>
        <w:tc>
          <w:tcPr>
            <w:tcW w:w="5280" w:type="dxa"/>
            <w:vAlign w:val="center"/>
            <w:textDirection w:val="lrTb"/>
            <w:noWrap w:val="false"/>
          </w:tcPr>
          <w:p>
            <w:pPr>
              <w:ind w:left="108" w:right="206" w:firstLine="9"/>
              <w:spacing w:before="45" w:line="220"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显示接口类型应不少于1种，如：</w:t>
            </w:r>
            <w:r>
              <w:rPr>
                <w:rFonts w:hint="eastAsia" w:ascii="宋体" w:hAnsi="宋体" w:eastAsia="宋体" w:cs="宋体"/>
                <w:i/>
                <w:iCs/>
                <w:spacing w:val="-1"/>
                <w:sz w:val="24"/>
                <w:szCs w:val="24"/>
                <w:u w:val="single"/>
                <w:lang w:eastAsia="en-US"/>
              </w:rPr>
              <w:t xml:space="preserve">VGA、DP、HDMI等</w:t>
            </w:r>
            <w:r/>
          </w:p>
        </w:tc>
      </w:tr>
      <w:tr>
        <w:trPr>
          <w:trHeight w:val="728"/>
        </w:trPr>
        <w:tc>
          <w:tcPr>
            <w:tcW w:w="719" w:type="dxa"/>
            <w:vAlign w:val="center"/>
            <w:textDirection w:val="lrTb"/>
            <w:noWrap w:val="false"/>
          </w:tcPr>
          <w:p>
            <w:pPr>
              <w:ind w:left="246"/>
              <w:spacing w:before="277"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28</w:t>
            </w:r>
            <w:r/>
          </w:p>
        </w:tc>
        <w:tc>
          <w:tcPr>
            <w:tcBorders>
              <w:top w:val="none" w:color="000000" w:sz="4" w:space="0"/>
            </w:tcBorders>
            <w:tcW w:w="1153" w:type="dxa"/>
            <w:vAlign w:val="center"/>
            <w:textDirection w:val="lrTb"/>
            <w:noWrap w:val="false"/>
          </w:tcPr>
          <w:p>
            <w:pPr>
              <w:ind w:left="186" w:right="186"/>
              <w:jc w:val="center"/>
              <w:spacing w:before="40" w:line="248"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接口</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USB 接口</w:t>
            </w:r>
            <w:r/>
          </w:p>
        </w:tc>
        <w:tc>
          <w:tcPr>
            <w:tcW w:w="5280" w:type="dxa"/>
            <w:vAlign w:val="center"/>
            <w:textDirection w:val="lrTb"/>
            <w:noWrap w:val="false"/>
          </w:tcPr>
          <w:p>
            <w:pPr>
              <w:ind w:left="112" w:right="123" w:firstLine="2"/>
              <w:spacing w:before="165"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配备USB接口，如USB2.0、USB3.0</w:t>
            </w:r>
            <w:r>
              <w:rPr>
                <w:rFonts w:hint="eastAsia" w:ascii="宋体" w:hAnsi="宋体" w:eastAsia="宋体" w:cs="宋体"/>
                <w:i/>
                <w:iCs/>
                <w:sz w:val="24"/>
                <w:szCs w:val="24"/>
                <w:u w:val="single"/>
                <w:lang w:eastAsia="en-US"/>
              </w:rPr>
              <w:t xml:space="preserve">等</w:t>
            </w:r>
            <w:r/>
          </w:p>
        </w:tc>
      </w:tr>
      <w:tr>
        <w:trPr>
          <w:trHeight w:val="725"/>
        </w:trPr>
        <w:tc>
          <w:tcPr>
            <w:tcW w:w="719" w:type="dxa"/>
            <w:vAlign w:val="center"/>
            <w:textDirection w:val="lrTb"/>
            <w:noWrap w:val="false"/>
          </w:tcPr>
          <w:p>
            <w:pPr>
              <w:ind w:left="246"/>
              <w:spacing w:before="274"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29</w:t>
            </w:r>
            <w:r/>
          </w:p>
        </w:tc>
        <w:tc>
          <w:tcPr>
            <w:tcBorders>
              <w:top w:val="none" w:color="000000" w:sz="4" w:space="0"/>
              <w:bottom w:val="none" w:color="000000" w:sz="4" w:space="0"/>
            </w:tcBorders>
            <w:tcW w:w="1153" w:type="dxa"/>
            <w:vAlign w:val="center"/>
            <w:vMerge w:val="restart"/>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特殊接口及孔位</w:t>
            </w:r>
            <w:r/>
          </w:p>
        </w:tc>
        <w:tc>
          <w:tcPr>
            <w:tcW w:w="5280" w:type="dxa"/>
            <w:vAlign w:val="center"/>
            <w:textDirection w:val="lrTb"/>
            <w:noWrap w:val="false"/>
          </w:tcPr>
          <w:p>
            <w:pPr>
              <w:ind w:left="114" w:right="168" w:hanging="1"/>
              <w:spacing w:before="159" w:line="248" w:lineRule="auto"/>
              <w:rPr>
                <w:rFonts w:hint="default" w:ascii="宋体" w:hAnsi="宋体" w:eastAsia="宋体" w:cs="宋体"/>
                <w:i/>
                <w:iCs/>
                <w:sz w:val="24"/>
                <w:szCs w:val="24"/>
                <w:u w:val="single"/>
                <w:lang w:eastAsia="en-US"/>
              </w:rPr>
            </w:pPr>
            <w:r>
              <w:rPr>
                <w:rFonts w:hint="eastAsia" w:ascii="宋体" w:hAnsi="宋体" w:eastAsia="宋体" w:cs="宋体"/>
                <w:i/>
                <w:iCs/>
                <w:sz w:val="24"/>
                <w:szCs w:val="24"/>
                <w:u w:val="single"/>
                <w:lang w:eastAsia="en-US"/>
              </w:rPr>
              <w:t xml:space="preserve">前面板预留1个专用USB母座接口</w:t>
            </w:r>
            <w:r>
              <w:rPr>
                <w:rFonts w:hint="eastAsia" w:ascii="宋体" w:hAnsi="宋体" w:eastAsia="宋体" w:cs="宋体"/>
                <w:i/>
                <w:iCs/>
                <w:spacing w:val="-5"/>
                <w:sz w:val="24"/>
                <w:szCs w:val="24"/>
                <w:u w:val="single"/>
                <w:lang w:eastAsia="en-US"/>
              </w:rPr>
              <w:t xml:space="preserve">孔位</w:t>
            </w:r>
            <w:r/>
          </w:p>
        </w:tc>
      </w:tr>
      <w:tr>
        <w:trPr>
          <w:trHeight w:val="744"/>
        </w:trPr>
        <w:tc>
          <w:tcPr>
            <w:tcW w:w="719" w:type="dxa"/>
            <w:vAlign w:val="center"/>
            <w:textDirection w:val="lrTb"/>
            <w:noWrap w:val="false"/>
          </w:tcPr>
          <w:p>
            <w:pPr>
              <w:ind w:left="247"/>
              <w:spacing w:before="58"/>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30</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其他接口</w:t>
            </w:r>
            <w:r/>
          </w:p>
        </w:tc>
        <w:tc>
          <w:tcPr>
            <w:tcW w:w="5280" w:type="dxa"/>
            <w:vAlign w:val="center"/>
            <w:textDirection w:val="lrTb"/>
            <w:noWrap w:val="false"/>
          </w:tcPr>
          <w:p>
            <w:pPr>
              <w:ind w:left="113" w:right="103" w:firstLine="1"/>
              <w:spacing w:before="41"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6"/>
                <w:sz w:val="24"/>
                <w:szCs w:val="24"/>
                <w:u w:val="single"/>
                <w:lang w:eastAsia="en-US"/>
              </w:rPr>
              <w:t xml:space="preserve">a)串口数量不少于1个，并可实现</w:t>
            </w:r>
            <w:r>
              <w:rPr>
                <w:rFonts w:hint="eastAsia" w:ascii="宋体" w:hAnsi="宋体" w:eastAsia="宋体" w:cs="宋体"/>
                <w:i/>
                <w:iCs/>
                <w:spacing w:val="-2"/>
                <w:sz w:val="24"/>
                <w:szCs w:val="24"/>
                <w:u w:val="single"/>
                <w:lang w:eastAsia="en-US"/>
              </w:rPr>
              <w:t xml:space="preserve">GB/T 6107或GB/T 26803.2的相关</w:t>
            </w:r>
            <w:r>
              <w:rPr>
                <w:rFonts w:hint="eastAsia" w:ascii="宋体" w:hAnsi="宋体" w:eastAsia="宋体" w:cs="宋体"/>
                <w:i/>
                <w:iCs/>
                <w:spacing w:val="-3"/>
                <w:sz w:val="24"/>
                <w:szCs w:val="24"/>
                <w:u w:val="single"/>
                <w:lang w:eastAsia="en-US"/>
              </w:rPr>
              <w:t xml:space="preserve">功能；</w:t>
            </w:r>
            <w:r/>
          </w:p>
          <w:p>
            <w:pPr>
              <w:ind w:left="114" w:right="168"/>
              <w:spacing w:before="5"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服务器主机前面板可根据用户</w:t>
            </w:r>
            <w:r>
              <w:rPr>
                <w:rFonts w:hint="eastAsia" w:ascii="宋体" w:hAnsi="宋体" w:eastAsia="宋体" w:cs="宋体"/>
                <w:i/>
                <w:iCs/>
                <w:spacing w:val="-4"/>
                <w:sz w:val="24"/>
                <w:szCs w:val="24"/>
                <w:u w:val="single"/>
                <w:lang w:eastAsia="en-US"/>
              </w:rPr>
              <w:t xml:space="preserve">实际使用需求预留1个专用USB母</w:t>
            </w:r>
            <w:r>
              <w:rPr>
                <w:rFonts w:hint="eastAsia" w:ascii="宋体" w:hAnsi="宋体" w:eastAsia="宋体" w:cs="宋体"/>
                <w:i/>
                <w:iCs/>
                <w:spacing w:val="-2"/>
                <w:sz w:val="24"/>
                <w:szCs w:val="24"/>
                <w:u w:val="single"/>
                <w:lang w:eastAsia="en-US"/>
              </w:rPr>
              <w:t xml:space="preserve">座接口孔位</w:t>
            </w:r>
            <w:r/>
          </w:p>
        </w:tc>
      </w:tr>
      <w:tr>
        <w:trPr>
          <w:trHeight w:val="347"/>
        </w:trPr>
        <w:tc>
          <w:tcPr>
            <w:tcW w:w="719" w:type="dxa"/>
            <w:vAlign w:val="center"/>
            <w:textDirection w:val="lrTb"/>
            <w:noWrap w:val="false"/>
          </w:tcPr>
          <w:p>
            <w:pPr>
              <w:ind w:left="247"/>
              <w:spacing w:before="58"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31</w:t>
            </w:r>
            <w:r/>
          </w:p>
        </w:tc>
        <w:tc>
          <w:tcPr>
            <w:tcBorders>
              <w:bottom w:val="none" w:color="000000" w:sz="4" w:space="0"/>
            </w:tcBorders>
            <w:tcW w:w="1153" w:type="dxa"/>
            <w:vAlign w:val="center"/>
            <w:vMerge w:val="restart"/>
            <w:textDirection w:val="lrTb"/>
            <w:noWrap w:val="false"/>
          </w:tcPr>
          <w:p>
            <w:pPr>
              <w:ind w:right="141"/>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电源</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电源冗余模式</w:t>
            </w:r>
            <w:r/>
          </w:p>
        </w:tc>
        <w:tc>
          <w:tcPr>
            <w:tcW w:w="5280" w:type="dxa"/>
            <w:vAlign w:val="center"/>
            <w:textDirection w:val="lrTb"/>
            <w:noWrap w:val="false"/>
          </w:tcPr>
          <w:p>
            <w:pPr>
              <w:ind w:left="115" w:right="168" w:hanging="3"/>
              <w:spacing w:before="58"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整机电源模块按1+1冗余或N+1冗</w:t>
            </w:r>
            <w:r>
              <w:rPr>
                <w:rFonts w:hint="eastAsia" w:ascii="宋体" w:hAnsi="宋体" w:eastAsia="宋体" w:cs="宋体"/>
                <w:i/>
                <w:iCs/>
                <w:spacing w:val="-4"/>
                <w:sz w:val="24"/>
                <w:szCs w:val="24"/>
                <w:u w:val="single"/>
                <w:lang w:eastAsia="en-US"/>
              </w:rPr>
              <w:t xml:space="preserve">余配置</w:t>
            </w:r>
            <w:r/>
          </w:p>
        </w:tc>
      </w:tr>
      <w:tr>
        <w:trPr>
          <w:trHeight w:val="965"/>
        </w:trPr>
        <w:tc>
          <w:tcPr>
            <w:tcW w:w="719" w:type="dxa"/>
            <w:vAlign w:val="center"/>
            <w:textDirection w:val="lrTb"/>
            <w:noWrap w:val="false"/>
          </w:tcPr>
          <w:p>
            <w:pPr>
              <w:ind w:left="247"/>
              <w:spacing w:before="59"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电源模块数量</w:t>
            </w:r>
            <w:r/>
          </w:p>
        </w:tc>
        <w:tc>
          <w:tcPr>
            <w:tcW w:w="5280" w:type="dxa"/>
            <w:vAlign w:val="center"/>
            <w:textDirection w:val="lrTb"/>
            <w:noWrap w:val="false"/>
          </w:tcPr>
          <w:p>
            <w:pPr>
              <w:spacing w:line="341"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31"/>
              <w:spacing w:before="58"/>
              <w:rPr>
                <w:rFonts w:hint="default" w:ascii="宋体" w:hAnsi="宋体" w:eastAsia="宋体" w:cs="宋体"/>
                <w:i/>
                <w:iCs/>
                <w:sz w:val="24"/>
                <w:szCs w:val="24"/>
                <w:u w:val="single"/>
                <w:lang w:eastAsia="en-US"/>
              </w:rPr>
            </w:pPr>
            <w:r>
              <w:rPr>
                <w:rFonts w:hint="eastAsia" w:ascii="宋体" w:hAnsi="宋体" w:eastAsia="宋体" w:cs="宋体"/>
                <w:i/>
                <w:iCs/>
                <w:spacing w:val="-13"/>
                <w:sz w:val="24"/>
                <w:szCs w:val="24"/>
                <w:u w:val="single"/>
                <w:lang w:eastAsia="en-US"/>
              </w:rPr>
              <w:t xml:space="preserve">≥1</w:t>
            </w:r>
            <w:r/>
          </w:p>
        </w:tc>
      </w:tr>
      <w:tr>
        <w:trPr>
          <w:trHeight w:val="1684"/>
        </w:trPr>
        <w:tc>
          <w:tcPr>
            <w:tcW w:w="719" w:type="dxa"/>
            <w:vAlign w:val="center"/>
            <w:textDirection w:val="lrTb"/>
            <w:noWrap w:val="false"/>
          </w:tcPr>
          <w:p>
            <w:pPr>
              <w:jc w:val="center"/>
              <w:spacing w:before="58"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before="58" w:line="221"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电源功率</w:t>
            </w:r>
            <w:r/>
          </w:p>
        </w:tc>
        <w:tc>
          <w:tcPr>
            <w:tcW w:w="5280" w:type="dxa"/>
            <w:vAlign w:val="center"/>
            <w:textDirection w:val="lrTb"/>
            <w:noWrap w:val="false"/>
          </w:tcPr>
          <w:p>
            <w:pPr>
              <w:ind w:right="168"/>
              <w:spacing w:before="58"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电源模块功率应有一定冗余，满足</w:t>
            </w:r>
            <w:r>
              <w:rPr>
                <w:rFonts w:hint="eastAsia" w:ascii="宋体" w:hAnsi="宋体" w:eastAsia="宋体" w:cs="宋体"/>
                <w:i/>
                <w:iCs/>
                <w:spacing w:val="-1"/>
                <w:sz w:val="24"/>
                <w:szCs w:val="24"/>
                <w:u w:val="single"/>
                <w:lang w:eastAsia="en-US"/>
              </w:rPr>
              <w:t xml:space="preserve">处理器满载时的需求</w:t>
            </w:r>
            <w:r/>
          </w:p>
        </w:tc>
      </w:tr>
      <w:tr>
        <w:trPr>
          <w:trHeight w:val="725"/>
        </w:trPr>
        <w:tc>
          <w:tcPr>
            <w:tcW w:w="719" w:type="dxa"/>
            <w:vAlign w:val="center"/>
            <w:textDirection w:val="lrTb"/>
            <w:noWrap w:val="false"/>
          </w:tcPr>
          <w:p>
            <w:pPr>
              <w:ind w:left="247"/>
              <w:spacing w:before="274"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34</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电源指示灯</w:t>
            </w:r>
            <w:r/>
          </w:p>
        </w:tc>
        <w:tc>
          <w:tcPr>
            <w:tcW w:w="5280" w:type="dxa"/>
            <w:vAlign w:val="center"/>
            <w:textDirection w:val="lrTb"/>
            <w:noWrap w:val="false"/>
          </w:tcPr>
          <w:p>
            <w:pPr>
              <w:ind w:left="116" w:right="168" w:hanging="2"/>
              <w:spacing w:before="161"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配备电源指示灯，指示待机、工作</w:t>
            </w:r>
            <w:r>
              <w:rPr>
                <w:rFonts w:hint="eastAsia" w:ascii="宋体" w:hAnsi="宋体" w:eastAsia="宋体" w:cs="宋体"/>
                <w:i/>
                <w:iCs/>
                <w:spacing w:val="-3"/>
                <w:sz w:val="24"/>
                <w:szCs w:val="24"/>
                <w:u w:val="single"/>
                <w:lang w:eastAsia="en-US"/>
              </w:rPr>
              <w:t xml:space="preserve">异常等状态</w:t>
            </w:r>
            <w:r/>
          </w:p>
        </w:tc>
      </w:tr>
      <w:tr>
        <w:trPr>
          <w:trHeight w:val="4571"/>
        </w:trPr>
        <w:tc>
          <w:tcPr>
            <w:tcW w:w="719" w:type="dxa"/>
            <w:vAlign w:val="center"/>
            <w:textDirection w:val="lrTb"/>
            <w:noWrap w:val="false"/>
          </w:tcPr>
          <w:p>
            <w:pPr>
              <w:jc w:val="center"/>
              <w:spacing w:before="59"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35</w:t>
            </w:r>
            <w:r/>
          </w:p>
        </w:tc>
        <w:tc>
          <w:tcPr>
            <w:tcW w:w="1153" w:type="dxa"/>
            <w:vAlign w:val="center"/>
            <w:textDirection w:val="lrTb"/>
            <w:noWrap w:val="false"/>
          </w:tcPr>
          <w:p>
            <w:pPr>
              <w:ind w:right="141"/>
              <w:jc w:val="center"/>
              <w:spacing w:before="58"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整机</w:t>
            </w:r>
            <w:r>
              <w:rPr>
                <w:rFonts w:hint="eastAsia" w:ascii="宋体" w:hAnsi="宋体" w:eastAsia="宋体" w:cs="宋体"/>
                <w:spacing w:val="-3"/>
                <w:sz w:val="24"/>
                <w:szCs w:val="24"/>
                <w:lang w:eastAsia="en-US"/>
              </w:rPr>
              <w:t xml:space="preserve">规格</w:t>
            </w:r>
            <w:r/>
          </w:p>
        </w:tc>
        <w:tc>
          <w:tcPr>
            <w:tcW w:w="996" w:type="dxa"/>
            <w:vAlign w:val="center"/>
            <w:textDirection w:val="lrTb"/>
            <w:noWrap w:val="false"/>
          </w:tcPr>
          <w:p>
            <w:pPr>
              <w:ind w:right="123"/>
              <w:jc w:val="center"/>
              <w:spacing w:before="58" w:line="250"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外观和结构</w:t>
            </w:r>
            <w:r/>
          </w:p>
        </w:tc>
        <w:tc>
          <w:tcPr>
            <w:tcW w:w="5280" w:type="dxa"/>
            <w:vAlign w:val="center"/>
            <w:textDirection w:val="lrTb"/>
            <w:noWrap w:val="false"/>
          </w:tcPr>
          <w:p>
            <w:pPr>
              <w:ind w:left="112" w:right="168" w:firstLine="2"/>
              <w:spacing w:before="40"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a)服务器的零部件应紧固无松动，可插拔部件应可靠连接，开关、按钮和其它控制部件应灵活可靠，布局应方便使用；</w:t>
            </w:r>
            <w:r/>
          </w:p>
          <w:p>
            <w:pPr>
              <w:ind w:left="112" w:right="103" w:firstLine="2"/>
              <w:spacing w:before="5"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b) 产品表面不应有明显的凹痕、划</w:t>
            </w:r>
            <w:r>
              <w:rPr>
                <w:rFonts w:hint="eastAsia" w:ascii="宋体" w:hAnsi="宋体" w:eastAsia="宋体" w:cs="宋体"/>
                <w:i/>
                <w:iCs/>
                <w:spacing w:val="-1"/>
                <w:sz w:val="24"/>
                <w:szCs w:val="24"/>
                <w:u w:val="single"/>
                <w:lang w:eastAsia="en-US"/>
              </w:rPr>
              <w:t xml:space="preserve">伤、裂缝、变形和污染等。表面涂层均匀，不应起泡、龟裂、脱落和磨损，金属零部件无锈蚀及其它机</w:t>
            </w:r>
            <w:r>
              <w:rPr>
                <w:rFonts w:hint="eastAsia" w:ascii="宋体" w:hAnsi="宋体" w:eastAsia="宋体" w:cs="宋体"/>
                <w:i/>
                <w:iCs/>
                <w:spacing w:val="-2"/>
                <w:sz w:val="24"/>
                <w:szCs w:val="24"/>
                <w:u w:val="single"/>
                <w:lang w:eastAsia="en-US"/>
              </w:rPr>
              <w:t xml:space="preserve">械损伤；</w:t>
            </w:r>
            <w:r/>
          </w:p>
          <w:p>
            <w:pPr>
              <w:ind w:left="114" w:right="103" w:hanging="1"/>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c) 产品表面说明功能的文字、符号</w:t>
            </w:r>
            <w:r>
              <w:rPr>
                <w:rFonts w:hint="eastAsia" w:ascii="宋体" w:hAnsi="宋体" w:eastAsia="宋体" w:cs="宋体"/>
                <w:i/>
                <w:iCs/>
                <w:spacing w:val="-1"/>
                <w:sz w:val="24"/>
                <w:szCs w:val="24"/>
                <w:u w:val="single"/>
                <w:lang w:eastAsia="en-US"/>
              </w:rPr>
              <w:t xml:space="preserve">和标志应清晰、端正且牢固；</w:t>
            </w:r>
            <w:r/>
          </w:p>
          <w:p>
            <w:pPr>
              <w:ind w:left="113" w:right="168"/>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d) 应在服务器的显著位置提供运行状态的指示功能，并在随机文件中明确具体含义；</w:t>
            </w:r>
            <w:r/>
          </w:p>
          <w:p>
            <w:pPr>
              <w:ind w:left="110" w:right="57" w:firstLine="3"/>
              <w:spacing w:before="6"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e) 机架、机箱的尺寸应符合通用机</w:t>
            </w:r>
            <w:r>
              <w:rPr>
                <w:rFonts w:hint="eastAsia" w:ascii="宋体" w:hAnsi="宋体" w:eastAsia="宋体" w:cs="宋体"/>
                <w:i/>
                <w:iCs/>
                <w:spacing w:val="-1"/>
                <w:sz w:val="24"/>
                <w:szCs w:val="24"/>
                <w:u w:val="single"/>
                <w:lang w:eastAsia="en-US"/>
              </w:rPr>
              <w:t xml:space="preserve">柜的安装要求，插入总线插座的电路板接口外形尺寸应符合有关总线</w:t>
            </w:r>
            <w:r>
              <w:rPr>
                <w:rFonts w:hint="eastAsia" w:ascii="宋体" w:hAnsi="宋体" w:eastAsia="宋体" w:cs="宋体"/>
                <w:i/>
                <w:iCs/>
                <w:spacing w:val="-5"/>
                <w:sz w:val="24"/>
                <w:szCs w:val="24"/>
                <w:u w:val="single"/>
                <w:lang w:eastAsia="en-US"/>
              </w:rPr>
              <w:t xml:space="preserve">标准的规定，将机箱固定在机柜上，</w:t>
            </w:r>
            <w:r>
              <w:rPr>
                <w:rFonts w:hint="eastAsia" w:ascii="宋体" w:hAnsi="宋体" w:eastAsia="宋体" w:cs="宋体"/>
                <w:i/>
                <w:iCs/>
                <w:spacing w:val="-1"/>
                <w:sz w:val="24"/>
                <w:szCs w:val="24"/>
                <w:u w:val="single"/>
                <w:lang w:eastAsia="en-US"/>
              </w:rPr>
              <w:t xml:space="preserve">机箱底面最大下垂变形不得干涉相邻机体；</w:t>
            </w:r>
            <w:r/>
          </w:p>
          <w:p>
            <w:pPr>
              <w:ind w:left="110" w:right="57" w:firstLine="3"/>
              <w:spacing w:before="6" w:line="245" w:lineRule="auto"/>
              <w:rPr>
                <w:rFonts w:hint="default" w:ascii="宋体" w:hAnsi="宋体" w:eastAsia="宋体" w:cs="宋体"/>
                <w:i/>
                <w:iCs/>
                <w:spacing w:val="-2"/>
                <w:sz w:val="24"/>
                <w:szCs w:val="24"/>
                <w:u w:val="single"/>
                <w:lang w:eastAsia="en-US"/>
              </w:rPr>
            </w:pPr>
            <w:r>
              <w:rPr>
                <w:rFonts w:hint="eastAsia" w:ascii="宋体" w:hAnsi="宋体" w:eastAsia="宋体" w:cs="宋体"/>
                <w:i/>
                <w:iCs/>
                <w:spacing w:val="-2"/>
                <w:sz w:val="24"/>
                <w:szCs w:val="24"/>
                <w:u w:val="single"/>
              </w:rPr>
              <w:t xml:space="preserve">f) 高密度服务器应给出 CPU 个数与</w:t>
            </w:r>
            <w:r>
              <w:rPr>
                <w:rFonts w:hint="eastAsia" w:ascii="宋体" w:hAnsi="宋体" w:eastAsia="宋体" w:cs="宋体"/>
                <w:i/>
                <w:iCs/>
                <w:spacing w:val="-2"/>
                <w:sz w:val="24"/>
                <w:szCs w:val="24"/>
                <w:u w:val="single"/>
                <w:lang w:eastAsia="en-US"/>
              </w:rPr>
              <w:t xml:space="preserve">机柜高度；</w:t>
            </w:r>
            <w:r/>
          </w:p>
          <w:p>
            <w:pPr>
              <w:ind w:left="110" w:right="57" w:firstLine="3"/>
              <w:spacing w:before="6" w:line="245" w:lineRule="auto"/>
              <w:rPr>
                <w:rFonts w:hint="default" w:ascii="宋体" w:hAnsi="宋体" w:eastAsia="宋体" w:cs="宋体"/>
                <w:i/>
                <w:iCs/>
                <w:spacing w:val="-2"/>
                <w:sz w:val="24"/>
                <w:szCs w:val="24"/>
                <w:u w:val="single"/>
                <w:lang w:eastAsia="en-US"/>
              </w:rPr>
            </w:pPr>
            <w:r>
              <w:rPr>
                <w:rFonts w:hint="eastAsia" w:ascii="宋体" w:hAnsi="宋体" w:eastAsia="宋体" w:cs="宋体"/>
                <w:i/>
                <w:iCs/>
                <w:spacing w:val="-2"/>
                <w:sz w:val="24"/>
                <w:szCs w:val="24"/>
                <w:u w:val="single"/>
                <w:lang w:eastAsia="en-US"/>
              </w:rPr>
              <w:t xml:space="preserve">g) 服务器尺寸具体要求在随机文件中明确</w:t>
            </w:r>
            <w:r/>
          </w:p>
          <w:p>
            <w:pPr>
              <w:spacing w:before="5" w:line="200" w:lineRule="auto"/>
              <w:rPr>
                <w:rFonts w:hint="default" w:ascii="宋体" w:hAnsi="宋体" w:eastAsia="宋体" w:cs="宋体"/>
                <w:i/>
                <w:iCs/>
                <w:sz w:val="24"/>
                <w:szCs w:val="24"/>
                <w:u w:val="single"/>
                <w:lang w:eastAsia="en-US"/>
              </w:rPr>
            </w:pPr>
            <w:r>
              <w:rPr>
                <w:rFonts w:hint="default" w:ascii="宋体" w:hAnsi="宋体" w:eastAsia="宋体" w:cs="宋体"/>
                <w:i/>
                <w:iCs/>
                <w:sz w:val="24"/>
                <w:szCs w:val="24"/>
                <w:u w:val="single"/>
                <w:lang w:eastAsia="en-US"/>
              </w:rPr>
            </w:r>
            <w:r/>
          </w:p>
        </w:tc>
      </w:tr>
      <w:tr>
        <w:trPr>
          <w:trHeight w:val="964"/>
        </w:trPr>
        <w:tc>
          <w:tcPr>
            <w:tcW w:w="719" w:type="dxa"/>
            <w:vAlign w:val="center"/>
            <w:textDirection w:val="lrTb"/>
            <w:noWrap w:val="false"/>
          </w:tcPr>
          <w:p>
            <w:pPr>
              <w:ind w:left="247"/>
              <w:spacing w:before="58"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36</w:t>
            </w:r>
            <w:r/>
          </w:p>
        </w:tc>
        <w:tc>
          <w:tcPr>
            <w:tcBorders>
              <w:top w:val="none" w:color="000000" w:sz="4" w:space="0"/>
            </w:tcBorders>
            <w:tcW w:w="1153" w:type="dxa"/>
            <w:vAlign w:val="center"/>
            <w:vMerge w:val="restart"/>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尺寸（高×宽×深）</w:t>
            </w:r>
            <w:r/>
          </w:p>
        </w:tc>
        <w:tc>
          <w:tcPr>
            <w:tcW w:w="5280" w:type="dxa"/>
            <w:vAlign w:val="center"/>
            <w:textDirection w:val="lrTb"/>
            <w:noWrap w:val="false"/>
          </w:tcPr>
          <w:p>
            <w:pPr>
              <w:ind w:left="110" w:right="57" w:firstLine="3"/>
              <w:spacing w:before="6" w:line="245" w:lineRule="auto"/>
              <w:rPr>
                <w:rFonts w:hint="default" w:ascii="宋体" w:hAnsi="宋体" w:eastAsia="宋体" w:cs="宋体"/>
                <w:i/>
                <w:iCs/>
                <w:spacing w:val="-1"/>
                <w:sz w:val="24"/>
                <w:szCs w:val="24"/>
                <w:u w:val="single"/>
              </w:rPr>
            </w:pPr>
            <w:r>
              <w:rPr>
                <w:rFonts w:hint="eastAsia" w:ascii="宋体" w:hAnsi="宋体" w:eastAsia="宋体" w:cs="宋体"/>
                <w:i/>
                <w:iCs/>
                <w:spacing w:val="-1"/>
                <w:sz w:val="24"/>
                <w:szCs w:val="24"/>
                <w:u w:val="single"/>
              </w:rPr>
              <w:t xml:space="preserve">2U标准尺寸</w:t>
            </w:r>
            <w:r/>
          </w:p>
          <w:p>
            <w:pPr>
              <w:ind w:left="110" w:right="57" w:firstLine="3"/>
              <w:spacing w:before="6"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设计应遵循标准化、系列化的要求；机箱的内部结构符合通用部件的安</w:t>
            </w:r>
            <w:r>
              <w:rPr>
                <w:rFonts w:hint="eastAsia" w:ascii="宋体" w:hAnsi="宋体" w:eastAsia="宋体" w:cs="宋体"/>
                <w:i/>
                <w:iCs/>
                <w:spacing w:val="-2"/>
                <w:sz w:val="24"/>
                <w:szCs w:val="24"/>
                <w:u w:val="single"/>
                <w:lang w:eastAsia="en-US"/>
              </w:rPr>
              <w:t xml:space="preserve">装需要</w:t>
            </w:r>
            <w:r/>
          </w:p>
        </w:tc>
      </w:tr>
      <w:tr>
        <w:trPr>
          <w:trHeight w:val="485"/>
        </w:trPr>
        <w:tc>
          <w:tcPr>
            <w:tcW w:w="719" w:type="dxa"/>
            <w:vAlign w:val="center"/>
            <w:textDirection w:val="lrTb"/>
            <w:noWrap w:val="false"/>
          </w:tcPr>
          <w:p>
            <w:pPr>
              <w:ind w:left="247"/>
              <w:spacing w:before="153" w:line="238"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服务器导轨</w:t>
            </w:r>
            <w:r/>
          </w:p>
        </w:tc>
        <w:tc>
          <w:tcPr>
            <w:tcW w:w="5280" w:type="dxa"/>
            <w:vAlign w:val="center"/>
            <w:textDirection w:val="lrTb"/>
            <w:noWrap w:val="false"/>
          </w:tcPr>
          <w:p>
            <w:pPr>
              <w:ind w:left="113" w:right="168"/>
              <w:spacing w:before="4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19英寸标准，</w:t>
            </w:r>
            <w:r>
              <w:rPr>
                <w:rFonts w:hint="eastAsia" w:ascii="宋体" w:hAnsi="宋体" w:eastAsia="宋体" w:cs="宋体"/>
                <w:i/>
                <w:iCs/>
                <w:spacing w:val="-1"/>
                <w:sz w:val="24"/>
                <w:szCs w:val="24"/>
                <w:u w:val="single"/>
              </w:rPr>
              <w:t xml:space="preserve">L型固定支架安装</w:t>
            </w:r>
            <w:r/>
          </w:p>
        </w:tc>
      </w:tr>
      <w:tr>
        <w:trPr>
          <w:trHeight w:val="964"/>
        </w:trPr>
        <w:tc>
          <w:tcPr>
            <w:tcW w:w="719" w:type="dxa"/>
            <w:vAlign w:val="center"/>
            <w:textDirection w:val="lrTb"/>
            <w:noWrap w:val="false"/>
          </w:tcPr>
          <w:p>
            <w:pPr>
              <w:ind w:left="247"/>
              <w:spacing w:before="58"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CPU 个数与机柜高度单位(U)比</w:t>
            </w:r>
            <w:r/>
          </w:p>
        </w:tc>
        <w:tc>
          <w:tcPr>
            <w:tcW w:w="5280" w:type="dxa"/>
            <w:vAlign w:val="center"/>
            <w:textDirection w:val="lrTb"/>
            <w:noWrap w:val="false"/>
          </w:tcPr>
          <w:p>
            <w:pPr>
              <w:spacing w:line="339"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13"/>
              <w:spacing w:before="59" w:line="222" w:lineRule="auto"/>
              <w:rPr>
                <w:rFonts w:hint="default" w:ascii="宋体" w:hAnsi="宋体" w:eastAsia="宋体" w:cs="宋体"/>
                <w:i/>
                <w:iCs/>
                <w:sz w:val="24"/>
                <w:szCs w:val="24"/>
                <w:u w:val="single"/>
              </w:rPr>
            </w:pPr>
            <w:r>
              <w:rPr>
                <w:rFonts w:hint="eastAsia" w:ascii="宋体" w:hAnsi="宋体" w:eastAsia="宋体" w:cs="宋体"/>
                <w:i/>
                <w:iCs/>
                <w:spacing w:val="2"/>
                <w:sz w:val="24"/>
                <w:szCs w:val="24"/>
                <w:u w:val="single"/>
              </w:rPr>
              <w:t xml:space="preserve">1*</w:t>
            </w:r>
            <w:r>
              <w:rPr>
                <w:rFonts w:hint="eastAsia" w:ascii="宋体" w:hAnsi="宋体" w:eastAsia="宋体" w:cs="宋体"/>
                <w:i/>
                <w:iCs/>
                <w:sz w:val="24"/>
                <w:szCs w:val="24"/>
                <w:u w:val="single"/>
                <w:lang w:eastAsia="en-US"/>
              </w:rPr>
              <w:t xml:space="preserve">CPU</w:t>
            </w:r>
            <w:r>
              <w:rPr>
                <w:rFonts w:hint="eastAsia" w:ascii="宋体" w:hAnsi="宋体" w:eastAsia="宋体" w:cs="宋体"/>
                <w:i/>
                <w:iCs/>
                <w:spacing w:val="2"/>
                <w:sz w:val="24"/>
                <w:szCs w:val="24"/>
                <w:u w:val="single"/>
                <w:lang w:eastAsia="en-US"/>
              </w:rPr>
              <w:t xml:space="preserve">个数与机柜高度</w:t>
            </w:r>
            <w:r>
              <w:rPr>
                <w:rFonts w:hint="eastAsia" w:ascii="宋体" w:hAnsi="宋体" w:eastAsia="宋体" w:cs="宋体"/>
                <w:i/>
                <w:iCs/>
                <w:spacing w:val="2"/>
                <w:sz w:val="24"/>
                <w:szCs w:val="24"/>
                <w:u w:val="single"/>
              </w:rPr>
              <w:t xml:space="preserve">（42U）</w:t>
            </w:r>
            <w:r/>
          </w:p>
        </w:tc>
      </w:tr>
      <w:tr>
        <w:trPr>
          <w:trHeight w:val="1444"/>
        </w:trPr>
        <w:tc>
          <w:tcPr>
            <w:tcW w:w="719" w:type="dxa"/>
            <w:vAlign w:val="center"/>
            <w:textDirection w:val="lrTb"/>
            <w:noWrap w:val="false"/>
          </w:tcPr>
          <w:p>
            <w:pPr>
              <w:ind w:left="247"/>
              <w:spacing w:before="58"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39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left="110" w:right="123" w:hanging="3"/>
              <w:jc w:val="center"/>
              <w:spacing w:before="59"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环境适应性</w:t>
            </w:r>
            <w:r/>
          </w:p>
        </w:tc>
        <w:tc>
          <w:tcPr>
            <w:tcW w:w="5280" w:type="dxa"/>
            <w:vAlign w:val="center"/>
            <w:textDirection w:val="lrTb"/>
            <w:noWrap w:val="false"/>
          </w:tcPr>
          <w:p>
            <w:pPr>
              <w:ind w:left="117"/>
              <w:spacing w:before="40"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气候环境适应性应符合</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2"/>
                <w:sz w:val="24"/>
                <w:szCs w:val="24"/>
                <w:u w:val="single"/>
                <w:lang w:eastAsia="en-US"/>
              </w:rPr>
              <w:t xml:space="preserve">/T</w:t>
            </w:r>
            <w:r/>
          </w:p>
          <w:p>
            <w:pPr>
              <w:ind w:left="110" w:right="103" w:hanging="2"/>
              <w:spacing w:before="26"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9813.3的有关规定，工作温度10~</w:t>
            </w:r>
            <w:r>
              <w:rPr>
                <w:rFonts w:hint="eastAsia" w:ascii="宋体" w:hAnsi="宋体" w:eastAsia="宋体" w:cs="宋体"/>
                <w:i/>
                <w:iCs/>
                <w:spacing w:val="-5"/>
                <w:sz w:val="24"/>
                <w:szCs w:val="24"/>
                <w:u w:val="single"/>
                <w:lang w:eastAsia="en-US"/>
              </w:rPr>
              <w:t xml:space="preserve">35℃,贮存运输温度-40～55℃；工</w:t>
            </w:r>
            <w:r>
              <w:rPr>
                <w:rFonts w:hint="eastAsia" w:ascii="宋体" w:hAnsi="宋体" w:eastAsia="宋体" w:cs="宋体"/>
                <w:i/>
                <w:iCs/>
                <w:spacing w:val="2"/>
                <w:sz w:val="24"/>
                <w:szCs w:val="24"/>
                <w:u w:val="single"/>
                <w:lang w:eastAsia="en-US"/>
              </w:rPr>
              <w:t xml:space="preserve">作相对湿度35%～80%，贮存运输相</w:t>
            </w:r>
            <w:r>
              <w:rPr>
                <w:rFonts w:hint="eastAsia" w:ascii="宋体" w:hAnsi="宋体" w:eastAsia="宋体" w:cs="宋体"/>
                <w:i/>
                <w:iCs/>
                <w:spacing w:val="-4"/>
                <w:sz w:val="24"/>
                <w:szCs w:val="24"/>
                <w:u w:val="single"/>
                <w:lang w:eastAsia="en-US"/>
              </w:rPr>
              <w:t xml:space="preserve">对湿度20％～93%（40℃) ；大气压</w:t>
            </w:r>
            <w:r>
              <w:rPr>
                <w:rFonts w:hint="eastAsia" w:ascii="宋体" w:hAnsi="宋体" w:eastAsia="宋体" w:cs="宋体"/>
                <w:i/>
                <w:iCs/>
                <w:spacing w:val="-1"/>
                <w:sz w:val="24"/>
                <w:szCs w:val="24"/>
                <w:u w:val="single"/>
                <w:lang w:eastAsia="en-US"/>
              </w:rPr>
              <w:t xml:space="preserve">86～106kPa</w:t>
            </w:r>
            <w:r/>
          </w:p>
        </w:tc>
      </w:tr>
      <w:tr>
        <w:trPr>
          <w:trHeight w:val="965"/>
        </w:trPr>
        <w:tc>
          <w:tcPr>
            <w:tcW w:w="719" w:type="dxa"/>
            <w:vAlign w:val="center"/>
            <w:textDirection w:val="lrTb"/>
            <w:noWrap w:val="false"/>
          </w:tcPr>
          <w:p>
            <w:pPr>
              <w:ind w:left="242"/>
              <w:spacing w:before="59"/>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40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特殊机型</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环境适应性</w:t>
            </w:r>
            <w:r/>
          </w:p>
        </w:tc>
        <w:tc>
          <w:tcPr>
            <w:tcW w:w="5280" w:type="dxa"/>
            <w:vAlign w:val="center"/>
            <w:textDirection w:val="lrTb"/>
            <w:noWrap w:val="false"/>
          </w:tcPr>
          <w:p>
            <w:pPr>
              <w:ind w:left="113" w:right="103"/>
              <w:spacing w:before="42" w:line="23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边缘应用服务器，工作环境温度宜</w:t>
            </w:r>
            <w:r>
              <w:rPr>
                <w:rFonts w:hint="eastAsia" w:ascii="宋体" w:hAnsi="宋体" w:eastAsia="宋体" w:cs="宋体"/>
                <w:i/>
                <w:iCs/>
                <w:spacing w:val="-5"/>
                <w:sz w:val="24"/>
                <w:szCs w:val="24"/>
                <w:u w:val="single"/>
                <w:lang w:eastAsia="en-US"/>
              </w:rPr>
              <w:t xml:space="preserve">为0～45℃,短期工作可承受环境温度宜为-5～55℃,液冷服务器贮存</w:t>
            </w:r>
            <w:r>
              <w:rPr>
                <w:rFonts w:hint="eastAsia" w:ascii="宋体" w:hAnsi="宋体" w:eastAsia="宋体" w:cs="宋体"/>
                <w:i/>
                <w:iCs/>
                <w:spacing w:val="-1"/>
                <w:sz w:val="24"/>
                <w:szCs w:val="24"/>
                <w:u w:val="single"/>
                <w:lang w:eastAsia="en-US"/>
              </w:rPr>
              <w:t xml:space="preserve">运输温度宜为-30～55℃</w:t>
            </w:r>
            <w:r/>
          </w:p>
        </w:tc>
      </w:tr>
      <w:tr>
        <w:trPr>
          <w:trHeight w:val="485"/>
        </w:trPr>
        <w:tc>
          <w:tcPr>
            <w:tcW w:w="719" w:type="dxa"/>
            <w:vAlign w:val="center"/>
            <w:textDirection w:val="lrTb"/>
            <w:noWrap w:val="false"/>
          </w:tcPr>
          <w:p>
            <w:pPr>
              <w:ind w:left="242"/>
              <w:spacing w:before="154" w:line="239"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机械环境适应性</w:t>
            </w:r>
            <w:r/>
          </w:p>
        </w:tc>
        <w:tc>
          <w:tcPr>
            <w:tcW w:w="5280" w:type="dxa"/>
            <w:vAlign w:val="center"/>
            <w:textDirection w:val="lrTb"/>
            <w:noWrap w:val="false"/>
          </w:tcPr>
          <w:p>
            <w:pPr>
              <w:ind w:left="108" w:right="666" w:firstLine="3"/>
              <w:spacing w:before="4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机械环境适应性应符合</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3"/>
                <w:sz w:val="24"/>
                <w:szCs w:val="24"/>
                <w:u w:val="single"/>
                <w:lang w:eastAsia="en-US"/>
              </w:rPr>
              <w:t xml:space="preserve">/T</w:t>
            </w:r>
            <w:r>
              <w:rPr>
                <w:rFonts w:hint="eastAsia" w:ascii="宋体" w:hAnsi="宋体" w:eastAsia="宋体" w:cs="宋体"/>
                <w:i/>
                <w:iCs/>
                <w:spacing w:val="-2"/>
                <w:sz w:val="24"/>
                <w:szCs w:val="24"/>
                <w:u w:val="single"/>
                <w:lang w:eastAsia="en-US"/>
              </w:rPr>
              <w:t xml:space="preserve">9813.3的有关规定</w:t>
            </w:r>
            <w:r/>
          </w:p>
        </w:tc>
      </w:tr>
      <w:tr>
        <w:trPr>
          <w:trHeight w:val="965"/>
        </w:trPr>
        <w:tc>
          <w:tcPr>
            <w:tcW w:w="719" w:type="dxa"/>
            <w:vAlign w:val="center"/>
            <w:textDirection w:val="lrTb"/>
            <w:noWrap w:val="false"/>
          </w:tcPr>
          <w:p>
            <w:pPr>
              <w:jc w:val="center"/>
              <w:spacing w:before="59" w:line="239"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42</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噪声</w:t>
            </w:r>
            <w:r/>
          </w:p>
        </w:tc>
        <w:tc>
          <w:tcPr>
            <w:tcW w:w="5280" w:type="dxa"/>
            <w:vAlign w:val="center"/>
            <w:textDirection w:val="lrTb"/>
            <w:noWrap w:val="false"/>
          </w:tcPr>
          <w:p>
            <w:pPr>
              <w:ind w:left="112" w:right="168"/>
              <w:spacing w:before="41" w:line="246"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符合GB/T 9813.3的有关规定，在</w:t>
            </w:r>
            <w:r>
              <w:rPr>
                <w:rFonts w:hint="eastAsia" w:ascii="宋体" w:hAnsi="宋体" w:eastAsia="宋体" w:cs="宋体"/>
                <w:i/>
                <w:iCs/>
                <w:spacing w:val="-1"/>
                <w:sz w:val="24"/>
                <w:szCs w:val="24"/>
                <w:u w:val="single"/>
                <w:lang w:eastAsia="en-US"/>
              </w:rPr>
              <w:t xml:space="preserve">产品说明中给出具体测试值</w:t>
            </w:r>
            <w:r/>
          </w:p>
          <w:p>
            <w:pPr>
              <w:ind w:left="114" w:right="168" w:hanging="1"/>
              <w:spacing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塔式服务器噪声在空闲状态下不大</w:t>
            </w:r>
            <w:r>
              <w:rPr>
                <w:rFonts w:hint="eastAsia" w:ascii="宋体" w:hAnsi="宋体" w:eastAsia="宋体" w:cs="宋体"/>
                <w:i/>
                <w:iCs/>
                <w:spacing w:val="-3"/>
                <w:sz w:val="24"/>
                <w:szCs w:val="24"/>
                <w:u w:val="single"/>
                <w:lang w:eastAsia="en-US"/>
              </w:rPr>
              <w:t xml:space="preserve">于50dB</w:t>
            </w:r>
            <w:r/>
          </w:p>
        </w:tc>
      </w:tr>
      <w:tr>
        <w:trPr>
          <w:trHeight w:val="2404"/>
        </w:trPr>
        <w:tc>
          <w:tcPr>
            <w:tcW w:w="719" w:type="dxa"/>
            <w:vAlign w:val="center"/>
            <w:textDirection w:val="lrTb"/>
            <w:noWrap w:val="false"/>
          </w:tcPr>
          <w:p>
            <w:pPr>
              <w:jc w:val="center"/>
              <w:spacing w:before="58"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43</w:t>
            </w:r>
            <w:r/>
          </w:p>
        </w:tc>
        <w:tc>
          <w:tcPr>
            <w:tcBorders>
              <w:bottom w:val="none" w:color="000000" w:sz="4" w:space="0"/>
            </w:tcBorders>
            <w:tcW w:w="1153" w:type="dxa"/>
            <w:vAlign w:val="center"/>
            <w:vMerge w:val="restart"/>
            <w:textDirection w:val="lrTb"/>
            <w:noWrap w:val="false"/>
          </w:tcPr>
          <w:p>
            <w:pPr>
              <w:ind w:left="192"/>
              <w:jc w:val="center"/>
              <w:spacing w:before="23" w:line="223"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AI计</w:t>
            </w:r>
            <w:r>
              <w:rPr>
                <w:rFonts w:hint="eastAsia" w:ascii="宋体" w:hAnsi="宋体" w:eastAsia="宋体" w:cs="宋体"/>
                <w:spacing w:val="-4"/>
                <w:sz w:val="24"/>
                <w:szCs w:val="24"/>
                <w:lang w:eastAsia="en-US"/>
              </w:rPr>
              <w:t xml:space="preserve">算单</w:t>
            </w:r>
            <w:r>
              <w:rPr>
                <w:rFonts w:hint="eastAsia" w:ascii="宋体" w:hAnsi="宋体" w:eastAsia="宋体" w:cs="宋体"/>
                <w:spacing w:val="-6"/>
                <w:sz w:val="24"/>
                <w:szCs w:val="24"/>
                <w:lang w:eastAsia="en-US"/>
              </w:rPr>
              <w:t xml:space="preserve">元规</w:t>
            </w:r>
            <w:r>
              <w:rPr>
                <w:rFonts w:hint="eastAsia" w:ascii="宋体" w:hAnsi="宋体" w:eastAsia="宋体" w:cs="宋体"/>
                <w:sz w:val="24"/>
                <w:szCs w:val="24"/>
                <w:lang w:eastAsia="en-US"/>
              </w:rPr>
              <w:t xml:space="preserve">格</w:t>
            </w:r>
            <w:r/>
          </w:p>
        </w:tc>
        <w:tc>
          <w:tcPr>
            <w:tcW w:w="996" w:type="dxa"/>
            <w:vAlign w:val="center"/>
            <w:textDirection w:val="lrTb"/>
            <w:noWrap w:val="false"/>
          </w:tcPr>
          <w:p>
            <w:pPr>
              <w:ind w:right="168"/>
              <w:jc w:val="center"/>
              <w:spacing w:before="58" w:line="249"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AI 计算单元</w:t>
            </w:r>
            <w:r/>
          </w:p>
        </w:tc>
        <w:tc>
          <w:tcPr>
            <w:tcW w:w="5280" w:type="dxa"/>
            <w:vAlign w:val="center"/>
            <w:textDirection w:val="lrTb"/>
            <w:noWrap w:val="false"/>
          </w:tcPr>
          <w:p>
            <w:pPr>
              <w:ind w:left="114" w:right="259" w:hanging="1"/>
              <w:spacing w:before="43" w:line="246" w:lineRule="auto"/>
              <w:rPr>
                <w:rFonts w:hint="default" w:ascii="宋体" w:hAnsi="宋体" w:eastAsia="宋体" w:cs="宋体"/>
                <w:i/>
                <w:iCs/>
                <w:sz w:val="24"/>
                <w:szCs w:val="24"/>
                <w:u w:val="single"/>
                <w:lang w:eastAsia="en-US"/>
              </w:rPr>
            </w:pPr>
            <w:r>
              <w:rPr>
                <w:rFonts w:hint="eastAsia" w:ascii="宋体" w:hAnsi="宋体" w:eastAsia="宋体" w:cs="宋体"/>
                <w:i/>
                <w:iCs/>
                <w:spacing w:val="6"/>
                <w:sz w:val="24"/>
                <w:szCs w:val="24"/>
                <w:u w:val="single"/>
                <w:lang w:eastAsia="en-US"/>
              </w:rPr>
              <w:t xml:space="preserve">若配备</w:t>
            </w:r>
            <w:r>
              <w:rPr>
                <w:rFonts w:hint="eastAsia" w:ascii="宋体" w:hAnsi="宋体" w:eastAsia="宋体" w:cs="宋体"/>
                <w:i/>
                <w:iCs/>
                <w:sz w:val="24"/>
                <w:szCs w:val="24"/>
                <w:u w:val="single"/>
                <w:lang w:eastAsia="en-US"/>
              </w:rPr>
              <w:t xml:space="preserve">AI</w:t>
            </w:r>
            <w:r>
              <w:rPr>
                <w:rFonts w:hint="eastAsia" w:ascii="宋体" w:hAnsi="宋体" w:eastAsia="宋体" w:cs="宋体"/>
                <w:i/>
                <w:iCs/>
                <w:spacing w:val="6"/>
                <w:sz w:val="24"/>
                <w:szCs w:val="24"/>
                <w:u w:val="single"/>
                <w:lang w:eastAsia="en-US"/>
              </w:rPr>
              <w:t xml:space="preserve">计算单元应符合如下要</w:t>
            </w:r>
            <w:r>
              <w:rPr>
                <w:rFonts w:hint="eastAsia" w:ascii="宋体" w:hAnsi="宋体" w:eastAsia="宋体" w:cs="宋体"/>
                <w:i/>
                <w:iCs/>
                <w:spacing w:val="-5"/>
                <w:sz w:val="24"/>
                <w:szCs w:val="24"/>
                <w:u w:val="single"/>
                <w:lang w:eastAsia="en-US"/>
              </w:rPr>
              <w:t xml:space="preserve">求：</w:t>
            </w:r>
            <w:r/>
          </w:p>
          <w:p>
            <w:pPr>
              <w:ind w:left="112" w:right="103" w:firstLine="2"/>
              <w:spacing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具备人工智能加速处理器，计算</w:t>
            </w:r>
            <w:r>
              <w:rPr>
                <w:rFonts w:hint="eastAsia" w:ascii="宋体" w:hAnsi="宋体" w:eastAsia="宋体" w:cs="宋体"/>
                <w:i/>
                <w:iCs/>
                <w:sz w:val="24"/>
                <w:szCs w:val="24"/>
                <w:u w:val="single"/>
                <w:lang w:eastAsia="en-US"/>
              </w:rPr>
              <w:t xml:space="preserve">精度至少支持FP16、BF16、FP32、 </w:t>
            </w:r>
            <w:r>
              <w:rPr>
                <w:rFonts w:hint="eastAsia" w:ascii="宋体" w:hAnsi="宋体" w:eastAsia="宋体" w:cs="宋体"/>
                <w:i/>
                <w:iCs/>
                <w:spacing w:val="-5"/>
                <w:sz w:val="24"/>
                <w:szCs w:val="24"/>
                <w:u w:val="single"/>
                <w:lang w:eastAsia="en-US"/>
              </w:rPr>
              <w:t xml:space="preserve">FP64、INT8和 INT16等中的1种；</w:t>
            </w:r>
            <w:r/>
          </w:p>
          <w:p>
            <w:pPr>
              <w:ind w:left="112" w:right="168" w:firstLine="2"/>
              <w:spacing w:before="5"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单推理卡或模块，具备视频解析、文本识别、语音分析等推理能力；在视觉场景下配备可直接调用的接口实现视觉计算加速，路数不小于64（1080P 30FPS）</w:t>
            </w:r>
            <w:r/>
          </w:p>
        </w:tc>
      </w:tr>
      <w:tr>
        <w:trPr>
          <w:trHeight w:val="725"/>
        </w:trPr>
        <w:tc>
          <w:tcPr>
            <w:tcW w:w="719" w:type="dxa"/>
            <w:vAlign w:val="center"/>
            <w:textDirection w:val="lrTb"/>
            <w:noWrap w:val="false"/>
          </w:tcPr>
          <w:p>
            <w:pPr>
              <w:ind w:left="242"/>
              <w:spacing w:before="276" w:line="239"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44</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一键式迁移</w:t>
            </w:r>
            <w:r/>
          </w:p>
        </w:tc>
        <w:tc>
          <w:tcPr>
            <w:tcW w:w="5280" w:type="dxa"/>
            <w:vAlign w:val="center"/>
            <w:textDirection w:val="lrTb"/>
            <w:noWrap w:val="false"/>
          </w:tcPr>
          <w:p>
            <w:pPr>
              <w:ind w:left="113" w:right="103"/>
              <w:spacing w:before="163"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若服务器配备</w:t>
            </w:r>
            <w:r>
              <w:rPr>
                <w:rFonts w:hint="eastAsia" w:ascii="宋体" w:hAnsi="宋体" w:eastAsia="宋体" w:cs="宋体"/>
                <w:i/>
                <w:iCs/>
                <w:sz w:val="24"/>
                <w:szCs w:val="24"/>
                <w:u w:val="single"/>
                <w:lang w:eastAsia="en-US"/>
              </w:rPr>
              <w:t xml:space="preserve">AI</w:t>
            </w:r>
            <w:r>
              <w:rPr>
                <w:rFonts w:hint="eastAsia" w:ascii="宋体" w:hAnsi="宋体" w:eastAsia="宋体" w:cs="宋体"/>
                <w:i/>
                <w:iCs/>
                <w:spacing w:val="4"/>
                <w:sz w:val="24"/>
                <w:szCs w:val="24"/>
                <w:u w:val="single"/>
                <w:lang w:eastAsia="en-US"/>
              </w:rPr>
              <w:t xml:space="preserve">计算单元，提供训</w:t>
            </w:r>
            <w:r>
              <w:rPr>
                <w:rFonts w:hint="eastAsia" w:ascii="宋体" w:hAnsi="宋体" w:eastAsia="宋体" w:cs="宋体"/>
                <w:i/>
                <w:iCs/>
                <w:spacing w:val="-2"/>
                <w:sz w:val="24"/>
                <w:szCs w:val="24"/>
                <w:u w:val="single"/>
                <w:lang w:eastAsia="en-US"/>
              </w:rPr>
              <w:t xml:space="preserve">练脚本迁移工具</w:t>
            </w:r>
            <w:r/>
          </w:p>
        </w:tc>
      </w:tr>
      <w:tr>
        <w:trPr>
          <w:trHeight w:val="485"/>
        </w:trPr>
        <w:tc>
          <w:tcPr>
            <w:tcW w:w="719" w:type="dxa"/>
            <w:vAlign w:val="center"/>
            <w:textDirection w:val="lrTb"/>
            <w:noWrap w:val="false"/>
          </w:tcPr>
          <w:p>
            <w:pPr>
              <w:ind w:left="242"/>
              <w:spacing w:before="15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45</w:t>
            </w:r>
            <w:r/>
          </w:p>
        </w:tc>
        <w:tc>
          <w:tcPr>
            <w:tcBorders>
              <w:bottom w:val="none" w:color="000000" w:sz="4" w:space="0"/>
            </w:tcBorders>
            <w:tcW w:w="1153" w:type="dxa"/>
            <w:vAlign w:val="center"/>
            <w:vMerge w:val="restart"/>
            <w:textDirection w:val="lrTb"/>
            <w:noWrap w:val="false"/>
          </w:tcPr>
          <w:p>
            <w:pPr>
              <w:spacing w:line="267" w:lineRule="auto"/>
              <w:widowControl/>
              <w:rPr>
                <w:rFonts w:hint="default" w:ascii="宋体" w:hAnsi="宋体" w:eastAsia="宋体" w:cs="宋体"/>
                <w:sz w:val="24"/>
                <w:szCs w:val="24"/>
              </w:rPr>
            </w:pPr>
            <w:r>
              <w:rPr>
                <w:rFonts w:hint="default" w:ascii="宋体" w:hAnsi="宋体" w:eastAsia="宋体" w:cs="宋体"/>
                <w:sz w:val="24"/>
                <w:szCs w:val="24"/>
              </w:rPr>
            </w:r>
            <w:r/>
          </w:p>
          <w:p>
            <w:pPr>
              <w:ind w:left="186" w:right="186"/>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机柜规格</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机柜尺寸</w:t>
            </w:r>
            <w:r/>
          </w:p>
        </w:tc>
        <w:tc>
          <w:tcPr>
            <w:tcW w:w="5280" w:type="dxa"/>
            <w:vAlign w:val="center"/>
            <w:textDirection w:val="lrTb"/>
            <w:noWrap w:val="false"/>
          </w:tcPr>
          <w:p>
            <w:pPr>
              <w:jc w:val="left"/>
              <w:widowControl w:val="off"/>
              <w:rPr>
                <w:rFonts w:ascii="宋体" w:hAnsi="宋体" w:eastAsia="宋体" w:cs="宋体"/>
                <w:i/>
                <w:iCs/>
                <w:sz w:val="24"/>
                <w:szCs w:val="24"/>
                <w:u w:val="single"/>
                <w:lang w:val="en-US" w:eastAsia="zh-CN" w:bidi="ar-SA"/>
              </w:rPr>
            </w:pPr>
            <w:r/>
            <w:bookmarkStart w:id="180" w:name="OLE_LINK2"/>
            <w:r>
              <w:rPr>
                <w:rFonts w:hint="eastAsia" w:ascii="宋体" w:hAnsi="宋体" w:eastAsia="宋体" w:cs="宋体"/>
                <w:i/>
                <w:iCs/>
                <w:spacing w:val="-1"/>
                <w:sz w:val="24"/>
                <w:szCs w:val="24"/>
                <w:u w:val="single"/>
                <w:lang w:val="en-US" w:eastAsia="zh-CN" w:bidi="ar-SA"/>
              </w:rPr>
              <w:t xml:space="preserve">6</w:t>
            </w:r>
            <w:r>
              <w:rPr>
                <w:rFonts w:hint="eastAsia" w:ascii="宋体" w:hAnsi="宋体" w:eastAsia="宋体" w:cs="宋体"/>
                <w:i/>
                <w:iCs/>
                <w:spacing w:val="4"/>
                <w:sz w:val="24"/>
                <w:szCs w:val="24"/>
                <w:u w:val="single"/>
                <w:lang w:val="en-US" w:eastAsia="zh-CN" w:bidi="ar-SA"/>
              </w:rPr>
              <w:t xml:space="preserve">00*800*2000mm</w:t>
            </w:r>
            <w:bookmarkEnd w:id="180"/>
            <w:r>
              <w:rPr>
                <w:rFonts w:hint="eastAsia" w:ascii="宋体" w:hAnsi="宋体" w:eastAsia="宋体" w:cs="宋体"/>
                <w:i/>
                <w:iCs/>
                <w:spacing w:val="4"/>
                <w:sz w:val="24"/>
                <w:szCs w:val="24"/>
                <w:u w:val="single"/>
                <w:lang w:val="en-US" w:eastAsia="zh-CN" w:bidi="ar-SA"/>
              </w:rPr>
              <w:t xml:space="preserve">、42U标准尺寸</w:t>
            </w:r>
            <w:r/>
          </w:p>
        </w:tc>
      </w:tr>
      <w:tr>
        <w:trPr>
          <w:trHeight w:val="725"/>
        </w:trPr>
        <w:tc>
          <w:tcPr>
            <w:tcW w:w="719" w:type="dxa"/>
            <w:vAlign w:val="center"/>
            <w:textDirection w:val="lrTb"/>
            <w:noWrap w:val="false"/>
          </w:tcPr>
          <w:p>
            <w:pPr>
              <w:ind w:left="242"/>
              <w:spacing w:before="27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46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机柜管理板</w:t>
            </w:r>
            <w:r/>
          </w:p>
        </w:tc>
        <w:tc>
          <w:tcPr>
            <w:tcW w:w="5280" w:type="dxa"/>
            <w:vAlign w:val="center"/>
            <w:textDirection w:val="lrTb"/>
            <w:noWrap w:val="false"/>
          </w:tcPr>
          <w:p>
            <w:pPr>
              <w:ind w:left="114"/>
              <w:spacing w:before="282"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配备机柜管理板</w:t>
            </w:r>
            <w:r/>
          </w:p>
        </w:tc>
      </w:tr>
      <w:tr>
        <w:trPr>
          <w:trHeight w:val="1444"/>
        </w:trPr>
        <w:tc>
          <w:tcPr>
            <w:tcW w:w="719" w:type="dxa"/>
            <w:vAlign w:val="center"/>
            <w:textDirection w:val="lrTb"/>
            <w:noWrap w:val="false"/>
          </w:tcPr>
          <w:p>
            <w:pPr>
              <w:ind w:left="242"/>
              <w:spacing w:before="58" w:line="240"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47</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right="214"/>
              <w:jc w:val="center"/>
              <w:spacing w:before="59"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机柜电源规格</w:t>
            </w:r>
            <w:r/>
          </w:p>
        </w:tc>
        <w:tc>
          <w:tcPr>
            <w:tcW w:w="5280" w:type="dxa"/>
            <w:vAlign w:val="center"/>
            <w:textDirection w:val="lrTb"/>
            <w:noWrap w:val="false"/>
          </w:tcPr>
          <w:p>
            <w:pPr>
              <w:ind w:left="113" w:right="103" w:firstLine="1"/>
              <w:spacing w:before="283"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机柜电源支持集中供电，电源输入不少于2路且支持自动切换；</w:t>
            </w:r>
            <w:r/>
          </w:p>
          <w:p>
            <w:pPr>
              <w:ind w:left="117" w:right="259" w:hanging="2"/>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机柜电源模块支持N+1冗余配</w:t>
            </w:r>
            <w:r>
              <w:rPr>
                <w:rFonts w:hint="eastAsia" w:ascii="宋体" w:hAnsi="宋体" w:eastAsia="宋体" w:cs="宋体"/>
                <w:i/>
                <w:iCs/>
                <w:spacing w:val="-2"/>
                <w:sz w:val="24"/>
                <w:szCs w:val="24"/>
                <w:u w:val="single"/>
                <w:lang w:eastAsia="en-US"/>
              </w:rPr>
              <w:t xml:space="preserve">置，电源模块可独立更换</w:t>
            </w:r>
            <w:r/>
          </w:p>
        </w:tc>
      </w:tr>
      <w:tr>
        <w:trPr>
          <w:trHeight w:val="248"/>
        </w:trPr>
        <w:tc>
          <w:tcPr>
            <w:tcW w:w="719" w:type="dxa"/>
            <w:vAlign w:val="center"/>
            <w:textDirection w:val="lrTb"/>
            <w:noWrap w:val="false"/>
          </w:tcPr>
          <w:p>
            <w:pPr>
              <w:ind w:left="242"/>
              <w:spacing w:before="38" w:line="205"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48</w:t>
            </w:r>
            <w:r/>
          </w:p>
        </w:tc>
        <w:tc>
          <w:tcPr>
            <w:tcW w:w="1153" w:type="dxa"/>
            <w:vAlign w:val="center"/>
            <w:textDirection w:val="lrTb"/>
            <w:noWrap w:val="false"/>
          </w:tcPr>
          <w:p>
            <w:pPr>
              <w:ind w:left="139"/>
              <w:jc w:val="center"/>
              <w:spacing w:before="43" w:line="200"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主板</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主板外部接口种类</w:t>
            </w:r>
            <w:r/>
          </w:p>
        </w:tc>
        <w:tc>
          <w:tcPr>
            <w:tcW w:w="5280" w:type="dxa"/>
            <w:vAlign w:val="center"/>
            <w:textDirection w:val="lrTb"/>
            <w:noWrap w:val="false"/>
          </w:tcPr>
          <w:p>
            <w:pPr>
              <w:ind w:left="119"/>
              <w:spacing w:before="43" w:line="200"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支持USB、显示、管理等接口，如：</w:t>
            </w:r>
            <w:r>
              <w:rPr>
                <w:rFonts w:hint="eastAsia" w:ascii="宋体" w:hAnsi="宋体" w:eastAsia="宋体" w:cs="宋体"/>
                <w:i/>
                <w:iCs/>
                <w:spacing w:val="-8"/>
                <w:sz w:val="24"/>
                <w:szCs w:val="24"/>
                <w:u w:val="single"/>
                <w:lang w:eastAsia="en-US"/>
              </w:rPr>
              <w:t xml:space="preserve">VGA、DP、HDMI、USB3.0、PS/2接口、</w:t>
            </w:r>
            <w:r>
              <w:rPr>
                <w:rFonts w:hint="eastAsia" w:ascii="宋体" w:hAnsi="宋体" w:eastAsia="宋体" w:cs="宋体"/>
                <w:i/>
                <w:iCs/>
                <w:spacing w:val="-3"/>
                <w:sz w:val="24"/>
                <w:szCs w:val="24"/>
                <w:u w:val="single"/>
                <w:lang w:eastAsia="en-US"/>
              </w:rPr>
              <w:t xml:space="preserve">BMC管理端口</w:t>
            </w:r>
            <w:r/>
          </w:p>
        </w:tc>
      </w:tr>
      <w:tr>
        <w:trPr>
          <w:trHeight w:val="964"/>
        </w:trPr>
        <w:tc>
          <w:tcPr>
            <w:tcW w:w="719" w:type="dxa"/>
            <w:vAlign w:val="center"/>
            <w:textDirection w:val="lrTb"/>
            <w:noWrap w:val="false"/>
          </w:tcPr>
          <w:p>
            <w:pPr>
              <w:ind w:left="242"/>
              <w:spacing w:before="59"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49</w:t>
            </w:r>
            <w:r/>
          </w:p>
        </w:tc>
        <w:tc>
          <w:tcPr>
            <w:tcBorders>
              <w:top w:val="none" w:color="000000" w:sz="4" w:space="0"/>
              <w:bottom w:val="none" w:color="000000" w:sz="4" w:space="0"/>
            </w:tcBorders>
            <w:tcW w:w="1153" w:type="dxa"/>
            <w:vAlign w:val="center"/>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主板防烧板设计</w:t>
            </w:r>
            <w:r/>
          </w:p>
        </w:tc>
        <w:tc>
          <w:tcPr>
            <w:tcW w:w="5280" w:type="dxa"/>
            <w:vAlign w:val="center"/>
            <w:textDirection w:val="lrTb"/>
            <w:noWrap w:val="false"/>
          </w:tcPr>
          <w:p>
            <w:pPr>
              <w:ind w:left="118" w:right="168" w:firstLine="1"/>
              <w:spacing w:before="27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支持主板防烧板设计，保证电源故</w:t>
            </w:r>
            <w:r>
              <w:rPr>
                <w:rFonts w:hint="eastAsia" w:ascii="宋体" w:hAnsi="宋体" w:eastAsia="宋体" w:cs="宋体"/>
                <w:i/>
                <w:iCs/>
                <w:spacing w:val="-3"/>
                <w:sz w:val="24"/>
                <w:szCs w:val="24"/>
                <w:u w:val="single"/>
                <w:lang w:eastAsia="en-US"/>
              </w:rPr>
              <w:t xml:space="preserve">障后不扩散</w:t>
            </w:r>
            <w:r/>
          </w:p>
        </w:tc>
      </w:tr>
      <w:tr>
        <w:trPr>
          <w:trHeight w:val="725"/>
        </w:trPr>
        <w:tc>
          <w:tcPr>
            <w:tcW w:w="719" w:type="dxa"/>
            <w:vAlign w:val="center"/>
            <w:textDirection w:val="lrTb"/>
            <w:noWrap w:val="false"/>
          </w:tcPr>
          <w:p>
            <w:pPr>
              <w:ind w:left="243"/>
              <w:spacing w:before="275"/>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50</w:t>
            </w:r>
            <w:r/>
          </w:p>
        </w:tc>
        <w:tc>
          <w:tcPr>
            <w:tcBorders>
              <w:top w:val="none" w:color="000000" w:sz="4" w:space="0"/>
            </w:tcBorders>
            <w:tcW w:w="1153" w:type="dxa"/>
            <w:vAlign w:val="center"/>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扩展功能</w:t>
            </w:r>
            <w:r/>
          </w:p>
        </w:tc>
        <w:tc>
          <w:tcPr>
            <w:tcW w:w="5280" w:type="dxa"/>
            <w:vAlign w:val="center"/>
            <w:textDirection w:val="lrTb"/>
            <w:noWrap w:val="false"/>
          </w:tcPr>
          <w:p>
            <w:pPr>
              <w:ind w:left="115" w:right="168" w:firstLine="3"/>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实现至少一种扩展功能，如存储功能卡、显示功能卡、运算加速功能卡及网络功能卡等扩展功能</w:t>
            </w:r>
            <w:r/>
          </w:p>
        </w:tc>
      </w:tr>
      <w:tr>
        <w:trPr>
          <w:trHeight w:val="485"/>
        </w:trPr>
        <w:tc>
          <w:tcPr>
            <w:tcW w:w="719" w:type="dxa"/>
            <w:vAlign w:val="center"/>
            <w:textDirection w:val="lrTb"/>
            <w:noWrap w:val="false"/>
          </w:tcPr>
          <w:p>
            <w:pPr>
              <w:ind w:left="243"/>
              <w:spacing w:before="155"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51</w:t>
            </w:r>
            <w:r/>
          </w:p>
        </w:tc>
        <w:tc>
          <w:tcPr>
            <w:tcW w:w="1153" w:type="dxa"/>
            <w:vAlign w:val="center"/>
            <w:textDirection w:val="lrTb"/>
            <w:noWrap w:val="false"/>
          </w:tcPr>
          <w:p>
            <w:pPr>
              <w:ind w:left="189" w:right="141" w:hanging="50"/>
              <w:jc w:val="center"/>
              <w:spacing w:before="42" w:line="222"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网络</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网络功能</w:t>
            </w:r>
            <w:r/>
          </w:p>
        </w:tc>
        <w:tc>
          <w:tcPr>
            <w:tcW w:w="5280" w:type="dxa"/>
            <w:vAlign w:val="center"/>
            <w:textDirection w:val="lrTb"/>
            <w:noWrap w:val="false"/>
          </w:tcPr>
          <w:p>
            <w:pPr>
              <w:ind w:left="113" w:right="168" w:firstLine="5"/>
              <w:spacing w:before="4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支持网络连接、网络访问、数据交换和网络管控功能</w:t>
            </w:r>
            <w:r/>
          </w:p>
        </w:tc>
      </w:tr>
      <w:tr>
        <w:trPr>
          <w:trHeight w:val="1444"/>
        </w:trPr>
        <w:tc>
          <w:tcPr>
            <w:tcW w:w="719" w:type="dxa"/>
            <w:vAlign w:val="center"/>
            <w:textDirection w:val="lrTb"/>
            <w:noWrap w:val="false"/>
          </w:tcPr>
          <w:p>
            <w:pPr>
              <w:jc w:val="center"/>
              <w:spacing w:before="59"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52</w:t>
            </w:r>
            <w:r/>
          </w:p>
        </w:tc>
        <w:tc>
          <w:tcPr>
            <w:tcBorders>
              <w:bottom w:val="none" w:color="000000" w:sz="4" w:space="0"/>
            </w:tcBorders>
            <w:tcW w:w="1153" w:type="dxa"/>
            <w:vAlign w:val="center"/>
            <w:vMerge w:val="restart"/>
            <w:textDirection w:val="lrTb"/>
            <w:noWrap w:val="false"/>
          </w:tcPr>
          <w:p>
            <w:pPr>
              <w:ind w:right="185"/>
              <w:jc w:val="center"/>
              <w:spacing w:before="58" w:line="25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CPU</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计算处理</w:t>
            </w:r>
            <w:r/>
          </w:p>
        </w:tc>
        <w:tc>
          <w:tcPr>
            <w:tcW w:w="5280" w:type="dxa"/>
            <w:vAlign w:val="center"/>
            <w:textDirection w:val="lrTb"/>
            <w:noWrap w:val="false"/>
          </w:tcPr>
          <w:p>
            <w:pPr>
              <w:ind w:left="113" w:right="103" w:firstLine="6"/>
              <w:spacing w:before="41"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支持通用计算及虚拟化功能。处理器需集成整型计算单元、浮点计算</w:t>
            </w:r>
            <w:r>
              <w:rPr>
                <w:rFonts w:hint="eastAsia" w:ascii="宋体" w:hAnsi="宋体" w:eastAsia="宋体" w:cs="宋体"/>
                <w:i/>
                <w:iCs/>
                <w:spacing w:val="-6"/>
                <w:sz w:val="24"/>
                <w:szCs w:val="24"/>
                <w:u w:val="single"/>
                <w:lang w:eastAsia="en-US"/>
              </w:rPr>
              <w:t xml:space="preserve">单元、内存控制器、I/O模块等，处</w:t>
            </w:r>
            <w:r>
              <w:rPr>
                <w:rFonts w:hint="eastAsia" w:ascii="宋体" w:hAnsi="宋体" w:eastAsia="宋体" w:cs="宋体"/>
                <w:i/>
                <w:iCs/>
                <w:spacing w:val="-1"/>
                <w:sz w:val="24"/>
                <w:szCs w:val="24"/>
                <w:u w:val="single"/>
                <w:lang w:eastAsia="en-US"/>
              </w:rPr>
              <w:t xml:space="preserve">理器与存储部件、网络部件、I/O部件等组成计算系统，提供数据处理、网络接入等计算相关功能</w:t>
            </w:r>
            <w:r/>
          </w:p>
        </w:tc>
      </w:tr>
      <w:tr>
        <w:trPr>
          <w:trHeight w:val="965"/>
        </w:trPr>
        <w:tc>
          <w:tcPr>
            <w:tcW w:w="719" w:type="dxa"/>
            <w:vAlign w:val="center"/>
            <w:textDirection w:val="lrTb"/>
            <w:noWrap w:val="false"/>
          </w:tcPr>
          <w:p>
            <w:pPr>
              <w:ind w:left="243"/>
              <w:spacing w:before="59"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53</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*密码算法实现</w:t>
            </w:r>
            <w:r/>
          </w:p>
        </w:tc>
        <w:tc>
          <w:tcPr>
            <w:tcW w:w="5280" w:type="dxa"/>
            <w:vAlign w:val="center"/>
            <w:textDirection w:val="lrTb"/>
            <w:noWrap w:val="false"/>
          </w:tcPr>
          <w:p>
            <w:pPr>
              <w:ind w:left="111" w:right="103" w:firstLine="1"/>
              <w:spacing w:before="162"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CPU芯片应符合GM/T0008的相关规</w:t>
            </w:r>
            <w:r>
              <w:rPr>
                <w:rFonts w:hint="eastAsia" w:ascii="宋体" w:hAnsi="宋体" w:eastAsia="宋体" w:cs="宋体"/>
                <w:i/>
                <w:iCs/>
                <w:spacing w:val="2"/>
                <w:sz w:val="24"/>
                <w:szCs w:val="24"/>
                <w:u w:val="single"/>
                <w:lang w:eastAsia="en-US"/>
              </w:rPr>
              <w:t xml:space="preserve">定，或芯片密码模块应符合</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2"/>
                <w:sz w:val="24"/>
                <w:szCs w:val="24"/>
                <w:u w:val="single"/>
                <w:lang w:eastAsia="en-US"/>
              </w:rPr>
              <w:t xml:space="preserve">/T</w:t>
            </w:r>
            <w:r/>
          </w:p>
          <w:p>
            <w:pPr>
              <w:ind w:left="113"/>
              <w:spacing w:before="5"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37092或GM/T 0028的相关规定</w:t>
            </w:r>
            <w:r/>
          </w:p>
        </w:tc>
      </w:tr>
      <w:tr>
        <w:trPr>
          <w:trHeight w:val="965"/>
        </w:trPr>
        <w:tc>
          <w:tcPr>
            <w:tcW w:w="719" w:type="dxa"/>
            <w:vAlign w:val="center"/>
            <w:textDirection w:val="lrTb"/>
            <w:noWrap w:val="false"/>
          </w:tcPr>
          <w:p>
            <w:pPr>
              <w:ind w:left="243"/>
              <w:spacing w:before="58"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54</w:t>
            </w:r>
            <w:r/>
          </w:p>
        </w:tc>
        <w:tc>
          <w:tcPr>
            <w:tcBorders>
              <w:bottom w:val="none" w:color="000000" w:sz="4" w:space="0"/>
            </w:tcBorders>
            <w:tcW w:w="1153" w:type="dxa"/>
            <w:vAlign w:val="center"/>
            <w:vMerge w:val="restart"/>
            <w:textDirection w:val="lrTb"/>
            <w:noWrap w:val="false"/>
          </w:tcPr>
          <w:p>
            <w:pPr>
              <w:spacing w:line="316" w:lineRule="auto"/>
              <w:widowControl/>
              <w:rPr>
                <w:rFonts w:hint="default" w:ascii="宋体" w:hAnsi="宋体" w:eastAsia="宋体" w:cs="宋体"/>
                <w:sz w:val="24"/>
                <w:szCs w:val="24"/>
              </w:rPr>
            </w:pPr>
            <w:r>
              <w:rPr>
                <w:rFonts w:hint="default" w:ascii="宋体" w:hAnsi="宋体" w:eastAsia="宋体" w:cs="宋体"/>
                <w:sz w:val="24"/>
                <w:szCs w:val="24"/>
              </w:rPr>
            </w:r>
            <w:r/>
          </w:p>
          <w:p>
            <w:pPr>
              <w:ind w:left="189" w:right="186"/>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存储功能</w:t>
            </w:r>
            <w:r/>
          </w:p>
        </w:tc>
        <w:tc>
          <w:tcPr>
            <w:tcW w:w="996" w:type="dxa"/>
            <w:vAlign w:val="center"/>
            <w:textDirection w:val="lrTb"/>
            <w:noWrap w:val="false"/>
          </w:tcPr>
          <w:p>
            <w:pPr>
              <w:jc w:val="center"/>
              <w:spacing w:line="340" w:lineRule="auto"/>
              <w:widowControl/>
              <w:rPr>
                <w:rFonts w:hint="default" w:ascii="宋体" w:hAnsi="宋体" w:eastAsia="宋体" w:cs="宋体"/>
                <w:spacing w:val="-2"/>
                <w:sz w:val="24"/>
                <w:szCs w:val="24"/>
                <w:lang w:eastAsia="en-US"/>
              </w:rPr>
            </w:pPr>
            <w:r>
              <w:rPr>
                <w:rFonts w:hint="default" w:ascii="宋体" w:hAnsi="宋体" w:eastAsia="宋体" w:cs="宋体"/>
                <w:spacing w:val="-2"/>
                <w:sz w:val="24"/>
                <w:szCs w:val="24"/>
                <w:lang w:eastAsia="en-US"/>
              </w:rPr>
            </w:r>
            <w:r/>
          </w:p>
          <w:p>
            <w:pPr>
              <w:ind w:left="121"/>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内存校验</w:t>
            </w:r>
            <w:r/>
          </w:p>
        </w:tc>
        <w:tc>
          <w:tcPr>
            <w:tcW w:w="5280" w:type="dxa"/>
            <w:vAlign w:val="center"/>
            <w:textDirection w:val="lrTb"/>
            <w:noWrap w:val="false"/>
          </w:tcPr>
          <w:p>
            <w:pPr>
              <w:ind w:left="119" w:right="168"/>
              <w:spacing w:before="281"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支持内存校验或内存增强型纠错功</w:t>
            </w:r>
            <w:r>
              <w:rPr>
                <w:rFonts w:hint="eastAsia" w:ascii="宋体" w:hAnsi="宋体" w:eastAsia="宋体" w:cs="宋体"/>
                <w:i/>
                <w:iCs/>
                <w:sz w:val="24"/>
                <w:szCs w:val="24"/>
                <w:u w:val="single"/>
                <w:lang w:eastAsia="en-US"/>
              </w:rPr>
              <w:t xml:space="preserve">能</w:t>
            </w:r>
            <w:r/>
          </w:p>
        </w:tc>
      </w:tr>
      <w:tr>
        <w:trPr>
          <w:trHeight w:val="725"/>
        </w:trPr>
        <w:tc>
          <w:tcPr>
            <w:tcW w:w="719" w:type="dxa"/>
            <w:vAlign w:val="center"/>
            <w:textDirection w:val="lrTb"/>
            <w:noWrap w:val="false"/>
          </w:tcPr>
          <w:p>
            <w:pPr>
              <w:ind w:left="243"/>
              <w:spacing w:before="27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SATA SSD NAND 健康状态上报</w:t>
            </w:r>
            <w:r/>
          </w:p>
        </w:tc>
        <w:tc>
          <w:tcPr>
            <w:tcW w:w="5280" w:type="dxa"/>
            <w:vAlign w:val="center"/>
            <w:textDirection w:val="lrTb"/>
            <w:noWrap w:val="false"/>
          </w:tcPr>
          <w:p>
            <w:pPr>
              <w:ind w:left="112" w:right="102" w:firstLine="7"/>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支持关键外部存储器（硬磁盘、SSD</w:t>
            </w:r>
            <w:r>
              <w:rPr>
                <w:rFonts w:hint="eastAsia" w:ascii="宋体" w:hAnsi="宋体" w:eastAsia="宋体" w:cs="宋体"/>
                <w:i/>
                <w:iCs/>
                <w:spacing w:val="-1"/>
                <w:sz w:val="24"/>
                <w:szCs w:val="24"/>
                <w:u w:val="single"/>
                <w:lang w:eastAsia="en-US"/>
              </w:rPr>
              <w:t xml:space="preserve">等）的健康状态上报并进行故障诊</w:t>
            </w:r>
            <w:r>
              <w:rPr>
                <w:rFonts w:hint="eastAsia" w:ascii="宋体" w:hAnsi="宋体" w:eastAsia="宋体" w:cs="宋体"/>
                <w:i/>
                <w:iCs/>
                <w:sz w:val="24"/>
                <w:szCs w:val="24"/>
                <w:u w:val="single"/>
                <w:lang w:eastAsia="en-US"/>
              </w:rPr>
              <w:t xml:space="preserve">断</w:t>
            </w:r>
            <w:r/>
          </w:p>
        </w:tc>
      </w:tr>
      <w:tr>
        <w:trPr>
          <w:trHeight w:val="725"/>
        </w:trPr>
        <w:tc>
          <w:tcPr>
            <w:tcW w:w="719" w:type="dxa"/>
            <w:vAlign w:val="center"/>
            <w:textDirection w:val="lrTb"/>
            <w:noWrap w:val="false"/>
          </w:tcPr>
          <w:p>
            <w:pPr>
              <w:ind w:left="243"/>
              <w:spacing w:before="27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56</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SATA SSD单 die 故障隔离</w:t>
            </w:r>
            <w:r/>
          </w:p>
        </w:tc>
        <w:tc>
          <w:tcPr>
            <w:tcW w:w="5280" w:type="dxa"/>
            <w:vAlign w:val="center"/>
            <w:textDirection w:val="lrTb"/>
            <w:noWrap w:val="false"/>
          </w:tcPr>
          <w:p>
            <w:pPr>
              <w:ind w:left="121" w:right="168" w:hanging="2"/>
              <w:spacing w:before="163"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支持SSD关键外部存储器中单存储晶元故障隔离</w:t>
            </w:r>
            <w:r/>
          </w:p>
        </w:tc>
      </w:tr>
      <w:tr>
        <w:trPr>
          <w:trHeight w:val="90"/>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57</w:t>
            </w:r>
            <w:r/>
          </w:p>
        </w:tc>
        <w:tc>
          <w:tcPr>
            <w:tcBorders>
              <w:bottom w:val="none" w:color="000000" w:sz="4" w:space="0"/>
            </w:tcBorders>
            <w:tcW w:w="1153" w:type="dxa"/>
            <w:vAlign w:val="center"/>
            <w:vMerge w:val="restart"/>
            <w:textDirection w:val="lrTb"/>
            <w:noWrap w:val="false"/>
          </w:tcPr>
          <w:p>
            <w:pPr>
              <w:ind w:left="117" w:right="107" w:firstLine="71"/>
              <w:jc w:val="center"/>
              <w:spacing w:before="58" w:line="247"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RAID</w:t>
            </w:r>
            <w:r>
              <w:rPr>
                <w:rFonts w:hint="eastAsia" w:ascii="宋体" w:hAnsi="宋体" w:eastAsia="宋体" w:cs="宋体"/>
                <w:spacing w:val="32"/>
                <w:sz w:val="24"/>
                <w:szCs w:val="24"/>
                <w:lang w:eastAsia="en-US"/>
              </w:rPr>
              <w:t xml:space="preserve">卡功</w:t>
            </w:r>
            <w:r>
              <w:rPr>
                <w:rFonts w:hint="eastAsia" w:ascii="宋体" w:hAnsi="宋体" w:eastAsia="宋体" w:cs="宋体"/>
                <w:spacing w:val="-13"/>
                <w:sz w:val="24"/>
                <w:szCs w:val="24"/>
                <w:lang w:eastAsia="en-US"/>
              </w:rPr>
              <w:t xml:space="preserve">能（若</w:t>
            </w:r>
            <w:r>
              <w:rPr>
                <w:rFonts w:hint="eastAsia" w:ascii="宋体" w:hAnsi="宋体" w:eastAsia="宋体" w:cs="宋体"/>
                <w:spacing w:val="32"/>
                <w:sz w:val="24"/>
                <w:szCs w:val="24"/>
                <w:lang w:eastAsia="en-US"/>
              </w:rPr>
              <w:t xml:space="preserve">支持</w:t>
            </w:r>
            <w:r>
              <w:rPr>
                <w:rFonts w:hint="eastAsia" w:ascii="宋体" w:hAnsi="宋体" w:eastAsia="宋体" w:cs="宋体"/>
                <w:spacing w:val="16"/>
                <w:sz w:val="24"/>
                <w:szCs w:val="24"/>
                <w:lang w:eastAsia="en-US"/>
              </w:rPr>
              <w:t xml:space="preserve">RAID</w:t>
            </w:r>
            <w:r>
              <w:rPr>
                <w:rFonts w:hint="eastAsia" w:ascii="宋体" w:hAnsi="宋体" w:eastAsia="宋体" w:cs="宋体"/>
                <w:spacing w:val="32"/>
                <w:sz w:val="24"/>
                <w:szCs w:val="24"/>
                <w:lang w:eastAsia="en-US"/>
              </w:rPr>
              <w:t xml:space="preserve">卡）</w:t>
            </w:r>
            <w:r/>
          </w:p>
        </w:tc>
        <w:tc>
          <w:tcPr>
            <w:tcW w:w="996" w:type="dxa"/>
            <w:vAlign w:val="center"/>
            <w:textDirection w:val="lrTb"/>
            <w:noWrap w:val="false"/>
          </w:tcPr>
          <w:p>
            <w:pPr>
              <w:jc w:val="center"/>
              <w:spacing w:before="58" w:line="224"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卡</w:t>
            </w:r>
            <w:r/>
          </w:p>
          <w:p>
            <w:pPr>
              <w:ind w:left="115" w:right="168" w:hanging="4"/>
              <w:jc w:val="center"/>
              <w:spacing w:before="21"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级别支持</w:t>
            </w:r>
            <w:r/>
          </w:p>
        </w:tc>
        <w:tc>
          <w:tcPr>
            <w:tcW w:w="5280" w:type="dxa"/>
            <w:vAlign w:val="center"/>
            <w:textDirection w:val="lrTb"/>
            <w:noWrap w:val="false"/>
          </w:tcPr>
          <w:p>
            <w:pPr>
              <w:ind w:left="112" w:right="168" w:firstLine="2"/>
              <w:spacing w:before="5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RAID模式支持RAID 0/1/10/5，存储型支持RAID 0/1/5/6/10/50/60</w:t>
            </w:r>
            <w:r/>
          </w:p>
        </w:tc>
      </w:tr>
      <w:tr>
        <w:trPr>
          <w:trHeight w:val="485"/>
        </w:trPr>
        <w:tc>
          <w:tcPr>
            <w:tcW w:w="719" w:type="dxa"/>
            <w:vAlign w:val="center"/>
            <w:textDirection w:val="lrTb"/>
            <w:noWrap w:val="false"/>
          </w:tcPr>
          <w:p>
            <w:pPr>
              <w:ind w:left="243"/>
              <w:spacing w:before="15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58</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卡</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BBU 单元</w:t>
            </w:r>
            <w:r/>
          </w:p>
        </w:tc>
        <w:tc>
          <w:tcPr>
            <w:tcW w:w="5280" w:type="dxa"/>
            <w:vAlign w:val="center"/>
            <w:textDirection w:val="lrTb"/>
            <w:noWrap w:val="false"/>
          </w:tcPr>
          <w:p>
            <w:pPr>
              <w:ind w:left="114"/>
              <w:spacing w:before="16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RAID卡支持电池或电容备份单元</w:t>
            </w:r>
            <w:r/>
          </w:p>
        </w:tc>
      </w:tr>
      <w:tr>
        <w:trPr>
          <w:trHeight w:val="727"/>
        </w:trPr>
        <w:tc>
          <w:tcPr>
            <w:tcW w:w="719" w:type="dxa"/>
            <w:vAlign w:val="center"/>
            <w:textDirection w:val="lrTb"/>
            <w:noWrap w:val="false"/>
          </w:tcPr>
          <w:p>
            <w:pPr>
              <w:ind w:left="243"/>
              <w:spacing w:before="276"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59</w:t>
            </w:r>
            <w:r/>
          </w:p>
        </w:tc>
        <w:tc>
          <w:tcPr>
            <w:tcW w:w="1153" w:type="dxa"/>
            <w:vAlign w:val="center"/>
            <w:textDirection w:val="lrTb"/>
            <w:noWrap w:val="false"/>
          </w:tcPr>
          <w:p>
            <w:pPr>
              <w:ind w:left="189" w:right="186" w:hanging="2"/>
              <w:jc w:val="center"/>
              <w:spacing w:before="162" w:line="248"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光驱</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光驱类型</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（是否支持 RW，以及光盘类型</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CD/DVD）</w:t>
            </w:r>
            <w:r/>
          </w:p>
        </w:tc>
        <w:tc>
          <w:tcPr>
            <w:tcW w:w="5280" w:type="dxa"/>
            <w:vAlign w:val="center"/>
            <w:textDirection w:val="lrTb"/>
            <w:noWrap w:val="false"/>
          </w:tcPr>
          <w:p>
            <w:pPr>
              <w:ind w:left="115" w:right="168" w:hanging="2"/>
              <w:spacing w:before="44"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若配备光驱，应提供光驱的安装形式（如内置、外置）、光驱读写类型（如只读、可刻录等）、光盘类</w:t>
            </w:r>
            <w:r>
              <w:rPr>
                <w:rFonts w:hint="eastAsia" w:ascii="宋体" w:hAnsi="宋体" w:eastAsia="宋体" w:cs="宋体"/>
                <w:i/>
                <w:iCs/>
                <w:spacing w:val="-3"/>
                <w:sz w:val="24"/>
                <w:szCs w:val="24"/>
                <w:u w:val="single"/>
                <w:lang w:eastAsia="en-US"/>
              </w:rPr>
              <w:t xml:space="preserve">型的兼容列表（如CD-ROM、CD-RW、</w:t>
            </w:r>
            <w:r>
              <w:rPr>
                <w:rFonts w:hint="eastAsia" w:ascii="宋体" w:hAnsi="宋体" w:eastAsia="宋体" w:cs="宋体"/>
                <w:i/>
                <w:iCs/>
                <w:spacing w:val="-2"/>
                <w:sz w:val="24"/>
                <w:szCs w:val="24"/>
                <w:u w:val="single"/>
                <w:lang w:eastAsia="en-US"/>
              </w:rPr>
              <w:t xml:space="preserve">DVD±RW等）</w:t>
            </w:r>
            <w:r/>
          </w:p>
        </w:tc>
      </w:tr>
      <w:tr>
        <w:trPr>
          <w:trHeight w:val="485"/>
        </w:trPr>
        <w:tc>
          <w:tcPr>
            <w:tcW w:w="719" w:type="dxa"/>
            <w:vAlign w:val="center"/>
            <w:textDirection w:val="lrTb"/>
            <w:noWrap w:val="false"/>
          </w:tcPr>
          <w:p>
            <w:pPr>
              <w:ind w:left="247"/>
              <w:spacing w:before="154"/>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60</w:t>
            </w:r>
            <w:r/>
          </w:p>
        </w:tc>
        <w:tc>
          <w:tcPr>
            <w:tcBorders>
              <w:bottom w:val="none" w:color="000000" w:sz="4" w:space="0"/>
            </w:tcBorders>
            <w:tcW w:w="1153" w:type="dxa"/>
            <w:vAlign w:val="center"/>
            <w:vMerge w:val="restart"/>
            <w:textDirection w:val="lrTb"/>
            <w:noWrap w:val="false"/>
          </w:tcPr>
          <w:p>
            <w:pPr>
              <w:ind w:left="112" w:right="174" w:hanging="4"/>
              <w:jc w:val="center"/>
              <w:spacing w:before="286" w:line="248"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电源</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电源热插拔</w:t>
            </w:r>
            <w:r/>
          </w:p>
        </w:tc>
        <w:tc>
          <w:tcPr>
            <w:tcW w:w="5280" w:type="dxa"/>
            <w:vAlign w:val="center"/>
            <w:textDirection w:val="lrTb"/>
            <w:noWrap w:val="false"/>
          </w:tcPr>
          <w:p>
            <w:pPr>
              <w:ind w:left="112"/>
              <w:spacing w:before="159"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整机电源模块应具备热插拔功能</w:t>
            </w:r>
            <w:r/>
          </w:p>
        </w:tc>
      </w:tr>
      <w:tr>
        <w:trPr>
          <w:trHeight w:val="485"/>
        </w:trPr>
        <w:tc>
          <w:tcPr>
            <w:tcW w:w="719" w:type="dxa"/>
            <w:vAlign w:val="center"/>
            <w:textDirection w:val="lrTb"/>
            <w:noWrap w:val="false"/>
          </w:tcPr>
          <w:p>
            <w:pPr>
              <w:ind w:left="247"/>
              <w:spacing w:before="154"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61</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电源过流保护</w:t>
            </w:r>
            <w:r/>
          </w:p>
        </w:tc>
        <w:tc>
          <w:tcPr>
            <w:tcW w:w="5280" w:type="dxa"/>
            <w:vAlign w:val="center"/>
            <w:textDirection w:val="lrTb"/>
            <w:noWrap w:val="false"/>
          </w:tcPr>
          <w:p>
            <w:pPr>
              <w:ind w:left="119"/>
              <w:spacing w:before="161"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支持过流及短路保护的功能</w:t>
            </w:r>
            <w:r/>
          </w:p>
        </w:tc>
      </w:tr>
      <w:tr>
        <w:trPr>
          <w:trHeight w:val="485"/>
        </w:trPr>
        <w:tc>
          <w:tcPr>
            <w:tcW w:w="719" w:type="dxa"/>
            <w:vAlign w:val="center"/>
            <w:textDirection w:val="lrTb"/>
            <w:noWrap w:val="false"/>
          </w:tcPr>
          <w:p>
            <w:pPr>
              <w:ind w:left="247"/>
              <w:spacing w:before="154"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62</w:t>
            </w:r>
            <w:r/>
          </w:p>
        </w:tc>
        <w:tc>
          <w:tcPr>
            <w:tcBorders>
              <w:bottom w:val="none" w:color="000000" w:sz="4" w:space="0"/>
            </w:tcBorders>
            <w:tcW w:w="1153" w:type="dxa"/>
            <w:vAlign w:val="center"/>
            <w:vMerge w:val="restart"/>
            <w:textDirection w:val="lrTb"/>
            <w:noWrap w:val="false"/>
          </w:tcPr>
          <w:p>
            <w:pPr>
              <w:jc w:val="center"/>
              <w:spacing w:line="344" w:lineRule="auto"/>
              <w:widowControl/>
              <w:rPr>
                <w:rFonts w:hint="default" w:ascii="宋体" w:hAnsi="宋体" w:eastAsia="宋体" w:cs="宋体"/>
                <w:sz w:val="24"/>
                <w:szCs w:val="24"/>
              </w:rPr>
            </w:pPr>
            <w:r>
              <w:rPr>
                <w:rFonts w:hint="default" w:ascii="宋体" w:hAnsi="宋体" w:eastAsia="宋体" w:cs="宋体"/>
                <w:sz w:val="24"/>
                <w:szCs w:val="24"/>
              </w:rPr>
            </w:r>
            <w:r/>
          </w:p>
          <w:p>
            <w:pPr>
              <w:ind w:left="189" w:right="141" w:hanging="50"/>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整机</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散热方式</w:t>
            </w:r>
            <w:r/>
          </w:p>
        </w:tc>
        <w:tc>
          <w:tcPr>
            <w:tcW w:w="5280" w:type="dxa"/>
            <w:vAlign w:val="center"/>
            <w:textDirection w:val="lrTb"/>
            <w:noWrap w:val="false"/>
          </w:tcPr>
          <w:p>
            <w:pPr>
              <w:ind w:left="119"/>
              <w:spacing w:before="160"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支持风冷或液冷等散热方式</w:t>
            </w:r>
            <w:r/>
          </w:p>
        </w:tc>
      </w:tr>
      <w:tr>
        <w:trPr>
          <w:trHeight w:val="725"/>
        </w:trPr>
        <w:tc>
          <w:tcPr>
            <w:tcW w:w="719" w:type="dxa"/>
            <w:vAlign w:val="center"/>
            <w:textDirection w:val="lrTb"/>
            <w:noWrap w:val="false"/>
          </w:tcPr>
          <w:p>
            <w:pPr>
              <w:ind w:left="247"/>
              <w:spacing w:before="273"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63</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其他功能</w:t>
            </w:r>
            <w:r/>
          </w:p>
        </w:tc>
        <w:tc>
          <w:tcPr>
            <w:tcW w:w="5280" w:type="dxa"/>
            <w:vAlign w:val="center"/>
            <w:textDirection w:val="lrTb"/>
            <w:noWrap w:val="false"/>
          </w:tcPr>
          <w:p>
            <w:pPr>
              <w:ind w:left="114" w:right="109"/>
              <w:spacing w:before="40"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a) 支持关键部件冗余（包括电源、风扇等</w:t>
            </w:r>
            <w:r>
              <w:rPr>
                <w:rFonts w:hint="eastAsia" w:ascii="宋体" w:hAnsi="宋体" w:eastAsia="宋体" w:cs="宋体"/>
                <w:i/>
                <w:iCs/>
                <w:sz w:val="24"/>
                <w:szCs w:val="24"/>
                <w:u w:val="single"/>
                <w:lang w:eastAsia="en-US"/>
              </w:rPr>
              <w:t xml:space="preserve">）；</w:t>
            </w:r>
            <w:r/>
          </w:p>
          <w:p>
            <w:pPr>
              <w:ind w:left="115"/>
              <w:spacing w:before="5" w:line="20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支持熔断保护与恢复功能</w:t>
            </w:r>
            <w:r/>
          </w:p>
        </w:tc>
      </w:tr>
      <w:tr>
        <w:trPr>
          <w:trHeight w:val="10084"/>
        </w:trPr>
        <w:tc>
          <w:tcPr>
            <w:tcW w:w="719" w:type="dxa"/>
            <w:vAlign w:val="center"/>
            <w:textDirection w:val="lrTb"/>
            <w:noWrap w:val="false"/>
          </w:tcPr>
          <w:p>
            <w:pPr>
              <w:ind w:left="247"/>
              <w:spacing w:before="59"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64</w:t>
            </w:r>
            <w:r/>
          </w:p>
        </w:tc>
        <w:tc>
          <w:tcPr>
            <w:tcW w:w="1153" w:type="dxa"/>
            <w:vAlign w:val="center"/>
            <w:textDirection w:val="lrTb"/>
            <w:noWrap w:val="false"/>
          </w:tcPr>
          <w:p>
            <w:pPr>
              <w:ind w:left="189" w:right="141" w:hanging="50"/>
              <w:jc w:val="center"/>
              <w:spacing w:before="58"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管理</w:t>
            </w:r>
            <w:r>
              <w:rPr>
                <w:rFonts w:hint="eastAsia" w:ascii="宋体" w:hAnsi="宋体" w:eastAsia="宋体" w:cs="宋体"/>
                <w:spacing w:val="-5"/>
                <w:sz w:val="24"/>
                <w:szCs w:val="24"/>
                <w:lang w:eastAsia="en-US"/>
              </w:rPr>
              <w:t xml:space="preserve">系统功能</w:t>
            </w:r>
            <w:r/>
          </w:p>
        </w:tc>
        <w:tc>
          <w:tcPr>
            <w:tcW w:w="996" w:type="dxa"/>
            <w:vAlign w:val="center"/>
            <w:textDirection w:val="lrTb"/>
            <w:noWrap w:val="false"/>
          </w:tcPr>
          <w:p>
            <w:pPr>
              <w:ind w:right="168"/>
              <w:jc w:val="center"/>
              <w:spacing w:before="59" w:line="247"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BMC 固件基础功能</w:t>
            </w:r>
            <w:r/>
          </w:p>
        </w:tc>
        <w:tc>
          <w:tcPr>
            <w:tcW w:w="5280" w:type="dxa"/>
            <w:vAlign w:val="center"/>
            <w:textDirection w:val="lrTb"/>
            <w:noWrap w:val="false"/>
          </w:tcPr>
          <w:p>
            <w:pPr>
              <w:ind w:left="123"/>
              <w:spacing w:before="39"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1)支持DHCP设置网络功能；</w:t>
            </w:r>
            <w:r/>
          </w:p>
          <w:p>
            <w:pPr>
              <w:ind w:left="112"/>
              <w:spacing w:before="32"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2)支持静态 IP设置网络功能；</w:t>
            </w:r>
            <w:r/>
          </w:p>
          <w:p>
            <w:pPr>
              <w:ind w:left="112" w:right="168" w:firstLine="1"/>
              <w:spacing w:before="33"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3)支持设备日志记录，包括但不限于登录日志、操作日志和报警日志</w:t>
            </w:r>
            <w:r>
              <w:rPr>
                <w:rFonts w:hint="eastAsia" w:ascii="宋体" w:hAnsi="宋体" w:eastAsia="宋体" w:cs="宋体"/>
                <w:i/>
                <w:iCs/>
                <w:spacing w:val="-2"/>
                <w:sz w:val="24"/>
                <w:szCs w:val="24"/>
                <w:u w:val="single"/>
                <w:lang w:eastAsia="en-US"/>
              </w:rPr>
              <w:t xml:space="preserve">等功能；</w:t>
            </w:r>
            <w:r/>
          </w:p>
          <w:p>
            <w:pPr>
              <w:ind w:left="118" w:right="168" w:hanging="10"/>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4)支持日志信息导出和记录删除功</w:t>
            </w:r>
            <w:r>
              <w:rPr>
                <w:rFonts w:hint="eastAsia" w:ascii="宋体" w:hAnsi="宋体" w:eastAsia="宋体" w:cs="宋体"/>
                <w:i/>
                <w:iCs/>
                <w:spacing w:val="-7"/>
                <w:sz w:val="24"/>
                <w:szCs w:val="24"/>
                <w:u w:val="single"/>
                <w:lang w:eastAsia="en-US"/>
              </w:rPr>
              <w:t xml:space="preserve">能；</w:t>
            </w:r>
            <w:r/>
          </w:p>
          <w:p>
            <w:pPr>
              <w:ind w:left="123" w:right="168" w:hanging="14"/>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5)支持通过管理接口向外输出准确</w:t>
            </w:r>
            <w:r>
              <w:rPr>
                <w:rFonts w:hint="eastAsia" w:ascii="宋体" w:hAnsi="宋体" w:eastAsia="宋体" w:cs="宋体"/>
                <w:i/>
                <w:iCs/>
                <w:spacing w:val="-3"/>
                <w:sz w:val="24"/>
                <w:szCs w:val="24"/>
                <w:u w:val="single"/>
                <w:lang w:eastAsia="en-US"/>
              </w:rPr>
              <w:t xml:space="preserve">的报警信息功能；</w:t>
            </w:r>
            <w:r/>
          </w:p>
          <w:p>
            <w:pPr>
              <w:ind w:left="112" w:right="168"/>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6)设备的</w:t>
            </w:r>
            <w:r>
              <w:rPr>
                <w:rFonts w:hint="eastAsia" w:ascii="宋体" w:hAnsi="宋体" w:eastAsia="宋体" w:cs="宋体"/>
                <w:i/>
                <w:iCs/>
                <w:sz w:val="24"/>
                <w:szCs w:val="24"/>
                <w:u w:val="single"/>
                <w:lang w:eastAsia="en-US"/>
              </w:rPr>
              <w:t xml:space="preserve">BMC</w:t>
            </w:r>
            <w:r>
              <w:rPr>
                <w:rFonts w:hint="eastAsia" w:ascii="宋体" w:hAnsi="宋体" w:eastAsia="宋体" w:cs="宋体"/>
                <w:i/>
                <w:iCs/>
                <w:spacing w:val="1"/>
                <w:sz w:val="24"/>
                <w:szCs w:val="24"/>
                <w:u w:val="single"/>
                <w:lang w:eastAsia="en-US"/>
              </w:rPr>
              <w:t xml:space="preserve">管理软件应能够按报</w:t>
            </w:r>
            <w:r>
              <w:rPr>
                <w:rFonts w:hint="eastAsia" w:ascii="宋体" w:hAnsi="宋体" w:eastAsia="宋体" w:cs="宋体"/>
                <w:i/>
                <w:iCs/>
                <w:spacing w:val="-1"/>
                <w:sz w:val="24"/>
                <w:szCs w:val="24"/>
                <w:u w:val="single"/>
                <w:lang w:eastAsia="en-US"/>
              </w:rPr>
              <w:t xml:space="preserve">警的严重程度进行区分；</w:t>
            </w:r>
            <w:r/>
          </w:p>
          <w:p>
            <w:pPr>
              <w:ind w:left="112" w:right="215" w:firstLine="2"/>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7)支持 IPMI2.0、SNMP或Redfish</w:t>
            </w:r>
            <w:r>
              <w:rPr>
                <w:rFonts w:hint="eastAsia" w:ascii="宋体" w:hAnsi="宋体" w:eastAsia="宋体" w:cs="宋体"/>
                <w:i/>
                <w:iCs/>
                <w:spacing w:val="-1"/>
                <w:sz w:val="24"/>
                <w:szCs w:val="24"/>
                <w:u w:val="single"/>
                <w:lang w:eastAsia="en-US"/>
              </w:rPr>
              <w:t xml:space="preserve">等接口功能；</w:t>
            </w:r>
            <w:r/>
          </w:p>
          <w:p>
            <w:pPr>
              <w:ind w:left="112" w:right="41" w:hanging="1"/>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8)支持键盘、鼠标和视频的重定向、</w:t>
            </w:r>
            <w:r>
              <w:rPr>
                <w:rFonts w:hint="eastAsia" w:ascii="宋体" w:hAnsi="宋体" w:eastAsia="宋体" w:cs="宋体"/>
                <w:i/>
                <w:iCs/>
                <w:spacing w:val="-1"/>
                <w:sz w:val="24"/>
                <w:szCs w:val="24"/>
                <w:u w:val="single"/>
                <w:lang w:eastAsia="en-US"/>
              </w:rPr>
              <w:t xml:space="preserve">文本控制台的重定向、远程虚拟媒</w:t>
            </w:r>
            <w:r>
              <w:rPr>
                <w:rFonts w:hint="eastAsia" w:ascii="宋体" w:hAnsi="宋体" w:eastAsia="宋体" w:cs="宋体"/>
                <w:i/>
                <w:iCs/>
                <w:spacing w:val="-4"/>
                <w:sz w:val="24"/>
                <w:szCs w:val="24"/>
                <w:u w:val="single"/>
                <w:lang w:eastAsia="en-US"/>
              </w:rPr>
              <w:t xml:space="preserve">体、高可靠的硬件监控和管理功能；</w:t>
            </w:r>
            <w:r/>
          </w:p>
          <w:p>
            <w:pPr>
              <w:ind w:left="113" w:right="168" w:hanging="5"/>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9)支持基于网络开启、关闭和重启设备的功能，并查询当前设备开机</w:t>
            </w:r>
            <w:r>
              <w:rPr>
                <w:rFonts w:hint="eastAsia" w:ascii="宋体" w:hAnsi="宋体" w:eastAsia="宋体" w:cs="宋体"/>
                <w:i/>
                <w:iCs/>
                <w:spacing w:val="-2"/>
                <w:sz w:val="24"/>
                <w:szCs w:val="24"/>
                <w:u w:val="single"/>
                <w:lang w:eastAsia="en-US"/>
              </w:rPr>
              <w:t xml:space="preserve">运行状态；</w:t>
            </w:r>
            <w:r/>
          </w:p>
          <w:p>
            <w:pPr>
              <w:ind w:left="134" w:right="103" w:hanging="11"/>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10)支持故障提示功能，并可通过接口读取服务器故障信息；</w:t>
            </w:r>
            <w:r/>
          </w:p>
          <w:p>
            <w:pPr>
              <w:ind w:left="112" w:right="124" w:firstLine="10"/>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11)支持基于网络的固件更新功能，包括BMC和BIOS等；</w:t>
            </w:r>
            <w:r/>
          </w:p>
          <w:p>
            <w:pPr>
              <w:ind w:left="113" w:right="168" w:firstLine="9"/>
              <w:spacing w:before="7"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12)支持基于网络安装操作系统的</w:t>
            </w:r>
            <w:r>
              <w:rPr>
                <w:rFonts w:hint="eastAsia" w:ascii="宋体" w:hAnsi="宋体" w:eastAsia="宋体" w:cs="宋体"/>
                <w:i/>
                <w:iCs/>
                <w:spacing w:val="-1"/>
                <w:sz w:val="24"/>
                <w:szCs w:val="24"/>
                <w:u w:val="single"/>
                <w:lang w:eastAsia="en-US"/>
              </w:rPr>
              <w:t xml:space="preserve">功能，并可通过网络控制台访问设</w:t>
            </w:r>
            <w:r>
              <w:rPr>
                <w:rFonts w:hint="eastAsia" w:ascii="宋体" w:hAnsi="宋体" w:eastAsia="宋体" w:cs="宋体"/>
                <w:i/>
                <w:iCs/>
                <w:spacing w:val="-4"/>
                <w:sz w:val="24"/>
                <w:szCs w:val="24"/>
                <w:u w:val="single"/>
                <w:lang w:eastAsia="en-US"/>
              </w:rPr>
              <w:t xml:space="preserve">备；</w:t>
            </w:r>
            <w:r/>
          </w:p>
          <w:p>
            <w:pPr>
              <w:ind w:left="112" w:right="168" w:firstLine="10"/>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13)支持通过本地的硬盘或光驱等</w:t>
            </w:r>
            <w:r>
              <w:rPr>
                <w:rFonts w:hint="eastAsia" w:ascii="宋体" w:hAnsi="宋体" w:eastAsia="宋体" w:cs="宋体"/>
                <w:i/>
                <w:iCs/>
                <w:spacing w:val="-1"/>
                <w:sz w:val="24"/>
                <w:szCs w:val="24"/>
                <w:u w:val="single"/>
                <w:lang w:eastAsia="en-US"/>
              </w:rPr>
              <w:t xml:space="preserve">存储设备，基于网络完成设备的操作系统安装功能；</w:t>
            </w:r>
            <w:r/>
          </w:p>
          <w:p>
            <w:pPr>
              <w:ind w:left="115" w:right="259" w:firstLine="7"/>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14)支持通过浏览器打开管理界面并登录功能；</w:t>
            </w:r>
            <w:r/>
          </w:p>
          <w:p>
            <w:pPr>
              <w:ind w:left="123"/>
              <w:spacing w:before="6"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15)支持设置口令策略功能；</w:t>
            </w:r>
            <w:r/>
          </w:p>
          <w:p>
            <w:pPr>
              <w:ind w:left="141" w:right="103" w:hanging="18"/>
              <w:spacing w:before="33"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16)支持访问权限设置功能，并通过</w:t>
            </w:r>
            <w:r>
              <w:rPr>
                <w:rFonts w:hint="eastAsia" w:ascii="宋体" w:hAnsi="宋体" w:eastAsia="宋体" w:cs="宋体"/>
                <w:i/>
                <w:iCs/>
                <w:spacing w:val="-4"/>
                <w:sz w:val="24"/>
                <w:szCs w:val="24"/>
                <w:u w:val="single"/>
                <w:lang w:eastAsia="en-US"/>
              </w:rPr>
              <w:t xml:space="preserve">日志记录访问事件；</w:t>
            </w:r>
            <w:r/>
          </w:p>
          <w:p>
            <w:pPr>
              <w:ind w:left="112" w:right="168" w:firstLine="10"/>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17)支持对出厂默认的用户名及口</w:t>
            </w:r>
            <w:r>
              <w:rPr>
                <w:rFonts w:hint="eastAsia" w:ascii="宋体" w:hAnsi="宋体" w:eastAsia="宋体" w:cs="宋体"/>
                <w:i/>
                <w:iCs/>
                <w:spacing w:val="-1"/>
                <w:sz w:val="24"/>
                <w:szCs w:val="24"/>
                <w:u w:val="single"/>
                <w:lang w:eastAsia="en-US"/>
              </w:rPr>
              <w:t xml:space="preserve">令进行安全保护功能，并提供默认口令修改提示；</w:t>
            </w:r>
            <w:r/>
          </w:p>
          <w:p>
            <w:pPr>
              <w:ind w:left="114" w:right="259" w:firstLine="8"/>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18)支持读取设备主板的工作环境温度功能；</w:t>
            </w:r>
            <w:r/>
          </w:p>
          <w:p>
            <w:pPr>
              <w:ind w:left="123" w:right="103"/>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19)支持读取服务器CPU等核心器件</w:t>
            </w:r>
            <w:r>
              <w:rPr>
                <w:rFonts w:hint="eastAsia" w:ascii="宋体" w:hAnsi="宋体" w:eastAsia="宋体" w:cs="宋体"/>
                <w:i/>
                <w:iCs/>
                <w:spacing w:val="-3"/>
                <w:sz w:val="24"/>
                <w:szCs w:val="24"/>
                <w:u w:val="single"/>
                <w:lang w:eastAsia="en-US"/>
              </w:rPr>
              <w:t xml:space="preserve">的温度功能；</w:t>
            </w:r>
            <w:r/>
          </w:p>
          <w:p>
            <w:pPr>
              <w:ind w:left="112"/>
              <w:spacing w:before="6" w:line="199"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20)支持通过外部管理工具进行BMC参数设置的功能，并可基于网络通</w:t>
            </w:r>
            <w:r>
              <w:rPr>
                <w:rFonts w:hint="eastAsia" w:ascii="宋体" w:hAnsi="宋体" w:eastAsia="宋体" w:cs="宋体"/>
                <w:i/>
                <w:iCs/>
                <w:spacing w:val="-2"/>
                <w:sz w:val="24"/>
                <w:szCs w:val="24"/>
                <w:u w:val="single"/>
                <w:lang w:eastAsia="en-US"/>
              </w:rPr>
              <w:t xml:space="preserve">过外部管理工具对BMC进行管理；</w:t>
            </w:r>
            <w:r/>
          </w:p>
          <w:p>
            <w:pPr>
              <w:ind w:left="112"/>
              <w:spacing w:before="5"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21)应支持固件版本查询、固件升级</w:t>
            </w:r>
            <w:r/>
          </w:p>
          <w:p>
            <w:pPr>
              <w:ind w:left="112" w:right="259"/>
              <w:spacing w:before="25"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22)支持基于网络实现开关机和复位控制的功能；</w:t>
            </w:r>
            <w:r/>
          </w:p>
          <w:p>
            <w:pPr>
              <w:ind w:left="113" w:right="103" w:hanging="1"/>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23)BMC启动时间应不超过180s，实</w:t>
            </w:r>
            <w:r>
              <w:rPr>
                <w:rFonts w:hint="eastAsia" w:ascii="宋体" w:hAnsi="宋体" w:eastAsia="宋体" w:cs="宋体"/>
                <w:i/>
                <w:iCs/>
                <w:spacing w:val="-1"/>
                <w:sz w:val="24"/>
                <w:szCs w:val="24"/>
                <w:u w:val="single"/>
                <w:lang w:eastAsia="en-US"/>
              </w:rPr>
              <w:t xml:space="preserve">现功能包括网络、IPMI、散热、传</w:t>
            </w:r>
            <w:r>
              <w:rPr>
                <w:rFonts w:hint="eastAsia" w:ascii="宋体" w:hAnsi="宋体" w:eastAsia="宋体" w:cs="宋体"/>
                <w:i/>
                <w:iCs/>
                <w:spacing w:val="-2"/>
                <w:sz w:val="24"/>
                <w:szCs w:val="24"/>
                <w:u w:val="single"/>
                <w:lang w:eastAsia="en-US"/>
              </w:rPr>
              <w:t xml:space="preserve">感器服务可用；</w:t>
            </w:r>
            <w:r/>
          </w:p>
          <w:p>
            <w:pPr>
              <w:ind w:left="112"/>
              <w:spacing w:before="6" w:line="199"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2"/>
                <w:sz w:val="24"/>
                <w:szCs w:val="24"/>
                <w:u w:val="single"/>
                <w:lang w:eastAsia="en-US"/>
              </w:rPr>
              <w:t xml:space="preserve">24)支持BMC固件设置的恢复出厂功</w:t>
            </w:r>
            <w:r>
              <w:rPr>
                <w:rFonts w:hint="eastAsia" w:ascii="宋体" w:hAnsi="宋体" w:eastAsia="宋体" w:cs="宋体"/>
                <w:i/>
                <w:iCs/>
                <w:sz w:val="24"/>
                <w:szCs w:val="24"/>
                <w:u w:val="single"/>
                <w:lang w:eastAsia="en-US"/>
              </w:rPr>
              <w:t xml:space="preserve">能</w:t>
            </w:r>
            <w:r/>
          </w:p>
        </w:tc>
      </w:tr>
      <w:tr>
        <w:trPr>
          <w:trHeight w:val="1638"/>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65</w:t>
            </w:r>
            <w:r/>
          </w:p>
        </w:tc>
        <w:tc>
          <w:tcPr>
            <w:tcBorders>
              <w:top w:val="none" w:color="000000" w:sz="4" w:space="0"/>
            </w:tcBorders>
            <w:tcW w:w="1153" w:type="dxa"/>
            <w:vAlign w:val="center"/>
            <w:vMerge w:val="restart"/>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right="214"/>
              <w:jc w:val="center"/>
              <w:spacing w:before="59"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BMC 固件增强功能</w:t>
            </w:r>
            <w:r/>
          </w:p>
        </w:tc>
        <w:tc>
          <w:tcPr>
            <w:tcW w:w="5280" w:type="dxa"/>
            <w:vAlign w:val="center"/>
            <w:textDirection w:val="lrTb"/>
            <w:noWrap w:val="false"/>
          </w:tcPr>
          <w:p>
            <w:pPr>
              <w:ind w:left="118" w:right="103" w:hanging="4"/>
              <w:spacing w:before="29"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a）网络控制、安装提供图形访问界面网络；</w:t>
            </w:r>
            <w:r/>
          </w:p>
          <w:p>
            <w:pPr>
              <w:ind w:left="112" w:right="103" w:firstLine="2"/>
              <w:spacing w:before="5"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b）设备的BMC管理软件界面显示报</w:t>
            </w:r>
            <w:r>
              <w:rPr>
                <w:rFonts w:hint="eastAsia" w:ascii="宋体" w:hAnsi="宋体" w:eastAsia="宋体" w:cs="宋体"/>
                <w:i/>
                <w:iCs/>
                <w:spacing w:val="-1"/>
                <w:sz w:val="24"/>
                <w:szCs w:val="24"/>
                <w:u w:val="single"/>
                <w:lang w:eastAsia="en-US"/>
              </w:rPr>
              <w:t xml:space="preserve">警信息，且能够按报警的严重程度</w:t>
            </w:r>
            <w:r>
              <w:rPr>
                <w:rFonts w:hint="eastAsia" w:ascii="宋体" w:hAnsi="宋体" w:eastAsia="宋体" w:cs="宋体"/>
                <w:i/>
                <w:iCs/>
                <w:spacing w:val="-2"/>
                <w:sz w:val="24"/>
                <w:szCs w:val="24"/>
                <w:u w:val="single"/>
                <w:lang w:eastAsia="en-US"/>
              </w:rPr>
              <w:t xml:space="preserve">进行区分；</w:t>
            </w:r>
            <w:r/>
          </w:p>
          <w:p>
            <w:pPr>
              <w:ind w:left="113" w:right="125"/>
              <w:spacing w:before="3"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c）Web GUI采用BMC端口直连，平</w:t>
            </w:r>
            <w:r>
              <w:rPr>
                <w:rFonts w:hint="eastAsia" w:ascii="宋体" w:hAnsi="宋体" w:eastAsia="宋体" w:cs="宋体"/>
                <w:i/>
                <w:iCs/>
                <w:spacing w:val="-3"/>
                <w:sz w:val="24"/>
                <w:szCs w:val="24"/>
                <w:u w:val="single"/>
                <w:lang w:eastAsia="en-US"/>
              </w:rPr>
              <w:t xml:space="preserve">均响应时间为不大于1s</w:t>
            </w:r>
            <w:r/>
          </w:p>
        </w:tc>
      </w:tr>
      <w:tr>
        <w:trPr>
          <w:trHeight w:val="6072"/>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right="214"/>
              <w:jc w:val="center"/>
              <w:spacing w:before="58" w:line="247"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BIOS 固件基础功能</w:t>
            </w:r>
            <w:r/>
          </w:p>
        </w:tc>
        <w:tc>
          <w:tcPr>
            <w:tcW w:w="5280" w:type="dxa"/>
            <w:vAlign w:val="center"/>
            <w:textDirection w:val="lrTb"/>
            <w:noWrap w:val="false"/>
          </w:tcPr>
          <w:p>
            <w:pPr>
              <w:ind w:left="113" w:right="109"/>
              <w:spacing w:before="30" w:line="237"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a）支持查看固件版本、内存信息、</w:t>
            </w:r>
            <w:r>
              <w:rPr>
                <w:rFonts w:hint="eastAsia" w:ascii="宋体" w:hAnsi="宋体" w:eastAsia="宋体" w:cs="宋体"/>
                <w:i/>
                <w:iCs/>
                <w:spacing w:val="-1"/>
                <w:sz w:val="24"/>
                <w:szCs w:val="24"/>
                <w:u w:val="single"/>
                <w:lang w:eastAsia="en-US"/>
              </w:rPr>
              <w:t xml:space="preserve">主板信息、处理器信息和系统时间</w:t>
            </w:r>
            <w:r>
              <w:rPr>
                <w:rFonts w:hint="eastAsia" w:ascii="宋体" w:hAnsi="宋体" w:eastAsia="宋体" w:cs="宋体"/>
                <w:i/>
                <w:iCs/>
                <w:spacing w:val="-2"/>
                <w:sz w:val="24"/>
                <w:szCs w:val="24"/>
                <w:u w:val="single"/>
                <w:lang w:eastAsia="en-US"/>
              </w:rPr>
              <w:t xml:space="preserve">信息功能；</w:t>
            </w:r>
            <w:r/>
          </w:p>
          <w:p>
            <w:pPr>
              <w:ind w:left="112" w:right="103" w:firstLine="2"/>
              <w:spacing w:before="7" w:line="237"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b）支持上电初始化界面显示CPU信</w:t>
            </w:r>
            <w:r>
              <w:rPr>
                <w:rFonts w:hint="eastAsia" w:ascii="宋体" w:hAnsi="宋体" w:eastAsia="宋体" w:cs="宋体"/>
                <w:i/>
                <w:iCs/>
                <w:spacing w:val="-1"/>
                <w:sz w:val="24"/>
                <w:szCs w:val="24"/>
                <w:u w:val="single"/>
                <w:lang w:eastAsia="en-US"/>
              </w:rPr>
              <w:t xml:space="preserve">息、内存信息、固件版本和部分快捷键信息功能；</w:t>
            </w:r>
            <w:r/>
          </w:p>
          <w:p>
            <w:pPr>
              <w:ind w:left="119" w:right="103" w:hanging="6"/>
              <w:spacing w:before="6"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c）支持设置界面中英文显示切换功</w:t>
            </w:r>
            <w:r>
              <w:rPr>
                <w:rFonts w:hint="eastAsia" w:ascii="宋体" w:hAnsi="宋体" w:eastAsia="宋体" w:cs="宋体"/>
                <w:i/>
                <w:iCs/>
                <w:spacing w:val="-7"/>
                <w:sz w:val="24"/>
                <w:szCs w:val="24"/>
                <w:u w:val="single"/>
                <w:lang w:eastAsia="en-US"/>
              </w:rPr>
              <w:t xml:space="preserve">能；</w:t>
            </w:r>
            <w:r/>
          </w:p>
          <w:p>
            <w:pPr>
              <w:ind w:left="114" w:right="169" w:hanging="1"/>
              <w:spacing w:before="2"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d）支持查看PCIe设备信息，SATA设备信息功能；</w:t>
            </w:r>
            <w:r/>
          </w:p>
          <w:p>
            <w:pPr>
              <w:ind w:left="114" w:right="124" w:hanging="1"/>
              <w:spacing w:before="5"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e）支持操作系统安装和引导功能，</w:t>
            </w:r>
            <w:r>
              <w:rPr>
                <w:rFonts w:hint="eastAsia" w:ascii="宋体" w:hAnsi="宋体" w:eastAsia="宋体" w:cs="宋体"/>
                <w:i/>
                <w:iCs/>
                <w:spacing w:val="-1"/>
                <w:sz w:val="24"/>
                <w:szCs w:val="24"/>
                <w:u w:val="single"/>
                <w:lang w:eastAsia="en-US"/>
              </w:rPr>
              <w:t xml:space="preserve">应并向操作系统提供计算机主板信</w:t>
            </w:r>
            <w:r>
              <w:rPr>
                <w:rFonts w:hint="eastAsia" w:ascii="宋体" w:hAnsi="宋体" w:eastAsia="宋体" w:cs="宋体"/>
                <w:i/>
                <w:iCs/>
                <w:spacing w:val="-2"/>
                <w:sz w:val="24"/>
                <w:szCs w:val="24"/>
                <w:u w:val="single"/>
                <w:lang w:eastAsia="en-US"/>
              </w:rPr>
              <w:t xml:space="preserve">息和服务接口；</w:t>
            </w:r>
            <w:r/>
          </w:p>
          <w:p>
            <w:pPr>
              <w:ind w:left="123" w:right="103" w:hanging="9"/>
              <w:spacing w:before="6"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f）支持设置启动顺序，并按照设置</w:t>
            </w:r>
            <w:r>
              <w:rPr>
                <w:rFonts w:hint="eastAsia" w:ascii="宋体" w:hAnsi="宋体" w:eastAsia="宋体" w:cs="宋体"/>
                <w:i/>
                <w:iCs/>
                <w:spacing w:val="-2"/>
                <w:sz w:val="24"/>
                <w:szCs w:val="24"/>
                <w:u w:val="single"/>
                <w:lang w:eastAsia="en-US"/>
              </w:rPr>
              <w:t xml:space="preserve">的启动顺序启动功能；</w:t>
            </w:r>
            <w:r/>
          </w:p>
          <w:p>
            <w:pPr>
              <w:ind w:left="113"/>
              <w:spacing w:before="3"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g）支持安全启动功能；</w:t>
            </w:r>
            <w:r/>
          </w:p>
          <w:p>
            <w:pPr>
              <w:ind w:left="134" w:right="103" w:hanging="18"/>
              <w:spacing w:before="25"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h）支持设置口令、修改口令、验证</w:t>
            </w:r>
            <w:r>
              <w:rPr>
                <w:rFonts w:hint="eastAsia" w:ascii="宋体" w:hAnsi="宋体" w:eastAsia="宋体" w:cs="宋体"/>
                <w:i/>
                <w:iCs/>
                <w:spacing w:val="-6"/>
                <w:sz w:val="24"/>
                <w:szCs w:val="24"/>
                <w:u w:val="single"/>
                <w:lang w:eastAsia="en-US"/>
              </w:rPr>
              <w:t xml:space="preserve">口令功能；</w:t>
            </w:r>
            <w:r/>
          </w:p>
          <w:p>
            <w:pPr>
              <w:ind w:left="118" w:right="103" w:firstLine="25"/>
              <w:spacing w:before="6"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i）支持板载显示控制或独立显卡的</w:t>
            </w:r>
            <w:r>
              <w:rPr>
                <w:rFonts w:hint="eastAsia" w:ascii="宋体" w:hAnsi="宋体" w:eastAsia="宋体" w:cs="宋体"/>
                <w:i/>
                <w:iCs/>
                <w:spacing w:val="-2"/>
                <w:sz w:val="24"/>
                <w:szCs w:val="24"/>
                <w:u w:val="single"/>
                <w:lang w:eastAsia="en-US"/>
              </w:rPr>
              <w:t xml:space="preserve">显示控制功能；</w:t>
            </w:r>
            <w:r/>
          </w:p>
          <w:p>
            <w:pPr>
              <w:ind w:left="123"/>
              <w:spacing w:before="3"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j）支持RAID识别和启动功能；</w:t>
            </w:r>
            <w:r/>
          </w:p>
          <w:p>
            <w:pPr>
              <w:ind w:left="117"/>
              <w:spacing w:before="25"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k）支持串口重定向功能；</w:t>
            </w:r>
            <w:r/>
          </w:p>
          <w:p>
            <w:pPr>
              <w:ind w:left="144"/>
              <w:spacing w:before="25"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l）支持固件更新功能；</w:t>
            </w:r>
            <w:r/>
          </w:p>
          <w:p>
            <w:pPr>
              <w:ind w:left="114" w:right="168" w:hanging="5"/>
              <w:spacing w:before="28"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m）支持</w:t>
            </w:r>
            <w:r>
              <w:rPr>
                <w:rFonts w:hint="eastAsia" w:ascii="宋体" w:hAnsi="宋体" w:eastAsia="宋体" w:cs="宋体"/>
                <w:i/>
                <w:iCs/>
                <w:sz w:val="24"/>
                <w:szCs w:val="24"/>
                <w:u w:val="single"/>
                <w:lang w:eastAsia="en-US"/>
              </w:rPr>
              <w:t xml:space="preserve">BIOS</w:t>
            </w:r>
            <w:r>
              <w:rPr>
                <w:rFonts w:hint="eastAsia" w:ascii="宋体" w:hAnsi="宋体" w:eastAsia="宋体" w:cs="宋体"/>
                <w:i/>
                <w:iCs/>
                <w:spacing w:val="1"/>
                <w:sz w:val="24"/>
                <w:szCs w:val="24"/>
                <w:u w:val="single"/>
                <w:lang w:eastAsia="en-US"/>
              </w:rPr>
              <w:t xml:space="preserve">固件设置的恢复出厂</w:t>
            </w:r>
            <w:r>
              <w:rPr>
                <w:rFonts w:hint="eastAsia" w:ascii="宋体" w:hAnsi="宋体" w:eastAsia="宋体" w:cs="宋体"/>
                <w:i/>
                <w:iCs/>
                <w:spacing w:val="-3"/>
                <w:sz w:val="24"/>
                <w:szCs w:val="24"/>
                <w:u w:val="single"/>
                <w:lang w:eastAsia="en-US"/>
              </w:rPr>
              <w:t xml:space="preserve">功能；</w:t>
            </w:r>
            <w:r/>
          </w:p>
          <w:p>
            <w:pPr>
              <w:ind w:left="116"/>
              <w:spacing w:before="5" w:line="20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n）支持网络引导启用和关闭功能</w:t>
            </w:r>
            <w:r/>
          </w:p>
        </w:tc>
      </w:tr>
      <w:tr>
        <w:trPr>
          <w:trHeight w:val="485"/>
        </w:trPr>
        <w:tc>
          <w:tcPr>
            <w:tcW w:w="719" w:type="dxa"/>
            <w:vAlign w:val="center"/>
            <w:textDirection w:val="lrTb"/>
            <w:noWrap w:val="false"/>
          </w:tcPr>
          <w:p>
            <w:pPr>
              <w:ind w:left="247"/>
              <w:spacing w:before="155"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67</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远程控制</w:t>
            </w:r>
            <w:r/>
          </w:p>
        </w:tc>
        <w:tc>
          <w:tcPr>
            <w:tcW w:w="5280" w:type="dxa"/>
            <w:vAlign w:val="center"/>
            <w:textDirection w:val="lrTb"/>
            <w:noWrap w:val="false"/>
          </w:tcPr>
          <w:p>
            <w:pPr>
              <w:ind w:left="119"/>
              <w:spacing w:before="162"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支持远程关机和重新启动功能</w:t>
            </w:r>
            <w:r/>
          </w:p>
        </w:tc>
      </w:tr>
      <w:tr>
        <w:trPr>
          <w:trHeight w:val="725"/>
        </w:trPr>
        <w:tc>
          <w:tcPr>
            <w:tcW w:w="719" w:type="dxa"/>
            <w:vAlign w:val="center"/>
            <w:textDirection w:val="lrTb"/>
            <w:noWrap w:val="false"/>
          </w:tcPr>
          <w:p>
            <w:pPr>
              <w:ind w:left="247"/>
              <w:spacing w:before="277"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68</w:t>
            </w:r>
            <w:r/>
          </w:p>
        </w:tc>
        <w:tc>
          <w:tcPr>
            <w:tcBorders>
              <w:bottom w:val="none" w:color="000000" w:sz="4" w:space="0"/>
            </w:tcBorders>
            <w:tcW w:w="1153" w:type="dxa"/>
            <w:vAlign w:val="center"/>
            <w:vMerge w:val="restart"/>
            <w:textDirection w:val="lrTb"/>
            <w:noWrap w:val="false"/>
          </w:tcPr>
          <w:p>
            <w:pPr>
              <w:jc w:val="center"/>
              <w:spacing w:before="58" w:line="222"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操作</w:t>
            </w:r>
            <w:r/>
          </w:p>
          <w:p>
            <w:pPr>
              <w:ind w:left="192"/>
              <w:jc w:val="center"/>
              <w:spacing w:before="23" w:line="221"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系统</w:t>
            </w:r>
            <w:r/>
          </w:p>
          <w:p>
            <w:pPr>
              <w:ind w:left="188"/>
              <w:jc w:val="center"/>
              <w:spacing w:before="24" w:line="22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及驱</w:t>
            </w:r>
            <w:r/>
          </w:p>
          <w:p>
            <w:pPr>
              <w:ind w:left="189"/>
              <w:jc w:val="center"/>
              <w:spacing w:before="23" w:line="22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动功</w:t>
            </w:r>
            <w:r/>
          </w:p>
          <w:p>
            <w:pPr>
              <w:ind w:left="285"/>
              <w:jc w:val="center"/>
              <w:spacing w:before="24" w:line="222"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操作系统及驱动的升级</w:t>
            </w:r>
            <w:r/>
          </w:p>
        </w:tc>
        <w:tc>
          <w:tcPr>
            <w:tcW w:w="5280" w:type="dxa"/>
            <w:vAlign w:val="center"/>
            <w:textDirection w:val="lrTb"/>
            <w:noWrap w:val="false"/>
          </w:tcPr>
          <w:p>
            <w:pPr>
              <w:ind w:left="112" w:right="41" w:firstLine="7"/>
              <w:spacing w:before="164" w:line="247"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支持通过网络、闪存盘对操作系统、</w:t>
            </w:r>
            <w:r>
              <w:rPr>
                <w:rFonts w:hint="eastAsia" w:ascii="宋体" w:hAnsi="宋体" w:eastAsia="宋体" w:cs="宋体"/>
                <w:i/>
                <w:iCs/>
                <w:spacing w:val="-1"/>
                <w:sz w:val="24"/>
                <w:szCs w:val="24"/>
                <w:u w:val="single"/>
                <w:lang w:eastAsia="en-US"/>
              </w:rPr>
              <w:t xml:space="preserve">驱动进行升级</w:t>
            </w:r>
            <w:r/>
          </w:p>
        </w:tc>
      </w:tr>
      <w:tr>
        <w:trPr>
          <w:trHeight w:val="725"/>
        </w:trPr>
        <w:tc>
          <w:tcPr>
            <w:tcW w:w="719" w:type="dxa"/>
            <w:vAlign w:val="center"/>
            <w:textDirection w:val="lrTb"/>
            <w:noWrap w:val="false"/>
          </w:tcPr>
          <w:p>
            <w:pPr>
              <w:ind w:left="247"/>
              <w:spacing w:before="277"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69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操作系统</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及驱动的</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备份还原</w:t>
            </w:r>
            <w:r/>
          </w:p>
        </w:tc>
        <w:tc>
          <w:tcPr>
            <w:tcW w:w="5280" w:type="dxa"/>
            <w:vAlign w:val="center"/>
            <w:textDirection w:val="lrTb"/>
            <w:noWrap w:val="false"/>
          </w:tcPr>
          <w:p>
            <w:pPr>
              <w:ind w:left="119"/>
              <w:spacing w:before="283"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支持操作系统备份及还原功能</w:t>
            </w:r>
            <w:r/>
          </w:p>
        </w:tc>
      </w:tr>
      <w:tr>
        <w:trPr>
          <w:trHeight w:val="967"/>
        </w:trPr>
        <w:tc>
          <w:tcPr>
            <w:tcW w:w="719" w:type="dxa"/>
            <w:vAlign w:val="center"/>
            <w:textDirection w:val="lrTb"/>
            <w:noWrap w:val="false"/>
          </w:tcPr>
          <w:p>
            <w:pPr>
              <w:ind w:left="248"/>
              <w:spacing w:before="58"/>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70</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操作系统功能</w:t>
            </w:r>
            <w:r/>
          </w:p>
        </w:tc>
        <w:tc>
          <w:tcPr>
            <w:tcW w:w="5280" w:type="dxa"/>
            <w:vAlign w:val="center"/>
            <w:textDirection w:val="lrTb"/>
            <w:noWrap w:val="false"/>
          </w:tcPr>
          <w:p>
            <w:pPr>
              <w:ind w:left="113" w:right="103" w:firstLine="1"/>
              <w:spacing w:before="44"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支持访问控制、安全审计、网络</w:t>
            </w:r>
            <w:r>
              <w:rPr>
                <w:rFonts w:hint="eastAsia" w:ascii="宋体" w:hAnsi="宋体" w:eastAsia="宋体" w:cs="宋体"/>
                <w:i/>
                <w:iCs/>
                <w:spacing w:val="-1"/>
                <w:sz w:val="24"/>
                <w:szCs w:val="24"/>
                <w:u w:val="single"/>
                <w:lang w:eastAsia="en-US"/>
              </w:rPr>
              <w:t xml:space="preserve">接入鉴别等功能；</w:t>
            </w:r>
            <w:r/>
          </w:p>
          <w:p>
            <w:pPr>
              <w:ind w:left="117" w:right="259" w:hanging="2"/>
              <w:spacing w:before="6"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操作系统其他功能应满足操作系统政府采购需求标准中加*的指</w:t>
            </w:r>
            <w:r>
              <w:rPr>
                <w:rFonts w:hint="eastAsia" w:ascii="宋体" w:hAnsi="宋体" w:eastAsia="宋体" w:cs="宋体"/>
                <w:i/>
                <w:iCs/>
                <w:spacing w:val="-2"/>
                <w:sz w:val="24"/>
                <w:szCs w:val="24"/>
                <w:u w:val="single"/>
                <w:lang w:eastAsia="en-US"/>
              </w:rPr>
              <w:t xml:space="preserve">标要求</w:t>
            </w:r>
            <w:r/>
          </w:p>
        </w:tc>
      </w:tr>
      <w:tr>
        <w:trPr>
          <w:trHeight w:val="964"/>
        </w:trPr>
        <w:tc>
          <w:tcPr>
            <w:tcW w:w="719" w:type="dxa"/>
            <w:vAlign w:val="center"/>
            <w:textDirection w:val="lrTb"/>
            <w:noWrap w:val="false"/>
          </w:tcPr>
          <w:p>
            <w:pPr>
              <w:ind w:left="248"/>
              <w:spacing w:before="59" w:line="239"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71</w:t>
            </w:r>
            <w:r/>
          </w:p>
        </w:tc>
        <w:tc>
          <w:tcPr>
            <w:tcW w:w="1153" w:type="dxa"/>
            <w:vAlign w:val="center"/>
            <w:textDirection w:val="lrTb"/>
            <w:noWrap w:val="false"/>
          </w:tcPr>
          <w:p>
            <w:pPr>
              <w:ind w:left="188" w:right="141" w:hanging="49"/>
              <w:jc w:val="center"/>
              <w:spacing w:before="38" w:line="246"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中文</w:t>
            </w:r>
            <w:r>
              <w:rPr>
                <w:rFonts w:hint="eastAsia" w:ascii="宋体" w:hAnsi="宋体" w:eastAsia="宋体" w:cs="宋体"/>
                <w:spacing w:val="-4"/>
                <w:sz w:val="24"/>
                <w:szCs w:val="24"/>
                <w:lang w:eastAsia="en-US"/>
              </w:rPr>
              <w:t xml:space="preserve">信息处理</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中文信息处理</w:t>
            </w:r>
            <w:r/>
          </w:p>
        </w:tc>
        <w:tc>
          <w:tcPr>
            <w:tcW w:w="5280" w:type="dxa"/>
            <w:vAlign w:val="center"/>
            <w:textDirection w:val="lrTb"/>
            <w:noWrap w:val="false"/>
          </w:tcPr>
          <w:p>
            <w:pPr>
              <w:spacing w:line="337"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13"/>
              <w:spacing w:before="58"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符合GB18030的有关规定</w:t>
            </w:r>
            <w:r/>
          </w:p>
        </w:tc>
      </w:tr>
      <w:tr>
        <w:trPr>
          <w:trHeight w:val="725"/>
        </w:trPr>
        <w:tc>
          <w:tcPr>
            <w:tcW w:w="719" w:type="dxa"/>
            <w:vAlign w:val="center"/>
            <w:textDirection w:val="lrTb"/>
            <w:noWrap w:val="false"/>
          </w:tcPr>
          <w:p>
            <w:pPr>
              <w:ind w:left="248"/>
              <w:spacing w:before="273" w:line="240"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72</w:t>
            </w:r>
            <w:r/>
          </w:p>
        </w:tc>
        <w:tc>
          <w:tcPr>
            <w:tcBorders>
              <w:bottom w:val="none" w:color="000000" w:sz="4" w:space="0"/>
            </w:tcBorders>
            <w:tcW w:w="1153" w:type="dxa"/>
            <w:vAlign w:val="center"/>
            <w:vMerge w:val="restart"/>
            <w:textDirection w:val="lrTb"/>
            <w:noWrap w:val="false"/>
          </w:tcPr>
          <w:p>
            <w:pPr>
              <w:ind w:right="186"/>
              <w:jc w:val="center"/>
              <w:spacing w:before="58" w:line="248"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机柜</w:t>
            </w:r>
            <w:r>
              <w:rPr>
                <w:rFonts w:hint="eastAsia" w:ascii="宋体" w:hAnsi="宋体" w:eastAsia="宋体" w:cs="宋体"/>
                <w:spacing w:val="-5"/>
                <w:sz w:val="24"/>
                <w:szCs w:val="24"/>
                <w:lang w:eastAsia="en-US"/>
              </w:rPr>
              <w:t xml:space="preserve">功能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机柜管理功能</w:t>
            </w:r>
            <w:r/>
          </w:p>
        </w:tc>
        <w:tc>
          <w:tcPr>
            <w:tcW w:w="5280" w:type="dxa"/>
            <w:vAlign w:val="center"/>
            <w:textDirection w:val="lrTb"/>
            <w:noWrap w:val="false"/>
          </w:tcPr>
          <w:p>
            <w:pPr>
              <w:ind w:left="114" w:right="168" w:hanging="2"/>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机柜管理系统包括服务器节点BMC管理系统、机柜管理系统或交换节</w:t>
            </w:r>
            <w:r>
              <w:rPr>
                <w:rFonts w:hint="eastAsia" w:ascii="宋体" w:hAnsi="宋体" w:eastAsia="宋体" w:cs="宋体"/>
                <w:i/>
                <w:iCs/>
                <w:spacing w:val="-2"/>
                <w:sz w:val="24"/>
                <w:szCs w:val="24"/>
                <w:u w:val="single"/>
                <w:lang w:eastAsia="en-US"/>
              </w:rPr>
              <w:t xml:space="preserve">点管理系统</w:t>
            </w:r>
            <w:r/>
          </w:p>
        </w:tc>
      </w:tr>
      <w:tr>
        <w:trPr>
          <w:trHeight w:val="725"/>
        </w:trPr>
        <w:tc>
          <w:tcPr>
            <w:tcW w:w="719" w:type="dxa"/>
            <w:vAlign w:val="center"/>
            <w:textDirection w:val="lrTb"/>
            <w:noWrap w:val="false"/>
          </w:tcPr>
          <w:p>
            <w:pPr>
              <w:ind w:left="248"/>
              <w:spacing w:before="273"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机柜通信方式</w:t>
            </w:r>
            <w:r/>
          </w:p>
        </w:tc>
        <w:tc>
          <w:tcPr>
            <w:tcW w:w="5280" w:type="dxa"/>
            <w:vAlign w:val="center"/>
            <w:textDirection w:val="lrTb"/>
            <w:noWrap w:val="false"/>
          </w:tcPr>
          <w:p>
            <w:pPr>
              <w:ind w:left="112" w:right="168" w:firstLine="1"/>
              <w:spacing w:before="39" w:line="23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若配备机柜管理板可实现包括：资产管理、电源模块、功耗管理和液冷漏液检测等功能</w:t>
            </w:r>
            <w:r/>
          </w:p>
        </w:tc>
      </w:tr>
      <w:tr>
        <w:trPr>
          <w:trHeight w:val="725"/>
        </w:trPr>
        <w:tc>
          <w:tcPr>
            <w:tcW w:w="719" w:type="dxa"/>
            <w:vAlign w:val="center"/>
            <w:textDirection w:val="lrTb"/>
            <w:noWrap w:val="false"/>
          </w:tcPr>
          <w:p>
            <w:pPr>
              <w:ind w:left="248"/>
              <w:spacing w:before="273" w:line="239"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74</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多集群作业管理</w:t>
            </w:r>
            <w:r/>
          </w:p>
        </w:tc>
        <w:tc>
          <w:tcPr>
            <w:tcW w:w="5280" w:type="dxa"/>
            <w:vAlign w:val="center"/>
            <w:textDirection w:val="lrTb"/>
            <w:noWrap w:val="false"/>
          </w:tcPr>
          <w:p>
            <w:pPr>
              <w:ind w:left="119"/>
              <w:spacing w:before="280"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支持多集群作业管理功能</w:t>
            </w:r>
            <w:r/>
          </w:p>
        </w:tc>
      </w:tr>
      <w:tr>
        <w:trPr>
          <w:trHeight w:val="1684"/>
        </w:trPr>
        <w:tc>
          <w:tcPr>
            <w:tcW w:w="719" w:type="dxa"/>
            <w:vAlign w:val="center"/>
            <w:textDirection w:val="lrTb"/>
            <w:noWrap w:val="false"/>
          </w:tcPr>
          <w:p>
            <w:pPr>
              <w:jc w:val="center"/>
              <w:spacing w:before="58"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75</w:t>
            </w:r>
            <w:r/>
          </w:p>
        </w:tc>
        <w:tc>
          <w:tcPr>
            <w:tcW w:w="1153" w:type="dxa"/>
            <w:vAlign w:val="center"/>
            <w:textDirection w:val="lrTb"/>
            <w:noWrap w:val="false"/>
          </w:tcPr>
          <w:p>
            <w:pPr>
              <w:ind w:right="174"/>
              <w:jc w:val="center"/>
              <w:spacing w:before="59" w:line="247"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关键</w:t>
            </w:r>
            <w:r>
              <w:rPr>
                <w:rFonts w:hint="eastAsia" w:ascii="宋体" w:hAnsi="宋体" w:eastAsia="宋体" w:cs="宋体"/>
                <w:spacing w:val="-3"/>
                <w:sz w:val="24"/>
                <w:szCs w:val="24"/>
                <w:lang w:eastAsia="en-US"/>
              </w:rPr>
              <w:t xml:space="preserve">部件安全要求</w:t>
            </w:r>
            <w:r/>
          </w:p>
        </w:tc>
        <w:tc>
          <w:tcPr>
            <w:tcW w:w="996" w:type="dxa"/>
            <w:vAlign w:val="center"/>
            <w:textDirection w:val="lrTb"/>
            <w:noWrap w:val="false"/>
          </w:tcPr>
          <w:p>
            <w:pPr>
              <w:jc w:val="center"/>
              <w:spacing w:before="59" w:line="223"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关键部件</w:t>
            </w:r>
            <w:r/>
          </w:p>
          <w:p>
            <w:pPr>
              <w:ind w:left="117"/>
              <w:jc w:val="center"/>
              <w:spacing w:before="7" w:line="23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安全要求</w:t>
            </w:r>
            <w:r/>
          </w:p>
        </w:tc>
        <w:tc>
          <w:tcPr>
            <w:tcW w:w="5280" w:type="dxa"/>
            <w:vAlign w:val="center"/>
            <w:textDirection w:val="lrTb"/>
            <w:noWrap w:val="false"/>
          </w:tcPr>
          <w:p>
            <w:pPr>
              <w:ind w:right="213"/>
              <w:spacing w:before="58"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CPU和操作系统等关键部件应当符</w:t>
            </w:r>
            <w:r>
              <w:rPr>
                <w:rFonts w:hint="eastAsia" w:ascii="宋体" w:hAnsi="宋体" w:eastAsia="宋体" w:cs="宋体"/>
                <w:i/>
                <w:iCs/>
                <w:spacing w:val="-1"/>
                <w:sz w:val="24"/>
                <w:szCs w:val="24"/>
                <w:u w:val="single"/>
                <w:lang w:eastAsia="en-US"/>
              </w:rPr>
              <w:t xml:space="preserve">合安全可靠测评要求</w:t>
            </w:r>
            <w:r/>
          </w:p>
        </w:tc>
      </w:tr>
      <w:tr>
        <w:trPr>
          <w:trHeight w:val="725"/>
        </w:trPr>
        <w:tc>
          <w:tcPr>
            <w:tcW w:w="719" w:type="dxa"/>
            <w:vAlign w:val="center"/>
            <w:textDirection w:val="lrTb"/>
            <w:noWrap w:val="false"/>
          </w:tcPr>
          <w:p>
            <w:pPr>
              <w:ind w:left="248"/>
              <w:spacing w:before="273" w:line="24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76</w:t>
            </w:r>
            <w:r/>
          </w:p>
        </w:tc>
        <w:tc>
          <w:tcPr>
            <w:tcBorders>
              <w:bottom w:val="none" w:color="000000" w:sz="4" w:space="0"/>
            </w:tcBorders>
            <w:tcW w:w="1153" w:type="dxa"/>
            <w:vAlign w:val="center"/>
            <w:vMerge w:val="restart"/>
            <w:textDirection w:val="lrTb"/>
            <w:noWrap w:val="false"/>
          </w:tcPr>
          <w:p>
            <w:pPr>
              <w:ind w:left="186" w:right="141" w:hanging="47"/>
              <w:jc w:val="center"/>
              <w:spacing w:before="58"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固件</w:t>
            </w:r>
            <w:r>
              <w:rPr>
                <w:rFonts w:hint="eastAsia" w:ascii="宋体" w:hAnsi="宋体" w:eastAsia="宋体" w:cs="宋体"/>
                <w:spacing w:val="-3"/>
                <w:sz w:val="24"/>
                <w:szCs w:val="24"/>
                <w:lang w:eastAsia="en-US"/>
              </w:rPr>
              <w:t xml:space="preserve">安全要求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故障检测</w:t>
            </w:r>
            <w:r/>
          </w:p>
        </w:tc>
        <w:tc>
          <w:tcPr>
            <w:tcW w:w="5280" w:type="dxa"/>
            <w:vAlign w:val="center"/>
            <w:textDirection w:val="lrTb"/>
            <w:noWrap w:val="false"/>
          </w:tcPr>
          <w:p>
            <w:pPr>
              <w:ind w:left="113" w:right="103" w:firstLine="6"/>
              <w:spacing w:before="39" w:line="23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支持故障检测功能，可以检测到具</w:t>
            </w:r>
            <w:r>
              <w:rPr>
                <w:rFonts w:hint="eastAsia" w:ascii="宋体" w:hAnsi="宋体" w:eastAsia="宋体" w:cs="宋体"/>
                <w:i/>
                <w:iCs/>
                <w:spacing w:val="-5"/>
                <w:sz w:val="24"/>
                <w:szCs w:val="24"/>
                <w:u w:val="single"/>
                <w:lang w:eastAsia="en-US"/>
              </w:rPr>
              <w:t xml:space="preserve">体的FRU（内存、硬盘等）的故障并</w:t>
            </w:r>
            <w:r>
              <w:rPr>
                <w:rFonts w:hint="eastAsia" w:ascii="宋体" w:hAnsi="宋体" w:eastAsia="宋体" w:cs="宋体"/>
                <w:i/>
                <w:iCs/>
                <w:spacing w:val="-2"/>
                <w:sz w:val="24"/>
                <w:szCs w:val="24"/>
                <w:u w:val="single"/>
                <w:lang w:eastAsia="en-US"/>
              </w:rPr>
              <w:t xml:space="preserve">发出告警</w:t>
            </w:r>
            <w:r/>
          </w:p>
        </w:tc>
      </w:tr>
      <w:tr>
        <w:trPr>
          <w:trHeight w:val="964"/>
        </w:trPr>
        <w:tc>
          <w:tcPr>
            <w:tcW w:w="719" w:type="dxa"/>
            <w:vAlign w:val="center"/>
            <w:textDirection w:val="lrTb"/>
            <w:noWrap w:val="false"/>
          </w:tcPr>
          <w:p>
            <w:pPr>
              <w:ind w:left="248"/>
              <w:spacing w:before="59" w:line="239"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内存故障</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智能预测</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和自愈修复</w:t>
            </w:r>
            <w:r/>
          </w:p>
        </w:tc>
        <w:tc>
          <w:tcPr>
            <w:tcW w:w="5280" w:type="dxa"/>
            <w:vAlign w:val="center"/>
            <w:textDirection w:val="lrTb"/>
            <w:noWrap w:val="false"/>
          </w:tcPr>
          <w:p>
            <w:pPr>
              <w:ind w:left="119"/>
              <w:spacing w:before="39"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支持内存故障智能预测和自愈修</w:t>
            </w:r>
            <w:r/>
          </w:p>
          <w:p>
            <w:pPr>
              <w:ind w:left="117" w:right="168" w:hanging="2"/>
              <w:spacing w:before="25"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复，提前自动硬隔离，避免内存故障引起的非预期宕机以及内存寿命</w:t>
            </w:r>
            <w:r>
              <w:rPr>
                <w:rFonts w:hint="eastAsia" w:ascii="宋体" w:hAnsi="宋体" w:eastAsia="宋体" w:cs="宋体"/>
                <w:i/>
                <w:iCs/>
                <w:spacing w:val="-4"/>
                <w:sz w:val="24"/>
                <w:szCs w:val="24"/>
                <w:u w:val="single"/>
                <w:lang w:eastAsia="en-US"/>
              </w:rPr>
              <w:t xml:space="preserve">的降低</w:t>
            </w:r>
            <w:r/>
          </w:p>
        </w:tc>
      </w:tr>
      <w:tr>
        <w:trPr>
          <w:trHeight w:val="725"/>
        </w:trPr>
        <w:tc>
          <w:tcPr>
            <w:tcW w:w="719" w:type="dxa"/>
            <w:vAlign w:val="center"/>
            <w:textDirection w:val="lrTb"/>
            <w:noWrap w:val="false"/>
          </w:tcPr>
          <w:p>
            <w:pPr>
              <w:ind w:left="248"/>
              <w:spacing w:before="275" w:line="238"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硬盘故障智能预测</w:t>
            </w:r>
            <w:r/>
          </w:p>
        </w:tc>
        <w:tc>
          <w:tcPr>
            <w:tcW w:w="5280" w:type="dxa"/>
            <w:vAlign w:val="center"/>
            <w:textDirection w:val="lrTb"/>
            <w:noWrap w:val="false"/>
          </w:tcPr>
          <w:p>
            <w:pPr>
              <w:ind w:left="112" w:right="168" w:firstLine="7"/>
              <w:spacing w:before="162"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支持硬盘故障智能预测，基于故障模型预测出硬盘的故障</w:t>
            </w:r>
            <w:r/>
          </w:p>
        </w:tc>
      </w:tr>
      <w:tr>
        <w:trPr>
          <w:trHeight w:val="725"/>
        </w:trPr>
        <w:tc>
          <w:tcPr>
            <w:tcW w:w="719" w:type="dxa"/>
            <w:vAlign w:val="center"/>
            <w:textDirection w:val="lrTb"/>
            <w:noWrap w:val="false"/>
          </w:tcPr>
          <w:p>
            <w:pPr>
              <w:ind w:left="248"/>
              <w:spacing w:before="275" w:line="237" w:lineRule="exact"/>
              <w:rPr>
                <w:rFonts w:hint="default" w:ascii="宋体" w:hAnsi="宋体" w:eastAsia="宋体" w:cs="宋体"/>
                <w:sz w:val="24"/>
                <w:szCs w:val="24"/>
                <w:lang w:eastAsia="en-US"/>
              </w:rPr>
            </w:pPr>
            <w:r>
              <w:rPr>
                <w:rFonts w:hint="eastAsia" w:ascii="宋体" w:hAnsi="宋体" w:eastAsia="宋体" w:cs="宋体"/>
                <w:spacing w:val="-4"/>
                <w:position w:val="1"/>
                <w:sz w:val="24"/>
                <w:szCs w:val="24"/>
                <w:lang w:eastAsia="en-US"/>
              </w:rPr>
              <w:t xml:space="preserve">79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PCIe 链路故障智能诊断</w:t>
            </w:r>
            <w:r/>
          </w:p>
        </w:tc>
        <w:tc>
          <w:tcPr>
            <w:tcW w:w="5280" w:type="dxa"/>
            <w:vAlign w:val="center"/>
            <w:textDirection w:val="lrTb"/>
            <w:noWrap w:val="false"/>
          </w:tcPr>
          <w:p>
            <w:pPr>
              <w:ind w:left="125" w:right="103" w:hanging="6"/>
              <w:spacing w:before="162"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支持PCIe链路故障智能诊断，判断</w:t>
            </w:r>
            <w:r>
              <w:rPr>
                <w:rFonts w:hint="eastAsia" w:ascii="宋体" w:hAnsi="宋体" w:eastAsia="宋体" w:cs="宋体"/>
                <w:i/>
                <w:iCs/>
                <w:spacing w:val="2"/>
                <w:sz w:val="24"/>
                <w:szCs w:val="24"/>
                <w:u w:val="single"/>
                <w:lang w:eastAsia="en-US"/>
              </w:rPr>
              <w:t xml:space="preserve">出现故障的</w:t>
            </w:r>
            <w:r>
              <w:rPr>
                <w:rFonts w:hint="eastAsia" w:ascii="宋体" w:hAnsi="宋体" w:eastAsia="宋体" w:cs="宋体"/>
                <w:i/>
                <w:iCs/>
                <w:sz w:val="24"/>
                <w:szCs w:val="24"/>
                <w:u w:val="single"/>
                <w:lang w:eastAsia="en-US"/>
              </w:rPr>
              <w:t xml:space="preserve">PCIe</w:t>
            </w:r>
            <w:r>
              <w:rPr>
                <w:rFonts w:hint="eastAsia" w:ascii="宋体" w:hAnsi="宋体" w:eastAsia="宋体" w:cs="宋体"/>
                <w:i/>
                <w:iCs/>
                <w:spacing w:val="2"/>
                <w:sz w:val="24"/>
                <w:szCs w:val="24"/>
                <w:u w:val="single"/>
                <w:lang w:eastAsia="en-US"/>
              </w:rPr>
              <w:t xml:space="preserve">链路</w:t>
            </w:r>
            <w:r/>
          </w:p>
        </w:tc>
      </w:tr>
      <w:tr>
        <w:trPr>
          <w:trHeight w:val="725"/>
        </w:trPr>
        <w:tc>
          <w:tcPr>
            <w:tcW w:w="719" w:type="dxa"/>
            <w:vAlign w:val="center"/>
            <w:textDirection w:val="lrTb"/>
            <w:noWrap w:val="false"/>
          </w:tcPr>
          <w:p>
            <w:pPr>
              <w:ind w:left="245"/>
              <w:spacing w:before="275"/>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80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内存故障隔离</w:t>
            </w:r>
            <w:r/>
          </w:p>
        </w:tc>
        <w:tc>
          <w:tcPr>
            <w:tcW w:w="5280" w:type="dxa"/>
            <w:vAlign w:val="center"/>
            <w:textDirection w:val="lrTb"/>
            <w:noWrap w:val="false"/>
          </w:tcPr>
          <w:p>
            <w:pPr>
              <w:ind w:left="115" w:right="123" w:firstLine="4"/>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支持内存故障隔离，在内存产生CE</w:t>
            </w:r>
            <w:r>
              <w:rPr>
                <w:rFonts w:hint="eastAsia" w:ascii="宋体" w:hAnsi="宋体" w:eastAsia="宋体" w:cs="宋体"/>
                <w:i/>
                <w:iCs/>
                <w:spacing w:val="-1"/>
                <w:sz w:val="24"/>
                <w:szCs w:val="24"/>
                <w:u w:val="single"/>
                <w:lang w:eastAsia="en-US"/>
              </w:rPr>
              <w:t xml:space="preserve">故障时，内存地址被隔离成功，服务器正常运行，业务系统不中断</w:t>
            </w:r>
            <w:r/>
          </w:p>
        </w:tc>
      </w:tr>
      <w:tr>
        <w:trPr>
          <w:trHeight w:val="964"/>
        </w:trPr>
        <w:tc>
          <w:tcPr>
            <w:tcW w:w="719" w:type="dxa"/>
            <w:vAlign w:val="center"/>
            <w:textDirection w:val="lrTb"/>
            <w:noWrap w:val="false"/>
          </w:tcPr>
          <w:p>
            <w:pPr>
              <w:ind w:left="245"/>
              <w:spacing w:before="58"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内存、PCIe卡的故障</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精准告警功能</w:t>
            </w:r>
            <w:r/>
          </w:p>
        </w:tc>
        <w:tc>
          <w:tcPr>
            <w:tcW w:w="5280" w:type="dxa"/>
            <w:vAlign w:val="center"/>
            <w:textDirection w:val="lrTb"/>
            <w:noWrap w:val="false"/>
          </w:tcPr>
          <w:p>
            <w:pPr>
              <w:ind w:left="115" w:right="125" w:firstLine="4"/>
              <w:spacing w:before="163" w:line="247"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支持内存、PCIe卡的故障精准告警</w:t>
            </w:r>
            <w:r>
              <w:rPr>
                <w:rFonts w:hint="eastAsia" w:ascii="宋体" w:hAnsi="宋体" w:eastAsia="宋体" w:cs="宋体"/>
                <w:i/>
                <w:iCs/>
                <w:spacing w:val="-1"/>
                <w:sz w:val="24"/>
                <w:szCs w:val="24"/>
                <w:u w:val="single"/>
                <w:lang w:eastAsia="en-US"/>
              </w:rPr>
              <w:t xml:space="preserve">功能，触发告警并明确指示具体的</w:t>
            </w:r>
            <w:r>
              <w:rPr>
                <w:rFonts w:hint="eastAsia" w:ascii="宋体" w:hAnsi="宋体" w:eastAsia="宋体" w:cs="宋体"/>
                <w:i/>
                <w:iCs/>
                <w:spacing w:val="-3"/>
                <w:sz w:val="24"/>
                <w:szCs w:val="24"/>
                <w:u w:val="single"/>
                <w:lang w:eastAsia="en-US"/>
              </w:rPr>
              <w:t xml:space="preserve">故障位置</w:t>
            </w:r>
            <w:r/>
          </w:p>
        </w:tc>
      </w:tr>
      <w:tr>
        <w:trPr>
          <w:trHeight w:val="725"/>
        </w:trPr>
        <w:tc>
          <w:tcPr>
            <w:tcW w:w="719" w:type="dxa"/>
            <w:vAlign w:val="center"/>
            <w:textDirection w:val="lrTb"/>
            <w:noWrap w:val="false"/>
          </w:tcPr>
          <w:p>
            <w:pPr>
              <w:ind w:left="245"/>
              <w:spacing w:before="275"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异常下电</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关键数据保护</w:t>
            </w:r>
            <w:r/>
          </w:p>
        </w:tc>
        <w:tc>
          <w:tcPr>
            <w:tcW w:w="5280" w:type="dxa"/>
            <w:vAlign w:val="center"/>
            <w:textDirection w:val="lrTb"/>
            <w:noWrap w:val="false"/>
          </w:tcPr>
          <w:p>
            <w:pPr>
              <w:ind w:left="113" w:right="168" w:firstLine="5"/>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支持异常下电关键数据保护，支持数据备份恢复机制，防止系统异常掉电导致的数据文件丢失</w:t>
            </w:r>
            <w:r/>
          </w:p>
        </w:tc>
      </w:tr>
      <w:tr>
        <w:trPr>
          <w:trHeight w:val="725"/>
        </w:trPr>
        <w:tc>
          <w:tcPr>
            <w:tcW w:w="719" w:type="dxa"/>
            <w:vAlign w:val="center"/>
            <w:textDirection w:val="lrTb"/>
            <w:noWrap w:val="false"/>
          </w:tcPr>
          <w:p>
            <w:pPr>
              <w:ind w:left="245"/>
              <w:spacing w:before="277"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BMC/BIOS固件双镜像保护</w:t>
            </w:r>
            <w:r/>
          </w:p>
        </w:tc>
        <w:tc>
          <w:tcPr>
            <w:tcW w:w="5280" w:type="dxa"/>
            <w:vAlign w:val="center"/>
            <w:textDirection w:val="lrTb"/>
            <w:noWrap w:val="false"/>
          </w:tcPr>
          <w:p>
            <w:pPr>
              <w:ind w:left="113" w:right="103" w:firstLine="5"/>
              <w:spacing w:before="42" w:line="246"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支持BMC/BIOS固件双镜像保护，运</w:t>
            </w:r>
            <w:r>
              <w:rPr>
                <w:rFonts w:hint="eastAsia" w:ascii="宋体" w:hAnsi="宋体" w:eastAsia="宋体" w:cs="宋体"/>
                <w:i/>
                <w:iCs/>
                <w:spacing w:val="-1"/>
                <w:sz w:val="24"/>
                <w:szCs w:val="24"/>
                <w:u w:val="single"/>
                <w:lang w:eastAsia="en-US"/>
              </w:rPr>
              <w:t xml:space="preserve">行异常时自动切换到备份镜像运</w:t>
            </w:r>
            <w:r/>
          </w:p>
          <w:p>
            <w:pPr>
              <w:ind w:left="113"/>
              <w:spacing w:line="19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行，提升系统稳定性</w:t>
            </w:r>
            <w:r/>
          </w:p>
        </w:tc>
      </w:tr>
      <w:tr>
        <w:trPr>
          <w:trHeight w:val="964"/>
        </w:trPr>
        <w:tc>
          <w:tcPr>
            <w:tcW w:w="719" w:type="dxa"/>
            <w:vAlign w:val="center"/>
            <w:textDirection w:val="lrTb"/>
            <w:noWrap w:val="false"/>
          </w:tcPr>
          <w:p>
            <w:pPr>
              <w:jc w:val="center"/>
              <w:spacing w:line="336" w:lineRule="auto"/>
              <w:widowControl/>
              <w:rPr>
                <w:rFonts w:hint="default" w:ascii="宋体" w:hAnsi="宋体" w:eastAsia="宋体" w:cs="宋体"/>
                <w:sz w:val="24"/>
                <w:szCs w:val="24"/>
              </w:rPr>
            </w:pPr>
            <w:r>
              <w:rPr>
                <w:rFonts w:hint="default" w:ascii="宋体" w:hAnsi="宋体" w:eastAsia="宋体" w:cs="宋体"/>
                <w:sz w:val="24"/>
                <w:szCs w:val="24"/>
              </w:rPr>
            </w:r>
            <w:r/>
          </w:p>
          <w:p>
            <w:pPr>
              <w:ind w:left="245"/>
              <w:spacing w:before="58" w:line="238"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CPU 核重启隔离</w:t>
            </w:r>
            <w:r/>
          </w:p>
        </w:tc>
        <w:tc>
          <w:tcPr>
            <w:tcW w:w="5280" w:type="dxa"/>
            <w:vAlign w:val="center"/>
            <w:textDirection w:val="lrTb"/>
            <w:noWrap w:val="false"/>
          </w:tcPr>
          <w:p>
            <w:pPr>
              <w:ind w:left="119"/>
              <w:spacing w:before="44"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支持CPU核发生不可纠正故障后，</w:t>
            </w:r>
            <w:r/>
          </w:p>
          <w:p>
            <w:pPr>
              <w:ind w:left="115" w:right="103" w:firstLine="2"/>
              <w:spacing w:before="32" w:line="229"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重启后由</w:t>
            </w:r>
            <w:r>
              <w:rPr>
                <w:rFonts w:hint="eastAsia" w:ascii="宋体" w:hAnsi="宋体" w:eastAsia="宋体" w:cs="宋体"/>
                <w:i/>
                <w:iCs/>
                <w:sz w:val="24"/>
                <w:szCs w:val="24"/>
                <w:u w:val="single"/>
                <w:lang w:eastAsia="en-US"/>
              </w:rPr>
              <w:t xml:space="preserve">BIOS</w:t>
            </w:r>
            <w:r>
              <w:rPr>
                <w:rFonts w:hint="eastAsia" w:ascii="宋体" w:hAnsi="宋体" w:eastAsia="宋体" w:cs="宋体"/>
                <w:i/>
                <w:iCs/>
                <w:spacing w:val="1"/>
                <w:sz w:val="24"/>
                <w:szCs w:val="24"/>
                <w:u w:val="single"/>
                <w:lang w:eastAsia="en-US"/>
              </w:rPr>
              <w:t xml:space="preserve">隔离该故障核，</w:t>
            </w:r>
            <w:r>
              <w:rPr>
                <w:rFonts w:hint="eastAsia" w:ascii="宋体" w:hAnsi="宋体" w:eastAsia="宋体" w:cs="宋体"/>
                <w:i/>
                <w:iCs/>
                <w:sz w:val="24"/>
                <w:szCs w:val="24"/>
                <w:u w:val="single"/>
                <w:lang w:eastAsia="en-US"/>
              </w:rPr>
              <w:t xml:space="preserve">OS</w:t>
            </w:r>
            <w:r>
              <w:rPr>
                <w:rFonts w:hint="eastAsia" w:ascii="宋体" w:hAnsi="宋体" w:eastAsia="宋体" w:cs="宋体"/>
                <w:i/>
                <w:iCs/>
                <w:spacing w:val="-3"/>
                <w:sz w:val="24"/>
                <w:szCs w:val="24"/>
                <w:u w:val="single"/>
                <w:lang w:eastAsia="en-US"/>
              </w:rPr>
              <w:t xml:space="preserve">不可见，防止OS再次使用导致系统</w:t>
            </w:r>
            <w:r>
              <w:rPr>
                <w:rFonts w:hint="eastAsia" w:ascii="宋体" w:hAnsi="宋体" w:eastAsia="宋体" w:cs="宋体"/>
                <w:i/>
                <w:iCs/>
                <w:spacing w:val="-5"/>
                <w:sz w:val="24"/>
                <w:szCs w:val="24"/>
                <w:u w:val="single"/>
                <w:lang w:eastAsia="en-US"/>
              </w:rPr>
              <w:t xml:space="preserve">异常，核0除外</w:t>
            </w:r>
            <w:r/>
          </w:p>
        </w:tc>
      </w:tr>
      <w:tr>
        <w:trPr>
          <w:trHeight w:val="248"/>
        </w:trPr>
        <w:tc>
          <w:tcPr>
            <w:tcW w:w="719" w:type="dxa"/>
            <w:vAlign w:val="center"/>
            <w:textDirection w:val="lrTb"/>
            <w:noWrap w:val="false"/>
          </w:tcPr>
          <w:p>
            <w:pPr>
              <w:ind w:left="245"/>
              <w:spacing w:before="37" w:line="206"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85</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内存地址隔离</w:t>
            </w:r>
            <w:r/>
          </w:p>
        </w:tc>
        <w:tc>
          <w:tcPr>
            <w:tcW w:w="5280" w:type="dxa"/>
            <w:vAlign w:val="center"/>
            <w:textDirection w:val="lrTb"/>
            <w:noWrap w:val="false"/>
          </w:tcPr>
          <w:p>
            <w:pPr>
              <w:ind w:left="112"/>
              <w:spacing w:before="44" w:line="19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在硬件支持的情况下，支持故障内</w:t>
            </w:r>
            <w:r>
              <w:rPr>
                <w:rFonts w:hint="eastAsia" w:ascii="宋体" w:hAnsi="宋体" w:eastAsia="宋体" w:cs="宋体"/>
                <w:i/>
                <w:iCs/>
                <w:spacing w:val="-2"/>
                <w:sz w:val="24"/>
                <w:szCs w:val="24"/>
                <w:u w:val="single"/>
                <w:lang w:eastAsia="en-US"/>
              </w:rPr>
              <w:t xml:space="preserve">存地址重启后隔离</w:t>
            </w:r>
            <w:r/>
          </w:p>
        </w:tc>
      </w:tr>
      <w:tr>
        <w:trPr>
          <w:trHeight w:val="725"/>
        </w:trPr>
        <w:tc>
          <w:tcPr>
            <w:tcW w:w="719" w:type="dxa"/>
            <w:vAlign w:val="center"/>
            <w:textDirection w:val="lrTb"/>
            <w:noWrap w:val="false"/>
          </w:tcPr>
          <w:p>
            <w:pPr>
              <w:ind w:left="245"/>
              <w:spacing w:before="273" w:line="242"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86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内存存储阵列替换</w:t>
            </w:r>
            <w:r/>
          </w:p>
        </w:tc>
        <w:tc>
          <w:tcPr>
            <w:tcW w:w="5280" w:type="dxa"/>
            <w:vAlign w:val="center"/>
            <w:textDirection w:val="lrTb"/>
            <w:noWrap w:val="false"/>
          </w:tcPr>
          <w:p>
            <w:pPr>
              <w:ind w:left="114" w:right="168" w:hanging="2"/>
              <w:spacing w:before="157"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在硬件支持的情况下，支持故障内</w:t>
            </w:r>
            <w:r>
              <w:rPr>
                <w:rFonts w:hint="eastAsia" w:ascii="宋体" w:hAnsi="宋体" w:eastAsia="宋体" w:cs="宋体"/>
                <w:i/>
                <w:iCs/>
                <w:spacing w:val="-2"/>
                <w:sz w:val="24"/>
                <w:szCs w:val="24"/>
                <w:u w:val="single"/>
                <w:lang w:eastAsia="en-US"/>
              </w:rPr>
              <w:t xml:space="preserve">存存储阵列替换</w:t>
            </w:r>
            <w:r/>
          </w:p>
        </w:tc>
      </w:tr>
      <w:tr>
        <w:trPr>
          <w:trHeight w:val="725"/>
        </w:trPr>
        <w:tc>
          <w:tcPr>
            <w:tcW w:w="719" w:type="dxa"/>
            <w:vAlign w:val="center"/>
            <w:textDirection w:val="lrTb"/>
            <w:noWrap w:val="false"/>
          </w:tcPr>
          <w:p>
            <w:pPr>
              <w:ind w:left="245"/>
              <w:spacing w:before="272" w:line="238"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87</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安全启动</w:t>
            </w:r>
            <w:r/>
          </w:p>
        </w:tc>
        <w:tc>
          <w:tcPr>
            <w:tcW w:w="5280" w:type="dxa"/>
            <w:vAlign w:val="center"/>
            <w:textDirection w:val="lrTb"/>
            <w:noWrap w:val="false"/>
          </w:tcPr>
          <w:p>
            <w:pPr>
              <w:ind w:left="112" w:right="168" w:firstLine="7"/>
              <w:spacing w:before="39" w:line="23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支持执行环境要求在整个系统启动的过程中，系统应提供一个机制来保护平台的完整性</w:t>
            </w:r>
            <w:r/>
          </w:p>
        </w:tc>
      </w:tr>
      <w:tr>
        <w:trPr>
          <w:trHeight w:val="725"/>
        </w:trPr>
        <w:tc>
          <w:tcPr>
            <w:tcW w:w="719" w:type="dxa"/>
            <w:vAlign w:val="center"/>
            <w:textDirection w:val="lrTb"/>
            <w:noWrap w:val="false"/>
          </w:tcPr>
          <w:p>
            <w:pPr>
              <w:ind w:left="245"/>
              <w:spacing w:before="272"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88</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系统</w:t>
            </w:r>
            <w:r>
              <w:rPr>
                <w:rFonts w:hint="eastAsia" w:ascii="宋体" w:hAnsi="宋体" w:eastAsia="宋体" w:cs="宋体"/>
                <w:spacing w:val="-3"/>
                <w:sz w:val="24"/>
                <w:szCs w:val="24"/>
                <w:lang w:eastAsia="en-US"/>
              </w:rPr>
              <w:t xml:space="preserve">安全要求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syslog 双向鉴别</w:t>
            </w:r>
            <w:r/>
          </w:p>
        </w:tc>
        <w:tc>
          <w:tcPr>
            <w:tcW w:w="5280" w:type="dxa"/>
            <w:vAlign w:val="center"/>
            <w:textDirection w:val="lrTb"/>
            <w:noWrap w:val="false"/>
          </w:tcPr>
          <w:p>
            <w:pPr>
              <w:ind w:left="112" w:right="168" w:firstLine="7"/>
              <w:spacing w:before="160" w:line="24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支持系统日志双向鉴别，对服务器根证书和客户端根证书进行鉴别</w:t>
            </w:r>
            <w:r/>
          </w:p>
        </w:tc>
      </w:tr>
      <w:tr>
        <w:trPr>
          <w:trHeight w:val="725"/>
        </w:trPr>
        <w:tc>
          <w:tcPr>
            <w:tcW w:w="719" w:type="dxa"/>
            <w:vAlign w:val="center"/>
            <w:textDirection w:val="lrTb"/>
            <w:noWrap w:val="false"/>
          </w:tcPr>
          <w:p>
            <w:pPr>
              <w:ind w:left="245"/>
              <w:spacing w:before="272" w:line="237" w:lineRule="exact"/>
              <w:rPr>
                <w:rFonts w:hint="default" w:ascii="宋体" w:hAnsi="宋体" w:eastAsia="宋体" w:cs="宋体"/>
                <w:sz w:val="24"/>
                <w:szCs w:val="24"/>
                <w:lang w:eastAsia="en-US"/>
              </w:rPr>
            </w:pPr>
            <w:r>
              <w:rPr>
                <w:rFonts w:hint="eastAsia" w:ascii="宋体" w:hAnsi="宋体" w:eastAsia="宋体" w:cs="宋体"/>
                <w:spacing w:val="-3"/>
                <w:position w:val="1"/>
                <w:sz w:val="24"/>
                <w:szCs w:val="24"/>
                <w:lang w:eastAsia="en-US"/>
              </w:rPr>
              <w:t xml:space="preserve">89</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弱口令字典检查</w:t>
            </w:r>
            <w:r/>
          </w:p>
        </w:tc>
        <w:tc>
          <w:tcPr>
            <w:tcW w:w="5280" w:type="dxa"/>
            <w:vAlign w:val="center"/>
            <w:textDirection w:val="lrTb"/>
            <w:noWrap w:val="false"/>
          </w:tcPr>
          <w:p>
            <w:pPr>
              <w:ind w:left="118" w:right="168" w:firstLine="1"/>
              <w:spacing w:before="39" w:line="23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支持弱口令字典检查功能，出现在弱口令字典中的字符串不能被设置</w:t>
            </w:r>
            <w:r>
              <w:rPr>
                <w:rFonts w:hint="eastAsia" w:ascii="宋体" w:hAnsi="宋体" w:eastAsia="宋体" w:cs="宋体"/>
                <w:i/>
                <w:iCs/>
                <w:spacing w:val="-3"/>
                <w:sz w:val="24"/>
                <w:szCs w:val="24"/>
                <w:u w:val="single"/>
                <w:lang w:eastAsia="en-US"/>
              </w:rPr>
              <w:t xml:space="preserve">为用户口令</w:t>
            </w:r>
            <w:r/>
          </w:p>
        </w:tc>
      </w:tr>
      <w:tr>
        <w:trPr>
          <w:trHeight w:val="725"/>
        </w:trPr>
        <w:tc>
          <w:tcPr>
            <w:tcW w:w="719" w:type="dxa"/>
            <w:vAlign w:val="center"/>
            <w:textDirection w:val="lrTb"/>
            <w:noWrap w:val="false"/>
          </w:tcPr>
          <w:p>
            <w:pPr>
              <w:ind w:left="242"/>
              <w:spacing w:before="272"/>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90</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白名单访问控制</w:t>
            </w:r>
            <w:r/>
          </w:p>
        </w:tc>
        <w:tc>
          <w:tcPr>
            <w:tcW w:w="5280" w:type="dxa"/>
            <w:vAlign w:val="center"/>
            <w:textDirection w:val="lrTb"/>
            <w:noWrap w:val="false"/>
          </w:tcPr>
          <w:p>
            <w:pPr>
              <w:ind w:left="123" w:right="125" w:hanging="4"/>
              <w:spacing w:before="15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支持基于时间、IP或MAC 白名单访</w:t>
            </w:r>
            <w:r>
              <w:rPr>
                <w:rFonts w:hint="eastAsia" w:ascii="宋体" w:hAnsi="宋体" w:eastAsia="宋体" w:cs="宋体"/>
                <w:i/>
                <w:iCs/>
                <w:spacing w:val="-6"/>
                <w:sz w:val="24"/>
                <w:szCs w:val="24"/>
                <w:u w:val="single"/>
                <w:lang w:eastAsia="en-US"/>
              </w:rPr>
              <w:t xml:space="preserve">问控制</w:t>
            </w:r>
            <w:r/>
          </w:p>
        </w:tc>
      </w:tr>
      <w:tr>
        <w:trPr>
          <w:trHeight w:val="725"/>
        </w:trPr>
        <w:tc>
          <w:tcPr>
            <w:tcW w:w="719" w:type="dxa"/>
            <w:vAlign w:val="center"/>
            <w:textDirection w:val="lrTb"/>
            <w:noWrap w:val="false"/>
          </w:tcPr>
          <w:p>
            <w:pPr>
              <w:ind w:left="242"/>
              <w:spacing w:before="271"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双因素鉴别</w:t>
            </w:r>
            <w:r/>
          </w:p>
        </w:tc>
        <w:tc>
          <w:tcPr>
            <w:tcW w:w="5280" w:type="dxa"/>
            <w:vAlign w:val="center"/>
            <w:textDirection w:val="lrTb"/>
            <w:noWrap w:val="false"/>
          </w:tcPr>
          <w:p>
            <w:pPr>
              <w:ind w:left="116" w:right="168" w:firstLine="2"/>
              <w:spacing w:before="159" w:line="24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支持使用客户端证书和证书密码的双因素鉴别方式登录管理系统</w:t>
            </w:r>
            <w:r/>
          </w:p>
        </w:tc>
      </w:tr>
      <w:tr>
        <w:trPr>
          <w:trHeight w:val="964"/>
        </w:trPr>
        <w:tc>
          <w:tcPr>
            <w:tcW w:w="719" w:type="dxa"/>
            <w:vAlign w:val="center"/>
            <w:textDirection w:val="lrTb"/>
            <w:noWrap w:val="false"/>
          </w:tcPr>
          <w:p>
            <w:pPr>
              <w:spacing w:line="332" w:lineRule="auto"/>
              <w:widowControl/>
              <w:rPr>
                <w:rFonts w:hint="default" w:ascii="宋体" w:hAnsi="宋体" w:eastAsia="宋体" w:cs="宋体"/>
                <w:sz w:val="24"/>
                <w:szCs w:val="24"/>
              </w:rPr>
            </w:pPr>
            <w:r>
              <w:rPr>
                <w:rFonts w:hint="default" w:ascii="宋体" w:hAnsi="宋体" w:eastAsia="宋体" w:cs="宋体"/>
                <w:sz w:val="24"/>
                <w:szCs w:val="24"/>
              </w:rPr>
            </w:r>
            <w:r/>
          </w:p>
          <w:p>
            <w:pPr>
              <w:ind w:left="242"/>
              <w:spacing w:before="59"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before="58"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二次鉴别</w:t>
            </w:r>
            <w:r/>
          </w:p>
        </w:tc>
        <w:tc>
          <w:tcPr>
            <w:tcW w:w="5280" w:type="dxa"/>
            <w:vAlign w:val="center"/>
            <w:textDirection w:val="lrTb"/>
            <w:noWrap w:val="false"/>
          </w:tcPr>
          <w:p>
            <w:pPr>
              <w:ind w:left="112" w:right="41" w:firstLine="7"/>
              <w:spacing w:before="37" w:line="235"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支持二次鉴别功能。对于用户配置、</w:t>
            </w:r>
            <w:r>
              <w:rPr>
                <w:rFonts w:hint="eastAsia" w:ascii="宋体" w:hAnsi="宋体" w:eastAsia="宋体" w:cs="宋体"/>
                <w:i/>
                <w:iCs/>
                <w:spacing w:val="-1"/>
                <w:sz w:val="24"/>
                <w:szCs w:val="24"/>
                <w:u w:val="single"/>
                <w:lang w:eastAsia="en-US"/>
              </w:rPr>
              <w:t xml:space="preserve">权限配置、公钥导入等重要的管理操作，已登录用户应通过二次鉴别后，才能执行操作</w:t>
            </w:r>
            <w:r/>
          </w:p>
        </w:tc>
      </w:tr>
      <w:tr>
        <w:trPr>
          <w:trHeight w:val="725"/>
        </w:trPr>
        <w:tc>
          <w:tcPr>
            <w:tcW w:w="719" w:type="dxa"/>
            <w:vAlign w:val="center"/>
            <w:textDirection w:val="lrTb"/>
            <w:noWrap w:val="false"/>
          </w:tcPr>
          <w:p>
            <w:pPr>
              <w:ind w:left="242"/>
              <w:spacing w:before="273" w:line="238"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匿名化用</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户告警接收邮箱</w:t>
            </w:r>
            <w:r/>
          </w:p>
        </w:tc>
        <w:tc>
          <w:tcPr>
            <w:tcW w:w="5280" w:type="dxa"/>
            <w:vAlign w:val="center"/>
            <w:textDirection w:val="lrTb"/>
            <w:noWrap w:val="false"/>
          </w:tcPr>
          <w:p>
            <w:pPr>
              <w:ind w:left="113" w:right="168" w:firstLine="6"/>
              <w:spacing w:before="160"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支持带外管理系统中的用户告警接收邮箱进行匿名化处理</w:t>
            </w:r>
            <w:r/>
          </w:p>
        </w:tc>
      </w:tr>
      <w:tr>
        <w:trPr>
          <w:trHeight w:val="964"/>
        </w:trPr>
        <w:tc>
          <w:tcPr>
            <w:tcW w:w="719" w:type="dxa"/>
            <w:vAlign w:val="center"/>
            <w:textDirection w:val="lrTb"/>
            <w:noWrap w:val="false"/>
          </w:tcPr>
          <w:p>
            <w:pPr>
              <w:ind w:left="242"/>
              <w:spacing w:before="58"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密码证书安全加密存储</w:t>
            </w:r>
            <w:r/>
          </w:p>
        </w:tc>
        <w:tc>
          <w:tcPr>
            <w:tcW w:w="5280" w:type="dxa"/>
            <w:vAlign w:val="center"/>
            <w:textDirection w:val="lrTb"/>
            <w:noWrap w:val="false"/>
          </w:tcPr>
          <w:p>
            <w:pPr>
              <w:ind w:left="114" w:right="168" w:firstLine="4"/>
              <w:spacing w:before="41" w:line="23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支持对带外管理系统中的用户口令和证书等敏感信息进行加密存储，禁止使用私有的和业界已知不安全</w:t>
            </w:r>
            <w:r>
              <w:rPr>
                <w:rFonts w:hint="eastAsia" w:ascii="宋体" w:hAnsi="宋体" w:eastAsia="宋体" w:cs="宋体"/>
                <w:i/>
                <w:iCs/>
                <w:spacing w:val="-2"/>
                <w:sz w:val="24"/>
                <w:szCs w:val="24"/>
                <w:u w:val="single"/>
                <w:lang w:eastAsia="en-US"/>
              </w:rPr>
              <w:t xml:space="preserve">的密码算法</w:t>
            </w:r>
            <w:r/>
          </w:p>
        </w:tc>
      </w:tr>
      <w:tr>
        <w:trPr>
          <w:trHeight w:val="725"/>
        </w:trPr>
        <w:tc>
          <w:tcPr>
            <w:tcW w:w="719" w:type="dxa"/>
            <w:vAlign w:val="center"/>
            <w:textDirection w:val="lrTb"/>
            <w:noWrap w:val="false"/>
          </w:tcPr>
          <w:p>
            <w:pPr>
              <w:ind w:left="242"/>
              <w:spacing w:before="274"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95</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敏感信息安全加密传输</w:t>
            </w:r>
            <w:r/>
          </w:p>
        </w:tc>
        <w:tc>
          <w:tcPr>
            <w:tcW w:w="5280" w:type="dxa"/>
            <w:vAlign w:val="center"/>
            <w:textDirection w:val="lrTb"/>
            <w:noWrap w:val="false"/>
          </w:tcPr>
          <w:p>
            <w:pPr>
              <w:ind w:left="113" w:right="103" w:firstLine="6"/>
              <w:spacing w:before="42"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支持使用安全的传输加密协议（如</w:t>
            </w:r>
            <w:r>
              <w:rPr>
                <w:rFonts w:hint="eastAsia" w:ascii="宋体" w:hAnsi="宋体" w:eastAsia="宋体" w:cs="宋体"/>
                <w:i/>
                <w:iCs/>
                <w:spacing w:val="-6"/>
                <w:sz w:val="24"/>
                <w:szCs w:val="24"/>
                <w:u w:val="single"/>
                <w:lang w:eastAsia="en-US"/>
              </w:rPr>
              <w:t xml:space="preserve">SSH或</w:t>
            </w:r>
            <w:r>
              <w:rPr>
                <w:rFonts w:hint="default" w:eastAsia="宋体" w:cs="Times New Roman"/>
              </w:rPr>
              <w:fldChar w:fldCharType="begin"/>
            </w:r>
            <w:r>
              <w:rPr>
                <w:rFonts w:hint="default" w:eastAsia="宋体" w:cs="Times New Roman"/>
              </w:rPr>
              <w:instrText xml:space="preserve"> HYPERLINK "file:///C:\\Users\\Administrator\\Documents\\WeChat%20Files\\zj19900816zj\\FileStorage\\File\\2026-07\\HTTPS" </w:instrText>
            </w:r>
            <w:r>
              <w:rPr>
                <w:rFonts w:hint="default" w:eastAsia="宋体" w:cs="Times New Roman"/>
              </w:rPr>
              <w:fldChar w:fldCharType="separate"/>
            </w:r>
            <w:r>
              <w:rPr>
                <w:rFonts w:hint="eastAsia" w:ascii="宋体" w:hAnsi="宋体" w:eastAsia="宋体" w:cs="宋体"/>
                <w:i/>
                <w:iCs/>
                <w:spacing w:val="-6"/>
                <w:sz w:val="24"/>
                <w:szCs w:val="24"/>
                <w:u w:val="single"/>
                <w:lang w:eastAsia="en-US"/>
              </w:rPr>
              <w:t xml:space="preserve">HTTPS</w:t>
            </w:r>
            <w:r>
              <w:rPr>
                <w:rFonts w:hint="eastAsia" w:ascii="宋体" w:hAnsi="宋体" w:eastAsia="宋体" w:cs="宋体"/>
                <w:i/>
                <w:iCs/>
                <w:spacing w:val="-6"/>
                <w:sz w:val="24"/>
                <w:szCs w:val="24"/>
                <w:u w:val="single"/>
                <w:lang w:eastAsia="en-US"/>
              </w:rPr>
              <w:fldChar w:fldCharType="end"/>
            </w:r>
            <w:r>
              <w:rPr>
                <w:rFonts w:hint="eastAsia" w:ascii="宋体" w:hAnsi="宋体" w:eastAsia="宋体" w:cs="宋体"/>
                <w:i/>
                <w:iCs/>
                <w:spacing w:val="-6"/>
                <w:sz w:val="24"/>
                <w:szCs w:val="24"/>
                <w:u w:val="single"/>
                <w:lang w:eastAsia="en-US"/>
              </w:rPr>
              <w:t xml:space="preserve">等）传输用户的敏感信</w:t>
            </w:r>
            <w:r>
              <w:rPr>
                <w:rFonts w:hint="eastAsia" w:ascii="宋体" w:hAnsi="宋体" w:eastAsia="宋体" w:cs="宋体"/>
                <w:i/>
                <w:iCs/>
                <w:sz w:val="24"/>
                <w:szCs w:val="24"/>
                <w:u w:val="single"/>
                <w:lang w:eastAsia="en-US"/>
              </w:rPr>
              <w:t xml:space="preserve">息</w:t>
            </w:r>
            <w:r/>
          </w:p>
        </w:tc>
      </w:tr>
      <w:tr>
        <w:trPr>
          <w:trHeight w:val="1648"/>
        </w:trPr>
        <w:tc>
          <w:tcPr>
            <w:tcW w:w="719" w:type="dxa"/>
            <w:vAlign w:val="center"/>
            <w:textDirection w:val="lrTb"/>
            <w:noWrap w:val="false"/>
          </w:tcPr>
          <w:p>
            <w:pPr>
              <w:ind w:left="242"/>
              <w:spacing w:before="58" w:line="242"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96</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信息</w:t>
            </w:r>
            <w:r>
              <w:rPr>
                <w:rFonts w:hint="eastAsia" w:ascii="宋体" w:hAnsi="宋体" w:eastAsia="宋体" w:cs="宋体"/>
                <w:spacing w:val="-3"/>
                <w:sz w:val="24"/>
                <w:szCs w:val="24"/>
                <w:lang w:eastAsia="en-US"/>
              </w:rPr>
              <w:t xml:space="preserve">安全要求</w:t>
            </w:r>
            <w:r/>
          </w:p>
        </w:tc>
        <w:tc>
          <w:tcPr>
            <w:tcW w:w="996" w:type="dxa"/>
            <w:vAlign w:val="center"/>
            <w:textDirection w:val="lrTb"/>
            <w:noWrap w:val="false"/>
          </w:tcPr>
          <w:p>
            <w:pPr>
              <w:ind w:right="123"/>
              <w:jc w:val="center"/>
              <w:spacing w:before="58" w:line="24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研发过程安全</w:t>
            </w:r>
            <w:r/>
          </w:p>
        </w:tc>
        <w:tc>
          <w:tcPr>
            <w:tcW w:w="5280" w:type="dxa"/>
            <w:vAlign w:val="center"/>
            <w:textDirection w:val="lrTb"/>
            <w:noWrap w:val="false"/>
          </w:tcPr>
          <w:p>
            <w:pPr>
              <w:ind w:left="114" w:right="41" w:hanging="1"/>
              <w:spacing w:before="41" w:line="246"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供应商承诺，生产商已建立从需求、</w:t>
            </w:r>
            <w:r>
              <w:rPr>
                <w:rFonts w:hint="eastAsia" w:ascii="宋体" w:hAnsi="宋体" w:eastAsia="宋体" w:cs="宋体"/>
                <w:i/>
                <w:iCs/>
                <w:spacing w:val="-1"/>
                <w:sz w:val="24"/>
                <w:szCs w:val="24"/>
                <w:u w:val="single"/>
                <w:lang w:eastAsia="en-US"/>
              </w:rPr>
              <w:t xml:space="preserve">设计、开发、测试、维护端到端的开发流程管理机制，输出和保存开发流程中每个阶段的产品需求清</w:t>
            </w:r>
            <w:r/>
          </w:p>
          <w:p>
            <w:pPr>
              <w:ind w:left="115" w:right="168" w:firstLine="3"/>
              <w:spacing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单、设计文档、开发文档、测试记录等材料，保证各个流程可追溯</w:t>
            </w:r>
            <w:r/>
          </w:p>
        </w:tc>
      </w:tr>
      <w:tr>
        <w:trPr>
          <w:trHeight w:val="964"/>
        </w:trPr>
        <w:tc>
          <w:tcPr>
            <w:tcW w:w="719" w:type="dxa"/>
            <w:vAlign w:val="center"/>
            <w:textDirection w:val="lrTb"/>
            <w:noWrap w:val="false"/>
          </w:tcPr>
          <w:p>
            <w:pPr>
              <w:ind w:left="242"/>
              <w:spacing w:before="59"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left="110"/>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漏洞管理</w:t>
            </w:r>
            <w:r/>
          </w:p>
        </w:tc>
        <w:tc>
          <w:tcPr>
            <w:tcW w:w="5280" w:type="dxa"/>
            <w:vAlign w:val="center"/>
            <w:textDirection w:val="lrTb"/>
            <w:noWrap w:val="false"/>
          </w:tcPr>
          <w:p>
            <w:pPr>
              <w:ind w:left="113" w:right="168"/>
              <w:spacing w:before="41" w:line="23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供应商承诺，生产商已建立漏洞全量视图，保证产品版本涉及到的所</w:t>
            </w:r>
            <w:r>
              <w:rPr>
                <w:rFonts w:hint="eastAsia" w:ascii="宋体" w:hAnsi="宋体" w:eastAsia="宋体" w:cs="宋体"/>
                <w:i/>
                <w:iCs/>
                <w:spacing w:val="-2"/>
                <w:sz w:val="24"/>
                <w:szCs w:val="24"/>
                <w:u w:val="single"/>
                <w:lang w:eastAsia="en-US"/>
              </w:rPr>
              <w:t xml:space="preserve">有漏洞(如驱动程序、BMC软件等)都可以查看</w:t>
            </w:r>
            <w:r/>
          </w:p>
        </w:tc>
      </w:tr>
      <w:tr>
        <w:trPr>
          <w:trHeight w:val="725"/>
        </w:trPr>
        <w:tc>
          <w:tcPr>
            <w:tcW w:w="719" w:type="dxa"/>
            <w:vAlign w:val="center"/>
            <w:textDirection w:val="lrTb"/>
            <w:noWrap w:val="false"/>
          </w:tcPr>
          <w:p>
            <w:pPr>
              <w:ind w:left="242"/>
              <w:spacing w:before="277"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网络关键</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设备服务器要求</w:t>
            </w:r>
            <w:r/>
          </w:p>
        </w:tc>
        <w:tc>
          <w:tcPr>
            <w:tcW w:w="5280" w:type="dxa"/>
            <w:vAlign w:val="center"/>
            <w:textDirection w:val="lrTb"/>
            <w:noWrap w:val="false"/>
          </w:tcPr>
          <w:p>
            <w:pPr>
              <w:ind w:left="112" w:right="168"/>
              <w:spacing w:before="162"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作为网络关键设备的服务器应符合</w:t>
            </w:r>
            <w:r>
              <w:rPr>
                <w:rFonts w:hint="eastAsia" w:ascii="宋体" w:hAnsi="宋体" w:eastAsia="宋体" w:cs="宋体"/>
                <w:i/>
                <w:iCs/>
                <w:spacing w:val="-3"/>
                <w:sz w:val="24"/>
                <w:szCs w:val="24"/>
                <w:u w:val="single"/>
                <w:lang w:eastAsia="en-US"/>
              </w:rPr>
              <w:t xml:space="preserve">GB 40050的相关规定</w:t>
            </w:r>
            <w:r/>
          </w:p>
        </w:tc>
      </w:tr>
      <w:tr>
        <w:trPr>
          <w:trHeight w:val="1687"/>
        </w:trPr>
        <w:tc>
          <w:tcPr>
            <w:tcW w:w="719" w:type="dxa"/>
            <w:vAlign w:val="center"/>
            <w:textDirection w:val="lrTb"/>
            <w:noWrap w:val="false"/>
          </w:tcPr>
          <w:p>
            <w:pPr>
              <w:ind w:left="242"/>
              <w:spacing w:before="58" w:line="237" w:lineRule="exact"/>
              <w:rPr>
                <w:rFonts w:hint="default" w:ascii="宋体" w:hAnsi="宋体" w:eastAsia="宋体" w:cs="宋体"/>
                <w:sz w:val="24"/>
                <w:szCs w:val="24"/>
                <w:lang w:eastAsia="en-US"/>
              </w:rPr>
            </w:pPr>
            <w:r>
              <w:rPr>
                <w:rFonts w:hint="eastAsia" w:ascii="宋体" w:hAnsi="宋体" w:eastAsia="宋体" w:cs="宋体"/>
                <w:spacing w:val="-2"/>
                <w:position w:val="1"/>
                <w:sz w:val="24"/>
                <w:szCs w:val="24"/>
                <w:lang w:eastAsia="en-US"/>
              </w:rPr>
              <w:t xml:space="preserve">99</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left="109"/>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增强要求</w:t>
            </w:r>
            <w:r/>
          </w:p>
        </w:tc>
        <w:tc>
          <w:tcPr>
            <w:tcW w:w="5280" w:type="dxa"/>
            <w:vAlign w:val="center"/>
            <w:textDirection w:val="lrTb"/>
            <w:noWrap w:val="false"/>
          </w:tcPr>
          <w:p>
            <w:pPr>
              <w:ind w:left="113" w:right="103" w:firstLine="1"/>
              <w:spacing w:before="44"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嵌入物理可信根，实现设备的信任链构建；</w:t>
            </w:r>
            <w:r/>
          </w:p>
          <w:p>
            <w:pPr>
              <w:ind w:left="115"/>
              <w:spacing w:before="5"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支持可信平台控制模块(TPCM)；</w:t>
            </w:r>
            <w:r/>
          </w:p>
          <w:p>
            <w:pPr>
              <w:ind w:left="113"/>
              <w:spacing w:before="32"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c) 支持在固件系统（BMC、BIOS）</w:t>
            </w:r>
            <w:r/>
          </w:p>
          <w:p>
            <w:pPr>
              <w:ind w:left="112" w:right="103" w:firstLine="1"/>
              <w:spacing w:before="24" w:line="230"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1"/>
                <w:sz w:val="24"/>
                <w:szCs w:val="24"/>
                <w:u w:val="single"/>
                <w:lang w:eastAsia="en-US"/>
              </w:rPr>
              <w:t xml:space="preserve">启动前实现对固件度量的功能，支持物理可信根对BMC固件或BIOS固件进行完整性检测、更新和恢复；</w:t>
            </w:r>
            <w:r/>
          </w:p>
          <w:p>
            <w:pPr>
              <w:ind w:left="113" w:right="125"/>
              <w:spacing w:before="38" w:line="246"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d) 支持对CPU、网络控制器等关键处理器进行身份识别与度量的功</w:t>
            </w:r>
            <w:r/>
          </w:p>
          <w:p>
            <w:pPr>
              <w:ind w:left="119"/>
              <w:spacing w:line="212" w:lineRule="auto"/>
              <w:rPr>
                <w:rFonts w:hint="default" w:ascii="宋体" w:hAnsi="宋体" w:eastAsia="宋体" w:cs="宋体"/>
                <w:i/>
                <w:iCs/>
                <w:sz w:val="24"/>
                <w:szCs w:val="24"/>
                <w:u w:val="single"/>
                <w:lang w:eastAsia="en-US"/>
              </w:rPr>
            </w:pPr>
            <w:r>
              <w:rPr>
                <w:rFonts w:hint="eastAsia" w:ascii="宋体" w:hAnsi="宋体" w:eastAsia="宋体" w:cs="宋体"/>
                <w:i/>
                <w:iCs/>
                <w:spacing w:val="-7"/>
                <w:sz w:val="24"/>
                <w:szCs w:val="24"/>
                <w:u w:val="single"/>
                <w:lang w:eastAsia="en-US"/>
              </w:rPr>
              <w:t xml:space="preserve">能；</w:t>
            </w:r>
            <w:r/>
          </w:p>
          <w:p>
            <w:pPr>
              <w:ind w:left="112" w:right="259" w:firstLine="1"/>
              <w:spacing w:before="32"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e) 支持基于处理器或可信计算模块度量的功能；</w:t>
            </w:r>
            <w:r/>
          </w:p>
          <w:p>
            <w:pPr>
              <w:ind w:left="113" w:right="259" w:firstLine="1"/>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f) 所采用的可信密码模块接口应</w:t>
            </w:r>
            <w:r>
              <w:rPr>
                <w:rFonts w:hint="eastAsia" w:ascii="宋体" w:hAnsi="宋体" w:eastAsia="宋体" w:cs="宋体"/>
                <w:i/>
                <w:iCs/>
                <w:spacing w:val="-2"/>
                <w:sz w:val="24"/>
                <w:szCs w:val="24"/>
                <w:u w:val="single"/>
                <w:lang w:eastAsia="en-US"/>
              </w:rPr>
              <w:t xml:space="preserve">符合GM/T 0012的相关规定；</w:t>
            </w:r>
            <w:r/>
          </w:p>
          <w:p>
            <w:pPr>
              <w:ind w:left="112" w:right="103" w:firstLine="1"/>
              <w:spacing w:before="24" w:line="230" w:lineRule="auto"/>
              <w:rPr>
                <w:rFonts w:hint="default" w:ascii="宋体" w:hAnsi="宋体" w:eastAsia="宋体" w:cs="宋体"/>
                <w:i/>
                <w:iCs/>
                <w:spacing w:val="-1"/>
                <w:sz w:val="24"/>
                <w:szCs w:val="24"/>
                <w:u w:val="single"/>
                <w:lang w:eastAsia="en-US"/>
              </w:rPr>
            </w:pPr>
            <w:r>
              <w:rPr>
                <w:rFonts w:hint="eastAsia" w:ascii="宋体" w:hAnsi="宋体" w:eastAsia="宋体" w:cs="宋体"/>
                <w:i/>
                <w:iCs/>
                <w:spacing w:val="-2"/>
                <w:sz w:val="24"/>
                <w:szCs w:val="24"/>
                <w:u w:val="single"/>
                <w:lang w:eastAsia="en-US"/>
              </w:rPr>
              <w:t xml:space="preserve">g) 可信安全管理模块、处理器等硬</w:t>
            </w:r>
            <w:r>
              <w:rPr>
                <w:rFonts w:hint="eastAsia" w:ascii="宋体" w:hAnsi="宋体" w:eastAsia="宋体" w:cs="宋体"/>
                <w:i/>
                <w:iCs/>
                <w:spacing w:val="-1"/>
                <w:sz w:val="24"/>
                <w:szCs w:val="24"/>
                <w:u w:val="single"/>
                <w:lang w:eastAsia="en-US"/>
              </w:rPr>
              <w:t xml:space="preserve">件载体应通过国家相关部门的认证</w:t>
            </w:r>
            <w:r>
              <w:rPr>
                <w:rFonts w:hint="eastAsia" w:ascii="宋体" w:hAnsi="宋体" w:eastAsia="宋体" w:cs="宋体"/>
                <w:i/>
                <w:iCs/>
                <w:spacing w:val="-2"/>
                <w:sz w:val="24"/>
                <w:szCs w:val="24"/>
                <w:u w:val="single"/>
                <w:lang w:eastAsia="en-US"/>
              </w:rPr>
              <w:t xml:space="preserve">和许可</w:t>
            </w:r>
            <w:r/>
          </w:p>
        </w:tc>
      </w:tr>
      <w:tr>
        <w:trPr>
          <w:trHeight w:val="485"/>
        </w:trPr>
        <w:tc>
          <w:tcPr>
            <w:tcW w:w="719" w:type="dxa"/>
            <w:vAlign w:val="center"/>
            <w:textDirection w:val="lrTb"/>
            <w:noWrap w:val="false"/>
          </w:tcPr>
          <w:p>
            <w:pPr>
              <w:ind w:left="211"/>
              <w:spacing w:before="154"/>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100</w:t>
            </w:r>
            <w:r/>
          </w:p>
        </w:tc>
        <w:tc>
          <w:tcPr>
            <w:tcW w:w="1153" w:type="dxa"/>
            <w:vAlign w:val="center"/>
            <w:textDirection w:val="lrTb"/>
            <w:noWrap w:val="false"/>
          </w:tcPr>
          <w:p>
            <w:pPr>
              <w:ind w:left="195" w:right="141" w:hanging="56"/>
              <w:jc w:val="center"/>
              <w:spacing w:before="40" w:line="223"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物理</w:t>
            </w:r>
            <w:r>
              <w:rPr>
                <w:rFonts w:hint="eastAsia" w:ascii="宋体" w:hAnsi="宋体" w:eastAsia="宋体" w:cs="宋体"/>
                <w:spacing w:val="-8"/>
                <w:sz w:val="24"/>
                <w:szCs w:val="24"/>
                <w:lang w:eastAsia="en-US"/>
              </w:rPr>
              <w:t xml:space="preserve">安全</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物理安全</w:t>
            </w:r>
            <w:r/>
          </w:p>
        </w:tc>
        <w:tc>
          <w:tcPr>
            <w:tcW w:w="5280" w:type="dxa"/>
            <w:vAlign w:val="center"/>
            <w:textDirection w:val="lrTb"/>
            <w:noWrap w:val="false"/>
          </w:tcPr>
          <w:p>
            <w:pPr>
              <w:ind w:left="120"/>
              <w:spacing w:before="158"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安全要求应符合GB 4943.1的规定</w:t>
            </w:r>
            <w:r/>
          </w:p>
        </w:tc>
      </w:tr>
      <w:tr>
        <w:trPr>
          <w:trHeight w:val="1171"/>
        </w:trPr>
        <w:tc>
          <w:tcPr>
            <w:tcW w:w="719" w:type="dxa"/>
            <w:vAlign w:val="center"/>
            <w:textDirection w:val="lrTb"/>
            <w:noWrap w:val="false"/>
          </w:tcPr>
          <w:p>
            <w:pPr>
              <w:ind w:left="211"/>
              <w:spacing w:before="58"/>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101</w:t>
            </w:r>
            <w:r/>
          </w:p>
        </w:tc>
        <w:tc>
          <w:tcPr>
            <w:tcW w:w="1153" w:type="dxa"/>
            <w:vAlign w:val="center"/>
            <w:textDirection w:val="lrTb"/>
            <w:noWrap w:val="false"/>
          </w:tcPr>
          <w:p>
            <w:pPr>
              <w:ind w:left="187" w:right="141" w:hanging="48"/>
              <w:jc w:val="center"/>
              <w:spacing w:before="28" w:line="239"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限用</w:t>
            </w:r>
            <w:r>
              <w:rPr>
                <w:rFonts w:hint="eastAsia" w:ascii="宋体" w:hAnsi="宋体" w:eastAsia="宋体" w:cs="宋体"/>
                <w:spacing w:val="-4"/>
                <w:sz w:val="24"/>
                <w:szCs w:val="24"/>
                <w:lang w:eastAsia="en-US"/>
              </w:rPr>
              <w:t xml:space="preserve">物质</w:t>
            </w:r>
            <w:r/>
          </w:p>
          <w:p>
            <w:pPr>
              <w:ind w:left="198"/>
              <w:jc w:val="center"/>
              <w:spacing w:line="223" w:lineRule="auto"/>
              <w:rPr>
                <w:rFonts w:hint="default" w:ascii="宋体" w:hAnsi="宋体" w:eastAsia="宋体" w:cs="宋体"/>
                <w:sz w:val="24"/>
                <w:szCs w:val="24"/>
                <w:lang w:eastAsia="en-US"/>
              </w:rPr>
            </w:pPr>
            <w:r>
              <w:rPr>
                <w:rFonts w:hint="eastAsia" w:ascii="宋体" w:hAnsi="宋体" w:eastAsia="宋体" w:cs="宋体"/>
                <w:spacing w:val="-9"/>
                <w:sz w:val="24"/>
                <w:szCs w:val="24"/>
                <w:lang w:eastAsia="en-US"/>
              </w:rPr>
              <w:t xml:space="preserve">的限</w:t>
            </w:r>
            <w:r/>
          </w:p>
          <w:p>
            <w:pPr>
              <w:ind w:left="280" w:right="186" w:hanging="90"/>
              <w:jc w:val="center"/>
              <w:spacing w:before="17" w:line="221"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量要</w:t>
            </w:r>
            <w:r>
              <w:rPr>
                <w:rFonts w:hint="eastAsia" w:ascii="宋体" w:hAnsi="宋体" w:eastAsia="宋体" w:cs="宋体"/>
                <w:sz w:val="24"/>
                <w:szCs w:val="24"/>
                <w:lang w:eastAsia="en-US"/>
              </w:rPr>
              <w:t xml:space="preserve">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限用物质的限量要求</w:t>
            </w:r>
            <w:r/>
          </w:p>
        </w:tc>
        <w:tc>
          <w:tcPr>
            <w:tcW w:w="5280" w:type="dxa"/>
            <w:vAlign w:val="center"/>
            <w:textDirection w:val="lrTb"/>
            <w:noWrap w:val="false"/>
          </w:tcPr>
          <w:p>
            <w:pPr>
              <w:spacing w:line="318"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23" w:right="123" w:firstLine="1"/>
              <w:spacing w:before="58" w:line="24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限用物质的限量应符合</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1"/>
                <w:sz w:val="24"/>
                <w:szCs w:val="24"/>
                <w:u w:val="single"/>
                <w:lang w:eastAsia="en-US"/>
              </w:rPr>
              <w:t xml:space="preserve">/T 26572</w:t>
            </w:r>
            <w:r>
              <w:rPr>
                <w:rFonts w:hint="eastAsia" w:ascii="宋体" w:hAnsi="宋体" w:eastAsia="宋体" w:cs="宋体"/>
                <w:i/>
                <w:iCs/>
                <w:spacing w:val="-6"/>
                <w:sz w:val="24"/>
                <w:szCs w:val="24"/>
                <w:u w:val="single"/>
                <w:lang w:eastAsia="en-US"/>
              </w:rPr>
              <w:t xml:space="preserve">的要求</w:t>
            </w:r>
            <w:r/>
          </w:p>
        </w:tc>
      </w:tr>
      <w:tr>
        <w:trPr>
          <w:trHeight w:val="472"/>
        </w:trPr>
        <w:tc>
          <w:tcPr>
            <w:tcW w:w="719" w:type="dxa"/>
            <w:vAlign w:val="center"/>
            <w:textDirection w:val="lrTb"/>
            <w:noWrap w:val="false"/>
          </w:tcPr>
          <w:p>
            <w:pPr>
              <w:ind w:left="211"/>
              <w:spacing w:before="147"/>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102</w:t>
            </w:r>
            <w:r/>
          </w:p>
        </w:tc>
        <w:tc>
          <w:tcPr>
            <w:tcBorders>
              <w:bottom w:val="none" w:color="000000" w:sz="4" w:space="0"/>
            </w:tcBorders>
            <w:tcW w:w="1153" w:type="dxa"/>
            <w:vAlign w:val="center"/>
            <w:vMerge w:val="restart"/>
            <w:textDirection w:val="lrTb"/>
            <w:noWrap w:val="false"/>
          </w:tcPr>
          <w:p>
            <w:pPr>
              <w:ind w:left="187" w:right="185" w:hanging="3"/>
              <w:jc w:val="center"/>
              <w:spacing w:before="59" w:line="249"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CPU</w:t>
            </w:r>
            <w:r>
              <w:rPr>
                <w:rFonts w:hint="eastAsia" w:ascii="宋体" w:hAnsi="宋体" w:eastAsia="宋体" w:cs="宋体"/>
                <w:spacing w:val="-4"/>
                <w:sz w:val="24"/>
                <w:szCs w:val="24"/>
                <w:lang w:eastAsia="en-US"/>
              </w:rPr>
              <w:t xml:space="preserve">性能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CPU 主频</w:t>
            </w:r>
            <w:r/>
          </w:p>
        </w:tc>
        <w:tc>
          <w:tcPr>
            <w:tcW w:w="5280" w:type="dxa"/>
            <w:vAlign w:val="center"/>
            <w:textDirection w:val="lrTb"/>
            <w:noWrap w:val="false"/>
          </w:tcPr>
          <w:p>
            <w:pPr>
              <w:ind w:left="131"/>
              <w:spacing w:before="147"/>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≥1.8GHz</w:t>
            </w:r>
            <w:r/>
          </w:p>
        </w:tc>
      </w:tr>
      <w:tr>
        <w:trPr>
          <w:trHeight w:val="704"/>
        </w:trPr>
        <w:tc>
          <w:tcPr>
            <w:tcW w:w="719" w:type="dxa"/>
            <w:vAlign w:val="center"/>
            <w:textDirection w:val="lrTb"/>
            <w:noWrap w:val="false"/>
          </w:tcPr>
          <w:p>
            <w:pPr>
              <w:ind w:left="211"/>
              <w:spacing w:before="265"/>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单 CPU 核数</w:t>
            </w:r>
            <w:r/>
          </w:p>
        </w:tc>
        <w:tc>
          <w:tcPr>
            <w:tcW w:w="5280" w:type="dxa"/>
            <w:vAlign w:val="center"/>
            <w:textDirection w:val="lrTb"/>
            <w:noWrap w:val="false"/>
          </w:tcPr>
          <w:p>
            <w:pPr>
              <w:ind w:left="131"/>
              <w:spacing w:before="262"/>
              <w:rPr>
                <w:rFonts w:hint="default" w:ascii="宋体" w:hAnsi="宋体" w:eastAsia="宋体" w:cs="宋体"/>
                <w:i/>
                <w:iCs/>
                <w:sz w:val="24"/>
                <w:szCs w:val="24"/>
                <w:u w:val="single"/>
                <w:lang w:eastAsia="en-US"/>
              </w:rPr>
            </w:pPr>
            <w:r>
              <w:rPr>
                <w:rFonts w:hint="eastAsia" w:ascii="宋体" w:hAnsi="宋体" w:eastAsia="宋体" w:cs="宋体"/>
                <w:i/>
                <w:iCs/>
                <w:spacing w:val="-13"/>
                <w:sz w:val="24"/>
                <w:szCs w:val="24"/>
                <w:u w:val="single"/>
                <w:lang w:eastAsia="en-US"/>
              </w:rPr>
              <w:t xml:space="preserve">≥4</w:t>
            </w:r>
            <w:r/>
          </w:p>
        </w:tc>
      </w:tr>
      <w:tr>
        <w:trPr>
          <w:trHeight w:val="1172"/>
        </w:trPr>
        <w:tc>
          <w:tcPr>
            <w:tcW w:w="719" w:type="dxa"/>
            <w:vAlign w:val="center"/>
            <w:textDirection w:val="lrTb"/>
            <w:noWrap w:val="false"/>
          </w:tcPr>
          <w:p>
            <w:pPr>
              <w:ind w:left="211"/>
              <w:spacing w:before="58"/>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104</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单CPU末级缓存容量</w:t>
            </w:r>
            <w:r/>
          </w:p>
        </w:tc>
        <w:tc>
          <w:tcPr>
            <w:tcW w:w="5280" w:type="dxa"/>
            <w:vAlign w:val="center"/>
            <w:textDirection w:val="lrTb"/>
            <w:noWrap w:val="false"/>
          </w:tcPr>
          <w:p>
            <w:pPr>
              <w:spacing w:line="435" w:lineRule="auto"/>
              <w:widowControl/>
              <w:rPr>
                <w:rFonts w:hint="default" w:ascii="宋体" w:hAnsi="宋体" w:eastAsia="宋体" w:cs="宋体"/>
                <w:i/>
                <w:iCs/>
                <w:sz w:val="24"/>
                <w:szCs w:val="24"/>
                <w:u w:val="single"/>
              </w:rPr>
            </w:pPr>
            <w:r>
              <w:rPr>
                <w:rFonts w:hint="default" w:ascii="宋体" w:hAnsi="宋体" w:eastAsia="宋体" w:cs="宋体"/>
                <w:i/>
                <w:iCs/>
                <w:sz w:val="24"/>
                <w:szCs w:val="24"/>
                <w:u w:val="single"/>
              </w:rPr>
            </w:r>
            <w:r/>
          </w:p>
          <w:p>
            <w:pPr>
              <w:ind w:left="131"/>
              <w:spacing w:before="59"/>
              <w:rPr>
                <w:rFonts w:hint="default" w:ascii="宋体" w:hAnsi="宋体" w:eastAsia="宋体" w:cs="宋体"/>
                <w:i/>
                <w:iCs/>
                <w:sz w:val="24"/>
                <w:szCs w:val="24"/>
                <w:u w:val="single"/>
                <w:lang w:eastAsia="en-US"/>
              </w:rPr>
            </w:pPr>
            <w:r>
              <w:rPr>
                <w:rFonts w:hint="eastAsia" w:ascii="宋体" w:hAnsi="宋体" w:eastAsia="宋体" w:cs="宋体"/>
                <w:i/>
                <w:iCs/>
                <w:spacing w:val="-7"/>
                <w:sz w:val="24"/>
                <w:szCs w:val="24"/>
                <w:u w:val="single"/>
                <w:lang w:eastAsia="en-US"/>
              </w:rPr>
              <w:t xml:space="preserve">≥8MB</w:t>
            </w:r>
            <w:r/>
          </w:p>
        </w:tc>
      </w:tr>
      <w:tr>
        <w:trPr>
          <w:trHeight w:val="471"/>
        </w:trPr>
        <w:tc>
          <w:tcPr>
            <w:tcW w:w="719" w:type="dxa"/>
            <w:vAlign w:val="center"/>
            <w:textDirection w:val="lrTb"/>
            <w:noWrap w:val="false"/>
          </w:tcPr>
          <w:p>
            <w:pPr>
              <w:ind w:left="211"/>
              <w:spacing w:before="148"/>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105</w:t>
            </w:r>
            <w:r/>
          </w:p>
        </w:tc>
        <w:tc>
          <w:tcPr>
            <w:tcBorders>
              <w:bottom w:val="none" w:color="000000" w:sz="4" w:space="0"/>
            </w:tcBorders>
            <w:tcW w:w="1153" w:type="dxa"/>
            <w:vAlign w:val="center"/>
            <w:vMerge w:val="restart"/>
            <w:textDirection w:val="lrTb"/>
            <w:noWrap w:val="false"/>
          </w:tcPr>
          <w:p>
            <w:pPr>
              <w:ind w:left="188" w:right="141" w:hanging="49"/>
              <w:jc w:val="center"/>
              <w:spacing w:before="269" w:line="241"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内存</w:t>
            </w:r>
            <w:r>
              <w:rPr>
                <w:rFonts w:hint="eastAsia" w:ascii="宋体" w:hAnsi="宋体" w:eastAsia="宋体" w:cs="宋体"/>
                <w:spacing w:val="-4"/>
                <w:sz w:val="24"/>
                <w:szCs w:val="24"/>
                <w:lang w:eastAsia="en-US"/>
              </w:rPr>
              <w:t xml:space="preserve">性能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单内存模块容量</w:t>
            </w:r>
            <w:r/>
          </w:p>
        </w:tc>
        <w:tc>
          <w:tcPr>
            <w:tcW w:w="5280" w:type="dxa"/>
            <w:vAlign w:val="center"/>
            <w:textDirection w:val="lrTb"/>
            <w:noWrap w:val="false"/>
          </w:tcPr>
          <w:p>
            <w:pPr>
              <w:ind w:left="131"/>
              <w:spacing w:before="148"/>
              <w:rPr>
                <w:rFonts w:hint="default" w:ascii="宋体" w:hAnsi="宋体" w:eastAsia="宋体" w:cs="宋体"/>
                <w:i/>
                <w:iCs/>
                <w:sz w:val="24"/>
                <w:szCs w:val="24"/>
                <w:u w:val="single"/>
                <w:lang w:eastAsia="en-US"/>
              </w:rPr>
            </w:pPr>
            <w:r>
              <w:rPr>
                <w:rFonts w:hint="eastAsia" w:ascii="宋体" w:hAnsi="宋体" w:eastAsia="宋体" w:cs="宋体"/>
                <w:i/>
                <w:iCs/>
                <w:spacing w:val="-6"/>
                <w:sz w:val="24"/>
                <w:szCs w:val="24"/>
                <w:u w:val="single"/>
                <w:lang w:eastAsia="en-US"/>
              </w:rPr>
              <w:t xml:space="preserve">≥16GB</w:t>
            </w:r>
            <w:r/>
          </w:p>
        </w:tc>
      </w:tr>
      <w:tr>
        <w:trPr>
          <w:trHeight w:val="472"/>
        </w:trPr>
        <w:tc>
          <w:tcPr>
            <w:tcW w:w="719" w:type="dxa"/>
            <w:vAlign w:val="center"/>
            <w:textDirection w:val="lrTb"/>
            <w:noWrap w:val="false"/>
          </w:tcPr>
          <w:p>
            <w:pPr>
              <w:ind w:left="211"/>
              <w:spacing w:before="149"/>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106</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内存速率</w:t>
            </w:r>
            <w:r/>
          </w:p>
        </w:tc>
        <w:tc>
          <w:tcPr>
            <w:tcW w:w="5280" w:type="dxa"/>
            <w:vAlign w:val="center"/>
            <w:textDirection w:val="lrTb"/>
            <w:noWrap w:val="false"/>
          </w:tcPr>
          <w:p>
            <w:pPr>
              <w:ind w:left="131"/>
              <w:spacing w:before="149"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≥2666MT/s</w:t>
            </w:r>
            <w:r/>
          </w:p>
        </w:tc>
      </w:tr>
      <w:tr>
        <w:trPr>
          <w:trHeight w:val="472"/>
        </w:trPr>
        <w:tc>
          <w:tcPr>
            <w:tcW w:w="719" w:type="dxa"/>
            <w:vAlign w:val="center"/>
            <w:textDirection w:val="lrTb"/>
            <w:noWrap w:val="false"/>
          </w:tcPr>
          <w:p>
            <w:pPr>
              <w:ind w:left="211"/>
              <w:spacing w:before="150"/>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107</w:t>
            </w:r>
            <w:r/>
          </w:p>
        </w:tc>
        <w:tc>
          <w:tcPr>
            <w:tcW w:w="1153" w:type="dxa"/>
            <w:vAlign w:val="center"/>
            <w:textDirection w:val="lrTb"/>
            <w:noWrap w:val="false"/>
          </w:tcPr>
          <w:p>
            <w:pPr>
              <w:ind w:left="189"/>
              <w:jc w:val="center"/>
              <w:spacing w:before="31"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存储</w:t>
            </w:r>
            <w:r>
              <w:rPr>
                <w:rFonts w:hint="eastAsia" w:ascii="宋体" w:hAnsi="宋体" w:eastAsia="宋体" w:cs="宋体"/>
                <w:spacing w:val="-4"/>
                <w:sz w:val="24"/>
                <w:szCs w:val="24"/>
                <w:lang w:eastAsia="en-US"/>
              </w:rPr>
              <w:t xml:space="preserve">性能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硬盘转速</w:t>
            </w:r>
            <w:r/>
          </w:p>
        </w:tc>
        <w:tc>
          <w:tcPr>
            <w:tcW w:w="5280" w:type="dxa"/>
            <w:vAlign w:val="center"/>
            <w:textDirection w:val="lrTb"/>
            <w:noWrap w:val="false"/>
          </w:tcPr>
          <w:p>
            <w:pPr>
              <w:ind w:left="120"/>
              <w:spacing w:before="147" w:line="21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安装的硬磁盘转速不小于7200</w:t>
            </w:r>
            <w:r>
              <w:rPr>
                <w:rFonts w:hint="eastAsia" w:ascii="宋体" w:hAnsi="宋体" w:eastAsia="宋体" w:cs="宋体"/>
                <w:i/>
                <w:iCs/>
                <w:sz w:val="24"/>
                <w:szCs w:val="24"/>
                <w:u w:val="single"/>
                <w:lang w:eastAsia="en-US"/>
              </w:rPr>
              <w:t xml:space="preserve">rpm</w:t>
            </w:r>
            <w:r/>
          </w:p>
        </w:tc>
      </w:tr>
      <w:tr>
        <w:trPr>
          <w:trHeight w:val="706"/>
        </w:trPr>
        <w:tc>
          <w:tcPr>
            <w:tcW w:w="719" w:type="dxa"/>
            <w:vAlign w:val="center"/>
            <w:textDirection w:val="lrTb"/>
            <w:noWrap w:val="false"/>
          </w:tcPr>
          <w:p>
            <w:pPr>
              <w:ind w:left="211"/>
              <w:spacing w:before="266"/>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108</w:t>
            </w:r>
            <w:r/>
          </w:p>
        </w:tc>
        <w:tc>
          <w:tcPr>
            <w:tcW w:w="1153" w:type="dxa"/>
            <w:vAlign w:val="center"/>
            <w:textDirection w:val="lrTb"/>
            <w:noWrap w:val="false"/>
          </w:tcPr>
          <w:p>
            <w:pPr>
              <w:ind w:left="189" w:right="185"/>
              <w:jc w:val="center"/>
              <w:spacing w:before="32" w:line="227" w:lineRule="auto"/>
              <w:rPr>
                <w:rFonts w:hint="default" w:ascii="宋体" w:hAnsi="宋体" w:eastAsia="宋体" w:cs="宋体"/>
                <w:sz w:val="24"/>
                <w:szCs w:val="24"/>
                <w:lang w:eastAsia="en-US"/>
              </w:rPr>
            </w:pPr>
            <w:r>
              <w:rPr>
                <w:rFonts w:hint="eastAsia" w:ascii="宋体" w:hAnsi="宋体" w:eastAsia="宋体" w:cs="宋体"/>
                <w:spacing w:val="-2"/>
                <w:sz w:val="24"/>
                <w:szCs w:val="24"/>
                <w:lang w:eastAsia="en-US"/>
              </w:rPr>
              <w:t xml:space="preserve">RAID</w:t>
            </w:r>
            <w:r>
              <w:rPr>
                <w:rFonts w:hint="eastAsia" w:ascii="宋体" w:hAnsi="宋体" w:eastAsia="宋体" w:cs="宋体"/>
                <w:spacing w:val="-5"/>
                <w:sz w:val="24"/>
                <w:szCs w:val="24"/>
                <w:lang w:eastAsia="en-US"/>
              </w:rPr>
              <w:t xml:space="preserve">卡性</w:t>
            </w:r>
            <w:r>
              <w:rPr>
                <w:rFonts w:hint="eastAsia" w:ascii="宋体" w:hAnsi="宋体" w:eastAsia="宋体" w:cs="宋体"/>
                <w:spacing w:val="37"/>
                <w:sz w:val="24"/>
                <w:szCs w:val="24"/>
                <w:lang w:eastAsia="en-US"/>
              </w:rPr>
              <w:t xml:space="preserve">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卡缓存容量大小</w:t>
            </w:r>
            <w:r/>
          </w:p>
        </w:tc>
        <w:tc>
          <w:tcPr>
            <w:tcW w:w="5280" w:type="dxa"/>
            <w:vAlign w:val="center"/>
            <w:textDirection w:val="lrTb"/>
            <w:noWrap w:val="false"/>
          </w:tcPr>
          <w:p>
            <w:pPr>
              <w:ind w:left="115" w:right="168" w:hanging="2"/>
              <w:spacing w:before="148" w:line="236"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若配备RAID卡且RAID卡有缓存容量，容量不少于1GB</w:t>
            </w:r>
            <w:r/>
          </w:p>
        </w:tc>
      </w:tr>
      <w:tr>
        <w:trPr>
          <w:trHeight w:val="705"/>
        </w:trPr>
        <w:tc>
          <w:tcPr>
            <w:tcW w:w="719" w:type="dxa"/>
            <w:vAlign w:val="center"/>
            <w:textDirection w:val="lrTb"/>
            <w:noWrap w:val="false"/>
          </w:tcPr>
          <w:p>
            <w:pPr>
              <w:ind w:left="211"/>
              <w:spacing w:before="265"/>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109</w:t>
            </w:r>
            <w:r/>
          </w:p>
        </w:tc>
        <w:tc>
          <w:tcPr>
            <w:tcW w:w="1153" w:type="dxa"/>
            <w:vAlign w:val="center"/>
            <w:textDirection w:val="lrTb"/>
            <w:noWrap w:val="false"/>
          </w:tcPr>
          <w:p>
            <w:pPr>
              <w:ind w:left="113"/>
              <w:jc w:val="center"/>
              <w:spacing w:before="59" w:line="184"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FCHBA</w:t>
            </w:r>
            <w:r/>
          </w:p>
          <w:p>
            <w:pPr>
              <w:ind w:left="189"/>
              <w:jc w:val="center"/>
              <w:spacing w:before="25" w:line="223"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卡性</w:t>
            </w:r>
            <w:r/>
          </w:p>
          <w:p>
            <w:pPr>
              <w:ind w:left="285"/>
              <w:jc w:val="center"/>
              <w:spacing w:before="15" w:line="202"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FC HBA 卡速率</w:t>
            </w:r>
            <w:r/>
          </w:p>
        </w:tc>
        <w:tc>
          <w:tcPr>
            <w:tcW w:w="5280" w:type="dxa"/>
            <w:vAlign w:val="center"/>
            <w:textDirection w:val="lrTb"/>
            <w:noWrap w:val="false"/>
          </w:tcPr>
          <w:p>
            <w:pPr>
              <w:ind w:left="113" w:right="103"/>
              <w:spacing w:before="146" w:line="241"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若配备FC HBA卡，单端口最大的连</w:t>
            </w:r>
            <w:r>
              <w:rPr>
                <w:rFonts w:hint="eastAsia" w:ascii="宋体" w:hAnsi="宋体" w:eastAsia="宋体" w:cs="宋体"/>
                <w:i/>
                <w:iCs/>
                <w:spacing w:val="4"/>
                <w:sz w:val="24"/>
                <w:szCs w:val="24"/>
                <w:u w:val="single"/>
                <w:lang w:eastAsia="en-US"/>
              </w:rPr>
              <w:t xml:space="preserve">接速率不少于8</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4"/>
                <w:sz w:val="24"/>
                <w:szCs w:val="24"/>
                <w:u w:val="single"/>
                <w:lang w:eastAsia="en-US"/>
              </w:rPr>
              <w:t xml:space="preserve">/s</w:t>
            </w:r>
            <w:r/>
          </w:p>
        </w:tc>
      </w:tr>
      <w:tr>
        <w:trPr>
          <w:trHeight w:val="472"/>
        </w:trPr>
        <w:tc>
          <w:tcPr>
            <w:tcW w:w="719" w:type="dxa"/>
            <w:vAlign w:val="center"/>
            <w:textDirection w:val="lrTb"/>
            <w:noWrap w:val="false"/>
          </w:tcPr>
          <w:p>
            <w:pPr>
              <w:ind w:left="211"/>
              <w:spacing w:before="148"/>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110</w:t>
            </w:r>
            <w:r/>
          </w:p>
        </w:tc>
        <w:tc>
          <w:tcPr>
            <w:tcBorders>
              <w:bottom w:val="none" w:color="000000" w:sz="4" w:space="0"/>
            </w:tcBorders>
            <w:tcW w:w="1153" w:type="dxa"/>
            <w:vAlign w:val="center"/>
            <w:vMerge w:val="restart"/>
            <w:textDirection w:val="lrTb"/>
            <w:noWrap w:val="false"/>
          </w:tcPr>
          <w:p>
            <w:pPr>
              <w:ind w:left="188" w:right="186" w:firstLine="8"/>
              <w:jc w:val="center"/>
              <w:spacing w:before="269" w:line="241" w:lineRule="auto"/>
              <w:rPr>
                <w:rFonts w:hint="default" w:ascii="宋体" w:hAnsi="宋体" w:eastAsia="宋体" w:cs="宋体"/>
                <w:sz w:val="24"/>
                <w:szCs w:val="24"/>
                <w:lang w:eastAsia="en-US"/>
              </w:rPr>
            </w:pPr>
            <w:r>
              <w:rPr>
                <w:rFonts w:hint="eastAsia" w:ascii="宋体" w:hAnsi="宋体" w:eastAsia="宋体" w:cs="宋体"/>
                <w:spacing w:val="-8"/>
                <w:sz w:val="24"/>
                <w:szCs w:val="24"/>
                <w:lang w:eastAsia="en-US"/>
              </w:rPr>
              <w:t xml:space="preserve">网络</w:t>
            </w:r>
            <w:r>
              <w:rPr>
                <w:rFonts w:hint="eastAsia" w:ascii="宋体" w:hAnsi="宋体" w:eastAsia="宋体" w:cs="宋体"/>
                <w:spacing w:val="-4"/>
                <w:sz w:val="24"/>
                <w:szCs w:val="24"/>
                <w:lang w:eastAsia="en-US"/>
              </w:rPr>
              <w:t xml:space="preserve">性能</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独立网卡速率</w:t>
            </w:r>
            <w:r/>
          </w:p>
        </w:tc>
        <w:tc>
          <w:tcPr>
            <w:tcW w:w="5280" w:type="dxa"/>
            <w:vAlign w:val="center"/>
            <w:textDirection w:val="lrTb"/>
            <w:noWrap w:val="false"/>
          </w:tcPr>
          <w:p>
            <w:pPr>
              <w:ind w:left="131"/>
              <w:spacing w:before="148"/>
              <w:rPr>
                <w:rFonts w:hint="default" w:ascii="宋体" w:hAnsi="宋体" w:eastAsia="宋体" w:cs="宋体"/>
                <w:i/>
                <w:iCs/>
                <w:sz w:val="24"/>
                <w:szCs w:val="24"/>
                <w:u w:val="single"/>
                <w:lang w:eastAsia="en-US"/>
              </w:rPr>
            </w:pPr>
            <w:r>
              <w:rPr>
                <w:rFonts w:hint="eastAsia" w:ascii="宋体" w:hAnsi="宋体" w:eastAsia="宋体" w:cs="宋体"/>
                <w:i/>
                <w:iCs/>
                <w:spacing w:val="-6"/>
                <w:sz w:val="24"/>
                <w:szCs w:val="24"/>
                <w:u w:val="single"/>
                <w:lang w:eastAsia="en-US"/>
              </w:rPr>
              <w:t xml:space="preserve">≥10GE</w:t>
            </w:r>
            <w:r/>
          </w:p>
        </w:tc>
      </w:tr>
      <w:tr>
        <w:trPr>
          <w:trHeight w:val="472"/>
        </w:trPr>
        <w:tc>
          <w:tcPr>
            <w:tcW w:w="719" w:type="dxa"/>
            <w:vAlign w:val="center"/>
            <w:textDirection w:val="lrTb"/>
            <w:noWrap w:val="false"/>
          </w:tcPr>
          <w:p>
            <w:pPr>
              <w:ind w:left="211"/>
              <w:spacing w:before="148"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111</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板载网卡速率</w:t>
            </w:r>
            <w:r/>
          </w:p>
        </w:tc>
        <w:tc>
          <w:tcPr>
            <w:tcW w:w="5280" w:type="dxa"/>
            <w:vAlign w:val="center"/>
            <w:textDirection w:val="lrTb"/>
            <w:noWrap w:val="false"/>
          </w:tcPr>
          <w:p>
            <w:pPr>
              <w:ind w:left="131"/>
              <w:spacing w:before="146"/>
              <w:rPr>
                <w:rFonts w:hint="default" w:ascii="宋体" w:hAnsi="宋体" w:eastAsia="宋体" w:cs="宋体"/>
                <w:i/>
                <w:iCs/>
                <w:sz w:val="24"/>
                <w:szCs w:val="24"/>
                <w:u w:val="single"/>
                <w:lang w:eastAsia="en-US"/>
              </w:rPr>
            </w:pPr>
            <w:r>
              <w:rPr>
                <w:rFonts w:hint="eastAsia" w:ascii="宋体" w:hAnsi="宋体" w:eastAsia="宋体" w:cs="宋体"/>
                <w:i/>
                <w:iCs/>
                <w:spacing w:val="-7"/>
                <w:sz w:val="24"/>
                <w:szCs w:val="24"/>
                <w:u w:val="single"/>
                <w:lang w:eastAsia="en-US"/>
              </w:rPr>
              <w:t xml:space="preserve">≥1GE</w:t>
            </w:r>
            <w:r/>
          </w:p>
        </w:tc>
      </w:tr>
      <w:tr>
        <w:trPr>
          <w:trHeight w:val="471"/>
        </w:trPr>
        <w:tc>
          <w:tcPr>
            <w:tcW w:w="719" w:type="dxa"/>
            <w:vAlign w:val="center"/>
            <w:textDirection w:val="lrTb"/>
            <w:noWrap w:val="false"/>
          </w:tcPr>
          <w:p>
            <w:pPr>
              <w:ind w:left="211"/>
              <w:spacing w:before="149"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112</w:t>
            </w:r>
            <w:r/>
          </w:p>
        </w:tc>
        <w:tc>
          <w:tcPr>
            <w:tcW w:w="1153" w:type="dxa"/>
            <w:vAlign w:val="center"/>
            <w:textDirection w:val="lrTb"/>
            <w:noWrap w:val="false"/>
          </w:tcPr>
          <w:p>
            <w:pPr>
              <w:ind w:left="193" w:right="141" w:hanging="54"/>
              <w:jc w:val="center"/>
              <w:spacing w:before="32" w:line="220"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电源</w:t>
            </w:r>
            <w:r>
              <w:rPr>
                <w:rFonts w:hint="eastAsia" w:ascii="宋体" w:hAnsi="宋体" w:eastAsia="宋体" w:cs="宋体"/>
                <w:spacing w:val="-7"/>
                <w:sz w:val="24"/>
                <w:szCs w:val="24"/>
                <w:lang w:eastAsia="en-US"/>
              </w:rPr>
              <w:t xml:space="preserve">能耗</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电源能耗</w:t>
            </w:r>
            <w:r/>
          </w:p>
        </w:tc>
        <w:tc>
          <w:tcPr>
            <w:tcW w:w="5280" w:type="dxa"/>
            <w:vAlign w:val="center"/>
            <w:textDirection w:val="lrTb"/>
            <w:noWrap w:val="false"/>
          </w:tcPr>
          <w:p>
            <w:pPr>
              <w:ind w:left="113"/>
              <w:spacing w:before="146"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符合GB/T 9813.3的有关规定</w:t>
            </w:r>
            <w:r/>
          </w:p>
        </w:tc>
      </w:tr>
      <w:tr>
        <w:trPr>
          <w:trHeight w:val="472"/>
        </w:trPr>
        <w:tc>
          <w:tcPr>
            <w:tcW w:w="719" w:type="dxa"/>
            <w:vAlign w:val="center"/>
            <w:textDirection w:val="lrTb"/>
            <w:noWrap w:val="false"/>
          </w:tcPr>
          <w:p>
            <w:pPr>
              <w:ind w:left="211"/>
              <w:spacing w:before="14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113</w:t>
            </w:r>
            <w:r/>
          </w:p>
        </w:tc>
        <w:tc>
          <w:tcPr>
            <w:tcBorders>
              <w:bottom w:val="none" w:color="000000" w:sz="4" w:space="0"/>
            </w:tcBorders>
            <w:tcW w:w="1153" w:type="dxa"/>
            <w:vAlign w:val="center"/>
            <w:vMerge w:val="restart"/>
            <w:textDirection w:val="lrTb"/>
            <w:noWrap w:val="false"/>
          </w:tcPr>
          <w:p>
            <w:pPr>
              <w:ind w:left="139"/>
              <w:jc w:val="center"/>
              <w:spacing w:before="59" w:line="223"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部件</w:t>
            </w:r>
            <w:r/>
          </w:p>
          <w:p>
            <w:pPr>
              <w:ind w:left="190"/>
              <w:jc w:val="center"/>
              <w:spacing w:before="15"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兼容</w:t>
            </w:r>
            <w:r/>
          </w:p>
          <w:p>
            <w:pPr>
              <w:ind w:left="188"/>
              <w:jc w:val="center"/>
              <w:spacing w:before="16" w:line="22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性要</w:t>
            </w:r>
            <w:r/>
          </w:p>
          <w:p>
            <w:pPr>
              <w:ind w:left="281"/>
              <w:jc w:val="center"/>
              <w:spacing w:before="18" w:line="226"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内存兼容性</w:t>
            </w:r>
            <w:r/>
          </w:p>
        </w:tc>
        <w:tc>
          <w:tcPr>
            <w:tcW w:w="5280" w:type="dxa"/>
            <w:vAlign w:val="center"/>
            <w:textDirection w:val="lrTb"/>
            <w:noWrap w:val="false"/>
          </w:tcPr>
          <w:p>
            <w:pPr>
              <w:ind w:left="115" w:right="213"/>
              <w:spacing w:before="32" w:line="220"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适配3种及以上厂商的内存产品，</w:t>
            </w:r>
            <w:r>
              <w:rPr>
                <w:rFonts w:hint="eastAsia" w:ascii="宋体" w:hAnsi="宋体" w:eastAsia="宋体" w:cs="宋体"/>
                <w:i/>
                <w:iCs/>
                <w:spacing w:val="-1"/>
                <w:sz w:val="24"/>
                <w:szCs w:val="24"/>
                <w:u w:val="single"/>
                <w:lang w:eastAsia="en-US"/>
              </w:rPr>
              <w:t xml:space="preserve">且均不低于产品支持的内存规格</w:t>
            </w:r>
            <w:r/>
          </w:p>
        </w:tc>
      </w:tr>
      <w:tr>
        <w:trPr>
          <w:trHeight w:val="706"/>
        </w:trPr>
        <w:tc>
          <w:tcPr>
            <w:tcW w:w="719" w:type="dxa"/>
            <w:vAlign w:val="center"/>
            <w:textDirection w:val="lrTb"/>
            <w:noWrap w:val="false"/>
          </w:tcPr>
          <w:p>
            <w:pPr>
              <w:ind w:left="211"/>
              <w:spacing w:before="266"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固态存储兼容性</w:t>
            </w:r>
            <w:r/>
          </w:p>
        </w:tc>
        <w:tc>
          <w:tcPr>
            <w:tcW w:w="5280" w:type="dxa"/>
            <w:vAlign w:val="center"/>
            <w:textDirection w:val="lrTb"/>
            <w:noWrap w:val="false"/>
          </w:tcPr>
          <w:p>
            <w:pPr>
              <w:ind w:left="112" w:right="168" w:firstLine="3"/>
              <w:spacing w:before="32" w:line="227"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适配3种或以上厂商的固态存储产</w:t>
            </w:r>
            <w:r>
              <w:rPr>
                <w:rFonts w:hint="eastAsia" w:ascii="宋体" w:hAnsi="宋体" w:eastAsia="宋体" w:cs="宋体"/>
                <w:i/>
                <w:iCs/>
                <w:spacing w:val="-1"/>
                <w:sz w:val="24"/>
                <w:szCs w:val="24"/>
                <w:u w:val="single"/>
                <w:lang w:eastAsia="en-US"/>
              </w:rPr>
              <w:t xml:space="preserve">品，且均不低于产品支持的固态存</w:t>
            </w:r>
            <w:r>
              <w:rPr>
                <w:rFonts w:hint="eastAsia" w:ascii="宋体" w:hAnsi="宋体" w:eastAsia="宋体" w:cs="宋体"/>
                <w:i/>
                <w:iCs/>
                <w:spacing w:val="-2"/>
                <w:sz w:val="24"/>
                <w:szCs w:val="24"/>
                <w:u w:val="single"/>
                <w:lang w:eastAsia="en-US"/>
              </w:rPr>
              <w:t xml:space="preserve">储设备规格</w:t>
            </w:r>
            <w:r/>
          </w:p>
        </w:tc>
      </w:tr>
      <w:tr>
        <w:trPr>
          <w:trHeight w:val="472"/>
        </w:trPr>
        <w:tc>
          <w:tcPr>
            <w:tcW w:w="719" w:type="dxa"/>
            <w:vAlign w:val="center"/>
            <w:textDirection w:val="lrTb"/>
            <w:noWrap w:val="false"/>
          </w:tcPr>
          <w:p>
            <w:pPr>
              <w:ind w:left="211"/>
              <w:spacing w:before="148"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115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FC HBA 卡兼容性</w:t>
            </w:r>
            <w:r/>
          </w:p>
        </w:tc>
        <w:tc>
          <w:tcPr>
            <w:tcW w:w="5280" w:type="dxa"/>
            <w:vAlign w:val="center"/>
            <w:textDirection w:val="lrTb"/>
            <w:noWrap w:val="false"/>
          </w:tcPr>
          <w:p>
            <w:pPr>
              <w:ind w:left="115"/>
              <w:spacing w:before="148"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FC HBA应适配两种或以上厂商产品</w:t>
            </w:r>
            <w:r/>
          </w:p>
        </w:tc>
      </w:tr>
      <w:tr>
        <w:trPr>
          <w:trHeight w:val="471"/>
        </w:trPr>
        <w:tc>
          <w:tcPr>
            <w:tcW w:w="719" w:type="dxa"/>
            <w:vAlign w:val="center"/>
            <w:textDirection w:val="lrTb"/>
            <w:noWrap w:val="false"/>
          </w:tcPr>
          <w:p>
            <w:pPr>
              <w:ind w:left="211"/>
              <w:spacing w:before="149"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116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RAID 卡兼容性</w:t>
            </w:r>
            <w:r/>
          </w:p>
        </w:tc>
        <w:tc>
          <w:tcPr>
            <w:tcW w:w="5280" w:type="dxa"/>
            <w:vAlign w:val="center"/>
            <w:textDirection w:val="lrTb"/>
            <w:noWrap w:val="false"/>
          </w:tcPr>
          <w:p>
            <w:pPr>
              <w:ind w:left="114"/>
              <w:spacing w:before="146"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RAID卡应适配两种或以上厂商产品</w:t>
            </w:r>
            <w:r/>
          </w:p>
        </w:tc>
      </w:tr>
      <w:tr>
        <w:trPr>
          <w:trHeight w:val="247"/>
        </w:trPr>
        <w:tc>
          <w:tcPr>
            <w:tcW w:w="719" w:type="dxa"/>
            <w:vAlign w:val="center"/>
            <w:textDirection w:val="lrTb"/>
            <w:noWrap w:val="false"/>
          </w:tcPr>
          <w:p>
            <w:pPr>
              <w:ind w:left="211"/>
              <w:spacing w:before="35" w:line="207"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117</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网卡兼容性</w:t>
            </w:r>
            <w:r/>
          </w:p>
        </w:tc>
        <w:tc>
          <w:tcPr>
            <w:tcW w:w="5280" w:type="dxa"/>
            <w:vAlign w:val="center"/>
            <w:textDirection w:val="lrTb"/>
            <w:noWrap w:val="false"/>
          </w:tcPr>
          <w:p>
            <w:pPr>
              <w:ind w:left="122"/>
              <w:spacing w:before="35" w:line="207"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网卡应适配两种或以上厂商产品</w:t>
            </w:r>
            <w:r/>
          </w:p>
        </w:tc>
      </w:tr>
      <w:tr>
        <w:trPr>
          <w:trHeight w:val="706"/>
        </w:trPr>
        <w:tc>
          <w:tcPr>
            <w:tcW w:w="719" w:type="dxa"/>
            <w:vAlign w:val="center"/>
            <w:textDirection w:val="lrTb"/>
            <w:noWrap w:val="false"/>
          </w:tcPr>
          <w:p>
            <w:pPr>
              <w:ind w:left="211"/>
              <w:spacing w:before="261"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118</w:t>
            </w:r>
            <w:r/>
          </w:p>
        </w:tc>
        <w:tc>
          <w:tcPr>
            <w:tcBorders>
              <w:top w:val="none" w:color="000000" w:sz="4" w:space="0"/>
            </w:tcBorders>
            <w:tcW w:w="1153" w:type="dxa"/>
            <w:vAlign w:val="center"/>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功能卡兼容性</w:t>
            </w:r>
            <w:r/>
          </w:p>
        </w:tc>
        <w:tc>
          <w:tcPr>
            <w:tcW w:w="5280" w:type="dxa"/>
            <w:vAlign w:val="center"/>
            <w:textDirection w:val="lrTb"/>
            <w:noWrap w:val="false"/>
          </w:tcPr>
          <w:p>
            <w:pPr>
              <w:ind w:left="120" w:right="50" w:firstLine="4"/>
              <w:spacing w:before="29" w:line="228" w:lineRule="auto"/>
              <w:rPr>
                <w:rFonts w:hint="default" w:ascii="宋体" w:hAnsi="宋体" w:eastAsia="宋体" w:cs="宋体"/>
                <w:i/>
                <w:iCs/>
                <w:sz w:val="24"/>
                <w:szCs w:val="24"/>
                <w:u w:val="single"/>
                <w:lang w:eastAsia="en-US"/>
              </w:rPr>
            </w:pPr>
            <w:r>
              <w:rPr>
                <w:rFonts w:hint="eastAsia" w:ascii="宋体" w:hAnsi="宋体" w:eastAsia="宋体" w:cs="宋体"/>
                <w:i/>
                <w:iCs/>
                <w:spacing w:val="-10"/>
                <w:sz w:val="24"/>
                <w:szCs w:val="24"/>
                <w:u w:val="single"/>
                <w:lang w:eastAsia="en-US"/>
              </w:rPr>
              <w:t xml:space="preserve">内置或适配符合PCIe的功能卡，如：</w:t>
            </w:r>
            <w:r>
              <w:rPr>
                <w:rFonts w:hint="eastAsia" w:ascii="宋体" w:hAnsi="宋体" w:eastAsia="宋体" w:cs="宋体"/>
                <w:i/>
                <w:iCs/>
                <w:spacing w:val="-1"/>
                <w:sz w:val="24"/>
                <w:szCs w:val="24"/>
                <w:u w:val="single"/>
                <w:lang w:eastAsia="en-US"/>
              </w:rPr>
              <w:t xml:space="preserve">网络功能卡、存储功能卡及图形显</w:t>
            </w:r>
            <w:r>
              <w:rPr>
                <w:rFonts w:hint="eastAsia" w:ascii="宋体" w:hAnsi="宋体" w:eastAsia="宋体" w:cs="宋体"/>
                <w:i/>
                <w:iCs/>
                <w:spacing w:val="-4"/>
                <w:sz w:val="24"/>
                <w:szCs w:val="24"/>
                <w:u w:val="single"/>
                <w:lang w:eastAsia="en-US"/>
              </w:rPr>
              <w:t xml:space="preserve">示功能卡</w:t>
            </w:r>
            <w:r/>
          </w:p>
        </w:tc>
      </w:tr>
      <w:tr>
        <w:trPr>
          <w:trHeight w:val="1171"/>
        </w:trPr>
        <w:tc>
          <w:tcPr>
            <w:tcW w:w="719" w:type="dxa"/>
            <w:vAlign w:val="center"/>
            <w:textDirection w:val="lrTb"/>
            <w:noWrap w:val="false"/>
          </w:tcPr>
          <w:p>
            <w:pPr>
              <w:ind w:left="211"/>
              <w:spacing w:before="5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119</w:t>
            </w:r>
            <w:r/>
          </w:p>
        </w:tc>
        <w:tc>
          <w:tcPr>
            <w:tcW w:w="1153" w:type="dxa"/>
            <w:vAlign w:val="center"/>
            <w:textDirection w:val="lrTb"/>
            <w:noWrap w:val="false"/>
          </w:tcPr>
          <w:p>
            <w:pPr>
              <w:ind w:left="139"/>
              <w:jc w:val="center"/>
              <w:spacing w:before="260" w:line="222"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外设</w:t>
            </w:r>
            <w:r/>
          </w:p>
          <w:p>
            <w:pPr>
              <w:ind w:left="190"/>
              <w:jc w:val="center"/>
              <w:spacing w:before="17"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兼容</w:t>
            </w:r>
            <w:r/>
          </w:p>
          <w:p>
            <w:pPr>
              <w:ind w:left="279"/>
              <w:jc w:val="center"/>
              <w:spacing w:before="16" w:line="223"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性</w:t>
            </w:r>
            <w:r/>
          </w:p>
        </w:tc>
        <w:tc>
          <w:tcPr>
            <w:tcW w:w="996" w:type="dxa"/>
            <w:vAlign w:val="center"/>
            <w:textDirection w:val="lrTb"/>
            <w:noWrap w:val="false"/>
          </w:tcPr>
          <w:p>
            <w:pPr>
              <w:ind w:right="123"/>
              <w:jc w:val="center"/>
              <w:spacing w:before="59" w:line="241"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外设兼容性</w:t>
            </w:r>
            <w:r/>
          </w:p>
        </w:tc>
        <w:tc>
          <w:tcPr>
            <w:tcW w:w="5280" w:type="dxa"/>
            <w:vAlign w:val="center"/>
            <w:textDirection w:val="lrTb"/>
            <w:noWrap w:val="false"/>
          </w:tcPr>
          <w:p>
            <w:pPr>
              <w:ind w:left="115"/>
              <w:spacing w:before="27"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兼容多种主流生产商的外部设备，</w:t>
            </w:r>
            <w:r/>
          </w:p>
          <w:p>
            <w:pPr>
              <w:ind w:left="112" w:right="41"/>
              <w:spacing w:before="24" w:line="231" w:lineRule="auto"/>
              <w:rPr>
                <w:rFonts w:hint="default" w:ascii="宋体" w:hAnsi="宋体" w:eastAsia="宋体" w:cs="宋体"/>
                <w:i/>
                <w:iCs/>
                <w:sz w:val="24"/>
                <w:szCs w:val="24"/>
                <w:u w:val="single"/>
                <w:lang w:eastAsia="en-US"/>
              </w:rPr>
            </w:pPr>
            <w:r>
              <w:rPr>
                <w:rFonts w:hint="eastAsia" w:ascii="宋体" w:hAnsi="宋体" w:eastAsia="宋体" w:cs="宋体"/>
                <w:i/>
                <w:iCs/>
                <w:spacing w:val="-4"/>
                <w:sz w:val="24"/>
                <w:szCs w:val="24"/>
                <w:u w:val="single"/>
                <w:lang w:eastAsia="en-US"/>
              </w:rPr>
              <w:t xml:space="preserve">包括显示器、键盘、鼠标、闪存盘、</w:t>
            </w:r>
            <w:r>
              <w:rPr>
                <w:rFonts w:hint="eastAsia" w:ascii="宋体" w:hAnsi="宋体" w:eastAsia="宋体" w:cs="宋体"/>
                <w:i/>
                <w:iCs/>
                <w:spacing w:val="-6"/>
                <w:sz w:val="24"/>
                <w:szCs w:val="24"/>
                <w:u w:val="single"/>
                <w:lang w:eastAsia="en-US"/>
              </w:rPr>
              <w:t xml:space="preserve">移动硬盘、USB光驱及KVM等，要求</w:t>
            </w:r>
            <w:r>
              <w:rPr>
                <w:rFonts w:hint="eastAsia" w:ascii="宋体" w:hAnsi="宋体" w:eastAsia="宋体" w:cs="宋体"/>
                <w:i/>
                <w:iCs/>
                <w:spacing w:val="-1"/>
                <w:sz w:val="24"/>
                <w:szCs w:val="24"/>
                <w:u w:val="single"/>
                <w:lang w:eastAsia="en-US"/>
              </w:rPr>
              <w:t xml:space="preserve">使用不同厂商的外部设备时，系统均能正常识别和安装驱动</w:t>
            </w:r>
            <w:r/>
          </w:p>
        </w:tc>
      </w:tr>
      <w:tr>
        <w:trPr>
          <w:trHeight w:val="472"/>
        </w:trPr>
        <w:tc>
          <w:tcPr>
            <w:tcW w:w="719" w:type="dxa"/>
            <w:vAlign w:val="center"/>
            <w:textDirection w:val="lrTb"/>
            <w:noWrap w:val="false"/>
          </w:tcPr>
          <w:p>
            <w:pPr>
              <w:ind w:left="211"/>
              <w:spacing w:before="145"/>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120</w:t>
            </w:r>
            <w:r/>
          </w:p>
        </w:tc>
        <w:tc>
          <w:tcPr>
            <w:tcBorders>
              <w:bottom w:val="none" w:color="000000" w:sz="4" w:space="0"/>
            </w:tcBorders>
            <w:tcW w:w="1153" w:type="dxa"/>
            <w:vAlign w:val="center"/>
            <w:vMerge w:val="restart"/>
            <w:textDirection w:val="lrTb"/>
            <w:noWrap w:val="false"/>
          </w:tcPr>
          <w:p>
            <w:pPr>
              <w:ind w:left="139"/>
              <w:jc w:val="center"/>
              <w:spacing w:before="58" w:line="222"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软件</w:t>
            </w:r>
            <w:r/>
          </w:p>
          <w:p>
            <w:pPr>
              <w:ind w:left="190"/>
              <w:jc w:val="center"/>
              <w:spacing w:before="23"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兼容</w:t>
            </w:r>
            <w:r/>
          </w:p>
          <w:p>
            <w:pPr>
              <w:ind w:left="279"/>
              <w:jc w:val="center"/>
              <w:spacing w:before="23" w:line="223"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性</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数据库兼容</w:t>
            </w:r>
            <w:r/>
          </w:p>
        </w:tc>
        <w:tc>
          <w:tcPr>
            <w:tcW w:w="5280" w:type="dxa"/>
            <w:vAlign w:val="center"/>
            <w:textDirection w:val="lrTb"/>
            <w:noWrap w:val="false"/>
          </w:tcPr>
          <w:p>
            <w:pPr>
              <w:ind w:left="115"/>
              <w:spacing w:before="145"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兼容3个及以上厂商的数据库产品</w:t>
            </w:r>
            <w:r/>
          </w:p>
        </w:tc>
      </w:tr>
      <w:tr>
        <w:trPr>
          <w:trHeight w:val="485"/>
        </w:trPr>
        <w:tc>
          <w:tcPr>
            <w:tcW w:w="719" w:type="dxa"/>
            <w:vAlign w:val="center"/>
            <w:textDirection w:val="lrTb"/>
            <w:noWrap w:val="false"/>
          </w:tcPr>
          <w:p>
            <w:pPr>
              <w:ind w:left="211"/>
              <w:spacing w:before="153"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中间件兼容</w:t>
            </w:r>
            <w:r/>
          </w:p>
        </w:tc>
        <w:tc>
          <w:tcPr>
            <w:tcW w:w="5280" w:type="dxa"/>
            <w:vAlign w:val="center"/>
            <w:textDirection w:val="lrTb"/>
            <w:noWrap w:val="false"/>
          </w:tcPr>
          <w:p>
            <w:pPr>
              <w:ind w:left="115"/>
              <w:spacing w:before="160"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兼容3个及以上厂商的中间件产品</w:t>
            </w:r>
            <w:r/>
          </w:p>
        </w:tc>
      </w:tr>
      <w:tr>
        <w:trPr>
          <w:trHeight w:val="485"/>
        </w:trPr>
        <w:tc>
          <w:tcPr>
            <w:tcW w:w="719" w:type="dxa"/>
            <w:vAlign w:val="center"/>
            <w:textDirection w:val="lrTb"/>
            <w:noWrap w:val="false"/>
          </w:tcPr>
          <w:p>
            <w:pPr>
              <w:ind w:left="211"/>
              <w:spacing w:before="152"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平台软件兼容</w:t>
            </w:r>
            <w:r/>
          </w:p>
        </w:tc>
        <w:tc>
          <w:tcPr>
            <w:tcW w:w="5280" w:type="dxa"/>
            <w:vAlign w:val="center"/>
            <w:textDirection w:val="lrTb"/>
            <w:noWrap w:val="false"/>
          </w:tcPr>
          <w:p>
            <w:pPr>
              <w:ind w:left="115"/>
              <w:spacing w:before="159"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兼容3个及以上厂商的大数据平台</w:t>
            </w:r>
            <w:r/>
          </w:p>
        </w:tc>
      </w:tr>
      <w:tr>
        <w:trPr>
          <w:trHeight w:val="485"/>
        </w:trPr>
        <w:tc>
          <w:tcPr>
            <w:tcW w:w="719" w:type="dxa"/>
            <w:vAlign w:val="center"/>
            <w:textDirection w:val="lrTb"/>
            <w:noWrap w:val="false"/>
          </w:tcPr>
          <w:p>
            <w:pPr>
              <w:ind w:left="211"/>
              <w:spacing w:before="152"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123</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虚拟化软件兼容</w:t>
            </w:r>
            <w:r/>
          </w:p>
        </w:tc>
        <w:tc>
          <w:tcPr>
            <w:tcW w:w="5280" w:type="dxa"/>
            <w:vAlign w:val="center"/>
            <w:textDirection w:val="lrTb"/>
            <w:noWrap w:val="false"/>
          </w:tcPr>
          <w:p>
            <w:pPr>
              <w:ind w:left="115"/>
              <w:spacing w:before="159"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兼容2款及以上虚拟化软件</w:t>
            </w:r>
            <w:r/>
          </w:p>
        </w:tc>
      </w:tr>
      <w:tr>
        <w:trPr>
          <w:trHeight w:val="964"/>
        </w:trPr>
        <w:tc>
          <w:tcPr>
            <w:tcW w:w="719" w:type="dxa"/>
            <w:vAlign w:val="center"/>
            <w:textDirection w:val="lrTb"/>
            <w:noWrap w:val="false"/>
          </w:tcPr>
          <w:p>
            <w:pPr>
              <w:ind w:left="211"/>
              <w:spacing w:before="58" w:line="240"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124</w:t>
            </w:r>
            <w:r/>
          </w:p>
        </w:tc>
        <w:tc>
          <w:tcPr>
            <w:tcW w:w="1153" w:type="dxa"/>
            <w:vAlign w:val="center"/>
            <w:textDirection w:val="lrTb"/>
            <w:noWrap w:val="false"/>
          </w:tcPr>
          <w:p>
            <w:pPr>
              <w:ind w:left="189"/>
              <w:jc w:val="center"/>
              <w:spacing w:before="38"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存储</w:t>
            </w:r>
            <w:r/>
          </w:p>
          <w:p>
            <w:pPr>
              <w:ind w:left="191"/>
              <w:jc w:val="center"/>
              <w:spacing w:before="23"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可靠</w:t>
            </w:r>
            <w:r/>
          </w:p>
          <w:p>
            <w:pPr>
              <w:ind w:left="280" w:right="186" w:hanging="92"/>
              <w:jc w:val="center"/>
              <w:spacing w:before="23" w:line="223"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性要</w:t>
            </w:r>
            <w:r>
              <w:rPr>
                <w:rFonts w:hint="eastAsia" w:ascii="宋体" w:hAnsi="宋体" w:eastAsia="宋体" w:cs="宋体"/>
                <w:sz w:val="24"/>
                <w:szCs w:val="24"/>
                <w:lang w:eastAsia="en-US"/>
              </w:rPr>
              <w:t xml:space="preserve">求</w:t>
            </w:r>
            <w:r/>
          </w:p>
        </w:tc>
        <w:tc>
          <w:tcPr>
            <w:tcW w:w="996" w:type="dxa"/>
            <w:vAlign w:val="center"/>
            <w:textDirection w:val="lrTb"/>
            <w:noWrap w:val="false"/>
          </w:tcPr>
          <w:p>
            <w:pPr>
              <w:ind w:right="213"/>
              <w:jc w:val="center"/>
              <w:spacing w:before="58" w:line="258"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SATA SSD可靠性</w:t>
            </w:r>
            <w:r/>
          </w:p>
        </w:tc>
        <w:tc>
          <w:tcPr>
            <w:tcW w:w="5280" w:type="dxa"/>
            <w:vAlign w:val="center"/>
            <w:textDirection w:val="lrTb"/>
            <w:noWrap w:val="false"/>
          </w:tcPr>
          <w:p>
            <w:pPr>
              <w:ind w:left="115" w:right="102" w:hanging="2"/>
              <w:spacing w:before="279"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5"/>
                <w:sz w:val="24"/>
                <w:szCs w:val="24"/>
                <w:u w:val="single"/>
                <w:lang w:eastAsia="en-US"/>
              </w:rPr>
              <w:t xml:space="preserve">SSD的m1值（MTBF的不可接受值）</w:t>
            </w:r>
            <w:r>
              <w:rPr>
                <w:rFonts w:hint="eastAsia" w:ascii="宋体" w:hAnsi="宋体" w:eastAsia="宋体" w:cs="宋体"/>
                <w:i/>
                <w:iCs/>
                <w:spacing w:val="-2"/>
                <w:sz w:val="24"/>
                <w:szCs w:val="24"/>
                <w:u w:val="single"/>
                <w:lang w:eastAsia="en-US"/>
              </w:rPr>
              <w:t xml:space="preserve">不低于200000h</w:t>
            </w:r>
            <w:r/>
          </w:p>
        </w:tc>
      </w:tr>
      <w:tr>
        <w:trPr>
          <w:trHeight w:val="725"/>
        </w:trPr>
        <w:tc>
          <w:tcPr>
            <w:tcW w:w="719" w:type="dxa"/>
            <w:vAlign w:val="center"/>
            <w:textDirection w:val="lrTb"/>
            <w:noWrap w:val="false"/>
          </w:tcPr>
          <w:p>
            <w:pPr>
              <w:ind w:left="211"/>
              <w:spacing w:before="273"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125</w:t>
            </w:r>
            <w:r/>
          </w:p>
        </w:tc>
        <w:tc>
          <w:tcPr>
            <w:tcBorders>
              <w:bottom w:val="none" w:color="000000" w:sz="4" w:space="0"/>
            </w:tcBorders>
            <w:tcW w:w="1153" w:type="dxa"/>
            <w:vAlign w:val="center"/>
            <w:vMerge w:val="restart"/>
            <w:textDirection w:val="lrTb"/>
            <w:noWrap w:val="false"/>
          </w:tcPr>
          <w:p>
            <w:pPr>
              <w:ind w:left="139"/>
              <w:jc w:val="center"/>
              <w:spacing w:before="58" w:line="224"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整机</w:t>
            </w:r>
            <w:r/>
          </w:p>
          <w:p>
            <w:pPr>
              <w:ind w:left="191"/>
              <w:jc w:val="center"/>
              <w:spacing w:before="20" w:line="222" w:lineRule="auto"/>
              <w:rPr>
                <w:rFonts w:hint="default" w:ascii="宋体" w:hAnsi="宋体" w:eastAsia="宋体" w:cs="宋体"/>
                <w:sz w:val="24"/>
                <w:szCs w:val="24"/>
                <w:lang w:eastAsia="en-US"/>
              </w:rPr>
            </w:pPr>
            <w:r>
              <w:rPr>
                <w:rFonts w:hint="eastAsia" w:ascii="宋体" w:hAnsi="宋体" w:eastAsia="宋体" w:cs="宋体"/>
                <w:spacing w:val="-5"/>
                <w:sz w:val="24"/>
                <w:szCs w:val="24"/>
                <w:lang w:eastAsia="en-US"/>
              </w:rPr>
              <w:t xml:space="preserve">可靠</w:t>
            </w:r>
            <w:r/>
          </w:p>
          <w:p>
            <w:pPr>
              <w:ind w:left="188"/>
              <w:jc w:val="center"/>
              <w:spacing w:before="24" w:line="22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性要</w:t>
            </w:r>
            <w:r/>
          </w:p>
          <w:p>
            <w:pPr>
              <w:ind w:left="281"/>
              <w:jc w:val="center"/>
              <w:spacing w:before="23" w:line="226"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整机可靠性</w:t>
            </w:r>
            <w:r/>
          </w:p>
        </w:tc>
        <w:tc>
          <w:tcPr>
            <w:tcW w:w="5280" w:type="dxa"/>
            <w:vAlign w:val="center"/>
            <w:textDirection w:val="lrTb"/>
            <w:noWrap w:val="false"/>
          </w:tcPr>
          <w:p>
            <w:pPr>
              <w:ind w:left="113" w:right="103" w:hanging="4"/>
              <w:spacing w:before="159" w:line="250"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m1值（MTBF的不可接受值）不得低于30000h</w:t>
            </w:r>
            <w:r/>
          </w:p>
        </w:tc>
      </w:tr>
      <w:tr>
        <w:trPr>
          <w:trHeight w:val="485"/>
        </w:trPr>
        <w:tc>
          <w:tcPr>
            <w:tcW w:w="719" w:type="dxa"/>
            <w:vAlign w:val="center"/>
            <w:textDirection w:val="lrTb"/>
            <w:noWrap w:val="false"/>
          </w:tcPr>
          <w:p>
            <w:pPr>
              <w:ind w:left="211"/>
              <w:spacing w:before="152"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126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风扇可靠性</w:t>
            </w:r>
            <w:r/>
          </w:p>
        </w:tc>
        <w:tc>
          <w:tcPr>
            <w:tcW w:w="5280" w:type="dxa"/>
            <w:vAlign w:val="center"/>
            <w:textDirection w:val="lrTb"/>
            <w:noWrap w:val="false"/>
          </w:tcPr>
          <w:p>
            <w:pPr>
              <w:ind w:left="114"/>
              <w:spacing w:before="158"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风扇寿命应不低于40000h</w:t>
            </w:r>
            <w:r/>
          </w:p>
        </w:tc>
      </w:tr>
      <w:tr>
        <w:trPr>
          <w:trHeight w:val="485"/>
        </w:trPr>
        <w:tc>
          <w:tcPr>
            <w:tcW w:w="719" w:type="dxa"/>
            <w:vAlign w:val="center"/>
            <w:textDirection w:val="lrTb"/>
            <w:noWrap w:val="false"/>
          </w:tcPr>
          <w:p>
            <w:pPr>
              <w:ind w:left="211"/>
              <w:spacing w:before="154"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127</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部件可靠性</w:t>
            </w:r>
            <w:r/>
          </w:p>
        </w:tc>
        <w:tc>
          <w:tcPr>
            <w:tcW w:w="5280" w:type="dxa"/>
            <w:vAlign w:val="center"/>
            <w:textDirection w:val="lrTb"/>
            <w:noWrap w:val="false"/>
          </w:tcPr>
          <w:p>
            <w:pPr>
              <w:ind w:left="114" w:right="103" w:firstLine="4"/>
              <w:spacing w:before="4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支持硬盘、电源、风扇热插拔(内置</w:t>
            </w:r>
            <w:r>
              <w:rPr>
                <w:rFonts w:hint="eastAsia" w:ascii="宋体" w:hAnsi="宋体" w:eastAsia="宋体" w:cs="宋体"/>
                <w:i/>
                <w:iCs/>
                <w:spacing w:val="-2"/>
                <w:sz w:val="24"/>
                <w:szCs w:val="24"/>
                <w:u w:val="single"/>
                <w:lang w:eastAsia="en-US"/>
              </w:rPr>
              <w:t xml:space="preserve">风扇除外)</w:t>
            </w:r>
            <w:r/>
          </w:p>
        </w:tc>
      </w:tr>
      <w:tr>
        <w:trPr>
          <w:trHeight w:val="964"/>
        </w:trPr>
        <w:tc>
          <w:tcPr>
            <w:tcW w:w="719" w:type="dxa"/>
            <w:vAlign w:val="center"/>
            <w:textDirection w:val="lrTb"/>
            <w:noWrap w:val="false"/>
          </w:tcPr>
          <w:p>
            <w:pPr>
              <w:ind w:left="211"/>
              <w:spacing w:before="5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128</w:t>
            </w:r>
            <w:r/>
          </w:p>
        </w:tc>
        <w:tc>
          <w:tcPr>
            <w:tcW w:w="1153" w:type="dxa"/>
            <w:vAlign w:val="center"/>
            <w:textDirection w:val="lrTb"/>
            <w:noWrap w:val="false"/>
          </w:tcPr>
          <w:p>
            <w:pPr>
              <w:ind w:left="188" w:right="141" w:hanging="49"/>
              <w:jc w:val="center"/>
              <w:spacing w:before="41" w:line="246"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包装</w:t>
            </w:r>
            <w:r>
              <w:rPr>
                <w:rFonts w:hint="eastAsia" w:ascii="宋体" w:hAnsi="宋体" w:eastAsia="宋体" w:cs="宋体"/>
                <w:spacing w:val="-4"/>
                <w:sz w:val="24"/>
                <w:szCs w:val="24"/>
                <w:lang w:eastAsia="en-US"/>
              </w:rPr>
              <w:t xml:space="preserve">及运</w:t>
            </w:r>
            <w:r/>
          </w:p>
          <w:p>
            <w:pPr>
              <w:ind w:left="280" w:right="186" w:hanging="93"/>
              <w:jc w:val="center"/>
              <w:spacing w:line="222" w:lineRule="auto"/>
              <w:rPr>
                <w:rFonts w:hint="default" w:ascii="宋体" w:hAnsi="宋体" w:eastAsia="宋体" w:cs="宋体"/>
                <w:sz w:val="24"/>
                <w:szCs w:val="24"/>
                <w:lang w:eastAsia="en-US"/>
              </w:rPr>
            </w:pPr>
            <w:r>
              <w:rPr>
                <w:rFonts w:hint="eastAsia" w:ascii="宋体" w:hAnsi="宋体" w:eastAsia="宋体" w:cs="宋体"/>
                <w:spacing w:val="-4"/>
                <w:sz w:val="24"/>
                <w:szCs w:val="24"/>
                <w:lang w:eastAsia="en-US"/>
              </w:rPr>
              <w:t xml:space="preserve">输要</w:t>
            </w:r>
            <w:r>
              <w:rPr>
                <w:rFonts w:hint="eastAsia" w:ascii="宋体" w:hAnsi="宋体" w:eastAsia="宋体" w:cs="宋体"/>
                <w:sz w:val="24"/>
                <w:szCs w:val="24"/>
                <w:lang w:eastAsia="en-US"/>
              </w:rPr>
              <w:t xml:space="preserve">求</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标志、包</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装、运输和贮存</w:t>
            </w:r>
            <w:r/>
          </w:p>
        </w:tc>
        <w:tc>
          <w:tcPr>
            <w:tcW w:w="5280" w:type="dxa"/>
            <w:vAlign w:val="center"/>
            <w:textDirection w:val="lrTb"/>
            <w:noWrap w:val="false"/>
          </w:tcPr>
          <w:p>
            <w:pPr>
              <w:ind w:left="112" w:right="168"/>
              <w:spacing w:before="281" w:line="248"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符合</w:t>
            </w:r>
            <w:r>
              <w:rPr>
                <w:rFonts w:hint="eastAsia" w:ascii="宋体" w:hAnsi="宋体" w:eastAsia="宋体" w:cs="宋体"/>
                <w:i/>
                <w:iCs/>
                <w:sz w:val="24"/>
                <w:szCs w:val="24"/>
                <w:u w:val="single"/>
                <w:lang w:eastAsia="en-US"/>
              </w:rPr>
              <w:t xml:space="preserve">GB</w:t>
            </w:r>
            <w:r>
              <w:rPr>
                <w:rFonts w:hint="eastAsia" w:ascii="宋体" w:hAnsi="宋体" w:eastAsia="宋体" w:cs="宋体"/>
                <w:i/>
                <w:iCs/>
                <w:spacing w:val="1"/>
                <w:sz w:val="24"/>
                <w:szCs w:val="24"/>
                <w:u w:val="single"/>
                <w:lang w:eastAsia="en-US"/>
              </w:rPr>
              <w:t xml:space="preserve">/T 9813.3和商品包装政府</w:t>
            </w:r>
            <w:r>
              <w:rPr>
                <w:rFonts w:hint="eastAsia" w:ascii="宋体" w:hAnsi="宋体" w:eastAsia="宋体" w:cs="宋体"/>
                <w:i/>
                <w:iCs/>
                <w:spacing w:val="-1"/>
                <w:sz w:val="24"/>
                <w:szCs w:val="24"/>
                <w:u w:val="single"/>
                <w:lang w:eastAsia="en-US"/>
              </w:rPr>
              <w:t xml:space="preserve">采购需求标准的相关规定</w:t>
            </w:r>
            <w:r/>
          </w:p>
        </w:tc>
      </w:tr>
      <w:tr>
        <w:trPr>
          <w:trHeight w:val="2644"/>
        </w:trPr>
        <w:tc>
          <w:tcPr>
            <w:tcW w:w="719" w:type="dxa"/>
            <w:vAlign w:val="center"/>
            <w:textDirection w:val="lrTb"/>
            <w:noWrap w:val="false"/>
          </w:tcPr>
          <w:p>
            <w:pPr>
              <w:jc w:val="center"/>
              <w:spacing w:before="59"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129</w:t>
            </w:r>
            <w:r/>
          </w:p>
        </w:tc>
        <w:tc>
          <w:tcPr>
            <w:tcBorders>
              <w:bottom w:val="none" w:color="000000" w:sz="4" w:space="0"/>
            </w:tcBorders>
            <w:tcW w:w="1153" w:type="dxa"/>
            <w:vAlign w:val="center"/>
            <w:vMerge w:val="restart"/>
            <w:textDirection w:val="lrTb"/>
            <w:noWrap w:val="false"/>
          </w:tcPr>
          <w:p>
            <w:pPr>
              <w:ind w:right="141"/>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服务</w:t>
            </w:r>
            <w:r>
              <w:rPr>
                <w:rFonts w:hint="eastAsia" w:ascii="宋体" w:hAnsi="宋体" w:eastAsia="宋体" w:cs="宋体"/>
                <w:spacing w:val="-8"/>
                <w:sz w:val="24"/>
                <w:szCs w:val="24"/>
                <w:lang w:eastAsia="en-US"/>
              </w:rPr>
              <w:t xml:space="preserve">响应</w:t>
            </w:r>
            <w:r/>
          </w:p>
        </w:tc>
        <w:tc>
          <w:tcPr>
            <w:tcW w:w="996" w:type="dxa"/>
            <w:vAlign w:val="center"/>
            <w:textDirection w:val="lrTb"/>
            <w:noWrap w:val="false"/>
          </w:tcPr>
          <w:p>
            <w:pPr>
              <w:jc w:val="center"/>
              <w:spacing w:before="59" w:line="221"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服务响应</w:t>
            </w:r>
            <w:r/>
          </w:p>
        </w:tc>
        <w:tc>
          <w:tcPr>
            <w:tcW w:w="5280" w:type="dxa"/>
            <w:vAlign w:val="center"/>
            <w:textDirection w:val="lrTb"/>
            <w:noWrap w:val="false"/>
          </w:tcPr>
          <w:p>
            <w:pPr>
              <w:ind w:left="112" w:right="103" w:firstLine="2"/>
              <w:spacing w:before="42"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提供电话、电子邮件、远程连接</w:t>
            </w:r>
            <w:r>
              <w:rPr>
                <w:rFonts w:hint="eastAsia" w:ascii="宋体" w:hAnsi="宋体" w:eastAsia="宋体" w:cs="宋体"/>
                <w:i/>
                <w:iCs/>
                <w:spacing w:val="-1"/>
                <w:sz w:val="24"/>
                <w:szCs w:val="24"/>
                <w:u w:val="single"/>
                <w:lang w:eastAsia="en-US"/>
              </w:rPr>
              <w:t xml:space="preserve">等多种形式服务；</w:t>
            </w:r>
            <w:r/>
          </w:p>
          <w:p>
            <w:pPr>
              <w:ind w:left="113" w:right="103" w:firstLine="2"/>
              <w:spacing w:before="4"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6"/>
                <w:sz w:val="24"/>
                <w:szCs w:val="24"/>
                <w:u w:val="single"/>
                <w:lang w:eastAsia="en-US"/>
              </w:rPr>
              <w:t xml:space="preserve">b) 提供同城4h、异地12h技术响应服务，2个工作日解决问题，对于未</w:t>
            </w:r>
            <w:r>
              <w:rPr>
                <w:rFonts w:hint="eastAsia" w:ascii="宋体" w:hAnsi="宋体" w:eastAsia="宋体" w:cs="宋体"/>
                <w:i/>
                <w:iCs/>
                <w:spacing w:val="-1"/>
                <w:sz w:val="24"/>
                <w:szCs w:val="24"/>
                <w:u w:val="single"/>
                <w:lang w:eastAsia="en-US"/>
              </w:rPr>
              <w:t xml:space="preserve">能解决的问题和故障应提供可行的升级方案，并提供周转设备；</w:t>
            </w:r>
            <w:r/>
          </w:p>
          <w:p>
            <w:pPr>
              <w:ind w:left="112" w:right="57"/>
              <w:spacing w:before="6" w:line="24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c) 建立全国技术服务体系和服务</w:t>
            </w:r>
            <w:r>
              <w:rPr>
                <w:rFonts w:hint="eastAsia" w:ascii="宋体" w:hAnsi="宋体" w:eastAsia="宋体" w:cs="宋体"/>
                <w:i/>
                <w:iCs/>
                <w:spacing w:val="-5"/>
                <w:sz w:val="24"/>
                <w:szCs w:val="24"/>
                <w:u w:val="single"/>
                <w:lang w:eastAsia="en-US"/>
              </w:rPr>
              <w:t xml:space="preserve">团体，符合专业服务体系标准要求，</w:t>
            </w:r>
            <w:r>
              <w:rPr>
                <w:rFonts w:hint="eastAsia" w:ascii="宋体" w:hAnsi="宋体" w:eastAsia="宋体" w:cs="宋体"/>
                <w:i/>
                <w:iCs/>
                <w:spacing w:val="-1"/>
                <w:sz w:val="24"/>
                <w:szCs w:val="24"/>
                <w:u w:val="single"/>
                <w:lang w:eastAsia="en-US"/>
              </w:rPr>
              <w:t xml:space="preserve">提供原厂中文服务；</w:t>
            </w:r>
            <w:r/>
          </w:p>
          <w:p>
            <w:pPr>
              <w:ind w:left="112" w:right="103"/>
              <w:spacing w:before="5"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d) 服务周期内提供产品的维修、换</w:t>
            </w:r>
            <w:r>
              <w:rPr>
                <w:rFonts w:hint="eastAsia" w:ascii="宋体" w:hAnsi="宋体" w:eastAsia="宋体" w:cs="宋体"/>
                <w:i/>
                <w:iCs/>
                <w:spacing w:val="-1"/>
                <w:sz w:val="24"/>
                <w:szCs w:val="24"/>
                <w:u w:val="single"/>
                <w:lang w:eastAsia="en-US"/>
              </w:rPr>
              <w:t xml:space="preserve">件和升级服务</w:t>
            </w:r>
            <w:r/>
          </w:p>
        </w:tc>
      </w:tr>
      <w:tr>
        <w:trPr>
          <w:trHeight w:val="485"/>
        </w:trPr>
        <w:tc>
          <w:tcPr>
            <w:tcW w:w="719" w:type="dxa"/>
            <w:vAlign w:val="center"/>
            <w:textDirection w:val="lrTb"/>
            <w:noWrap w:val="false"/>
          </w:tcPr>
          <w:p>
            <w:pPr>
              <w:ind w:left="211"/>
              <w:spacing w:before="155"/>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130</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培训服务</w:t>
            </w:r>
            <w:r/>
          </w:p>
        </w:tc>
        <w:tc>
          <w:tcPr>
            <w:tcW w:w="5280" w:type="dxa"/>
            <w:vAlign w:val="center"/>
            <w:textDirection w:val="lrTb"/>
            <w:noWrap w:val="false"/>
          </w:tcPr>
          <w:p>
            <w:pPr>
              <w:ind w:left="113" w:right="197"/>
              <w:spacing w:before="42"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供应商提供培训材料、产品手册、</w:t>
            </w:r>
            <w:r>
              <w:rPr>
                <w:rFonts w:hint="eastAsia" w:ascii="宋体" w:hAnsi="宋体" w:eastAsia="宋体" w:cs="宋体"/>
                <w:i/>
                <w:iCs/>
                <w:spacing w:val="-1"/>
                <w:sz w:val="24"/>
                <w:szCs w:val="24"/>
                <w:u w:val="single"/>
                <w:lang w:eastAsia="en-US"/>
              </w:rPr>
              <w:t xml:space="preserve">培训视频等培训相关内容</w:t>
            </w:r>
            <w:r/>
          </w:p>
        </w:tc>
      </w:tr>
      <w:tr>
        <w:trPr>
          <w:trHeight w:val="2167"/>
        </w:trPr>
        <w:tc>
          <w:tcPr>
            <w:tcW w:w="719" w:type="dxa"/>
            <w:vAlign w:val="center"/>
            <w:textDirection w:val="lrTb"/>
            <w:noWrap w:val="false"/>
          </w:tcPr>
          <w:p>
            <w:pPr>
              <w:jc w:val="center"/>
              <w:spacing w:before="5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131</w:t>
            </w:r>
            <w:r/>
          </w:p>
        </w:tc>
        <w:tc>
          <w:tcPr>
            <w:tcW w:w="1153" w:type="dxa"/>
            <w:vAlign w:val="center"/>
            <w:textDirection w:val="lrTb"/>
            <w:noWrap w:val="false"/>
          </w:tcPr>
          <w:p>
            <w:pPr>
              <w:ind w:right="141"/>
              <w:jc w:val="center"/>
              <w:spacing w:before="59" w:line="248"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服务</w:t>
            </w:r>
            <w:r>
              <w:rPr>
                <w:rFonts w:hint="eastAsia" w:ascii="宋体" w:hAnsi="宋体" w:eastAsia="宋体" w:cs="宋体"/>
                <w:spacing w:val="-4"/>
                <w:sz w:val="24"/>
                <w:szCs w:val="24"/>
                <w:lang w:eastAsia="en-US"/>
              </w:rPr>
              <w:t xml:space="preserve">周期</w:t>
            </w:r>
            <w:r/>
          </w:p>
        </w:tc>
        <w:tc>
          <w:tcPr>
            <w:tcW w:w="996" w:type="dxa"/>
            <w:vAlign w:val="center"/>
            <w:textDirection w:val="lrTb"/>
            <w:noWrap w:val="false"/>
          </w:tcPr>
          <w:p>
            <w:pPr>
              <w:jc w:val="center"/>
              <w:spacing w:before="58" w:line="221"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服务周期</w:t>
            </w:r>
            <w:r/>
          </w:p>
        </w:tc>
        <w:tc>
          <w:tcPr>
            <w:tcW w:w="5280" w:type="dxa"/>
            <w:vAlign w:val="center"/>
            <w:textDirection w:val="lrTb"/>
            <w:noWrap w:val="false"/>
          </w:tcPr>
          <w:p>
            <w:pPr>
              <w:ind w:left="113" w:right="103" w:firstLine="1"/>
              <w:spacing w:before="42"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a) 产品免费服务周期（含换件和维</w:t>
            </w:r>
            <w:r>
              <w:rPr>
                <w:rFonts w:hint="eastAsia" w:ascii="宋体" w:hAnsi="宋体" w:eastAsia="宋体" w:cs="宋体"/>
                <w:i/>
                <w:iCs/>
                <w:spacing w:val="-3"/>
                <w:sz w:val="24"/>
                <w:szCs w:val="24"/>
                <w:u w:val="single"/>
                <w:lang w:eastAsia="en-US"/>
              </w:rPr>
              <w:t xml:space="preserve">修）应不小于3年；</w:t>
            </w:r>
            <w:r/>
          </w:p>
          <w:p>
            <w:pPr>
              <w:ind w:left="113" w:right="168" w:firstLine="2"/>
              <w:spacing w:before="4"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设备停产后继续提供质量保障服务（含备品备件</w:t>
            </w:r>
            <w:r>
              <w:rPr>
                <w:rFonts w:hint="eastAsia" w:ascii="宋体" w:hAnsi="宋体" w:eastAsia="宋体" w:cs="宋体"/>
                <w:i/>
                <w:iCs/>
                <w:spacing w:val="3"/>
                <w:sz w:val="24"/>
                <w:szCs w:val="24"/>
                <w:u w:val="single"/>
                <w:lang w:eastAsia="en-US"/>
              </w:rPr>
              <w:t xml:space="preserve">），</w:t>
            </w:r>
            <w:r>
              <w:rPr>
                <w:rFonts w:hint="eastAsia" w:ascii="宋体" w:hAnsi="宋体" w:eastAsia="宋体" w:cs="宋体"/>
                <w:i/>
                <w:iCs/>
                <w:spacing w:val="-1"/>
                <w:sz w:val="24"/>
                <w:szCs w:val="24"/>
                <w:u w:val="single"/>
                <w:lang w:eastAsia="en-US"/>
              </w:rPr>
              <w:t xml:space="preserve">服务终止时间与最后一批设备交付时间间隔不</w:t>
            </w:r>
            <w:r>
              <w:rPr>
                <w:rFonts w:hint="eastAsia" w:ascii="宋体" w:hAnsi="宋体" w:eastAsia="宋体" w:cs="宋体"/>
                <w:i/>
                <w:iCs/>
                <w:spacing w:val="-5"/>
                <w:sz w:val="24"/>
                <w:szCs w:val="24"/>
                <w:u w:val="single"/>
                <w:lang w:eastAsia="en-US"/>
              </w:rPr>
              <w:t xml:space="preserve">低于6年；</w:t>
            </w:r>
            <w:r/>
          </w:p>
          <w:p>
            <w:pPr>
              <w:ind w:left="118" w:right="103" w:hanging="5"/>
              <w:spacing w:before="6"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c) 产品停止服务时间应提前1年告</w:t>
            </w:r>
            <w:r>
              <w:rPr>
                <w:rFonts w:hint="eastAsia" w:ascii="宋体" w:hAnsi="宋体" w:eastAsia="宋体" w:cs="宋体"/>
                <w:i/>
                <w:iCs/>
                <w:spacing w:val="-3"/>
                <w:sz w:val="24"/>
                <w:szCs w:val="24"/>
                <w:u w:val="single"/>
                <w:lang w:eastAsia="en-US"/>
              </w:rPr>
              <w:t xml:space="preserve">知客户；</w:t>
            </w:r>
            <w:r/>
          </w:p>
          <w:p>
            <w:pPr>
              <w:ind w:left="113"/>
              <w:spacing w:before="5" w:line="20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d) 产品发布日期需在随机文件中</w:t>
            </w:r>
            <w:r>
              <w:rPr>
                <w:rFonts w:hint="eastAsia" w:ascii="宋体" w:hAnsi="宋体" w:eastAsia="宋体" w:cs="宋体"/>
                <w:i/>
                <w:iCs/>
                <w:spacing w:val="-8"/>
                <w:sz w:val="24"/>
                <w:szCs w:val="24"/>
                <w:u w:val="single"/>
                <w:lang w:eastAsia="en-US"/>
              </w:rPr>
              <w:t xml:space="preserve">明确</w:t>
            </w:r>
            <w:r/>
          </w:p>
        </w:tc>
      </w:tr>
      <w:tr>
        <w:trPr>
          <w:trHeight w:val="964"/>
        </w:trPr>
        <w:tc>
          <w:tcPr>
            <w:tcW w:w="719" w:type="dxa"/>
            <w:vAlign w:val="center"/>
            <w:textDirection w:val="lrTb"/>
            <w:noWrap w:val="false"/>
          </w:tcPr>
          <w:p>
            <w:pPr>
              <w:jc w:val="center"/>
              <w:spacing w:before="59"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132</w:t>
            </w:r>
            <w:r/>
          </w:p>
        </w:tc>
        <w:tc>
          <w:tcPr>
            <w:tcBorders>
              <w:bottom w:val="none" w:color="000000" w:sz="4" w:space="0"/>
            </w:tcBorders>
            <w:tcW w:w="1153" w:type="dxa"/>
            <w:vAlign w:val="center"/>
            <w:vMerge w:val="restart"/>
            <w:textDirection w:val="lrTb"/>
            <w:noWrap w:val="false"/>
          </w:tcPr>
          <w:p>
            <w:pPr>
              <w:ind w:left="186" w:right="141" w:hanging="47"/>
              <w:jc w:val="center"/>
              <w:spacing w:before="59"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服务</w:t>
            </w:r>
            <w:r>
              <w:rPr>
                <w:rFonts w:hint="eastAsia" w:ascii="宋体" w:hAnsi="宋体" w:eastAsia="宋体" w:cs="宋体"/>
                <w:spacing w:val="-3"/>
                <w:sz w:val="24"/>
                <w:szCs w:val="24"/>
                <w:lang w:eastAsia="en-US"/>
              </w:rPr>
              <w:t xml:space="preserve">工具要求</w:t>
            </w:r>
            <w:r/>
          </w:p>
        </w:tc>
        <w:tc>
          <w:tcPr>
            <w:tcW w:w="996" w:type="dxa"/>
            <w:vAlign w:val="center"/>
            <w:textDirection w:val="lrTb"/>
            <w:noWrap w:val="false"/>
          </w:tcPr>
          <w:p>
            <w:pPr>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工具要求</w:t>
            </w:r>
            <w:r/>
          </w:p>
        </w:tc>
        <w:tc>
          <w:tcPr>
            <w:tcW w:w="5280" w:type="dxa"/>
            <w:vAlign w:val="center"/>
            <w:textDirection w:val="lrTb"/>
            <w:noWrap w:val="false"/>
          </w:tcPr>
          <w:p>
            <w:pPr>
              <w:ind w:left="112" w:right="168"/>
              <w:spacing w:before="37" w:line="235"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供应商提供设置服务器硬件、辅助操作系统安装等功能的辅助工具和管理软件。且随附软件应具有合法</w:t>
            </w:r>
            <w:r>
              <w:rPr>
                <w:rFonts w:hint="eastAsia" w:ascii="宋体" w:hAnsi="宋体" w:eastAsia="宋体" w:cs="宋体"/>
                <w:i/>
                <w:iCs/>
                <w:spacing w:val="-2"/>
                <w:sz w:val="24"/>
                <w:szCs w:val="24"/>
                <w:u w:val="single"/>
                <w:lang w:eastAsia="en-US"/>
              </w:rPr>
              <w:t xml:space="preserve">授权或版权</w:t>
            </w:r>
            <w:r/>
          </w:p>
        </w:tc>
      </w:tr>
      <w:tr>
        <w:trPr>
          <w:trHeight w:val="1684"/>
        </w:trPr>
        <w:tc>
          <w:tcPr>
            <w:tcW w:w="719" w:type="dxa"/>
            <w:vAlign w:val="center"/>
            <w:textDirection w:val="lrTb"/>
            <w:noWrap w:val="false"/>
          </w:tcPr>
          <w:p>
            <w:pPr>
              <w:ind w:left="211"/>
              <w:spacing w:before="5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133</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before="59" w:line="222"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辅助工具</w:t>
            </w:r>
            <w:r/>
          </w:p>
        </w:tc>
        <w:tc>
          <w:tcPr>
            <w:tcW w:w="5280" w:type="dxa"/>
            <w:vAlign w:val="center"/>
            <w:textDirection w:val="lrTb"/>
            <w:noWrap w:val="false"/>
          </w:tcPr>
          <w:p>
            <w:pPr>
              <w:ind w:left="119"/>
              <w:spacing w:before="41"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3"/>
                <w:sz w:val="24"/>
                <w:szCs w:val="24"/>
                <w:u w:val="single"/>
                <w:lang w:eastAsia="en-US"/>
              </w:rPr>
              <w:t xml:space="preserve">支持如下功能</w:t>
            </w:r>
            <w:r/>
          </w:p>
          <w:p>
            <w:pPr>
              <w:ind w:left="114"/>
              <w:spacing w:before="23"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a) 本地的数据备份和还原功能；</w:t>
            </w:r>
            <w:r/>
          </w:p>
          <w:p>
            <w:pPr>
              <w:ind w:left="115"/>
              <w:spacing w:before="32" w:line="21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b) 网络的数据备份和还原功能；</w:t>
            </w:r>
            <w:r/>
          </w:p>
          <w:p>
            <w:pPr>
              <w:ind w:left="119" w:right="259" w:hanging="6"/>
              <w:spacing w:before="32" w:line="243"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c) 服务器操作系统的自动安装功</w:t>
            </w:r>
            <w:r>
              <w:rPr>
                <w:rFonts w:hint="eastAsia" w:ascii="宋体" w:hAnsi="宋体" w:eastAsia="宋体" w:cs="宋体"/>
                <w:i/>
                <w:iCs/>
                <w:spacing w:val="-7"/>
                <w:sz w:val="24"/>
                <w:szCs w:val="24"/>
                <w:u w:val="single"/>
                <w:lang w:eastAsia="en-US"/>
              </w:rPr>
              <w:t xml:space="preserve">能；</w:t>
            </w:r>
            <w:r/>
          </w:p>
          <w:p>
            <w:pPr>
              <w:ind w:left="113" w:right="259"/>
              <w:spacing w:before="5" w:line="22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d) 服务器所配硬件需要的驱动程</w:t>
            </w:r>
            <w:r>
              <w:rPr>
                <w:rFonts w:hint="eastAsia" w:ascii="宋体" w:hAnsi="宋体" w:eastAsia="宋体" w:cs="宋体"/>
                <w:i/>
                <w:iCs/>
                <w:spacing w:val="-2"/>
                <w:sz w:val="24"/>
                <w:szCs w:val="24"/>
                <w:u w:val="single"/>
                <w:lang w:eastAsia="en-US"/>
              </w:rPr>
              <w:t xml:space="preserve">序和系统补丁</w:t>
            </w:r>
            <w:r/>
          </w:p>
        </w:tc>
      </w:tr>
      <w:tr>
        <w:trPr>
          <w:trHeight w:val="965"/>
        </w:trPr>
        <w:tc>
          <w:tcPr>
            <w:tcW w:w="719" w:type="dxa"/>
            <w:vAlign w:val="center"/>
            <w:textDirection w:val="lrTb"/>
            <w:noWrap w:val="false"/>
          </w:tcPr>
          <w:p>
            <w:pPr>
              <w:ind w:left="211"/>
              <w:spacing w:before="59"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134</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驱动安装升级指引</w:t>
            </w:r>
            <w:r/>
          </w:p>
        </w:tc>
        <w:tc>
          <w:tcPr>
            <w:tcW w:w="5280" w:type="dxa"/>
            <w:vAlign w:val="center"/>
            <w:textDirection w:val="lrTb"/>
            <w:noWrap w:val="false"/>
          </w:tcPr>
          <w:p>
            <w:pPr>
              <w:ind w:left="112" w:right="168"/>
              <w:spacing w:before="42" w:line="234"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供应商提供出厂安装的配件所需的驱动程序，形式包括但不限于驱动光盘、驱动下载链接等。其他配件</w:t>
            </w:r>
            <w:r>
              <w:rPr>
                <w:rFonts w:hint="eastAsia" w:ascii="宋体" w:hAnsi="宋体" w:eastAsia="宋体" w:cs="宋体"/>
                <w:i/>
                <w:iCs/>
                <w:spacing w:val="-2"/>
                <w:sz w:val="24"/>
                <w:szCs w:val="24"/>
                <w:u w:val="single"/>
                <w:lang w:eastAsia="en-US"/>
              </w:rPr>
              <w:t xml:space="preserve">应提供指引</w:t>
            </w:r>
            <w:r/>
          </w:p>
        </w:tc>
      </w:tr>
      <w:tr>
        <w:trPr>
          <w:trHeight w:val="485"/>
        </w:trPr>
        <w:tc>
          <w:tcPr>
            <w:tcW w:w="719" w:type="dxa"/>
            <w:vAlign w:val="center"/>
            <w:textDirection w:val="lrTb"/>
            <w:noWrap w:val="false"/>
          </w:tcPr>
          <w:p>
            <w:pPr>
              <w:ind w:left="211"/>
              <w:spacing w:before="154"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135</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随机附开盖工具</w:t>
            </w:r>
            <w:r/>
          </w:p>
        </w:tc>
        <w:tc>
          <w:tcPr>
            <w:tcW w:w="5280" w:type="dxa"/>
            <w:vAlign w:val="center"/>
            <w:textDirection w:val="lrTb"/>
            <w:noWrap w:val="false"/>
          </w:tcPr>
          <w:p>
            <w:pPr>
              <w:ind w:left="118"/>
              <w:spacing w:before="161"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随服务器打包提供开机箱工具</w:t>
            </w:r>
            <w:r/>
          </w:p>
        </w:tc>
      </w:tr>
      <w:tr>
        <w:trPr>
          <w:trHeight w:val="2164"/>
        </w:trPr>
        <w:tc>
          <w:tcPr>
            <w:tcW w:w="719" w:type="dxa"/>
            <w:vAlign w:val="center"/>
            <w:textDirection w:val="lrTb"/>
            <w:noWrap w:val="false"/>
          </w:tcPr>
          <w:p>
            <w:pPr>
              <w:ind w:left="211"/>
              <w:spacing w:before="58"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136</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right="214"/>
              <w:jc w:val="center"/>
              <w:spacing w:before="59" w:line="249"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代码迁移工具</w:t>
            </w:r>
            <w:r/>
          </w:p>
        </w:tc>
        <w:tc>
          <w:tcPr>
            <w:tcW w:w="5280" w:type="dxa"/>
            <w:vAlign w:val="center"/>
            <w:textDirection w:val="lrTb"/>
            <w:noWrap w:val="false"/>
          </w:tcPr>
          <w:p>
            <w:pPr>
              <w:ind w:left="112" w:right="168"/>
              <w:spacing w:before="42" w:line="245"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供应商提供从其他CPU架构到当前服务器CPU架构的软件迁移工具产</w:t>
            </w:r>
            <w:r>
              <w:rPr>
                <w:rFonts w:hint="eastAsia" w:ascii="宋体" w:hAnsi="宋体" w:eastAsia="宋体" w:cs="宋体"/>
                <w:i/>
                <w:iCs/>
                <w:spacing w:val="-1"/>
                <w:sz w:val="24"/>
                <w:szCs w:val="24"/>
                <w:u w:val="single"/>
                <w:lang w:eastAsia="en-US"/>
              </w:rPr>
              <w:t xml:space="preserve">品，支持软件包迁移评估，对满足产品重构要求的软件包，能重构为</w:t>
            </w:r>
            <w:r>
              <w:rPr>
                <w:rFonts w:hint="eastAsia" w:ascii="宋体" w:hAnsi="宋体" w:eastAsia="宋体" w:cs="宋体"/>
                <w:i/>
                <w:iCs/>
                <w:spacing w:val="-2"/>
                <w:sz w:val="24"/>
                <w:szCs w:val="24"/>
                <w:u w:val="single"/>
                <w:lang w:eastAsia="en-US"/>
              </w:rPr>
              <w:t xml:space="preserve">当前服务器CPU架构的软件包。提</w:t>
            </w:r>
            <w:r>
              <w:rPr>
                <w:rFonts w:hint="eastAsia" w:ascii="宋体" w:hAnsi="宋体" w:eastAsia="宋体" w:cs="宋体"/>
                <w:i/>
                <w:iCs/>
                <w:spacing w:val="-1"/>
                <w:sz w:val="24"/>
                <w:szCs w:val="24"/>
                <w:u w:val="single"/>
                <w:lang w:eastAsia="en-US"/>
              </w:rPr>
              <w:t xml:space="preserve">供源码迁移功能，检查分析</w:t>
            </w:r>
            <w:r/>
          </w:p>
          <w:p>
            <w:pPr>
              <w:ind w:left="112" w:right="168"/>
              <w:spacing w:before="5" w:line="230"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C/C++/Fortran/Go/解释型语言/汇编等源码文件，基于产品功能给出</w:t>
            </w:r>
            <w:r>
              <w:rPr>
                <w:rFonts w:hint="eastAsia" w:ascii="宋体" w:hAnsi="宋体" w:eastAsia="宋体" w:cs="宋体"/>
                <w:i/>
                <w:iCs/>
                <w:spacing w:val="-2"/>
                <w:sz w:val="24"/>
                <w:szCs w:val="24"/>
                <w:u w:val="single"/>
                <w:lang w:eastAsia="en-US"/>
              </w:rPr>
              <w:t xml:space="preserve">迁移指导</w:t>
            </w:r>
            <w:r/>
          </w:p>
        </w:tc>
      </w:tr>
      <w:tr>
        <w:trPr>
          <w:trHeight w:val="1444"/>
        </w:trPr>
        <w:tc>
          <w:tcPr>
            <w:tcW w:w="719" w:type="dxa"/>
            <w:vAlign w:val="center"/>
            <w:textDirection w:val="lrTb"/>
            <w:noWrap w:val="false"/>
          </w:tcPr>
          <w:p>
            <w:pPr>
              <w:ind w:left="211"/>
              <w:spacing w:before="58"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137</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ind w:right="214"/>
              <w:jc w:val="center"/>
              <w:spacing w:before="59" w:line="249"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性能分析工具</w:t>
            </w:r>
            <w:r/>
          </w:p>
        </w:tc>
        <w:tc>
          <w:tcPr>
            <w:tcW w:w="5280" w:type="dxa"/>
            <w:vAlign w:val="center"/>
            <w:textDirection w:val="lrTb"/>
            <w:noWrap w:val="false"/>
          </w:tcPr>
          <w:p>
            <w:pPr>
              <w:ind w:left="111" w:right="41" w:firstLine="1"/>
              <w:spacing w:before="41" w:line="238"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供应商提供支持当前服务器CPU架</w:t>
            </w:r>
            <w:r>
              <w:rPr>
                <w:rFonts w:hint="eastAsia" w:ascii="宋体" w:hAnsi="宋体" w:eastAsia="宋体" w:cs="宋体"/>
                <w:i/>
                <w:iCs/>
                <w:spacing w:val="-1"/>
                <w:sz w:val="24"/>
                <w:szCs w:val="24"/>
                <w:u w:val="single"/>
                <w:lang w:eastAsia="en-US"/>
              </w:rPr>
              <w:t xml:space="preserve">构的性能分析工具产品，支持系统性能分析、Java性能分析和系统诊</w:t>
            </w:r>
            <w:r>
              <w:rPr>
                <w:rFonts w:hint="eastAsia" w:ascii="宋体" w:hAnsi="宋体" w:eastAsia="宋体" w:cs="宋体"/>
                <w:i/>
                <w:iCs/>
                <w:spacing w:val="-12"/>
                <w:sz w:val="24"/>
                <w:szCs w:val="24"/>
                <w:u w:val="single"/>
                <w:lang w:eastAsia="en-US"/>
              </w:rPr>
              <w:t xml:space="preserve">断，可分析系统或应用在CPU、内存、</w:t>
            </w:r>
            <w:r>
              <w:rPr>
                <w:rFonts w:hint="eastAsia" w:ascii="宋体" w:hAnsi="宋体" w:eastAsia="宋体" w:cs="宋体"/>
                <w:i/>
                <w:iCs/>
                <w:spacing w:val="-1"/>
                <w:sz w:val="24"/>
                <w:szCs w:val="24"/>
                <w:u w:val="single"/>
                <w:lang w:eastAsia="en-US"/>
              </w:rPr>
              <w:t xml:space="preserve">IO、网络等方面的性能，并给出优</w:t>
            </w:r>
            <w:r>
              <w:rPr>
                <w:rFonts w:hint="eastAsia" w:ascii="宋体" w:hAnsi="宋体" w:eastAsia="宋体" w:cs="宋体"/>
                <w:i/>
                <w:iCs/>
                <w:spacing w:val="-2"/>
                <w:sz w:val="24"/>
                <w:szCs w:val="24"/>
                <w:u w:val="single"/>
                <w:lang w:eastAsia="en-US"/>
              </w:rPr>
              <w:t xml:space="preserve">化建议</w:t>
            </w:r>
            <w:r/>
          </w:p>
        </w:tc>
      </w:tr>
      <w:tr>
        <w:trPr>
          <w:trHeight w:val="705"/>
        </w:trPr>
        <w:tc>
          <w:tcPr>
            <w:tcW w:w="719" w:type="dxa"/>
            <w:vAlign w:val="center"/>
            <w:textDirection w:val="lrTb"/>
            <w:noWrap w:val="false"/>
          </w:tcPr>
          <w:p>
            <w:pPr>
              <w:ind w:left="211"/>
              <w:spacing w:before="265"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138</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跨架构平</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台应用兼容</w:t>
            </w:r>
            <w:r/>
          </w:p>
        </w:tc>
        <w:tc>
          <w:tcPr>
            <w:tcW w:w="5280" w:type="dxa"/>
            <w:vAlign w:val="center"/>
            <w:textDirection w:val="lrTb"/>
            <w:noWrap w:val="false"/>
          </w:tcPr>
          <w:p>
            <w:pPr>
              <w:ind w:left="115" w:right="168" w:hanging="2"/>
              <w:spacing w:before="33" w:line="226"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跨CPU架构平台应用兼容工具，可</w:t>
            </w:r>
            <w:r>
              <w:rPr>
                <w:rFonts w:hint="eastAsia" w:ascii="宋体" w:hAnsi="宋体" w:eastAsia="宋体" w:cs="宋体"/>
                <w:i/>
                <w:iCs/>
                <w:spacing w:val="-1"/>
                <w:sz w:val="24"/>
                <w:szCs w:val="24"/>
                <w:u w:val="single"/>
                <w:lang w:eastAsia="en-US"/>
              </w:rPr>
              <w:t xml:space="preserve">兼容一种或者一种以上不同架构平</w:t>
            </w:r>
            <w:r>
              <w:rPr>
                <w:rFonts w:hint="eastAsia" w:ascii="宋体" w:hAnsi="宋体" w:eastAsia="宋体" w:cs="宋体"/>
                <w:i/>
                <w:iCs/>
                <w:spacing w:val="-3"/>
                <w:sz w:val="24"/>
                <w:szCs w:val="24"/>
                <w:u w:val="single"/>
                <w:lang w:eastAsia="en-US"/>
              </w:rPr>
              <w:t xml:space="preserve">台的应用</w:t>
            </w:r>
            <w:r/>
          </w:p>
        </w:tc>
      </w:tr>
      <w:tr>
        <w:trPr>
          <w:trHeight w:val="706"/>
        </w:trPr>
        <w:tc>
          <w:tcPr>
            <w:tcW w:w="719" w:type="dxa"/>
            <w:vAlign w:val="center"/>
            <w:textDirection w:val="lrTb"/>
            <w:noWrap w:val="false"/>
          </w:tcPr>
          <w:p>
            <w:pPr>
              <w:ind w:left="211"/>
              <w:spacing w:before="265"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139</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管理软件</w:t>
            </w:r>
            <w:r/>
          </w:p>
        </w:tc>
        <w:tc>
          <w:tcPr>
            <w:tcW w:w="5280" w:type="dxa"/>
            <w:vAlign w:val="center"/>
            <w:textDirection w:val="lrTb"/>
            <w:noWrap w:val="false"/>
          </w:tcPr>
          <w:p>
            <w:pPr>
              <w:ind w:left="112" w:right="168" w:firstLine="5"/>
              <w:spacing w:before="32" w:line="22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具备资源管理、系统管理、性能监控、健康监控、基于网络控制、报</w:t>
            </w:r>
            <w:r>
              <w:rPr>
                <w:rFonts w:hint="eastAsia" w:ascii="宋体" w:hAnsi="宋体" w:eastAsia="宋体" w:cs="宋体"/>
                <w:i/>
                <w:iCs/>
                <w:spacing w:val="-2"/>
                <w:sz w:val="24"/>
                <w:szCs w:val="24"/>
                <w:u w:val="single"/>
                <w:lang w:eastAsia="en-US"/>
              </w:rPr>
              <w:t xml:space="preserve">警设置功能</w:t>
            </w:r>
            <w:r/>
          </w:p>
        </w:tc>
      </w:tr>
      <w:tr>
        <w:trPr>
          <w:trHeight w:val="938"/>
        </w:trPr>
        <w:tc>
          <w:tcPr>
            <w:tcW w:w="719" w:type="dxa"/>
            <w:vAlign w:val="center"/>
            <w:textDirection w:val="lrTb"/>
            <w:noWrap w:val="false"/>
          </w:tcPr>
          <w:p>
            <w:pPr>
              <w:jc w:val="center"/>
              <w:spacing w:line="320" w:lineRule="auto"/>
              <w:widowControl/>
              <w:rPr>
                <w:rFonts w:hint="default" w:ascii="宋体" w:hAnsi="宋体" w:eastAsia="宋体" w:cs="宋体"/>
                <w:sz w:val="24"/>
                <w:szCs w:val="24"/>
              </w:rPr>
            </w:pPr>
            <w:r>
              <w:rPr>
                <w:rFonts w:hint="default" w:ascii="宋体" w:hAnsi="宋体" w:eastAsia="宋体" w:cs="宋体"/>
                <w:sz w:val="24"/>
                <w:szCs w:val="24"/>
              </w:rPr>
            </w:r>
            <w:r/>
          </w:p>
          <w:p>
            <w:pPr>
              <w:ind w:left="211"/>
              <w:spacing w:before="58"/>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140</w:t>
            </w:r>
            <w:r/>
          </w:p>
        </w:tc>
        <w:tc>
          <w:tcPr>
            <w:tcBorders>
              <w:bottom w:val="none" w:color="000000" w:sz="4" w:space="0"/>
            </w:tcBorders>
            <w:tcW w:w="1153" w:type="dxa"/>
            <w:vAlign w:val="center"/>
            <w:vMerge w:val="restart"/>
            <w:textDirection w:val="lrTb"/>
            <w:noWrap w:val="false"/>
          </w:tcPr>
          <w:p>
            <w:pPr>
              <w:ind w:left="187" w:right="141" w:hanging="48"/>
              <w:jc w:val="center"/>
              <w:spacing w:before="59" w:line="247"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增值</w:t>
            </w:r>
            <w:r>
              <w:rPr>
                <w:rFonts w:hint="eastAsia" w:ascii="宋体" w:hAnsi="宋体" w:eastAsia="宋体" w:cs="宋体"/>
                <w:spacing w:val="-4"/>
                <w:sz w:val="24"/>
                <w:szCs w:val="24"/>
                <w:lang w:eastAsia="en-US"/>
              </w:rPr>
              <w:t xml:space="preserve">服务</w:t>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厂家升级产品软件与扩容服务</w:t>
            </w:r>
            <w:r/>
          </w:p>
        </w:tc>
        <w:tc>
          <w:tcPr>
            <w:tcW w:w="5280" w:type="dxa"/>
            <w:vAlign w:val="center"/>
            <w:textDirection w:val="lrTb"/>
            <w:noWrap w:val="false"/>
          </w:tcPr>
          <w:p>
            <w:pPr>
              <w:ind w:left="122" w:right="259" w:hanging="9"/>
              <w:spacing w:before="264"/>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供应商提供原厂级的部件/软件产</w:t>
            </w:r>
            <w:r>
              <w:rPr>
                <w:rFonts w:hint="eastAsia" w:ascii="宋体" w:hAnsi="宋体" w:eastAsia="宋体" w:cs="宋体"/>
                <w:i/>
                <w:iCs/>
                <w:spacing w:val="-3"/>
                <w:sz w:val="24"/>
                <w:szCs w:val="24"/>
                <w:u w:val="single"/>
                <w:lang w:eastAsia="en-US"/>
              </w:rPr>
              <w:t xml:space="preserve">品升级和扩容能力</w:t>
            </w:r>
            <w:r/>
          </w:p>
        </w:tc>
      </w:tr>
      <w:tr>
        <w:trPr>
          <w:trHeight w:val="706"/>
        </w:trPr>
        <w:tc>
          <w:tcPr>
            <w:tcW w:w="719" w:type="dxa"/>
            <w:vAlign w:val="center"/>
            <w:textDirection w:val="lrTb"/>
            <w:noWrap w:val="false"/>
          </w:tcPr>
          <w:p>
            <w:pPr>
              <w:ind w:left="211"/>
              <w:spacing w:before="265"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141</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服务保障升级</w:t>
            </w:r>
            <w:r/>
          </w:p>
        </w:tc>
        <w:tc>
          <w:tcPr>
            <w:tcW w:w="5280" w:type="dxa"/>
            <w:vAlign w:val="center"/>
            <w:textDirection w:val="lrTb"/>
            <w:noWrap w:val="false"/>
          </w:tcPr>
          <w:p>
            <w:pPr>
              <w:ind w:left="112" w:right="168"/>
              <w:spacing w:before="32" w:line="227"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供应商有偿提供远程技术支持、软件授权服务、备件更换服务、现场</w:t>
            </w:r>
            <w:r>
              <w:rPr>
                <w:rFonts w:hint="eastAsia" w:ascii="宋体" w:hAnsi="宋体" w:eastAsia="宋体" w:cs="宋体"/>
                <w:i/>
                <w:iCs/>
                <w:spacing w:val="-2"/>
                <w:sz w:val="24"/>
                <w:szCs w:val="24"/>
                <w:u w:val="single"/>
                <w:lang w:eastAsia="en-US"/>
              </w:rPr>
              <w:t xml:space="preserve">支承服务</w:t>
            </w:r>
            <w:r/>
          </w:p>
        </w:tc>
      </w:tr>
      <w:tr>
        <w:trPr>
          <w:trHeight w:val="472"/>
        </w:trPr>
        <w:tc>
          <w:tcPr>
            <w:tcW w:w="719" w:type="dxa"/>
            <w:vAlign w:val="center"/>
            <w:textDirection w:val="lrTb"/>
            <w:noWrap w:val="false"/>
          </w:tcPr>
          <w:p>
            <w:pPr>
              <w:ind w:left="211"/>
              <w:spacing w:before="147"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142</w:t>
            </w:r>
            <w:r/>
          </w:p>
        </w:tc>
        <w:tc>
          <w:tcPr>
            <w:tcBorders>
              <w:top w:val="none" w:color="000000" w:sz="4" w:space="0"/>
              <w:bottom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提供上门服务</w:t>
            </w:r>
            <w:r/>
          </w:p>
        </w:tc>
        <w:tc>
          <w:tcPr>
            <w:tcW w:w="5280" w:type="dxa"/>
            <w:vAlign w:val="center"/>
            <w:textDirection w:val="lrTb"/>
            <w:noWrap w:val="false"/>
          </w:tcPr>
          <w:p>
            <w:pPr>
              <w:ind w:left="147" w:right="348" w:hanging="34"/>
              <w:spacing w:before="31" w:line="221"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供应商具备提供上门服务的能力</w:t>
            </w:r>
            <w:r>
              <w:rPr>
                <w:rFonts w:hint="eastAsia" w:ascii="宋体" w:hAnsi="宋体" w:eastAsia="宋体" w:cs="宋体"/>
                <w:i/>
                <w:iCs/>
                <w:spacing w:val="-9"/>
                <w:sz w:val="24"/>
                <w:szCs w:val="24"/>
                <w:u w:val="single"/>
                <w:lang w:eastAsia="en-US"/>
              </w:rPr>
              <w:t xml:space="preserve">(可收费)</w:t>
            </w:r>
            <w:r/>
          </w:p>
        </w:tc>
      </w:tr>
      <w:tr>
        <w:trPr>
          <w:trHeight w:val="1641"/>
        </w:trPr>
        <w:tc>
          <w:tcPr>
            <w:tcW w:w="719" w:type="dxa"/>
            <w:vAlign w:val="center"/>
            <w:textDirection w:val="lrTb"/>
            <w:noWrap w:val="false"/>
          </w:tcPr>
          <w:p>
            <w:pPr>
              <w:jc w:val="center"/>
              <w:spacing w:before="59" w:line="237"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143</w:t>
            </w:r>
            <w:r/>
          </w:p>
        </w:tc>
        <w:tc>
          <w:tcPr>
            <w:tcBorders>
              <w:top w:val="none" w:color="000000" w:sz="4"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业务场景</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性能优化</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服务及整</w:t>
            </w:r>
            <w:r/>
          </w:p>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体架构升级服务</w:t>
            </w:r>
            <w:r/>
          </w:p>
        </w:tc>
        <w:tc>
          <w:tcPr>
            <w:tcW w:w="5280" w:type="dxa"/>
            <w:vAlign w:val="center"/>
            <w:textDirection w:val="lrTb"/>
            <w:noWrap w:val="false"/>
          </w:tcPr>
          <w:p>
            <w:pPr>
              <w:ind w:right="168"/>
              <w:spacing w:before="58"/>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供应商提供针对特定业务场景性能优化服务及整体架构升级服务</w:t>
            </w:r>
            <w:r/>
          </w:p>
        </w:tc>
      </w:tr>
      <w:tr>
        <w:trPr>
          <w:trHeight w:val="963"/>
        </w:trPr>
        <w:tc>
          <w:tcPr>
            <w:tcBorders>
              <w:bottom w:val="single" w:color="000000" w:sz="2" w:space="0"/>
            </w:tcBorders>
            <w:tcW w:w="719" w:type="dxa"/>
            <w:vAlign w:val="center"/>
            <w:textDirection w:val="lrTb"/>
            <w:noWrap w:val="false"/>
          </w:tcPr>
          <w:p>
            <w:pPr>
              <w:jc w:val="center"/>
              <w:spacing w:before="58" w:line="239" w:lineRule="exact"/>
              <w:rPr>
                <w:rFonts w:hint="default" w:ascii="宋体" w:hAnsi="宋体" w:eastAsia="宋体" w:cs="宋体"/>
                <w:sz w:val="24"/>
                <w:szCs w:val="24"/>
                <w:lang w:eastAsia="en-US"/>
              </w:rPr>
            </w:pPr>
            <w:r>
              <w:rPr>
                <w:rFonts w:hint="eastAsia" w:ascii="宋体" w:hAnsi="宋体" w:eastAsia="宋体" w:cs="宋体"/>
                <w:spacing w:val="-6"/>
                <w:position w:val="1"/>
                <w:sz w:val="24"/>
                <w:szCs w:val="24"/>
                <w:lang w:eastAsia="en-US"/>
              </w:rPr>
              <w:t xml:space="preserve">144</w:t>
            </w:r>
            <w:r/>
          </w:p>
        </w:tc>
        <w:tc>
          <w:tcPr>
            <w:tcBorders>
              <w:bottom w:val="single" w:color="000000" w:sz="2" w:space="0"/>
            </w:tcBorders>
            <w:tcW w:w="1153" w:type="dxa"/>
            <w:vAlign w:val="center"/>
            <w:vMerge w:val="restart"/>
            <w:textDirection w:val="lrTb"/>
            <w:noWrap w:val="false"/>
          </w:tcPr>
          <w:p>
            <w:pPr>
              <w:spacing w:line="463" w:lineRule="auto"/>
              <w:widowControl/>
              <w:rPr>
                <w:rFonts w:hint="default" w:ascii="宋体" w:hAnsi="宋体" w:eastAsia="宋体" w:cs="宋体"/>
                <w:sz w:val="24"/>
                <w:szCs w:val="24"/>
              </w:rPr>
            </w:pPr>
            <w:r>
              <w:rPr>
                <w:rFonts w:hint="default" w:ascii="宋体" w:hAnsi="宋体" w:eastAsia="宋体" w:cs="宋体"/>
                <w:sz w:val="24"/>
                <w:szCs w:val="24"/>
              </w:rPr>
            </w:r>
            <w:r/>
          </w:p>
          <w:p>
            <w:pPr>
              <w:ind w:left="139"/>
              <w:jc w:val="center"/>
              <w:spacing w:before="58" w:line="223" w:lineRule="auto"/>
              <w:rPr>
                <w:rFonts w:hint="default" w:ascii="宋体" w:hAnsi="宋体" w:eastAsia="宋体" w:cs="宋体"/>
                <w:sz w:val="24"/>
                <w:szCs w:val="24"/>
                <w:lang w:eastAsia="en-US"/>
              </w:rPr>
            </w:pPr>
            <w:r>
              <w:rPr>
                <w:rFonts w:hint="eastAsia" w:ascii="宋体" w:hAnsi="宋体" w:eastAsia="宋体" w:cs="宋体"/>
                <w:spacing w:val="-1"/>
                <w:sz w:val="24"/>
                <w:szCs w:val="24"/>
                <w:lang w:eastAsia="en-US"/>
              </w:rPr>
              <w:t xml:space="preserve">供应</w:t>
            </w:r>
            <w:r/>
          </w:p>
          <w:p>
            <w:pPr>
              <w:ind w:left="186"/>
              <w:jc w:val="center"/>
              <w:spacing w:before="22" w:line="222" w:lineRule="auto"/>
              <w:rPr>
                <w:rFonts w:hint="default" w:ascii="宋体" w:hAnsi="宋体" w:eastAsia="宋体" w:cs="宋体"/>
                <w:sz w:val="24"/>
                <w:szCs w:val="24"/>
                <w:lang w:eastAsia="en-US"/>
              </w:rPr>
            </w:pPr>
            <w:r>
              <w:rPr>
                <w:rFonts w:hint="eastAsia" w:ascii="宋体" w:hAnsi="宋体" w:eastAsia="宋体" w:cs="宋体"/>
                <w:spacing w:val="-3"/>
                <w:sz w:val="24"/>
                <w:szCs w:val="24"/>
                <w:lang w:eastAsia="en-US"/>
              </w:rPr>
              <w:t xml:space="preserve">链质</w:t>
            </w:r>
            <w:r/>
          </w:p>
          <w:p>
            <w:pPr>
              <w:ind w:left="281"/>
              <w:jc w:val="center"/>
              <w:spacing w:before="23" w:line="229" w:lineRule="auto"/>
              <w:rPr>
                <w:rFonts w:hint="default" w:ascii="宋体" w:hAnsi="宋体" w:eastAsia="宋体" w:cs="宋体"/>
                <w:sz w:val="24"/>
                <w:szCs w:val="24"/>
                <w:lang w:eastAsia="en-US"/>
              </w:rPr>
            </w:pPr>
            <w:r>
              <w:rPr>
                <w:rFonts w:hint="eastAsia" w:ascii="宋体" w:hAnsi="宋体" w:eastAsia="宋体" w:cs="宋体"/>
                <w:sz w:val="24"/>
                <w:szCs w:val="24"/>
                <w:lang w:eastAsia="en-US"/>
              </w:rPr>
              <w:t xml:space="preserve">量</w:t>
            </w:r>
            <w:r/>
          </w:p>
        </w:tc>
        <w:tc>
          <w:tcPr>
            <w:tcBorders>
              <w:bottom w:val="single" w:color="000000" w:sz="2" w:space="0"/>
            </w:tcBorders>
            <w:tcW w:w="996" w:type="dxa"/>
            <w:vAlign w:val="center"/>
            <w:textDirection w:val="lrTb"/>
            <w:noWrap w:val="false"/>
          </w:tcPr>
          <w:p>
            <w:pPr>
              <w:jc w:val="center"/>
              <w:spacing w:before="58" w:line="221" w:lineRule="auto"/>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抗干扰性</w:t>
            </w:r>
            <w:r/>
          </w:p>
        </w:tc>
        <w:tc>
          <w:tcPr>
            <w:tcBorders>
              <w:bottom w:val="single" w:color="000000" w:sz="2" w:space="0"/>
            </w:tcBorders>
            <w:tcW w:w="5280" w:type="dxa"/>
            <w:vAlign w:val="center"/>
            <w:textDirection w:val="lrTb"/>
            <w:noWrap w:val="false"/>
          </w:tcPr>
          <w:p>
            <w:pPr>
              <w:ind w:left="118" w:right="168" w:firstLine="7"/>
              <w:spacing w:before="40" w:line="234" w:lineRule="auto"/>
              <w:rPr>
                <w:rFonts w:hint="default" w:ascii="宋体" w:hAnsi="宋体" w:eastAsia="宋体" w:cs="宋体"/>
                <w:i/>
                <w:iCs/>
                <w:sz w:val="24"/>
                <w:szCs w:val="24"/>
                <w:u w:val="single"/>
                <w:lang w:eastAsia="en-US"/>
              </w:rPr>
            </w:pPr>
            <w:r>
              <w:rPr>
                <w:rFonts w:hint="eastAsia" w:ascii="宋体" w:hAnsi="宋体" w:eastAsia="宋体" w:cs="宋体"/>
                <w:i/>
                <w:iCs/>
                <w:spacing w:val="-2"/>
                <w:sz w:val="24"/>
                <w:szCs w:val="24"/>
                <w:u w:val="single"/>
                <w:lang w:eastAsia="en-US"/>
              </w:rPr>
              <w:t xml:space="preserve">当产品部件出现供应风险时，应通</w:t>
            </w:r>
            <w:r>
              <w:rPr>
                <w:rFonts w:hint="eastAsia" w:ascii="宋体" w:hAnsi="宋体" w:eastAsia="宋体" w:cs="宋体"/>
                <w:i/>
                <w:iCs/>
                <w:spacing w:val="-1"/>
                <w:sz w:val="24"/>
                <w:szCs w:val="24"/>
                <w:u w:val="single"/>
                <w:lang w:eastAsia="en-US"/>
              </w:rPr>
              <w:t xml:space="preserve">知客户并提供风险应对方案确保产品的服务保障，必要时应停止相关</w:t>
            </w:r>
            <w:r>
              <w:rPr>
                <w:rFonts w:hint="eastAsia" w:ascii="宋体" w:hAnsi="宋体" w:eastAsia="宋体" w:cs="宋体"/>
                <w:i/>
                <w:iCs/>
                <w:spacing w:val="-2"/>
                <w:sz w:val="24"/>
                <w:szCs w:val="24"/>
                <w:u w:val="single"/>
                <w:lang w:eastAsia="en-US"/>
              </w:rPr>
              <w:t xml:space="preserve">受影响产品的销售</w:t>
            </w:r>
            <w:r/>
          </w:p>
        </w:tc>
      </w:tr>
      <w:tr>
        <w:trPr>
          <w:trHeight w:val="729"/>
        </w:trPr>
        <w:tc>
          <w:tcPr>
            <w:tcBorders>
              <w:top w:val="single" w:color="000000" w:sz="2" w:space="0"/>
              <w:bottom w:val="single" w:color="000000" w:sz="2" w:space="0"/>
            </w:tcBorders>
            <w:tcW w:w="719" w:type="dxa"/>
            <w:vAlign w:val="center"/>
            <w:textDirection w:val="lrTb"/>
            <w:noWrap w:val="false"/>
          </w:tcPr>
          <w:p>
            <w:pPr>
              <w:jc w:val="center"/>
              <w:spacing w:before="274" w:line="242" w:lineRule="auto"/>
              <w:rPr>
                <w:rFonts w:hint="default" w:ascii="宋体" w:hAnsi="宋体" w:eastAsia="宋体" w:cs="宋体"/>
                <w:sz w:val="24"/>
                <w:szCs w:val="24"/>
                <w:lang w:eastAsia="en-US"/>
              </w:rPr>
            </w:pPr>
            <w:r>
              <w:rPr>
                <w:rFonts w:hint="eastAsia" w:ascii="宋体" w:hAnsi="宋体" w:eastAsia="宋体" w:cs="宋体"/>
                <w:spacing w:val="-6"/>
                <w:sz w:val="24"/>
                <w:szCs w:val="24"/>
                <w:lang w:eastAsia="en-US"/>
              </w:rPr>
              <w:t xml:space="preserve">145</w:t>
            </w:r>
            <w:r/>
          </w:p>
        </w:tc>
        <w:tc>
          <w:tcPr>
            <w:tcBorders>
              <w:top w:val="single" w:color="000000" w:sz="2" w:space="0"/>
              <w:bottom w:val="single" w:color="000000" w:sz="2" w:space="0"/>
            </w:tcBorders>
            <w:tcW w:w="1153" w:type="dxa"/>
            <w:vAlign w:val="center"/>
            <w:vMerge w:val="continue"/>
            <w:textDirection w:val="lrTb"/>
            <w:noWrap w:val="false"/>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c>
          <w:tcPr>
            <w:tcBorders>
              <w:top w:val="single" w:color="000000" w:sz="2" w:space="0"/>
              <w:bottom w:val="single" w:color="000000" w:sz="2" w:space="0"/>
            </w:tcBorders>
            <w:tcW w:w="996" w:type="dxa"/>
            <w:vAlign w:val="center"/>
            <w:textDirection w:val="lrTb"/>
            <w:noWrap w:val="false"/>
          </w:tcPr>
          <w:p>
            <w:pPr>
              <w:jc w:val="center"/>
              <w:spacing w:line="248" w:lineRule="auto"/>
              <w:widowControl/>
              <w:rPr>
                <w:rFonts w:hint="default" w:ascii="宋体" w:hAnsi="宋体" w:eastAsia="宋体" w:cs="宋体"/>
                <w:spacing w:val="-2"/>
                <w:sz w:val="24"/>
                <w:szCs w:val="24"/>
                <w:lang w:eastAsia="en-US"/>
              </w:rPr>
            </w:pPr>
            <w:r>
              <w:rPr>
                <w:rFonts w:hint="eastAsia" w:ascii="宋体" w:hAnsi="宋体" w:eastAsia="宋体" w:cs="宋体"/>
                <w:spacing w:val="-2"/>
                <w:sz w:val="24"/>
                <w:szCs w:val="24"/>
                <w:lang w:eastAsia="en-US"/>
              </w:rPr>
              <w:t xml:space="preserve">供应能力证明</w:t>
            </w:r>
            <w:r/>
          </w:p>
        </w:tc>
        <w:tc>
          <w:tcPr>
            <w:tcBorders>
              <w:top w:val="single" w:color="000000" w:sz="2" w:space="0"/>
              <w:bottom w:val="single" w:color="000000" w:sz="2" w:space="0"/>
            </w:tcBorders>
            <w:tcW w:w="5280" w:type="dxa"/>
            <w:vAlign w:val="center"/>
            <w:textDirection w:val="lrTb"/>
            <w:noWrap w:val="false"/>
          </w:tcPr>
          <w:p>
            <w:pPr>
              <w:ind w:left="111" w:right="168" w:firstLine="1"/>
              <w:spacing w:before="40" w:line="232" w:lineRule="auto"/>
              <w:rPr>
                <w:rFonts w:hint="default" w:ascii="宋体" w:hAnsi="宋体" w:eastAsia="宋体" w:cs="宋体"/>
                <w:i/>
                <w:iCs/>
                <w:sz w:val="24"/>
                <w:szCs w:val="24"/>
                <w:u w:val="single"/>
                <w:lang w:eastAsia="en-US"/>
              </w:rPr>
            </w:pPr>
            <w:r>
              <w:rPr>
                <w:rFonts w:hint="eastAsia" w:ascii="宋体" w:hAnsi="宋体" w:eastAsia="宋体" w:cs="宋体"/>
                <w:i/>
                <w:iCs/>
                <w:spacing w:val="-1"/>
                <w:sz w:val="24"/>
                <w:szCs w:val="24"/>
                <w:u w:val="single"/>
                <w:lang w:eastAsia="en-US"/>
              </w:rPr>
              <w:t xml:space="preserve">供应商提供供应链稳定承诺书，确保产品的部件在产品服务周期内稳</w:t>
            </w:r>
            <w:r>
              <w:rPr>
                <w:rFonts w:hint="eastAsia" w:ascii="宋体" w:hAnsi="宋体" w:eastAsia="宋体" w:cs="宋体"/>
                <w:i/>
                <w:iCs/>
                <w:spacing w:val="-2"/>
                <w:sz w:val="24"/>
                <w:szCs w:val="24"/>
                <w:u w:val="single"/>
                <w:lang w:eastAsia="en-US"/>
              </w:rPr>
              <w:t xml:space="preserve">定供货</w:t>
            </w:r>
            <w:r/>
          </w:p>
        </w:tc>
      </w:tr>
    </w:tbl>
    <w:p>
      <w:pPr>
        <w:spacing w:line="360" w:lineRule="auto"/>
        <w:rPr>
          <w:rFonts w:hint="default" w:ascii="宋体" w:hAnsi="Times New Roman" w:eastAsia="宋体" w:cs="Times New Roman"/>
          <w:b/>
          <w:bCs/>
          <w:sz w:val="24"/>
          <w:szCs w:val="28"/>
        </w:rPr>
      </w:pPr>
      <w:r>
        <w:rPr>
          <w:rFonts w:hint="default" w:ascii="宋体" w:hAnsi="Times New Roman" w:eastAsia="宋体" w:cs="Times New Roman"/>
          <w:b/>
          <w:bCs/>
          <w:sz w:val="24"/>
          <w:szCs w:val="28"/>
        </w:rPr>
      </w:r>
      <w:r/>
    </w:p>
    <w:p>
      <w:pPr>
        <w:spacing w:line="360" w:lineRule="auto"/>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3.12、项目实施人员要求</w:t>
      </w:r>
      <w:r/>
    </w:p>
    <w:p>
      <w:pPr>
        <w:jc w:val="left"/>
        <w:widowControl/>
        <w:rPr>
          <w:rFonts w:hint="default" w:eastAsia="宋体" w:cs="Times New Roman"/>
          <w:sz w:val="24"/>
          <w:szCs w:val="24"/>
        </w:rPr>
      </w:pPr>
      <w:r>
        <w:rPr>
          <w:rFonts w:hint="default" w:eastAsia="宋体" w:cs="Times New Roman"/>
          <w:sz w:val="24"/>
          <w:szCs w:val="24"/>
        </w:rPr>
        <w:t xml:space="preserve">项目负责人</w:t>
      </w:r>
      <w:r>
        <w:rPr>
          <w:rFonts w:hint="eastAsia" w:eastAsia="宋体" w:cs="Times New Roman"/>
          <w:sz w:val="24"/>
          <w:szCs w:val="24"/>
        </w:rPr>
        <w:t xml:space="preserve">应</w:t>
      </w:r>
      <w:r>
        <w:rPr>
          <w:rFonts w:hint="default" w:eastAsia="宋体" w:cs="Times New Roman"/>
          <w:sz w:val="24"/>
          <w:szCs w:val="24"/>
        </w:rPr>
        <w:t xml:space="preserve">具有</w:t>
      </w:r>
      <w:r>
        <w:rPr>
          <w:rFonts w:hint="eastAsia" w:eastAsia="宋体" w:cs="Times New Roman"/>
          <w:sz w:val="24"/>
          <w:szCs w:val="24"/>
        </w:rPr>
        <w:t xml:space="preserve">智能化相关专业</w:t>
      </w:r>
      <w:r>
        <w:rPr>
          <w:rFonts w:hint="default" w:eastAsia="宋体" w:cs="Times New Roman"/>
          <w:sz w:val="24"/>
          <w:szCs w:val="24"/>
        </w:rPr>
        <w:t xml:space="preserve">高级工程师证书、注册信息安全工程师证书（CISP）</w:t>
      </w:r>
      <w:r>
        <w:rPr>
          <w:rFonts w:hint="eastAsia" w:eastAsia="宋体" w:cs="Times New Roman"/>
          <w:sz w:val="24"/>
          <w:szCs w:val="24"/>
        </w:rPr>
        <w:t xml:space="preserve">，</w:t>
      </w:r>
      <w:r>
        <w:rPr>
          <w:rFonts w:hint="default" w:eastAsia="宋体" w:cs="Times New Roman"/>
          <w:sz w:val="24"/>
          <w:szCs w:val="24"/>
        </w:rPr>
        <w:t xml:space="preserve">项目实施小组其他成员</w:t>
      </w:r>
      <w:r>
        <w:rPr>
          <w:rFonts w:hint="eastAsia" w:eastAsia="宋体" w:cs="Times New Roman"/>
          <w:sz w:val="24"/>
          <w:szCs w:val="24"/>
        </w:rPr>
        <w:t xml:space="preserve">应</w:t>
      </w:r>
      <w:r>
        <w:rPr>
          <w:rFonts w:hint="default" w:eastAsia="宋体" w:cs="Times New Roman"/>
          <w:sz w:val="24"/>
          <w:szCs w:val="24"/>
        </w:rPr>
        <w:t xml:space="preserve">具有</w:t>
      </w:r>
      <w:r>
        <w:rPr>
          <w:rFonts w:hint="eastAsia" w:eastAsia="宋体" w:cs="Times New Roman"/>
          <w:sz w:val="24"/>
          <w:szCs w:val="24"/>
        </w:rPr>
        <w:t xml:space="preserve">智能化相关专业</w:t>
      </w:r>
      <w:r>
        <w:rPr>
          <w:rFonts w:hint="default" w:eastAsia="宋体" w:cs="Times New Roman"/>
          <w:sz w:val="24"/>
          <w:szCs w:val="24"/>
        </w:rPr>
        <w:t xml:space="preserve">中级及以上工程师证书</w:t>
      </w:r>
      <w:r>
        <w:rPr>
          <w:rFonts w:hint="eastAsia" w:eastAsia="宋体" w:cs="Times New Roman"/>
          <w:sz w:val="24"/>
          <w:szCs w:val="24"/>
        </w:rPr>
        <w:t xml:space="preserve">。</w:t>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480"/>
        <w:spacing w:line="360" w:lineRule="auto"/>
        <w:rPr>
          <w:rFonts w:hint="default" w:ascii="宋体" w:hAnsi="宋体" w:eastAsia="宋体" w:cs="Times New Roman"/>
          <w:sz w:val="24"/>
        </w:rPr>
      </w:pPr>
      <w:r>
        <w:rPr>
          <w:rFonts w:hint="default" w:ascii="宋体" w:hAnsi="宋体" w:eastAsia="宋体" w:cs="Times New Roman"/>
          <w:sz w:val="24"/>
        </w:rPr>
      </w:r>
      <w:r/>
    </w:p>
    <w:p>
      <w:pPr>
        <w:numPr>
          <w:ilvl w:val="0"/>
          <w:numId w:val="9"/>
        </w:numPr>
        <w:ind w:firstLine="562"/>
        <w:jc w:val="left"/>
        <w:spacing w:line="400" w:lineRule="exact"/>
        <w:widowControl/>
        <w:rPr>
          <w:rFonts w:hint="default" w:ascii="宋体" w:hAnsi="宋体" w:eastAsia="宋体" w:cs="Times New Roman"/>
          <w:b/>
          <w:sz w:val="28"/>
          <w:szCs w:val="28"/>
        </w:rPr>
      </w:pPr>
      <w:r>
        <w:rPr>
          <w:rFonts w:hint="eastAsia" w:ascii="宋体" w:hAnsi="宋体" w:eastAsia="宋体" w:cs="Times New Roman"/>
          <w:b/>
          <w:sz w:val="28"/>
          <w:szCs w:val="28"/>
        </w:rPr>
        <w:t xml:space="preserve">商务条款</w:t>
      </w:r>
      <w:r/>
    </w:p>
    <w:p>
      <w:pPr>
        <w:ind w:firstLine="500"/>
        <w:spacing w:line="440" w:lineRule="exact"/>
        <w:rPr>
          <w:rFonts w:hint="default" w:ascii="宋体" w:hAnsi="宋体" w:eastAsia="宋体" w:cs="Times New Roman"/>
          <w:b/>
          <w:color w:val="000000"/>
          <w:spacing w:val="7"/>
          <w:sz w:val="24"/>
          <w:szCs w:val="24"/>
        </w:rPr>
      </w:pPr>
      <w:r>
        <w:rPr>
          <w:rFonts w:hint="default" w:ascii="宋体" w:hAnsi="宋体" w:eastAsia="宋体" w:cs="Times New Roman"/>
          <w:b/>
          <w:color w:val="000000"/>
          <w:spacing w:val="7"/>
          <w:sz w:val="24"/>
          <w:szCs w:val="24"/>
        </w:rPr>
        <w:t xml:space="preserve">1 质保期</w:t>
      </w:r>
      <w:r/>
    </w:p>
    <w:p>
      <w:pPr>
        <w:ind w:firstLine="500"/>
        <w:spacing w:line="440" w:lineRule="exact"/>
        <w:rPr>
          <w:rFonts w:hint="default" w:ascii="宋体" w:hAnsi="宋体" w:eastAsia="宋体" w:cs="Times New Roman"/>
          <w:i/>
          <w:color w:val="000000"/>
          <w:spacing w:val="7"/>
          <w:sz w:val="24"/>
          <w:szCs w:val="24"/>
          <w:u w:val="single"/>
        </w:rPr>
      </w:pPr>
      <w:r>
        <w:rPr>
          <w:rFonts w:hint="eastAsia" w:ascii="宋体" w:hAnsi="宋体" w:eastAsia="宋体" w:cs="Times New Roman"/>
          <w:i/>
          <w:color w:val="000000"/>
          <w:spacing w:val="7"/>
          <w:sz w:val="24"/>
          <w:szCs w:val="24"/>
          <w:u w:val="single"/>
        </w:rPr>
        <w:t xml:space="preserve">自物品验收合格，免费质保期1年。免费质保期内，除人为损坏和不可抗拒因素外，供应方对物品进行免费维修或更换，并确保备品备件的正常供应。</w:t>
      </w:r>
      <w:r>
        <w:rPr>
          <w:rFonts w:hint="default" w:ascii="宋体" w:hAnsi="宋体" w:eastAsia="宋体" w:cs="Times New Roman"/>
          <w:i/>
          <w:color w:val="000000"/>
          <w:spacing w:val="7"/>
          <w:sz w:val="24"/>
          <w:szCs w:val="24"/>
          <w:u w:val="single"/>
        </w:rPr>
        <w:t xml:space="preserve">（以双方在验收报告签订日期为准）</w:t>
      </w:r>
      <w:r/>
    </w:p>
    <w:p>
      <w:pPr>
        <w:ind w:firstLine="500"/>
        <w:spacing w:line="440" w:lineRule="exact"/>
        <w:rPr>
          <w:rFonts w:hint="default" w:ascii="宋体" w:hAnsi="宋体" w:eastAsia="宋体" w:cs="Times New Roman"/>
          <w:b/>
          <w:color w:val="000000"/>
          <w:spacing w:val="7"/>
          <w:sz w:val="24"/>
          <w:szCs w:val="24"/>
        </w:rPr>
      </w:pPr>
      <w:r>
        <w:rPr>
          <w:rFonts w:hint="default" w:ascii="宋体" w:hAnsi="宋体" w:eastAsia="宋体" w:cs="Times New Roman"/>
          <w:b/>
          <w:color w:val="000000"/>
          <w:spacing w:val="7"/>
          <w:sz w:val="24"/>
          <w:szCs w:val="24"/>
        </w:rPr>
        <w:t xml:space="preserve">2 售后技术服务要求</w:t>
      </w:r>
      <w:r/>
    </w:p>
    <w:p>
      <w:pPr>
        <w:ind w:firstLine="500"/>
        <w:spacing w:line="440" w:lineRule="exact"/>
        <w:rPr>
          <w:rFonts w:hint="default" w:ascii="宋体" w:hAnsi="宋体" w:eastAsia="宋体" w:cs="Times New Roman"/>
          <w:i/>
          <w:color w:val="000000"/>
          <w:spacing w:val="7"/>
          <w:sz w:val="24"/>
          <w:szCs w:val="24"/>
          <w:u w:val="single"/>
        </w:rPr>
      </w:pPr>
      <w:r>
        <w:rPr>
          <w:rFonts w:hint="default" w:ascii="宋体" w:hAnsi="宋体" w:eastAsia="宋体" w:cs="Times New Roman"/>
          <w:i/>
          <w:color w:val="000000"/>
          <w:spacing w:val="7"/>
          <w:sz w:val="24"/>
          <w:szCs w:val="24"/>
          <w:u w:val="single"/>
        </w:rPr>
        <w:t xml:space="preserve">2.1、售后技术服务要求</w:t>
      </w:r>
      <w:r/>
    </w:p>
    <w:p>
      <w:pPr>
        <w:ind w:firstLine="500"/>
        <w:spacing w:line="440" w:lineRule="exact"/>
        <w:rPr>
          <w:rFonts w:hint="default" w:ascii="宋体" w:hAnsi="宋体" w:eastAsia="宋体" w:cs="Times New Roman"/>
          <w:i/>
          <w:color w:val="000000"/>
          <w:spacing w:val="7"/>
          <w:sz w:val="24"/>
          <w:szCs w:val="24"/>
          <w:u w:val="single"/>
        </w:rPr>
      </w:pPr>
      <w:r>
        <w:rPr>
          <w:rFonts w:hint="default" w:ascii="宋体" w:hAnsi="宋体" w:eastAsia="宋体" w:cs="Times New Roman"/>
          <w:i/>
          <w:color w:val="000000"/>
          <w:spacing w:val="7"/>
          <w:sz w:val="24"/>
          <w:szCs w:val="24"/>
          <w:u w:val="single"/>
        </w:rPr>
        <w:t xml:space="preserve">（1）供应商在接到采购单位维修函电后，必须再1小时内对采购单位所提出的维修要求作出响应，4小时内到达维修现场，并在最短时间内修复完毕。（2）质保期内，供应商负责对其提供的物品进行免费维修或更换。</w:t>
      </w:r>
      <w:r>
        <w:rPr>
          <w:rFonts w:hint="default" w:ascii="宋体" w:hAnsi="宋体" w:eastAsia="宋体" w:cs="宋体"/>
          <w:i/>
          <w:spacing w:val="7"/>
          <w:sz w:val="24"/>
          <w:szCs w:val="24"/>
          <w:u w:val="single"/>
        </w:rPr>
        <w:t xml:space="preserve">若24小时内无法维修完毕的须更换同型号产品到位，保证设备正常使用，费用由供应商负责。</w:t>
      </w:r>
      <w:r/>
    </w:p>
    <w:p>
      <w:pPr>
        <w:ind w:firstLine="500"/>
        <w:spacing w:line="440" w:lineRule="exact"/>
        <w:rPr>
          <w:rFonts w:hint="default" w:ascii="宋体" w:hAnsi="宋体" w:eastAsia="宋体" w:cs="Times New Roman"/>
          <w:b/>
          <w:spacing w:val="7"/>
          <w:sz w:val="24"/>
          <w:szCs w:val="24"/>
        </w:rPr>
      </w:pPr>
      <w:r>
        <w:rPr>
          <w:rFonts w:hint="default" w:ascii="宋体" w:hAnsi="宋体" w:eastAsia="宋体" w:cs="Times New Roman"/>
          <w:b/>
          <w:spacing w:val="7"/>
          <w:sz w:val="24"/>
          <w:szCs w:val="24"/>
        </w:rPr>
        <w:t xml:space="preserve">3 交货期、交货方式及交货地点</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3.1、交货期</w:t>
      </w:r>
      <w:r/>
    </w:p>
    <w:p>
      <w:pPr>
        <w:ind w:firstLine="500"/>
        <w:spacing w:line="440" w:lineRule="exact"/>
        <w:rPr>
          <w:rFonts w:hint="default" w:ascii="宋体" w:hAnsi="宋体" w:eastAsia="宋体" w:cs="宋体"/>
          <w:i/>
          <w:spacing w:val="7"/>
          <w:sz w:val="24"/>
          <w:szCs w:val="24"/>
          <w:u w:val="single"/>
        </w:rPr>
      </w:pPr>
      <w:r>
        <w:rPr>
          <w:rFonts w:hint="eastAsia" w:ascii="宋体" w:hAnsi="宋体" w:eastAsia="宋体" w:cs="宋体"/>
          <w:i/>
          <w:spacing w:val="7"/>
          <w:sz w:val="24"/>
          <w:szCs w:val="24"/>
          <w:u w:val="single"/>
        </w:rPr>
        <w:t xml:space="preserve">合同签订生效后</w:t>
      </w:r>
      <w:r>
        <w:rPr>
          <w:rFonts w:hint="eastAsia" w:ascii="宋体" w:hAnsi="宋体" w:eastAsia="宋体" w:cs="宋体"/>
          <w:i/>
          <w:spacing w:val="7"/>
          <w:sz w:val="24"/>
          <w:szCs w:val="24"/>
          <w:u w:val="single"/>
          <w:lang w:val="en-US" w:eastAsia="zh-CN"/>
        </w:rPr>
        <w:t xml:space="preserve">120</w:t>
      </w:r>
      <w:r>
        <w:rPr>
          <w:rFonts w:hint="eastAsia" w:ascii="宋体" w:hAnsi="宋体" w:eastAsia="宋体" w:cs="宋体"/>
          <w:i/>
          <w:spacing w:val="7"/>
          <w:sz w:val="24"/>
          <w:szCs w:val="24"/>
          <w:u w:val="single"/>
        </w:rPr>
        <w:t xml:space="preserve">日内供货安装调试结束。遇不可抗力原因需延迟交货的，经采购人同意后可适当延期</w:t>
      </w:r>
      <w:r>
        <w:rPr>
          <w:rFonts w:hint="default" w:ascii="宋体" w:hAnsi="宋体" w:eastAsia="宋体" w:cs="宋体"/>
          <w:i/>
          <w:spacing w:val="7"/>
          <w:sz w:val="24"/>
          <w:szCs w:val="24"/>
          <w:u w:val="single"/>
        </w:rPr>
        <w:t xml:space="preserve">。</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3.2、交货方式</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原厂原包装现场交货</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3.3、交货地点</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采购人指定地点</w:t>
      </w:r>
      <w:r/>
    </w:p>
    <w:p>
      <w:pPr>
        <w:ind w:firstLine="500"/>
        <w:spacing w:line="440" w:lineRule="exact"/>
        <w:rPr>
          <w:rFonts w:hint="default" w:ascii="宋体" w:hAnsi="宋体" w:eastAsia="宋体" w:cs="Times New Roman"/>
          <w:b/>
          <w:color w:val="000000"/>
          <w:spacing w:val="7"/>
          <w:sz w:val="24"/>
          <w:szCs w:val="24"/>
        </w:rPr>
      </w:pPr>
      <w:r>
        <w:rPr>
          <w:rFonts w:hint="default" w:ascii="宋体" w:hAnsi="宋体" w:eastAsia="宋体" w:cs="Times New Roman"/>
          <w:b/>
          <w:color w:val="000000"/>
          <w:spacing w:val="7"/>
          <w:sz w:val="24"/>
          <w:szCs w:val="24"/>
        </w:rPr>
        <w:t xml:space="preserve">4 货款支付</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4.1、结付程序</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供方按合同内容合格地履行供货义务后，凭验收报告、销售发票到采购单位办理货款（或工程款）结算手续。</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4.2、结付期限</w:t>
      </w:r>
      <w:r/>
    </w:p>
    <w:p>
      <w:pPr>
        <w:ind w:firstLine="500"/>
        <w:spacing w:line="440" w:lineRule="exact"/>
        <w:rPr>
          <w:rFonts w:hint="default" w:ascii="宋体" w:hAnsi="宋体" w:eastAsia="宋体" w:cs="宋体"/>
          <w:i/>
          <w:spacing w:val="7"/>
          <w:sz w:val="24"/>
          <w:szCs w:val="24"/>
          <w:u w:val="single"/>
        </w:rPr>
      </w:pPr>
      <w:r>
        <w:rPr>
          <w:rFonts w:hint="default" w:ascii="宋体" w:hAnsi="宋体" w:eastAsia="宋体" w:cs="宋体"/>
          <w:i/>
          <w:spacing w:val="7"/>
          <w:sz w:val="24"/>
          <w:szCs w:val="24"/>
          <w:u w:val="single"/>
        </w:rPr>
        <w:t xml:space="preserve">合同签订生效后，</w:t>
      </w:r>
      <w:r>
        <w:rPr>
          <w:rFonts w:hint="eastAsia" w:ascii="宋体" w:hAnsi="宋体" w:eastAsia="宋体" w:cs="宋体"/>
          <w:i/>
          <w:spacing w:val="7"/>
          <w:sz w:val="24"/>
          <w:szCs w:val="24"/>
          <w:u w:val="single"/>
        </w:rPr>
        <w:t xml:space="preserve">甲方</w:t>
      </w:r>
      <w:r>
        <w:rPr>
          <w:rFonts w:hint="default" w:ascii="宋体" w:hAnsi="宋体" w:eastAsia="宋体" w:cs="宋体"/>
          <w:i/>
          <w:spacing w:val="7"/>
          <w:sz w:val="24"/>
          <w:szCs w:val="24"/>
          <w:u w:val="single"/>
        </w:rPr>
        <w:t xml:space="preserve">支付30%的预付款。供方所有设施交货施工完成，经验收合格，并出具书面交货、验收报告后十五个工作日内，</w:t>
      </w:r>
      <w:r>
        <w:rPr>
          <w:rFonts w:hint="eastAsia" w:ascii="宋体" w:hAnsi="宋体" w:eastAsia="宋体" w:cs="宋体"/>
          <w:i/>
          <w:spacing w:val="7"/>
          <w:sz w:val="24"/>
          <w:szCs w:val="24"/>
          <w:u w:val="single"/>
        </w:rPr>
        <w:t xml:space="preserve">一次性</w:t>
      </w:r>
      <w:r>
        <w:rPr>
          <w:rFonts w:hint="default" w:ascii="宋体" w:hAnsi="宋体" w:eastAsia="宋体" w:cs="宋体"/>
          <w:i/>
          <w:spacing w:val="7"/>
          <w:sz w:val="24"/>
          <w:szCs w:val="24"/>
          <w:u w:val="single"/>
        </w:rPr>
        <w:t xml:space="preserve">支付</w:t>
      </w:r>
      <w:r>
        <w:rPr>
          <w:rFonts w:hint="eastAsia" w:ascii="宋体" w:hAnsi="宋体" w:eastAsia="宋体" w:cs="宋体"/>
          <w:i/>
          <w:spacing w:val="7"/>
          <w:sz w:val="24"/>
          <w:szCs w:val="24"/>
          <w:u w:val="single"/>
        </w:rPr>
        <w:t xml:space="preserve">剩余货款并</w:t>
      </w:r>
      <w:r>
        <w:rPr>
          <w:rFonts w:hint="default" w:ascii="宋体" w:hAnsi="宋体" w:eastAsia="宋体" w:cs="宋体"/>
          <w:i/>
          <w:spacing w:val="7"/>
          <w:sz w:val="24"/>
          <w:szCs w:val="24"/>
          <w:u w:val="single"/>
        </w:rPr>
        <w:t xml:space="preserve">返还履约保证金（合同总价款2%）。</w:t>
      </w:r>
      <w:r/>
    </w:p>
    <w:p>
      <w:pPr>
        <w:ind w:firstLine="500"/>
        <w:spacing w:line="440" w:lineRule="exact"/>
        <w:rPr>
          <w:rFonts w:hint="default" w:ascii="宋体" w:hAnsi="宋体" w:eastAsia="宋体" w:cs="Times New Roman"/>
          <w:b/>
          <w:color w:val="000000"/>
          <w:spacing w:val="7"/>
          <w:sz w:val="24"/>
          <w:szCs w:val="24"/>
        </w:rPr>
      </w:pPr>
      <w:r>
        <w:rPr>
          <w:rFonts w:hint="default" w:ascii="宋体" w:hAnsi="宋体" w:eastAsia="宋体" w:cs="Times New Roman"/>
          <w:b/>
          <w:color w:val="000000"/>
          <w:spacing w:val="7"/>
          <w:sz w:val="24"/>
          <w:szCs w:val="24"/>
        </w:rPr>
        <w:t xml:space="preserve"> 5 投标货币</w:t>
      </w:r>
      <w:r/>
    </w:p>
    <w:p>
      <w:pPr>
        <w:ind w:firstLine="500"/>
        <w:spacing w:line="440" w:lineRule="exact"/>
        <w:rPr>
          <w:rFonts w:hint="default" w:ascii="宋体" w:hAnsi="宋体" w:eastAsia="宋体" w:cs="Times New Roman"/>
          <w:i/>
          <w:color w:val="000000"/>
          <w:spacing w:val="7"/>
          <w:sz w:val="24"/>
          <w:szCs w:val="24"/>
          <w:u w:val="single"/>
        </w:rPr>
      </w:pPr>
      <w:r>
        <w:rPr>
          <w:rFonts w:hint="default" w:ascii="宋体" w:hAnsi="宋体" w:eastAsia="宋体" w:cs="Times New Roman"/>
          <w:i/>
          <w:color w:val="000000"/>
          <w:spacing w:val="7"/>
          <w:sz w:val="24"/>
          <w:szCs w:val="24"/>
          <w:u w:val="single"/>
        </w:rPr>
        <w:t xml:space="preserve">5.1、投标货币</w:t>
      </w:r>
      <w:r/>
    </w:p>
    <w:p>
      <w:pPr>
        <w:ind w:firstLine="500"/>
        <w:spacing w:line="440" w:lineRule="exact"/>
        <w:rPr>
          <w:rFonts w:hint="default" w:ascii="宋体" w:hAnsi="宋体" w:eastAsia="宋体" w:cs="Times New Roman"/>
          <w:i/>
          <w:color w:val="000000"/>
          <w:spacing w:val="7"/>
          <w:sz w:val="24"/>
          <w:szCs w:val="24"/>
          <w:u w:val="single"/>
        </w:rPr>
      </w:pPr>
      <w:r>
        <w:rPr>
          <w:rFonts w:hint="default" w:ascii="宋体" w:hAnsi="宋体" w:eastAsia="宋体" w:cs="Times New Roman"/>
          <w:i/>
          <w:color w:val="000000"/>
          <w:spacing w:val="7"/>
          <w:sz w:val="24"/>
          <w:szCs w:val="24"/>
          <w:u w:val="single"/>
        </w:rPr>
        <w:t xml:space="preserve">人民币</w:t>
      </w:r>
      <w:r/>
    </w:p>
    <w:p>
      <w:pPr>
        <w:ind w:left="562"/>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numPr>
          <w:ilvl w:val="0"/>
          <w:numId w:val="9"/>
        </w:numPr>
        <w:ind w:firstLine="562"/>
        <w:jc w:val="left"/>
        <w:spacing w:line="400" w:lineRule="exact"/>
        <w:widowControl/>
        <w:rPr>
          <w:rFonts w:hint="default" w:ascii="宋体" w:hAnsi="宋体" w:eastAsia="宋体" w:cs="Times New Roman"/>
          <w:b/>
          <w:sz w:val="28"/>
          <w:szCs w:val="28"/>
        </w:rPr>
      </w:pPr>
      <w:r>
        <w:rPr>
          <w:rFonts w:hint="eastAsia" w:ascii="宋体" w:hAnsi="宋体" w:eastAsia="宋体" w:cs="Times New Roman"/>
          <w:b/>
          <w:sz w:val="28"/>
          <w:szCs w:val="28"/>
        </w:rPr>
        <w:t xml:space="preserve">其他要求</w:t>
      </w:r>
      <w:r/>
    </w:p>
    <w:p>
      <w:pPr>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（1）中标人应按照采购方要求，对原南沙派出所设备搬迁并进行安装调试。</w:t>
      </w:r>
      <w:r/>
    </w:p>
    <w:tbl>
      <w:tblPr>
        <w:tblStyle w:val="725"/>
        <w:tblW w:w="7484" w:type="dxa"/>
        <w:tblInd w:w="0" w:type="dxa"/>
        <w:tblLayout w:type="autofit"/>
        <w:tblCellMar>
          <w:left w:w="108" w:type="dxa"/>
          <w:top w:w="0" w:type="dxa"/>
          <w:right w:w="108" w:type="dxa"/>
          <w:bottom w:w="0" w:type="dxa"/>
        </w:tblCellMar>
        <w:tblLook w:val="04A0" w:firstRow="1" w:lastRow="0" w:firstColumn="1" w:lastColumn="0" w:noHBand="0" w:noVBand="1"/>
      </w:tblPr>
      <w:tblGrid>
        <w:gridCol w:w="1106"/>
        <w:gridCol w:w="1020"/>
        <w:gridCol w:w="2628"/>
        <w:gridCol w:w="27"/>
        <w:gridCol w:w="2775"/>
        <w:gridCol w:w="14"/>
      </w:tblGrid>
      <w:tr>
        <w:trPr>
          <w:trHeight w:val="540"/>
        </w:trPr>
        <w:tc>
          <w:tcPr>
            <w:gridSpan w:val="6"/>
            <w:shd w:val="clear" w:color="auto" w:fill="auto"/>
            <w:tcBorders>
              <w:top w:val="none" w:color="000000" w:sz="4" w:space="0"/>
              <w:left w:val="none" w:color="000000" w:sz="4" w:space="0"/>
              <w:bottom w:val="none" w:color="000000" w:sz="4" w:space="0"/>
              <w:right w:val="none" w:color="000000" w:sz="4" w:space="0"/>
            </w:tcBorders>
            <w:tcW w:w="7484" w:type="dxa"/>
            <w:vAlign w:val="center"/>
            <w:textDirection w:val="lrTb"/>
            <w:noWrap/>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原南沙所执法规范设备（待搬迁）</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设备厂商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点位名称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设备来源</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南沙所自行书写室</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3</w:t>
            </w:r>
            <w:r>
              <w:rPr>
                <w:rFonts w:hint="eastAsia" w:ascii="宋体" w:hAnsi="宋体" w:eastAsia="宋体" w:cs="宋体"/>
                <w:color w:val="000000"/>
                <w:sz w:val="20"/>
                <w:szCs w:val="20"/>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2</w:t>
            </w:r>
            <w:r>
              <w:rPr>
                <w:rFonts w:hint="eastAsia" w:ascii="宋体" w:hAnsi="宋体" w:eastAsia="宋体" w:cs="宋体"/>
                <w:color w:val="000000"/>
                <w:sz w:val="20"/>
                <w:szCs w:val="20"/>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1</w:t>
            </w:r>
            <w:r>
              <w:rPr>
                <w:rFonts w:hint="eastAsia" w:ascii="宋体" w:hAnsi="宋体" w:eastAsia="宋体" w:cs="宋体"/>
                <w:color w:val="000000"/>
                <w:sz w:val="20"/>
                <w:szCs w:val="20"/>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南沙所物证室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南沙所调解室</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南沙所侯问室</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南沙所枪柜</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南沙所枪柜门口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南沙所侯问室</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南沙所信息采集室</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南沙所信息采集室</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南沙所办案区走廊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南沙所自行书写室</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半球全景</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3</w:t>
            </w:r>
            <w:r>
              <w:rPr>
                <w:rFonts w:hint="eastAsia" w:ascii="宋体" w:hAnsi="宋体" w:eastAsia="宋体" w:cs="宋体"/>
                <w:color w:val="000000"/>
                <w:sz w:val="20"/>
                <w:szCs w:val="20"/>
              </w:rPr>
              <w:t xml:space="preserve">全景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2</w:t>
            </w:r>
            <w:r>
              <w:rPr>
                <w:rFonts w:hint="eastAsia" w:ascii="宋体" w:hAnsi="宋体" w:eastAsia="宋体" w:cs="宋体"/>
                <w:color w:val="000000"/>
                <w:sz w:val="20"/>
                <w:szCs w:val="20"/>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半球特写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南沙所讯（询）问室</w:t>
            </w:r>
            <w:r>
              <w:rPr>
                <w:rFonts w:hint="default" w:ascii="Arial" w:hAnsi="Arial" w:eastAsia="宋体" w:cs="Arial"/>
                <w:color w:val="000000"/>
                <w:sz w:val="20"/>
                <w:szCs w:val="20"/>
              </w:rPr>
              <w:t xml:space="preserve">1</w:t>
            </w:r>
            <w:r>
              <w:rPr>
                <w:rFonts w:hint="eastAsia" w:ascii="宋体" w:hAnsi="宋体" w:eastAsia="宋体" w:cs="宋体"/>
                <w:color w:val="000000"/>
                <w:sz w:val="20"/>
                <w:szCs w:val="20"/>
              </w:rPr>
              <w:t xml:space="preserve">特写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南沙所办证大厅</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南沙所办证大厅</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南沙所综合指挥室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南沙所大堂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南沙所装备室门口</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南沙所枪柜</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南沙所报案室走廊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南沙所报案室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南沙所交通警务室</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南沙所调解室</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南沙所办案区外场地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南沙所办案区大门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南沙所办案区大厅</w:t>
            </w:r>
            <w:r>
              <w:rPr>
                <w:rFonts w:hint="default" w:ascii="Arial" w:hAnsi="Arial" w:eastAsia="宋体" w:cs="Arial"/>
                <w:color w:val="000000"/>
                <w:sz w:val="20"/>
                <w:szCs w:val="20"/>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南沙所办案区大厅</w:t>
            </w:r>
            <w:r>
              <w:rPr>
                <w:rFonts w:hint="default" w:ascii="Arial" w:hAnsi="Arial" w:eastAsia="宋体" w:cs="Arial"/>
                <w:color w:val="000000"/>
                <w:sz w:val="20"/>
                <w:szCs w:val="20"/>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南沙所办案区大厅</w:t>
            </w:r>
            <w:r>
              <w:rPr>
                <w:rFonts w:hint="default" w:ascii="Arial" w:hAnsi="Arial" w:eastAsia="宋体" w:cs="Arial"/>
                <w:color w:val="000000"/>
                <w:sz w:val="20"/>
                <w:szCs w:val="20"/>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南沙所办案区大厅</w:t>
            </w:r>
            <w:r>
              <w:rPr>
                <w:rFonts w:hint="default" w:ascii="Arial" w:hAnsi="Arial" w:eastAsia="宋体" w:cs="Arial"/>
                <w:color w:val="000000"/>
                <w:sz w:val="20"/>
                <w:szCs w:val="20"/>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普通半球</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南沙所待讯区厕所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南沙执法NVR1</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机房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海康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南沙执法NVR2</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机房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16" w:type="dxa"/>
            <w:vAlign w:val="center"/>
            <w:textDirection w:val="lrTb"/>
            <w:noWrap/>
          </w:tcPr>
          <w:p>
            <w:pPr>
              <w:jc w:val="center"/>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执法规范项目</w:t>
            </w:r>
            <w:r/>
          </w:p>
        </w:tc>
      </w:tr>
      <w:tr>
        <w:trPr>
          <w:gridAfter w:val="1"/>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7556"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原南沙所机房录像设备（待搬迁）</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设备厂商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录像机名称</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设备型号</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南沙NVR19</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南沙NVR18</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南沙NVR17</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南沙NVR16</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南沙NVR15</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南沙NVR14</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南沙NVR13</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南沙NVR10</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南沙NVR9</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南沙NVR8</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南沙NVR7</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南沙NVR6</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DS-8616N-I8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南沙NVR5</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DS-8616N-I8</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南沙NVR4</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DS-8632N-I9-V3</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南沙NVR3</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DS-8632N-ST</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南沙NVR2</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DS-8632N-ST</w:t>
            </w:r>
            <w:r/>
          </w:p>
        </w:tc>
      </w:tr>
      <w:tr>
        <w:trPr>
          <w:gridAfter w:val="1"/>
          <w:trHeight w:val="255"/>
        </w:trPr>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海康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南沙NVR1</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jc w:val="center"/>
              <w:widowControl/>
              <w:rPr>
                <w:rFonts w:hint="default" w:ascii="Arial" w:hAnsi="Arial" w:eastAsia="宋体" w:cs="Arial"/>
                <w:color w:val="000000"/>
                <w:sz w:val="20"/>
                <w:szCs w:val="20"/>
              </w:rPr>
            </w:pPr>
            <w:r>
              <w:rPr>
                <w:rFonts w:hint="default" w:ascii="Arial" w:hAnsi="Arial" w:eastAsia="宋体" w:cs="Arial"/>
                <w:color w:val="000000"/>
                <w:sz w:val="20"/>
                <w:szCs w:val="20"/>
              </w:rPr>
              <w:t xml:space="preserve">DS-8632N-ST</w:t>
            </w:r>
            <w:r/>
          </w:p>
        </w:tc>
      </w:tr>
    </w:tbl>
    <w:p>
      <w:pPr>
        <w:contextualSpacing/>
        <w:ind w:firstLine="508"/>
        <w:jc w:val="left"/>
        <w:spacing w:line="360" w:lineRule="auto"/>
        <w:widowControl/>
        <w:tabs>
          <w:tab w:val="left" w:pos="420" w:leader="none"/>
        </w:tabs>
        <w:rPr>
          <w:rFonts w:hint="default" w:eastAsia="宋体" w:cs="Times New Roman"/>
          <w:sz w:val="24"/>
          <w:szCs w:val="24"/>
        </w:rPr>
      </w:pPr>
      <w:r>
        <w:rPr>
          <w:rFonts w:hint="default" w:eastAsia="宋体" w:cs="Times New Roman"/>
          <w:sz w:val="24"/>
          <w:szCs w:val="24"/>
        </w:rPr>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（2）搬迁过程中如发生设备损坏，中标人需提供高于或等同于本项目设备型号或系列的设备进行免费替换。</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（3）中标人应保证南沙派出所业务连续，最大限度缩短业务中断时间，核心业务需优先恢复。</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（4）中标人需先制定完整搬迁对接方案，响应市局联调要求规范，确保对接各个组网系统安全，有效的运行。所产生费用考虑在本次招标内。</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（5）中标人应与采购人签订保密协议，严格遵循保密协议之规定，确保系统数据安全，任何数据资料未经采购人许可不得向第三方提供。</w:t>
      </w:r>
      <w:r/>
    </w:p>
    <w:p>
      <w:pPr>
        <w:ind w:firstLine="480"/>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（6）本项目中不同系统使用同类设备，在清单中已合并展示，具体数量如下：</w:t>
      </w:r>
      <w:r/>
    </w:p>
    <w:p>
      <w:pPr>
        <w:rPr>
          <w:rFonts w:hint="default" w:eastAsia="宋体" w:cs="宋体"/>
          <w:spacing w:val="7"/>
          <w:sz w:val="24"/>
          <w:szCs w:val="24"/>
        </w:rPr>
      </w:pPr>
      <w:r>
        <w:rPr>
          <w:rFonts w:hint="default" w:eastAsia="宋体" w:cs="宋体"/>
          <w:spacing w:val="7"/>
          <w:sz w:val="24"/>
          <w:szCs w:val="24"/>
        </w:rPr>
      </w:r>
      <w:r/>
    </w:p>
    <w:p>
      <w:pPr>
        <w:rPr>
          <w:rFonts w:hint="default" w:eastAsia="宋体" w:cs="Times New Roman"/>
        </w:rPr>
      </w:pPr>
      <w:r>
        <w:rPr>
          <w:rFonts w:hint="default" w:eastAsia="宋体" w:cs="Times New Roman"/>
        </w:rPr>
      </w:r>
      <w:r/>
    </w:p>
    <w:tbl>
      <w:tblPr>
        <w:tblStyle w:val="746"/>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625"/>
        <w:gridCol w:w="5432"/>
      </w:tblGrid>
      <w:tr>
        <w:trPr>
          <w:jc w:val="center"/>
        </w:trPr>
        <w:tc>
          <w:tcPr>
            <w:tcW w:w="917" w:type="dxa"/>
            <w:vAlign w:val="center"/>
            <w:textDirection w:val="lrTb"/>
            <w:noWrap w:val="false"/>
          </w:tcPr>
          <w:p>
            <w:pPr>
              <w:jc w:val="center"/>
              <w:rPr>
                <w:rFonts w:hint="default" w:eastAsia="宋体" w:cs="Times New Roman"/>
                <w:b/>
                <w:bCs/>
                <w:sz w:val="24"/>
                <w:szCs w:val="28"/>
              </w:rPr>
            </w:pPr>
            <w:r>
              <w:rPr>
                <w:rFonts w:hint="eastAsia" w:eastAsia="宋体" w:cs="Times New Roman"/>
                <w:b/>
                <w:bCs/>
                <w:sz w:val="24"/>
                <w:szCs w:val="28"/>
              </w:rPr>
              <w:t xml:space="preserve">序号</w:t>
            </w:r>
            <w:r/>
          </w:p>
        </w:tc>
        <w:tc>
          <w:tcPr>
            <w:tcW w:w="2625" w:type="dxa"/>
            <w:vAlign w:val="center"/>
            <w:textDirection w:val="lrTb"/>
            <w:noWrap w:val="false"/>
          </w:tcPr>
          <w:p>
            <w:pPr>
              <w:rPr>
                <w:rFonts w:hint="default" w:eastAsia="宋体" w:cs="Times New Roman"/>
                <w:b/>
                <w:bCs/>
                <w:sz w:val="24"/>
                <w:szCs w:val="28"/>
              </w:rPr>
            </w:pPr>
            <w:r>
              <w:rPr>
                <w:rFonts w:hint="eastAsia" w:eastAsia="宋体" w:cs="Times New Roman"/>
                <w:b/>
                <w:bCs/>
                <w:sz w:val="24"/>
                <w:szCs w:val="28"/>
              </w:rPr>
              <w:t xml:space="preserve">设备</w:t>
            </w:r>
            <w:r/>
          </w:p>
        </w:tc>
        <w:tc>
          <w:tcPr>
            <w:tcW w:w="5432" w:type="dxa"/>
            <w:vAlign w:val="center"/>
            <w:textDirection w:val="lrTb"/>
            <w:noWrap w:val="false"/>
          </w:tcPr>
          <w:p>
            <w:pPr>
              <w:rPr>
                <w:rFonts w:hint="default" w:eastAsia="宋体" w:cs="Times New Roman"/>
                <w:b/>
                <w:bCs/>
                <w:sz w:val="24"/>
                <w:szCs w:val="28"/>
              </w:rPr>
            </w:pPr>
            <w:r>
              <w:rPr>
                <w:rFonts w:hint="eastAsia" w:eastAsia="宋体" w:cs="Times New Roman"/>
                <w:b/>
                <w:bCs/>
                <w:sz w:val="24"/>
                <w:szCs w:val="28"/>
              </w:rPr>
              <w:t xml:space="preserve">使用部位</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1</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拾音头</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视频监控系统14只，执法规范化系统2只</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2</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42U机柜</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视频监控系统2台，会议系统1台，综合布线系统14台</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3</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图形工作站（台式计算机）</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视频监控系统2台，门禁系统1台，信息发布系统5台</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4</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光模块1</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视频监控系统10块，网络设备24块</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5</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光纤</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视频监控系统700米，车辆道闸系统100米，综合布线系统400米</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6</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网络配线架</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视频监控系统3只，综合布线系统22只</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7</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网络理线架</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视频监控系统3只，综合布线系统22只</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8</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网线</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视频监控系统3800米，门禁系统1100米，会议系统100米，执法规范系统50米，车辆道闸系统600米，信息发布系统70米，综合布线系统23500米</w:t>
            </w:r>
            <w:r/>
          </w:p>
        </w:tc>
      </w:tr>
      <w:tr>
        <w:trPr>
          <w:jc w:val="center"/>
        </w:trPr>
        <w:tc>
          <w:tcPr>
            <w:tcW w:w="917" w:type="dxa"/>
            <w:vAlign w:val="center"/>
            <w:textDirection w:val="lrTb"/>
            <w:noWrap w:val="false"/>
          </w:tcPr>
          <w:p>
            <w:pPr>
              <w:jc w:val="center"/>
              <w:rPr>
                <w:rFonts w:hint="default" w:eastAsia="宋体" w:cs="Times New Roman"/>
                <w:sz w:val="24"/>
                <w:szCs w:val="28"/>
              </w:rPr>
            </w:pPr>
            <w:r>
              <w:rPr>
                <w:rFonts w:hint="eastAsia" w:eastAsia="宋体" w:cs="Times New Roman"/>
                <w:sz w:val="24"/>
                <w:szCs w:val="28"/>
              </w:rPr>
              <w:t xml:space="preserve">9</w:t>
            </w:r>
            <w:r/>
          </w:p>
        </w:tc>
        <w:tc>
          <w:tcPr>
            <w:tcW w:w="2625"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电源线</w:t>
            </w:r>
            <w:r/>
          </w:p>
        </w:tc>
        <w:tc>
          <w:tcPr>
            <w:tcW w:w="5432" w:type="dxa"/>
            <w:vAlign w:val="center"/>
            <w:textDirection w:val="lrTb"/>
            <w:noWrap w:val="false"/>
          </w:tcPr>
          <w:p>
            <w:pPr>
              <w:rPr>
                <w:rFonts w:hint="default" w:eastAsia="宋体" w:cs="Times New Roman"/>
                <w:sz w:val="24"/>
                <w:szCs w:val="28"/>
              </w:rPr>
            </w:pPr>
            <w:r>
              <w:rPr>
                <w:rFonts w:hint="eastAsia" w:eastAsia="宋体" w:cs="Times New Roman"/>
                <w:sz w:val="24"/>
                <w:szCs w:val="28"/>
              </w:rPr>
              <w:t xml:space="preserve">视频监控系统3200米，执法规范化系统50米，综合布线系统6500米</w:t>
            </w:r>
            <w:r/>
          </w:p>
        </w:tc>
      </w:tr>
    </w:tbl>
    <w:p>
      <w:pPr>
        <w:rPr>
          <w:rFonts w:hint="default" w:eastAsia="宋体" w:cs="Times New Roman"/>
        </w:rPr>
      </w:pPr>
      <w:r>
        <w:rPr>
          <w:rFonts w:hint="default" w:eastAsia="宋体" w:cs="Times New Roman"/>
        </w:rPr>
      </w:r>
      <w:r/>
    </w:p>
    <w:p>
      <w:pPr>
        <w:rPr>
          <w:rFonts w:hint="default" w:ascii="宋体" w:hAnsi="Times New Roman" w:eastAsia="宋体" w:cs="Times New Roman"/>
          <w:b/>
          <w:bCs/>
          <w:sz w:val="24"/>
          <w:szCs w:val="28"/>
        </w:rPr>
      </w:pPr>
      <w:r>
        <w:rPr>
          <w:rFonts w:hint="eastAsia" w:eastAsia="宋体" w:cs="宋体"/>
          <w:spacing w:val="7"/>
          <w:sz w:val="24"/>
          <w:szCs w:val="24"/>
        </w:rPr>
        <w:br w:type="page" w:clear="all"/>
      </w:r>
      <w:r>
        <w:rPr>
          <w:rFonts w:hint="eastAsia" w:ascii="宋体" w:hAnsi="Times New Roman" w:eastAsia="宋体" w:cs="Times New Roman"/>
          <w:b/>
          <w:bCs/>
          <w:sz w:val="24"/>
          <w:szCs w:val="28"/>
        </w:rPr>
        <w:t xml:space="preserve">2.项目地点</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张家港市南沙街道。</w:t>
      </w:r>
      <w:r/>
    </w:p>
    <w:p>
      <w:pPr>
        <w:ind w:firstLine="482"/>
        <w:spacing w:line="360" w:lineRule="auto"/>
        <w:widowControl/>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3.故障响应要求</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（1）中标人提供7*24小时热线电话服务，按要求配置运维人员提供长期的技术服务支持，当设备及其承载的系统发生故障，中标人应即时响应。</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2）前端设备一般故障应在24小时内修复并反馈，因特殊原因24小时内无法修复的，应在故障发生后24小时内查明原因同时申请延期维护，经核实批准后方可延期维护并且在申请延期内完成维护，无特殊原因故障修复不得超过24小时。推送上级机关的重点图像中标人应立即修复。</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（3）中标人应承担因操作失误而造成的故障扩大、数据损坏等情况的赔偿和安全责任；</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eastAsia" w:ascii="宋体" w:hAnsi="宋体" w:eastAsia="宋体" w:cs="宋体"/>
          <w:spacing w:val="7"/>
          <w:sz w:val="24"/>
          <w:szCs w:val="24"/>
        </w:rPr>
        <w:t xml:space="preserve">（4）每次维修必须进行详细记录并经使用方确认，每周向采购方报送维修报表。</w:t>
      </w:r>
      <w:r/>
    </w:p>
    <w:p>
      <w:pPr>
        <w:ind w:firstLine="482"/>
        <w:spacing w:line="360" w:lineRule="auto"/>
        <w:widowControl/>
        <w:rPr>
          <w:rFonts w:hint="default" w:ascii="宋体" w:hAnsi="Times New Roman" w:eastAsia="宋体" w:cs="Times New Roman"/>
          <w:b/>
          <w:bCs/>
          <w:sz w:val="24"/>
          <w:szCs w:val="28"/>
        </w:rPr>
      </w:pPr>
      <w:r>
        <w:rPr>
          <w:rFonts w:hint="eastAsia" w:ascii="宋体" w:hAnsi="Times New Roman" w:eastAsia="宋体" w:cs="Times New Roman"/>
          <w:b/>
          <w:bCs/>
          <w:sz w:val="24"/>
          <w:szCs w:val="28"/>
        </w:rPr>
        <w:t xml:space="preserve">4.技术服务方案</w:t>
      </w:r>
      <w:r/>
    </w:p>
    <w:p>
      <w:pPr>
        <w:ind w:firstLine="480"/>
        <w:spacing w:line="360" w:lineRule="auto"/>
        <w:widowControl w:val="off"/>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投标人应提供技术方案（包括本项目整体系统架构、业务数据架构、网络架构等，以及建设的各系统间对接关系、分工界面）、实施方案（包含但不限于质量控制措施、安全保证措施、工期与进度安排等）、运维方案（包含但不限于服务流程、售后服务、服务承诺、响应时间、服务期限等）、培训方案（包含但不限于培训目标、培训内容、培训方式等）。</w:t>
      </w:r>
      <w:r/>
    </w:p>
    <w:p>
      <w:pPr>
        <w:ind w:firstLine="500"/>
        <w:spacing w:line="360" w:lineRule="auto"/>
        <w:rPr>
          <w:rFonts w:hint="default" w:ascii="宋体" w:hAnsi="宋体" w:eastAsia="宋体" w:cs="宋体"/>
          <w:b/>
          <w:bCs/>
          <w:spacing w:val="7"/>
          <w:sz w:val="24"/>
          <w:szCs w:val="24"/>
        </w:rPr>
      </w:pPr>
      <w:r>
        <w:rPr>
          <w:rFonts w:hint="eastAsia" w:ascii="宋体" w:hAnsi="宋体" w:eastAsia="宋体" w:cs="宋体"/>
          <w:b/>
          <w:bCs/>
          <w:color w:val="000000"/>
          <w:spacing w:val="7"/>
          <w:sz w:val="24"/>
          <w:szCs w:val="24"/>
        </w:rPr>
        <w:t xml:space="preserve">5.</w:t>
      </w:r>
      <w:r>
        <w:rPr>
          <w:rFonts w:hint="default" w:ascii="宋体" w:hAnsi="宋体" w:eastAsia="宋体" w:cs="宋体"/>
          <w:b/>
          <w:bCs/>
          <w:color w:val="000000"/>
          <w:spacing w:val="7"/>
          <w:sz w:val="24"/>
          <w:szCs w:val="24"/>
        </w:rPr>
        <w:t xml:space="preserve">类似业绩</w:t>
      </w:r>
      <w:r/>
    </w:p>
    <w:p>
      <w:pPr>
        <w:ind w:firstLine="500"/>
        <w:spacing w:line="360" w:lineRule="auto"/>
        <w:rPr>
          <w:rFonts w:hint="default" w:ascii="宋体" w:hAnsi="宋体" w:eastAsia="Times New Roman" w:cs="Times New Roman"/>
          <w:b/>
          <w:spacing w:val="4"/>
          <w:sz w:val="24"/>
          <w:szCs w:val="24"/>
        </w:rPr>
      </w:pPr>
      <w:r>
        <w:rPr>
          <w:rFonts w:hint="default" w:ascii="宋体" w:hAnsi="宋体" w:eastAsia="宋体" w:cs="宋体"/>
          <w:color w:val="000000"/>
          <w:spacing w:val="7"/>
          <w:sz w:val="24"/>
          <w:szCs w:val="24"/>
        </w:rPr>
        <w:t xml:space="preserve">投标人</w:t>
      </w:r>
      <w:r>
        <w:rPr>
          <w:rFonts w:hint="eastAsia" w:ascii="宋体" w:hAnsi="宋体" w:eastAsia="宋体" w:cs="宋体"/>
          <w:color w:val="000000"/>
          <w:spacing w:val="7"/>
          <w:sz w:val="24"/>
          <w:szCs w:val="24"/>
        </w:rPr>
        <w:t xml:space="preserve">应具有</w:t>
      </w:r>
      <w:r>
        <w:rPr>
          <w:rFonts w:hint="default" w:ascii="宋体" w:hAnsi="宋体" w:eastAsia="宋体" w:cs="宋体"/>
          <w:color w:val="000000"/>
          <w:spacing w:val="7"/>
          <w:sz w:val="24"/>
          <w:szCs w:val="24"/>
        </w:rPr>
        <w:t xml:space="preserve">20</w:t>
      </w:r>
      <w:r>
        <w:rPr>
          <w:rFonts w:hint="eastAsia" w:ascii="宋体" w:hAnsi="宋体" w:eastAsia="宋体" w:cs="宋体"/>
          <w:color w:val="000000"/>
          <w:spacing w:val="7"/>
          <w:sz w:val="24"/>
          <w:szCs w:val="24"/>
        </w:rPr>
        <w:t xml:space="preserve">21</w:t>
      </w:r>
      <w:r>
        <w:rPr>
          <w:rFonts w:hint="default" w:ascii="宋体" w:hAnsi="宋体" w:eastAsia="宋体" w:cs="宋体"/>
          <w:color w:val="000000"/>
          <w:spacing w:val="7"/>
          <w:sz w:val="24"/>
          <w:szCs w:val="24"/>
        </w:rPr>
        <w:t xml:space="preserve">年以来</w:t>
      </w:r>
      <w:r>
        <w:rPr>
          <w:rFonts w:hint="eastAsia" w:ascii="宋体" w:hAnsi="宋体" w:eastAsia="宋体" w:cs="宋体"/>
          <w:color w:val="000000"/>
          <w:spacing w:val="7"/>
          <w:sz w:val="24"/>
          <w:szCs w:val="24"/>
        </w:rPr>
        <w:t xml:space="preserve">与本项目</w:t>
      </w:r>
      <w:r>
        <w:rPr>
          <w:rFonts w:hint="default" w:ascii="宋体" w:hAnsi="宋体" w:eastAsia="宋体" w:cs="宋体"/>
          <w:color w:val="000000"/>
          <w:spacing w:val="7"/>
          <w:sz w:val="24"/>
          <w:szCs w:val="24"/>
        </w:rPr>
        <w:t xml:space="preserve">类似业绩</w:t>
      </w:r>
      <w:r>
        <w:rPr>
          <w:rFonts w:hint="eastAsia" w:ascii="宋体" w:hAnsi="宋体" w:eastAsia="宋体" w:cs="宋体"/>
          <w:color w:val="000000"/>
          <w:spacing w:val="7"/>
          <w:sz w:val="24"/>
          <w:szCs w:val="24"/>
        </w:rPr>
        <w:t xml:space="preserve">。</w:t>
      </w:r>
      <w:r/>
    </w:p>
    <w:p>
      <w:pPr>
        <w:ind w:firstLine="519"/>
        <w:jc w:val="left"/>
        <w:spacing w:line="360" w:lineRule="auto"/>
        <w:widowControl/>
        <w:rPr>
          <w:rFonts w:hint="default" w:ascii="宋体" w:hAnsi="宋体" w:eastAsia="宋体" w:cs="Times New Roman"/>
          <w:b/>
          <w:bCs/>
          <w:spacing w:val="9"/>
          <w:sz w:val="24"/>
          <w:szCs w:val="24"/>
        </w:rPr>
        <w:outlineLvl w:val="0"/>
      </w:pPr>
      <w:r>
        <w:rPr>
          <w:rFonts w:hint="eastAsia" w:ascii="宋体" w:hAnsi="宋体" w:eastAsia="宋体" w:cs="Times New Roman"/>
          <w:b/>
          <w:bCs/>
          <w:spacing w:val="9"/>
          <w:sz w:val="24"/>
          <w:szCs w:val="24"/>
        </w:rPr>
        <w:t xml:space="preserve">6.</w:t>
      </w:r>
      <w:r>
        <w:rPr>
          <w:rFonts w:hint="default" w:ascii="宋体" w:hAnsi="宋体" w:eastAsia="宋体" w:cs="Times New Roman"/>
          <w:b/>
          <w:bCs/>
          <w:spacing w:val="9"/>
          <w:sz w:val="24"/>
          <w:szCs w:val="24"/>
        </w:rPr>
        <w:t xml:space="preserve">投标人获得的证书</w:t>
      </w:r>
      <w:r/>
    </w:p>
    <w:p>
      <w:pPr>
        <w:ind w:firstLine="501"/>
        <w:jc w:val="left"/>
        <w:spacing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w:t>
      </w:r>
      <w:r>
        <w:rPr>
          <w:rFonts w:hint="eastAsia" w:ascii="宋体" w:hAnsi="宋体" w:eastAsia="宋体" w:cs="Times New Roman"/>
          <w:spacing w:val="13"/>
          <w:sz w:val="24"/>
          <w:szCs w:val="24"/>
        </w:rPr>
        <w:t xml:space="preserve">应</w:t>
      </w:r>
      <w:r>
        <w:rPr>
          <w:rFonts w:hint="default" w:ascii="宋体" w:hAnsi="宋体" w:eastAsia="宋体" w:cs="Times New Roman"/>
          <w:spacing w:val="13"/>
          <w:sz w:val="24"/>
          <w:szCs w:val="24"/>
        </w:rPr>
        <w:t xml:space="preserve">具有有效期内的信息安全管理体系认证证书、质量管理体系认证证</w:t>
      </w:r>
      <w:r>
        <w:rPr>
          <w:rFonts w:hint="default" w:ascii="宋体" w:hAnsi="宋体" w:eastAsia="宋体" w:cs="Times New Roman"/>
          <w:sz w:val="24"/>
          <w:szCs w:val="24"/>
        </w:rPr>
        <w:t xml:space="preserve">书</w:t>
      </w:r>
      <w:r>
        <w:rPr>
          <w:rFonts w:hint="eastAsia" w:ascii="宋体" w:hAnsi="宋体" w:eastAsia="宋体" w:cs="Times New Roman"/>
          <w:sz w:val="24"/>
          <w:szCs w:val="24"/>
        </w:rPr>
        <w:t xml:space="preserve">。</w:t>
      </w:r>
      <w:r/>
    </w:p>
    <w:p>
      <w:pPr>
        <w:rPr>
          <w:rFonts w:hint="default" w:eastAsia="宋体" w:cs="Times New Roman"/>
        </w:rPr>
      </w:pPr>
      <w:r>
        <w:rPr>
          <w:rFonts w:hint="default" w:eastAsia="宋体" w:cs="Times New Roman"/>
        </w:rPr>
      </w:r>
      <w:r/>
    </w:p>
    <w:p>
      <w:pPr>
        <w:jc w:val="left"/>
        <w:spacing w:line="460" w:lineRule="exact"/>
        <w:rPr>
          <w:rFonts w:hint="default" w:ascii="宋体" w:hAnsi="宋体" w:eastAsia="宋体" w:cs="宋体"/>
          <w:bCs/>
          <w:sz w:val="24"/>
          <w:szCs w:val="24"/>
        </w:rPr>
      </w:pPr>
      <w:r>
        <w:rPr>
          <w:rFonts w:hint="default" w:ascii="宋体" w:hAnsi="宋体" w:eastAsia="宋体" w:cs="宋体"/>
          <w:bCs/>
          <w:sz w:val="24"/>
          <w:szCs w:val="24"/>
        </w:rPr>
      </w:r>
      <w:r/>
    </w:p>
    <w:p>
      <w:pPr>
        <w:rPr>
          <w:rFonts w:hint="default" w:ascii="宋体" w:hAnsi="宋体" w:eastAsia="宋体" w:cs="宋体"/>
          <w:bCs/>
          <w:sz w:val="24"/>
          <w:szCs w:val="24"/>
        </w:rPr>
      </w:pPr>
      <w:r>
        <w:rPr>
          <w:rFonts w:hint="eastAsia" w:ascii="宋体" w:hAnsi="宋体" w:eastAsia="宋体" w:cs="宋体"/>
          <w:bCs/>
          <w:sz w:val="24"/>
          <w:szCs w:val="24"/>
        </w:rPr>
        <w:br w:type="page" w:clear="all"/>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81" w:name="_Toc17224"/>
      <w:r>
        <w:rPr>
          <w:rFonts w:hint="eastAsia" w:ascii="宋体" w:hAnsi="宋体" w:eastAsia="宋体" w:cs="Times New Roman"/>
          <w:b/>
          <w:bCs/>
          <w:sz w:val="44"/>
          <w:szCs w:val="32"/>
          <w:lang w:val="en-US" w:eastAsia="zh-CN" w:bidi="ar-SA"/>
        </w:rPr>
        <w:t xml:space="preserve">第五章 评标方法与评标标准</w:t>
      </w:r>
      <w:bookmarkEnd w:id="181"/>
      <w:r/>
      <w:r/>
    </w:p>
    <w:p>
      <w:pPr>
        <w:ind w:firstLine="450"/>
        <w:spacing w:line="440" w:lineRule="exact"/>
        <w:rPr>
          <w:rFonts w:ascii="Times New Roman" w:hAnsi="Times New Roman" w:eastAsia="Times New Roman" w:cs="Times New Roman"/>
          <w:b/>
          <w:bCs/>
          <w:spacing w:val="7"/>
          <w:sz w:val="24"/>
          <w:szCs w:val="24"/>
          <w:lang w:val="en-US" w:eastAsia="zh-CN" w:bidi="ar-SA"/>
        </w:rPr>
        <w:outlineLvl w:val="1"/>
      </w:pPr>
      <w:r>
        <w:rPr>
          <w:rFonts w:hint="eastAsia" w:ascii="Calibri" w:hAnsi="Calibri" w:eastAsia="宋体" w:cs="Times New Roman"/>
          <w:b/>
          <w:bCs/>
          <w:spacing w:val="7"/>
          <w:sz w:val="24"/>
          <w:szCs w:val="24"/>
          <w:lang w:val="en-US" w:eastAsia="zh-CN" w:bidi="ar-SA"/>
        </w:rPr>
        <w:t xml:space="preserve">一、评标方法与定标原则</w:t>
      </w:r>
      <w:r/>
    </w:p>
    <w:p>
      <w:pPr>
        <w:ind w:firstLine="508"/>
        <w:spacing w:line="440" w:lineRule="exact"/>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w:t>
      </w:r>
      <w:bookmarkStart w:id="182" w:name="EB62ffe30267be4d9da459adf3124e9fe5"/>
      <w:r/>
      <w:bookmarkEnd w:id="182"/>
      <w:r/>
      <w:bookmarkStart w:id="183" w:name="EB7fb355fa72914ecb929ae586b8e28d83"/>
      <w:r/>
      <w:bookmarkEnd w:id="183"/>
      <w:r>
        <w:rPr>
          <w:rFonts w:hint="eastAsia" w:ascii="宋体" w:hAnsi="宋体" w:eastAsia="宋体" w:cs="宋体"/>
          <w:spacing w:val="7"/>
          <w:sz w:val="24"/>
          <w:szCs w:val="24"/>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4" w:name="EB5665b3cc3ef142c8a0c8bc5d3e5d286b"/>
      <w:r/>
      <w:bookmarkEnd w:id="184"/>
      <w:r/>
      <w:r/>
    </w:p>
    <w:p>
      <w:pPr>
        <w:ind w:firstLine="508"/>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2、针对中小型企业的评审：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（2）根据《关于促进残疾人就业政府采购政策的通知》（财库〔2017〕141号）的通知规定：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注：投标人如不提供以上声明函的，不得享受相关政府采购政策。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（3）根据《关于政府采购支持监狱企业发展有关问题的通知》（财库〔2014〕68号）的通知规定：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default" w:ascii="宋体" w:hAnsi="宋体" w:eastAsia="宋体" w:cs="宋体"/>
          <w:spacing w:val="7"/>
          <w:sz w:val="24"/>
          <w:szCs w:val="24"/>
        </w:rPr>
      </w:pPr>
      <w:r>
        <w:rPr>
          <w:rFonts w:hint="eastAsia" w:ascii="宋体" w:hAnsi="宋体" w:eastAsia="宋体" w:cs="宋体"/>
          <w:spacing w:val="7"/>
          <w:sz w:val="24"/>
          <w:szCs w:val="24"/>
        </w:rPr>
        <w:t xml:space="preserve">注：投标人如不提供以上证明材料的，不得享受相关政府采购政策。</w:t>
      </w:r>
      <w:r/>
    </w:p>
    <w:p>
      <w:pPr>
        <w:ind w:firstLine="510"/>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3、采购本国产品的支持政策 </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widowControl w:val="off"/>
        <w:rPr>
          <w:rFonts w:ascii="宋体" w:hAnsi="宋体" w:eastAsia="宋体" w:cs="宋体"/>
          <w:spacing w:val="7"/>
          <w:sz w:val="24"/>
          <w:szCs w:val="24"/>
          <w:lang w:val="en-US" w:eastAsia="zh-CN" w:bidi="ar-SA"/>
        </w:rPr>
      </w:pPr>
      <w:r>
        <w:rPr>
          <w:rFonts w:ascii="宋体" w:hAnsi="宋体" w:eastAsia="宋体" w:cs="宋体"/>
          <w:spacing w:val="7"/>
          <w:sz w:val="24"/>
          <w:szCs w:val="24"/>
          <w:lang w:val="en-US" w:eastAsia="zh-CN" w:bidi="ar-SA"/>
        </w:rPr>
      </w:r>
      <w:r/>
    </w:p>
    <w:p>
      <w:pPr>
        <w:ind w:firstLine="482"/>
        <w:keepLines/>
        <w:keepNext/>
        <w:spacing w:line="440" w:lineRule="exact"/>
        <w:rPr>
          <w:rFonts w:hint="default" w:ascii="宋体" w:hAnsi="宋体" w:eastAsia="宋体" w:cs="Times New Roman"/>
          <w:b/>
          <w:sz w:val="24"/>
          <w:szCs w:val="24"/>
        </w:rPr>
      </w:pPr>
      <w:r>
        <w:rPr>
          <w:rFonts w:hint="eastAsia" w:eastAsia="宋体" w:cs="Times New Roman"/>
          <w:b/>
          <w:bCs/>
          <w:spacing w:val="7"/>
          <w:sz w:val="24"/>
          <w:szCs w:val="24"/>
        </w:rPr>
        <w:t xml:space="preserve">二、评标标准</w:t>
      </w:r>
      <w:r/>
    </w:p>
    <w:p>
      <w:pPr>
        <w:ind w:firstLine="538"/>
        <w:jc w:val="left"/>
        <w:spacing w:before="79" w:line="360" w:lineRule="auto"/>
        <w:widowControl/>
        <w:rPr>
          <w:rFonts w:hint="default" w:ascii="宋体" w:hAnsi="宋体" w:eastAsia="宋体" w:cs="Times New Roman"/>
          <w:b/>
          <w:sz w:val="24"/>
          <w:szCs w:val="24"/>
        </w:rPr>
      </w:pPr>
      <w:r>
        <w:rPr>
          <w:rFonts w:hint="default" w:ascii="宋体" w:hAnsi="宋体" w:eastAsia="宋体" w:cs="Times New Roman"/>
          <w:b/>
          <w:sz w:val="24"/>
          <w:szCs w:val="24"/>
        </w:rPr>
        <w:t xml:space="preserve">1价格分</w:t>
      </w:r>
      <w:r>
        <w:rPr>
          <w:rFonts w:hint="eastAsia" w:ascii="宋体" w:hAnsi="宋体" w:eastAsia="宋体" w:cs="Times New Roman"/>
          <w:b/>
          <w:sz w:val="24"/>
          <w:szCs w:val="24"/>
        </w:rPr>
        <w:t xml:space="preserve">40.0</w:t>
      </w:r>
      <w:r>
        <w:rPr>
          <w:rFonts w:hint="default" w:ascii="宋体" w:hAnsi="宋体" w:eastAsia="宋体" w:cs="Times New Roman"/>
          <w:b/>
          <w:sz w:val="24"/>
          <w:szCs w:val="24"/>
        </w:rPr>
        <w:t xml:space="preserve">分</w:t>
      </w:r>
      <w:r/>
    </w:p>
    <w:p>
      <w:pPr>
        <w:ind w:left="22" w:right="118" w:firstLine="497"/>
        <w:jc w:val="left"/>
        <w:spacing w:before="200" w:line="360" w:lineRule="auto"/>
        <w:widowControl/>
        <w:rPr>
          <w:rFonts w:hint="default" w:ascii="宋体" w:hAnsi="宋体" w:eastAsia="宋体" w:cs="Times New Roman"/>
          <w:spacing w:val="13"/>
          <w:sz w:val="24"/>
          <w:szCs w:val="24"/>
        </w:rPr>
      </w:pPr>
      <w:r/>
      <w:bookmarkStart w:id="185"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eastAsia="宋体" w:cs="Times New Roman"/>
          <w:spacing w:val="3"/>
          <w:sz w:val="24"/>
          <w:szCs w:val="24"/>
        </w:rPr>
        <w:t xml:space="preserve">40</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spacing w:before="199" w:line="360" w:lineRule="auto"/>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eastAsia="宋体" w:cs="Times New Roman"/>
          <w:spacing w:val="4"/>
          <w:sz w:val="24"/>
          <w:szCs w:val="24"/>
        </w:rPr>
        <w:t xml:space="preserve">40</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85"/>
      <w:r/>
      <w:r/>
    </w:p>
    <w:p>
      <w:pPr>
        <w:ind w:firstLine="523"/>
        <w:jc w:val="left"/>
        <w:spacing w:before="79" w:line="360" w:lineRule="auto"/>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2性能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rPr>
          <w:rFonts w:hint="eastAsia" w:ascii="宋体" w:hAnsi="宋体" w:eastAsia="宋体" w:cs="Times New Roman"/>
          <w:b/>
          <w:spacing w:val="5"/>
          <w:sz w:val="24"/>
          <w:szCs w:val="24"/>
        </w:rPr>
        <w:t xml:space="preserve">30</w:t>
      </w:r>
      <w:r>
        <w:rPr>
          <w:rFonts w:hint="default" w:ascii="宋体" w:hAnsi="宋体" w:eastAsia="宋体" w:cs="Times New Roman"/>
          <w:b/>
          <w:spacing w:val="5"/>
          <w:sz w:val="24"/>
          <w:szCs w:val="24"/>
        </w:rPr>
        <w:t xml:space="preserve">.0分</w:t>
      </w:r>
      <w:r/>
    </w:p>
    <w:p>
      <w:pPr>
        <w:ind w:firstLine="523"/>
        <w:jc w:val="left"/>
        <w:spacing w:before="199" w:line="360" w:lineRule="auto"/>
        <w:widowControl/>
        <w:rPr>
          <w:rFonts w:hint="default" w:ascii="宋体" w:hAnsi="宋体" w:eastAsia="宋体" w:cs="Times New Roman"/>
          <w:spacing w:val="9"/>
          <w:sz w:val="24"/>
          <w:szCs w:val="24"/>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00"/>
        <w:jc w:val="left"/>
        <w:spacing w:line="440" w:lineRule="exact"/>
        <w:widowControl/>
        <w:rPr>
          <w:rFonts w:hint="default" w:ascii="宋体" w:hAnsi="宋体" w:eastAsia="宋体" w:cs="宋体"/>
          <w:sz w:val="24"/>
          <w:szCs w:val="24"/>
        </w:rPr>
      </w:pPr>
      <w:r>
        <w:rPr>
          <w:rFonts w:hint="eastAsia" w:ascii="宋体" w:hAnsi="宋体" w:eastAsia="宋体" w:cs="宋体"/>
          <w:sz w:val="24"/>
          <w:szCs w:val="24"/>
        </w:rPr>
        <w:t xml:space="preserve">根据投标人提供的物品性能质量、技术指标和系统功能要求进行评定，技术要求中标注“▲”的为重要指标项(共 10条)，有1项负偏离减1分，技术要求中标注“◆”的为一般指标项(共 200条)，有1项负偏离减 0.1分。(“▲”为重要指标项，须在响应文件中提供第三方检测机构出具的合格的检验报告或功能截图等相关证明材料，未按要求提供的视为负偏离)</w:t>
      </w:r>
      <w:r/>
    </w:p>
    <w:p>
      <w:pPr>
        <w:ind w:firstLine="525"/>
        <w:jc w:val="left"/>
        <w:spacing w:after="240"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r>
      <w:r/>
    </w:p>
    <w:p>
      <w:pPr>
        <w:ind w:firstLine="525"/>
        <w:jc w:val="left"/>
        <w:spacing w:after="240"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3</w:t>
      </w:r>
      <w:r>
        <w:rPr>
          <w:rFonts w:hint="eastAsia" w:ascii="宋体" w:hAnsi="宋体" w:eastAsia="宋体" w:cs="Times New Roman"/>
          <w:b/>
          <w:spacing w:val="4"/>
          <w:sz w:val="24"/>
          <w:szCs w:val="24"/>
        </w:rPr>
        <w:t xml:space="preserve"> 技术方案及实施方案</w:t>
      </w:r>
      <w:r>
        <w:rPr>
          <w:rFonts w:hint="default" w:ascii="宋体" w:hAnsi="宋体" w:eastAsia="宋体" w:cs="Times New Roman"/>
          <w:b/>
          <w:spacing w:val="4"/>
          <w:sz w:val="24"/>
          <w:szCs w:val="24"/>
        </w:rPr>
        <w:t xml:space="preserve">分</w:t>
      </w:r>
      <w:r>
        <w:rPr>
          <w:rFonts w:hint="eastAsia" w:ascii="宋体" w:hAnsi="宋体" w:eastAsia="宋体" w:cs="Times New Roman"/>
          <w:b/>
          <w:spacing w:val="4"/>
          <w:sz w:val="24"/>
          <w:szCs w:val="24"/>
        </w:rPr>
        <w:t xml:space="preserve">18</w:t>
      </w:r>
      <w:r>
        <w:rPr>
          <w:rFonts w:hint="default" w:ascii="宋体" w:hAnsi="宋体" w:eastAsia="宋体" w:cs="Times New Roman"/>
          <w:b/>
          <w:spacing w:val="4"/>
          <w:sz w:val="24"/>
          <w:szCs w:val="24"/>
        </w:rPr>
        <w:t xml:space="preserve">.0分</w:t>
      </w:r>
      <w:r/>
    </w:p>
    <w:p>
      <w:pPr>
        <w:ind w:firstLine="525"/>
        <w:jc w:val="left"/>
        <w:spacing w:after="240" w:line="360" w:lineRule="auto"/>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技术方案分5分</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根据投标人提供技术方案进行评分，</w:t>
      </w:r>
      <w:r>
        <w:rPr>
          <w:rFonts w:hint="default" w:ascii="宋体" w:hAnsi="宋体" w:eastAsia="宋体" w:cs="Times New Roman"/>
          <w:spacing w:val="13"/>
          <w:sz w:val="24"/>
          <w:szCs w:val="24"/>
        </w:rPr>
        <w:t xml:space="preserve">包括本项目整体系统架构、业务数据架构、网络架构等，以及建设的各系统间对接关系、分工界面</w:t>
      </w:r>
      <w:r>
        <w:rPr>
          <w:rFonts w:hint="eastAsia" w:ascii="宋体" w:hAnsi="宋体" w:eastAsia="宋体" w:cs="Times New Roman"/>
          <w:spacing w:val="13"/>
          <w:sz w:val="24"/>
          <w:szCs w:val="24"/>
        </w:rPr>
        <w:t xml:space="preserve">。</w:t>
      </w:r>
      <w:r>
        <w:rPr>
          <w:rFonts w:hint="eastAsia" w:ascii="宋体" w:hAnsi="宋体" w:eastAsia="宋体" w:cs="Times New Roman"/>
          <w:spacing w:val="7"/>
          <w:sz w:val="24"/>
          <w:szCs w:val="24"/>
        </w:rPr>
        <w:t xml:space="preserve">方案完全包含上述内容且内容有实质性意义的，得5分；方案内有部分缺少或部分内容无实质性意义，但缺少量不满3项上述内容的，得3分；方案内有缺少或部分内容无实质性意义，缺少量大于等于3项上述内容的，只能满足基本要求的，得1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spacing w:before="199"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实施</w:t>
      </w:r>
      <w:r>
        <w:rPr>
          <w:rFonts w:hint="default" w:ascii="宋体" w:hAnsi="宋体" w:eastAsia="宋体" w:cs="Times New Roman"/>
          <w:spacing w:val="8"/>
          <w:sz w:val="24"/>
          <w:szCs w:val="24"/>
        </w:rPr>
        <w:t xml:space="preserve">方案</w:t>
      </w:r>
      <w:r>
        <w:rPr>
          <w:rFonts w:hint="eastAsia" w:ascii="宋体" w:hAnsi="宋体" w:eastAsia="宋体" w:cs="Times New Roman"/>
          <w:spacing w:val="8"/>
          <w:sz w:val="24"/>
          <w:szCs w:val="24"/>
        </w:rPr>
        <w:t xml:space="preserve">分5分</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对投标人提供的实施方案进行评分，包含但不限于</w:t>
      </w:r>
      <w:r>
        <w:rPr>
          <w:rFonts w:hint="default" w:ascii="宋体" w:hAnsi="宋体" w:eastAsia="宋体" w:cs="Times New Roman"/>
          <w:spacing w:val="13"/>
          <w:sz w:val="24"/>
          <w:szCs w:val="24"/>
        </w:rPr>
        <w:t xml:space="preserve">质量控制措施、安全保证措施、工期与进度安排</w:t>
      </w:r>
      <w:r>
        <w:rPr>
          <w:rFonts w:hint="eastAsia" w:ascii="宋体" w:hAnsi="宋体" w:eastAsia="宋体" w:cs="Times New Roman"/>
          <w:spacing w:val="13"/>
          <w:sz w:val="24"/>
          <w:szCs w:val="24"/>
        </w:rPr>
        <w:t xml:space="preserve">等。</w:t>
      </w:r>
      <w:r>
        <w:rPr>
          <w:rFonts w:hint="eastAsia" w:ascii="宋体" w:hAnsi="宋体" w:eastAsia="宋体" w:cs="Times New Roman"/>
          <w:spacing w:val="7"/>
          <w:sz w:val="24"/>
          <w:szCs w:val="24"/>
        </w:rPr>
        <w:t xml:space="preserve">方案完全包含上述内容且内容有实质性意义的得5分；方案内有部分缺少或部分内容无实质性意义，但缺少量不满2项上述内容的，得3分；方案内有缺少或部分内容无实质性意义，缺少量大于等于</w:t>
      </w:r>
      <w:r>
        <w:rPr>
          <w:rFonts w:hint="eastAsia" w:ascii="宋体" w:hAnsi="宋体" w:eastAsia="宋体" w:cs="Times New Roman"/>
          <w:spacing w:val="7"/>
          <w:sz w:val="24"/>
          <w:szCs w:val="24"/>
          <w:lang w:val="en-US" w:eastAsia="zh-CN"/>
        </w:rPr>
        <w:t xml:space="preserve">2</w:t>
      </w:r>
      <w:r>
        <w:rPr>
          <w:rFonts w:hint="eastAsia" w:ascii="宋体" w:hAnsi="宋体" w:eastAsia="宋体" w:cs="Times New Roman"/>
          <w:spacing w:val="7"/>
          <w:sz w:val="24"/>
          <w:szCs w:val="24"/>
        </w:rPr>
        <w:t xml:space="preserve">项上述内容的，只能满足基本要求的，得1分；方案内容无实质性意义或未提供方案说明的，不得分</w:t>
      </w:r>
      <w:r>
        <w:rPr>
          <w:rFonts w:hint="default" w:ascii="宋体" w:hAnsi="宋体" w:eastAsia="宋体" w:cs="Times New Roman"/>
          <w:spacing w:val="13"/>
          <w:sz w:val="24"/>
          <w:szCs w:val="24"/>
        </w:rPr>
        <w:t xml:space="preserve">。</w:t>
      </w:r>
      <w:r/>
    </w:p>
    <w:p>
      <w:pPr>
        <w:ind w:firstLine="525"/>
        <w:jc w:val="left"/>
        <w:spacing w:before="200"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.运维方案</w:t>
      </w:r>
      <w:r>
        <w:rPr>
          <w:rFonts w:hint="eastAsia" w:ascii="宋体" w:hAnsi="宋体" w:eastAsia="宋体" w:cs="Times New Roman"/>
          <w:spacing w:val="8"/>
          <w:sz w:val="24"/>
          <w:szCs w:val="24"/>
        </w:rPr>
        <w:t xml:space="preserve">分5分</w:t>
      </w:r>
      <w:r/>
    </w:p>
    <w:p>
      <w:pPr>
        <w:ind w:left="21" w:right="12" w:firstLine="498"/>
        <w:jc w:val="left"/>
        <w:spacing w:before="198" w:line="360" w:lineRule="auto"/>
        <w:widowControl/>
        <w:rPr>
          <w:rFonts w:hint="default" w:ascii="宋体" w:hAnsi="宋体" w:eastAsia="宋体" w:cs="Times New Roman"/>
          <w:spacing w:val="13"/>
          <w:sz w:val="24"/>
          <w:szCs w:val="24"/>
        </w:rPr>
      </w:pPr>
      <w:r/>
      <w:bookmarkStart w:id="186" w:name="OLE_LINK4"/>
      <w:r>
        <w:rPr>
          <w:rFonts w:hint="eastAsia" w:ascii="宋体" w:hAnsi="宋体" w:eastAsia="宋体" w:cs="Times New Roman"/>
          <w:spacing w:val="13"/>
          <w:sz w:val="24"/>
          <w:szCs w:val="24"/>
        </w:rPr>
        <w:t xml:space="preserve">对投标人提供的运维方案进行评分，包含但不限于服务流程、售后服务、服务承诺、响应时间、服务期限等。</w:t>
      </w:r>
      <w:r>
        <w:rPr>
          <w:rFonts w:hint="eastAsia" w:ascii="宋体" w:hAnsi="宋体" w:eastAsia="宋体" w:cs="Times New Roman"/>
          <w:spacing w:val="7"/>
          <w:sz w:val="24"/>
          <w:szCs w:val="24"/>
        </w:rPr>
        <w:t xml:space="preserve">方案完全包含上述内容且内容有实质性意义的得5分；方案内有部分缺少或部分内容无实质性意义，但缺少量不满2项上述内容的，得3分；方案内有缺少或部分内容无实质性意义，缺少量大于等于</w:t>
      </w:r>
      <w:r>
        <w:rPr>
          <w:rFonts w:hint="eastAsia" w:ascii="宋体" w:hAnsi="宋体" w:eastAsia="宋体" w:cs="Times New Roman"/>
          <w:spacing w:val="7"/>
          <w:sz w:val="24"/>
          <w:szCs w:val="24"/>
          <w:lang w:val="en-US" w:eastAsia="zh-CN"/>
        </w:rPr>
        <w:t xml:space="preserve">2</w:t>
      </w:r>
      <w:r>
        <w:rPr>
          <w:rFonts w:hint="eastAsia" w:ascii="宋体" w:hAnsi="宋体" w:eastAsia="宋体" w:cs="Times New Roman"/>
          <w:spacing w:val="7"/>
          <w:sz w:val="24"/>
          <w:szCs w:val="24"/>
        </w:rPr>
        <w:t xml:space="preserve">项上述内容的，只能满足基本要求的，得1分；方案内容无实质性意义或未提供方案说明的，不得分</w:t>
      </w:r>
      <w:r>
        <w:rPr>
          <w:rFonts w:hint="eastAsia" w:ascii="宋体" w:hAnsi="宋体" w:eastAsia="宋体" w:cs="Times New Roman"/>
          <w:spacing w:val="13"/>
          <w:sz w:val="24"/>
          <w:szCs w:val="24"/>
        </w:rPr>
        <w:t xml:space="preserve">。</w:t>
      </w:r>
      <w:bookmarkEnd w:id="186"/>
      <w:r/>
      <w:r/>
    </w:p>
    <w:p>
      <w:pPr>
        <w:ind w:firstLine="525"/>
        <w:jc w:val="left"/>
        <w:spacing w:before="199" w:line="360" w:lineRule="auto"/>
        <w:widowControl/>
        <w:rPr>
          <w:rFonts w:hint="default" w:ascii="宋体" w:hAnsi="宋体" w:eastAsia="宋体" w:cs="Times New Roman"/>
          <w:spacing w:val="12"/>
          <w:sz w:val="24"/>
          <w:szCs w:val="24"/>
        </w:rPr>
        <w:outlineLvl w:val="0"/>
      </w:pPr>
      <w:r>
        <w:rPr>
          <w:rFonts w:hint="default" w:ascii="宋体" w:hAnsi="宋体" w:eastAsia="宋体" w:cs="Times New Roman"/>
          <w:spacing w:val="12"/>
          <w:sz w:val="24"/>
          <w:szCs w:val="24"/>
        </w:rPr>
        <w:t xml:space="preserve">3.</w:t>
      </w:r>
      <w:r>
        <w:rPr>
          <w:rFonts w:hint="eastAsia" w:ascii="宋体" w:hAnsi="宋体" w:eastAsia="宋体" w:cs="Times New Roman"/>
          <w:spacing w:val="12"/>
          <w:sz w:val="24"/>
          <w:szCs w:val="24"/>
        </w:rPr>
        <w:t xml:space="preserve">4</w:t>
      </w:r>
      <w:r>
        <w:rPr>
          <w:rFonts w:hint="default" w:ascii="宋体" w:hAnsi="宋体" w:eastAsia="宋体" w:cs="Times New Roman"/>
          <w:spacing w:val="12"/>
          <w:sz w:val="24"/>
          <w:szCs w:val="24"/>
        </w:rPr>
        <w:t xml:space="preserve">.</w:t>
      </w:r>
      <w:r>
        <w:rPr>
          <w:rFonts w:hint="eastAsia" w:ascii="宋体" w:hAnsi="宋体" w:eastAsia="宋体" w:cs="Times New Roman"/>
          <w:spacing w:val="12"/>
          <w:sz w:val="24"/>
          <w:szCs w:val="24"/>
        </w:rPr>
        <w:t xml:space="preserve">培训方案分3分</w:t>
      </w:r>
      <w:r/>
    </w:p>
    <w:p>
      <w:pPr>
        <w:ind w:left="21" w:right="12" w:firstLine="498"/>
        <w:jc w:val="left"/>
        <w:spacing w:before="198" w:line="360" w:lineRule="auto"/>
        <w:widowControl/>
        <w:rPr>
          <w:rFonts w:hint="default" w:ascii="宋体" w:hAnsi="宋体" w:eastAsia="宋体" w:cs="Times New Roman"/>
          <w:iCs/>
          <w:spacing w:val="13"/>
          <w:sz w:val="24"/>
          <w:szCs w:val="24"/>
        </w:rPr>
      </w:pPr>
      <w:r>
        <w:rPr>
          <w:rFonts w:hint="eastAsia" w:ascii="宋体" w:hAnsi="宋体" w:eastAsia="宋体" w:cs="Times New Roman"/>
          <w:iCs/>
          <w:spacing w:val="13"/>
          <w:sz w:val="24"/>
          <w:szCs w:val="24"/>
        </w:rPr>
        <w:t xml:space="preserve">对投标人提供的培训方案进行评分，包含但不限于培训目标、培训内容、培训方式等。</w:t>
      </w:r>
      <w:r>
        <w:rPr>
          <w:rFonts w:hint="eastAsia" w:ascii="宋体" w:hAnsi="宋体" w:eastAsia="宋体" w:cs="Times New Roman"/>
          <w:iCs/>
          <w:spacing w:val="7"/>
          <w:sz w:val="24"/>
          <w:szCs w:val="24"/>
        </w:rPr>
        <w:t xml:space="preserve">方案完全包含上述内容且内容有实质性意义的得3分；方案内有部分缺少或部分内容无实质性意义，但缺少量不满2项上述内容的，得2分；方案内有缺少或部分内容无实质性意义，缺少量大于等于</w:t>
      </w:r>
      <w:r>
        <w:rPr>
          <w:rFonts w:hint="eastAsia" w:ascii="宋体" w:hAnsi="宋体" w:eastAsia="宋体" w:cs="Times New Roman"/>
          <w:iCs/>
          <w:spacing w:val="7"/>
          <w:sz w:val="24"/>
          <w:szCs w:val="24"/>
          <w:lang w:val="en-US" w:eastAsia="zh-CN"/>
        </w:rPr>
        <w:t xml:space="preserve">2</w:t>
      </w:r>
      <w:r>
        <w:rPr>
          <w:rFonts w:hint="eastAsia" w:ascii="宋体" w:hAnsi="宋体" w:eastAsia="宋体" w:cs="Times New Roman"/>
          <w:iCs/>
          <w:spacing w:val="7"/>
          <w:sz w:val="24"/>
          <w:szCs w:val="24"/>
        </w:rPr>
        <w:t xml:space="preserve">项上述内容的，只能满足基本要求的，得1分；方案内容无实质性意义或未提供方案说明的，不得分</w:t>
      </w:r>
      <w:r>
        <w:rPr>
          <w:rFonts w:hint="default" w:ascii="宋体" w:hAnsi="宋体" w:eastAsia="宋体" w:cs="Times New Roman"/>
          <w:iCs/>
          <w:spacing w:val="13"/>
          <w:sz w:val="24"/>
          <w:szCs w:val="24"/>
        </w:rPr>
        <w:t xml:space="preserve">。</w:t>
      </w:r>
      <w:r/>
    </w:p>
    <w:p>
      <w:pPr>
        <w:ind w:firstLine="519"/>
        <w:jc w:val="left"/>
        <w:spacing w:before="198"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4履约能力分</w:t>
      </w:r>
      <w:r>
        <w:rPr>
          <w:rFonts w:hint="eastAsia" w:ascii="宋体" w:hAnsi="宋体" w:eastAsia="宋体" w:cs="Times New Roman"/>
          <w:b/>
          <w:spacing w:val="4"/>
          <w:sz w:val="24"/>
          <w:szCs w:val="24"/>
        </w:rPr>
        <w:t xml:space="preserve">9</w:t>
      </w:r>
      <w:r>
        <w:rPr>
          <w:rFonts w:hint="default" w:ascii="宋体" w:hAnsi="宋体" w:eastAsia="宋体" w:cs="Times New Roman"/>
          <w:b/>
          <w:spacing w:val="4"/>
          <w:sz w:val="24"/>
          <w:szCs w:val="24"/>
        </w:rPr>
        <w:t xml:space="preserve">.0分</w:t>
      </w:r>
      <w:r/>
    </w:p>
    <w:p>
      <w:pPr>
        <w:ind w:firstLine="500"/>
        <w:spacing w:line="440" w:lineRule="exact"/>
        <w:rPr>
          <w:rFonts w:hint="default" w:ascii="宋体" w:hAnsi="宋体" w:eastAsia="宋体" w:cs="宋体"/>
          <w:spacing w:val="7"/>
          <w:sz w:val="24"/>
          <w:szCs w:val="24"/>
        </w:rPr>
      </w:pPr>
      <w:r>
        <w:rPr>
          <w:rFonts w:hint="eastAsia" w:ascii="宋体" w:hAnsi="宋体" w:eastAsia="宋体" w:cs="宋体"/>
          <w:color w:val="000000"/>
          <w:spacing w:val="7"/>
          <w:sz w:val="24"/>
          <w:szCs w:val="24"/>
        </w:rPr>
        <w:t xml:space="preserve">4.1</w:t>
      </w:r>
      <w:r>
        <w:rPr>
          <w:rFonts w:hint="default" w:ascii="宋体" w:hAnsi="宋体" w:eastAsia="宋体" w:cs="宋体"/>
          <w:color w:val="000000"/>
          <w:spacing w:val="7"/>
          <w:sz w:val="24"/>
          <w:szCs w:val="24"/>
        </w:rPr>
        <w:t xml:space="preserve">类似业绩</w:t>
      </w:r>
      <w:r/>
    </w:p>
    <w:p>
      <w:pPr>
        <w:ind w:firstLine="500"/>
        <w:spacing w:line="440" w:lineRule="exact"/>
        <w:rPr>
          <w:rFonts w:hint="default" w:ascii="宋体" w:hAnsi="宋体" w:eastAsia="Times New Roman" w:cs="Times New Roman"/>
          <w:b/>
          <w:spacing w:val="4"/>
          <w:sz w:val="24"/>
          <w:szCs w:val="24"/>
        </w:rPr>
      </w:pPr>
      <w:r>
        <w:rPr>
          <w:rFonts w:hint="default" w:ascii="宋体" w:hAnsi="宋体" w:eastAsia="宋体" w:cs="宋体"/>
          <w:color w:val="000000"/>
          <w:spacing w:val="7"/>
          <w:sz w:val="24"/>
          <w:szCs w:val="24"/>
        </w:rPr>
        <w:t xml:space="preserve">投标人 20</w:t>
      </w:r>
      <w:r>
        <w:rPr>
          <w:rFonts w:hint="eastAsia" w:ascii="宋体" w:hAnsi="宋体" w:eastAsia="宋体" w:cs="宋体"/>
          <w:color w:val="000000"/>
          <w:spacing w:val="7"/>
          <w:sz w:val="24"/>
          <w:szCs w:val="24"/>
        </w:rPr>
        <w:t xml:space="preserve">21</w:t>
      </w:r>
      <w:r>
        <w:rPr>
          <w:rFonts w:hint="default" w:ascii="宋体" w:hAnsi="宋体" w:eastAsia="宋体" w:cs="宋体"/>
          <w:color w:val="000000"/>
          <w:spacing w:val="7"/>
          <w:sz w:val="24"/>
          <w:szCs w:val="24"/>
        </w:rPr>
        <w:t xml:space="preserve">年以来</w:t>
      </w:r>
      <w:r>
        <w:rPr>
          <w:rFonts w:hint="eastAsia" w:ascii="宋体" w:hAnsi="宋体" w:eastAsia="宋体" w:cs="宋体"/>
          <w:color w:val="000000"/>
          <w:spacing w:val="7"/>
          <w:sz w:val="24"/>
          <w:szCs w:val="24"/>
        </w:rPr>
        <w:t xml:space="preserve">与本项目</w:t>
      </w:r>
      <w:r>
        <w:rPr>
          <w:rFonts w:hint="default" w:ascii="宋体" w:hAnsi="宋体" w:eastAsia="宋体" w:cs="宋体"/>
          <w:color w:val="000000"/>
          <w:spacing w:val="7"/>
          <w:sz w:val="24"/>
          <w:szCs w:val="24"/>
        </w:rPr>
        <w:t xml:space="preserve">类似业绩</w:t>
      </w:r>
      <w:r>
        <w:rPr>
          <w:rFonts w:hint="eastAsia" w:ascii="宋体" w:hAnsi="宋体" w:eastAsia="Times New Roman" w:cs="Times New Roman"/>
          <w:sz w:val="24"/>
          <w:szCs w:val="21"/>
        </w:rPr>
        <w:t xml:space="preserve">（以合同签订时间为准）</w:t>
      </w:r>
      <w:r>
        <w:rPr>
          <w:rFonts w:hint="default" w:ascii="宋体" w:hAnsi="宋体" w:eastAsia="宋体" w:cs="宋体"/>
          <w:color w:val="000000"/>
          <w:spacing w:val="7"/>
          <w:sz w:val="24"/>
          <w:szCs w:val="24"/>
        </w:rPr>
        <w:t xml:space="preserve">，每有一个得 </w:t>
      </w:r>
      <w:r>
        <w:rPr>
          <w:rFonts w:hint="eastAsia" w:ascii="宋体" w:hAnsi="宋体" w:eastAsia="宋体" w:cs="宋体"/>
          <w:color w:val="000000"/>
          <w:spacing w:val="7"/>
          <w:sz w:val="24"/>
          <w:szCs w:val="24"/>
        </w:rPr>
        <w:t xml:space="preserve">1</w:t>
      </w:r>
      <w:r>
        <w:rPr>
          <w:rFonts w:hint="default" w:ascii="宋体" w:hAnsi="宋体" w:eastAsia="宋体" w:cs="宋体"/>
          <w:color w:val="000000"/>
          <w:spacing w:val="7"/>
          <w:sz w:val="24"/>
          <w:szCs w:val="24"/>
        </w:rPr>
        <w:t xml:space="preserve">分，最高得 </w:t>
      </w:r>
      <w:r>
        <w:rPr>
          <w:rFonts w:hint="eastAsia" w:ascii="宋体" w:hAnsi="宋体" w:eastAsia="宋体" w:cs="宋体"/>
          <w:color w:val="000000"/>
          <w:spacing w:val="7"/>
          <w:sz w:val="24"/>
          <w:szCs w:val="24"/>
        </w:rPr>
        <w:t xml:space="preserve">3 </w:t>
      </w:r>
      <w:r>
        <w:rPr>
          <w:rFonts w:hint="default" w:ascii="宋体" w:hAnsi="宋体" w:eastAsia="宋体" w:cs="宋体"/>
          <w:color w:val="000000"/>
          <w:spacing w:val="7"/>
          <w:sz w:val="24"/>
          <w:szCs w:val="24"/>
        </w:rPr>
        <w:t xml:space="preserve">分（请在投标文件中提供合同，合同中须反映出相关内容，如合同中不能反映，须提供其他材料予以佐证，不提供的不得分）。</w:t>
      </w:r>
      <w:r/>
    </w:p>
    <w:p>
      <w:pPr>
        <w:ind w:firstLine="519"/>
        <w:jc w:val="left"/>
        <w:spacing w:before="199" w:line="360" w:lineRule="auto"/>
        <w:widowControl/>
        <w:rPr>
          <w:rFonts w:hint="default" w:ascii="宋体" w:hAnsi="宋体" w:eastAsia="宋体" w:cs="Times New Roman"/>
          <w:spacing w:val="9"/>
          <w:sz w:val="24"/>
          <w:szCs w:val="24"/>
        </w:rPr>
        <w:outlineLvl w:val="0"/>
      </w:pPr>
      <w:r>
        <w:rPr>
          <w:rFonts w:hint="default" w:ascii="宋体" w:hAnsi="宋体" w:eastAsia="宋体" w:cs="Times New Roman"/>
          <w:spacing w:val="9"/>
          <w:sz w:val="24"/>
          <w:szCs w:val="24"/>
        </w:rPr>
        <w:t xml:space="preserve">4.</w:t>
      </w:r>
      <w:r>
        <w:rPr>
          <w:rFonts w:hint="eastAsia" w:ascii="宋体" w:hAnsi="宋体" w:eastAsia="宋体" w:cs="Times New Roman"/>
          <w:spacing w:val="9"/>
          <w:sz w:val="24"/>
          <w:szCs w:val="24"/>
        </w:rPr>
        <w:t xml:space="preserve">2</w:t>
      </w:r>
      <w:r>
        <w:rPr>
          <w:rFonts w:hint="default" w:ascii="宋体" w:hAnsi="宋体" w:eastAsia="宋体" w:cs="Times New Roman"/>
          <w:spacing w:val="9"/>
          <w:sz w:val="24"/>
          <w:szCs w:val="24"/>
        </w:rPr>
        <w:t xml:space="preserve">.投标人获得的证书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投标人具有有效期内的信息安全管理体系认证证书、质量管理体系认证证</w:t>
      </w:r>
      <w:r>
        <w:rPr>
          <w:rFonts w:hint="default" w:ascii="宋体" w:hAnsi="宋体" w:eastAsia="宋体" w:cs="Times New Roman"/>
          <w:sz w:val="24"/>
          <w:szCs w:val="24"/>
        </w:rPr>
        <w:t xml:space="preserve">书</w:t>
      </w:r>
      <w:r>
        <w:rPr>
          <w:rFonts w:hint="eastAsia" w:ascii="宋体" w:hAnsi="宋体" w:eastAsia="宋体" w:cs="Times New Roman"/>
          <w:sz w:val="24"/>
          <w:szCs w:val="24"/>
        </w:rPr>
        <w:t xml:space="preserve">的</w:t>
      </w:r>
      <w:r>
        <w:rPr>
          <w:rFonts w:hint="default" w:ascii="宋体" w:hAnsi="宋体" w:eastAsia="宋体" w:cs="Times New Roman"/>
          <w:spacing w:val="-4"/>
          <w:sz w:val="24"/>
          <w:szCs w:val="24"/>
        </w:rPr>
        <w:t xml:space="preserve">每提供一份得</w:t>
      </w:r>
      <w:r>
        <w:rPr>
          <w:rFonts w:hint="eastAsia" w:ascii="宋体" w:hAnsi="宋体" w:eastAsia="宋体" w:cs="Times New Roman"/>
          <w:spacing w:val="-4"/>
          <w:sz w:val="24"/>
          <w:szCs w:val="24"/>
        </w:rPr>
        <w:t xml:space="preserve">1</w:t>
      </w:r>
      <w:r>
        <w:rPr>
          <w:rFonts w:hint="default" w:ascii="宋体" w:hAnsi="宋体" w:eastAsia="宋体" w:cs="Times New Roman"/>
          <w:spacing w:val="-4"/>
          <w:sz w:val="24"/>
          <w:szCs w:val="24"/>
        </w:rPr>
        <w:t xml:space="preserve">分，最高</w:t>
      </w:r>
      <w:r>
        <w:rPr>
          <w:rFonts w:hint="eastAsia" w:ascii="宋体" w:hAnsi="宋体" w:eastAsia="宋体" w:cs="Times New Roman"/>
          <w:spacing w:val="-4"/>
          <w:sz w:val="24"/>
          <w:szCs w:val="24"/>
        </w:rPr>
        <w:t xml:space="preserve">2</w:t>
      </w:r>
      <w:r>
        <w:rPr>
          <w:rFonts w:hint="default" w:ascii="宋体" w:hAnsi="宋体" w:eastAsia="宋体" w:cs="Times New Roman"/>
          <w:spacing w:val="-4"/>
          <w:sz w:val="24"/>
          <w:szCs w:val="24"/>
        </w:rPr>
        <w:t xml:space="preserve">分。（请在投标文件中提供证书，不提供的不得分）</w:t>
      </w:r>
      <w:r/>
    </w:p>
    <w:p>
      <w:pPr>
        <w:ind w:firstLine="519"/>
        <w:jc w:val="left"/>
        <w:spacing w:before="3" w:line="360" w:lineRule="auto"/>
        <w:widowControl/>
        <w:rPr>
          <w:rFonts w:hint="default" w:ascii="宋体" w:hAnsi="宋体" w:eastAsia="宋体" w:cs="Times New Roman"/>
          <w:spacing w:val="10"/>
          <w:sz w:val="24"/>
          <w:szCs w:val="24"/>
        </w:rPr>
        <w:outlineLvl w:val="0"/>
      </w:pPr>
      <w:r>
        <w:rPr>
          <w:rFonts w:hint="default" w:ascii="宋体" w:hAnsi="宋体" w:eastAsia="宋体" w:cs="Times New Roman"/>
          <w:spacing w:val="10"/>
          <w:sz w:val="24"/>
          <w:szCs w:val="24"/>
        </w:rPr>
        <w:t xml:space="preserve">4.</w:t>
      </w:r>
      <w:r>
        <w:rPr>
          <w:rFonts w:hint="eastAsia" w:ascii="宋体" w:hAnsi="宋体" w:eastAsia="宋体" w:cs="Times New Roman"/>
          <w:spacing w:val="10"/>
          <w:sz w:val="24"/>
          <w:szCs w:val="24"/>
        </w:rPr>
        <w:t xml:space="preserve">3</w:t>
      </w:r>
      <w:r>
        <w:rPr>
          <w:rFonts w:hint="default" w:ascii="宋体" w:hAnsi="宋体" w:eastAsia="宋体" w:cs="Times New Roman"/>
          <w:spacing w:val="10"/>
          <w:sz w:val="24"/>
          <w:szCs w:val="24"/>
        </w:rPr>
        <w:t xml:space="preserve">.项目负责人获得的证书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项目负责人具有</w:t>
      </w:r>
      <w:r>
        <w:rPr>
          <w:rFonts w:hint="eastAsia" w:ascii="宋体" w:hAnsi="宋体" w:eastAsia="宋体" w:cs="Times New Roman"/>
          <w:spacing w:val="13"/>
          <w:sz w:val="24"/>
          <w:szCs w:val="24"/>
        </w:rPr>
        <w:t xml:space="preserve">智能化相关专业高级</w:t>
      </w:r>
      <w:r>
        <w:rPr>
          <w:rFonts w:hint="default" w:ascii="宋体" w:hAnsi="宋体" w:eastAsia="宋体" w:cs="Times New Roman"/>
          <w:spacing w:val="13"/>
          <w:sz w:val="24"/>
          <w:szCs w:val="24"/>
        </w:rPr>
        <w:t xml:space="preserve">工程师证书</w:t>
      </w:r>
      <w:r>
        <w:rPr>
          <w:rFonts w:hint="eastAsia" w:ascii="宋体" w:hAnsi="宋体" w:eastAsia="宋体" w:cs="Times New Roman"/>
          <w:spacing w:val="13"/>
          <w:sz w:val="24"/>
          <w:szCs w:val="24"/>
        </w:rPr>
        <w:t xml:space="preserve">、注册信息安全工程师证书（CISP）的</w:t>
      </w:r>
      <w:r>
        <w:rPr>
          <w:rFonts w:hint="default" w:ascii="宋体" w:hAnsi="宋体" w:eastAsia="宋体" w:cs="Times New Roman"/>
          <w:spacing w:val="13"/>
          <w:sz w:val="24"/>
          <w:szCs w:val="24"/>
        </w:rPr>
        <w:t xml:space="preserve">，有一项得</w:t>
      </w:r>
      <w:r>
        <w:rPr>
          <w:rFonts w:hint="eastAsia" w:ascii="宋体" w:hAnsi="宋体" w:eastAsia="宋体" w:cs="Times New Roman"/>
          <w:spacing w:val="13"/>
          <w:sz w:val="24"/>
          <w:szCs w:val="24"/>
        </w:rPr>
        <w:t xml:space="preserve">1</w:t>
      </w:r>
      <w:r>
        <w:rPr>
          <w:rFonts w:hint="default" w:ascii="宋体" w:hAnsi="宋体" w:eastAsia="宋体" w:cs="Times New Roman"/>
          <w:spacing w:val="13"/>
          <w:sz w:val="24"/>
          <w:szCs w:val="24"/>
        </w:rPr>
        <w:t xml:space="preserve">分，最高得</w:t>
      </w:r>
      <w:r>
        <w:rPr>
          <w:rFonts w:hint="eastAsia" w:ascii="宋体" w:hAnsi="宋体" w:eastAsia="宋体" w:cs="Times New Roman"/>
          <w:spacing w:val="13"/>
          <w:sz w:val="24"/>
          <w:szCs w:val="24"/>
        </w:rPr>
        <w:t xml:space="preserve">2</w:t>
      </w:r>
      <w:r>
        <w:rPr>
          <w:rFonts w:hint="default" w:ascii="宋体" w:hAnsi="宋体" w:eastAsia="宋体" w:cs="Times New Roman"/>
          <w:spacing w:val="13"/>
          <w:sz w:val="24"/>
          <w:szCs w:val="24"/>
        </w:rPr>
        <w:t xml:space="preserve">分（</w:t>
      </w:r>
      <w:r>
        <w:rPr>
          <w:rFonts w:hint="eastAsia" w:ascii="宋体" w:hAnsi="宋体" w:eastAsia="宋体" w:cs="Times New Roman"/>
          <w:spacing w:val="13"/>
          <w:sz w:val="24"/>
          <w:szCs w:val="24"/>
        </w:rPr>
        <w:t xml:space="preserve">请在投标文件中提供相关证书，并附该员工的社保缴费证明材料，不提供或提供不全的不得分</w:t>
      </w:r>
      <w:r>
        <w:rPr>
          <w:rFonts w:hint="default" w:ascii="宋体" w:hAnsi="宋体" w:eastAsia="宋体" w:cs="Times New Roman"/>
          <w:spacing w:val="13"/>
          <w:sz w:val="24"/>
          <w:szCs w:val="24"/>
        </w:rPr>
        <w:t xml:space="preserve">）</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4.</w:t>
      </w:r>
      <w:r>
        <w:rPr>
          <w:rFonts w:hint="eastAsia" w:ascii="宋体" w:hAnsi="宋体" w:eastAsia="宋体" w:cs="Times New Roman"/>
          <w:spacing w:val="13"/>
          <w:sz w:val="24"/>
          <w:szCs w:val="24"/>
        </w:rPr>
        <w:t xml:space="preserve">4</w:t>
      </w:r>
      <w:r>
        <w:rPr>
          <w:rFonts w:hint="default" w:ascii="宋体" w:hAnsi="宋体" w:eastAsia="宋体" w:cs="Times New Roman"/>
          <w:spacing w:val="13"/>
          <w:sz w:val="24"/>
          <w:szCs w:val="24"/>
        </w:rPr>
        <w:t xml:space="preserve">.项目实施小组其他成员获得的证书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项目实施小组其他成员中（不含项目负责人</w:t>
      </w:r>
      <w:r>
        <w:rPr>
          <w:rFonts w:hint="eastAsia" w:ascii="宋体" w:hAnsi="宋体" w:eastAsia="宋体" w:cs="Times New Roman"/>
          <w:spacing w:val="13"/>
          <w:sz w:val="24"/>
          <w:szCs w:val="24"/>
        </w:rPr>
        <w:t xml:space="preserve">，不少于4人</w:t>
      </w:r>
      <w:r>
        <w:rPr>
          <w:rFonts w:hint="default" w:ascii="宋体" w:hAnsi="宋体" w:eastAsia="宋体" w:cs="Times New Roman"/>
          <w:spacing w:val="13"/>
          <w:sz w:val="24"/>
          <w:szCs w:val="24"/>
        </w:rPr>
        <w:t xml:space="preserve">）具有</w:t>
      </w:r>
      <w:r>
        <w:rPr>
          <w:rFonts w:hint="eastAsia" w:ascii="宋体" w:hAnsi="宋体" w:eastAsia="宋体" w:cs="Times New Roman"/>
          <w:spacing w:val="13"/>
          <w:sz w:val="24"/>
          <w:szCs w:val="24"/>
        </w:rPr>
        <w:t xml:space="preserve">智能化相关专业中级及以上工程师证书的，</w:t>
      </w:r>
      <w:r>
        <w:rPr>
          <w:rFonts w:hint="default" w:ascii="宋体" w:hAnsi="宋体" w:eastAsia="宋体" w:cs="Times New Roman"/>
          <w:spacing w:val="13"/>
          <w:sz w:val="24"/>
          <w:szCs w:val="24"/>
        </w:rPr>
        <w:t xml:space="preserve">有一</w:t>
      </w:r>
      <w:r>
        <w:rPr>
          <w:rFonts w:hint="eastAsia" w:ascii="宋体" w:hAnsi="宋体" w:eastAsia="宋体" w:cs="Times New Roman"/>
          <w:spacing w:val="13"/>
          <w:sz w:val="24"/>
          <w:szCs w:val="24"/>
        </w:rPr>
        <w:t xml:space="preserve">个</w:t>
      </w:r>
      <w:r>
        <w:rPr>
          <w:rFonts w:hint="default" w:ascii="宋体" w:hAnsi="宋体" w:eastAsia="宋体" w:cs="Times New Roman"/>
          <w:spacing w:val="13"/>
          <w:sz w:val="24"/>
          <w:szCs w:val="24"/>
        </w:rPr>
        <w:t xml:space="preserve">得</w:t>
      </w:r>
      <w:r>
        <w:rPr>
          <w:rFonts w:hint="eastAsia" w:ascii="宋体" w:hAnsi="宋体" w:eastAsia="宋体" w:cs="Times New Roman"/>
          <w:spacing w:val="13"/>
          <w:sz w:val="24"/>
          <w:szCs w:val="24"/>
        </w:rPr>
        <w:t xml:space="preserve">0.5</w:t>
      </w:r>
      <w:r>
        <w:rPr>
          <w:rFonts w:hint="default" w:ascii="宋体" w:hAnsi="宋体" w:eastAsia="宋体" w:cs="Times New Roman"/>
          <w:spacing w:val="13"/>
          <w:sz w:val="24"/>
          <w:szCs w:val="24"/>
        </w:rPr>
        <w:t xml:space="preserve">分，最高得</w:t>
      </w:r>
      <w:r>
        <w:rPr>
          <w:rFonts w:hint="eastAsia" w:ascii="宋体" w:hAnsi="宋体" w:eastAsia="宋体" w:cs="Times New Roman"/>
          <w:spacing w:val="13"/>
          <w:sz w:val="24"/>
          <w:szCs w:val="24"/>
        </w:rPr>
        <w:t xml:space="preserve">2</w:t>
      </w:r>
      <w:r>
        <w:rPr>
          <w:rFonts w:hint="default" w:ascii="宋体" w:hAnsi="宋体" w:eastAsia="宋体" w:cs="Times New Roman"/>
          <w:spacing w:val="13"/>
          <w:sz w:val="24"/>
          <w:szCs w:val="24"/>
        </w:rPr>
        <w:t xml:space="preserve">分。（</w:t>
      </w:r>
      <w:r>
        <w:rPr>
          <w:rFonts w:hint="eastAsia" w:ascii="宋体" w:hAnsi="宋体" w:eastAsia="宋体" w:cs="Times New Roman"/>
          <w:spacing w:val="13"/>
          <w:sz w:val="24"/>
          <w:szCs w:val="24"/>
        </w:rPr>
        <w:t xml:space="preserve">请在投标文件中提供相关证书，并附该员工的社保缴费证明材料，不提供或提供不全的不得分</w:t>
      </w:r>
      <w:r>
        <w:rPr>
          <w:rFonts w:hint="default" w:ascii="宋体" w:hAnsi="宋体" w:eastAsia="宋体" w:cs="Times New Roman"/>
          <w:spacing w:val="13"/>
          <w:sz w:val="24"/>
          <w:szCs w:val="24"/>
        </w:rPr>
        <w:t xml:space="preserve">提供的不得分）</w:t>
      </w:r>
      <w:r/>
    </w:p>
    <w:p>
      <w:pPr>
        <w:ind w:left="21" w:firstLine="501"/>
        <w:jc w:val="left"/>
        <w:spacing w:before="201" w:line="480" w:lineRule="exact"/>
        <w:widowControl/>
        <w:rPr>
          <w:rFonts w:hint="default" w:ascii="宋体" w:hAnsi="宋体" w:eastAsia="宋体" w:cs="Times New Roman"/>
          <w:spacing w:val="13"/>
          <w:sz w:val="24"/>
          <w:szCs w:val="24"/>
        </w:rPr>
      </w:pPr>
      <w:r>
        <w:rPr>
          <w:rFonts w:hint="eastAsia" w:ascii="宋体" w:hAnsi="宋体" w:eastAsia="宋体" w:cs="Times New Roman"/>
          <w:b/>
          <w:spacing w:val="4"/>
          <w:sz w:val="24"/>
          <w:szCs w:val="24"/>
        </w:rPr>
        <w:t xml:space="preserve">5其他分3.0分</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5.1</w:t>
      </w:r>
      <w:r>
        <w:rPr>
          <w:rFonts w:hint="default" w:ascii="宋体" w:hAnsi="宋体" w:eastAsia="宋体" w:cs="Times New Roman"/>
          <w:spacing w:val="13"/>
          <w:sz w:val="24"/>
          <w:szCs w:val="24"/>
        </w:rPr>
        <w:t xml:space="preserve">环境标志产品</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评委根据其投报产品是否属于环境标志产品政府采购品目清单进行评分，有一个得1分，最多得3分（请在投标文件中提供国家确定的认证机构出具的、处于有效期之内的环境标志产品认证证书（若证书有附件（附录）的，附件（附录）须随证书一起提供），不提供的不得分）。</w:t>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7" w:name="EB5003b8401c234a0bb384207e4933917f"/>
      <w:r/>
      <w:bookmarkEnd w:id="187"/>
      <w:r/>
      <w:r/>
    </w:p>
    <w:p>
      <w:pPr>
        <w:pStyle w:val="726"/>
        <w:rPr>
          <w:rFonts w:hint="default"/>
        </w:rPr>
      </w:pPr>
      <w:r>
        <w:rPr>
          <w:rFonts w:hint="default"/>
        </w:rPr>
      </w:r>
      <w:r/>
    </w:p>
    <w:p>
      <w:pPr>
        <w:pStyle w:val="919"/>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68"/>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46"/>
        <w:jc w:val="center"/>
        <w:spacing w:after="400"/>
        <w:rPr>
          <w:rStyle w:val="912"/>
          <w:rFonts w:ascii="宋体" w:hAnsi="宋体"/>
          <w:color w:val="auto"/>
          <w:sz w:val="40"/>
          <w:szCs w:val="40"/>
          <w:highlight w:val="none"/>
        </w:rPr>
        <w:outlineLvl w:val="0"/>
      </w:pPr>
      <w:r/>
      <w:bookmarkStart w:id="188" w:name="_Toc29010"/>
      <w:r/>
      <w:bookmarkStart w:id="189" w:name="_Toc290"/>
      <w:r/>
      <w:bookmarkStart w:id="190" w:name="_Toc653"/>
      <w:r/>
      <w:bookmarkStart w:id="191" w:name="_Toc18049"/>
      <w:r>
        <w:rPr>
          <w:rStyle w:val="912"/>
          <w:rFonts w:ascii="宋体" w:hAnsi="宋体"/>
          <w:color w:val="auto"/>
          <w:sz w:val="40"/>
          <w:szCs w:val="40"/>
          <w:highlight w:val="none"/>
        </w:rPr>
        <w:t xml:space="preserve">投标主要文件目录</w:t>
      </w:r>
      <w:bookmarkEnd w:id="188"/>
      <w:r/>
      <w:bookmarkEnd w:id="189"/>
      <w:r/>
      <w:bookmarkEnd w:id="190"/>
      <w:r/>
      <w:bookmarkEnd w:id="191"/>
      <w:r/>
      <w:r/>
    </w:p>
    <w:p>
      <w:pPr>
        <w:pStyle w:val="946"/>
        <w:spacing w:before="240" w:after="240" w:line="200" w:lineRule="atLeast"/>
        <w:rPr>
          <w:rStyle w:val="912"/>
          <w:rFonts w:ascii="宋体" w:hAnsi="宋体"/>
          <w:color w:val="auto"/>
          <w:sz w:val="24"/>
          <w:szCs w:val="24"/>
          <w:highlight w:val="none"/>
        </w:rPr>
        <w:outlineLvl w:val="0"/>
      </w:pPr>
      <w:r/>
      <w:bookmarkStart w:id="192" w:name="_Toc14924"/>
      <w:r/>
      <w:bookmarkStart w:id="193" w:name="_Toc8210"/>
      <w:r/>
      <w:bookmarkStart w:id="194" w:name="_Toc15242"/>
      <w:r>
        <w:rPr>
          <w:rStyle w:val="912"/>
          <w:rFonts w:ascii="宋体" w:hAnsi="宋体"/>
          <w:color w:val="auto"/>
          <w:sz w:val="24"/>
          <w:szCs w:val="24"/>
          <w:highlight w:val="none"/>
        </w:rPr>
        <w:t xml:space="preserve">一、封面</w:t>
      </w:r>
      <w:bookmarkEnd w:id="192"/>
      <w:r/>
      <w:bookmarkEnd w:id="193"/>
      <w:r/>
      <w:bookmarkEnd w:id="194"/>
      <w:r/>
      <w:r/>
    </w:p>
    <w:p>
      <w:pPr>
        <w:pStyle w:val="946"/>
        <w:spacing w:before="240" w:after="240" w:line="200" w:lineRule="atLeast"/>
        <w:rPr>
          <w:rStyle w:val="912"/>
          <w:rFonts w:ascii="宋体" w:hAnsi="宋体"/>
          <w:color w:val="auto"/>
          <w:sz w:val="24"/>
          <w:szCs w:val="24"/>
          <w:highlight w:val="none"/>
        </w:rPr>
        <w:outlineLvl w:val="0"/>
      </w:pPr>
      <w:r/>
      <w:bookmarkStart w:id="195" w:name="_Toc10768"/>
      <w:r/>
      <w:bookmarkStart w:id="196" w:name="_Toc9750"/>
      <w:r/>
      <w:bookmarkStart w:id="197" w:name="_Toc8337"/>
      <w:r>
        <w:rPr>
          <w:rStyle w:val="912"/>
          <w:rFonts w:ascii="宋体" w:hAnsi="宋体"/>
          <w:color w:val="auto"/>
          <w:sz w:val="24"/>
          <w:szCs w:val="24"/>
          <w:highlight w:val="none"/>
        </w:rPr>
        <w:t xml:space="preserve">二、投标函</w:t>
      </w:r>
      <w:bookmarkEnd w:id="195"/>
      <w:r/>
      <w:bookmarkEnd w:id="196"/>
      <w:r/>
      <w:bookmarkEnd w:id="197"/>
      <w:r/>
      <w:r/>
    </w:p>
    <w:p>
      <w:pPr>
        <w:pStyle w:val="946"/>
        <w:spacing w:before="240" w:after="240" w:line="200" w:lineRule="atLeast"/>
        <w:rPr>
          <w:rStyle w:val="912"/>
          <w:rFonts w:ascii="宋体" w:hAnsi="宋体"/>
          <w:color w:val="auto"/>
          <w:sz w:val="24"/>
          <w:szCs w:val="24"/>
          <w:highlight w:val="none"/>
        </w:rPr>
        <w:outlineLvl w:val="0"/>
      </w:pPr>
      <w:r/>
      <w:bookmarkStart w:id="198" w:name="_Toc1247"/>
      <w:r/>
      <w:bookmarkStart w:id="199" w:name="_Toc5193"/>
      <w:r/>
      <w:bookmarkStart w:id="200" w:name="_Toc31912"/>
      <w:r>
        <w:rPr>
          <w:rStyle w:val="912"/>
          <w:rFonts w:ascii="宋体" w:hAnsi="宋体"/>
          <w:color w:val="auto"/>
          <w:sz w:val="24"/>
          <w:szCs w:val="24"/>
          <w:highlight w:val="none"/>
        </w:rPr>
        <w:t xml:space="preserve">三、开标一览表</w:t>
      </w:r>
      <w:bookmarkEnd w:id="198"/>
      <w:r/>
      <w:bookmarkEnd w:id="199"/>
      <w:r/>
      <w:bookmarkEnd w:id="200"/>
      <w:r/>
      <w:r/>
    </w:p>
    <w:p>
      <w:pPr>
        <w:pStyle w:val="946"/>
        <w:spacing w:before="240" w:after="240" w:line="200" w:lineRule="atLeast"/>
        <w:rPr>
          <w:rStyle w:val="912"/>
          <w:rFonts w:ascii="宋体" w:hAnsi="宋体"/>
          <w:color w:val="auto"/>
          <w:sz w:val="24"/>
          <w:szCs w:val="24"/>
          <w:highlight w:val="none"/>
        </w:rPr>
        <w:outlineLvl w:val="0"/>
      </w:pPr>
      <w:r/>
      <w:bookmarkStart w:id="201" w:name="_Toc25567"/>
      <w:r/>
      <w:bookmarkStart w:id="202" w:name="_Toc26828"/>
      <w:r/>
      <w:bookmarkStart w:id="203" w:name="_Toc12064"/>
      <w:r>
        <w:rPr>
          <w:rStyle w:val="912"/>
          <w:rFonts w:ascii="宋体" w:hAnsi="宋体"/>
          <w:color w:val="auto"/>
          <w:sz w:val="24"/>
          <w:szCs w:val="24"/>
          <w:highlight w:val="none"/>
        </w:rPr>
        <w:t xml:space="preserve">四、资格证明文件</w:t>
      </w:r>
      <w:bookmarkEnd w:id="201"/>
      <w:r/>
      <w:bookmarkEnd w:id="202"/>
      <w:r/>
      <w:bookmarkEnd w:id="203"/>
      <w:r/>
      <w:r/>
    </w:p>
    <w:p>
      <w:pPr>
        <w:pStyle w:val="947"/>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12"/>
          <w:rFonts w:ascii="宋体" w:hAnsi="宋体"/>
          <w:color w:val="auto"/>
          <w:sz w:val="24"/>
          <w:szCs w:val="24"/>
          <w:highlight w:val="none"/>
        </w:rPr>
        <w:t xml:space="preserve">第四章项目需求中实质性要求响应对照表</w:t>
      </w:r>
      <w:r/>
    </w:p>
    <w:p>
      <w:pPr>
        <w:pStyle w:val="946"/>
        <w:spacing w:before="240" w:after="240" w:line="200" w:lineRule="atLeast"/>
        <w:rPr>
          <w:rStyle w:val="912"/>
          <w:rFonts w:hint="eastAsia" w:ascii="宋体" w:hAnsi="宋体"/>
          <w:color w:val="auto"/>
          <w:sz w:val="24"/>
          <w:szCs w:val="24"/>
          <w:highlight w:val="none"/>
        </w:rPr>
        <w:outlineLvl w:val="0"/>
      </w:pPr>
      <w:r/>
      <w:bookmarkStart w:id="204" w:name="_Toc10544"/>
      <w:r/>
      <w:bookmarkStart w:id="205" w:name="_Toc1004"/>
      <w:r>
        <w:rPr>
          <w:rStyle w:val="912"/>
          <w:rFonts w:hint="eastAsia" w:ascii="宋体" w:hAnsi="宋体"/>
          <w:color w:val="auto"/>
          <w:sz w:val="24"/>
          <w:szCs w:val="24"/>
          <w:highlight w:val="none"/>
        </w:rPr>
        <w:t xml:space="preserve">六、投标配置及分项报价表</w:t>
      </w:r>
      <w:bookmarkEnd w:id="204"/>
      <w:r/>
      <w:bookmarkEnd w:id="205"/>
      <w:r/>
      <w:r/>
    </w:p>
    <w:p>
      <w:pPr>
        <w:pStyle w:val="946"/>
        <w:spacing w:before="240" w:after="240" w:line="200" w:lineRule="atLeast"/>
        <w:rPr>
          <w:rStyle w:val="912"/>
          <w:rFonts w:hint="eastAsia" w:ascii="宋体" w:hAnsi="宋体"/>
          <w:color w:val="auto"/>
          <w:sz w:val="24"/>
          <w:szCs w:val="24"/>
          <w:highlight w:val="none"/>
        </w:rPr>
        <w:outlineLvl w:val="0"/>
      </w:pPr>
      <w:r/>
      <w:bookmarkStart w:id="206" w:name="_Toc5514"/>
      <w:r/>
      <w:bookmarkStart w:id="207" w:name="_Toc12806"/>
      <w:r>
        <w:rPr>
          <w:rStyle w:val="912"/>
          <w:rFonts w:hint="eastAsia" w:ascii="宋体" w:hAnsi="宋体"/>
          <w:color w:val="auto"/>
          <w:sz w:val="24"/>
          <w:szCs w:val="24"/>
          <w:highlight w:val="none"/>
        </w:rPr>
        <w:t xml:space="preserve">七、常用零件及耗材报价表</w:t>
      </w:r>
      <w:bookmarkEnd w:id="206"/>
      <w:r/>
      <w:bookmarkEnd w:id="207"/>
      <w:r/>
      <w:r/>
    </w:p>
    <w:p>
      <w:pPr>
        <w:pStyle w:val="946"/>
        <w:spacing w:before="240" w:after="240" w:line="200" w:lineRule="atLeast"/>
        <w:rPr>
          <w:rStyle w:val="912"/>
          <w:rFonts w:hint="eastAsia" w:ascii="宋体" w:hAnsi="宋体"/>
          <w:color w:val="auto"/>
          <w:sz w:val="24"/>
          <w:szCs w:val="24"/>
          <w:highlight w:val="none"/>
        </w:rPr>
        <w:outlineLvl w:val="0"/>
      </w:pPr>
      <w:r/>
      <w:bookmarkStart w:id="208" w:name="_Toc25418"/>
      <w:r/>
      <w:bookmarkStart w:id="209" w:name="_Toc5199"/>
      <w:r>
        <w:rPr>
          <w:rStyle w:val="912"/>
          <w:rFonts w:hint="eastAsia" w:ascii="宋体" w:hAnsi="宋体"/>
          <w:color w:val="auto"/>
          <w:sz w:val="24"/>
          <w:szCs w:val="24"/>
          <w:highlight w:val="none"/>
        </w:rPr>
        <w:t xml:space="preserve">八、技术参数响应及偏离表</w:t>
      </w:r>
      <w:bookmarkEnd w:id="208"/>
      <w:r/>
      <w:bookmarkEnd w:id="209"/>
      <w:r/>
      <w:r/>
    </w:p>
    <w:p>
      <w:pPr>
        <w:pStyle w:val="946"/>
        <w:spacing w:before="240" w:after="240" w:line="200" w:lineRule="atLeast"/>
        <w:rPr>
          <w:rStyle w:val="912"/>
          <w:rFonts w:hint="eastAsia" w:ascii="宋体" w:hAnsi="宋体"/>
          <w:color w:val="auto"/>
          <w:sz w:val="24"/>
          <w:szCs w:val="24"/>
          <w:highlight w:val="none"/>
        </w:rPr>
        <w:outlineLvl w:val="0"/>
      </w:pPr>
      <w:r/>
      <w:bookmarkStart w:id="210" w:name="_Toc3301"/>
      <w:r/>
      <w:bookmarkStart w:id="211" w:name="_Toc27270"/>
      <w:r>
        <w:rPr>
          <w:rStyle w:val="912"/>
          <w:rFonts w:hint="eastAsia" w:ascii="宋体" w:hAnsi="宋体"/>
          <w:color w:val="auto"/>
          <w:sz w:val="24"/>
          <w:szCs w:val="24"/>
          <w:highlight w:val="none"/>
        </w:rPr>
        <w:t xml:space="preserve">九、服务方案</w:t>
      </w:r>
      <w:bookmarkEnd w:id="210"/>
      <w:r/>
      <w:bookmarkEnd w:id="211"/>
      <w:r/>
      <w:r/>
    </w:p>
    <w:p>
      <w:pPr>
        <w:pStyle w:val="946"/>
        <w:spacing w:before="240" w:after="240" w:line="200" w:lineRule="atLeast"/>
        <w:rPr>
          <w:rStyle w:val="912"/>
          <w:rFonts w:hint="eastAsia" w:ascii="宋体" w:hAnsi="宋体"/>
          <w:color w:val="auto"/>
          <w:sz w:val="24"/>
          <w:szCs w:val="24"/>
          <w:highlight w:val="none"/>
        </w:rPr>
        <w:outlineLvl w:val="0"/>
      </w:pPr>
      <w:r/>
      <w:bookmarkStart w:id="212" w:name="_Toc12514"/>
      <w:r/>
      <w:bookmarkStart w:id="213" w:name="_Toc14133"/>
      <w:r>
        <w:rPr>
          <w:rStyle w:val="912"/>
          <w:rFonts w:hint="eastAsia" w:ascii="宋体" w:hAnsi="宋体"/>
          <w:color w:val="auto"/>
          <w:sz w:val="24"/>
          <w:szCs w:val="24"/>
          <w:highlight w:val="none"/>
        </w:rPr>
        <w:t xml:space="preserve">十、投标人情况介绍</w:t>
      </w:r>
      <w:bookmarkEnd w:id="212"/>
      <w:r/>
      <w:bookmarkEnd w:id="213"/>
      <w:r/>
      <w:r/>
    </w:p>
    <w:p>
      <w:pPr>
        <w:pStyle w:val="946"/>
        <w:spacing w:before="240" w:after="240" w:line="200" w:lineRule="atLeast"/>
        <w:rPr>
          <w:rStyle w:val="912"/>
          <w:rFonts w:hint="eastAsia" w:ascii="宋体" w:hAnsi="宋体"/>
          <w:color w:val="auto"/>
          <w:sz w:val="24"/>
          <w:szCs w:val="24"/>
          <w:highlight w:val="none"/>
        </w:rPr>
        <w:outlineLvl w:val="0"/>
      </w:pPr>
      <w:r/>
      <w:bookmarkStart w:id="214" w:name="_Toc113"/>
      <w:r/>
      <w:bookmarkStart w:id="215" w:name="_Toc11742"/>
      <w:r>
        <w:rPr>
          <w:rStyle w:val="912"/>
          <w:rFonts w:hint="eastAsia" w:ascii="宋体" w:hAnsi="宋体"/>
          <w:color w:val="auto"/>
          <w:sz w:val="24"/>
          <w:szCs w:val="24"/>
          <w:highlight w:val="none"/>
        </w:rPr>
        <w:t xml:space="preserve">十一、中小企业声明函等</w:t>
      </w:r>
      <w:bookmarkEnd w:id="214"/>
      <w:r/>
      <w:bookmarkEnd w:id="215"/>
      <w:r/>
      <w:r/>
    </w:p>
    <w:p>
      <w:pPr>
        <w:pStyle w:val="946"/>
        <w:spacing w:before="240" w:after="240" w:line="200" w:lineRule="atLeast"/>
        <w:rPr>
          <w:rStyle w:val="912"/>
          <w:rFonts w:hint="eastAsia" w:ascii="宋体" w:hAnsi="宋体"/>
          <w:sz w:val="24"/>
          <w:szCs w:val="24"/>
        </w:rPr>
        <w:outlineLvl w:val="0"/>
      </w:pPr>
      <w:r>
        <w:rPr>
          <w:rStyle w:val="912"/>
          <w:rFonts w:hint="eastAsia" w:ascii="宋体" w:hAnsi="宋体"/>
          <w:sz w:val="24"/>
          <w:szCs w:val="24"/>
        </w:rPr>
        <w:t xml:space="preserve">十</w:t>
      </w:r>
      <w:r>
        <w:rPr>
          <w:rStyle w:val="912"/>
          <w:rFonts w:hint="eastAsia" w:ascii="宋体" w:hAnsi="宋体"/>
          <w:color w:val="auto"/>
          <w:sz w:val="24"/>
          <w:szCs w:val="24"/>
          <w:highlight w:val="none"/>
        </w:rPr>
        <w:t xml:space="preserve">二</w:t>
      </w:r>
      <w:r>
        <w:rPr>
          <w:rStyle w:val="912"/>
          <w:rFonts w:hint="eastAsia" w:ascii="宋体" w:hAnsi="宋体"/>
          <w:sz w:val="24"/>
          <w:szCs w:val="24"/>
        </w:rPr>
        <w:t xml:space="preserve">、关于符合本国产品标准的声明函</w:t>
      </w:r>
      <w:r/>
    </w:p>
    <w:p>
      <w:pPr>
        <w:pStyle w:val="946"/>
        <w:spacing w:before="240" w:after="240" w:line="200" w:lineRule="atLeast"/>
        <w:rPr>
          <w:rStyle w:val="912"/>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48"/>
        <w:rPr>
          <w:rStyle w:val="912"/>
          <w:color w:val="auto"/>
          <w:highlight w:val="none"/>
        </w:rPr>
        <w:outlineLvl w:val="0"/>
      </w:pPr>
      <w:r>
        <w:rPr>
          <w:rStyle w:val="912"/>
          <w:color w:val="auto"/>
          <w:highlight w:val="none"/>
        </w:rPr>
        <w:br w:type="page" w:clear="all"/>
      </w:r>
      <w:bookmarkStart w:id="216" w:name="_Toc11328"/>
      <w:r/>
      <w:bookmarkStart w:id="217" w:name="_Toc795"/>
      <w:r/>
      <w:bookmarkStart w:id="218" w:name="_Toc28279"/>
      <w:r/>
      <w:bookmarkStart w:id="219" w:name="_Toc1406"/>
      <w:r/>
      <w:bookmarkStart w:id="220" w:name="_Toc21398"/>
      <w:r>
        <w:rPr>
          <w:rStyle w:val="912"/>
          <w:rFonts w:ascii="宋体" w:hAnsi="宋体"/>
          <w:b/>
          <w:color w:val="auto"/>
          <w:sz w:val="32"/>
          <w:highlight w:val="none"/>
        </w:rPr>
        <w:t xml:space="preserve">一、封面</w:t>
      </w:r>
      <w:bookmarkEnd w:id="216"/>
      <w:r/>
      <w:bookmarkEnd w:id="217"/>
      <w:r/>
      <w:bookmarkEnd w:id="218"/>
      <w:r/>
      <w:bookmarkEnd w:id="219"/>
      <w:r/>
      <w:bookmarkEnd w:id="220"/>
      <w:r/>
      <w:r/>
    </w:p>
    <w:p>
      <w:pPr>
        <w:pStyle w:val="949"/>
        <w:spacing w:line="440" w:lineRule="exact"/>
        <w:rPr>
          <w:rStyle w:val="912"/>
          <w:rFonts w:ascii="宋体" w:hAnsi="宋体"/>
          <w:color w:val="auto"/>
          <w:highlight w:val="none"/>
        </w:rPr>
      </w:pPr>
      <w:r>
        <w:rPr>
          <w:rStyle w:val="912"/>
          <w:rFonts w:ascii="宋体" w:hAnsi="宋体"/>
          <w:color w:val="auto"/>
          <w:highlight w:val="none"/>
        </w:rPr>
        <w:t xml:space="preserve">﻿ </w:t>
      </w:r>
      <w:r/>
    </w:p>
    <w:p>
      <w:pPr>
        <w:pStyle w:val="949"/>
        <w:jc w:val="center"/>
        <w:spacing w:before="540" w:after="540"/>
        <w:rPr>
          <w:rStyle w:val="912"/>
          <w:rFonts w:ascii="宋体" w:hAnsi="宋体"/>
          <w:color w:val="auto"/>
          <w:sz w:val="54"/>
          <w:szCs w:val="54"/>
          <w:highlight w:val="none"/>
        </w:rPr>
        <w:outlineLvl w:val="1"/>
      </w:pPr>
      <w:r/>
      <w:bookmarkStart w:id="221" w:name="_Toc5639"/>
      <w:r>
        <w:rPr>
          <w:rStyle w:val="912"/>
          <w:rFonts w:ascii="宋体" w:hAnsi="宋体"/>
          <w:color w:val="auto"/>
          <w:sz w:val="54"/>
          <w:szCs w:val="54"/>
          <w:highlight w:val="none"/>
        </w:rPr>
        <w:t xml:space="preserve">投 标 文 件</w:t>
      </w:r>
      <w:bookmarkEnd w:id="221"/>
      <w:r/>
      <w:r/>
    </w:p>
    <w:p>
      <w:pPr>
        <w:pStyle w:val="949"/>
        <w:spacing w:before="240" w:after="240"/>
        <w:rPr>
          <w:rStyle w:val="912"/>
          <w:rFonts w:ascii="宋体" w:hAnsi="宋体"/>
          <w:color w:val="auto"/>
          <w:highlight w:val="none"/>
        </w:rPr>
      </w:pPr>
      <w:r>
        <w:rPr>
          <w:rStyle w:val="912"/>
          <w:rFonts w:ascii="宋体" w:hAnsi="宋体"/>
          <w:color w:val="auto"/>
          <w:highlight w:val="none"/>
        </w:rPr>
        <w:t xml:space="preserve"> </w:t>
      </w:r>
      <w:r/>
    </w:p>
    <w:p>
      <w:pPr>
        <w:pStyle w:val="949"/>
        <w:jc w:val="center"/>
        <w:spacing w:before="400" w:after="400"/>
        <w:rPr>
          <w:rStyle w:val="912"/>
          <w:rFonts w:ascii="宋体" w:hAnsi="宋体"/>
          <w:color w:val="auto"/>
          <w:sz w:val="40"/>
          <w:szCs w:val="40"/>
          <w:highlight w:val="none"/>
        </w:rPr>
      </w:pPr>
      <w:r>
        <w:rPr>
          <w:rStyle w:val="912"/>
          <w:rFonts w:ascii="宋体" w:hAnsi="宋体"/>
          <w:color w:val="auto"/>
          <w:sz w:val="40"/>
          <w:szCs w:val="40"/>
          <w:highlight w:val="none"/>
        </w:rPr>
        <w:t xml:space="preserve"> </w:t>
      </w:r>
      <w:r/>
    </w:p>
    <w:p>
      <w:pPr>
        <w:pStyle w:val="949"/>
        <w:spacing w:before="240" w:after="240"/>
        <w:rPr>
          <w:rStyle w:val="912"/>
          <w:rFonts w:ascii="宋体" w:hAnsi="宋体"/>
          <w:color w:val="auto"/>
          <w:highlight w:val="none"/>
        </w:rPr>
      </w:pPr>
      <w:r>
        <w:rPr>
          <w:rStyle w:val="912"/>
          <w:rFonts w:ascii="宋体" w:hAnsi="宋体"/>
          <w:color w:val="auto"/>
          <w:highlight w:val="none"/>
        </w:rPr>
        <w:t xml:space="preserve"> </w:t>
      </w:r>
      <w:r/>
    </w:p>
    <w:p>
      <w:pPr>
        <w:pStyle w:val="949"/>
        <w:jc w:val="center"/>
        <w:spacing w:before="360" w:after="360"/>
        <w:rPr>
          <w:rStyle w:val="912"/>
          <w:rFonts w:ascii="宋体" w:hAnsi="宋体"/>
          <w:color w:val="auto"/>
          <w:sz w:val="36"/>
          <w:szCs w:val="36"/>
          <w:highlight w:val="none"/>
        </w:rPr>
        <w:outlineLvl w:val="1"/>
      </w:pPr>
      <w:r/>
      <w:bookmarkStart w:id="222" w:name="_Toc26027"/>
      <w:r>
        <w:rPr>
          <w:rStyle w:val="912"/>
          <w:rFonts w:ascii="宋体" w:hAnsi="宋体"/>
          <w:color w:val="auto"/>
          <w:sz w:val="36"/>
          <w:szCs w:val="36"/>
          <w:highlight w:val="none"/>
        </w:rPr>
        <w:t xml:space="preserve">项目名称：   </w:t>
      </w:r>
      <w:bookmarkEnd w:id="222"/>
      <w:r/>
      <w:r/>
    </w:p>
    <w:p>
      <w:pPr>
        <w:pStyle w:val="949"/>
        <w:jc w:val="center"/>
        <w:spacing w:before="360" w:after="360"/>
        <w:rPr>
          <w:rStyle w:val="912"/>
          <w:rFonts w:ascii="宋体" w:hAnsi="宋体"/>
          <w:color w:val="auto"/>
          <w:sz w:val="36"/>
          <w:szCs w:val="36"/>
          <w:highlight w:val="none"/>
        </w:rPr>
        <w:outlineLvl w:val="1"/>
      </w:pPr>
      <w:r/>
      <w:bookmarkStart w:id="223" w:name="_Toc5574"/>
      <w:r>
        <w:rPr>
          <w:rStyle w:val="912"/>
          <w:rFonts w:ascii="宋体" w:hAnsi="宋体"/>
          <w:color w:val="auto"/>
          <w:sz w:val="36"/>
          <w:szCs w:val="36"/>
          <w:highlight w:val="none"/>
        </w:rPr>
        <w:t xml:space="preserve">招标编号：   </w:t>
      </w:r>
      <w:bookmarkEnd w:id="223"/>
      <w:r/>
      <w:r/>
    </w:p>
    <w:p>
      <w:pPr>
        <w:pStyle w:val="949"/>
        <w:jc w:val="center"/>
        <w:spacing w:before="360" w:after="360"/>
        <w:rPr>
          <w:rStyle w:val="912"/>
          <w:rFonts w:ascii="宋体" w:hAnsi="宋体"/>
          <w:color w:val="auto"/>
          <w:sz w:val="36"/>
          <w:szCs w:val="36"/>
          <w:highlight w:val="none"/>
        </w:rPr>
      </w:pPr>
      <w:r>
        <w:rPr>
          <w:rStyle w:val="912"/>
          <w:rFonts w:ascii="宋体" w:hAnsi="宋体"/>
          <w:color w:val="auto"/>
          <w:sz w:val="36"/>
          <w:szCs w:val="36"/>
          <w:highlight w:val="none"/>
        </w:rPr>
        <w:t xml:space="preserve"> </w:t>
      </w:r>
      <w:r/>
    </w:p>
    <w:p>
      <w:pPr>
        <w:pStyle w:val="949"/>
        <w:jc w:val="center"/>
        <w:spacing w:before="360" w:after="360"/>
        <w:rPr>
          <w:rStyle w:val="912"/>
          <w:rFonts w:ascii="宋体" w:hAnsi="宋体"/>
          <w:color w:val="auto"/>
          <w:sz w:val="36"/>
          <w:szCs w:val="36"/>
          <w:highlight w:val="none"/>
        </w:rPr>
      </w:pPr>
      <w:r>
        <w:rPr>
          <w:rStyle w:val="912"/>
          <w:rFonts w:ascii="宋体" w:hAnsi="宋体"/>
          <w:color w:val="auto"/>
          <w:sz w:val="36"/>
          <w:szCs w:val="36"/>
          <w:highlight w:val="none"/>
        </w:rPr>
        <w:t xml:space="preserve"> </w:t>
      </w:r>
      <w:r/>
    </w:p>
    <w:p>
      <w:pPr>
        <w:pStyle w:val="949"/>
        <w:jc w:val="center"/>
        <w:spacing w:before="360" w:after="360"/>
        <w:rPr>
          <w:rStyle w:val="912"/>
          <w:rFonts w:ascii="宋体" w:hAnsi="宋体"/>
          <w:color w:val="auto"/>
          <w:sz w:val="36"/>
          <w:szCs w:val="36"/>
          <w:highlight w:val="none"/>
        </w:rPr>
        <w:outlineLvl w:val="1"/>
      </w:pPr>
      <w:r/>
      <w:bookmarkStart w:id="224" w:name="_Toc5779"/>
      <w:r>
        <w:rPr>
          <w:rStyle w:val="912"/>
          <w:rFonts w:ascii="宋体" w:hAnsi="宋体"/>
          <w:color w:val="auto"/>
          <w:sz w:val="36"/>
          <w:szCs w:val="36"/>
          <w:highlight w:val="none"/>
        </w:rPr>
        <w:t xml:space="preserve">投标人名称：   </w:t>
      </w:r>
      <w:bookmarkEnd w:id="224"/>
      <w:r/>
      <w:r/>
    </w:p>
    <w:p>
      <w:pPr>
        <w:pStyle w:val="949"/>
        <w:jc w:val="center"/>
        <w:spacing w:before="360" w:after="360"/>
        <w:rPr>
          <w:rStyle w:val="912"/>
          <w:rFonts w:ascii="宋体" w:hAnsi="宋体"/>
          <w:color w:val="auto"/>
          <w:sz w:val="36"/>
          <w:szCs w:val="36"/>
          <w:highlight w:val="none"/>
        </w:rPr>
        <w:outlineLvl w:val="1"/>
      </w:pPr>
      <w:r/>
      <w:bookmarkStart w:id="225" w:name="_Toc22080"/>
      <w:r>
        <w:rPr>
          <w:rStyle w:val="912"/>
          <w:rFonts w:ascii="宋体" w:hAnsi="宋体"/>
          <w:color w:val="auto"/>
          <w:sz w:val="36"/>
          <w:szCs w:val="36"/>
          <w:highlight w:val="none"/>
        </w:rPr>
        <w:t xml:space="preserve">日期：   </w:t>
      </w:r>
      <w:bookmarkEnd w:id="225"/>
      <w:r/>
      <w:r/>
    </w:p>
    <w:p>
      <w:pPr>
        <w:pStyle w:val="949"/>
        <w:jc w:val="center"/>
        <w:spacing w:before="360" w:after="360"/>
        <w:rPr>
          <w:rStyle w:val="912"/>
          <w:rFonts w:ascii="宋体" w:hAnsi="宋体"/>
          <w:color w:val="auto"/>
          <w:sz w:val="36"/>
          <w:szCs w:val="36"/>
          <w:highlight w:val="none"/>
        </w:rPr>
      </w:pPr>
      <w:r>
        <w:rPr>
          <w:rStyle w:val="912"/>
          <w:rFonts w:ascii="宋体" w:hAnsi="宋体"/>
          <w:color w:val="auto"/>
          <w:sz w:val="36"/>
          <w:szCs w:val="36"/>
          <w:highlight w:val="none"/>
        </w:rPr>
        <w:t xml:space="preserve"> </w:t>
      </w:r>
      <w:r/>
    </w:p>
    <w:p>
      <w:pPr>
        <w:pStyle w:val="949"/>
        <w:spacing w:before="240" w:after="240"/>
        <w:rPr>
          <w:rStyle w:val="912"/>
          <w:rFonts w:ascii="宋体" w:hAnsi="宋体"/>
          <w:color w:val="auto"/>
          <w:highlight w:val="none"/>
        </w:rPr>
      </w:pPr>
      <w:r>
        <w:rPr>
          <w:rStyle w:val="912"/>
          <w:rFonts w:ascii="宋体" w:hAnsi="宋体"/>
          <w:color w:val="auto"/>
          <w:highlight w:val="none"/>
        </w:rPr>
        <w:t xml:space="preserve"> </w:t>
      </w:r>
      <w:r/>
    </w:p>
    <w:p>
      <w:pPr>
        <w:pStyle w:val="950"/>
        <w:rPr>
          <w:rStyle w:val="912"/>
          <w:color w:val="auto"/>
          <w:highlight w:val="none"/>
        </w:rPr>
        <w:outlineLvl w:val="0"/>
      </w:pPr>
      <w:r>
        <w:rPr>
          <w:rStyle w:val="912"/>
          <w:color w:val="auto"/>
          <w:highlight w:val="none"/>
        </w:rPr>
        <w:br w:type="page" w:clear="all"/>
      </w:r>
      <w:bookmarkStart w:id="226" w:name="_Toc13967"/>
      <w:r/>
      <w:bookmarkStart w:id="227" w:name="_Toc24046"/>
      <w:r/>
      <w:bookmarkStart w:id="228" w:name="_Toc12462"/>
      <w:r/>
      <w:bookmarkStart w:id="229" w:name="_Toc15138"/>
      <w:r/>
      <w:bookmarkStart w:id="230" w:name="_Toc22409"/>
      <w:r>
        <w:rPr>
          <w:rStyle w:val="912"/>
          <w:rFonts w:ascii="宋体" w:hAnsi="宋体"/>
          <w:b/>
          <w:color w:val="auto"/>
          <w:sz w:val="32"/>
          <w:highlight w:val="none"/>
        </w:rPr>
        <w:t xml:space="preserve">二、投标函格式</w:t>
      </w:r>
      <w:bookmarkEnd w:id="226"/>
      <w:r/>
      <w:bookmarkEnd w:id="227"/>
      <w:r/>
      <w:bookmarkEnd w:id="228"/>
      <w:r/>
      <w:bookmarkEnd w:id="229"/>
      <w:r/>
      <w:bookmarkEnd w:id="230"/>
      <w:r/>
      <w:r/>
    </w:p>
    <w:p>
      <w:pPr>
        <w:pStyle w:val="951"/>
        <w:spacing w:line="440" w:lineRule="exact"/>
        <w:rPr>
          <w:rStyle w:val="912"/>
          <w:rFonts w:ascii="宋体" w:hAnsi="宋体"/>
          <w:color w:val="auto"/>
          <w:highlight w:val="none"/>
        </w:rPr>
      </w:pPr>
      <w:r>
        <w:rPr>
          <w:rStyle w:val="912"/>
          <w:rFonts w:ascii="宋体" w:hAnsi="宋体"/>
          <w:color w:val="auto"/>
          <w:highlight w:val="none"/>
        </w:rPr>
        <w:t xml:space="preserve">﻿ </w:t>
      </w:r>
      <w:r/>
    </w:p>
    <w:p>
      <w:pPr>
        <w:pStyle w:val="951"/>
        <w:ind w:firstLine="420"/>
        <w:jc w:val="center"/>
        <w:spacing w:before="320" w:after="320"/>
        <w:rPr>
          <w:rStyle w:val="912"/>
          <w:rFonts w:ascii="宋体" w:hAnsi="宋体"/>
          <w:b/>
          <w:bCs/>
          <w:color w:val="auto"/>
          <w:sz w:val="32"/>
          <w:szCs w:val="32"/>
          <w:highlight w:val="none"/>
        </w:rPr>
      </w:pPr>
      <w:r>
        <w:rPr>
          <w:rStyle w:val="912"/>
          <w:rFonts w:ascii="宋体" w:hAnsi="宋体"/>
          <w:b/>
          <w:bCs/>
          <w:color w:val="auto"/>
          <w:sz w:val="32"/>
          <w:szCs w:val="32"/>
          <w:highlight w:val="none"/>
        </w:rPr>
        <w:t xml:space="preserve">投标函</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致</w:t>
      </w:r>
      <w:r>
        <w:rPr>
          <w:rStyle w:val="912"/>
          <w:rFonts w:ascii="宋体" w:hAnsi="宋体"/>
          <w:color w:val="auto"/>
          <w:sz w:val="24"/>
          <w:szCs w:val="24"/>
          <w:highlight w:val="none"/>
          <w:u w:val="single"/>
        </w:rPr>
        <w:t xml:space="preserve">：   </w:t>
      </w:r>
      <w:r>
        <w:rPr>
          <w:rStyle w:val="912"/>
          <w:rFonts w:ascii="宋体" w:hAnsi="宋体"/>
          <w:color w:val="auto"/>
          <w:sz w:val="24"/>
          <w:szCs w:val="24"/>
          <w:highlight w:val="none"/>
        </w:rPr>
        <w:t xml:space="preserve">：</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根据贵方的</w:t>
      </w:r>
      <w:r>
        <w:rPr>
          <w:rStyle w:val="912"/>
          <w:rFonts w:ascii="宋体" w:hAnsi="宋体"/>
          <w:color w:val="auto"/>
          <w:sz w:val="24"/>
          <w:szCs w:val="24"/>
          <w:highlight w:val="none"/>
          <w:u w:val="single"/>
        </w:rPr>
        <w:t xml:space="preserve">   </w:t>
      </w:r>
      <w:r>
        <w:rPr>
          <w:rStyle w:val="912"/>
          <w:rFonts w:ascii="宋体" w:hAnsi="宋体"/>
          <w:color w:val="auto"/>
          <w:sz w:val="24"/>
          <w:szCs w:val="24"/>
          <w:highlight w:val="none"/>
        </w:rPr>
        <w:t xml:space="preserve">号招标文件，正式授权下述签字人</w:t>
      </w:r>
      <w:r>
        <w:rPr>
          <w:rStyle w:val="912"/>
          <w:rFonts w:ascii="宋体" w:hAnsi="宋体"/>
          <w:color w:val="auto"/>
          <w:sz w:val="24"/>
          <w:szCs w:val="24"/>
          <w:highlight w:val="none"/>
          <w:u w:val="single"/>
        </w:rPr>
        <w:t xml:space="preserve">     </w:t>
      </w:r>
      <w:r>
        <w:rPr>
          <w:rStyle w:val="912"/>
          <w:rFonts w:ascii="宋体" w:hAnsi="宋体"/>
          <w:color w:val="auto"/>
          <w:sz w:val="24"/>
          <w:szCs w:val="24"/>
          <w:highlight w:val="none"/>
        </w:rPr>
        <w:t xml:space="preserve"> (姓名和职务)代表我方</w:t>
      </w:r>
      <w:r>
        <w:rPr>
          <w:rStyle w:val="912"/>
          <w:rFonts w:ascii="宋体" w:hAnsi="宋体"/>
          <w:color w:val="auto"/>
          <w:sz w:val="24"/>
          <w:szCs w:val="24"/>
          <w:highlight w:val="none"/>
          <w:u w:val="single"/>
        </w:rPr>
        <w:t xml:space="preserve">   </w:t>
      </w:r>
      <w:r>
        <w:rPr>
          <w:rStyle w:val="912"/>
          <w:rFonts w:ascii="宋体" w:hAnsi="宋体"/>
          <w:color w:val="auto"/>
          <w:sz w:val="24"/>
          <w:szCs w:val="24"/>
          <w:highlight w:val="none"/>
        </w:rPr>
        <w:t xml:space="preserve">（投标人的名称），全权处理本次项目投标的有关事宜。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据此函，签字人兹宣布同意如下：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1、同意向贵方提供贵方可能另外要求的与投标有关的任何证据或资料；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2、我们完全理解贵方不一定将合同授予最低报价的投标人；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5、与本投标有关的正式通讯地址为：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地址：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邮编：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电话：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传真：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投标单位代表姓名：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投标单位名称：    </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公章：</w:t>
      </w:r>
      <w:r/>
    </w:p>
    <w:p>
      <w:pPr>
        <w:pStyle w:val="951"/>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日期：   </w:t>
      </w:r>
      <w:r/>
    </w:p>
    <w:p>
      <w:pPr>
        <w:pStyle w:val="951"/>
        <w:spacing w:before="240" w:after="240"/>
        <w:rPr>
          <w:rStyle w:val="912"/>
          <w:rFonts w:ascii="宋体" w:hAnsi="宋体"/>
          <w:color w:val="auto"/>
          <w:highlight w:val="none"/>
        </w:rPr>
      </w:pPr>
      <w:r>
        <w:rPr>
          <w:rStyle w:val="912"/>
          <w:rFonts w:ascii="宋体" w:hAnsi="宋体"/>
          <w:color w:val="auto"/>
          <w:highlight w:val="none"/>
        </w:rPr>
        <w:t xml:space="preserve"> </w:t>
      </w:r>
      <w:r/>
    </w:p>
    <w:p>
      <w:pPr>
        <w:pStyle w:val="952"/>
        <w:rPr>
          <w:rStyle w:val="912"/>
          <w:color w:val="auto"/>
          <w:highlight w:val="none"/>
        </w:rPr>
        <w:outlineLvl w:val="0"/>
      </w:pPr>
      <w:r>
        <w:rPr>
          <w:rStyle w:val="912"/>
          <w:color w:val="auto"/>
          <w:highlight w:val="none"/>
        </w:rPr>
        <w:br w:type="page" w:clear="all"/>
      </w:r>
      <w:bookmarkStart w:id="231" w:name="_Toc30201"/>
      <w:r/>
      <w:bookmarkStart w:id="232" w:name="_Toc30137"/>
      <w:r/>
      <w:bookmarkStart w:id="233" w:name="_Toc689"/>
      <w:r/>
      <w:bookmarkStart w:id="234" w:name="_Toc24631"/>
      <w:r/>
      <w:bookmarkStart w:id="235" w:name="_Toc20603"/>
      <w:r>
        <w:rPr>
          <w:rStyle w:val="912"/>
          <w:rFonts w:ascii="宋体" w:hAnsi="宋体"/>
          <w:b/>
          <w:color w:val="auto"/>
          <w:sz w:val="32"/>
          <w:highlight w:val="none"/>
        </w:rPr>
        <w:t xml:space="preserve">三、开标一览表</w:t>
      </w:r>
      <w:bookmarkEnd w:id="231"/>
      <w:r/>
      <w:bookmarkEnd w:id="232"/>
      <w:r/>
      <w:bookmarkEnd w:id="233"/>
      <w:r/>
      <w:bookmarkEnd w:id="234"/>
      <w:r/>
      <w:bookmarkEnd w:id="235"/>
      <w:r/>
      <w:r/>
    </w:p>
    <w:p>
      <w:pPr>
        <w:pStyle w:val="953"/>
        <w:jc w:val="center"/>
        <w:spacing w:line="440" w:lineRule="exact"/>
        <w:rPr>
          <w:rStyle w:val="912"/>
          <w:rFonts w:ascii="宋体" w:hAnsi="宋体"/>
          <w:color w:val="auto"/>
          <w:sz w:val="24"/>
          <w:szCs w:val="24"/>
          <w:highlight w:val="none"/>
        </w:rPr>
      </w:pPr>
      <w:r>
        <w:rPr>
          <w:rStyle w:val="912"/>
          <w:rFonts w:ascii="宋体" w:hAnsi="宋体"/>
          <w:color w:val="auto"/>
          <w:sz w:val="24"/>
          <w:szCs w:val="24"/>
          <w:highlight w:val="none"/>
        </w:rPr>
        <w:t xml:space="preserve">﻿ </w:t>
      </w:r>
      <w:r>
        <w:rPr>
          <w:rStyle w:val="912"/>
          <w:rFonts w:hint="eastAsia" w:ascii="宋体" w:hAnsi="宋体"/>
          <w:color w:val="auto"/>
          <w:sz w:val="24"/>
          <w:szCs w:val="24"/>
          <w:highlight w:val="none"/>
        </w:rPr>
        <w:t xml:space="preserve">开标一览表（总报价）</w:t>
      </w:r>
      <w:r/>
    </w:p>
    <w:p>
      <w:pPr>
        <w:pStyle w:val="953"/>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投标</w:t>
      </w:r>
      <w:r>
        <w:rPr>
          <w:rStyle w:val="912"/>
          <w:rFonts w:hint="eastAsia" w:ascii="宋体" w:hAnsi="宋体"/>
          <w:color w:val="auto"/>
          <w:sz w:val="24"/>
          <w:szCs w:val="24"/>
          <w:highlight w:val="none"/>
        </w:rPr>
        <w:t xml:space="preserve">人</w:t>
      </w:r>
      <w:r>
        <w:rPr>
          <w:rStyle w:val="912"/>
          <w:rFonts w:ascii="宋体" w:hAnsi="宋体"/>
          <w:color w:val="auto"/>
          <w:sz w:val="24"/>
          <w:szCs w:val="24"/>
          <w:highlight w:val="none"/>
        </w:rPr>
        <w:t xml:space="preserve">全称（加盖公章）：</w:t>
      </w:r>
      <w:r/>
    </w:p>
    <w:p>
      <w:pPr>
        <w:pStyle w:val="953"/>
        <w:spacing w:before="240" w:after="240"/>
        <w:rPr>
          <w:rStyle w:val="912"/>
          <w:rFonts w:hint="eastAsia" w:ascii="宋体" w:hAnsi="宋体"/>
          <w:color w:val="auto"/>
          <w:sz w:val="24"/>
          <w:szCs w:val="24"/>
          <w:highlight w:val="none"/>
        </w:rPr>
      </w:pPr>
      <w:r>
        <w:rPr>
          <w:rStyle w:val="912"/>
          <w:rFonts w:hint="eastAsia" w:ascii="宋体" w:hAnsi="宋体"/>
          <w:color w:val="auto"/>
          <w:sz w:val="24"/>
          <w:szCs w:val="24"/>
          <w:highlight w:val="none"/>
        </w:rPr>
        <w:t xml:space="preserve">项目编号：</w:t>
      </w:r>
      <w:r>
        <w:rPr>
          <w:rStyle w:val="912"/>
          <w:rFonts w:ascii="宋体" w:hAnsi="宋体"/>
          <w:color w:val="auto"/>
          <w:sz w:val="24"/>
          <w:szCs w:val="24"/>
          <w:highlight w:val="none"/>
        </w:rPr>
        <w:t xml:space="preserve">    </w:t>
      </w:r>
      <w:r/>
    </w:p>
    <w:p>
      <w:pPr>
        <w:pStyle w:val="953"/>
        <w:spacing w:before="240" w:after="240"/>
        <w:rPr>
          <w:rStyle w:val="912"/>
          <w:rFonts w:hint="eastAsia" w:ascii="宋体" w:hAnsi="宋体"/>
          <w:color w:val="auto"/>
          <w:sz w:val="24"/>
          <w:szCs w:val="24"/>
          <w:highlight w:val="none"/>
        </w:rPr>
      </w:pPr>
      <w:r>
        <w:rPr>
          <w:rStyle w:val="912"/>
          <w:rFonts w:hint="eastAsia" w:ascii="宋体" w:hAnsi="宋体"/>
          <w:color w:val="auto"/>
          <w:sz w:val="24"/>
          <w:szCs w:val="24"/>
          <w:highlight w:val="none"/>
        </w:rPr>
        <w:t xml:space="preserve">分包号：</w:t>
      </w:r>
      <w:r/>
    </w:p>
    <w:tbl>
      <w:tblPr>
        <w:tblStyle w:val="725"/>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53"/>
              <w:jc w:val="both"/>
              <w:rPr>
                <w:rStyle w:val="912"/>
                <w:rFonts w:ascii="宋体" w:hAnsi="宋体"/>
                <w:color w:val="auto"/>
                <w:sz w:val="24"/>
                <w:szCs w:val="24"/>
                <w:highlight w:val="none"/>
              </w:rPr>
            </w:pPr>
            <w:r>
              <w:rPr>
                <w:rStyle w:val="912"/>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53"/>
              <w:jc w:val="both"/>
              <w:rPr>
                <w:rStyle w:val="912"/>
                <w:rFonts w:hint="eastAsia" w:ascii="宋体" w:hAnsi="宋体"/>
                <w:color w:val="auto"/>
                <w:sz w:val="24"/>
                <w:szCs w:val="24"/>
                <w:highlight w:val="none"/>
              </w:rPr>
            </w:pPr>
            <w:r>
              <w:rPr>
                <w:rStyle w:val="912"/>
                <w:rFonts w:hint="eastAsia" w:ascii="宋体" w:hAnsi="宋体"/>
                <w:color w:val="auto"/>
                <w:sz w:val="24"/>
                <w:szCs w:val="24"/>
                <w:highlight w:val="none"/>
              </w:rPr>
              <w:t xml:space="preserve">投标总报价</w:t>
            </w:r>
            <w:r>
              <w:rPr>
                <w:rStyle w:val="912"/>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53"/>
              <w:jc w:val="both"/>
              <w:rPr>
                <w:rStyle w:val="912"/>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53"/>
              <w:rPr>
                <w:rStyle w:val="912"/>
                <w:rFonts w:ascii="宋体" w:hAnsi="宋体"/>
                <w:color w:val="auto"/>
                <w:sz w:val="24"/>
                <w:szCs w:val="24"/>
                <w:highlight w:val="none"/>
              </w:rPr>
            </w:pPr>
            <w:r>
              <w:rPr>
                <w:rStyle w:val="912"/>
                <w:rFonts w:ascii="宋体" w:hAnsi="宋体"/>
                <w:color w:val="auto"/>
                <w:sz w:val="24"/>
                <w:szCs w:val="24"/>
                <w:highlight w:val="none"/>
              </w:rPr>
              <w:t xml:space="preserve">  </w:t>
            </w:r>
            <w:r/>
          </w:p>
          <w:p>
            <w:pPr>
              <w:pStyle w:val="953"/>
              <w:rPr>
                <w:rStyle w:val="912"/>
                <w:rFonts w:hint="eastAsia" w:ascii="宋体" w:hAnsi="宋体"/>
                <w:color w:val="auto"/>
                <w:sz w:val="24"/>
                <w:szCs w:val="24"/>
                <w:highlight w:val="none"/>
              </w:rPr>
            </w:pPr>
            <w:r>
              <w:rPr>
                <w:rStyle w:val="912"/>
                <w:rFonts w:hint="eastAsia" w:ascii="宋体" w:hAnsi="宋体"/>
                <w:color w:val="auto"/>
                <w:sz w:val="24"/>
                <w:szCs w:val="24"/>
                <w:highlight w:val="none"/>
              </w:rPr>
              <w:t xml:space="preserve">小写：      （元人民币）</w:t>
            </w:r>
            <w:r/>
          </w:p>
          <w:p>
            <w:pPr>
              <w:pStyle w:val="953"/>
              <w:rPr>
                <w:rStyle w:val="912"/>
                <w:rFonts w:ascii="宋体" w:hAnsi="宋体"/>
                <w:color w:val="auto"/>
                <w:sz w:val="24"/>
                <w:szCs w:val="24"/>
                <w:highlight w:val="none"/>
              </w:rPr>
            </w:pPr>
            <w:r>
              <w:rPr>
                <w:rStyle w:val="912"/>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53"/>
              <w:rPr>
                <w:rStyle w:val="912"/>
                <w:rFonts w:ascii="宋体" w:hAnsi="宋体"/>
                <w:color w:val="auto"/>
                <w:sz w:val="24"/>
                <w:szCs w:val="24"/>
                <w:highlight w:val="none"/>
              </w:rPr>
            </w:pPr>
            <w:r>
              <w:rPr>
                <w:rStyle w:val="912"/>
                <w:rFonts w:ascii="宋体" w:hAnsi="宋体"/>
                <w:color w:val="auto"/>
                <w:sz w:val="24"/>
                <w:szCs w:val="24"/>
                <w:highlight w:val="none"/>
              </w:rPr>
              <w:t xml:space="preserve">投标</w:t>
            </w:r>
            <w:r>
              <w:rPr>
                <w:rStyle w:val="912"/>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53"/>
              <w:rPr>
                <w:rStyle w:val="912"/>
                <w:rFonts w:ascii="宋体" w:hAnsi="宋体"/>
                <w:color w:val="auto"/>
                <w:sz w:val="24"/>
                <w:szCs w:val="24"/>
                <w:highlight w:val="none"/>
              </w:rPr>
            </w:pPr>
            <w:r>
              <w:rPr>
                <w:rStyle w:val="912"/>
                <w:rFonts w:ascii="宋体" w:hAnsi="宋体"/>
                <w:color w:val="auto"/>
                <w:sz w:val="24"/>
                <w:szCs w:val="24"/>
                <w:highlight w:val="none"/>
              </w:rPr>
              <w:t xml:space="preserve">  </w:t>
            </w:r>
            <w:r>
              <w:rPr>
                <w:rStyle w:val="912"/>
                <w:rFonts w:hint="eastAsia" w:ascii="宋体" w:hAnsi="宋体"/>
                <w:color w:val="auto"/>
                <w:sz w:val="24"/>
                <w:szCs w:val="24"/>
                <w:highlight w:val="none"/>
              </w:rPr>
              <w:t xml:space="preserve">金额大写</w:t>
            </w:r>
            <w:r>
              <w:rPr>
                <w:rStyle w:val="912"/>
                <w:rFonts w:ascii="宋体" w:hAnsi="宋体"/>
                <w:color w:val="auto"/>
                <w:sz w:val="24"/>
                <w:szCs w:val="24"/>
                <w:highlight w:val="none"/>
              </w:rPr>
              <w:t xml:space="preserve">  </w:t>
            </w:r>
            <w:r/>
          </w:p>
        </w:tc>
      </w:tr>
    </w:tbl>
    <w:p>
      <w:pPr>
        <w:pStyle w:val="953"/>
        <w:spacing w:before="240" w:after="240"/>
        <w:rPr>
          <w:rStyle w:val="912"/>
          <w:rFonts w:ascii="宋体" w:hAnsi="宋体"/>
          <w:color w:val="auto"/>
          <w:sz w:val="24"/>
          <w:szCs w:val="24"/>
          <w:highlight w:val="none"/>
        </w:rPr>
      </w:pPr>
      <w:r>
        <w:rPr>
          <w:rStyle w:val="912"/>
          <w:rFonts w:ascii="宋体" w:hAnsi="宋体"/>
          <w:color w:val="auto"/>
          <w:sz w:val="24"/>
          <w:szCs w:val="24"/>
          <w:highlight w:val="none"/>
        </w:rPr>
        <w:t xml:space="preserve"> </w:t>
      </w:r>
      <w:r>
        <w:rPr>
          <w:rStyle w:val="912"/>
          <w:rFonts w:hint="eastAsia" w:ascii="宋体" w:hAnsi="宋体"/>
          <w:color w:val="auto"/>
          <w:sz w:val="24"/>
          <w:szCs w:val="24"/>
          <w:highlight w:val="none"/>
        </w:rPr>
        <w:t xml:space="preserve">                                           日期：  年   月   日</w:t>
      </w:r>
      <w:r/>
    </w:p>
    <w:p>
      <w:pPr>
        <w:pStyle w:val="954"/>
        <w:rPr>
          <w:rStyle w:val="912"/>
          <w:rFonts w:hint="eastAsia"/>
          <w:color w:val="auto"/>
          <w:sz w:val="24"/>
          <w:szCs w:val="28"/>
          <w:highlight w:val="none"/>
        </w:rPr>
        <w:outlineLvl w:val="0"/>
      </w:pPr>
      <w:r/>
      <w:bookmarkStart w:id="236" w:name="_Toc1415"/>
      <w:r/>
      <w:bookmarkStart w:id="237" w:name="_Toc30336"/>
      <w:r/>
      <w:bookmarkStart w:id="238" w:name="_Toc15499"/>
      <w:r>
        <w:rPr>
          <w:rStyle w:val="912"/>
          <w:rFonts w:hint="eastAsia"/>
          <w:color w:val="auto"/>
          <w:sz w:val="24"/>
          <w:szCs w:val="28"/>
          <w:highlight w:val="none"/>
        </w:rPr>
        <w:t xml:space="preserve">填写说明：</w:t>
      </w:r>
      <w:bookmarkEnd w:id="236"/>
      <w:r/>
      <w:bookmarkEnd w:id="237"/>
      <w:r/>
      <w:bookmarkEnd w:id="238"/>
      <w:r/>
      <w:r/>
    </w:p>
    <w:p>
      <w:pPr>
        <w:pStyle w:val="954"/>
        <w:numPr>
          <w:ilvl w:val="0"/>
          <w:numId w:val="10"/>
        </w:numPr>
        <w:keepLines w:val="0"/>
        <w:keepNext w:val="0"/>
        <w:pageBreakBefore w:val="0"/>
        <w:spacing w:line="440" w:lineRule="exact"/>
        <w:widowControl/>
        <w:rPr>
          <w:rStyle w:val="912"/>
          <w:rFonts w:hint="eastAsia"/>
          <w:i/>
          <w:iCs/>
          <w:color w:val="auto"/>
          <w:sz w:val="24"/>
          <w:szCs w:val="28"/>
          <w:highlight w:val="none"/>
          <w:u w:val="single"/>
        </w:rPr>
        <w:outlineLvl w:val="0"/>
      </w:pPr>
      <w:r/>
      <w:bookmarkStart w:id="239" w:name="_Toc24830"/>
      <w:r/>
      <w:bookmarkStart w:id="240" w:name="_Toc5584"/>
      <w:r/>
      <w:bookmarkStart w:id="241" w:name="_Toc18256"/>
      <w:r>
        <w:rPr>
          <w:rStyle w:val="912"/>
          <w:rFonts w:hint="eastAsia"/>
          <w:i/>
          <w:iCs/>
          <w:color w:val="auto"/>
          <w:sz w:val="24"/>
          <w:szCs w:val="28"/>
          <w:highlight w:val="none"/>
          <w:u w:val="single"/>
        </w:rPr>
        <w:t xml:space="preserve">开标一览表必须加盖投标人公章（复印件无效）。</w:t>
      </w:r>
      <w:bookmarkEnd w:id="239"/>
      <w:r/>
      <w:bookmarkEnd w:id="240"/>
      <w:r/>
      <w:bookmarkEnd w:id="241"/>
      <w:r/>
      <w:r/>
    </w:p>
    <w:p>
      <w:pPr>
        <w:pStyle w:val="954"/>
        <w:numPr>
          <w:ilvl w:val="0"/>
          <w:numId w:val="10"/>
        </w:numPr>
        <w:keepLines w:val="0"/>
        <w:keepNext w:val="0"/>
        <w:pageBreakBefore w:val="0"/>
        <w:spacing w:line="440" w:lineRule="exact"/>
        <w:widowControl/>
        <w:rPr>
          <w:rStyle w:val="912"/>
          <w:rFonts w:hint="eastAsia"/>
          <w:i/>
          <w:iCs/>
          <w:color w:val="auto"/>
          <w:sz w:val="24"/>
          <w:szCs w:val="28"/>
          <w:highlight w:val="none"/>
          <w:u w:val="single"/>
        </w:rPr>
        <w:outlineLvl w:val="0"/>
      </w:pPr>
      <w:r/>
      <w:bookmarkStart w:id="242" w:name="_Toc30436"/>
      <w:r/>
      <w:bookmarkStart w:id="243" w:name="_Toc30690"/>
      <w:r/>
      <w:bookmarkStart w:id="244" w:name="_Toc1241"/>
      <w:r>
        <w:rPr>
          <w:rStyle w:val="912"/>
          <w:rFonts w:hint="eastAsia"/>
          <w:i/>
          <w:iCs/>
          <w:color w:val="auto"/>
          <w:sz w:val="24"/>
          <w:szCs w:val="28"/>
          <w:highlight w:val="none"/>
          <w:u w:val="single"/>
        </w:rPr>
        <w:t xml:space="preserve">如有分包，投标人投任何一个包的标的，都需单独填写开标一览表。</w:t>
      </w:r>
      <w:bookmarkEnd w:id="242"/>
      <w:r/>
      <w:bookmarkEnd w:id="243"/>
      <w:r/>
      <w:bookmarkEnd w:id="244"/>
      <w:r/>
      <w:r/>
    </w:p>
    <w:p>
      <w:pPr>
        <w:pStyle w:val="954"/>
        <w:rPr>
          <w:rStyle w:val="912"/>
          <w:color w:val="auto"/>
          <w:highlight w:val="none"/>
        </w:rPr>
        <w:outlineLvl w:val="0"/>
      </w:pPr>
      <w:r>
        <w:rPr>
          <w:rStyle w:val="912"/>
          <w:color w:val="auto"/>
          <w:highlight w:val="none"/>
        </w:rPr>
        <w:br w:type="page" w:clear="all"/>
      </w:r>
      <w:bookmarkStart w:id="245" w:name="_Toc4776"/>
      <w:r/>
      <w:bookmarkStart w:id="246" w:name="_Toc25301"/>
      <w:r/>
      <w:bookmarkStart w:id="247" w:name="_Toc32613"/>
      <w:r/>
      <w:bookmarkStart w:id="248" w:name="_Toc13295"/>
      <w:r/>
      <w:bookmarkStart w:id="249" w:name="_Toc10307"/>
      <w:r>
        <w:rPr>
          <w:rStyle w:val="912"/>
          <w:rFonts w:ascii="宋体" w:hAnsi="宋体"/>
          <w:b/>
          <w:color w:val="auto"/>
          <w:sz w:val="32"/>
          <w:highlight w:val="none"/>
        </w:rPr>
        <w:t xml:space="preserve">四、资格证明文件</w:t>
      </w:r>
      <w:bookmarkEnd w:id="245"/>
      <w:r/>
      <w:bookmarkEnd w:id="246"/>
      <w:r/>
      <w:bookmarkEnd w:id="247"/>
      <w:r/>
      <w:bookmarkEnd w:id="248"/>
      <w:r/>
      <w:bookmarkEnd w:id="249"/>
      <w:r/>
      <w:r/>
    </w:p>
    <w:p>
      <w:pPr>
        <w:pStyle w:val="955"/>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5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6"/>
        <w:spacing w:before="240" w:after="240" w:line="360" w:lineRule="auto"/>
        <w:rPr>
          <w:rStyle w:val="912"/>
          <w:rFonts w:ascii="宋体" w:hAnsi="宋体"/>
          <w:b/>
          <w:color w:val="auto"/>
          <w:sz w:val="28"/>
          <w:highlight w:val="none"/>
        </w:rPr>
      </w:pPr>
      <w:r>
        <w:rPr>
          <w:rFonts w:ascii="宋体" w:hAnsi="宋体"/>
          <w:b/>
          <w:color w:val="auto"/>
          <w:sz w:val="28"/>
          <w:highlight w:val="none"/>
        </w:rPr>
      </w:r>
      <w:r/>
    </w:p>
    <w:p>
      <w:pPr>
        <w:pStyle w:val="957"/>
        <w:spacing w:line="440" w:lineRule="exact"/>
        <w:rPr>
          <w:rStyle w:val="912"/>
          <w:color w:val="auto"/>
          <w:highlight w:val="none"/>
        </w:rPr>
      </w:pPr>
      <w:r>
        <w:rPr>
          <w:rStyle w:val="912"/>
          <w:color w:val="auto"/>
          <w:highlight w:val="none"/>
        </w:rPr>
        <w:t xml:space="preserve">﻿ </w:t>
      </w:r>
      <w:r/>
    </w:p>
    <w:p>
      <w:pPr>
        <w:pStyle w:val="958"/>
        <w:ind w:firstLine="420"/>
        <w:jc w:val="center"/>
        <w:spacing w:before="320" w:after="320"/>
        <w:rPr>
          <w:rStyle w:val="912"/>
          <w:rFonts w:ascii="宋体" w:hAnsi="宋体"/>
          <w:b/>
          <w:bCs/>
          <w:color w:val="auto"/>
          <w:sz w:val="32"/>
          <w:szCs w:val="32"/>
          <w:highlight w:val="none"/>
        </w:rPr>
        <w:outlineLvl w:val="1"/>
      </w:pPr>
      <w:r/>
      <w:bookmarkStart w:id="250" w:name="_Toc27904"/>
      <w:r/>
      <w:bookmarkStart w:id="251" w:name="OLE_LINK5"/>
      <w:r/>
      <w:bookmarkStart w:id="252" w:name="OLE_LINK9"/>
      <w:r>
        <w:rPr>
          <w:rStyle w:val="912"/>
          <w:rFonts w:ascii="宋体" w:hAnsi="宋体"/>
          <w:b/>
          <w:bCs/>
          <w:color w:val="auto"/>
          <w:sz w:val="32"/>
          <w:szCs w:val="32"/>
          <w:highlight w:val="none"/>
        </w:rPr>
        <w:t xml:space="preserve">具备履行合同所必需的设备和专业技术能力的书面声明</w:t>
      </w:r>
      <w:bookmarkEnd w:id="250"/>
      <w:r/>
      <w:r/>
    </w:p>
    <w:p>
      <w:pPr>
        <w:pStyle w:val="958"/>
        <w:ind w:firstLine="420"/>
        <w:spacing w:before="240" w:after="240"/>
        <w:rPr>
          <w:rStyle w:val="912"/>
          <w:rFonts w:ascii="宋体" w:hAnsi="宋体"/>
          <w:color w:val="auto"/>
          <w:highlight w:val="none"/>
        </w:rPr>
      </w:pPr>
      <w:r>
        <w:rPr>
          <w:rStyle w:val="912"/>
          <w:rFonts w:ascii="宋体" w:hAnsi="宋体"/>
          <w:color w:val="auto"/>
          <w:highlight w:val="none"/>
        </w:rPr>
        <w:t xml:space="preserve"> </w:t>
      </w:r>
      <w:r/>
    </w:p>
    <w:p>
      <w:pPr>
        <w:pStyle w:val="958"/>
        <w:ind w:firstLine="420"/>
        <w:spacing w:before="320" w:after="320"/>
        <w:rPr>
          <w:rStyle w:val="912"/>
          <w:rFonts w:ascii="宋体" w:hAnsi="宋体"/>
          <w:color w:val="auto"/>
          <w:sz w:val="24"/>
          <w:szCs w:val="24"/>
          <w:highlight w:val="none"/>
        </w:rPr>
      </w:pPr>
      <w:r>
        <w:rPr>
          <w:rStyle w:val="912"/>
          <w:rFonts w:ascii="宋体" w:hAnsi="宋体"/>
          <w:color w:val="auto"/>
          <w:sz w:val="24"/>
          <w:szCs w:val="24"/>
          <w:highlight w:val="none"/>
        </w:rPr>
        <w:t xml:space="preserve">我单位郑重声明： </w:t>
      </w:r>
      <w:r/>
    </w:p>
    <w:p>
      <w:pPr>
        <w:pStyle w:val="958"/>
        <w:ind w:firstLine="420"/>
        <w:spacing w:before="320" w:after="320"/>
        <w:rPr>
          <w:rStyle w:val="912"/>
          <w:rFonts w:ascii="宋体" w:hAnsi="宋体"/>
          <w:color w:val="auto"/>
          <w:sz w:val="24"/>
          <w:szCs w:val="24"/>
          <w:highlight w:val="none"/>
        </w:rPr>
      </w:pPr>
      <w:r>
        <w:rPr>
          <w:rStyle w:val="912"/>
          <w:rFonts w:ascii="宋体" w:hAnsi="宋体"/>
          <w:color w:val="auto"/>
          <w:sz w:val="24"/>
          <w:szCs w:val="24"/>
          <w:highlight w:val="none"/>
        </w:rPr>
        <w:t xml:space="preserve">我单位具备履行本项采购合同所必需的设备和专业技术能力。 </w:t>
      </w:r>
      <w:r/>
    </w:p>
    <w:p>
      <w:pPr>
        <w:pStyle w:val="958"/>
        <w:ind w:firstLine="420"/>
        <w:spacing w:before="360" w:after="360"/>
        <w:rPr>
          <w:rStyle w:val="912"/>
          <w:rFonts w:ascii="宋体" w:hAnsi="宋体"/>
          <w:color w:val="auto"/>
          <w:highlight w:val="none"/>
        </w:rPr>
      </w:pPr>
      <w:r>
        <w:rPr>
          <w:rStyle w:val="912"/>
          <w:rFonts w:ascii="宋体" w:hAnsi="宋体"/>
          <w:color w:val="auto"/>
          <w:highlight w:val="none"/>
        </w:rPr>
        <w:t xml:space="preserve"> </w:t>
      </w:r>
      <w:r/>
    </w:p>
    <w:p>
      <w:pPr>
        <w:pStyle w:val="958"/>
        <w:ind w:firstLine="420"/>
        <w:jc w:val="center"/>
        <w:spacing w:before="360" w:after="360"/>
        <w:rPr>
          <w:rStyle w:val="912"/>
          <w:rFonts w:ascii="宋体" w:hAnsi="宋体"/>
          <w:color w:val="auto"/>
          <w:sz w:val="36"/>
          <w:szCs w:val="36"/>
          <w:highlight w:val="none"/>
        </w:rPr>
        <w:outlineLvl w:val="1"/>
      </w:pPr>
      <w:r/>
      <w:bookmarkStart w:id="253" w:name="_Toc419"/>
      <w:r>
        <w:rPr>
          <w:rStyle w:val="912"/>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53"/>
      <w:r/>
      <w:bookmarkEnd w:id="251"/>
      <w:r/>
    </w:p>
    <w:p>
      <w:pPr>
        <w:pStyle w:val="959"/>
        <w:rPr>
          <w:rStyle w:val="912"/>
          <w:rFonts w:ascii="宋体" w:hAnsi="宋体"/>
          <w:color w:val="auto"/>
          <w:sz w:val="36"/>
          <w:szCs w:val="36"/>
          <w:highlight w:val="none"/>
        </w:rPr>
      </w:pPr>
      <w:r>
        <w:rPr>
          <w:rStyle w:val="912"/>
          <w:rFonts w:ascii="宋体" w:hAnsi="宋体"/>
          <w:color w:val="auto"/>
          <w:sz w:val="36"/>
          <w:szCs w:val="36"/>
          <w:highlight w:val="none"/>
        </w:rPr>
        <w:t xml:space="preserve"> </w:t>
      </w:r>
      <w:bookmarkEnd w:id="252"/>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59"/>
        <w:rPr>
          <w:rStyle w:val="912"/>
          <w:rFonts w:ascii="宋体" w:hAnsi="宋体"/>
          <w:color w:val="auto"/>
          <w:sz w:val="36"/>
          <w:szCs w:val="36"/>
          <w:highlight w:val="none"/>
        </w:rPr>
      </w:pPr>
      <w:r>
        <w:rPr>
          <w:rFonts w:ascii="宋体" w:hAnsi="宋体"/>
          <w:color w:val="auto"/>
          <w:sz w:val="36"/>
          <w:szCs w:val="36"/>
          <w:highlight w:val="none"/>
        </w:rPr>
      </w:r>
      <w:r/>
    </w:p>
    <w:p>
      <w:pPr>
        <w:pStyle w:val="960"/>
        <w:spacing w:line="440" w:lineRule="exact"/>
        <w:rPr>
          <w:rStyle w:val="912"/>
          <w:rFonts w:ascii="宋体" w:hAnsi="宋体"/>
          <w:color w:val="auto"/>
          <w:highlight w:val="none"/>
        </w:rPr>
      </w:pPr>
      <w:r>
        <w:rPr>
          <w:rStyle w:val="912"/>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254" w:name="_Toc18420"/>
      <w:r/>
      <w:bookmarkStart w:id="255" w:name="OLE_LINK10"/>
      <w:r>
        <w:rPr>
          <w:rFonts w:hint="eastAsia" w:ascii="宋体" w:hAnsi="宋体"/>
          <w:b/>
          <w:color w:val="auto"/>
          <w:sz w:val="32"/>
          <w:szCs w:val="32"/>
          <w:highlight w:val="none"/>
        </w:rPr>
        <w:t xml:space="preserve">参加政府采购活动前3年内在经营活动中没有重大违法记录的书面声明</w:t>
      </w:r>
      <w:bookmarkEnd w:id="254"/>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5"/>
      <w:r/>
    </w:p>
    <w:p>
      <w:pPr>
        <w:pStyle w:val="960"/>
        <w:spacing w:before="240" w:after="240"/>
        <w:rPr>
          <w:rStyle w:val="912"/>
          <w:rFonts w:ascii="宋体" w:hAnsi="宋体"/>
          <w:color w:val="auto"/>
          <w:highlight w:val="none"/>
        </w:rPr>
      </w:pPr>
      <w:r>
        <w:rPr>
          <w:rStyle w:val="912"/>
          <w:rFonts w:ascii="宋体" w:hAnsi="宋体"/>
          <w:color w:val="auto"/>
          <w:highlight w:val="none"/>
        </w:rPr>
        <w:t xml:space="preserve"> </w:t>
      </w:r>
      <w:r/>
    </w:p>
    <w:p>
      <w:pPr>
        <w:ind w:firstLine="420"/>
        <w:jc w:val="center"/>
        <w:spacing w:line="360" w:lineRule="auto"/>
        <w:rPr>
          <w:rStyle w:val="912"/>
          <w:rFonts w:ascii="Times New Roman" w:hAnsi="Times New Roman" w:eastAsia="Times New Roman"/>
          <w:color w:val="auto"/>
          <w:highlight w:val="none"/>
        </w:rPr>
      </w:pPr>
      <w:r>
        <w:rPr>
          <w:rStyle w:val="912"/>
          <w:rFonts w:ascii="Times New Roman" w:hAnsi="Times New Roman" w:eastAsia="Times New Roman"/>
          <w:color w:val="auto"/>
          <w:highlight w:val="none"/>
        </w:rPr>
        <w:br w:type="page" w:clear="all"/>
      </w:r>
      <w:r/>
    </w:p>
    <w:p>
      <w:pPr>
        <w:ind w:firstLine="420"/>
        <w:jc w:val="center"/>
        <w:spacing w:line="360" w:lineRule="auto"/>
        <w:rPr>
          <w:rStyle w:val="912"/>
          <w:rFonts w:ascii="Times New Roman" w:hAnsi="Times New Roman" w:eastAsia="Times New Roman"/>
          <w:color w:val="auto"/>
          <w:highlight w:val="none"/>
        </w:rPr>
      </w:pPr>
      <w:r/>
      <w:bookmarkStart w:id="256" w:name="OLE_LINK7"/>
      <w:r/>
      <w:r/>
    </w:p>
    <w:p>
      <w:pPr>
        <w:ind w:firstLine="562"/>
        <w:jc w:val="center"/>
        <w:spacing w:line="360" w:lineRule="auto"/>
        <w:rPr>
          <w:rStyle w:val="912"/>
          <w:rFonts w:ascii="宋体" w:hAnsi="宋体"/>
          <w:b/>
          <w:color w:val="auto"/>
          <w:sz w:val="28"/>
          <w:highlight w:val="none"/>
        </w:rPr>
        <w:outlineLvl w:val="1"/>
      </w:pPr>
      <w:r/>
      <w:bookmarkStart w:id="257" w:name="OLE_LINK6"/>
      <w:r/>
      <w:bookmarkStart w:id="258" w:name="OLE_LINK11"/>
      <w:r>
        <w:rPr>
          <w:rStyle w:val="912"/>
          <w:rFonts w:ascii="宋体" w:hAnsi="宋体"/>
          <w:b/>
          <w:color w:val="auto"/>
          <w:sz w:val="28"/>
          <w:highlight w:val="none"/>
        </w:rPr>
        <w:t xml:space="preserve">  </w:t>
      </w:r>
      <w:bookmarkStart w:id="259"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9"/>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61"/>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60" w:name="_Toc5040"/>
      <w:r>
        <w:rPr>
          <w:rFonts w:hint="eastAsia" w:ascii="宋体" w:hAnsi="宋体"/>
          <w:color w:val="auto"/>
          <w:sz w:val="24"/>
          <w:highlight w:val="none"/>
        </w:rPr>
        <w:t xml:space="preserve">供应商名称（加盖公章）：</w:t>
      </w:r>
      <w:bookmarkEnd w:id="260"/>
      <w:r/>
      <w:bookmarkEnd w:id="256"/>
      <w:bookmarkEnd w:id="257"/>
      <w:r/>
    </w:p>
    <w:p>
      <w:pPr>
        <w:pStyle w:val="962"/>
        <w:rPr>
          <w:rStyle w:val="912"/>
          <w:rFonts w:ascii="宋体" w:hAnsi="宋体"/>
          <w:b/>
          <w:color w:val="auto"/>
          <w:sz w:val="28"/>
          <w:highlight w:val="none"/>
        </w:rPr>
      </w:pPr>
      <w:r>
        <w:rPr>
          <w:rFonts w:ascii="宋体" w:hAnsi="宋体"/>
          <w:b/>
          <w:color w:val="auto"/>
          <w:sz w:val="28"/>
          <w:highlight w:val="none"/>
        </w:rPr>
      </w:r>
      <w:bookmarkEnd w:id="258"/>
      <w:r/>
    </w:p>
    <w:p>
      <w:pPr>
        <w:rPr>
          <w:rStyle w:val="912"/>
          <w:rFonts w:ascii="宋体" w:hAnsi="宋体"/>
          <w:b/>
          <w:color w:val="auto"/>
          <w:sz w:val="28"/>
          <w:highlight w:val="none"/>
        </w:rPr>
      </w:pPr>
      <w:r>
        <w:rPr>
          <w:rStyle w:val="912"/>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61"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62" w:name="sys_STR"/>
      <w:r/>
      <w:bookmarkEnd w:id="262"/>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61"/>
      <w:r/>
    </w:p>
    <w:p>
      <w:pPr>
        <w:rPr>
          <w:rStyle w:val="912"/>
          <w:rFonts w:ascii="宋体" w:hAnsi="宋体"/>
          <w:b/>
          <w:color w:val="auto"/>
          <w:sz w:val="28"/>
          <w:highlight w:val="none"/>
        </w:rPr>
      </w:pPr>
      <w:r>
        <w:rPr>
          <w:rFonts w:ascii="宋体" w:hAnsi="宋体"/>
          <w:b/>
          <w:color w:val="auto"/>
          <w:sz w:val="28"/>
          <w:highlight w:val="none"/>
        </w:rPr>
      </w:r>
      <w:r/>
    </w:p>
    <w:p>
      <w:pPr>
        <w:pStyle w:val="990"/>
        <w:rPr>
          <w:rStyle w:val="912"/>
          <w:rFonts w:ascii="宋体"/>
          <w:b/>
          <w:color w:val="auto"/>
          <w:sz w:val="28"/>
          <w:highlight w:val="none"/>
        </w:rPr>
      </w:pPr>
      <w:r>
        <w:rPr>
          <w:rFonts w:ascii="宋体"/>
          <w:b/>
          <w:color w:val="auto"/>
          <w:sz w:val="28"/>
          <w:highlight w:val="none"/>
        </w:rPr>
      </w:r>
      <w:r/>
    </w:p>
    <w:p>
      <w:pPr>
        <w:pStyle w:val="962"/>
        <w:rPr>
          <w:rStyle w:val="912"/>
          <w:rFonts w:ascii="宋体" w:hAnsi="宋体"/>
          <w:b/>
          <w:color w:val="auto"/>
          <w:sz w:val="28"/>
          <w:highlight w:val="none"/>
        </w:rPr>
        <w:outlineLvl w:val="0"/>
      </w:pPr>
      <w:r>
        <w:rPr>
          <w:rFonts w:ascii="宋体" w:hAnsi="宋体"/>
          <w:b/>
          <w:color w:val="auto"/>
          <w:sz w:val="28"/>
          <w:highlight w:val="none"/>
        </w:rPr>
      </w:r>
      <w:r/>
    </w:p>
    <w:p>
      <w:pPr>
        <w:pStyle w:val="962"/>
        <w:rPr>
          <w:rStyle w:val="912"/>
          <w:rFonts w:ascii="宋体" w:hAnsi="宋体"/>
          <w:b/>
          <w:color w:val="auto"/>
          <w:sz w:val="32"/>
          <w:highlight w:val="none"/>
        </w:rPr>
        <w:outlineLvl w:val="0"/>
      </w:pPr>
      <w:r/>
      <w:bookmarkStart w:id="263" w:name="_Toc15093"/>
      <w:r/>
      <w:bookmarkStart w:id="264" w:name="_Toc13868"/>
      <w:r>
        <w:rPr>
          <w:rStyle w:val="912"/>
          <w:rFonts w:ascii="宋体" w:hAnsi="宋体"/>
          <w:b/>
          <w:color w:val="auto"/>
          <w:sz w:val="32"/>
          <w:highlight w:val="none"/>
        </w:rPr>
        <w:t xml:space="preserve">五、第四章项目需求中实质性要求响应对照表</w:t>
      </w:r>
      <w:bookmarkEnd w:id="263"/>
      <w:r/>
      <w:bookmarkEnd w:id="264"/>
      <w:r/>
      <w:r/>
    </w:p>
    <w:p>
      <w:pPr>
        <w:pStyle w:val="970"/>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5"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25"/>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70"/>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41"/>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41"/>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41"/>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5"/>
      <w:r/>
    </w:p>
    <w:p>
      <w:pPr>
        <w:pStyle w:val="970"/>
        <w:rPr>
          <w:rFonts w:ascii="宋体" w:hAnsi="宋体" w:eastAsia="宋体"/>
          <w:color w:val="auto"/>
          <w:highlight w:val="none"/>
        </w:rPr>
      </w:pPr>
      <w:r>
        <w:rPr>
          <w:rFonts w:ascii="宋体" w:hAnsi="宋体" w:eastAsia="宋体"/>
          <w:color w:val="auto"/>
          <w:highlight w:val="none"/>
        </w:rPr>
      </w:r>
      <w:r/>
    </w:p>
    <w:p>
      <w:pPr>
        <w:pStyle w:val="970"/>
        <w:ind w:firstLine="482"/>
        <w:rPr>
          <w:rFonts w:ascii="宋体" w:hAnsi="宋体" w:eastAsia="宋体"/>
          <w:b/>
          <w:bCs/>
          <w:color w:val="auto"/>
          <w:highlight w:val="none"/>
        </w:rPr>
      </w:pPr>
      <w:r>
        <w:rPr>
          <w:rFonts w:ascii="宋体" w:hAnsi="宋体" w:eastAsia="宋体"/>
          <w:b/>
          <w:bCs/>
          <w:color w:val="auto"/>
          <w:highlight w:val="none"/>
        </w:rPr>
      </w:r>
      <w:r/>
    </w:p>
    <w:p>
      <w:pPr>
        <w:pStyle w:val="970"/>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6" w:name="OLE_LINK8"/>
      <w:r/>
      <w:bookmarkStart w:id="267" w:name="OLE_LINK14"/>
      <w:r>
        <w:rPr>
          <w:rFonts w:hint="eastAsia" w:ascii="宋体" w:hAnsi="宋体" w:eastAsia="宋体"/>
          <w:b/>
          <w:bCs/>
          <w:color w:val="auto"/>
          <w:highlight w:val="none"/>
        </w:rPr>
        <w:t xml:space="preserve">技术要求的实质性格式</w:t>
      </w:r>
      <w:r/>
    </w:p>
    <w:tbl>
      <w:tblPr>
        <w:tblStyle w:val="725"/>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70"/>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970"/>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970"/>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970"/>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970"/>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6"/>
      <w:r/>
    </w:p>
    <w:p>
      <w:pPr>
        <w:spacing w:line="400" w:lineRule="exact"/>
        <w:rPr>
          <w:rStyle w:val="912"/>
          <w:rFonts w:ascii="Times New Roman" w:hAnsi="Times New Roman" w:eastAsia="Times New Roman"/>
          <w:color w:val="auto"/>
          <w:highlight w:val="none"/>
        </w:rPr>
      </w:pPr>
      <w:r>
        <w:rPr>
          <w:rFonts w:ascii="Times New Roman" w:hAnsi="Times New Roman" w:eastAsia="Times New Roman"/>
          <w:color w:val="auto"/>
          <w:highlight w:val="none"/>
        </w:rPr>
      </w:r>
      <w:bookmarkEnd w:id="267"/>
      <w:r/>
    </w:p>
    <w:p>
      <w:pPr>
        <w:pStyle w:val="971"/>
        <w:rPr>
          <w:rStyle w:val="912"/>
          <w:color w:val="auto"/>
          <w:highlight w:val="none"/>
        </w:rPr>
      </w:pPr>
      <w:r>
        <w:rPr>
          <w:rStyle w:val="912"/>
          <w:color w:val="auto"/>
          <w:highlight w:val="none"/>
        </w:rPr>
        <w:br w:type="page" w:clear="all"/>
      </w:r>
      <w:bookmarkStart w:id="268" w:name="_Toc256000018"/>
      <w:r/>
      <w:bookmarkEnd w:id="268"/>
      <w:r/>
      <w:r/>
    </w:p>
    <w:p>
      <w:pPr>
        <w:pStyle w:val="962"/>
        <w:rPr>
          <w:rStyle w:val="912"/>
          <w:rFonts w:hint="eastAsia" w:ascii="宋体" w:hAnsi="宋体"/>
          <w:b/>
          <w:color w:val="auto"/>
          <w:sz w:val="32"/>
          <w:highlight w:val="none"/>
        </w:rPr>
        <w:outlineLvl w:val="1"/>
      </w:pPr>
      <w:r/>
      <w:bookmarkStart w:id="269" w:name="_Toc31328"/>
      <w:r/>
      <w:bookmarkStart w:id="270" w:name="_Toc23281"/>
      <w:r>
        <w:rPr>
          <w:rStyle w:val="912"/>
          <w:rFonts w:hint="eastAsia" w:ascii="宋体" w:hAnsi="宋体"/>
          <w:b/>
          <w:color w:val="auto"/>
          <w:sz w:val="32"/>
          <w:highlight w:val="none"/>
        </w:rPr>
        <w:t xml:space="preserve">六、</w:t>
      </w:r>
      <w:bookmarkEnd w:id="269"/>
      <w:r/>
      <w:bookmarkEnd w:id="270"/>
      <w:r>
        <w:rPr>
          <w:rFonts w:ascii="宋体" w:hAnsi="宋体" w:eastAsia="宋体"/>
          <w:b/>
          <w:color w:val="auto"/>
          <w:sz w:val="32"/>
          <w:highlight w:val="none"/>
        </w:rPr>
        <w:t xml:space="preserve">投标配置及分项报价表</w:t>
      </w:r>
      <w:r/>
    </w:p>
    <w:p>
      <w:pPr>
        <w:pStyle w:val="970"/>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70"/>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70"/>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25"/>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70"/>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70"/>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70"/>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70"/>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70"/>
              <w:tabs>
                <w:tab w:val="left" w:pos="993" w:leader="none"/>
              </w:tabs>
              <w:rPr>
                <w:rFonts w:hint="eastAsia" w:ascii="宋体" w:hAnsi="宋体" w:eastAsia="宋体"/>
                <w:color w:val="auto"/>
                <w:highlight w:val="none"/>
                <w:lang w:eastAsia="zh-CN"/>
              </w:rPr>
            </w:pPr>
            <w:r/>
            <w:bookmarkStart w:id="282" w:name="_GoBack"/>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82"/>
            <w:r/>
            <w:r/>
          </w:p>
        </w:tc>
      </w:tr>
    </w:tbl>
    <w:p>
      <w:pPr>
        <w:pStyle w:val="970"/>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70"/>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70"/>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70"/>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70"/>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70"/>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71"/>
        <w:rPr>
          <w:rFonts w:ascii="宋体" w:hAnsi="宋体" w:eastAsia="宋体"/>
          <w:b/>
          <w:color w:val="auto"/>
          <w:sz w:val="32"/>
          <w:highlight w:val="none"/>
        </w:rPr>
      </w:pPr>
      <w:r>
        <w:rPr>
          <w:rFonts w:ascii="宋体" w:hAnsi="宋体" w:eastAsia="宋体"/>
          <w:b/>
          <w:color w:val="auto"/>
          <w:sz w:val="32"/>
          <w:highlight w:val="none"/>
        </w:rPr>
      </w:r>
      <w:r/>
    </w:p>
    <w:p>
      <w:pPr>
        <w:pStyle w:val="971"/>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72"/>
        <w:spacing w:line="440" w:lineRule="exact"/>
        <w:rPr>
          <w:rFonts w:ascii="宋体" w:hAnsi="宋体" w:eastAsia="宋体"/>
        </w:rPr>
      </w:pPr>
      <w:r>
        <w:rPr>
          <w:rFonts w:ascii="宋体" w:hAnsi="宋体" w:eastAsia="宋体"/>
        </w:rPr>
        <w:t xml:space="preserve">﻿ </w:t>
      </w:r>
      <w:r/>
    </w:p>
    <w:p>
      <w:pPr>
        <w:pStyle w:val="970"/>
        <w:ind w:firstLine="420"/>
        <w:jc w:val="center"/>
        <w:spacing w:before="400" w:after="400" w:line="300" w:lineRule="auto"/>
        <w:rPr>
          <w:rFonts w:hint="eastAsia" w:ascii="黑体" w:hAnsi="黑体" w:eastAsia="黑体"/>
          <w:b/>
          <w:bCs/>
          <w:sz w:val="40"/>
          <w:szCs w:val="40"/>
        </w:rPr>
      </w:pPr>
      <w:r/>
      <w:bookmarkStart w:id="271" w:name="OLE_LINK23"/>
      <w:r>
        <w:rPr>
          <w:rFonts w:hint="eastAsia" w:ascii="黑体" w:hAnsi="黑体" w:eastAsia="黑体"/>
          <w:b/>
          <w:bCs/>
          <w:sz w:val="40"/>
          <w:szCs w:val="40"/>
        </w:rPr>
        <w:t xml:space="preserve">常用零配件及耗材报价表</w:t>
      </w:r>
      <w:r/>
    </w:p>
    <w:p>
      <w:pPr>
        <w:pStyle w:val="972"/>
        <w:spacing w:before="240" w:after="240"/>
        <w:rPr>
          <w:rFonts w:ascii="宋体" w:hAnsi="宋体" w:eastAsia="宋体"/>
        </w:rPr>
      </w:pPr>
      <w:r>
        <w:rPr>
          <w:rFonts w:ascii="宋体" w:hAnsi="宋体" w:eastAsia="宋体"/>
        </w:rPr>
        <w:t xml:space="preserve"> </w:t>
      </w:r>
      <w:r/>
    </w:p>
    <w:tbl>
      <w:tblPr>
        <w:tblStyle w:val="725"/>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72"/>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72"/>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72"/>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72"/>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72"/>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72"/>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72"/>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7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7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7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7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72"/>
              <w:jc w:val="center"/>
              <w:rPr>
                <w:rFonts w:ascii="宋体" w:hAnsi="宋体" w:eastAsia="宋体"/>
              </w:rPr>
            </w:pPr>
            <w:r>
              <w:rPr>
                <w:rFonts w:ascii="宋体" w:hAnsi="宋体" w:eastAsia="宋体"/>
              </w:rPr>
              <w:t xml:space="preserve">    </w:t>
            </w:r>
            <w:r/>
          </w:p>
        </w:tc>
      </w:tr>
    </w:tbl>
    <w:p>
      <w:pPr>
        <w:pStyle w:val="972"/>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71"/>
      <w:r/>
      <w:r/>
    </w:p>
    <w:p>
      <w:pPr>
        <w:rPr>
          <w:rStyle w:val="912"/>
          <w:rFonts w:ascii="宋体" w:hAnsi="宋体"/>
          <w:b/>
          <w:sz w:val="32"/>
        </w:rPr>
      </w:pPr>
      <w:r>
        <w:rPr>
          <w:rStyle w:val="912"/>
          <w:rFonts w:hint="eastAsia" w:ascii="宋体" w:hAnsi="宋体"/>
          <w:b/>
          <w:sz w:val="32"/>
        </w:rPr>
        <w:br w:type="page" w:clear="all"/>
      </w:r>
      <w:r/>
    </w:p>
    <w:p>
      <w:pPr>
        <w:pStyle w:val="726"/>
      </w:pPr>
      <w:r/>
      <w:r/>
    </w:p>
    <w:p>
      <w:pPr>
        <w:pStyle w:val="973"/>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12"/>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01"/>
        <w:jc w:val="center"/>
        <w:spacing w:before="320" w:after="320" w:line="300" w:lineRule="auto"/>
        <w:rPr>
          <w:rFonts w:hint="eastAsia" w:ascii="黑体" w:hAnsi="黑体" w:eastAsia="黑体" w:cs="黑体"/>
          <w:b/>
          <w:bCs/>
          <w:sz w:val="32"/>
          <w:szCs w:val="32"/>
        </w:rPr>
      </w:pPr>
      <w:r/>
      <w:bookmarkStart w:id="272" w:name="OLE_LINK21"/>
      <w:r/>
      <w:bookmarkStart w:id="273"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72"/>
      <w:r/>
      <w:r/>
    </w:p>
    <w:p>
      <w:pPr>
        <w:rPr>
          <w:rStyle w:val="912"/>
          <w:rFonts w:ascii="宋体" w:hAnsi="宋体"/>
          <w:b/>
          <w:sz w:val="32"/>
        </w:rPr>
      </w:pPr>
      <w:r>
        <w:rPr>
          <w:rFonts w:ascii="宋体" w:hAnsi="宋体"/>
          <w:b/>
          <w:sz w:val="32"/>
        </w:rPr>
      </w:r>
      <w:bookmarkEnd w:id="273"/>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rPr>
          <w:rStyle w:val="912"/>
          <w:rFonts w:ascii="宋体" w:hAnsi="宋体"/>
          <w:b/>
          <w:sz w:val="32"/>
        </w:rPr>
      </w:pPr>
      <w:r>
        <w:rPr>
          <w:rFonts w:ascii="宋体" w:hAnsi="宋体"/>
          <w:b/>
          <w:sz w:val="32"/>
        </w:rPr>
      </w:r>
      <w:r/>
    </w:p>
    <w:p>
      <w:pPr>
        <w:rPr>
          <w:rStyle w:val="912"/>
          <w:rFonts w:ascii="宋体" w:hAnsi="宋体"/>
          <w:b/>
          <w:sz w:val="32"/>
        </w:rPr>
      </w:pPr>
      <w:r>
        <w:rPr>
          <w:rFonts w:ascii="宋体" w:hAnsi="宋体"/>
          <w:b/>
          <w:sz w:val="32"/>
        </w:rPr>
      </w:r>
      <w:r/>
    </w:p>
    <w:p>
      <w:pPr>
        <w:pStyle w:val="726"/>
      </w:pPr>
      <w:r/>
      <w:r/>
    </w:p>
    <w:p>
      <w:pPr>
        <w:pStyle w:val="973"/>
        <w:rPr>
          <w:rStyle w:val="912"/>
          <w:rFonts w:hint="default"/>
        </w:rPr>
      </w:pPr>
      <w:r>
        <w:rPr>
          <w:rStyle w:val="912"/>
          <w:rFonts w:hint="eastAsia" w:ascii="宋体" w:hAnsi="宋体" w:cs="宋体"/>
          <w:b/>
          <w:sz w:val="32"/>
        </w:rPr>
        <w:t xml:space="preserve">九、</w:t>
      </w:r>
      <w:r>
        <w:rPr>
          <w:rStyle w:val="912"/>
          <w:rFonts w:hint="default" w:ascii="宋体" w:hAnsi="宋体" w:cs="宋体"/>
          <w:b/>
          <w:sz w:val="32"/>
        </w:rPr>
        <w:t xml:space="preserve">服务方案</w:t>
      </w:r>
      <w:r/>
    </w:p>
    <w:p>
      <w:pPr>
        <w:jc w:val="center"/>
        <w:keepLines/>
        <w:keepNext/>
        <w:spacing w:before="260" w:after="260" w:line="415" w:lineRule="auto"/>
        <w:widowControl w:val="off"/>
        <w:rPr>
          <w:rStyle w:val="912"/>
          <w:rFonts w:hint="eastAsia" w:ascii="宋体" w:hAnsi="宋体" w:eastAsia="宋体" w:cs="Times New Roman"/>
          <w:b/>
          <w:bCs/>
          <w:sz w:val="28"/>
          <w:szCs w:val="28"/>
          <w:lang w:val="en-US" w:eastAsia="zh-CN" w:bidi="ar-SA"/>
        </w:rPr>
        <w:outlineLvl w:val="1"/>
      </w:pPr>
      <w:r>
        <w:rPr>
          <w:rStyle w:val="912"/>
          <w:rFonts w:hint="eastAsia" w:ascii="宋体" w:hAnsi="宋体"/>
          <w:b/>
          <w:bCs/>
          <w:sz w:val="28"/>
          <w:szCs w:val="28"/>
        </w:rPr>
        <w:t xml:space="preserve">服务方案</w:t>
      </w:r>
      <w:r/>
    </w:p>
    <w:p>
      <w:pPr>
        <w:jc w:val="left"/>
        <w:spacing w:line="360" w:lineRule="auto"/>
        <w:widowControl w:val="off"/>
        <w:rPr>
          <w:rStyle w:val="912"/>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12"/>
          <w:rFonts w:hint="eastAsia" w:ascii="宋体" w:hAnsi="宋体" w:eastAsia="宋体" w:cs="Arial"/>
          <w:sz w:val="24"/>
          <w:szCs w:val="21"/>
          <w:lang w:val="en-US" w:eastAsia="zh-CN" w:bidi="ar-SA"/>
        </w:rPr>
        <w:outlineLvl w:val="1"/>
      </w:pPr>
      <w:r>
        <w:rPr>
          <w:rStyle w:val="912"/>
          <w:rFonts w:hint="eastAsia" w:ascii="宋体" w:hAnsi="宋体" w:cs="Arial"/>
          <w:sz w:val="24"/>
          <w:szCs w:val="21"/>
        </w:rPr>
        <w:t xml:space="preserve">（服务方案的内容编排等由投标人自定）</w:t>
      </w:r>
      <w:r/>
    </w:p>
    <w:p>
      <w:pPr>
        <w:pStyle w:val="974"/>
        <w:rPr>
          <w:rFonts w:hint="eastAsia" w:ascii="宋体" w:hAnsi="宋体" w:eastAsia="宋体" w:cs="宋体"/>
          <w:sz w:val="24"/>
          <w:szCs w:val="24"/>
          <w:lang w:bidi="ar"/>
        </w:rPr>
        <w:outlineLvl w:val="0"/>
      </w:pPr>
      <w:r>
        <w:rPr>
          <w:rStyle w:val="912"/>
          <w:rFonts w:hint="default"/>
        </w:rPr>
        <w:br w:type="page" w:clear="all"/>
      </w:r>
      <w:bookmarkStart w:id="274" w:name="_Toc11335"/>
      <w:r/>
      <w:bookmarkStart w:id="275" w:name="_Toc17468"/>
      <w:r/>
      <w:bookmarkStart w:id="276" w:name="_Toc16991"/>
      <w:r>
        <w:rPr>
          <w:rStyle w:val="912"/>
          <w:rFonts w:hint="eastAsia" w:ascii="宋体" w:hAnsi="宋体" w:cs="宋体"/>
          <w:b/>
          <w:sz w:val="32"/>
        </w:rPr>
        <w:t xml:space="preserve">十</w:t>
      </w:r>
      <w:r>
        <w:rPr>
          <w:rStyle w:val="912"/>
          <w:rFonts w:hint="default" w:ascii="宋体" w:hAnsi="宋体" w:cs="宋体"/>
          <w:b/>
          <w:sz w:val="32"/>
        </w:rPr>
        <w:t xml:space="preserve">、投标人情况介绍</w:t>
      </w:r>
      <w:r>
        <w:rPr>
          <w:rStyle w:val="912"/>
          <w:rFonts w:hint="eastAsia" w:ascii="宋体" w:hAnsi="宋体" w:cs="Arial"/>
          <w:sz w:val="24"/>
          <w:szCs w:val="24"/>
        </w:rPr>
        <w:t xml:space="preserve">（内容自定，可参考如下）</w:t>
      </w:r>
      <w:bookmarkEnd w:id="274"/>
      <w:r/>
      <w:bookmarkEnd w:id="275"/>
      <w:r/>
      <w:bookmarkEnd w:id="276"/>
      <w:r/>
      <w:r/>
    </w:p>
    <w:p>
      <w:pPr>
        <w:spacing w:line="440" w:lineRule="exact"/>
        <w:widowControl/>
        <w:rPr>
          <w:rFonts w:hint="eastAsia" w:ascii="宋体" w:hAnsi="宋体" w:cs="宋体"/>
          <w:color w:val="000000"/>
          <w:sz w:val="24"/>
          <w:szCs w:val="24"/>
          <w:lang w:bidi="ar"/>
        </w:rPr>
      </w:pPr>
      <w:r/>
      <w:bookmarkStart w:id="277"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b/>
          <w:sz w:val="32"/>
        </w:rPr>
        <w:outlineLvl w:val="0"/>
      </w:pPr>
      <w:r>
        <w:rPr>
          <w:rFonts w:hint="eastAsia" w:ascii="宋体" w:hAnsi="宋体" w:eastAsia="宋体" w:cs="宋体"/>
          <w:b/>
          <w:sz w:val="32"/>
        </w:rPr>
      </w:r>
      <w:r/>
    </w:p>
    <w:p>
      <w:pPr>
        <w:pStyle w:val="975"/>
        <w:rPr>
          <w:rFonts w:hint="eastAsia" w:ascii="宋体" w:hAnsi="宋体" w:eastAsia="宋体" w:cs="宋体"/>
        </w:rPr>
        <w:outlineLvl w:val="0"/>
      </w:pPr>
      <w:r/>
      <w:bookmarkStart w:id="278" w:name="_Toc20966"/>
      <w:r/>
      <w:bookmarkStart w:id="279" w:name="_Toc11441"/>
      <w:r>
        <w:rPr>
          <w:rFonts w:hint="eastAsia" w:ascii="宋体" w:hAnsi="宋体" w:eastAsia="宋体" w:cs="宋体"/>
          <w:b/>
          <w:sz w:val="32"/>
        </w:rPr>
        <w:t xml:space="preserve">十</w:t>
      </w:r>
      <w:r>
        <w:rPr>
          <w:rFonts w:hint="eastAsia" w:ascii="宋体" w:hAnsi="宋体" w:eastAsia="宋体" w:cs="宋体"/>
          <w:b/>
          <w:sz w:val="32"/>
          <w:lang w:eastAsia="zh-CN"/>
        </w:rPr>
        <w:t xml:space="preserve">一</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7"/>
      <w:r/>
      <w:bookmarkEnd w:id="278"/>
      <w:r/>
      <w:bookmarkEnd w:id="279"/>
      <w:r/>
      <w:r/>
    </w:p>
    <w:p>
      <w:pPr>
        <w:pStyle w:val="963"/>
        <w:jc w:val="center"/>
        <w:spacing w:before="320" w:after="320"/>
        <w:rPr>
          <w:rFonts w:hint="eastAsia" w:ascii="宋体" w:hAnsi="宋体" w:eastAsia="宋体" w:cs="宋体"/>
          <w:sz w:val="32"/>
          <w:szCs w:val="32"/>
        </w:rPr>
      </w:pPr>
      <w:r/>
      <w:bookmarkStart w:id="280"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63"/>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64"/>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64"/>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63"/>
        <w:spacing w:before="240" w:after="240"/>
        <w:rPr>
          <w:rFonts w:hint="eastAsia" w:ascii="宋体" w:hAnsi="宋体" w:eastAsia="宋体" w:cs="宋体"/>
        </w:rPr>
      </w:pPr>
      <w:r>
        <w:rPr>
          <w:rFonts w:hint="eastAsia" w:ascii="宋体" w:hAnsi="宋体" w:eastAsia="宋体" w:cs="宋体"/>
        </w:rPr>
        <w:t xml:space="preserve">3.</w:t>
      </w:r>
      <w:r/>
    </w:p>
    <w:p>
      <w:pPr>
        <w:pStyle w:val="963"/>
        <w:spacing w:before="240" w:after="240"/>
        <w:rPr>
          <w:rFonts w:hint="eastAsia" w:ascii="宋体" w:hAnsi="宋体" w:eastAsia="宋体" w:cs="宋体"/>
        </w:rPr>
      </w:pPr>
      <w:r>
        <w:rPr>
          <w:rFonts w:hint="eastAsia" w:ascii="宋体" w:hAnsi="宋体" w:eastAsia="宋体" w:cs="宋体"/>
        </w:rPr>
        <w:t xml:space="preserve">4.</w:t>
      </w:r>
      <w:r/>
    </w:p>
    <w:p>
      <w:pPr>
        <w:pStyle w:val="963"/>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63"/>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63"/>
        <w:spacing w:before="240" w:after="240"/>
        <w:rPr>
          <w:rFonts w:hint="eastAsia" w:ascii="宋体" w:hAnsi="宋体" w:eastAsia="宋体" w:cs="宋体"/>
        </w:rPr>
      </w:pPr>
      <w:r>
        <w:rPr>
          <w:rFonts w:hint="default" w:ascii="宋体" w:hAnsi="宋体" w:eastAsia="宋体" w:cs="宋体"/>
        </w:rPr>
        <w:t xml:space="preserve">企业名称（盖章）：   </w:t>
      </w:r>
      <w:r/>
    </w:p>
    <w:p>
      <w:pPr>
        <w:pStyle w:val="963"/>
        <w:spacing w:before="240" w:after="240"/>
        <w:rPr>
          <w:rFonts w:hint="eastAsia" w:ascii="宋体" w:hAnsi="宋体" w:eastAsia="宋体" w:cs="宋体"/>
        </w:rPr>
      </w:pPr>
      <w:r>
        <w:rPr>
          <w:rFonts w:hint="default" w:ascii="宋体" w:hAnsi="宋体" w:eastAsia="宋体" w:cs="宋体"/>
        </w:rPr>
        <w:t xml:space="preserve">日期：   </w:t>
      </w:r>
      <w:r/>
    </w:p>
    <w:p>
      <w:pPr>
        <w:pStyle w:val="963"/>
        <w:spacing w:before="240" w:after="240"/>
        <w:rPr>
          <w:rFonts w:hint="eastAsia" w:ascii="宋体" w:hAnsi="宋体" w:eastAsia="宋体" w:cs="宋体"/>
        </w:rPr>
      </w:pPr>
      <w:r>
        <w:rPr>
          <w:rFonts w:hint="eastAsia" w:ascii="宋体" w:hAnsi="宋体" w:eastAsia="宋体" w:cs="宋体"/>
        </w:rPr>
      </w:r>
      <w:r/>
    </w:p>
    <w:p>
      <w:pPr>
        <w:pStyle w:val="963"/>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63"/>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63"/>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63"/>
        <w:spacing w:before="240" w:after="240"/>
        <w:rPr>
          <w:rStyle w:val="912"/>
          <w:rFonts w:hint="eastAsia" w:ascii="宋体" w:hAnsi="宋体" w:cs="宋体"/>
          <w:b/>
          <w:bCs/>
          <w:color w:val="000000"/>
          <w:sz w:val="24"/>
          <w:szCs w:val="24"/>
        </w:rPr>
      </w:pPr>
      <w:r>
        <w:rPr>
          <w:rStyle w:val="912"/>
          <w:rFonts w:hint="eastAsia" w:ascii="宋体" w:hAnsi="宋体" w:cs="宋体"/>
          <w:color w:val="000000"/>
          <w:sz w:val="24"/>
          <w:szCs w:val="24"/>
        </w:rPr>
        <w:t xml:space="preserve">3.</w:t>
      </w:r>
      <w:r>
        <w:rPr>
          <w:rStyle w:val="912"/>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12"/>
          <w:rFonts w:hint="default" w:ascii="宋体" w:hAnsi="宋体" w:cs="宋体"/>
          <w:b/>
          <w:bCs/>
          <w:color w:val="000000"/>
          <w:sz w:val="24"/>
          <w:szCs w:val="24"/>
        </w:rPr>
        <w:t xml:space="preserve">服务类项目中供应商若使用退休人员，将不享受相应扶持政策。</w:t>
      </w:r>
      <w:r/>
    </w:p>
    <w:p>
      <w:pPr>
        <w:pStyle w:val="963"/>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63"/>
        <w:spacing w:before="240" w:after="240"/>
        <w:rPr>
          <w:rFonts w:hint="eastAsia" w:ascii="宋体" w:hAnsi="宋体" w:eastAsia="宋体" w:cs="宋体"/>
        </w:rPr>
      </w:pPr>
      <w:r>
        <w:rPr>
          <w:rFonts w:hint="eastAsia" w:ascii="宋体" w:hAnsi="宋体" w:eastAsia="宋体" w:cs="宋体"/>
        </w:rPr>
      </w:r>
      <w:r/>
    </w:p>
    <w:p>
      <w:pPr>
        <w:pStyle w:val="963"/>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63"/>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63"/>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3"/>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65"/>
        <w:spacing w:before="240" w:after="240"/>
        <w:rPr>
          <w:rFonts w:hint="eastAsia" w:ascii="宋体" w:hAnsi="宋体" w:eastAsia="宋体" w:cs="宋体"/>
        </w:rPr>
      </w:pPr>
      <w:r>
        <w:rPr>
          <w:rFonts w:hint="eastAsia" w:ascii="宋体" w:hAnsi="宋体" w:eastAsia="宋体" w:cs="宋体"/>
        </w:rPr>
      </w:r>
      <w:r/>
    </w:p>
    <w:p>
      <w:pPr>
        <w:pStyle w:val="965"/>
        <w:spacing w:before="240" w:after="240"/>
        <w:rPr>
          <w:rFonts w:hint="eastAsia" w:ascii="宋体" w:hAnsi="宋体" w:eastAsia="宋体" w:cs="宋体"/>
        </w:rPr>
      </w:pPr>
      <w:r>
        <w:rPr>
          <w:rFonts w:hint="eastAsia" w:ascii="宋体" w:hAnsi="宋体" w:eastAsia="宋体" w:cs="宋体"/>
        </w:rPr>
      </w:r>
      <w:r/>
    </w:p>
    <w:p>
      <w:pPr>
        <w:pStyle w:val="965"/>
        <w:spacing w:before="240" w:after="240"/>
        <w:rPr>
          <w:rFonts w:hint="eastAsia" w:ascii="宋体" w:hAnsi="宋体" w:eastAsia="宋体" w:cs="宋体"/>
        </w:rPr>
      </w:pPr>
      <w:r>
        <w:rPr>
          <w:rFonts w:hint="eastAsia" w:ascii="宋体" w:hAnsi="宋体" w:eastAsia="宋体" w:cs="宋体"/>
        </w:rPr>
      </w:r>
      <w:r/>
    </w:p>
    <w:p>
      <w:pPr>
        <w:pStyle w:val="965"/>
        <w:spacing w:before="240" w:after="240"/>
        <w:rPr>
          <w:rFonts w:hint="eastAsia" w:ascii="宋体" w:hAnsi="宋体" w:eastAsia="宋体" w:cs="宋体"/>
        </w:rPr>
      </w:pPr>
      <w:r>
        <w:rPr>
          <w:rFonts w:hint="default" w:ascii="宋体" w:hAnsi="宋体" w:eastAsia="宋体" w:cs="宋体"/>
        </w:rPr>
        <w:t xml:space="preserve"> </w:t>
      </w:r>
      <w:r/>
    </w:p>
    <w:p>
      <w:pPr>
        <w:pStyle w:val="965"/>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65"/>
        <w:spacing w:before="240" w:after="240"/>
        <w:rPr>
          <w:rFonts w:hint="eastAsia" w:ascii="宋体" w:hAnsi="宋体" w:eastAsia="宋体" w:cs="宋体"/>
        </w:rPr>
      </w:pPr>
      <w:r>
        <w:rPr>
          <w:rFonts w:hint="default" w:ascii="宋体" w:hAnsi="宋体" w:eastAsia="宋体" w:cs="宋体"/>
        </w:rPr>
        <w:t xml:space="preserve"> </w:t>
      </w:r>
      <w:r/>
    </w:p>
    <w:p>
      <w:pPr>
        <w:pStyle w:val="965"/>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65"/>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65"/>
        <w:jc w:val="center"/>
        <w:spacing w:before="240" w:after="240"/>
        <w:rPr>
          <w:rFonts w:hint="eastAsia" w:ascii="宋体" w:hAnsi="宋体" w:eastAsia="宋体" w:cs="宋体"/>
        </w:rPr>
      </w:pPr>
      <w:r>
        <w:rPr>
          <w:rFonts w:hint="default" w:ascii="宋体" w:hAnsi="宋体" w:eastAsia="宋体" w:cs="宋体"/>
        </w:rPr>
        <w:t xml:space="preserve"> </w:t>
      </w:r>
      <w:r/>
    </w:p>
    <w:p>
      <w:pPr>
        <w:pStyle w:val="965"/>
        <w:jc w:val="center"/>
        <w:spacing w:before="240" w:after="240"/>
        <w:rPr>
          <w:rFonts w:hint="eastAsia" w:ascii="宋体" w:hAnsi="宋体" w:eastAsia="宋体" w:cs="宋体"/>
        </w:rPr>
      </w:pPr>
      <w:r>
        <w:rPr>
          <w:rFonts w:hint="default" w:ascii="宋体" w:hAnsi="宋体" w:eastAsia="宋体" w:cs="宋体"/>
        </w:rPr>
        <w:t xml:space="preserve"> </w:t>
      </w:r>
      <w:r/>
    </w:p>
    <w:p>
      <w:pPr>
        <w:pStyle w:val="965"/>
        <w:jc w:val="center"/>
        <w:spacing w:before="240" w:after="240"/>
        <w:rPr>
          <w:rFonts w:hint="eastAsia" w:ascii="宋体" w:hAnsi="宋体" w:eastAsia="宋体" w:cs="宋体"/>
        </w:rPr>
      </w:pPr>
      <w:r>
        <w:rPr>
          <w:rFonts w:hint="default" w:ascii="宋体" w:hAnsi="宋体" w:eastAsia="宋体" w:cs="宋体"/>
        </w:rPr>
        <w:t xml:space="preserve"> </w:t>
      </w:r>
      <w:r/>
    </w:p>
    <w:p>
      <w:pPr>
        <w:pStyle w:val="965"/>
        <w:spacing w:before="240" w:after="240"/>
        <w:rPr>
          <w:rFonts w:hint="eastAsia" w:ascii="宋体" w:hAnsi="宋体" w:eastAsia="宋体" w:cs="宋体"/>
        </w:rPr>
      </w:pPr>
      <w:r>
        <w:rPr>
          <w:rFonts w:hint="default" w:ascii="宋体" w:hAnsi="宋体" w:eastAsia="宋体" w:cs="宋体"/>
        </w:rPr>
        <w:t xml:space="preserve">单位名称（盖章）：   </w:t>
      </w:r>
      <w:r/>
    </w:p>
    <w:p>
      <w:pPr>
        <w:pStyle w:val="965"/>
        <w:spacing w:before="240" w:after="240"/>
        <w:rPr>
          <w:rFonts w:hint="eastAsia" w:ascii="宋体" w:hAnsi="宋体" w:eastAsia="宋体" w:cs="宋体"/>
        </w:rPr>
      </w:pPr>
      <w:r>
        <w:rPr>
          <w:rFonts w:hint="default" w:ascii="宋体" w:hAnsi="宋体" w:eastAsia="宋体" w:cs="宋体"/>
        </w:rPr>
        <w:t xml:space="preserve">日期：   </w:t>
      </w:r>
      <w:r/>
    </w:p>
    <w:p>
      <w:pPr>
        <w:pStyle w:val="965"/>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65"/>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65"/>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65"/>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66"/>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80"/>
      <w:r/>
    </w:p>
    <w:p>
      <w:pPr>
        <w:pStyle w:val="972"/>
        <w:rPr>
          <w:rStyle w:val="912"/>
          <w:rFonts w:hint="default"/>
        </w:rPr>
      </w:pPr>
      <w:r>
        <w:rPr>
          <w:rFonts w:hint="default"/>
        </w:rPr>
      </w:r>
      <w:r/>
    </w:p>
    <w:p>
      <w:pPr>
        <w:pStyle w:val="1002"/>
        <w:jc w:val="center"/>
        <w:spacing w:before="240" w:after="240"/>
        <w:rPr>
          <w:rStyle w:val="912"/>
          <w:rFonts w:hint="default"/>
        </w:rPr>
      </w:pPr>
      <w:r>
        <w:rPr>
          <w:rStyle w:val="912"/>
          <w:rFonts w:hint="default" w:ascii="宋体" w:hAnsi="宋体" w:cs="宋体"/>
          <w:b/>
          <w:sz w:val="28"/>
        </w:rPr>
        <w:t xml:space="preserve"> </w:t>
      </w:r>
      <w:r/>
    </w:p>
    <w:p>
      <w:pPr>
        <w:pStyle w:val="1003"/>
        <w:spacing w:before="240" w:after="240"/>
        <w:rPr>
          <w:rStyle w:val="912"/>
          <w:rFonts w:hint="default"/>
        </w:rPr>
      </w:pPr>
      <w:r>
        <w:rPr>
          <w:rStyle w:val="912"/>
          <w:rFonts w:hint="default"/>
        </w:rPr>
        <w:t xml:space="preserve"> </w:t>
      </w:r>
      <w:r/>
    </w:p>
    <w:p>
      <w:pPr>
        <w:pStyle w:val="1001"/>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75"/>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975"/>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75"/>
        <w:numPr>
          <w:ilvl w:val="0"/>
          <w:numId w:val="0"/>
        </w:numPr>
        <w:ind w:firstLine="1920"/>
        <w:rPr>
          <w:rFonts w:hint="eastAsia" w:ascii="宋体" w:hAnsi="宋体" w:eastAsia="宋体" w:cs="宋体"/>
          <w:b w:val="0"/>
          <w:bCs/>
          <w:sz w:val="32"/>
        </w:rPr>
        <w:outlineLvl w:val="0"/>
      </w:pPr>
      <w:r/>
      <w:bookmarkStart w:id="281"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2"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48"/>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48"/>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48"/>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48"/>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48"/>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48"/>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81"/>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973"/>
        <w:rPr>
          <w:rFonts w:ascii="宋体" w:hAnsi="宋体"/>
          <w:b/>
          <w:bCs/>
          <w:sz w:val="20"/>
          <w:szCs w:val="32"/>
          <w:highlight w:val="white"/>
        </w:rPr>
      </w:pPr>
      <w:r>
        <w:rPr>
          <w:rFonts w:ascii="宋体" w:hAnsi="宋体"/>
          <w:b/>
          <w:bCs/>
          <w:sz w:val="20"/>
          <w:szCs w:val="32"/>
          <w:highlight w:val="white"/>
        </w:rPr>
      </w:r>
      <w:r/>
    </w:p>
    <w:p>
      <w:pPr>
        <w:pStyle w:val="726"/>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framePr w:wrap="around" w:vAnchor="text" w:hAnchor="margin" w:xAlign="center" w:y="1"/>
    </w:pPr>
    <w:r>
      <w:fldChar w:fldCharType="begin"/>
    </w:r>
    <w:r>
      <w:rPr>
        <w:rStyle w:val="978"/>
        <w:sz w:val="21"/>
        <w:szCs w:val="22"/>
        <w:highlight w:val="white"/>
      </w:rPr>
      <w:instrText xml:space="preserve">PAGE  </w:instrText>
    </w:r>
    <w:r>
      <w:fldChar w:fldCharType="separate"/>
    </w:r>
    <w:r>
      <w:rPr>
        <w:rStyle w:val="978"/>
        <w:sz w:val="21"/>
        <w:szCs w:val="22"/>
        <w:highlight w:val="white"/>
      </w:rPr>
      <w:t xml:space="preserve">1</w:t>
    </w:r>
    <w:r>
      <w:fldChar w:fldCharType="end"/>
    </w:r>
    <w:r/>
  </w:p>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framePr w:wrap="around" w:vAnchor="text" w:hAnchor="margin" w:xAlign="center" w:y="1"/>
    </w:pPr>
    <w:r>
      <w:fldChar w:fldCharType="begin"/>
    </w:r>
    <w:r>
      <w:rPr>
        <w:rStyle w:val="978"/>
        <w:sz w:val="21"/>
        <w:szCs w:val="22"/>
        <w:highlight w:val="white"/>
      </w:rPr>
      <w:instrText xml:space="preserve">PAGE  </w:instrTex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3"/>
  </w:num>
  <w:num w:numId="5">
    <w:abstractNumId w:val="5"/>
  </w:num>
  <w:num w:numId="6">
    <w:abstractNumId w:val="2"/>
  </w:num>
  <w:num w:numId="7">
    <w:abstractNumId w:val="0"/>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992"/>
    <w:uiPriority w:val="0"/>
    <w:qFormat/>
    <w:pPr>
      <w:jc w:val="both"/>
      <w:widowControl w:val="off"/>
    </w:pPr>
    <w:rPr>
      <w:rFonts w:hint="default" w:ascii="Calibri" w:hAnsi="Calibri" w:eastAsia="宋体" w:cs="Times New Roman"/>
      <w:sz w:val="21"/>
      <w:szCs w:val="22"/>
      <w:lang w:val="en-US" w:eastAsia="zh-CN" w:bidi="ar-SA"/>
    </w:rPr>
  </w:style>
  <w:style w:type="paragraph" w:styleId="715">
    <w:name w:val="Heading 1"/>
    <w:basedOn w:val="714"/>
    <w:next w:val="714"/>
    <w:link w:val="751"/>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2"/>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3"/>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5"/>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6"/>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8"/>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59"/>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customStyle="1">
    <w:name w:val="首行缩进"/>
    <w:next w:val="714"/>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727">
    <w:name w:val="toc 7"/>
    <w:basedOn w:val="714"/>
    <w:next w:val="714"/>
    <w:uiPriority w:val="39"/>
    <w:unhideWhenUsed/>
    <w:qFormat/>
    <w:pPr>
      <w:ind w:left="1701" w:right="0" w:firstLine="0"/>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0"/>
    <w:qFormat/>
    <w:pPr>
      <w:jc w:val="left"/>
    </w:pPr>
  </w:style>
  <w:style w:type="paragraph" w:styleId="730">
    <w:name w:val="toc 5"/>
    <w:basedOn w:val="714"/>
    <w:next w:val="714"/>
    <w:uiPriority w:val="39"/>
    <w:unhideWhenUsed/>
    <w:qFormat/>
    <w:pPr>
      <w:ind w:left="1134" w:right="0" w:firstLine="0"/>
      <w:spacing w:after="57"/>
    </w:pPr>
  </w:style>
  <w:style w:type="paragraph" w:styleId="731">
    <w:name w:val="toc 3"/>
    <w:basedOn w:val="714"/>
    <w:next w:val="714"/>
    <w:uiPriority w:val="39"/>
    <w:unhideWhenUsed/>
    <w:qFormat/>
    <w:pPr>
      <w:ind w:left="567" w:right="0" w:firstLine="0"/>
      <w:spacing w:after="57"/>
    </w:pPr>
  </w:style>
  <w:style w:type="paragraph" w:styleId="732">
    <w:name w:val="toc 8"/>
    <w:basedOn w:val="714"/>
    <w:next w:val="714"/>
    <w:uiPriority w:val="39"/>
    <w:unhideWhenUsed/>
    <w:qFormat/>
    <w:pPr>
      <w:ind w:left="1984" w:right="0" w:firstLine="0"/>
      <w:spacing w:after="57"/>
    </w:pPr>
  </w:style>
  <w:style w:type="paragraph" w:styleId="733">
    <w:name w:val="endnote text"/>
    <w:basedOn w:val="714"/>
    <w:link w:val="897"/>
    <w:uiPriority w:val="99"/>
    <w:semiHidden/>
    <w:unhideWhenUsed/>
    <w:qFormat/>
    <w:pPr>
      <w:spacing w:after="0" w:line="240" w:lineRule="auto"/>
    </w:pPr>
    <w:rPr>
      <w:sz w:val="20"/>
    </w:rPr>
  </w:style>
  <w:style w:type="paragraph" w:styleId="734">
    <w:name w:val="Footer"/>
    <w:basedOn w:val="714"/>
    <w:uiPriority w:val="99"/>
    <w:unhideWhenUsed/>
    <w:qFormat/>
    <w:pPr>
      <w:tabs>
        <w:tab w:val="center" w:pos="7143" w:leader="none"/>
        <w:tab w:val="right" w:pos="14287" w:leader="none"/>
      </w:tabs>
    </w:pPr>
  </w:style>
  <w:style w:type="paragraph" w:styleId="735">
    <w:name w:val="Header"/>
    <w:basedOn w:val="714"/>
    <w:uiPriority w:val="99"/>
    <w:unhideWhenUsed/>
    <w:qFormat/>
    <w:pPr>
      <w:tabs>
        <w:tab w:val="center" w:pos="7143" w:leader="none"/>
        <w:tab w:val="right" w:pos="14287" w:leader="none"/>
      </w:tabs>
    </w:pPr>
  </w:style>
  <w:style w:type="paragraph" w:styleId="736">
    <w:name w:val="toc 1"/>
    <w:basedOn w:val="714"/>
    <w:next w:val="714"/>
    <w:uiPriority w:val="0"/>
    <w:qFormat/>
  </w:style>
  <w:style w:type="paragraph" w:styleId="737">
    <w:name w:val="toc 4"/>
    <w:basedOn w:val="714"/>
    <w:next w:val="714"/>
    <w:uiPriority w:val="39"/>
    <w:unhideWhenUsed/>
    <w:qFormat/>
    <w:pPr>
      <w:ind w:left="850" w:right="0" w:firstLine="0"/>
      <w:spacing w:after="57"/>
    </w:pPr>
  </w:style>
  <w:style w:type="paragraph" w:styleId="738">
    <w:name w:val="Subtitle"/>
    <w:basedOn w:val="714"/>
    <w:next w:val="714"/>
    <w:link w:val="763"/>
    <w:uiPriority w:val="11"/>
    <w:qFormat/>
    <w:pPr>
      <w:spacing w:before="200" w:after="200"/>
    </w:pPr>
    <w:rPr>
      <w:sz w:val="24"/>
      <w:szCs w:val="24"/>
    </w:rPr>
  </w:style>
  <w:style w:type="paragraph" w:styleId="739">
    <w:name w:val="footnote text"/>
    <w:basedOn w:val="714"/>
    <w:link w:val="896"/>
    <w:uiPriority w:val="99"/>
    <w:semiHidden/>
    <w:unhideWhenUsed/>
    <w:qFormat/>
    <w:pPr>
      <w:spacing w:after="40" w:line="240" w:lineRule="auto"/>
    </w:pPr>
    <w:rPr>
      <w:sz w:val="18"/>
    </w:rPr>
  </w:style>
  <w:style w:type="paragraph" w:styleId="740">
    <w:name w:val="toc 6"/>
    <w:basedOn w:val="714"/>
    <w:next w:val="714"/>
    <w:uiPriority w:val="39"/>
    <w:unhideWhenUsed/>
    <w:qFormat/>
    <w:pPr>
      <w:ind w:left="1417" w:right="0" w:firstLine="0"/>
      <w:spacing w:after="57"/>
    </w:pPr>
  </w:style>
  <w:style w:type="paragraph" w:styleId="741">
    <w:name w:val="table of figures"/>
    <w:basedOn w:val="714"/>
    <w:next w:val="714"/>
    <w:uiPriority w:val="99"/>
    <w:unhideWhenUsed/>
    <w:qFormat/>
    <w:pPr>
      <w:spacing w:after="0" w:afterAutospacing="0"/>
    </w:pPr>
  </w:style>
  <w:style w:type="paragraph" w:styleId="742">
    <w:name w:val="toc 2"/>
    <w:basedOn w:val="714"/>
    <w:next w:val="714"/>
    <w:uiPriority w:val="39"/>
    <w:unhideWhenUsed/>
    <w:qFormat/>
    <w:pPr>
      <w:ind w:left="283" w:right="0" w:firstLine="0"/>
      <w:spacing w:after="57"/>
    </w:pPr>
  </w:style>
  <w:style w:type="paragraph" w:styleId="743">
    <w:name w:val="toc 9"/>
    <w:basedOn w:val="714"/>
    <w:next w:val="714"/>
    <w:uiPriority w:val="39"/>
    <w:unhideWhenUsed/>
    <w:qFormat/>
    <w:pPr>
      <w:ind w:left="2268" w:right="0" w:firstLine="0"/>
      <w:spacing w:after="57"/>
    </w:pPr>
  </w:style>
  <w:style w:type="paragraph" w:styleId="744">
    <w:name w:val="Normal (Web)"/>
    <w:basedOn w:val="714"/>
    <w:uiPriority w:val="99"/>
    <w:qFormat/>
    <w:pPr>
      <w:jc w:val="left"/>
      <w:spacing w:before="100" w:beforeAutospacing="1" w:after="100" w:afterAutospacing="1"/>
      <w:widowControl/>
    </w:pPr>
    <w:rPr>
      <w:rFonts w:ascii="宋体" w:hAnsi="宋体" w:eastAsia="宋体" w:cs="宋体"/>
      <w:sz w:val="24"/>
      <w:szCs w:val="24"/>
    </w:rPr>
  </w:style>
  <w:style w:type="paragraph" w:styleId="745">
    <w:name w:val="Title"/>
    <w:basedOn w:val="714"/>
    <w:next w:val="714"/>
    <w:link w:val="762"/>
    <w:uiPriority w:val="10"/>
    <w:qFormat/>
    <w:pPr>
      <w:contextualSpacing/>
      <w:spacing w:before="300" w:after="200"/>
    </w:pPr>
    <w:rPr>
      <w:sz w:val="48"/>
      <w:szCs w:val="48"/>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basedOn w:val="724"/>
    <w:uiPriority w:val="99"/>
    <w:semiHidden/>
    <w:unhideWhenUsed/>
    <w:qFormat/>
    <w:rPr>
      <w:vertAlign w:val="superscript"/>
    </w:rPr>
  </w:style>
  <w:style w:type="character" w:styleId="748">
    <w:name w:val="Emphasis"/>
    <w:uiPriority w:val="0"/>
    <w:qFormat/>
    <w:rPr>
      <w:i/>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basedOn w:val="724"/>
    <w:uiPriority w:val="99"/>
    <w:unhideWhenUsed/>
    <w:qFormat/>
    <w:rPr>
      <w:vertAlign w:val="superscript"/>
    </w:rPr>
  </w:style>
  <w:style w:type="character" w:styleId="751" w:customStyle="1">
    <w:name w:val="Heading 1 Char"/>
    <w:basedOn w:val="724"/>
    <w:link w:val="715"/>
    <w:uiPriority w:val="9"/>
    <w:qFormat/>
    <w:rPr>
      <w:rFonts w:ascii="Arial" w:hAnsi="Arial" w:eastAsia="Arial" w:cs="Arial"/>
      <w:sz w:val="40"/>
      <w:szCs w:val="40"/>
    </w:rPr>
  </w:style>
  <w:style w:type="character" w:styleId="752" w:customStyle="1">
    <w:name w:val="Heading 2 Char"/>
    <w:basedOn w:val="724"/>
    <w:link w:val="716"/>
    <w:uiPriority w:val="9"/>
    <w:qFormat/>
    <w:rPr>
      <w:rFonts w:ascii="Arial" w:hAnsi="Arial" w:eastAsia="Arial" w:cs="Arial"/>
      <w:sz w:val="34"/>
    </w:rPr>
  </w:style>
  <w:style w:type="character" w:styleId="753" w:customStyle="1">
    <w:name w:val="Heading 3 Char"/>
    <w:basedOn w:val="724"/>
    <w:link w:val="717"/>
    <w:uiPriority w:val="9"/>
    <w:qFormat/>
    <w:rPr>
      <w:rFonts w:ascii="Arial" w:hAnsi="Arial" w:eastAsia="Arial" w:cs="Arial"/>
      <w:sz w:val="30"/>
      <w:szCs w:val="30"/>
    </w:rPr>
  </w:style>
  <w:style w:type="character" w:styleId="754" w:customStyle="1">
    <w:name w:val="Heading 4 Char"/>
    <w:basedOn w:val="724"/>
    <w:link w:val="718"/>
    <w:uiPriority w:val="9"/>
    <w:qFormat/>
    <w:rPr>
      <w:rFonts w:ascii="Arial" w:hAnsi="Arial" w:eastAsia="Arial" w:cs="Arial"/>
      <w:b/>
      <w:bCs/>
      <w:sz w:val="26"/>
      <w:szCs w:val="26"/>
    </w:rPr>
  </w:style>
  <w:style w:type="character" w:styleId="755" w:customStyle="1">
    <w:name w:val="Heading 5 Char"/>
    <w:basedOn w:val="724"/>
    <w:link w:val="719"/>
    <w:uiPriority w:val="9"/>
    <w:qFormat/>
    <w:rPr>
      <w:rFonts w:ascii="Arial" w:hAnsi="Arial" w:eastAsia="Arial" w:cs="Arial"/>
      <w:b/>
      <w:bCs/>
      <w:sz w:val="24"/>
      <w:szCs w:val="24"/>
    </w:rPr>
  </w:style>
  <w:style w:type="character" w:styleId="756" w:customStyle="1">
    <w:name w:val="Heading 6 Char"/>
    <w:basedOn w:val="724"/>
    <w:link w:val="720"/>
    <w:uiPriority w:val="9"/>
    <w:qFormat/>
    <w:rPr>
      <w:rFonts w:ascii="Arial" w:hAnsi="Arial" w:eastAsia="Arial" w:cs="Arial"/>
      <w:b/>
      <w:bCs/>
      <w:sz w:val="22"/>
      <w:szCs w:val="22"/>
    </w:rPr>
  </w:style>
  <w:style w:type="character" w:styleId="757" w:customStyle="1">
    <w:name w:val="Heading 7 Char"/>
    <w:basedOn w:val="724"/>
    <w:link w:val="721"/>
    <w:uiPriority w:val="9"/>
    <w:qFormat/>
    <w:rPr>
      <w:rFonts w:ascii="Arial" w:hAnsi="Arial" w:eastAsia="Arial" w:cs="Arial"/>
      <w:b/>
      <w:bCs/>
      <w:i/>
      <w:iCs/>
      <w:sz w:val="22"/>
      <w:szCs w:val="22"/>
    </w:rPr>
  </w:style>
  <w:style w:type="character" w:styleId="758" w:customStyle="1">
    <w:name w:val="Heading 8 Char"/>
    <w:basedOn w:val="724"/>
    <w:link w:val="722"/>
    <w:uiPriority w:val="9"/>
    <w:qFormat/>
    <w:rPr>
      <w:rFonts w:ascii="Arial" w:hAnsi="Arial" w:eastAsia="Arial" w:cs="Arial"/>
      <w:i/>
      <w:iCs/>
      <w:sz w:val="22"/>
      <w:szCs w:val="22"/>
    </w:rPr>
  </w:style>
  <w:style w:type="character" w:styleId="759" w:customStyle="1">
    <w:name w:val="Heading 9 Char"/>
    <w:basedOn w:val="724"/>
    <w:link w:val="723"/>
    <w:uiPriority w:val="9"/>
    <w:qFormat/>
    <w:rPr>
      <w:rFonts w:ascii="Arial" w:hAnsi="Arial" w:eastAsia="Arial" w:cs="Arial"/>
      <w:i/>
      <w:iCs/>
      <w:sz w:val="21"/>
      <w:szCs w:val="21"/>
    </w:rPr>
  </w:style>
  <w:style w:type="paragraph" w:styleId="760">
    <w:name w:val="List Paragraph"/>
    <w:basedOn w:val="714"/>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24"/>
    <w:link w:val="745"/>
    <w:uiPriority w:val="10"/>
    <w:qFormat/>
    <w:rPr>
      <w:sz w:val="48"/>
      <w:szCs w:val="48"/>
    </w:rPr>
  </w:style>
  <w:style w:type="character" w:styleId="763" w:customStyle="1">
    <w:name w:val="Subtitle Char"/>
    <w:basedOn w:val="724"/>
    <w:link w:val="738"/>
    <w:uiPriority w:val="11"/>
    <w:qFormat/>
    <w:rPr>
      <w:sz w:val="24"/>
      <w:szCs w:val="24"/>
    </w:rPr>
  </w:style>
  <w:style w:type="paragraph" w:styleId="764">
    <w:name w:val="Quote"/>
    <w:basedOn w:val="714"/>
    <w:next w:val="714"/>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4"/>
    <w:next w:val="7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24"/>
    <w:uiPriority w:val="99"/>
    <w:qFormat/>
  </w:style>
  <w:style w:type="character" w:styleId="769" w:customStyle="1">
    <w:name w:val="Footer Char"/>
    <w:basedOn w:val="724"/>
    <w:uiPriority w:val="99"/>
    <w:qFormat/>
  </w:style>
  <w:style w:type="character" w:styleId="770" w:customStyle="1">
    <w:name w:val="Caption Char"/>
    <w:uiPriority w:val="99"/>
    <w:qFormat/>
  </w:style>
  <w:style w:type="table" w:styleId="771"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2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basedOn w:val="72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basedOn w:val="72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basedOn w:val="72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basedOn w:val="72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basedOn w:val="72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2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2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2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basedOn w:val="72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2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2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2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2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2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2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2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2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2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2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2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2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2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72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72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72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72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72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2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2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2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2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2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basedOn w:val="72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basedOn w:val="72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basedOn w:val="72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basedOn w:val="72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basedOn w:val="72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2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2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2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2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2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2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2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basedOn w:val="72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basedOn w:val="72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basedOn w:val="72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basedOn w:val="72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basedOn w:val="72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2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2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2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2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2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2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2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basedOn w:val="72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basedOn w:val="72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basedOn w:val="72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2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2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9"/>
    <w:uiPriority w:val="99"/>
    <w:qFormat/>
    <w:rPr>
      <w:sz w:val="18"/>
    </w:rPr>
  </w:style>
  <w:style w:type="character" w:styleId="897" w:customStyle="1">
    <w:name w:val="Endnote Text Char"/>
    <w:link w:val="733"/>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00" w:customStyle="1">
    <w:name w:val="标题 212"/>
    <w:basedOn w:val="714"/>
    <w:uiPriority w:val="0"/>
    <w:qFormat/>
    <w:pPr>
      <w:keepLines/>
      <w:keepNext/>
      <w:spacing w:before="360" w:after="200"/>
      <w:outlineLvl w:val="1"/>
    </w:pPr>
    <w:rPr>
      <w:rFonts w:ascii="Arial" w:hAnsi="Arial"/>
      <w:sz w:val="34"/>
      <w:szCs w:val="22"/>
    </w:rPr>
  </w:style>
  <w:style w:type="character" w:styleId="901" w:customStyle="1">
    <w:name w:val="默认段落字体13"/>
    <w:link w:val="714"/>
    <w:uiPriority w:val="0"/>
    <w:semiHidden/>
    <w:qFormat/>
  </w:style>
  <w:style w:type="table" w:styleId="902"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03" w:customStyle="1">
    <w:name w:val="正文缩进11"/>
    <w:basedOn w:val="714"/>
    <w:uiPriority w:val="0"/>
    <w:qFormat/>
    <w:pPr>
      <w:ind w:firstLine="420"/>
      <w:jc w:val="left"/>
    </w:pPr>
    <w:rPr>
      <w:sz w:val="24"/>
      <w:szCs w:val="24"/>
    </w:rPr>
  </w:style>
  <w:style w:type="paragraph" w:styleId="904" w:customStyle="1">
    <w:name w:val="批注文字1"/>
    <w:basedOn w:val="714"/>
    <w:uiPriority w:val="0"/>
    <w:qFormat/>
    <w:pPr>
      <w:jc w:val="left"/>
    </w:pPr>
  </w:style>
  <w:style w:type="paragraph" w:styleId="905" w:customStyle="1">
    <w:name w:val="正文文本缩进11"/>
    <w:basedOn w:val="714"/>
    <w:uiPriority w:val="0"/>
    <w:qFormat/>
    <w:pPr>
      <w:ind w:firstLine="645"/>
      <w:jc w:val="both"/>
      <w:widowControl w:val="off"/>
    </w:pPr>
    <w:rPr>
      <w:rFonts w:ascii="楷体_GB2312" w:hAnsi="宋体" w:eastAsia="楷体_GB2312"/>
      <w:sz w:val="32"/>
      <w:szCs w:val="32"/>
      <w:lang w:val="en-US" w:eastAsia="zh-CN" w:bidi="ar-SA"/>
    </w:rPr>
  </w:style>
  <w:style w:type="paragraph" w:styleId="906"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07" w:customStyle="1">
    <w:name w:val="普通(网站)1"/>
    <w:basedOn w:val="714"/>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08" w:customStyle="1">
    <w:name w:val="正文首行缩进 21"/>
    <w:basedOn w:val="905"/>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09" w:customStyle="1">
    <w:name w:val="网格型11"/>
    <w:uiPriority w:val="0"/>
    <w:qFormat/>
    <w:rPr>
      <w:lang w:val="en-US" w:eastAsia="zh-CN" w:bidi="ar-SA"/>
    </w:rPr>
    <w:tblPr/>
  </w:style>
  <w:style w:type="character" w:styleId="910" w:customStyle="1">
    <w:name w:val="要点1"/>
    <w:link w:val="714"/>
    <w:uiPriority w:val="0"/>
    <w:qFormat/>
    <w:rPr>
      <w:b/>
    </w:rPr>
  </w:style>
  <w:style w:type="character" w:styleId="911" w:customStyle="1">
    <w:name w:val="超链接1"/>
    <w:basedOn w:val="901"/>
    <w:link w:val="714"/>
    <w:uiPriority w:val="0"/>
    <w:qFormat/>
    <w:rPr>
      <w:color w:val="0000ff"/>
      <w:u w:val="single"/>
    </w:rPr>
  </w:style>
  <w:style w:type="character" w:styleId="912" w:customStyle="1">
    <w:name w:val="默认段落字体11"/>
    <w:link w:val="714"/>
    <w:uiPriority w:val="0"/>
    <w:qFormat/>
    <w:rPr>
      <w:rFonts w:ascii="Calibri" w:hAnsi="Calibri" w:eastAsia="宋体"/>
      <w:sz w:val="21"/>
      <w:szCs w:val="22"/>
      <w:lang w:val="en-US" w:eastAsia="zh-CN" w:bidi="ar-SA"/>
    </w:rPr>
  </w:style>
  <w:style w:type="paragraph" w:styleId="913" w:customStyle="1">
    <w:name w:val="标题 211"/>
    <w:basedOn w:val="714"/>
    <w:uiPriority w:val="0"/>
    <w:qFormat/>
    <w:pPr>
      <w:jc w:val="center"/>
      <w:keepLines/>
      <w:keepNext/>
      <w:spacing w:before="260" w:after="260" w:line="416" w:lineRule="auto"/>
      <w:outlineLvl w:val="1"/>
    </w:pPr>
    <w:rPr>
      <w:rFonts w:ascii="幼圆" w:eastAsia="楷体_GB2312"/>
      <w:b/>
      <w:sz w:val="44"/>
      <w:szCs w:val="20"/>
    </w:rPr>
  </w:style>
  <w:style w:type="character" w:styleId="914" w:customStyle="1">
    <w:name w:val="已访问的超链接1"/>
    <w:link w:val="714"/>
    <w:uiPriority w:val="0"/>
    <w:qFormat/>
    <w:rPr>
      <w:color w:val="800080"/>
      <w:u w:val="single"/>
    </w:rPr>
  </w:style>
  <w:style w:type="paragraph" w:styleId="915"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16"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17" w:customStyle="1">
    <w:name w:val="WPSOffice手动目录 1"/>
    <w:uiPriority w:val="0"/>
    <w:qFormat/>
    <w:rPr>
      <w:rFonts w:hint="default" w:ascii="Times New Roman" w:hAnsi="Times New Roman" w:eastAsia="宋体" w:cs="Times New Roman"/>
      <w:lang w:val="en-US" w:eastAsia="zh-CN" w:bidi="ar-SA"/>
    </w:rPr>
  </w:style>
  <w:style w:type="paragraph" w:styleId="91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19"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20"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21" w:customStyle="1">
    <w:name w:val="标题 4 Char"/>
    <w:link w:val="714"/>
    <w:uiPriority w:val="0"/>
    <w:qFormat/>
    <w:rPr>
      <w:rFonts w:ascii="Cambria" w:hAnsi="Cambria" w:eastAsia="宋体"/>
      <w:b/>
      <w:bCs/>
      <w:sz w:val="28"/>
      <w:szCs w:val="28"/>
    </w:rPr>
  </w:style>
  <w:style w:type="paragraph" w:styleId="922" w:customStyle="1">
    <w:name w:val="p0"/>
    <w:uiPriority w:val="0"/>
    <w:qFormat/>
    <w:pPr>
      <w:jc w:val="both"/>
    </w:pPr>
    <w:rPr>
      <w:rFonts w:hint="default" w:ascii="Calibri" w:hAnsi="Calibri" w:eastAsia="宋体" w:cs="Times New Roman"/>
      <w:sz w:val="21"/>
      <w:szCs w:val="21"/>
      <w:lang w:val="en-US" w:eastAsia="zh-CN" w:bidi="ar-SA"/>
    </w:rPr>
  </w:style>
  <w:style w:type="paragraph" w:styleId="92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32"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34"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55"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5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61"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62"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6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69"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7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76"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77"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78" w:customStyle="1">
    <w:name w:val="页码1"/>
    <w:link w:val="714"/>
    <w:uiPriority w:val="0"/>
    <w:qFormat/>
  </w:style>
  <w:style w:type="character" w:styleId="979" w:customStyle="1">
    <w:name w:val="标题 4 Char3"/>
    <w:link w:val="714"/>
    <w:uiPriority w:val="0"/>
    <w:qFormat/>
    <w:rPr>
      <w:rFonts w:ascii="Cambria" w:hAnsi="Cambria" w:eastAsia="宋体"/>
      <w:b/>
      <w:bCs/>
      <w:sz w:val="28"/>
      <w:szCs w:val="28"/>
    </w:rPr>
  </w:style>
  <w:style w:type="paragraph" w:styleId="98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83" w:customStyle="1">
    <w:name w:val="默认段落字体12"/>
    <w:link w:val="714"/>
    <w:uiPriority w:val="0"/>
    <w:qFormat/>
  </w:style>
  <w:style w:type="character" w:styleId="984" w:customStyle="1">
    <w:name w:val="默认段落字体111"/>
    <w:link w:val="714"/>
    <w:uiPriority w:val="0"/>
    <w:qFormat/>
  </w:style>
  <w:style w:type="paragraph" w:styleId="985" w:customStyle="1">
    <w:name w:val="Plain Text1"/>
    <w:basedOn w:val="714"/>
    <w:uiPriority w:val="0"/>
    <w:qFormat/>
    <w:rPr>
      <w:rFonts w:ascii="宋体" w:hAnsi="Courier New"/>
      <w:szCs w:val="24"/>
    </w:rPr>
  </w:style>
  <w:style w:type="paragraph" w:styleId="986" w:customStyle="1">
    <w:name w:val="纯文本11"/>
    <w:basedOn w:val="714"/>
    <w:uiPriority w:val="0"/>
    <w:qFormat/>
    <w:pPr>
      <w:jc w:val="left"/>
      <w:widowControl/>
    </w:pPr>
    <w:rPr>
      <w:rFonts w:ascii="宋体" w:hAnsi="Courier New" w:eastAsia="楷体_GB2312"/>
      <w:sz w:val="26"/>
    </w:rPr>
  </w:style>
  <w:style w:type="character" w:styleId="987" w:customStyle="1">
    <w:name w:val="15"/>
    <w:basedOn w:val="901"/>
    <w:link w:val="714"/>
    <w:uiPriority w:val="0"/>
    <w:qFormat/>
    <w:rPr>
      <w:rFonts w:ascii="Times New Roman" w:hAnsi="Times New Roman"/>
    </w:rPr>
  </w:style>
  <w:style w:type="paragraph" w:styleId="988" w:customStyle="1">
    <w:name w:val="纯文本1"/>
    <w:basedOn w:val="714"/>
    <w:uiPriority w:val="0"/>
    <w:qFormat/>
    <w:rPr>
      <w:rFonts w:hint="eastAsia" w:ascii="宋体" w:hAnsi="Courier New"/>
      <w:sz w:val="28"/>
      <w:szCs w:val="20"/>
    </w:rPr>
  </w:style>
  <w:style w:type="paragraph" w:styleId="989" w:customStyle="1">
    <w:name w:val="寄信人地址1"/>
    <w:basedOn w:val="714"/>
    <w:uiPriority w:val="0"/>
    <w:qFormat/>
    <w:rPr>
      <w:rFonts w:ascii="Arial" w:hAnsi="Arial"/>
      <w:sz w:val="21"/>
      <w:szCs w:val="22"/>
    </w:rPr>
  </w:style>
  <w:style w:type="paragraph" w:styleId="990"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991" w:customStyle="1">
    <w:name w:val="网格型1"/>
    <w:uiPriority w:val="0"/>
    <w:qFormat/>
    <w:rPr>
      <w:lang w:val="en-US" w:eastAsia="zh-CN" w:bidi="ar-SA"/>
    </w:rPr>
    <w:tblPr/>
  </w:style>
  <w:style w:type="character" w:styleId="992" w:customStyle="1">
    <w:name w:val="默认段落字体1"/>
    <w:link w:val="714"/>
    <w:uiPriority w:val="0"/>
    <w:qFormat/>
  </w:style>
  <w:style w:type="paragraph" w:styleId="993" w:customStyle="1">
    <w:name w:val="页眉2"/>
    <w:basedOn w:val="714"/>
    <w:link w:val="994"/>
    <w:uiPriority w:val="0"/>
    <w:qFormat/>
    <w:pPr>
      <w:jc w:val="center"/>
      <w:tabs>
        <w:tab w:val="center" w:pos="4153" w:leader="none"/>
        <w:tab w:val="right" w:pos="8306" w:leader="none"/>
      </w:tabs>
      <w:pBdr>
        <w:bottom w:val="single" w:color="auto" w:sz="6" w:space="1"/>
      </w:pBdr>
    </w:pPr>
    <w:rPr>
      <w:sz w:val="18"/>
      <w:szCs w:val="18"/>
    </w:rPr>
  </w:style>
  <w:style w:type="character" w:styleId="994" w:customStyle="1">
    <w:name w:val="页眉 Char"/>
    <w:basedOn w:val="901"/>
    <w:link w:val="993"/>
    <w:uiPriority w:val="0"/>
    <w:qFormat/>
    <w:rPr>
      <w:rFonts w:ascii="Calibri" w:hAnsi="Calibri"/>
      <w:sz w:val="18"/>
      <w:szCs w:val="18"/>
    </w:rPr>
  </w:style>
  <w:style w:type="paragraph" w:styleId="995" w:customStyle="1">
    <w:name w:val="页脚2"/>
    <w:basedOn w:val="714"/>
    <w:link w:val="996"/>
    <w:uiPriority w:val="0"/>
    <w:qFormat/>
    <w:pPr>
      <w:jc w:val="left"/>
      <w:tabs>
        <w:tab w:val="center" w:pos="4153" w:leader="none"/>
        <w:tab w:val="right" w:pos="8306" w:leader="none"/>
      </w:tabs>
    </w:pPr>
    <w:rPr>
      <w:sz w:val="18"/>
      <w:szCs w:val="18"/>
    </w:rPr>
  </w:style>
  <w:style w:type="character" w:styleId="996" w:customStyle="1">
    <w:name w:val="页脚 Char"/>
    <w:basedOn w:val="901"/>
    <w:link w:val="995"/>
    <w:uiPriority w:val="0"/>
    <w:qFormat/>
    <w:rPr>
      <w:rFonts w:ascii="Calibri" w:hAnsi="Calibri"/>
      <w:sz w:val="18"/>
      <w:szCs w:val="18"/>
    </w:rPr>
  </w:style>
  <w:style w:type="paragraph" w:styleId="997" w:customStyle="1">
    <w:name w:val="批注框文本1"/>
    <w:basedOn w:val="714"/>
    <w:link w:val="998"/>
    <w:uiPriority w:val="0"/>
    <w:qFormat/>
    <w:rPr>
      <w:sz w:val="18"/>
      <w:szCs w:val="18"/>
    </w:rPr>
  </w:style>
  <w:style w:type="character" w:styleId="998" w:customStyle="1">
    <w:name w:val="批注框文本 Char"/>
    <w:basedOn w:val="901"/>
    <w:link w:val="997"/>
    <w:uiPriority w:val="0"/>
    <w:qFormat/>
    <w:rPr>
      <w:rFonts w:ascii="Calibri" w:hAnsi="Calibri"/>
      <w:sz w:val="18"/>
      <w:szCs w:val="18"/>
    </w:rPr>
  </w:style>
  <w:style w:type="paragraph" w:styleId="999"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04" w:customStyle="1">
    <w:name w:val="段"/>
    <w:next w:val="71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05" w:customStyle="1">
    <w:name w:val="Normal_1_0_0"/>
    <w:uiPriority w:val="0"/>
    <w:qFormat/>
    <w:rPr>
      <w:rFonts w:hint="default" w:ascii="Times New Roman" w:hAnsi="Times New Roman" w:eastAsia="Times New Roman" w:cs="Times New Roman"/>
      <w:sz w:val="24"/>
      <w:szCs w:val="24"/>
    </w:rPr>
  </w:style>
  <w:style w:type="paragraph" w:styleId="1006" w:customStyle="1">
    <w:name w:val="标题 411"/>
    <w:basedOn w:val="714"/>
    <w:next w:val="714"/>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07" w:customStyle="1">
    <w:name w:val="Table Normal"/>
    <w:uiPriority w:val="0"/>
    <w:semiHidden/>
    <w:unhideWhenUsed/>
    <w:qFormat/>
    <w:tblPr>
      <w:tblCellMar>
        <w:left w:w="0" w:type="dxa"/>
        <w:top w:w="0" w:type="dxa"/>
        <w:right w:w="0" w:type="dxa"/>
        <w:bottom w:w="0" w:type="dxa"/>
      </w:tblCellMar>
    </w:tblPr>
  </w:style>
  <w:style w:type="numbering" w:styleId="46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8</cp:revision>
  <dcterms:created xsi:type="dcterms:W3CDTF">2025-09-16T01:10:00Z</dcterms:created>
  <dcterms:modified xsi:type="dcterms:W3CDTF">2026-07-15T08:38:28Z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667CC299A5A544E6ABBE5DF753B38CDE_13</vt:lpwstr>
  </property>
  <property fmtid="{D5CDD505-2E9C-101B-9397-08002B2CF9AE}" pid="4" name="KSOTemplateDocerSaveRecord">
    <vt:lpwstr>eyJoZGlkIjoiZjZlYzA5NzY1YjlmYThhMDRjMWUyOTFiYzg4YjQ3Y2EiLCJ1c2VySWQiOiIzMTEzODYxNTAifQ==</vt:lpwstr>
  </property>
</Properties>
</file>