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jc w:val="left"/>
      </w:pPr>
      <w:r/>
      <w:r/>
    </w:p>
    <w:p>
      <w:pPr>
        <w:pStyle w:val="815"/>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15"/>
      </w:pPr>
      <w:r/>
      <w:r/>
    </w:p>
    <w:p>
      <w:pPr>
        <w:pStyle w:val="815"/>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1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ind w:firstLine="1506"/>
        <w:rPr>
          <w:rFonts w:hint="eastAsia"/>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cs="宋体"/>
          <w:b/>
          <w:sz w:val="30"/>
          <w:szCs w:val="30"/>
          <w:lang w:bidi="ar"/>
        </w:rPr>
        <w:t xml:space="preserve">宿迁卫校24号楼加装电梯</w:t>
      </w:r>
      <w:r>
        <w:rPr>
          <w:rFonts w:hint="eastAsia" w:ascii="Times New Roman" w:hAnsi="Times New Roman" w:cs="宋体"/>
          <w:b/>
          <w:sz w:val="30"/>
          <w:szCs w:val="30"/>
          <w:lang w:bidi="ar"/>
        </w:rPr>
        <w:t xml:space="preserve">项目</w:t>
      </w:r>
      <w:r/>
    </w:p>
    <w:p>
      <w:pPr>
        <w:pStyle w:val="815"/>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5"/>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JSZC-321300-JZCG-G2026-0061</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15"/>
        <w:ind w:left="2800" w:hanging="2800"/>
        <w:rPr>
          <w:rFonts w:ascii="Times New Roman" w:hAnsi="Times New Roman"/>
          <w:sz w:val="28"/>
          <w:szCs w:val="28"/>
          <w:lang w:bidi="ar"/>
        </w:rPr>
      </w:pPr>
      <w:r>
        <w:rPr>
          <w:rFonts w:ascii="Times New Roman" w:hAnsi="Times New Roman"/>
          <w:sz w:val="28"/>
          <w:szCs w:val="28"/>
          <w:lang w:bidi="ar"/>
        </w:rPr>
      </w:r>
      <w:r/>
    </w:p>
    <w:p>
      <w:pPr>
        <w:pStyle w:val="815"/>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hint="eastAsia" w:ascii="Times New Roman" w:hAnsi="Times New Roman"/>
          <w:sz w:val="28"/>
          <w:szCs w:val="28"/>
          <w:lang w:bidi="ar"/>
        </w:rPr>
        <w:t xml:space="preserve">          </w:t>
      </w:r>
      <w:r>
        <w:rPr>
          <w:b/>
          <w:sz w:val="28"/>
          <w:szCs w:val="28"/>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p>
      <w:pPr>
        <w:pStyle w:val="815"/>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5"/>
              <w:jc w:val="left"/>
              <w:spacing w:line="500" w:lineRule="exact"/>
              <w:rPr>
                <w:rFonts w:ascii="仿宋" w:hAnsi="仿宋" w:eastAsia="仿宋" w:cs="仿宋"/>
                <w:sz w:val="24"/>
                <w:szCs w:val="24"/>
              </w:rPr>
              <w:framePr w:hSpace="180" w:wrap="around" w:vAnchor="text" w:hAnchor="page" w:x="2413" w:y="466"/>
            </w:pPr>
            <w:r/>
            <w:bookmarkStart w:id="3" w:name="OLE_LINK17"/>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5"/>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sz w:val="30"/>
                <w:szCs w:val="30"/>
                <w:lang w:bidi="ar"/>
              </w:rPr>
              <w:t xml:space="preserve">江苏省宿迁卫生中等专业学校</w:t>
            </w:r>
            <w:r>
              <w:rPr>
                <w:rFonts w:hint="eastAsia" w:ascii="仿宋" w:hAnsi="仿宋" w:cs="仿宋"/>
                <w:sz w:val="24"/>
                <w:szCs w:val="24"/>
              </w:rPr>
              <w:t xml:space="preserve"> </w:t>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5"/>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5"/>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sz w:val="30"/>
                <w:szCs w:val="30"/>
                <w:lang w:bidi="ar"/>
              </w:rPr>
              <w:t xml:space="preserve">宿迁市公共资源交易中心</w:t>
            </w:r>
            <w:r>
              <w:rPr>
                <w:rFonts w:hint="eastAsia" w:ascii="仿宋" w:hAnsi="仿宋" w:cs="仿宋"/>
                <w:sz w:val="24"/>
                <w:szCs w:val="24"/>
                <w:highlight w:val="yellow"/>
              </w:rPr>
            </w:r>
            <w:r/>
          </w:p>
        </w:tc>
      </w:tr>
    </w:tbl>
    <w:p>
      <w:pPr>
        <w:pStyle w:val="815"/>
        <w:jc w:val="left"/>
        <w:spacing w:line="360" w:lineRule="auto"/>
        <w:rPr>
          <w:rFonts w:ascii="宋体" w:hAnsi="宋体" w:cs="宋体"/>
          <w:sz w:val="24"/>
          <w:szCs w:val="24"/>
        </w:rPr>
      </w:pPr>
      <w:r>
        <w:rPr>
          <w:rFonts w:ascii="宋体" w:hAnsi="宋体" w:cs="宋体"/>
          <w:sz w:val="24"/>
          <w:szCs w:val="24"/>
        </w:rPr>
      </w:r>
      <w:r/>
    </w:p>
    <w:p>
      <w:pPr>
        <w:pStyle w:val="815"/>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5"/>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年08月</w:t>
      </w:r>
      <w:r>
        <w:rPr>
          <w:rFonts w:hint="eastAsia" w:ascii="Arial" w:hAnsi="Arial" w:cs="宋体"/>
          <w:b/>
          <w:sz w:val="32"/>
          <w:szCs w:val="24"/>
          <w:lang w:bidi="ar"/>
        </w:rPr>
        <w:t xml:space="preserve">26</w:t>
      </w:r>
      <w:r>
        <w:rPr>
          <w:rFonts w:hint="eastAsia" w:ascii="Arial" w:hAnsi="Arial" w:cs="宋体"/>
          <w:b/>
          <w:sz w:val="32"/>
          <w:szCs w:val="24"/>
          <w:lang w:bidi="ar"/>
        </w:rPr>
        <w:t xml:space="preserve">日</w:t>
      </w:r>
      <w:r>
        <w:rPr>
          <w:rFonts w:ascii="Arial" w:hAnsi="Arial"/>
          <w:b/>
          <w:sz w:val="32"/>
          <w:szCs w:val="24"/>
        </w:rPr>
      </w:r>
      <w:r/>
    </w:p>
    <w:p>
      <w:pPr>
        <w:pStyle w:val="815"/>
        <w:jc w:val="center"/>
        <w:spacing w:before="120" w:after="120" w:line="360" w:lineRule="auto"/>
        <w:rPr>
          <w:rFonts w:hint="eastAsia" w:ascii="Arial" w:hAnsi="Arial"/>
          <w:b/>
          <w:sz w:val="32"/>
          <w:szCs w:val="24"/>
        </w:rPr>
      </w:pPr>
      <w:r/>
      <w:bookmarkEnd w:id="3"/>
      <w:r>
        <w:rPr>
          <w:rFonts w:hint="eastAsia" w:ascii="Arial" w:hAnsi="Arial"/>
          <w:b/>
          <w:sz w:val="32"/>
          <w:szCs w:val="24"/>
        </w:rPr>
      </w:r>
      <w:r/>
    </w:p>
    <w:p>
      <w:pPr>
        <w:pStyle w:val="815"/>
        <w:jc w:val="center"/>
        <w:keepLines/>
        <w:keepNext/>
        <w:pageBreakBefore/>
        <w:rPr>
          <w:b/>
          <w:sz w:val="44"/>
          <w:szCs w:val="44"/>
        </w:rPr>
      </w:pPr>
      <w:r>
        <w:rPr>
          <w:rFonts w:hint="eastAsia"/>
          <w:b/>
          <w:sz w:val="44"/>
          <w:szCs w:val="44"/>
        </w:rPr>
        <w:t xml:space="preserve">目 录</w:t>
      </w:r>
      <w:r>
        <w:rPr>
          <w:b/>
          <w:sz w:val="44"/>
          <w:szCs w:val="44"/>
        </w:rPr>
      </w:r>
      <w:r/>
    </w:p>
    <w:p>
      <w:pPr>
        <w:pStyle w:val="874"/>
        <w:spacing w:line="600" w:lineRule="exact"/>
        <w:tabs>
          <w:tab w:val="right" w:pos="9185" w:leader="dot"/>
        </w:tabs>
        <w:rPr>
          <w:rFonts w:ascii="Times New Roman" w:hAnsi="Times New Roman" w:eastAsia="黑体"/>
          <w:b w:val="0"/>
          <w:bCs w:val="0"/>
          <w:sz w:val="32"/>
        </w:rPr>
      </w:pPr>
      <w:r>
        <w:fldChar w:fldCharType="begin"/>
      </w:r>
      <w:r>
        <w:instrText xml:space="preserve">TOC \o "1-1" \h \u </w:instrText>
      </w:r>
      <w:r>
        <w:fldChar w:fldCharType="separate"/>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_Toc10813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w:instrText>
      </w:r>
      <w:r>
        <w:rPr>
          <w:rFonts w:ascii="Times New Roman" w:hAnsi="Times New Roman" w:eastAsia="黑体"/>
          <w:b w:val="0"/>
          <w:bCs w:val="0"/>
          <w:sz w:val="32"/>
        </w:rPr>
        <w:instrText xml:space="preserve">INK \l _Toc9425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6</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_Toc17996 </w:instrText>
      </w:r>
      <w:r>
        <w:rPr>
          <w:rFonts w:ascii="Times New Roman" w:hAnsi="Times New Roman" w:eastAsia="黑体"/>
          <w:b w:val="0"/>
          <w:bCs w:val="0"/>
          <w:sz w:val="32"/>
        </w:rPr>
        <w:fldChar w:fldCharType="separate"/>
      </w:r>
      <w:r>
        <w:rPr>
          <w:rFonts w:hint="eastAsia" w:ascii="Times New Roman" w:hAnsi="Times New Roman" w:eastAsia="黑体" w:cs="Times New Roman"/>
          <w:b w:val="0"/>
          <w:bCs w:val="0"/>
          <w:sz w:val="32"/>
          <w:szCs w:val="44"/>
        </w:rPr>
        <w:t xml:space="preserve">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w:t>
      </w:r>
      <w:r>
        <w:rPr>
          <w:rFonts w:hint="eastAsia" w:ascii="Times New Roman" w:hAnsi="Times New Roman" w:eastAsia="黑体"/>
          <w:b w:val="0"/>
          <w:bCs w:val="0"/>
          <w:sz w:val="32"/>
        </w:rPr>
        <w:t xml:space="preserve">1</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_Toc22314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采购需求</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_Toc22314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w:t>
      </w:r>
      <w:r>
        <w:rPr>
          <w:rFonts w:hint="eastAsia" w:ascii="Times New Roman" w:hAnsi="Times New Roman" w:eastAsia="黑体"/>
          <w:b w:val="0"/>
          <w:bCs w:val="0"/>
          <w:sz w:val="32"/>
        </w:rPr>
        <w:t xml:space="preserve">4</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_Toc2513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合同文本</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_Toc2513 \h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3</w:t>
      </w:r>
      <w:r>
        <w:rPr>
          <w:rFonts w:ascii="Times New Roman" w:hAnsi="Times New Roman" w:eastAsia="黑体"/>
          <w:b w:val="0"/>
          <w:bCs w:val="0"/>
          <w:sz w:val="32"/>
        </w:rPr>
        <w:t xml:space="preserve">5</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rPr>
          <w:rFonts w:ascii="Times New Roman" w:hAnsi="Times New Roman" w:eastAsia="黑体"/>
          <w:b w:val="0"/>
          <w:bCs w:val="0"/>
          <w:sz w:val="32"/>
        </w:rPr>
      </w:r>
      <w:r/>
    </w:p>
    <w:p>
      <w:pPr>
        <w:pStyle w:val="874"/>
        <w:spacing w:line="600" w:lineRule="exact"/>
        <w:tabs>
          <w:tab w:val="right" w:pos="9185" w:leader="dot"/>
        </w:tabs>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w:instrText>
      </w:r>
      <w:r>
        <w:rPr>
          <w:rFonts w:ascii="Times New Roman" w:hAnsi="Times New Roman" w:eastAsia="黑体"/>
          <w:b w:val="0"/>
          <w:bCs w:val="0"/>
          <w:sz w:val="32"/>
        </w:rPr>
        <w:instrText xml:space="preserve">YPERLINK \l _Toc12937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第六章  投标文件格式</w:t>
      </w:r>
      <w:r>
        <w:rPr>
          <w:rFonts w:ascii="Times New Roman" w:hAnsi="Times New Roman" w:eastAsia="黑体"/>
          <w:b w:val="0"/>
          <w:bCs w:val="0"/>
          <w:sz w:val="32"/>
        </w:rPr>
        <w:tab/>
      </w:r>
      <w:r>
        <w:rPr>
          <w:rFonts w:hint="eastAsia" w:ascii="Times New Roman" w:hAnsi="Times New Roman" w:eastAsia="黑体"/>
          <w:b w:val="0"/>
          <w:bCs w:val="0"/>
          <w:sz w:val="32"/>
        </w:rPr>
        <w:t xml:space="preserve">51</w:t>
      </w:r>
      <w:r>
        <w:rPr>
          <w:rFonts w:ascii="Times New Roman" w:hAnsi="Times New Roman" w:eastAsia="黑体"/>
          <w:b w:val="0"/>
          <w:bCs w:val="0"/>
          <w:sz w:val="32"/>
        </w:rPr>
        <w:fldChar w:fldCharType="end"/>
      </w:r>
      <w:r/>
    </w:p>
    <w:p>
      <w:pPr>
        <w:pStyle w:val="815"/>
      </w:pPr>
      <w:r>
        <w:fldChar w:fldCharType="end"/>
      </w:r>
      <w:r/>
    </w:p>
    <w:p>
      <w:pPr>
        <w:pStyle w:val="815"/>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52"/>
      <w:r/>
      <w:bookmarkStart w:id="5" w:name="_Toc81575189"/>
      <w:r>
        <w:rPr>
          <w:b/>
          <w:sz w:val="44"/>
          <w:szCs w:val="44"/>
        </w:rPr>
      </w:r>
      <w:r/>
    </w:p>
    <w:p>
      <w:pPr>
        <w:pStyle w:val="816"/>
        <w:jc w:val="center"/>
        <w:spacing w:before="200"/>
        <w:rPr>
          <w:rFonts w:hint="eastAsia" w:eastAsia="黑体"/>
          <w:sz w:val="44"/>
        </w:rPr>
      </w:pPr>
      <w:r/>
      <w:bookmarkStart w:id="6" w:name="_Toc30943"/>
      <w:r/>
      <w:bookmarkStart w:id="7" w:name="_Toc10813"/>
      <w:r/>
      <w:bookmarkStart w:id="8" w:name="_Toc25722"/>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5"/>
        <w:ind w:firstLine="480"/>
        <w:spacing w:line="480" w:lineRule="exact"/>
        <w:rPr>
          <w:rFonts w:ascii="Times New Roman" w:hAnsi="Times New Roman" w:cs="方正仿宋_GBK"/>
          <w:sz w:val="24"/>
          <w:szCs w:val="24"/>
        </w:rPr>
      </w:pPr>
      <w:r>
        <w:rPr>
          <w:rFonts w:hint="eastAsia" w:ascii="宋体" w:hAnsi="宋体"/>
          <w:sz w:val="24"/>
          <w:szCs w:val="24"/>
        </w:rPr>
        <w:t xml:space="preserve">受</w:t>
      </w:r>
      <w:bookmarkStart w:id="9" w:name="OLE_LINK44"/>
      <w:r>
        <w:rPr>
          <w:rFonts w:hint="eastAsia" w:ascii="宋体" w:hAnsi="宋体"/>
          <w:sz w:val="24"/>
          <w:szCs w:val="24"/>
          <w:u w:val="single"/>
        </w:rPr>
        <w:t xml:space="preserve">江苏省宿迁卫生中等专业学校</w:t>
      </w:r>
      <w:bookmarkEnd w:id="9"/>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r>
      <w:r>
        <w:rPr>
          <w:rFonts w:hint="eastAsia" w:ascii="宋体" w:hAnsi="宋体"/>
          <w:sz w:val="24"/>
          <w:szCs w:val="24"/>
          <w:u w:val="single"/>
        </w:rPr>
        <w:t xml:space="preserve">宿迁卫校24号楼加装电梯</w:t>
      </w:r>
      <w:r>
        <w:rPr>
          <w:rFonts w:hint="eastAsia" w:ascii="宋体" w:hAnsi="宋体"/>
          <w:sz w:val="24"/>
          <w:szCs w:val="24"/>
          <w:u w:val="single"/>
        </w:rPr>
        <w:t xml:space="preserve">项目</w:t>
      </w:r>
      <w:r>
        <w:rPr>
          <w:rFonts w:hint="eastAsia" w:ascii="宋体" w:hAnsi="宋体"/>
          <w:sz w:val="24"/>
          <w:szCs w:val="24"/>
        </w:rPr>
        <w:t xml:space="preserve">(</w:t>
      </w:r>
      <w:r>
        <w:rPr>
          <w:rFonts w:ascii="宋体" w:hAnsi="宋体"/>
          <w:sz w:val="24"/>
          <w:szCs w:val="24"/>
          <w:u w:val="single"/>
        </w:rPr>
        <w:t xml:space="preserve">JSZC-321300-JZCG-G2026-0061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5"/>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5"/>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r>
      <w:r>
        <w:rPr>
          <w:rFonts w:hint="eastAsia" w:ascii="宋体" w:hAnsi="宋体"/>
          <w:sz w:val="24"/>
          <w:szCs w:val="24"/>
          <w:u w:val="single"/>
        </w:rPr>
        <w:t xml:space="preserve">宿迁卫校24号楼加装电梯</w:t>
      </w:r>
      <w:r>
        <w:rPr>
          <w:rFonts w:hint="eastAsia" w:ascii="宋体" w:hAnsi="宋体"/>
          <w:sz w:val="24"/>
          <w:szCs w:val="24"/>
          <w:u w:val="single"/>
        </w:rPr>
        <w:t xml:space="preserve">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年0</w:t>
      </w:r>
      <w:r>
        <w:rPr>
          <w:rFonts w:hint="eastAsia" w:ascii="宋体" w:hAnsi="宋体"/>
          <w:bCs/>
          <w:sz w:val="24"/>
          <w:szCs w:val="24"/>
          <w:u w:val="single"/>
        </w:rPr>
        <w:t xml:space="preserve">9</w:t>
      </w:r>
      <w:r>
        <w:rPr>
          <w:rFonts w:hint="eastAsia" w:ascii="宋体" w:hAnsi="宋体"/>
          <w:bCs/>
          <w:sz w:val="24"/>
          <w:szCs w:val="24"/>
          <w:u w:val="single"/>
        </w:rPr>
        <w:t xml:space="preserve">月</w:t>
      </w:r>
      <w:r>
        <w:rPr>
          <w:rFonts w:hint="eastAsia" w:ascii="宋体" w:hAnsi="宋体"/>
          <w:bCs/>
          <w:sz w:val="24"/>
          <w:szCs w:val="24"/>
          <w:u w:val="single"/>
        </w:rPr>
        <w:t xml:space="preserve">16</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17"/>
        <w:ind w:firstLine="643"/>
        <w:spacing w:before="0" w:after="0" w:line="480" w:lineRule="exact"/>
        <w:rPr>
          <w:rFonts w:hint="eastAsia" w:eastAsia="宋体" w:cs="Arial"/>
          <w:bCs/>
          <w:szCs w:val="22"/>
        </w:rPr>
      </w:pPr>
      <w:r/>
      <w:bookmarkStart w:id="10" w:name="_Toc35393790"/>
      <w:r/>
      <w:bookmarkStart w:id="11" w:name="_Toc28359002"/>
      <w:r/>
      <w:bookmarkStart w:id="12" w:name="_Toc28359079"/>
      <w:r/>
      <w:bookmarkStart w:id="13" w:name="_Toc2584"/>
      <w:r/>
      <w:bookmarkStart w:id="14" w:name="_Toc35393621"/>
      <w:r/>
      <w:bookmarkStart w:id="15" w:name="_Toc38985263"/>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w:t>
      </w:r>
      <w:r>
        <w:rPr>
          <w:rFonts w:ascii="Times New Roman" w:hAnsi="Times New Roman" w:cs="仿宋"/>
          <w:sz w:val="24"/>
          <w:szCs w:val="24"/>
        </w:rPr>
        <w:t xml:space="preserve">JSZC-321300-JZCG-G2026-0061</w:t>
      </w:r>
      <w:r>
        <w:rPr>
          <w:rFonts w:hint="eastAsia"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6"/>
      <w:r>
        <w:rPr>
          <w:rFonts w:hint="eastAsia" w:ascii="Times New Roman" w:hAnsi="Times New Roman" w:cs="仿宋"/>
          <w:sz w:val="24"/>
          <w:szCs w:val="24"/>
        </w:rPr>
      </w:r>
      <w:r>
        <w:rPr>
          <w:rFonts w:hint="eastAsia" w:ascii="Times New Roman" w:hAnsi="Times New Roman" w:cs="仿宋"/>
          <w:sz w:val="24"/>
          <w:szCs w:val="24"/>
        </w:rPr>
        <w:t xml:space="preserve">宿迁卫校24号楼加装电梯</w:t>
      </w:r>
      <w:r>
        <w:rPr>
          <w:rFonts w:hint="eastAsia" w:ascii="Times New Roman" w:hAnsi="Times New Roman" w:cs="仿宋"/>
          <w:sz w:val="24"/>
          <w:szCs w:val="24"/>
        </w:rPr>
        <w:t xml:space="preserve">项目</w:t>
      </w:r>
      <w:r/>
    </w:p>
    <w:p>
      <w:pPr>
        <w:pStyle w:val="815"/>
        <w:ind w:firstLine="480"/>
        <w:spacing w:line="480" w:lineRule="exact"/>
        <w:rPr>
          <w:rFonts w:ascii="仿宋" w:hAnsi="仿宋"/>
          <w:sz w:val="24"/>
          <w:szCs w:val="24"/>
        </w:rPr>
      </w:pPr>
      <w:r/>
      <w:bookmarkStart w:id="17" w:name="OLE_LINK21"/>
      <w:r>
        <w:rPr>
          <w:rFonts w:hint="eastAsia" w:ascii="Times New Roman" w:hAnsi="Times New Roman" w:cs="仿宋"/>
          <w:sz w:val="24"/>
          <w:szCs w:val="24"/>
        </w:rPr>
        <w:t xml:space="preserve">3.预算金额：</w:t>
      </w:r>
      <w:r>
        <w:rPr>
          <w:rFonts w:hint="eastAsia" w:ascii="Times New Roman" w:hAnsi="Times New Roman" w:cs="仿宋"/>
          <w:sz w:val="24"/>
          <w:szCs w:val="24"/>
        </w:rPr>
        <w:t xml:space="preserve">45</w:t>
      </w:r>
      <w:r>
        <w:rPr>
          <w:rFonts w:hint="eastAsia" w:ascii="Times New Roman" w:hAnsi="Times New Roman" w:cs="仿宋"/>
          <w:sz w:val="24"/>
          <w:szCs w:val="24"/>
        </w:rPr>
        <w:t xml:space="preserve">万元</w:t>
      </w:r>
      <w:r>
        <w:rPr>
          <w:rFonts w:ascii="仿宋" w:hAnsi="仿宋"/>
          <w:sz w:val="24"/>
          <w:szCs w:val="24"/>
        </w:rPr>
      </w:r>
      <w:r/>
    </w:p>
    <w:p>
      <w:pPr>
        <w:pStyle w:val="815"/>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8" w:name="EB6c1f3d39c6914ae1bada8ccaa777b37a"/>
      <w:r>
        <w:rPr>
          <w:rFonts w:hint="eastAsia" w:ascii="仿宋_GB2312"/>
          <w:sz w:val="24"/>
        </w:rPr>
        <w:t xml:space="preserve">18万元</w:t>
      </w:r>
      <w:r>
        <w:rPr>
          <w:rFonts w:ascii="仿宋" w:hAnsi="仿宋"/>
          <w:sz w:val="24"/>
          <w:szCs w:val="24"/>
        </w:rPr>
      </w:r>
      <w:r/>
    </w:p>
    <w:p>
      <w:pPr>
        <w:pStyle w:val="815"/>
        <w:ind w:firstLine="480"/>
        <w:spacing w:line="480" w:lineRule="exact"/>
        <w:rPr>
          <w:rFonts w:hint="eastAsia" w:ascii="Times New Roman" w:hAnsi="Times New Roman" w:cs="仿宋"/>
          <w:sz w:val="24"/>
          <w:szCs w:val="24"/>
        </w:rPr>
      </w:pPr>
      <w:r/>
      <w:bookmarkEnd w:id="17"/>
      <w:r/>
      <w:bookmarkEnd w:id="18"/>
      <w:r>
        <w:rPr>
          <w:rFonts w:hint="eastAsia" w:ascii="Times New Roman" w:hAnsi="Times New Roman" w:cs="仿宋"/>
          <w:sz w:val="24"/>
          <w:szCs w:val="24"/>
        </w:rPr>
        <w:t xml:space="preserve">5.采购需求（简介）：江苏省宿迁卫生中等专业学校拟采购电梯一台，具体详见采购需求内容。</w:t>
      </w:r>
      <w:r/>
    </w:p>
    <w:p>
      <w:pPr>
        <w:pStyle w:val="815"/>
        <w:ind w:firstLine="465"/>
        <w:jc w:val="left"/>
        <w:spacing w:line="400" w:lineRule="exact"/>
        <w:widowControl/>
        <w:rPr>
          <w:rFonts w:hint="eastAsia" w:ascii="宋体" w:hAnsi="宋体"/>
          <w:sz w:val="24"/>
          <w:szCs w:val="24"/>
        </w:rPr>
      </w:pPr>
      <w:r>
        <w:rPr>
          <w:rFonts w:hint="eastAsia" w:ascii="Times New Roman" w:hAnsi="Times New Roman" w:cs="仿宋"/>
          <w:sz w:val="24"/>
          <w:szCs w:val="24"/>
        </w:rPr>
        <w:t xml:space="preserve">6.合同履行期限：</w:t>
      </w:r>
      <w:r>
        <w:rPr>
          <w:rFonts w:hint="eastAsia" w:ascii="宋体" w:hAnsi="宋体"/>
          <w:sz w:val="24"/>
          <w:szCs w:val="24"/>
        </w:rPr>
        <w:t xml:space="preserve">收到采购人供货通知后45日历天内完成设备供货安装调试</w:t>
      </w:r>
      <w:r>
        <w:rPr>
          <w:rFonts w:hint="eastAsia" w:ascii="宋体" w:hAnsi="宋体"/>
          <w:sz w:val="24"/>
          <w:szCs w:val="24"/>
        </w:rPr>
        <w:t xml:space="preserve">。</w:t>
      </w:r>
      <w:r>
        <w:rPr>
          <w:rFonts w:hint="eastAsia" w:ascii="宋体" w:hAnsi="宋体"/>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7"/>
        <w:ind w:firstLine="643"/>
        <w:spacing w:before="0" w:after="0" w:line="480" w:lineRule="exact"/>
        <w:rPr>
          <w:rFonts w:hint="eastAsia" w:eastAsia="宋体" w:cs="Arial"/>
          <w:bCs/>
          <w:szCs w:val="22"/>
        </w:rPr>
      </w:pPr>
      <w:r/>
      <w:bookmarkStart w:id="19" w:name="_Toc28359003"/>
      <w:r/>
      <w:bookmarkStart w:id="20" w:name="_Toc35393622"/>
      <w:r/>
      <w:bookmarkStart w:id="21" w:name="_Toc35393791"/>
      <w:r/>
      <w:bookmarkStart w:id="22" w:name="_Toc28359080"/>
      <w:r/>
      <w:bookmarkStart w:id="23" w:name="_Toc38985264"/>
      <w:r/>
      <w:bookmarkStart w:id="24" w:name="_Toc27291"/>
      <w:r>
        <w:rPr>
          <w:rFonts w:hint="eastAsia" w:eastAsia="宋体" w:cs="Arial"/>
          <w:bCs/>
          <w:szCs w:val="22"/>
        </w:rPr>
        <w:t xml:space="preserve">二、申请人的资格要求</w:t>
      </w:r>
      <w:bookmarkEnd w:id="19"/>
      <w:r/>
      <w:bookmarkEnd w:id="20"/>
      <w:r/>
      <w:bookmarkEnd w:id="21"/>
      <w:r/>
      <w:bookmarkEnd w:id="22"/>
      <w:r/>
      <w:bookmarkEnd w:id="23"/>
      <w:r/>
      <w:bookmarkEnd w:id="24"/>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25" w:name="_Toc35393623"/>
      <w:r/>
      <w:bookmarkStart w:id="26" w:name="_Toc38985265"/>
      <w:r/>
      <w:bookmarkStart w:id="27" w:name="_Toc35393792"/>
      <w:r/>
      <w:bookmarkStart w:id="28" w:name="_Toc28359081"/>
      <w:r/>
      <w:bookmarkStart w:id="29" w:name="_Toc28359004"/>
      <w:r>
        <w:rPr>
          <w:rFonts w:hint="eastAsia" w:ascii="Times New Roman" w:hAnsi="Times New Roman" w:cs="仿宋"/>
          <w:sz w:val="24"/>
          <w:szCs w:val="24"/>
        </w:rPr>
        <w:t xml:space="preserve">（一）通用资格要求</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w:t>
      </w:r>
      <w:r>
        <w:rPr>
          <w:rFonts w:hint="eastAsia" w:ascii="Times New Roman" w:hAnsi="Times New Roman" w:cs="仿宋"/>
          <w:sz w:val="24"/>
          <w:szCs w:val="24"/>
        </w:rPr>
        <w:t xml:space="preserve">“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81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815"/>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0" w:name="OLE_LINK41"/>
      <w:r/>
      <w:bookmarkStart w:id="31" w:name="OLE_LINK20"/>
      <w:r>
        <w:rPr>
          <w:rFonts w:hint="eastAsia" w:ascii="Times New Roman" w:hAnsi="Times New Roman" w:cs="仿宋"/>
          <w:sz w:val="24"/>
          <w:szCs w:val="24"/>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rPr>
          <w:rFonts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bookmarkStart w:id="32" w:name="OLE_LINK18"/>
      <w:r>
        <w:rPr>
          <w:rFonts w:hint="eastAsia" w:ascii="Times New Roman" w:hAnsi="Times New Roman" w:cs="仿宋"/>
          <w:sz w:val="24"/>
          <w:szCs w:val="24"/>
        </w:rPr>
        <w:t xml:space="preserve">2.非制造商参与投标的，须具备有效期内的以下证书：</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81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b）所投电梯制造商具有《中华人民共和国特种设备制造许可证（电梯）》（许可内容：曳引式客梯），或《中华人民共和国特种设备生产许可证（电梯）》[许可项目：电梯制造</w:t>
      </w:r>
      <w:r>
        <w:rPr>
          <w:rFonts w:hint="eastAsia" w:ascii="Times New Roman" w:hAnsi="Times New Roman" w:cs="仿宋"/>
          <w:sz w:val="24"/>
          <w:szCs w:val="24"/>
        </w:rPr>
        <w:t xml:space="preserve">（含安装、修理、改造）曳引驱动乘客电梯]。</w:t>
      </w:r>
      <w:bookmarkEnd w:id="30"/>
      <w:r/>
      <w:bookmarkEnd w:id="32"/>
      <w:r>
        <w:rPr>
          <w:rFonts w:hint="eastAsia" w:ascii="Times New Roman" w:hAnsi="Times New Roman" w:cs="仿宋"/>
          <w:sz w:val="24"/>
          <w:szCs w:val="24"/>
          <w:highlight w:val="yellow"/>
        </w:rPr>
      </w:r>
      <w:r/>
    </w:p>
    <w:p>
      <w:pPr>
        <w:pStyle w:val="817"/>
        <w:ind w:firstLine="643"/>
        <w:spacing w:before="0" w:after="0" w:line="480" w:lineRule="exact"/>
        <w:rPr>
          <w:rFonts w:hint="eastAsia" w:eastAsia="宋体" w:cs="Arial"/>
          <w:bCs/>
          <w:szCs w:val="22"/>
        </w:rPr>
      </w:pPr>
      <w:r/>
      <w:bookmarkEnd w:id="31"/>
      <w:r/>
      <w:bookmarkStart w:id="33" w:name="_Toc22204"/>
      <w:r>
        <w:rPr>
          <w:rFonts w:hint="eastAsia" w:eastAsia="宋体" w:cs="Arial"/>
          <w:bCs/>
          <w:szCs w:val="22"/>
        </w:rPr>
        <w:t xml:space="preserve">三、获取招标文件</w:t>
      </w:r>
      <w:bookmarkEnd w:id="25"/>
      <w:r/>
      <w:bookmarkEnd w:id="26"/>
      <w:r/>
      <w:bookmarkEnd w:id="27"/>
      <w:r/>
      <w:bookmarkEnd w:id="28"/>
      <w:r/>
      <w:bookmarkEnd w:id="29"/>
      <w:r/>
      <w:bookmarkEnd w:id="33"/>
      <w:r>
        <w:rPr>
          <w:rFonts w:hint="eastAsia" w:eastAsia="宋体" w:cs="Arial"/>
          <w:bCs/>
          <w:szCs w:val="22"/>
        </w:rPr>
      </w:r>
      <w:r/>
    </w:p>
    <w:p>
      <w:pPr>
        <w:pStyle w:val="815"/>
        <w:ind w:firstLine="480"/>
        <w:spacing w:line="480" w:lineRule="exact"/>
        <w:rPr>
          <w:rFonts w:ascii="Times New Roman" w:hAnsi="Times New Roman" w:cs="仿宋"/>
          <w:sz w:val="24"/>
          <w:szCs w:val="24"/>
        </w:rPr>
      </w:pPr>
      <w:r/>
      <w:bookmarkStart w:id="34" w:name="_Toc28359005"/>
      <w:r/>
      <w:bookmarkStart w:id="35" w:name="_Toc28359082"/>
      <w:r/>
      <w:bookmarkStart w:id="36" w:name="_Toc35393793"/>
      <w:r/>
      <w:bookmarkStart w:id="37" w:name="_Toc35393624"/>
      <w:r/>
      <w:bookmarkStart w:id="38"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w:t>
      </w:r>
      <w:r>
        <w:rPr>
          <w:rFonts w:hint="eastAsia" w:ascii="Times New Roman" w:hAnsi="Times New Roman" w:cs="仿宋"/>
          <w:sz w:val="24"/>
          <w:szCs w:val="24"/>
        </w:rPr>
        <w:t xml:space="preserve">s</w:t>
      </w:r>
      <w:r>
        <w:rPr>
          <w:rFonts w:hint="eastAsia" w:ascii="Times New Roman" w:hAnsi="Times New Roman" w:cs="仿宋"/>
          <w:sz w:val="24"/>
          <w:szCs w:val="24"/>
        </w:rPr>
        <w:t xml:space="preserve">://jszfcg.jsczt.cn/），使用CA锁登录系统后，找到本项目获取招标文件（后缀名为“.kedt”）。</w:t>
      </w:r>
      <w:r/>
    </w:p>
    <w:p>
      <w:pPr>
        <w:pStyle w:val="817"/>
        <w:ind w:firstLine="643"/>
        <w:spacing w:before="0" w:after="0" w:line="480" w:lineRule="exact"/>
        <w:rPr>
          <w:rFonts w:hint="eastAsia" w:eastAsia="宋体" w:cs="Arial"/>
          <w:bCs/>
          <w:szCs w:val="22"/>
        </w:rPr>
      </w:pPr>
      <w:r/>
      <w:bookmarkStart w:id="39" w:name="_Toc19148"/>
      <w:r>
        <w:rPr>
          <w:rFonts w:hint="eastAsia" w:eastAsia="宋体" w:cs="Arial"/>
          <w:bCs/>
          <w:szCs w:val="22"/>
        </w:rPr>
        <w:t xml:space="preserve">四、提交投标文件</w:t>
      </w:r>
      <w:bookmarkEnd w:id="34"/>
      <w:r/>
      <w:bookmarkEnd w:id="35"/>
      <w:r>
        <w:rPr>
          <w:rFonts w:hint="eastAsia" w:eastAsia="宋体" w:cs="Arial"/>
          <w:bCs/>
          <w:szCs w:val="22"/>
        </w:rPr>
        <w:t xml:space="preserve">截止时间、开标时间和地点</w:t>
      </w:r>
      <w:bookmarkEnd w:id="36"/>
      <w:r/>
      <w:bookmarkEnd w:id="37"/>
      <w:r/>
      <w:bookmarkEnd w:id="38"/>
      <w:r/>
      <w:bookmarkEnd w:id="39"/>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highlight w:val="none"/>
        </w:rPr>
        <w:t xml:space="preserve">9</w:t>
      </w:r>
      <w:r>
        <w:rPr>
          <w:rFonts w:hint="eastAsia" w:ascii="Times New Roman" w:hAnsi="Times New Roman" w:cs="仿宋"/>
          <w:sz w:val="24"/>
          <w:szCs w:val="24"/>
        </w:rPr>
        <w:t xml:space="preserve">月16</w:t>
      </w:r>
      <w:r>
        <w:rPr>
          <w:rFonts w:hint="eastAsia" w:ascii="Times New Roman" w:hAnsi="Times New Roman" w:cs="仿宋"/>
          <w:sz w:val="24"/>
          <w:szCs w:val="24"/>
        </w:rPr>
        <w:t xml:space="preserve">日09点30分（北京时间）</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7"/>
        <w:ind w:firstLine="643"/>
        <w:spacing w:before="0" w:after="0" w:line="480" w:lineRule="exact"/>
        <w:rPr>
          <w:rFonts w:hint="eastAsia" w:eastAsia="宋体" w:cs="Arial"/>
          <w:bCs/>
          <w:szCs w:val="22"/>
        </w:rPr>
      </w:pPr>
      <w:r/>
      <w:bookmarkStart w:id="40" w:name="_Toc35393625"/>
      <w:r/>
      <w:bookmarkStart w:id="41" w:name="_Toc24820"/>
      <w:r/>
      <w:bookmarkStart w:id="42" w:name="_Toc28359007"/>
      <w:r/>
      <w:bookmarkStart w:id="43" w:name="_Toc35393794"/>
      <w:r/>
      <w:bookmarkStart w:id="44" w:name="_Toc38985267"/>
      <w:r/>
      <w:bookmarkStart w:id="45" w:name="_Toc28359084"/>
      <w:r>
        <w:rPr>
          <w:rFonts w:hint="eastAsia" w:eastAsia="宋体" w:cs="Arial"/>
          <w:bCs/>
          <w:szCs w:val="22"/>
        </w:rPr>
        <w:t xml:space="preserve">五、公告期限</w:t>
      </w:r>
      <w:bookmarkEnd w:id="40"/>
      <w:r/>
      <w:bookmarkEnd w:id="41"/>
      <w:r/>
      <w:bookmarkEnd w:id="42"/>
      <w:r/>
      <w:bookmarkEnd w:id="43"/>
      <w:r/>
      <w:bookmarkEnd w:id="44"/>
      <w:r/>
      <w:bookmarkEnd w:id="45"/>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46" w:name="_Toc38985268"/>
      <w:r/>
      <w:bookmarkStart w:id="47" w:name="_Toc35393795"/>
      <w:r/>
      <w:bookmarkStart w:id="48" w:name="_Toc35393626"/>
      <w:r>
        <w:rPr>
          <w:rFonts w:hint="eastAsia" w:ascii="Times New Roman" w:hAnsi="Times New Roman" w:cs="仿宋"/>
          <w:sz w:val="24"/>
          <w:szCs w:val="24"/>
        </w:rPr>
        <w:t xml:space="preserve">招标公告及招标文件公告期限为自本公告发布</w:t>
      </w:r>
      <w:r>
        <w:rPr>
          <w:rFonts w:hint="eastAsia" w:ascii="Times New Roman" w:hAnsi="Times New Roman" w:cs="仿宋"/>
          <w:sz w:val="24"/>
          <w:szCs w:val="24"/>
        </w:rPr>
        <w:t xml:space="preserve">之日起5个工作日。</w:t>
      </w:r>
      <w:r/>
    </w:p>
    <w:p>
      <w:pPr>
        <w:pStyle w:val="817"/>
        <w:ind w:firstLine="643"/>
        <w:spacing w:before="0" w:after="0" w:line="480" w:lineRule="exact"/>
        <w:rPr>
          <w:rFonts w:hint="eastAsia" w:eastAsia="宋体" w:cs="Arial"/>
          <w:bCs/>
          <w:szCs w:val="22"/>
        </w:rPr>
      </w:pPr>
      <w:r/>
      <w:bookmarkStart w:id="49" w:name="_Toc13415"/>
      <w:r>
        <w:rPr>
          <w:rFonts w:hint="eastAsia" w:eastAsia="宋体" w:cs="Arial"/>
          <w:bCs/>
          <w:szCs w:val="22"/>
        </w:rPr>
        <w:t xml:space="preserve">六、其他补充事宜</w:t>
      </w:r>
      <w:bookmarkEnd w:id="46"/>
      <w:r/>
      <w:bookmarkEnd w:id="47"/>
      <w:r/>
      <w:bookmarkEnd w:id="48"/>
      <w:r/>
      <w:bookmarkEnd w:id="49"/>
      <w:r>
        <w:rPr>
          <w:rFonts w:hint="eastAsia" w:eastAsia="宋体" w:cs="Arial"/>
          <w:bCs/>
          <w:szCs w:val="22"/>
        </w:rPr>
      </w:r>
      <w:r/>
    </w:p>
    <w:p>
      <w:pPr>
        <w:pStyle w:val="815"/>
        <w:ind w:firstLine="480"/>
        <w:spacing w:line="480" w:lineRule="exact"/>
        <w:rPr>
          <w:rFonts w:hint="eastAsia" w:ascii="Times New Roman" w:hAnsi="Times New Roman" w:cs="仿宋"/>
          <w:sz w:val="24"/>
          <w:szCs w:val="24"/>
        </w:rPr>
      </w:pPr>
      <w:r/>
      <w:bookmarkStart w:id="50" w:name="_Toc28359008"/>
      <w:r/>
      <w:bookmarkStart w:id="51" w:name="EB64e1f522fd8c43fcb4d3ba471386b3e7"/>
      <w:r/>
      <w:bookmarkStart w:id="52" w:name="_Toc38985269"/>
      <w:r/>
      <w:bookmarkStart w:id="53" w:name="_Toc35393796"/>
      <w:r/>
      <w:bookmarkStart w:id="54" w:name="_Toc28359085"/>
      <w:r/>
      <w:bookmarkStart w:id="55" w:name="_Toc35393627"/>
      <w:r>
        <w:rPr>
          <w:rFonts w:hint="eastAsia" w:ascii="Times New Roman" w:hAnsi="Times New Roman" w:cs="仿宋"/>
          <w:sz w:val="24"/>
          <w:szCs w:val="24"/>
        </w:rPr>
        <w:t xml:space="preserve">1.招标公告发布媒体：</w:t>
      </w:r>
      <w:bookmarkStart w:id="56" w:name="OLE_LINK3"/>
      <w:r>
        <w:rPr>
          <w:rFonts w:hint="eastAsia" w:ascii="Times New Roman" w:hAnsi="Times New Roman" w:cs="仿宋"/>
          <w:sz w:val="24"/>
          <w:szCs w:val="24"/>
        </w:rPr>
        <w:t xml:space="preserve">江苏政府采购网</w:t>
      </w:r>
      <w:bookmarkEnd w:id="56"/>
      <w:r>
        <w:rPr>
          <w:rFonts w:hint="eastAsia" w:ascii="Times New Roman" w:hAnsi="Times New Roman" w:cs="仿宋"/>
          <w:sz w:val="24"/>
          <w:szCs w:val="24"/>
        </w:rPr>
        <w:t xml:space="preserve">、宿迁市政府采购网等。</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5"/>
        <w:ind w:firstLine="480"/>
        <w:spacing w:line="480" w:lineRule="exact"/>
        <w:rPr>
          <w:rFonts w:hint="eastAsia" w:ascii="Times New Roman" w:hAnsi="Times New Roman" w:cs="仿宋"/>
          <w:sz w:val="24"/>
        </w:rPr>
      </w:pPr>
      <w:r/>
      <w:bookmarkEnd w:id="51"/>
      <w:r/>
      <w:bookmarkStart w:id="57"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w:t>
      </w:r>
      <w:r>
        <w:rPr>
          <w:rFonts w:hint="eastAsia" w:ascii="Times New Roman" w:hAnsi="Times New Roman" w:cs="仿宋"/>
          <w:sz w:val="24"/>
        </w:rPr>
        <w:t xml:space="preserve">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17"/>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0"/>
      <w:r/>
      <w:bookmarkEnd w:id="52"/>
      <w:r/>
      <w:bookmarkEnd w:id="53"/>
      <w:r/>
      <w:bookmarkEnd w:id="54"/>
      <w:r/>
      <w:bookmarkEnd w:id="55"/>
      <w:r/>
      <w:bookmarkEnd w:id="57"/>
      <w:r>
        <w:rPr>
          <w:rFonts w:hint="eastAsia" w:eastAsia="宋体" w:cs="Arial"/>
          <w:bCs/>
          <w:szCs w:val="22"/>
        </w:rPr>
      </w:r>
      <w:r/>
    </w:p>
    <w:p>
      <w:pPr>
        <w:pStyle w:val="815"/>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15"/>
        <w:ind w:firstLine="480"/>
        <w:jc w:val="left"/>
        <w:spacing w:line="48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bookmarkStart w:id="58" w:name="OLE_LINK16"/>
      <w:r>
        <w:rPr>
          <w:rFonts w:hint="eastAsia" w:ascii="宋体" w:hAnsi="宋体"/>
          <w:sz w:val="24"/>
          <w:szCs w:val="24"/>
          <w:u w:val="single"/>
        </w:rPr>
        <w:t xml:space="preserve">江苏省宿迁卫生中等专业学校</w:t>
      </w:r>
      <w:bookmarkEnd w:id="58"/>
      <w:r>
        <w:rPr>
          <w:rFonts w:hint="eastAsia" w:ascii="宋体" w:hAnsi="宋体"/>
          <w:sz w:val="24"/>
          <w:szCs w:val="24"/>
          <w:u w:val="single"/>
        </w:rPr>
        <w:t xml:space="preserve"> </w:t>
      </w:r>
      <w:r>
        <w:rPr>
          <w:rFonts w:ascii="宋体" w:hAnsi="宋体"/>
          <w:sz w:val="24"/>
          <w:szCs w:val="24"/>
        </w:rPr>
      </w:r>
      <w:r/>
    </w:p>
    <w:p>
      <w:pPr>
        <w:pStyle w:val="815"/>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bookmarkStart w:id="59" w:name="OLE_LINK11"/>
      <w:r>
        <w:rPr>
          <w:rFonts w:hint="eastAsia" w:ascii="宋体" w:hAnsi="宋体"/>
          <w:sz w:val="24"/>
          <w:szCs w:val="24"/>
          <w:u w:val="single"/>
        </w:rPr>
        <w:t xml:space="preserve">江苏省宿迁市湖滨新区学成路6号</w:t>
      </w:r>
      <w:bookmarkEnd w:id="59"/>
      <w:r>
        <w:rPr>
          <w:rFonts w:hint="eastAsia" w:ascii="宋体" w:hAnsi="宋体"/>
          <w:sz w:val="24"/>
          <w:szCs w:val="24"/>
          <w:u w:val="single"/>
        </w:rPr>
        <w:t xml:space="preserve"> </w:t>
      </w:r>
      <w:r>
        <w:rPr>
          <w:rFonts w:ascii="宋体" w:hAnsi="宋体"/>
          <w:sz w:val="24"/>
          <w:szCs w:val="24"/>
        </w:rPr>
      </w:r>
      <w:r/>
    </w:p>
    <w:p>
      <w:pPr>
        <w:pStyle w:val="815"/>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贺丹</w:t>
      </w:r>
      <w:r>
        <w:rPr>
          <w:rFonts w:hint="eastAsia" w:ascii="宋体" w:hAnsi="宋体"/>
          <w:sz w:val="24"/>
          <w:szCs w:val="24"/>
          <w:u w:val="single"/>
        </w:rPr>
        <w:t xml:space="preserve"> </w:t>
      </w:r>
      <w:r/>
    </w:p>
    <w:p>
      <w:pPr>
        <w:pStyle w:val="815"/>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60" w:name="OLE_LINK14"/>
      <w:r>
        <w:rPr>
          <w:rFonts w:hint="eastAsia" w:ascii="宋体" w:hAnsi="宋体"/>
          <w:sz w:val="24"/>
          <w:szCs w:val="24"/>
          <w:u w:val="single"/>
        </w:rPr>
        <w:t xml:space="preserve">0527—84821880</w:t>
      </w:r>
      <w:bookmarkEnd w:id="60"/>
      <w:r/>
      <w:bookmarkStart w:id="61" w:name="_Toc28359086"/>
      <w:r/>
      <w:bookmarkStart w:id="62" w:name="_Toc28359009"/>
      <w:r>
        <w:rPr>
          <w:rFonts w:ascii="宋体" w:hAnsi="宋体"/>
          <w:sz w:val="24"/>
          <w:szCs w:val="24"/>
          <w:u w:val="single"/>
        </w:rPr>
      </w:r>
      <w:r/>
    </w:p>
    <w:p>
      <w:pPr>
        <w:pStyle w:val="815"/>
        <w:ind w:firstLine="480"/>
        <w:jc w:val="left"/>
        <w:spacing w:line="480" w:lineRule="exact"/>
        <w:rPr>
          <w:rFonts w:ascii="宋体" w:hAnsi="宋体"/>
          <w:sz w:val="24"/>
          <w:szCs w:val="24"/>
        </w:rPr>
      </w:pPr>
      <w:r>
        <w:rPr>
          <w:rFonts w:hint="eastAsia" w:ascii="宋体" w:hAnsi="宋体" w:cs="宋体"/>
          <w:sz w:val="24"/>
          <w:szCs w:val="24"/>
        </w:rPr>
        <w:t xml:space="preserve">2.</w:t>
      </w:r>
      <w:bookmarkEnd w:id="61"/>
      <w:r/>
      <w:bookmarkEnd w:id="62"/>
      <w:r>
        <w:rPr>
          <w:rFonts w:hint="eastAsia" w:ascii="宋体" w:hAnsi="宋体" w:cs="宋体"/>
          <w:sz w:val="24"/>
          <w:szCs w:val="24"/>
        </w:rPr>
        <w:t xml:space="preserve">采购代理机构信息</w:t>
      </w:r>
      <w:r>
        <w:rPr>
          <w:rFonts w:ascii="宋体" w:hAnsi="宋体"/>
          <w:sz w:val="24"/>
          <w:szCs w:val="24"/>
        </w:rPr>
      </w:r>
      <w:r/>
    </w:p>
    <w:p>
      <w:pPr>
        <w:pStyle w:val="815"/>
        <w:ind w:firstLine="480"/>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 </w:t>
      </w:r>
      <w:r>
        <w:rPr>
          <w:rFonts w:hint="eastAsia" w:ascii="宋体" w:hAnsi="宋体"/>
          <w:sz w:val="24"/>
          <w:szCs w:val="24"/>
        </w:rPr>
        <w:t xml:space="preserve">称：</w:t>
      </w:r>
      <w:r>
        <w:rPr>
          <w:rFonts w:ascii="宋体" w:hAnsi="宋体"/>
          <w:sz w:val="24"/>
          <w:szCs w:val="24"/>
          <w:u w:val="single"/>
        </w:rPr>
        <w:t xml:space="preserve"> </w:t>
      </w:r>
      <w:r>
        <w:rPr>
          <w:rFonts w:hint="eastAsia" w:ascii="宋体" w:hAnsi="宋体"/>
          <w:sz w:val="24"/>
          <w:szCs w:val="24"/>
          <w:u w:val="single"/>
        </w:rPr>
        <w:t xml:space="preserve">宿迁市公共资源交易中心　</w:t>
      </w:r>
      <w:r>
        <w:rPr>
          <w:rFonts w:ascii="宋体" w:hAnsi="宋体"/>
          <w:sz w:val="24"/>
          <w:szCs w:val="24"/>
        </w:rPr>
      </w:r>
      <w:r/>
    </w:p>
    <w:p>
      <w:pPr>
        <w:pStyle w:val="815"/>
        <w:ind w:firstLine="480"/>
        <w:spacing w:line="48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w:t>
      </w:r>
      <w:r>
        <w:rPr>
          <w:rFonts w:ascii="宋体" w:hAnsi="宋体"/>
          <w:sz w:val="24"/>
          <w:szCs w:val="24"/>
          <w:u w:val="single"/>
        </w:rPr>
        <w:t xml:space="preserve">889</w:t>
      </w:r>
      <w:r>
        <w:rPr>
          <w:rFonts w:hint="eastAsia" w:ascii="宋体" w:hAnsi="宋体"/>
          <w:sz w:val="24"/>
          <w:szCs w:val="24"/>
          <w:u w:val="single"/>
        </w:rPr>
        <w:t xml:space="preserve">号，便民方舟</w:t>
      </w:r>
      <w:r>
        <w:rPr>
          <w:rFonts w:ascii="宋体" w:hAnsi="宋体"/>
          <w:sz w:val="24"/>
          <w:szCs w:val="24"/>
          <w:u w:val="single"/>
        </w:rPr>
        <w:t xml:space="preserve">2</w:t>
      </w:r>
      <w:r>
        <w:rPr>
          <w:rFonts w:hint="eastAsia" w:ascii="宋体" w:hAnsi="宋体"/>
          <w:sz w:val="24"/>
          <w:szCs w:val="24"/>
          <w:u w:val="single"/>
        </w:rPr>
        <w:t xml:space="preserve">号楼 </w:t>
      </w:r>
      <w:r>
        <w:rPr>
          <w:rFonts w:ascii="宋体" w:hAnsi="宋体"/>
          <w:sz w:val="24"/>
          <w:szCs w:val="24"/>
          <w:u w:val="single"/>
        </w:rPr>
      </w:r>
      <w:r/>
    </w:p>
    <w:p>
      <w:pPr>
        <w:pStyle w:val="815"/>
        <w:ind w:firstLine="480"/>
        <w:spacing w:line="480" w:lineRule="exact"/>
        <w:rPr>
          <w:rFonts w:ascii="宋体" w:hAnsi="宋体"/>
          <w:sz w:val="24"/>
          <w:szCs w:val="24"/>
        </w:rPr>
      </w:pPr>
      <w:r>
        <w:rPr>
          <w:rFonts w:hint="eastAsia"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李玉莲</w:t>
      </w:r>
      <w:r>
        <w:rPr>
          <w:rFonts w:ascii="宋体" w:hAnsi="宋体"/>
          <w:sz w:val="24"/>
          <w:szCs w:val="24"/>
          <w:u w:val="single"/>
        </w:rPr>
        <w:t xml:space="preserve">   </w:t>
      </w:r>
      <w:r>
        <w:rPr>
          <w:rFonts w:ascii="宋体" w:hAnsi="宋体"/>
          <w:sz w:val="24"/>
          <w:szCs w:val="24"/>
        </w:rPr>
      </w:r>
      <w:r/>
    </w:p>
    <w:p>
      <w:pPr>
        <w:pStyle w:val="815"/>
        <w:ind w:firstLine="480"/>
        <w:spacing w:line="480" w:lineRule="exact"/>
        <w:rPr>
          <w:rFonts w:ascii="宋体" w:hAnsi="宋体"/>
          <w:sz w:val="24"/>
          <w:szCs w:val="24"/>
        </w:rPr>
      </w:pPr>
      <w:r>
        <w:rPr>
          <w:rFonts w:hint="eastAsia" w:ascii="宋体" w:hAnsi="宋体"/>
          <w:sz w:val="24"/>
          <w:szCs w:val="24"/>
        </w:rPr>
        <w:t xml:space="preserve">联系方式：</w:t>
      </w:r>
      <w:bookmarkStart w:id="63" w:name="OLE_LINK30"/>
      <w:r/>
      <w:bookmarkStart w:id="64" w:name="EBf73ea17b97644af68817c6ab47785190"/>
      <w:r/>
      <w:bookmarkStart w:id="65" w:name="_Toc28359010"/>
      <w:r/>
      <w:bookmarkStart w:id="66" w:name="_Toc28359087"/>
      <w:r>
        <w:rPr>
          <w:rFonts w:ascii="宋体" w:hAnsi="宋体"/>
          <w:sz w:val="24"/>
          <w:szCs w:val="24"/>
          <w:u w:val="single"/>
        </w:rPr>
        <w:t xml:space="preserve">0527-</w:t>
      </w:r>
      <w:bookmarkEnd w:id="63"/>
      <w:r>
        <w:rPr>
          <w:rFonts w:ascii="宋体" w:hAnsi="宋体"/>
          <w:sz w:val="24"/>
          <w:szCs w:val="24"/>
          <w:u w:val="single"/>
        </w:rPr>
        <w:t xml:space="preserve">8439603</w:t>
      </w:r>
      <w:bookmarkEnd w:id="64"/>
      <w:r>
        <w:rPr>
          <w:rFonts w:ascii="宋体" w:hAnsi="宋体"/>
          <w:sz w:val="24"/>
          <w:szCs w:val="24"/>
          <w:u w:val="single"/>
        </w:rPr>
        <w:t xml:space="preserve">6</w:t>
      </w:r>
      <w:r>
        <w:rPr>
          <w:rFonts w:hint="eastAsia" w:ascii="宋体" w:hAnsi="宋体"/>
          <w:sz w:val="24"/>
          <w:szCs w:val="24"/>
          <w:u w:val="single"/>
        </w:rPr>
        <w:t xml:space="preserve">　</w:t>
      </w:r>
      <w:bookmarkEnd w:id="65"/>
      <w:r/>
      <w:bookmarkEnd w:id="66"/>
      <w:r>
        <w:rPr>
          <w:rFonts w:ascii="宋体" w:hAnsi="宋体"/>
          <w:sz w:val="24"/>
          <w:szCs w:val="24"/>
        </w:rPr>
      </w:r>
      <w:r/>
    </w:p>
    <w:p>
      <w:pPr>
        <w:pStyle w:val="816"/>
        <w:jc w:val="center"/>
        <w:spacing w:before="200"/>
        <w:rPr>
          <w:rFonts w:hint="eastAsia" w:eastAsia="黑体"/>
          <w:sz w:val="44"/>
        </w:rPr>
      </w:pPr>
      <w:r>
        <w:rPr>
          <w:rFonts w:hint="eastAsia" w:ascii="仿宋_GB2312" w:eastAsia="仿宋_GB2312"/>
          <w:sz w:val="24"/>
        </w:rPr>
        <w:br w:type="page" w:clear="all"/>
      </w:r>
      <w:bookmarkStart w:id="67" w:name="_Toc15265"/>
      <w:r/>
      <w:bookmarkStart w:id="68" w:name="_Toc81575153"/>
      <w:r/>
      <w:bookmarkStart w:id="69" w:name="_Toc9425"/>
      <w:r/>
      <w:bookmarkStart w:id="70" w:name="_Toc11687"/>
      <w:r/>
      <w:bookmarkStart w:id="71" w:name="_Toc81575190"/>
      <w:r>
        <w:rPr>
          <w:rFonts w:hint="eastAsia" w:eastAsia="黑体"/>
          <w:sz w:val="44"/>
        </w:rPr>
        <w:t xml:space="preserve">第二章  投标人须知</w:t>
      </w:r>
      <w:bookmarkEnd w:id="67"/>
      <w:r/>
      <w:bookmarkEnd w:id="68"/>
      <w:r/>
      <w:bookmarkEnd w:id="69"/>
      <w:r/>
      <w:bookmarkEnd w:id="70"/>
      <w:r/>
      <w:bookmarkEnd w:id="71"/>
      <w:r>
        <w:rPr>
          <w:rFonts w:hint="eastAsia" w:eastAsia="黑体"/>
          <w:sz w:val="44"/>
        </w:rPr>
      </w:r>
      <w:r/>
    </w:p>
    <w:p>
      <w:pPr>
        <w:pStyle w:val="817"/>
        <w:spacing w:before="0" w:after="120" w:line="520" w:lineRule="exact"/>
        <w:rPr>
          <w:rFonts w:hint="eastAsia" w:eastAsia="宋体" w:cs="Arial"/>
          <w:bCs/>
          <w:szCs w:val="22"/>
        </w:rPr>
      </w:pPr>
      <w:r/>
      <w:bookmarkStart w:id="72" w:name="_Toc4529"/>
      <w:r>
        <w:rPr>
          <w:rFonts w:hint="eastAsia" w:eastAsia="宋体" w:cs="Arial"/>
          <w:bCs/>
          <w:szCs w:val="22"/>
        </w:rPr>
        <w:t xml:space="preserve">投标人须知前附表：</w:t>
      </w:r>
      <w:bookmarkEnd w:id="72"/>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bookmarkStart w:id="73" w:name="_Toc81575191"/>
            <w:r/>
            <w:bookmarkStart w:id="74" w:name="_Toc29262"/>
            <w:r/>
            <w:bookmarkStart w:id="75" w:name="_Toc81575154"/>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76" w:name="EB9a5853ee094f4f0ea6ec3169265f6f2c"/>
            <w:r>
              <w:rPr>
                <w:rFonts w:hint="eastAsia" w:ascii="Times New Roman" w:hAnsi="Times New Roman" w:cs="仿宋"/>
                <w:sz w:val="24"/>
                <w:szCs w:val="24"/>
              </w:rPr>
              <w:t xml:space="preserve">属性按以下</w:t>
            </w:r>
            <w:r>
              <w:rPr>
                <w:rFonts w:hint="eastAsia" w:ascii="Times New Roman" w:hAnsi="Times New Roman" w:cs="仿宋"/>
                <w:sz w:val="24"/>
                <w:szCs w:val="24"/>
              </w:rPr>
              <w:t xml:space="preserve">第</w:t>
            </w:r>
            <w:bookmarkEnd w:id="76"/>
            <w:r>
              <w:rPr>
                <w:rFonts w:hint="eastAsia" w:ascii="Times New Roman" w:hAnsi="Times New Roman" w:cs="仿宋"/>
                <w:sz w:val="24"/>
                <w:szCs w:val="24"/>
                <w:u w:val="single"/>
              </w:rPr>
              <w:t xml:space="preserve"> 1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77" w:name="EBd5c6c026f9674c39b21b31ecd0c1e7fa"/>
            <w:r>
              <w:rPr>
                <w:rFonts w:hint="eastAsia" w:ascii="Times New Roman" w:hAnsi="Times New Roman" w:cs="仿宋"/>
                <w:sz w:val="24"/>
                <w:szCs w:val="24"/>
              </w:rPr>
              <w:t xml:space="preserve">采购；2.</w:t>
            </w:r>
            <w:bookmarkEnd w:id="77"/>
            <w:r>
              <w:rPr>
                <w:rFonts w:hint="eastAsia" w:ascii="Times New Roman" w:hAnsi="Times New Roman" w:cs="仿宋"/>
                <w:sz w:val="24"/>
                <w:szCs w:val="24"/>
              </w:rPr>
              <w:t xml:space="preserve">服务</w:t>
            </w:r>
            <w:bookmarkStart w:id="78" w:name="EBf7d2a4f44ecb4166a93ea852e73be69f"/>
            <w:r>
              <w:rPr>
                <w:rFonts w:hint="eastAsia" w:ascii="Times New Roman" w:hAnsi="Times New Roman" w:cs="仿宋"/>
                <w:sz w:val="24"/>
                <w:szCs w:val="24"/>
              </w:rPr>
              <w:t xml:space="preserve">采购；3.</w:t>
            </w:r>
            <w:bookmarkEnd w:id="78"/>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79" w:name="EBd40b5fb42f2944a3b45e579ce3941f02"/>
            <w:r/>
            <w:bookmarkEnd w:id="79"/>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5"/>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w:t>
            </w:r>
            <w:r>
              <w:rPr>
                <w:rFonts w:hint="eastAsia" w:ascii="Times New Roman" w:hAnsi="Times New Roman" w:cs="仿宋"/>
                <w:sz w:val="24"/>
                <w:szCs w:val="24"/>
              </w:rPr>
              <w:t xml:space="preserve">件第三章。</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80" w:name="EBebac1462c5d9459fbda8a75065c2455d"/>
            <w:r>
              <w:rPr>
                <w:rFonts w:hint="eastAsia" w:ascii="Times New Roman" w:hAnsi="Times New Roman" w:cs="仿宋"/>
                <w:sz w:val="24"/>
                <w:szCs w:val="24"/>
              </w:rPr>
              <w:t xml:space="preserve">本项目的非主体、非关键性工作是否允许分包</w:t>
            </w:r>
            <w:bookmarkEnd w:id="80"/>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1"/>
            <w:r>
              <w:rPr>
                <w:rFonts w:hint="eastAsia" w:ascii="Times New Roman" w:hAnsi="Times New Roman" w:cs="仿宋"/>
                <w:sz w:val="24"/>
                <w:szCs w:val="24"/>
              </w:rPr>
              <w:t xml:space="preserve">无</w:t>
            </w:r>
            <w:r/>
          </w:p>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bookmarkStart w:id="82" w:name="EBfe735bb6fc4d4e5e9e350f940db98c5f"/>
            <w:r/>
            <w:bookmarkEnd w:id="82"/>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3"/>
            <w:r/>
            <w:bookmarkEnd w:id="74"/>
            <w:r/>
            <w:bookmarkEnd w:id="75"/>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15"/>
        <w:rPr>
          <w:sz w:val="20"/>
        </w:rPr>
      </w:pPr>
      <w:r>
        <w:rPr>
          <w:sz w:val="20"/>
        </w:rPr>
      </w:r>
      <w:r/>
    </w:p>
    <w:p>
      <w:pPr>
        <w:pStyle w:val="815"/>
        <w:rPr>
          <w:rFonts w:hint="eastAsia"/>
          <w:sz w:val="20"/>
        </w:rPr>
      </w:pPr>
      <w:r>
        <w:rPr>
          <w:rFonts w:hint="eastAsia"/>
          <w:sz w:val="20"/>
        </w:rPr>
      </w:r>
      <w:r/>
    </w:p>
    <w:p>
      <w:pPr>
        <w:pStyle w:val="817"/>
        <w:ind w:firstLine="321"/>
        <w:spacing w:before="0" w:after="0" w:line="480" w:lineRule="exact"/>
        <w:rPr>
          <w:rFonts w:hint="eastAsia" w:eastAsia="宋体" w:cs="Arial"/>
          <w:bCs/>
          <w:szCs w:val="22"/>
        </w:rPr>
      </w:pPr>
      <w:r/>
      <w:bookmarkStart w:id="83" w:name="EB6eaaf474639940df900ef4965d71f450"/>
      <w:r/>
      <w:bookmarkEnd w:id="83"/>
      <w:r/>
      <w:bookmarkStart w:id="84" w:name="_Toc81575192"/>
      <w:r/>
      <w:bookmarkStart w:id="85" w:name="_Toc30953"/>
      <w:r/>
      <w:bookmarkStart w:id="86" w:name="_Toc81575155"/>
      <w:r/>
      <w:bookmarkStart w:id="87" w:name="_Toc8239"/>
      <w:r>
        <w:rPr>
          <w:rFonts w:hint="eastAsia" w:eastAsia="宋体" w:cs="Arial"/>
          <w:bCs/>
          <w:szCs w:val="22"/>
        </w:rPr>
        <w:t xml:space="preserve">一、总 则</w:t>
      </w:r>
      <w:bookmarkEnd w:id="84"/>
      <w:r/>
      <w:bookmarkEnd w:id="85"/>
      <w:r/>
      <w:bookmarkEnd w:id="86"/>
      <w:r/>
      <w:bookmarkEnd w:id="8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7"/>
        <w:ind w:firstLine="321"/>
        <w:spacing w:before="0" w:after="0" w:line="480" w:lineRule="exact"/>
        <w:rPr>
          <w:rFonts w:hint="eastAsia" w:eastAsia="宋体" w:cs="Arial"/>
          <w:bCs/>
          <w:szCs w:val="22"/>
        </w:rPr>
      </w:pPr>
      <w:r/>
      <w:bookmarkStart w:id="88" w:name="_Toc81575193"/>
      <w:r/>
      <w:bookmarkStart w:id="89" w:name="_Toc15995"/>
      <w:r/>
      <w:bookmarkStart w:id="90" w:name="_Toc81575156"/>
      <w:r/>
      <w:bookmarkStart w:id="91" w:name="_Toc29306"/>
      <w:r>
        <w:rPr>
          <w:rFonts w:hint="eastAsia" w:eastAsia="宋体" w:cs="Arial"/>
          <w:bCs/>
          <w:szCs w:val="22"/>
        </w:rPr>
        <w:t xml:space="preserve">二、招标文件</w:t>
      </w:r>
      <w:bookmarkEnd w:id="88"/>
      <w:r/>
      <w:bookmarkEnd w:id="89"/>
      <w:r/>
      <w:bookmarkEnd w:id="90"/>
      <w:r/>
      <w:bookmarkEnd w:id="91"/>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w:t>
      </w:r>
      <w:r>
        <w:rPr>
          <w:rFonts w:hint="eastAsia" w:ascii="Times New Roman" w:hAnsi="Times New Roman" w:cs="仿宋"/>
          <w:sz w:val="24"/>
        </w:rPr>
        <w:t xml:space="preserve">办法；</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5"/>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bookmarkStart w:id="92" w:name="OLE_LINK22"/>
      <w:r>
        <w:rPr>
          <w:rFonts w:ascii="宋体" w:hAnsi="宋体" w:cs="仿宋"/>
          <w:b/>
          <w:bCs/>
          <w:sz w:val="24"/>
          <w:u w:val="single"/>
        </w:rPr>
        <w:t xml:space="preserve">6.1、6.2、6.3</w:t>
      </w:r>
      <w:r>
        <w:rPr>
          <w:rFonts w:hint="eastAsia" w:ascii="宋体" w:hAnsi="宋体" w:cs="仿宋"/>
          <w:b/>
          <w:bCs/>
          <w:sz w:val="24"/>
          <w:u w:val="single"/>
        </w:rPr>
        <w:t xml:space="preserve">、6.4.1</w:t>
      </w:r>
      <w:bookmarkEnd w:id="92"/>
      <w:r>
        <w:rPr>
          <w:rFonts w:ascii="Times New Roman" w:hAnsi="Times New Roman" w:cs="仿宋"/>
          <w:b/>
          <w:bCs/>
          <w:sz w:val="24"/>
          <w:u w:val="single"/>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5"/>
        <w:ind w:firstLine="480"/>
        <w:spacing w:line="480" w:lineRule="exact"/>
        <w:rPr>
          <w:rFonts w:hint="eastAsia" w:ascii="宋体" w:hAnsi="宋体" w:cs="仿宋"/>
          <w:sz w:val="24"/>
        </w:rPr>
      </w:pPr>
      <w:r>
        <w:rPr>
          <w:rFonts w:hint="eastAsia" w:ascii="宋体" w:hAnsi="宋体" w:cs="仿宋"/>
          <w:sz w:val="24"/>
        </w:rPr>
        <w:t xml:space="preserve">（1）本项目专门面向中小企业（含监狱与戒毒企业、残疾人福</w:t>
      </w:r>
      <w:r>
        <w:rPr>
          <w:rFonts w:hint="eastAsia" w:ascii="宋体" w:hAnsi="宋体" w:cs="仿宋"/>
          <w:sz w:val="24"/>
        </w:rPr>
        <w:t xml:space="preserve">利企业）采购。</w:t>
      </w:r>
      <w:r/>
    </w:p>
    <w:p>
      <w:pPr>
        <w:pStyle w:val="815"/>
        <w:ind w:firstLine="480"/>
        <w:spacing w:line="480" w:lineRule="exact"/>
        <w:rPr>
          <w:rFonts w:ascii="宋体" w:hAnsi="宋体" w:cs="仿宋"/>
          <w:sz w:val="24"/>
        </w:rPr>
      </w:pPr>
      <w:r>
        <w:rPr>
          <w:rFonts w:hint="eastAsia" w:ascii="宋体" w:hAnsi="宋体" w:cs="仿宋"/>
          <w:sz w:val="24"/>
        </w:rPr>
        <w:t xml:space="preserve">（2）对符合规定情形的小微企业报价给予</w:t>
      </w:r>
      <w:r>
        <w:rPr>
          <w:rFonts w:hint="eastAsia" w:ascii="宋体" w:hAnsi="宋体" w:cs="仿宋"/>
          <w:sz w:val="24"/>
          <w:u w:val="single"/>
        </w:rPr>
        <w:t xml:space="preserve">15%</w:t>
      </w:r>
      <w:r>
        <w:rPr>
          <w:rFonts w:hint="eastAsia" w:ascii="宋体" w:hAnsi="宋体" w:cs="仿宋"/>
          <w:sz w:val="24"/>
        </w:rPr>
        <w:t xml:space="preserve">扣除，用扣除后的价格参加评审。</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在服务采购项目中，服务由中小企业承接，即提供服务的人员为中小企业依照《中华人民共和国劳动合同法》订立劳动合同的从业人员。</w:t>
      </w:r>
      <w:r/>
    </w:p>
    <w:p>
      <w:pPr>
        <w:pStyle w:val="815"/>
        <w:ind w:firstLine="480"/>
        <w:spacing w:line="480" w:lineRule="exact"/>
        <w:rPr>
          <w:rFonts w:hint="eastAsia" w:ascii="宋体" w:hAnsi="宋体" w:cs="仿宋"/>
          <w:sz w:val="24"/>
        </w:rPr>
      </w:pPr>
      <w:r>
        <w:rPr>
          <w:rFonts w:hint="eastAsia" w:ascii="宋体" w:hAnsi="宋体" w:cs="仿宋_GB2312"/>
          <w:sz w:val="24"/>
        </w:rPr>
        <w:t xml:space="preserve">在货物采购项目中，货物由中小企业制造，即货物由中小企业生产且使用该中小企业商号或者注册商标。</w:t>
      </w:r>
      <w:r>
        <w:rPr>
          <w:rFonts w:hint="eastAsia"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注：①参加投标的中小企业，应当按照《政府采购促进中小企业发展管理办法》（财库〔2020〕46号）规定，出具《中小企业声明函》，中小企业划型依据《关于印发中小企业划型标准规定的通</w:t>
      </w:r>
      <w:r>
        <w:rPr>
          <w:rFonts w:hint="eastAsia" w:ascii="宋体" w:hAnsi="宋体" w:cs="仿宋"/>
          <w:sz w:val="24"/>
        </w:rPr>
        <w:t xml:space="preserve">知》（工信部联企业〔2011〕300号）。</w:t>
      </w:r>
      <w:r/>
    </w:p>
    <w:p>
      <w:pPr>
        <w:pStyle w:val="815"/>
        <w:ind w:firstLine="480"/>
        <w:spacing w:line="480" w:lineRule="exact"/>
        <w:rPr>
          <w:rFonts w:hint="eastAsia" w:ascii="宋体" w:hAnsi="宋体" w:cs="仿宋"/>
          <w:sz w:val="24"/>
        </w:rPr>
      </w:pPr>
      <w:r>
        <w:rPr>
          <w:rFonts w:hint="eastAsia" w:ascii="宋体" w:hAnsi="宋体"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15"/>
        <w:ind w:firstLine="480"/>
        <w:spacing w:line="480" w:lineRule="exact"/>
        <w:rPr>
          <w:rFonts w:hint="eastAsia" w:ascii="宋体" w:hAnsi="宋体" w:cs="仿宋"/>
          <w:sz w:val="24"/>
        </w:rPr>
      </w:pPr>
      <w:r>
        <w:rPr>
          <w:rFonts w:hint="eastAsia" w:ascii="宋体" w:hAnsi="宋体"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15"/>
        <w:ind w:firstLine="480"/>
        <w:spacing w:line="480" w:lineRule="exact"/>
        <w:rPr>
          <w:rFonts w:hint="eastAsia" w:ascii="宋体" w:hAnsi="宋体" w:cs="仿宋"/>
          <w:sz w:val="24"/>
        </w:rPr>
      </w:pPr>
      <w:r>
        <w:rPr>
          <w:rFonts w:hint="eastAsia" w:ascii="宋体" w:hAnsi="宋体"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仿宋"/>
          <w:sz w:val="24"/>
          <w:u w:val="single"/>
        </w:rPr>
        <w:t xml:space="preserve">5</w:t>
      </w:r>
      <w:r>
        <w:rPr>
          <w:rFonts w:hint="eastAsia" w:ascii="宋体" w:hAnsi="宋体" w:cs="仿宋"/>
          <w:sz w:val="24"/>
        </w:rPr>
        <w:t xml:space="preserve">%（工程项目为</w:t>
      </w:r>
      <w:r>
        <w:rPr>
          <w:rFonts w:hint="eastAsia" w:ascii="宋体" w:hAnsi="宋体" w:cs="仿宋"/>
          <w:sz w:val="24"/>
          <w:u w:val="single"/>
        </w:rPr>
        <w:t xml:space="preserve">2</w:t>
      </w:r>
      <w:r>
        <w:rPr>
          <w:rFonts w:hint="eastAsia" w:ascii="宋体" w:hAnsi="宋体"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5"/>
        <w:ind w:firstLine="480"/>
        <w:spacing w:line="480" w:lineRule="exact"/>
        <w:rPr>
          <w:rFonts w:hint="eastAsia" w:ascii="宋体" w:hAnsi="宋体" w:cs="仿宋"/>
          <w:sz w:val="24"/>
        </w:rPr>
      </w:pPr>
      <w:r>
        <w:rPr>
          <w:rFonts w:hint="eastAsia" w:ascii="宋体" w:hAnsi="宋体" w:cs="仿宋"/>
          <w:sz w:val="24"/>
        </w:rPr>
        <w:t xml:space="preserve">⑤联合体各方均为小型、微型企业（残疾人福利单位、监狱企业）的，联合体享受15%价格扣除，</w:t>
      </w:r>
      <w:r>
        <w:rPr>
          <w:rFonts w:hint="eastAsia" w:ascii="宋体" w:hAnsi="宋体" w:cs="仿宋"/>
          <w:sz w:val="24"/>
        </w:rPr>
        <w:t xml:space="preserve">用扣除后的价格参与评审。</w:t>
      </w:r>
      <w:r/>
    </w:p>
    <w:p>
      <w:pPr>
        <w:pStyle w:val="815"/>
        <w:ind w:firstLine="480"/>
        <w:spacing w:line="480" w:lineRule="exact"/>
        <w:rPr>
          <w:rFonts w:ascii="宋体" w:hAnsi="宋体" w:cs="仿宋"/>
          <w:sz w:val="24"/>
        </w:rPr>
      </w:pPr>
      <w:r>
        <w:rPr>
          <w:rFonts w:hint="eastAsia" w:ascii="宋体" w:hAnsi="宋体" w:cs="仿宋"/>
          <w:sz w:val="24"/>
        </w:rPr>
        <w:t xml:space="preserve">6.2采购本国产品的支持政策</w:t>
      </w:r>
      <w:r>
        <w:rPr>
          <w:rFonts w:ascii="宋体" w:hAnsi="宋体" w:cs="仿宋"/>
          <w:sz w:val="24"/>
        </w:rPr>
      </w:r>
      <w:r/>
    </w:p>
    <w:p>
      <w:pPr>
        <w:pStyle w:val="815"/>
        <w:ind w:firstLine="480"/>
        <w:spacing w:line="480" w:lineRule="exact"/>
        <w:rPr>
          <w:rFonts w:ascii="宋体" w:hAnsi="宋体" w:cs="仿宋"/>
          <w:color w:val="ff0000"/>
          <w:sz w:val="24"/>
        </w:rPr>
      </w:pPr>
      <w:r>
        <w:rPr>
          <w:rFonts w:hint="eastAsia" w:ascii="宋体" w:hAnsi="宋体"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仿宋"/>
          <w:color w:val="ff0000"/>
          <w:sz w:val="24"/>
        </w:rPr>
      </w:r>
      <w:r/>
    </w:p>
    <w:p>
      <w:pPr>
        <w:pStyle w:val="815"/>
        <w:ind w:firstLine="480"/>
        <w:spacing w:line="480" w:lineRule="exact"/>
        <w:rPr>
          <w:rFonts w:ascii="宋体" w:hAnsi="宋体"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仿宋"/>
          <w:color w:val="ff0000"/>
          <w:sz w:val="24"/>
        </w:rPr>
      </w:r>
      <w:r/>
    </w:p>
    <w:p>
      <w:pPr>
        <w:pStyle w:val="815"/>
        <w:ind w:firstLine="480"/>
        <w:spacing w:line="480" w:lineRule="exact"/>
        <w:rPr>
          <w:rFonts w:hint="eastAsia" w:ascii="宋体" w:hAnsi="宋体" w:cs="仿宋"/>
          <w:color w:val="ff0000"/>
          <w:sz w:val="24"/>
        </w:rPr>
      </w:pPr>
      <w:r>
        <w:rPr>
          <w:rFonts w:hint="eastAsia" w:ascii="宋体" w:hAnsi="宋体" w:cs="仿宋"/>
          <w:sz w:val="24"/>
        </w:rPr>
        <w:t xml:space="preserve">6.2.2本项目政府采购活动中既有本国产品又有非本国产品参与竞争的，</w:t>
      </w:r>
      <w:bookmarkStart w:id="93" w:name="OLE_LINK7"/>
      <w:r>
        <w:rPr>
          <w:rFonts w:hint="eastAsia" w:ascii="宋体" w:hAnsi="宋体" w:cs="仿宋"/>
          <w:sz w:val="24"/>
        </w:rPr>
        <w:t xml:space="preserve">依法对本国产品给予价格评审优惠，对本国产品的报价给予</w:t>
      </w:r>
      <w:r>
        <w:rPr>
          <w:rFonts w:hint="eastAsia" w:ascii="宋体" w:hAnsi="宋体" w:cs="仿宋"/>
          <w:b/>
          <w:bCs/>
          <w:sz w:val="24"/>
          <w:u w:val="single"/>
        </w:rPr>
        <w:t xml:space="preserve">20%</w:t>
      </w:r>
      <w:r>
        <w:rPr>
          <w:rFonts w:hint="eastAsia" w:ascii="宋体" w:hAnsi="宋体" w:cs="仿宋"/>
          <w:sz w:val="24"/>
        </w:rPr>
        <w:t xml:space="preserve">的价格扣除，用扣除后的价格参与评审。</w:t>
      </w:r>
      <w:r>
        <w:rPr>
          <w:rFonts w:hint="eastAsia" w:ascii="宋体" w:hAnsi="宋体" w:cs="仿宋"/>
          <w:color w:val="ff0000"/>
          <w:sz w:val="24"/>
        </w:rPr>
      </w:r>
      <w:r/>
    </w:p>
    <w:p>
      <w:pPr>
        <w:pStyle w:val="815"/>
        <w:ind w:firstLine="480"/>
        <w:spacing w:line="480" w:lineRule="exact"/>
        <w:rPr>
          <w:rFonts w:hint="eastAsia" w:ascii="宋体" w:hAnsi="宋体" w:cs="仿宋"/>
          <w:sz w:val="24"/>
        </w:rPr>
      </w:pPr>
      <w:r/>
      <w:bookmarkEnd w:id="93"/>
      <w:r>
        <w:rPr>
          <w:rFonts w:hint="eastAsia" w:ascii="宋体" w:hAnsi="宋体"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宋体" w:hAnsi="宋体" w:cs="仿宋"/>
          <w:b/>
          <w:bCs/>
          <w:sz w:val="24"/>
        </w:rPr>
        <w:t xml:space="preserve">80%以上</w:t>
      </w:r>
      <w:r>
        <w:rPr>
          <w:rFonts w:hint="eastAsia" w:ascii="宋体" w:hAnsi="宋体" w:cs="仿宋"/>
          <w:sz w:val="24"/>
        </w:rPr>
        <w:t xml:space="preserve">时（投标人需在“第六章 投标文件格式”的“分项报价表”中填写比例数值），依法对</w:t>
      </w:r>
      <w:r>
        <w:rPr>
          <w:rFonts w:hint="eastAsia" w:ascii="宋体" w:hAnsi="宋体" w:cs="仿宋"/>
          <w:sz w:val="24"/>
        </w:rPr>
        <w:t xml:space="preserve">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15"/>
        <w:ind w:firstLine="480"/>
        <w:spacing w:line="480" w:lineRule="exact"/>
        <w:rPr>
          <w:rFonts w:hint="eastAsia" w:ascii="宋体" w:hAnsi="宋体" w:cs="仿宋"/>
          <w:sz w:val="24"/>
        </w:rPr>
      </w:pPr>
      <w:r>
        <w:rPr>
          <w:rFonts w:hint="eastAsia" w:ascii="宋体" w:hAnsi="宋体" w:cs="仿宋"/>
          <w:sz w:val="24"/>
        </w:rPr>
        <w:t xml:space="preserve">6.2.4 投标人需按照招标文件的要求提供《关于符合本国产品标准的声明函》，如不提供将不享受本国产品价格评审优惠。</w:t>
      </w:r>
      <w:r/>
    </w:p>
    <w:p>
      <w:pPr>
        <w:pStyle w:val="815"/>
        <w:ind w:firstLine="480"/>
        <w:spacing w:line="480" w:lineRule="exact"/>
        <w:rPr>
          <w:rFonts w:hint="eastAsia" w:ascii="宋体" w:hAnsi="宋体" w:cs="仿宋"/>
          <w:sz w:val="24"/>
        </w:rPr>
      </w:pPr>
      <w:r>
        <w:rPr>
          <w:rFonts w:hint="eastAsia" w:ascii="宋体" w:hAnsi="宋体"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15"/>
        <w:ind w:firstLine="480"/>
        <w:spacing w:line="480" w:lineRule="exact"/>
        <w:rPr>
          <w:rFonts w:ascii="宋体" w:hAnsi="宋体" w:cs="仿宋"/>
          <w:sz w:val="24"/>
        </w:rPr>
      </w:pPr>
      <w:r>
        <w:rPr>
          <w:rFonts w:hint="eastAsia" w:ascii="宋体" w:hAnsi="宋体"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6.3节能产品、环境标志产品</w:t>
      </w:r>
      <w:r/>
    </w:p>
    <w:p>
      <w:pPr>
        <w:pStyle w:val="815"/>
        <w:ind w:firstLine="480"/>
        <w:spacing w:line="480" w:lineRule="exact"/>
        <w:rPr>
          <w:rFonts w:hint="eastAsia" w:ascii="宋体" w:hAnsi="宋体" w:cs="仿宋"/>
          <w:sz w:val="24"/>
        </w:rPr>
      </w:pPr>
      <w:r>
        <w:rPr>
          <w:rFonts w:hint="eastAsia" w:ascii="宋体" w:hAnsi="宋体" w:cs="仿宋"/>
          <w:sz w:val="24"/>
        </w:rPr>
        <w:t xml:space="preserve">拟采购的产品属于品目清单范围的，采购人将依据国家确定的认证机构出</w:t>
      </w:r>
      <w:r>
        <w:rPr>
          <w:rFonts w:hint="eastAsia" w:ascii="宋体" w:hAnsi="宋体" w:cs="仿宋"/>
          <w:sz w:val="24"/>
        </w:rPr>
        <w:t xml:space="preserve">具的、处于有效期之内的节能产品、环境标志产品认证证书，对获得证书的产品实施政府优先采购或强制采购。</w:t>
      </w:r>
      <w:r/>
    </w:p>
    <w:p>
      <w:pPr>
        <w:pStyle w:val="815"/>
        <w:ind w:firstLine="480"/>
        <w:spacing w:line="480" w:lineRule="exact"/>
        <w:rPr>
          <w:rFonts w:ascii="宋体" w:hAnsi="宋体" w:cs="仿宋"/>
          <w:sz w:val="24"/>
        </w:rPr>
      </w:pPr>
      <w:r>
        <w:rPr>
          <w:rFonts w:hint="eastAsia" w:ascii="宋体" w:hAnsi="宋体"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6.3.2采购人拟采购的产品属于优先采购的节能产品、环境标志产品清单范围的，按以下条件优先采购：</w:t>
      </w:r>
      <w:r/>
    </w:p>
    <w:p>
      <w:pPr>
        <w:pStyle w:val="815"/>
        <w:ind w:firstLine="480"/>
        <w:spacing w:line="480" w:lineRule="exact"/>
        <w:rPr>
          <w:rFonts w:hint="eastAsia" w:ascii="宋体" w:hAnsi="宋体" w:cs="仿宋"/>
          <w:sz w:val="24"/>
        </w:rPr>
      </w:pPr>
      <w:r>
        <w:rPr>
          <w:rFonts w:hint="eastAsia" w:ascii="宋体" w:hAnsi="宋体" w:cs="仿宋"/>
          <w:sz w:val="24"/>
        </w:rPr>
        <w:t xml:space="preserve">采用综合评分法的项目，对提供有效节能产品、环境标志证书产品的投标人加分。</w:t>
      </w:r>
      <w:r/>
    </w:p>
    <w:p>
      <w:pPr>
        <w:pStyle w:val="815"/>
        <w:ind w:firstLine="480"/>
        <w:spacing w:line="480" w:lineRule="exact"/>
        <w:rPr>
          <w:rFonts w:hint="eastAsia" w:ascii="宋体" w:hAnsi="宋体" w:cs="仿宋"/>
          <w:sz w:val="24"/>
        </w:rPr>
      </w:pPr>
      <w:r>
        <w:rPr>
          <w:rFonts w:hint="eastAsia" w:ascii="宋体" w:hAnsi="宋体" w:cs="仿宋"/>
          <w:sz w:val="24"/>
        </w:rPr>
        <w:t xml:space="preserve">采用最低评标价法的项目，同等条件下优先推荐提供有效节能产品、环境标志产品证书多的投标人为中标人。</w:t>
      </w:r>
      <w:r/>
    </w:p>
    <w:p>
      <w:pPr>
        <w:pStyle w:val="815"/>
        <w:ind w:firstLine="480"/>
        <w:spacing w:line="480" w:lineRule="exact"/>
        <w:rPr>
          <w:rFonts w:hint="eastAsia" w:ascii="宋体" w:hAnsi="宋体" w:cs="仿宋"/>
          <w:sz w:val="24"/>
        </w:rPr>
      </w:pPr>
      <w:r>
        <w:rPr>
          <w:rFonts w:hint="eastAsia" w:ascii="宋体" w:hAnsi="宋体" w:cs="仿宋"/>
          <w:sz w:val="24"/>
        </w:rPr>
        <w:t xml:space="preserve">6.4政府采购需求标准</w:t>
      </w:r>
      <w:r/>
    </w:p>
    <w:p>
      <w:pPr>
        <w:pStyle w:val="815"/>
        <w:ind w:firstLine="480"/>
        <w:spacing w:line="480" w:lineRule="exact"/>
        <w:rPr>
          <w:rFonts w:hint="eastAsia" w:ascii="宋体" w:hAnsi="宋体" w:cs="仿宋"/>
          <w:sz w:val="24"/>
        </w:rPr>
      </w:pPr>
      <w:r>
        <w:rPr>
          <w:rFonts w:hint="eastAsia" w:ascii="宋体" w:hAnsi="宋体" w:cs="仿宋"/>
          <w:sz w:val="24"/>
        </w:rPr>
        <w:t xml:space="preserve">6.4.1商品包装、快递包装政府采购需求标准（试行）</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按照财政部印发的《商品包装政府采购需求标准（试行）》《快递包装政府采购需求标准（试行）》要求执行，本项目商品包装和快递包装的具体需求详见第四章采购需求。</w:t>
      </w:r>
      <w:r/>
    </w:p>
    <w:p>
      <w:pPr>
        <w:pStyle w:val="815"/>
        <w:ind w:firstLine="480"/>
        <w:spacing w:line="480" w:lineRule="exact"/>
        <w:rPr>
          <w:rFonts w:hint="eastAsia" w:ascii="宋体" w:hAnsi="宋体" w:cs="仿宋"/>
          <w:sz w:val="24"/>
        </w:rPr>
      </w:pPr>
      <w:r>
        <w:rPr>
          <w:rFonts w:hint="eastAsia" w:ascii="宋体" w:hAnsi="宋体" w:cs="仿宋"/>
          <w:sz w:val="24"/>
        </w:rPr>
        <w:t xml:space="preserve">6.4.2绿色数据中心政府采购需求标准（试行）</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5"/>
        <w:ind w:firstLine="480"/>
        <w:spacing w:line="480" w:lineRule="exact"/>
        <w:rPr>
          <w:rFonts w:hint="eastAsia" w:ascii="宋体" w:hAnsi="宋体" w:cs="仿宋"/>
          <w:sz w:val="24"/>
        </w:rPr>
      </w:pPr>
      <w:r>
        <w:rPr>
          <w:rFonts w:hint="eastAsia" w:ascii="宋体" w:hAnsi="宋体" w:cs="仿宋"/>
          <w:sz w:val="24"/>
        </w:rPr>
        <w:t xml:space="preserve">6.4.3绿色建材政府采购需求标准</w:t>
      </w:r>
      <w:r/>
    </w:p>
    <w:p>
      <w:pPr>
        <w:pStyle w:val="815"/>
        <w:ind w:firstLine="480"/>
        <w:spacing w:line="480" w:lineRule="exact"/>
        <w:rPr>
          <w:rFonts w:hint="eastAsia" w:ascii="宋体" w:hAnsi="宋体" w:cs="仿宋"/>
          <w:sz w:val="24"/>
        </w:rPr>
      </w:pPr>
      <w:r>
        <w:rPr>
          <w:rFonts w:hint="eastAsia" w:ascii="宋体" w:hAnsi="宋体" w:cs="仿宋"/>
          <w:sz w:val="24"/>
        </w:rPr>
        <w:t xml:space="preserve">按照财政部 住房和</w:t>
      </w:r>
      <w:r>
        <w:rPr>
          <w:rFonts w:hint="eastAsia" w:ascii="宋体" w:hAnsi="宋体" w:cs="仿宋"/>
          <w:sz w:val="24"/>
        </w:rPr>
        <w:t xml:space="preserve">城乡建设部 工业和信息化部关于印发《关于扩大政府采购支持绿色建材促进建筑品质提升政策实施范围的通知》要求执行，本项目绿色建材的具体需求详见第四章采购需求。</w:t>
      </w:r>
      <w:r/>
    </w:p>
    <w:p>
      <w:pPr>
        <w:pStyle w:val="815"/>
        <w:ind w:firstLine="480"/>
        <w:spacing w:line="480" w:lineRule="exact"/>
        <w:rPr>
          <w:rFonts w:hint="eastAsia" w:ascii="Times New Roman" w:hAnsi="Times New Roman" w:cs="仿宋"/>
          <w:sz w:val="24"/>
        </w:rPr>
      </w:pPr>
      <w:r>
        <w:rPr>
          <w:rFonts w:hint="eastAsia" w:ascii="宋体" w:hAnsi="宋体"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5"/>
        <w:ind w:firstLine="480"/>
        <w:spacing w:line="480" w:lineRule="exact"/>
        <w:rPr>
          <w:rFonts w:hint="eastAsia" w:ascii="宋体" w:hAnsi="宋体" w:cs="仿宋"/>
          <w:sz w:val="24"/>
        </w:rPr>
      </w:pPr>
      <w:r/>
      <w:bookmarkStart w:id="94" w:name="_Toc5574"/>
      <w:r/>
      <w:bookmarkStart w:id="95" w:name="_Toc81575157"/>
      <w:r/>
      <w:bookmarkStart w:id="96" w:name="_Toc11461"/>
      <w:r/>
      <w:bookmarkStart w:id="97" w:name="_Toc81575194"/>
      <w:r>
        <w:rPr>
          <w:rFonts w:hint="eastAsia" w:ascii="宋体" w:hAnsi="宋体" w:cs="仿宋"/>
          <w:sz w:val="24"/>
        </w:rPr>
        <w:t xml:space="preserve">7.1采购人或者采购代理机构可以以更正公告的</w:t>
      </w:r>
      <w:r>
        <w:rPr>
          <w:rFonts w:hint="eastAsia" w:ascii="宋体" w:hAnsi="宋体" w:cs="仿宋"/>
          <w:sz w:val="24"/>
        </w:rPr>
        <w:t xml:space="preserve">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5"/>
        <w:ind w:firstLine="480"/>
        <w:spacing w:line="480" w:lineRule="exact"/>
        <w:rPr>
          <w:rFonts w:hint="eastAsia" w:ascii="宋体" w:hAnsi="宋体" w:cs="仿宋"/>
          <w:sz w:val="24"/>
        </w:rPr>
      </w:pPr>
      <w:r>
        <w:rPr>
          <w:rFonts w:hint="eastAsia" w:ascii="宋体" w:hAnsi="宋体" w:cs="仿宋"/>
          <w:sz w:val="24"/>
        </w:rPr>
        <w:t xml:space="preserve">7.2招标文件的澄清、修改将在原公告媒体上发布更正公告，澄清、修改文件均作为招标文件的组成部分，并对投标人具有约束力。</w:t>
      </w:r>
      <w:r/>
    </w:p>
    <w:p>
      <w:pPr>
        <w:pStyle w:val="815"/>
        <w:ind w:firstLine="480"/>
        <w:spacing w:line="480" w:lineRule="exact"/>
        <w:rPr>
          <w:rFonts w:hint="eastAsia" w:ascii="宋体" w:hAnsi="宋体" w:cs="仿宋"/>
          <w:color w:val="ff0000"/>
          <w:sz w:val="24"/>
        </w:rPr>
      </w:pPr>
      <w:r>
        <w:rPr>
          <w:rFonts w:hint="eastAsia" w:ascii="宋体" w:hAnsi="宋体" w:cs="仿宋"/>
          <w:sz w:val="24"/>
        </w:rPr>
        <w:t xml:space="preserve">7.3投标人应及时登录“苏采云”系统获取、查看澄清答疑文件（修改后的招标文件），否则造成的相关责任由投标人承担。</w:t>
      </w:r>
      <w:r>
        <w:rPr>
          <w:rFonts w:hint="eastAsia" w:ascii="宋体" w:hAnsi="宋体" w:cs="仿宋"/>
          <w:color w:val="ff0000"/>
          <w:sz w:val="24"/>
        </w:rPr>
      </w:r>
      <w:r/>
    </w:p>
    <w:p>
      <w:pPr>
        <w:pStyle w:val="817"/>
        <w:ind w:firstLine="321"/>
        <w:spacing w:before="0" w:after="0" w:line="480" w:lineRule="exact"/>
        <w:rPr>
          <w:rFonts w:hint="eastAsia" w:eastAsia="宋体" w:cs="Arial"/>
          <w:bCs/>
          <w:szCs w:val="22"/>
        </w:rPr>
      </w:pPr>
      <w:r>
        <w:rPr>
          <w:rFonts w:hint="eastAsia" w:eastAsia="宋体" w:cs="Arial"/>
          <w:bCs/>
          <w:szCs w:val="22"/>
        </w:rPr>
        <w:t xml:space="preserve">三、投标文件的编制</w:t>
      </w:r>
      <w:bookmarkEnd w:id="94"/>
      <w:r/>
      <w:bookmarkEnd w:id="95"/>
      <w:r/>
      <w:bookmarkEnd w:id="96"/>
      <w:r/>
      <w:bookmarkEnd w:id="9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5"/>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98" w:name="EBc50e2bb832bb43068403b10c1cce6141"/>
      <w:r>
        <w:rPr>
          <w:rFonts w:ascii="Times New Roman" w:hAnsi="Times New Roman" w:cs="仿宋"/>
          <w:bCs/>
          <w:sz w:val="24"/>
        </w:rPr>
      </w:r>
      <w:r/>
    </w:p>
    <w:p>
      <w:pPr>
        <w:pStyle w:val="815"/>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w:t>
      </w:r>
      <w:r>
        <w:rPr>
          <w:rFonts w:hint="eastAsia" w:ascii="Times New Roman" w:hAnsi="Times New Roman" w:cs="仿宋"/>
          <w:b/>
          <w:sz w:val="24"/>
        </w:rPr>
        <w:t xml:space="preserve">提供。</w:t>
      </w:r>
      <w:bookmarkEnd w:id="98"/>
      <w:r>
        <w:rPr>
          <w:rFonts w:ascii="Times New Roman" w:hAnsi="Times New Roman" w:cs="仿宋"/>
          <w:bCs/>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9" w:name="EB183a0bf075204c54a4ff090f1aecaaa7"/>
      <w:r>
        <w:rPr>
          <w:rFonts w:hint="eastAsia" w:ascii="Times New Roman" w:hAnsi="Times New Roman" w:cs="仿宋"/>
          <w:b/>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9"/>
      <w:r>
        <w:rPr>
          <w:rFonts w:ascii="Times New Roman" w:hAnsi="Times New Roman" w:cs="仿宋"/>
          <w:sz w:val="24"/>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w:t>
      </w:r>
      <w:r>
        <w:rPr>
          <w:rFonts w:hint="eastAsia" w:ascii="Times New Roman" w:hAnsi="Times New Roman" w:cs="仿宋"/>
          <w:sz w:val="24"/>
        </w:rPr>
        <w:t xml:space="preserve">的答复均应为书面形式（如信件、传真或电报等），投标人拒绝延长的，其投标在原投标有效期届满后将不再有效；投标人同意延长的，不允许修改或撤回投标文件。</w:t>
      </w:r>
      <w:r/>
    </w:p>
    <w:p>
      <w:pPr>
        <w:pStyle w:val="817"/>
        <w:ind w:firstLine="321"/>
        <w:spacing w:before="0" w:after="0" w:line="480" w:lineRule="exact"/>
        <w:rPr>
          <w:rFonts w:hint="eastAsia" w:eastAsia="宋体" w:cs="Arial"/>
          <w:bCs/>
          <w:szCs w:val="22"/>
        </w:rPr>
      </w:pPr>
      <w:r/>
      <w:bookmarkStart w:id="100" w:name="_Toc23443"/>
      <w:r/>
      <w:bookmarkStart w:id="101" w:name="_Toc81575195"/>
      <w:r/>
      <w:bookmarkStart w:id="102" w:name="_Toc2773"/>
      <w:r/>
      <w:bookmarkStart w:id="103" w:name="_Toc81575158"/>
      <w:r>
        <w:rPr>
          <w:rFonts w:hint="eastAsia" w:eastAsia="宋体" w:cs="Arial"/>
          <w:bCs/>
          <w:szCs w:val="22"/>
        </w:rPr>
        <w:t xml:space="preserve">四、投标文件的提交</w:t>
      </w:r>
      <w:bookmarkEnd w:id="100"/>
      <w:r/>
      <w:bookmarkEnd w:id="101"/>
      <w:r/>
      <w:bookmarkEnd w:id="102"/>
      <w:r/>
      <w:bookmarkEnd w:id="103"/>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w:t>
      </w:r>
      <w:r>
        <w:rPr>
          <w:rFonts w:hint="eastAsia" w:ascii="Times New Roman" w:hAnsi="Times New Roman" w:cs="仿宋"/>
          <w:sz w:val="24"/>
        </w:rPr>
        <w:t xml:space="preserve">提交投标文件。投标文件以最终完成上传的为准。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15"/>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7"/>
        <w:ind w:firstLine="321"/>
        <w:spacing w:before="0" w:after="0" w:line="520" w:lineRule="exact"/>
        <w:rPr>
          <w:rFonts w:hint="eastAsia" w:eastAsia="宋体" w:cs="Arial"/>
          <w:bCs/>
          <w:szCs w:val="22"/>
        </w:rPr>
      </w:pPr>
      <w:r/>
      <w:bookmarkStart w:id="104" w:name="_Toc81575160"/>
      <w:r/>
      <w:bookmarkStart w:id="105" w:name="_Toc81575197"/>
      <w:r/>
      <w:bookmarkStart w:id="106" w:name="_Toc959"/>
      <w:r/>
      <w:bookmarkStart w:id="107" w:name="_Toc20026"/>
      <w:r>
        <w:rPr>
          <w:rFonts w:hint="eastAsia" w:eastAsia="宋体" w:cs="Arial"/>
          <w:bCs/>
          <w:szCs w:val="22"/>
        </w:rPr>
        <w:t xml:space="preserve">五、开标、评标程序</w:t>
      </w:r>
      <w:bookmarkEnd w:id="104"/>
      <w:r/>
      <w:bookmarkEnd w:id="105"/>
      <w:r/>
      <w:bookmarkEnd w:id="106"/>
      <w:r/>
      <w:bookmarkEnd w:id="10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5"/>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w:t>
      </w:r>
      <w:r>
        <w:rPr>
          <w:rFonts w:hint="eastAsia" w:ascii="Times New Roman" w:hAnsi="Times New Roman" w:cs="仿宋"/>
          <w:sz w:val="24"/>
        </w:rPr>
        <w:t xml:space="preserve">云”系统查阅、答复相关信息。</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8" w:name="EBa9c0a2c9e523494487594c65b2a92370"/>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8"/>
      <w:r>
        <w:rPr>
          <w:rFonts w:hint="eastAsia"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9"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9"/>
      <w:r>
        <w:rPr>
          <w:rFonts w:hint="eastAsia" w:ascii="Times New Roman" w:hAnsi="Times New Roman" w:cs="仿宋"/>
          <w:sz w:val="24"/>
        </w:rPr>
        <w:t xml:space="preserve">重大偏离的认定需经过评标委员会以少数服从多数的原则作出结论。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w:t>
      </w:r>
      <w:r>
        <w:rPr>
          <w:rFonts w:hint="eastAsia" w:ascii="Times New Roman" w:hAnsi="Times New Roman" w:cs="仿宋"/>
          <w:sz w:val="24"/>
        </w:rPr>
        <w:t xml:space="preserve">过资格审查或符合性审查的原因。</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w:t>
      </w:r>
      <w:r>
        <w:rPr>
          <w:rFonts w:hint="eastAsia" w:ascii="Times New Roman" w:hAnsi="Times New Roman" w:cs="仿宋"/>
          <w:sz w:val="24"/>
        </w:rPr>
        <w:t xml:space="preserve">分相同的，报价最低的同品牌投标人获得中标人推荐资格；评审得分且报价相同的，采取随机抽取方式确定，其他同品牌投标人不作为中标候选人。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pStyle w:val="815"/>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rPr>
          <w:rFonts w:ascii="Times New Roman" w:hAnsi="Times New Roman" w:cs="仿宋"/>
          <w:b/>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w:t>
      </w:r>
      <w:r>
        <w:rPr>
          <w:rFonts w:hint="eastAsia" w:ascii="Times New Roman" w:hAnsi="Times New Roman" w:cs="仿宋"/>
          <w:sz w:val="24"/>
        </w:rPr>
        <w:t xml:space="preserve">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w:t>
      </w:r>
      <w:r>
        <w:rPr>
          <w:rFonts w:hint="eastAsia" w:ascii="Times New Roman" w:hAnsi="Times New Roman" w:cs="仿宋"/>
          <w:sz w:val="24"/>
        </w:rPr>
        <w:t xml:space="preserve">额小数点或者百分比有明显错位的，以开标一览表的总价为准，并修改单价；</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pStyle w:val="815"/>
        <w:ind w:firstLine="480"/>
        <w:spacing w:line="480" w:lineRule="exact"/>
        <w:rPr>
          <w:rFonts w:hint="eastAsia" w:ascii="宋体" w:hAnsi="宋体" w:cs="仿宋"/>
          <w:sz w:val="24"/>
        </w:rPr>
      </w:pPr>
      <w:r>
        <w:rPr>
          <w:rFonts w:hint="eastAsia" w:ascii="宋体" w:hAnsi="宋体" w:cs="仿宋"/>
          <w:sz w:val="24"/>
        </w:rPr>
        <w:t xml:space="preserve">17.7 异常低价投标审查</w:t>
      </w:r>
      <w:r/>
    </w:p>
    <w:p>
      <w:pPr>
        <w:pStyle w:val="815"/>
        <w:ind w:firstLine="480"/>
        <w:spacing w:line="480" w:lineRule="exact"/>
        <w:rPr>
          <w:rFonts w:hint="eastAsia" w:ascii="宋体" w:hAnsi="宋体" w:cs="仿宋"/>
          <w:sz w:val="24"/>
        </w:rPr>
      </w:pPr>
      <w:r>
        <w:rPr>
          <w:rFonts w:hint="eastAsia" w:ascii="宋体" w:hAnsi="宋体" w:cs="仿宋"/>
          <w:sz w:val="24"/>
        </w:rPr>
        <w:t xml:space="preserve">17.7.1 评标过程中出现下列情形之一的，评标委员会应当启动异常</w:t>
      </w:r>
      <w:r>
        <w:rPr>
          <w:rFonts w:hint="eastAsia" w:ascii="宋体" w:hAnsi="宋体" w:cs="仿宋"/>
          <w:sz w:val="24"/>
        </w:rPr>
        <w:t xml:space="preserve">低价投标审查程序：</w:t>
      </w:r>
      <w:r/>
    </w:p>
    <w:p>
      <w:pPr>
        <w:pStyle w:val="815"/>
        <w:ind w:firstLine="480"/>
        <w:spacing w:line="480" w:lineRule="exact"/>
        <w:rPr>
          <w:rFonts w:hint="eastAsia" w:ascii="宋体" w:hAnsi="宋体" w:cs="仿宋"/>
          <w:sz w:val="24"/>
        </w:rPr>
      </w:pPr>
      <w:r>
        <w:rPr>
          <w:rFonts w:hint="eastAsia" w:ascii="宋体" w:hAnsi="宋体" w:cs="仿宋"/>
          <w:sz w:val="24"/>
        </w:rPr>
        <w:t xml:space="preserve">（1）投标报价低于全部通过符合性审查供应商投标报价平均值50%的，即投标报价&lt;全部通过符合性审查供应商投标报价平均值×50%；</w:t>
      </w:r>
      <w:r/>
    </w:p>
    <w:p>
      <w:pPr>
        <w:pStyle w:val="815"/>
        <w:ind w:firstLine="480"/>
        <w:spacing w:line="480" w:lineRule="exact"/>
        <w:rPr>
          <w:rFonts w:hint="eastAsia" w:ascii="宋体" w:hAnsi="宋体" w:cs="仿宋"/>
          <w:sz w:val="24"/>
        </w:rPr>
      </w:pPr>
      <w:r>
        <w:rPr>
          <w:rFonts w:hint="eastAsia" w:ascii="宋体" w:hAnsi="宋体" w:cs="仿宋"/>
          <w:sz w:val="24"/>
        </w:rPr>
        <w:t xml:space="preserve">（2）投标报价低于通过符合性审查的次低报价供应商投标报价50%的，即投标报价&lt;通过符合性审查的次低报价供应商投标报价×50%；</w:t>
      </w:r>
      <w:r/>
    </w:p>
    <w:p>
      <w:pPr>
        <w:pStyle w:val="815"/>
        <w:ind w:firstLine="480"/>
        <w:spacing w:line="480" w:lineRule="exact"/>
        <w:rPr>
          <w:rFonts w:hint="eastAsia" w:ascii="宋体" w:hAnsi="宋体" w:cs="仿宋"/>
          <w:sz w:val="24"/>
        </w:rPr>
      </w:pPr>
      <w:r>
        <w:rPr>
          <w:rFonts w:hint="eastAsia" w:ascii="宋体" w:hAnsi="宋体" w:cs="仿宋"/>
          <w:sz w:val="24"/>
        </w:rPr>
        <w:t xml:space="preserve">（3）投标报价低于采购项目最高限价45%的，即投标报价&lt;采购项目最高限价×45%；</w:t>
      </w:r>
      <w:r/>
    </w:p>
    <w:p>
      <w:pPr>
        <w:pStyle w:val="815"/>
        <w:ind w:firstLine="480"/>
        <w:spacing w:line="480" w:lineRule="exact"/>
        <w:rPr>
          <w:rFonts w:hint="eastAsia" w:ascii="宋体" w:hAnsi="宋体" w:cs="仿宋"/>
          <w:sz w:val="24"/>
        </w:rPr>
      </w:pPr>
      <w:r>
        <w:rPr>
          <w:rFonts w:hint="eastAsia" w:ascii="宋体" w:hAnsi="宋体" w:cs="仿宋"/>
          <w:sz w:val="24"/>
        </w:rPr>
        <w:t xml:space="preserve">（4）评标委员会基于专业判断，认为供应商报价过低，有可能影响产品质量或者不能诚信履约的其他情形。</w:t>
      </w:r>
      <w:r/>
    </w:p>
    <w:p>
      <w:pPr>
        <w:pStyle w:val="815"/>
        <w:ind w:firstLine="480"/>
        <w:spacing w:line="480" w:lineRule="exact"/>
        <w:rPr>
          <w:rFonts w:hint="eastAsia" w:ascii="宋体" w:hAnsi="宋体" w:cs="仿宋"/>
          <w:sz w:val="24"/>
        </w:rPr>
      </w:pPr>
      <w:r>
        <w:rPr>
          <w:rFonts w:hint="eastAsia" w:ascii="宋体" w:hAnsi="宋体" w:cs="仿宋"/>
          <w:sz w:val="24"/>
        </w:rPr>
        <w:t xml:space="preserve">17.7.2 评标委员会启动异常低价投标审查后，属于前述第（1）项至第（4）项情形的，应当要求相关供应商在评</w:t>
      </w:r>
      <w:r>
        <w:rPr>
          <w:rFonts w:hint="eastAsia" w:ascii="宋体" w:hAnsi="宋体" w:cs="仿宋"/>
          <w:sz w:val="24"/>
        </w:rPr>
        <w:t xml:space="preserve">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15"/>
        <w:ind w:firstLine="480"/>
        <w:spacing w:line="480" w:lineRule="exact"/>
        <w:rPr>
          <w:rFonts w:hint="eastAsia" w:ascii="Times New Roman" w:hAnsi="Times New Roman" w:cs="仿宋"/>
          <w:sz w:val="24"/>
        </w:rPr>
      </w:pPr>
      <w:r>
        <w:rPr>
          <w:rFonts w:hint="eastAsia" w:ascii="宋体" w:hAnsi="宋体" w:cs="仿宋"/>
          <w:sz w:val="24"/>
        </w:rPr>
        <w:t xml:space="preserve">评标委员会依据专业经验，参考同类项目中标价格、类似产品市场价格水平、行业人工费用标准、国家有关部门指导行业协会发布的行业平均成本等情况，对报价合理性进行</w:t>
      </w:r>
      <w:r>
        <w:rPr>
          <w:rFonts w:hint="eastAsia" w:ascii="宋体" w:hAnsi="宋体" w:cs="仿宋"/>
          <w:sz w:val="24"/>
        </w:rPr>
        <w:t xml:space="preserve">判断。投标供应商不能提供书面说明、证明材料，或者提供的书面说明、证明材料不能证明其报价合理性的，评标委员会应当将其作为无效投标处理。</w:t>
      </w:r>
      <w:r>
        <w:rPr>
          <w:rFonts w:hint="eastAsia" w:ascii="Times New Roman" w:hAnsi="Times New Roman" w:cs="仿宋"/>
          <w:sz w:val="24"/>
        </w:rPr>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17.7比较</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17.8推荐中标候选人</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817"/>
        <w:ind w:firstLine="321"/>
        <w:spacing w:before="0" w:after="0" w:line="480" w:lineRule="exact"/>
        <w:rPr>
          <w:rFonts w:hint="eastAsia" w:eastAsia="宋体" w:cs="Arial"/>
          <w:bCs/>
          <w:szCs w:val="22"/>
        </w:rPr>
      </w:pPr>
      <w:r/>
      <w:bookmarkStart w:id="110" w:name="_Toc81575196"/>
      <w:r/>
      <w:bookmarkStart w:id="111" w:name="_Toc8841"/>
      <w:r/>
      <w:bookmarkStart w:id="112" w:name="_Toc81575159"/>
      <w:r/>
      <w:bookmarkStart w:id="113" w:name="_Toc8712"/>
      <w:r>
        <w:rPr>
          <w:rFonts w:hint="eastAsia" w:eastAsia="宋体" w:cs="Arial"/>
          <w:bCs/>
          <w:szCs w:val="22"/>
        </w:rPr>
        <w:t xml:space="preserve">六、无效投标、废标、串通投标</w:t>
      </w:r>
      <w:bookmarkEnd w:id="110"/>
      <w:r/>
      <w:bookmarkEnd w:id="111"/>
      <w:r/>
      <w:bookmarkEnd w:id="112"/>
      <w:r/>
      <w:bookmarkEnd w:id="113"/>
      <w:r>
        <w:rPr>
          <w:rFonts w:hint="eastAsia" w:eastAsia="宋体" w:cs="Arial"/>
          <w:bCs/>
          <w:szCs w:val="22"/>
        </w:rPr>
        <w:t xml:space="preserve">及取消中标候选人资格情形</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18、无效投标情形</w:t>
      </w:r>
      <w:r/>
    </w:p>
    <w:p>
      <w:pPr>
        <w:pStyle w:val="815"/>
        <w:ind w:firstLine="480"/>
        <w:spacing w:line="480" w:lineRule="exact"/>
        <w:rPr>
          <w:rFonts w:hint="eastAsia"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rPr>
          <w:rFonts w:hint="eastAsia" w:ascii="Times New Roman" w:hAnsi="Times New Roman" w:cs="仿宋"/>
          <w:strike/>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18.3投标人的报价超过了采购预算或最高限价的。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18.4投标文件未通过符合性审查的。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18.6</w:t>
      </w:r>
      <w:r>
        <w:rPr>
          <w:rFonts w:hint="eastAsia" w:ascii="宋体" w:hAnsi="宋体" w:cs="仿宋"/>
          <w:sz w:val="24"/>
        </w:rPr>
        <w:t xml:space="preserve">评标委员会启动异常低价投标审查后，投标人不能提供书面说明、证明材料，或者评标委员会认为投标人提供的书面说明、证明材料不能证明其报价合理性的。</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5"/>
        <w:ind w:firstLine="480"/>
        <w:spacing w:line="500" w:lineRule="exact"/>
        <w:rPr>
          <w:rFonts w:ascii="黑体" w:hAnsi="黑体" w:eastAsia="黑体"/>
          <w:sz w:val="24"/>
        </w:rPr>
      </w:pPr>
      <w:r>
        <w:rPr>
          <w:rFonts w:hint="eastAsia" w:ascii="黑体" w:hAnsi="黑体" w:eastAsia="黑体"/>
          <w:sz w:val="24"/>
        </w:rPr>
        <w:t xml:space="preserve">有下列情形之一的，属于恶意串通投标：</w:t>
      </w:r>
      <w:r>
        <w:rPr>
          <w:rFonts w:ascii="黑体" w:hAnsi="黑体" w:eastAsia="黑体"/>
          <w:sz w:val="24"/>
        </w:rPr>
      </w:r>
      <w:r/>
    </w:p>
    <w:p>
      <w:pPr>
        <w:pStyle w:val="815"/>
        <w:ind w:firstLine="480"/>
        <w:spacing w:line="500" w:lineRule="exact"/>
        <w:rPr>
          <w:rFonts w:hint="eastAsia" w:ascii="宋体" w:hAnsi="宋体"/>
          <w:sz w:val="24"/>
        </w:rPr>
      </w:pPr>
      <w:r>
        <w:rPr>
          <w:rFonts w:hint="eastAsia" w:ascii="宋体" w:hAnsi="宋体"/>
          <w:sz w:val="24"/>
        </w:rPr>
        <w:t xml:space="preserve">有下列情形之一的，属于恶意串通投标，其投标无效：</w:t>
      </w:r>
      <w:r/>
    </w:p>
    <w:p>
      <w:pPr>
        <w:pStyle w:val="815"/>
        <w:ind w:firstLine="480"/>
        <w:spacing w:line="480" w:lineRule="exact"/>
        <w:rPr>
          <w:rFonts w:hint="eastAsia" w:ascii="宋体" w:hAnsi="宋体" w:cs="仿宋"/>
          <w:sz w:val="24"/>
        </w:rPr>
      </w:pPr>
      <w:r>
        <w:rPr>
          <w:rFonts w:hint="eastAsia" w:ascii="宋体" w:hAnsi="宋体" w:cs="仿宋"/>
          <w:sz w:val="24"/>
        </w:rPr>
        <w:t xml:space="preserve">21.1投标人直接或间接从采购人或采购代理机构处获得其他投标人的投标情况，并修改其投标文件；</w:t>
      </w:r>
      <w:r/>
    </w:p>
    <w:p>
      <w:pPr>
        <w:pStyle w:val="815"/>
        <w:ind w:firstLine="480"/>
        <w:spacing w:line="480" w:lineRule="exact"/>
        <w:rPr>
          <w:rFonts w:hint="eastAsia" w:ascii="宋体" w:hAnsi="宋体" w:cs="仿宋"/>
          <w:sz w:val="24"/>
        </w:rPr>
      </w:pPr>
      <w:r>
        <w:rPr>
          <w:rFonts w:hint="eastAsia" w:ascii="宋体" w:hAnsi="宋体" w:cs="仿宋"/>
          <w:sz w:val="24"/>
        </w:rPr>
        <w:t xml:space="preserve">21.2评审活动开始前投标人直接或间接从采购人或采购代理机构处获得评标委员会组成人员情况；</w:t>
      </w:r>
      <w:r/>
    </w:p>
    <w:p>
      <w:pPr>
        <w:pStyle w:val="815"/>
        <w:ind w:firstLine="480"/>
        <w:spacing w:line="480" w:lineRule="exact"/>
        <w:rPr>
          <w:rFonts w:hint="eastAsia" w:ascii="宋体" w:hAnsi="宋体" w:cs="仿宋"/>
          <w:sz w:val="24"/>
        </w:rPr>
      </w:pPr>
      <w:r>
        <w:rPr>
          <w:rFonts w:hint="eastAsia" w:ascii="宋体" w:hAnsi="宋体" w:cs="仿宋"/>
          <w:sz w:val="24"/>
        </w:rPr>
        <w:t xml:space="preserve">21.3投标人接受采购人或采购代理机构授意撤换、修改投标文件；</w:t>
      </w:r>
      <w:r/>
    </w:p>
    <w:p>
      <w:pPr>
        <w:pStyle w:val="815"/>
        <w:ind w:firstLine="480"/>
        <w:spacing w:line="480" w:lineRule="exact"/>
        <w:rPr>
          <w:rFonts w:hint="eastAsia" w:ascii="宋体" w:hAnsi="宋体" w:cs="仿宋"/>
          <w:sz w:val="24"/>
        </w:rPr>
      </w:pPr>
      <w:r>
        <w:rPr>
          <w:rFonts w:hint="eastAsia" w:ascii="宋体" w:hAnsi="宋体" w:cs="仿宋"/>
          <w:sz w:val="24"/>
        </w:rPr>
        <w:t xml:space="preserve">21.4投标人之间协商投标报价、技术方案等投标文件实质性内容；</w:t>
      </w:r>
      <w:r/>
    </w:p>
    <w:p>
      <w:pPr>
        <w:pStyle w:val="815"/>
        <w:ind w:firstLine="480"/>
        <w:spacing w:line="480" w:lineRule="exact"/>
        <w:rPr>
          <w:rFonts w:hint="eastAsia" w:ascii="宋体" w:hAnsi="宋体" w:cs="仿宋"/>
          <w:sz w:val="24"/>
        </w:rPr>
      </w:pPr>
      <w:r>
        <w:rPr>
          <w:rFonts w:hint="eastAsia" w:ascii="宋体" w:hAnsi="宋体" w:cs="仿宋"/>
          <w:sz w:val="24"/>
        </w:rPr>
        <w:t xml:space="preserve">21.5属于同一集团、协会、商会等组织成员的投</w:t>
      </w:r>
      <w:r>
        <w:rPr>
          <w:rFonts w:hint="eastAsia" w:ascii="宋体" w:hAnsi="宋体" w:cs="仿宋"/>
          <w:sz w:val="24"/>
        </w:rPr>
        <w:t xml:space="preserve">标人按照该组织要求协同投标；</w:t>
      </w:r>
      <w:r/>
    </w:p>
    <w:p>
      <w:pPr>
        <w:pStyle w:val="815"/>
        <w:ind w:firstLine="480"/>
        <w:spacing w:line="480" w:lineRule="exact"/>
        <w:rPr>
          <w:rFonts w:hint="eastAsia" w:ascii="宋体" w:hAnsi="宋体" w:cs="仿宋"/>
          <w:sz w:val="24"/>
        </w:rPr>
      </w:pPr>
      <w:r>
        <w:rPr>
          <w:rFonts w:hint="eastAsia" w:ascii="宋体" w:hAnsi="宋体" w:cs="仿宋"/>
          <w:sz w:val="24"/>
        </w:rPr>
        <w:t xml:space="preserve">21.6投标人之间事先约定由某一特定投标人中标、成交；</w:t>
      </w:r>
      <w:r/>
    </w:p>
    <w:p>
      <w:pPr>
        <w:pStyle w:val="815"/>
        <w:ind w:firstLine="480"/>
        <w:spacing w:line="480" w:lineRule="exact"/>
        <w:rPr>
          <w:rFonts w:hint="eastAsia" w:ascii="宋体" w:hAnsi="宋体" w:cs="仿宋"/>
          <w:sz w:val="24"/>
        </w:rPr>
      </w:pPr>
      <w:r>
        <w:rPr>
          <w:rFonts w:hint="eastAsia" w:ascii="宋体" w:hAnsi="宋体" w:cs="仿宋"/>
          <w:sz w:val="24"/>
        </w:rPr>
        <w:t xml:space="preserve">21.7投标人之间商定部分投标人放弃投标或者放弃中标、成交；</w:t>
      </w:r>
      <w:r/>
    </w:p>
    <w:p>
      <w:pPr>
        <w:pStyle w:val="815"/>
        <w:ind w:firstLine="480"/>
        <w:spacing w:line="480" w:lineRule="exact"/>
        <w:rPr>
          <w:rFonts w:hint="eastAsia" w:ascii="宋体" w:hAnsi="宋体" w:cs="仿宋"/>
          <w:sz w:val="24"/>
        </w:rPr>
      </w:pPr>
      <w:r>
        <w:rPr>
          <w:rFonts w:hint="eastAsia" w:ascii="宋体" w:hAnsi="宋体" w:cs="仿宋"/>
          <w:sz w:val="24"/>
        </w:rPr>
        <w:t xml:space="preserve">21.8投标人与采购人或采购代理机构之间、投标人相互之间为谋求特定投标人中标成交或者排斥其他投标人的其他串通行为；</w:t>
      </w:r>
      <w:r/>
    </w:p>
    <w:p>
      <w:pPr>
        <w:pStyle w:val="815"/>
        <w:ind w:firstLine="482"/>
        <w:spacing w:line="500" w:lineRule="exact"/>
        <w:rPr>
          <w:rFonts w:ascii="宋体" w:hAnsi="宋体"/>
          <w:sz w:val="24"/>
        </w:rPr>
      </w:pPr>
      <w:r>
        <w:rPr>
          <w:rFonts w:hint="eastAsia" w:ascii="宋体" w:hAnsi="宋体"/>
          <w:sz w:val="24"/>
        </w:rPr>
        <w:t xml:space="preserve">有下列情形之一的，视为投标人串通投标，其投标无效：</w:t>
      </w:r>
      <w:r>
        <w:rPr>
          <w:rFonts w:ascii="宋体" w:hAnsi="宋体"/>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21.9 不同投标人的投标文件由同一单位或者个人编制；</w:t>
      </w:r>
      <w:r/>
    </w:p>
    <w:p>
      <w:pPr>
        <w:pStyle w:val="815"/>
        <w:ind w:firstLine="480"/>
        <w:spacing w:line="480" w:lineRule="exact"/>
        <w:rPr>
          <w:rFonts w:ascii="宋体" w:hAnsi="宋体" w:cs="仿宋"/>
          <w:sz w:val="24"/>
        </w:rPr>
      </w:pPr>
      <w:r>
        <w:rPr>
          <w:rFonts w:hint="eastAsia" w:ascii="宋体" w:hAnsi="宋体" w:cs="仿宋"/>
          <w:sz w:val="24"/>
        </w:rPr>
        <w:t xml:space="preserve">21.10不同投标人的电子投标文件由同一台电子设备编制、打包、加密或者上传；</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21.11不同投标人委托同一单位或者个人办理投标事宜；</w:t>
      </w:r>
      <w:r/>
    </w:p>
    <w:p>
      <w:pPr>
        <w:pStyle w:val="815"/>
        <w:ind w:firstLine="480"/>
        <w:spacing w:line="480" w:lineRule="exact"/>
        <w:rPr>
          <w:rFonts w:hint="eastAsia" w:ascii="宋体" w:hAnsi="宋体" w:cs="仿宋"/>
          <w:sz w:val="24"/>
        </w:rPr>
      </w:pPr>
      <w:r>
        <w:rPr>
          <w:rFonts w:hint="eastAsia" w:ascii="宋体" w:hAnsi="宋体" w:cs="仿宋"/>
          <w:sz w:val="24"/>
        </w:rPr>
        <w:t xml:space="preserve">21.12不同投标人的投标文件载明的项目管理成员或者联系人员为同一人；</w:t>
      </w:r>
      <w:r/>
    </w:p>
    <w:p>
      <w:pPr>
        <w:pStyle w:val="815"/>
        <w:ind w:firstLine="480"/>
        <w:spacing w:line="480" w:lineRule="exact"/>
        <w:rPr>
          <w:rFonts w:hint="eastAsia" w:ascii="宋体" w:hAnsi="宋体" w:cs="仿宋"/>
          <w:sz w:val="24"/>
        </w:rPr>
      </w:pPr>
      <w:r>
        <w:rPr>
          <w:rFonts w:hint="eastAsia" w:ascii="宋体" w:hAnsi="宋体" w:cs="仿宋"/>
          <w:sz w:val="24"/>
        </w:rPr>
        <w:t xml:space="preserve">21.13不同投标人的投标文件异常一致或者投标报价呈规律性差异；</w:t>
      </w:r>
      <w:r/>
    </w:p>
    <w:p>
      <w:pPr>
        <w:pStyle w:val="815"/>
        <w:ind w:firstLine="480"/>
        <w:spacing w:line="480" w:lineRule="exact"/>
        <w:rPr>
          <w:rFonts w:hint="eastAsia" w:ascii="宋体" w:hAnsi="宋体" w:cs="仿宋"/>
          <w:sz w:val="24"/>
        </w:rPr>
      </w:pPr>
      <w:r>
        <w:rPr>
          <w:rFonts w:hint="eastAsia" w:ascii="宋体" w:hAnsi="宋体" w:cs="仿宋"/>
          <w:sz w:val="24"/>
        </w:rPr>
        <w:t xml:space="preserve">21.14不同投标人的投标文件相互混装；</w:t>
      </w:r>
      <w:r/>
    </w:p>
    <w:p>
      <w:pPr>
        <w:pStyle w:val="815"/>
        <w:ind w:firstLine="480"/>
        <w:spacing w:line="480" w:lineRule="exact"/>
        <w:rPr>
          <w:rFonts w:hint="eastAsia" w:ascii="宋体" w:hAnsi="宋体" w:cs="仿宋"/>
          <w:sz w:val="24"/>
        </w:rPr>
      </w:pPr>
      <w:r>
        <w:rPr>
          <w:rFonts w:hint="eastAsia" w:ascii="宋体" w:hAnsi="宋体" w:cs="仿宋"/>
          <w:sz w:val="24"/>
        </w:rPr>
        <w:t xml:space="preserve">21.15不同投标人的投标保证金从同一单位或者个人的账户转出。</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4" w:name="OLE_LINK4"/>
      <w:r>
        <w:rPr>
          <w:rFonts w:hint="eastAsia" w:ascii="Times New Roman" w:hAnsi="Times New Roman" w:cs="仿宋"/>
          <w:b/>
          <w:sz w:val="24"/>
        </w:rPr>
        <w:t xml:space="preserve">取消中标候选人资格情形</w:t>
      </w:r>
      <w:r/>
    </w:p>
    <w:p>
      <w:pPr>
        <w:pStyle w:val="815"/>
        <w:ind w:firstLine="480"/>
        <w:spacing w:line="480" w:lineRule="exact"/>
        <w:rPr>
          <w:rFonts w:hint="eastAsia" w:ascii="Times New Roman" w:hAnsi="Times New Roman" w:cs="仿宋"/>
          <w:sz w:val="24"/>
        </w:rPr>
      </w:pPr>
      <w:r/>
      <w:bookmarkEnd w:id="114"/>
      <w:r>
        <w:rPr>
          <w:rFonts w:hint="eastAsia" w:ascii="Times New Roman" w:hAnsi="Times New Roman" w:cs="仿宋"/>
          <w:sz w:val="24"/>
        </w:rPr>
        <w:t xml:space="preserve">22.1提供虚假材料谋取中标的；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w:t>
      </w:r>
      <w:r>
        <w:rPr>
          <w:rFonts w:hint="eastAsia" w:ascii="Times New Roman" w:hAnsi="Times New Roman" w:cs="仿宋"/>
          <w:sz w:val="24"/>
        </w:rPr>
        <w:t xml:space="preserve">的；</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5" w:name="_Toc6494"/>
      <w:r/>
      <w:bookmarkStart w:id="116" w:name="_Toc2391"/>
      <w:r/>
      <w:bookmarkStart w:id="117" w:name="_Toc81575161"/>
      <w:r/>
      <w:bookmarkStart w:id="118" w:name="_Toc81575198"/>
      <w:r>
        <w:rPr>
          <w:rFonts w:hint="eastAsia" w:ascii="Times New Roman" w:hAnsi="Times New Roman" w:cs="仿宋"/>
          <w:sz w:val="24"/>
        </w:rPr>
      </w:r>
      <w:r/>
    </w:p>
    <w:p>
      <w:pPr>
        <w:pStyle w:val="815"/>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5"/>
      <w:r/>
      <w:bookmarkEnd w:id="116"/>
      <w:r/>
      <w:bookmarkEnd w:id="117"/>
      <w:r/>
      <w:bookmarkEnd w:id="118"/>
      <w:r>
        <w:rPr>
          <w:rFonts w:hint="eastAsia" w:ascii="Arial" w:hAnsi="Arial" w:cs="Arial"/>
          <w:b/>
          <w:bCs/>
          <w:sz w:val="32"/>
        </w:rPr>
      </w:r>
      <w:r/>
    </w:p>
    <w:p>
      <w:pPr>
        <w:pStyle w:val="81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9" w:name="OLE_LINK5"/>
      <w:r>
        <w:rPr>
          <w:rFonts w:hint="eastAsia" w:ascii="Times New Roman" w:hAnsi="Times New Roman" w:cs="仿宋"/>
          <w:sz w:val="24"/>
        </w:rPr>
        <w:t xml:space="preserve">自己的评审得分及排序情况。</w:t>
      </w:r>
      <w:r/>
    </w:p>
    <w:p>
      <w:pPr>
        <w:pStyle w:val="815"/>
        <w:ind w:firstLine="482"/>
        <w:spacing w:line="500" w:lineRule="exact"/>
        <w:rPr>
          <w:rFonts w:hint="eastAsia" w:ascii="Times New Roman" w:hAnsi="Times New Roman" w:cs="仿宋"/>
          <w:b/>
          <w:sz w:val="24"/>
        </w:rPr>
      </w:pPr>
      <w:r/>
      <w:bookmarkEnd w:id="119"/>
      <w:r>
        <w:rPr>
          <w:rFonts w:hint="eastAsia" w:ascii="Times New Roman" w:hAnsi="Times New Roman" w:cs="仿宋"/>
          <w:b/>
          <w:sz w:val="24"/>
        </w:rPr>
        <w:t xml:space="preserve">25、授予合同</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5"/>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5"/>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1）本项目不收取履约保证金。</w:t>
      </w:r>
      <w:r>
        <w:rPr>
          <w:rFonts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5"/>
        <w:ind w:firstLine="480"/>
        <w:spacing w:line="480" w:lineRule="exact"/>
        <w:rPr>
          <w:rFonts w:ascii="宋体" w:hAnsi="宋体" w:cs="仿宋"/>
          <w:sz w:val="24"/>
        </w:rPr>
      </w:pPr>
      <w:r>
        <w:rPr>
          <w:rFonts w:hint="eastAsia" w:ascii="宋体" w:hAnsi="宋体" w:cs="仿宋"/>
          <w:sz w:val="24"/>
        </w:rPr>
        <w:t xml:space="preserve">26.1履约保证金提交形式</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15"/>
        <w:ind w:firstLine="480"/>
        <w:spacing w:line="480" w:lineRule="exact"/>
        <w:rPr>
          <w:rFonts w:ascii="宋体" w:hAnsi="宋体" w:cs="仿宋"/>
          <w:sz w:val="24"/>
        </w:rPr>
      </w:pPr>
      <w:r>
        <w:rPr>
          <w:rFonts w:hint="eastAsia" w:ascii="宋体" w:hAnsi="宋体" w:cs="仿宋"/>
          <w:sz w:val="24"/>
        </w:rPr>
        <w:t xml:space="preserve">26.2履约保证金提交金额</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按采购合同总价的</w:t>
      </w:r>
      <w:r>
        <w:rPr>
          <w:rFonts w:hint="eastAsia" w:ascii="宋体" w:hAnsi="宋体" w:cs="仿宋"/>
          <w:sz w:val="24"/>
          <w:u w:val="single"/>
        </w:rPr>
        <w:t xml:space="preserve"> / </w:t>
      </w:r>
      <w:r>
        <w:rPr>
          <w:rFonts w:hint="eastAsia" w:ascii="宋体" w:hAnsi="宋体" w:cs="仿宋"/>
          <w:sz w:val="24"/>
        </w:rPr>
        <w:t xml:space="preserve">%提交。</w:t>
      </w:r>
      <w:r/>
    </w:p>
    <w:p>
      <w:pPr>
        <w:pStyle w:val="815"/>
        <w:ind w:firstLine="480"/>
        <w:spacing w:line="480" w:lineRule="exact"/>
        <w:rPr>
          <w:rFonts w:hint="eastAsia" w:ascii="宋体" w:hAnsi="宋体" w:cs="仿宋"/>
          <w:sz w:val="24"/>
        </w:rPr>
      </w:pPr>
      <w:r>
        <w:rPr>
          <w:rFonts w:hint="eastAsia" w:ascii="宋体" w:hAnsi="宋体" w:cs="仿宋"/>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cs="仿宋"/>
          <w:sz w:val="24"/>
          <w:u w:val="single"/>
        </w:rPr>
        <w:t xml:space="preserve"> /</w:t>
      </w:r>
      <w:r>
        <w:rPr>
          <w:rFonts w:hint="eastAsia" w:ascii="宋体" w:hAnsi="宋体" w:cs="仿宋"/>
          <w:sz w:val="24"/>
        </w:rPr>
        <w:t xml:space="preserve"> %提交。办理流程、偿付等内容见江苏政府采购网“保险保函”模块。</w:t>
      </w:r>
      <w:r/>
    </w:p>
    <w:p>
      <w:pPr>
        <w:pStyle w:val="815"/>
        <w:ind w:firstLine="480"/>
        <w:spacing w:line="480" w:lineRule="exact"/>
        <w:rPr>
          <w:rFonts w:ascii="宋体" w:hAnsi="宋体" w:cs="仿宋"/>
          <w:sz w:val="24"/>
        </w:rPr>
      </w:pPr>
      <w:r>
        <w:rPr>
          <w:rFonts w:hint="eastAsia" w:ascii="宋体" w:hAnsi="宋体" w:cs="仿宋"/>
          <w:sz w:val="24"/>
        </w:rPr>
        <w:t xml:space="preserve">26.3履约保证金退还方式</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5"/>
        <w:ind w:firstLine="480"/>
        <w:spacing w:line="480" w:lineRule="exact"/>
        <w:rPr>
          <w:rFonts w:ascii="宋体" w:hAnsi="宋体" w:cs="仿宋"/>
          <w:sz w:val="24"/>
        </w:rPr>
      </w:pPr>
      <w:r>
        <w:rPr>
          <w:rFonts w:hint="eastAsia" w:ascii="宋体" w:hAnsi="宋体" w:cs="仿宋"/>
          <w:sz w:val="24"/>
        </w:rPr>
        <w:t xml:space="preserve">26.4履约保证金退还条件</w:t>
      </w:r>
      <w:r>
        <w:rPr>
          <w:rFonts w:ascii="宋体" w:hAnsi="宋体" w:cs="仿宋"/>
          <w:sz w:val="24"/>
        </w:rPr>
      </w:r>
      <w:r/>
    </w:p>
    <w:p>
      <w:pPr>
        <w:pStyle w:val="815"/>
        <w:ind w:firstLine="480"/>
        <w:spacing w:line="480" w:lineRule="exact"/>
        <w:rPr>
          <w:rFonts w:ascii="宋体" w:hAnsi="宋体" w:cs="仿宋"/>
          <w:sz w:val="24"/>
        </w:rPr>
      </w:pPr>
      <w:r>
        <w:rPr>
          <w:rFonts w:hint="eastAsia" w:ascii="宋体" w:hAnsi="宋体" w:cs="仿宋"/>
          <w:sz w:val="24"/>
        </w:rPr>
        <w:t xml:space="preserve">具有验收合格相关证明材料。</w:t>
      </w:r>
      <w:r>
        <w:rPr>
          <w:rFonts w:ascii="宋体" w:hAnsi="宋体" w:cs="仿宋"/>
          <w:sz w:val="24"/>
        </w:rPr>
      </w:r>
      <w:r/>
    </w:p>
    <w:p>
      <w:pPr>
        <w:pStyle w:val="815"/>
        <w:ind w:firstLine="480"/>
        <w:spacing w:line="480" w:lineRule="exact"/>
        <w:rPr>
          <w:rFonts w:ascii="宋体" w:hAnsi="宋体" w:cs="仿宋"/>
          <w:sz w:val="24"/>
        </w:rPr>
      </w:pPr>
      <w:r>
        <w:rPr>
          <w:rFonts w:hint="eastAsia" w:ascii="宋体" w:hAnsi="宋体" w:cs="仿宋"/>
          <w:sz w:val="24"/>
        </w:rPr>
        <w:t xml:space="preserve">26.5履约保证金退还时间</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采购人收到投标人退付申请后5个工作日内退还。</w:t>
      </w:r>
      <w:r/>
    </w:p>
    <w:p>
      <w:pPr>
        <w:pStyle w:val="815"/>
        <w:ind w:firstLine="480"/>
        <w:spacing w:line="480" w:lineRule="exact"/>
        <w:rPr>
          <w:rFonts w:ascii="宋体" w:hAnsi="宋体" w:cs="仿宋"/>
          <w:sz w:val="24"/>
        </w:rPr>
      </w:pPr>
      <w:r>
        <w:rPr>
          <w:rFonts w:hint="eastAsia" w:ascii="宋体" w:hAnsi="宋体" w:cs="仿宋"/>
          <w:sz w:val="24"/>
        </w:rPr>
        <w:t xml:space="preserve">26.6履约保证金不予退还情形</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除不可抗力外，中标人不履行与采购人订立的采购合同的，履约保证金不予退还，给采购人造成的损失超过履约保证金数额的，还应对超过部分予以赔</w:t>
      </w:r>
      <w:r>
        <w:rPr>
          <w:rFonts w:hint="eastAsia" w:ascii="宋体" w:hAnsi="宋体" w:cs="仿宋"/>
          <w:sz w:val="24"/>
        </w:rPr>
        <w:t xml:space="preserve">偿。</w:t>
      </w:r>
      <w:r/>
    </w:p>
    <w:p>
      <w:pPr>
        <w:pStyle w:val="815"/>
        <w:ind w:firstLine="480"/>
        <w:spacing w:line="480" w:lineRule="exact"/>
        <w:rPr>
          <w:rFonts w:ascii="宋体" w:hAnsi="宋体" w:cs="仿宋"/>
          <w:sz w:val="24"/>
        </w:rPr>
      </w:pPr>
      <w:r>
        <w:rPr>
          <w:rFonts w:hint="eastAsia" w:ascii="宋体" w:hAnsi="宋体" w:cs="仿宋"/>
          <w:sz w:val="24"/>
        </w:rPr>
        <w:t xml:space="preserve">26.7逾期退还履约保证金违约责任</w:t>
      </w:r>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5"/>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5"/>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15"/>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5"/>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7"/>
        <w:spacing w:before="0" w:after="0" w:line="520" w:lineRule="exact"/>
        <w:rPr>
          <w:rFonts w:hint="eastAsia" w:eastAsia="宋体" w:cs="Arial"/>
          <w:bCs/>
          <w:szCs w:val="22"/>
        </w:rPr>
      </w:pPr>
      <w:r/>
      <w:bookmarkStart w:id="120" w:name="_Toc22084"/>
      <w:r/>
      <w:bookmarkStart w:id="121" w:name="_Toc7550"/>
      <w:r/>
      <w:bookmarkStart w:id="122" w:name="_Toc81575199"/>
      <w:r/>
      <w:bookmarkStart w:id="123" w:name="_Toc81575162"/>
      <w:r>
        <w:rPr>
          <w:rFonts w:hint="eastAsia" w:eastAsia="宋体" w:cs="Arial"/>
          <w:bCs/>
          <w:szCs w:val="22"/>
        </w:rPr>
        <w:t xml:space="preserve">八、</w:t>
      </w:r>
      <w:bookmarkEnd w:id="120"/>
      <w:r/>
      <w:bookmarkEnd w:id="121"/>
      <w:r/>
      <w:bookmarkEnd w:id="122"/>
      <w:r/>
      <w:bookmarkEnd w:id="123"/>
      <w:r/>
      <w:bookmarkStart w:id="124" w:name="_Toc81575163"/>
      <w:r/>
      <w:bookmarkStart w:id="125" w:name="_Toc12263"/>
      <w:r/>
      <w:bookmarkStart w:id="126" w:name="_Toc81575200"/>
      <w:r/>
      <w:bookmarkStart w:id="127" w:name="_Toc31888"/>
      <w:r>
        <w:rPr>
          <w:rFonts w:hint="eastAsia" w:eastAsia="宋体" w:cs="Arial"/>
          <w:bCs/>
          <w:szCs w:val="22"/>
        </w:rPr>
        <w:t xml:space="preserve">质疑与投诉</w:t>
      </w:r>
      <w:bookmarkEnd w:id="124"/>
      <w:r/>
      <w:bookmarkEnd w:id="125"/>
      <w:r/>
      <w:bookmarkEnd w:id="126"/>
      <w:r/>
      <w:bookmarkEnd w:id="127"/>
      <w:r>
        <w:rPr>
          <w:rFonts w:hint="eastAsia" w:eastAsia="宋体" w:cs="Arial"/>
          <w:bCs/>
          <w:szCs w:val="22"/>
        </w:rPr>
      </w:r>
      <w:r/>
    </w:p>
    <w:p>
      <w:pPr>
        <w:pStyle w:val="81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5"/>
        <w:ind w:firstLine="480"/>
        <w:spacing w:line="480" w:lineRule="exact"/>
        <w:rPr>
          <w:rFonts w:ascii="宋体" w:hAnsi="宋体" w:cs="仿宋"/>
          <w:sz w:val="24"/>
        </w:rPr>
      </w:pPr>
      <w:r>
        <w:rPr>
          <w:rFonts w:hint="eastAsia" w:ascii="宋体" w:hAnsi="宋体" w:cs="仿宋"/>
          <w:sz w:val="24"/>
        </w:rPr>
        <w:t xml:space="preserve">29.1投标人认为采购文件、采购过程和中标结果使自己的权益受到损害的，可以在知道或者应知其权益受到损害之日起七个工作日内，</w:t>
      </w:r>
      <w:bookmarkStart w:id="128" w:name="OLE_LINK2"/>
      <w:r>
        <w:rPr>
          <w:rFonts w:hint="eastAsia" w:ascii="宋体" w:hAnsi="宋体" w:cs="仿宋"/>
          <w:b/>
          <w:bCs/>
          <w:sz w:val="24"/>
        </w:rPr>
        <w:t xml:space="preserve">登录“苏采云”系统，从“项目质疑申请”模块向采购人提出质疑</w:t>
      </w:r>
      <w:bookmarkEnd w:id="128"/>
      <w:r>
        <w:rPr>
          <w:rFonts w:hint="eastAsia" w:ascii="宋体" w:hAnsi="宋体" w:cs="仿宋"/>
          <w:b/>
          <w:bCs/>
          <w:sz w:val="24"/>
        </w:rPr>
        <w:t xml:space="preserve">。</w:t>
      </w:r>
      <w:bookmarkStart w:id="129" w:name="OLE_LINK1"/>
      <w:r>
        <w:rPr>
          <w:rFonts w:hint="eastAsia" w:ascii="宋体" w:hAnsi="宋体" w:cs="仿宋"/>
          <w:sz w:val="24"/>
        </w:rPr>
        <w:t xml:space="preserve">质疑联系部门、联系电话、通讯地址详见采购公告。</w:t>
      </w:r>
      <w:bookmarkEnd w:id="129"/>
      <w:r>
        <w:rPr>
          <w:rFonts w:ascii="宋体" w:hAnsi="宋体" w:cs="仿宋"/>
          <w:sz w:val="24"/>
        </w:rPr>
      </w:r>
      <w:r/>
    </w:p>
    <w:p>
      <w:pPr>
        <w:pStyle w:val="815"/>
        <w:ind w:firstLine="480"/>
        <w:spacing w:line="480" w:lineRule="exact"/>
        <w:rPr>
          <w:rFonts w:hint="eastAsia" w:ascii="宋体" w:hAnsi="宋体" w:cs="仿宋"/>
          <w:sz w:val="24"/>
        </w:rPr>
      </w:pPr>
      <w:r>
        <w:rPr>
          <w:rFonts w:hint="eastAsia" w:ascii="宋体" w:hAnsi="宋体" w:cs="仿宋"/>
          <w:sz w:val="24"/>
        </w:rPr>
        <w:t xml:space="preserve">29.2投标人应知其权益受到损害之日，是指：</w:t>
      </w:r>
      <w:r/>
    </w:p>
    <w:p>
      <w:pPr>
        <w:pStyle w:val="815"/>
        <w:ind w:firstLine="480"/>
        <w:spacing w:line="480" w:lineRule="exact"/>
        <w:rPr>
          <w:rFonts w:hint="eastAsia" w:ascii="宋体" w:hAnsi="宋体" w:cs="仿宋"/>
          <w:sz w:val="24"/>
        </w:rPr>
      </w:pPr>
      <w:r>
        <w:rPr>
          <w:rFonts w:hint="eastAsia" w:ascii="宋体" w:hAnsi="宋体" w:cs="仿宋"/>
          <w:sz w:val="24"/>
        </w:rPr>
        <w:t xml:space="preserve">（1）对本项目采购文件提出质疑的，为获取采购文件之日或者采购文件公告期限届满之日；</w:t>
      </w:r>
      <w:r/>
    </w:p>
    <w:p>
      <w:pPr>
        <w:pStyle w:val="815"/>
        <w:ind w:firstLine="480"/>
        <w:spacing w:line="480" w:lineRule="exact"/>
        <w:rPr>
          <w:rFonts w:hint="eastAsia" w:ascii="宋体" w:hAnsi="宋体" w:cs="仿宋"/>
          <w:sz w:val="24"/>
        </w:rPr>
      </w:pPr>
      <w:r>
        <w:rPr>
          <w:rFonts w:hint="eastAsia" w:ascii="宋体" w:hAnsi="宋体" w:cs="仿宋"/>
          <w:sz w:val="24"/>
        </w:rPr>
        <w:t xml:space="preserve">（2）对本项目采购过程提出质疑的，为各采购程序环节结束之日；</w:t>
      </w:r>
      <w:r/>
    </w:p>
    <w:p>
      <w:pPr>
        <w:pStyle w:val="815"/>
        <w:ind w:firstLine="480"/>
        <w:spacing w:line="480" w:lineRule="exact"/>
        <w:rPr>
          <w:rFonts w:hint="eastAsia" w:ascii="宋体" w:hAnsi="宋体" w:cs="仿宋"/>
          <w:sz w:val="24"/>
        </w:rPr>
      </w:pPr>
      <w:r>
        <w:rPr>
          <w:rFonts w:hint="eastAsia" w:ascii="宋体" w:hAnsi="宋体" w:cs="仿宋"/>
          <w:sz w:val="24"/>
        </w:rPr>
        <w:t xml:space="preserve">（3</w:t>
      </w:r>
      <w:r>
        <w:rPr>
          <w:rFonts w:hint="eastAsia" w:ascii="宋体" w:hAnsi="宋体" w:cs="仿宋"/>
          <w:sz w:val="24"/>
        </w:rPr>
        <w:t xml:space="preserve">）对本项目中标结果提出质疑的，为中标结果公告期限届满之日。</w:t>
      </w:r>
      <w:r/>
    </w:p>
    <w:p>
      <w:pPr>
        <w:pStyle w:val="815"/>
        <w:ind w:firstLine="480"/>
        <w:spacing w:line="480" w:lineRule="exact"/>
        <w:rPr>
          <w:rFonts w:hint="eastAsia" w:ascii="宋体" w:hAnsi="宋体" w:cs="仿宋"/>
          <w:sz w:val="24"/>
        </w:rPr>
      </w:pPr>
      <w:r>
        <w:rPr>
          <w:rFonts w:hint="eastAsia" w:ascii="宋体" w:hAnsi="宋体"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5"/>
        <w:ind w:firstLine="480"/>
        <w:spacing w:line="480" w:lineRule="exact"/>
        <w:rPr>
          <w:rFonts w:hint="eastAsia" w:ascii="宋体" w:hAnsi="宋体" w:cs="仿宋"/>
          <w:sz w:val="24"/>
        </w:rPr>
      </w:pPr>
      <w:r>
        <w:rPr>
          <w:rFonts w:hint="eastAsia" w:ascii="宋体" w:hAnsi="宋体" w:cs="仿宋"/>
          <w:sz w:val="24"/>
        </w:rPr>
        <w:t xml:space="preserve">29.4投标人提出质疑应当提交质疑函和必要的证明材料。质疑函的必备内容：</w:t>
      </w:r>
      <w:r/>
    </w:p>
    <w:p>
      <w:pPr>
        <w:pStyle w:val="815"/>
        <w:ind w:firstLine="480"/>
        <w:spacing w:line="480" w:lineRule="exact"/>
        <w:rPr>
          <w:rFonts w:hint="eastAsia" w:ascii="宋体" w:hAnsi="宋体" w:cs="仿宋"/>
          <w:sz w:val="24"/>
        </w:rPr>
      </w:pPr>
      <w:r>
        <w:rPr>
          <w:rFonts w:hint="eastAsia" w:ascii="宋体" w:hAnsi="宋体" w:cs="仿宋"/>
          <w:sz w:val="24"/>
        </w:rPr>
        <w:t xml:space="preserve">（1）投标人的姓名或者名称、地址、邮编、联系人及联系电话；</w:t>
      </w:r>
      <w:r/>
    </w:p>
    <w:p>
      <w:pPr>
        <w:pStyle w:val="815"/>
        <w:ind w:firstLine="480"/>
        <w:spacing w:line="480" w:lineRule="exact"/>
        <w:rPr>
          <w:rFonts w:hint="eastAsia" w:ascii="宋体" w:hAnsi="宋体" w:cs="仿宋"/>
          <w:sz w:val="24"/>
        </w:rPr>
      </w:pPr>
      <w:r>
        <w:rPr>
          <w:rFonts w:hint="eastAsia" w:ascii="宋体" w:hAnsi="宋体" w:cs="仿宋"/>
          <w:sz w:val="24"/>
        </w:rPr>
        <w:t xml:space="preserve">（2）质疑项目的名称、编号；</w:t>
      </w:r>
      <w:r/>
    </w:p>
    <w:p>
      <w:pPr>
        <w:pStyle w:val="815"/>
        <w:ind w:firstLine="480"/>
        <w:spacing w:line="480" w:lineRule="exact"/>
        <w:rPr>
          <w:rFonts w:hint="eastAsia" w:ascii="宋体" w:hAnsi="宋体" w:cs="仿宋"/>
          <w:sz w:val="24"/>
        </w:rPr>
      </w:pPr>
      <w:r>
        <w:rPr>
          <w:rFonts w:hint="eastAsia" w:ascii="宋体" w:hAnsi="宋体" w:cs="仿宋"/>
          <w:sz w:val="24"/>
        </w:rPr>
        <w:t xml:space="preserve">（3）获取采购文件的时间；</w:t>
      </w:r>
      <w:r/>
    </w:p>
    <w:p>
      <w:pPr>
        <w:pStyle w:val="815"/>
        <w:ind w:firstLine="480"/>
        <w:spacing w:line="480" w:lineRule="exact"/>
        <w:rPr>
          <w:rFonts w:hint="eastAsia" w:ascii="宋体" w:hAnsi="宋体" w:cs="仿宋"/>
          <w:sz w:val="24"/>
        </w:rPr>
      </w:pPr>
      <w:r>
        <w:rPr>
          <w:rFonts w:hint="eastAsia" w:ascii="宋体" w:hAnsi="宋体" w:cs="仿宋"/>
          <w:sz w:val="24"/>
        </w:rPr>
        <w:t xml:space="preserve">（4）具体、明确的质疑事项和质疑事项相关的请求；</w:t>
      </w:r>
      <w:r/>
    </w:p>
    <w:p>
      <w:pPr>
        <w:pStyle w:val="815"/>
        <w:ind w:firstLine="480"/>
        <w:spacing w:line="480" w:lineRule="exact"/>
        <w:rPr>
          <w:rFonts w:hint="eastAsia" w:ascii="宋体" w:hAnsi="宋体" w:cs="仿宋"/>
          <w:sz w:val="24"/>
        </w:rPr>
      </w:pPr>
      <w:r>
        <w:rPr>
          <w:rFonts w:hint="eastAsia" w:ascii="宋体" w:hAnsi="宋体" w:cs="仿宋"/>
          <w:sz w:val="24"/>
        </w:rPr>
        <w:t xml:space="preserve">（5）事实依据；</w:t>
      </w:r>
      <w:r/>
    </w:p>
    <w:p>
      <w:pPr>
        <w:pStyle w:val="815"/>
        <w:ind w:firstLine="480"/>
        <w:spacing w:line="480" w:lineRule="exact"/>
        <w:rPr>
          <w:rFonts w:hint="eastAsia" w:ascii="宋体" w:hAnsi="宋体" w:cs="仿宋"/>
          <w:sz w:val="24"/>
        </w:rPr>
      </w:pPr>
      <w:r>
        <w:rPr>
          <w:rFonts w:hint="eastAsia" w:ascii="宋体" w:hAnsi="宋体" w:cs="仿宋"/>
          <w:sz w:val="24"/>
        </w:rPr>
        <w:t xml:space="preserve">（6）必要的法律依据</w:t>
      </w:r>
      <w:r>
        <w:rPr>
          <w:rFonts w:hint="eastAsia" w:ascii="宋体" w:hAnsi="宋体" w:cs="仿宋"/>
          <w:sz w:val="24"/>
        </w:rPr>
        <w:t xml:space="preserve">；</w:t>
      </w:r>
      <w:r/>
    </w:p>
    <w:p>
      <w:pPr>
        <w:pStyle w:val="815"/>
        <w:ind w:firstLine="480"/>
        <w:spacing w:line="480" w:lineRule="exact"/>
        <w:rPr>
          <w:rFonts w:hint="eastAsia" w:ascii="宋体" w:hAnsi="宋体" w:cs="仿宋"/>
          <w:sz w:val="24"/>
        </w:rPr>
      </w:pPr>
      <w:r>
        <w:rPr>
          <w:rFonts w:hint="eastAsia" w:ascii="宋体" w:hAnsi="宋体" w:cs="仿宋"/>
          <w:sz w:val="24"/>
        </w:rPr>
        <w:t xml:space="preserve">（7）提出质疑的日期；</w:t>
      </w:r>
      <w:r/>
    </w:p>
    <w:p>
      <w:pPr>
        <w:pStyle w:val="815"/>
        <w:ind w:firstLine="480"/>
        <w:spacing w:line="480" w:lineRule="exact"/>
        <w:rPr>
          <w:rFonts w:hint="eastAsia" w:ascii="宋体" w:hAnsi="宋体" w:cs="仿宋"/>
          <w:sz w:val="24"/>
        </w:rPr>
      </w:pPr>
      <w:r>
        <w:rPr>
          <w:rFonts w:hint="eastAsia" w:ascii="宋体" w:hAnsi="宋体" w:cs="仿宋"/>
          <w:sz w:val="24"/>
        </w:rPr>
        <w:t xml:space="preserve">（8）投标人为自然人的，由本人签字；投标人为法人或者其他组织的，应当由法定代表人、主要负责人，或者其授权代表签字或者盖章，并加盖公章；</w:t>
      </w:r>
      <w:r/>
    </w:p>
    <w:p>
      <w:pPr>
        <w:pStyle w:val="815"/>
        <w:ind w:firstLine="480"/>
        <w:spacing w:line="480" w:lineRule="exact"/>
        <w:rPr>
          <w:rFonts w:hint="eastAsia" w:ascii="宋体" w:hAnsi="宋体" w:cs="仿宋"/>
          <w:sz w:val="24"/>
        </w:rPr>
      </w:pPr>
      <w:r>
        <w:rPr>
          <w:rFonts w:hint="eastAsia" w:ascii="宋体" w:hAnsi="宋体"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15"/>
        <w:ind w:firstLine="480"/>
        <w:spacing w:line="480" w:lineRule="exact"/>
        <w:rPr>
          <w:rFonts w:hint="eastAsia" w:ascii="宋体" w:hAnsi="宋体" w:cs="仿宋"/>
          <w:sz w:val="24"/>
        </w:rPr>
      </w:pPr>
      <w:r>
        <w:rPr>
          <w:rFonts w:hint="eastAsia" w:ascii="宋体" w:hAnsi="宋体" w:cs="仿宋"/>
          <w:sz w:val="24"/>
        </w:rPr>
        <w:t xml:space="preserve">29.5采购人在收到质疑函后7个工作日内作出答复</w:t>
      </w:r>
      <w:r>
        <w:rPr>
          <w:rFonts w:hint="eastAsia" w:ascii="宋体" w:hAnsi="宋体" w:cs="仿宋"/>
          <w:sz w:val="24"/>
        </w:rPr>
        <w:t xml:space="preserve">，并以书面形式通知质疑投标人和其他有关投标人，但质疑答复的内容不涉及商业秘密。</w:t>
      </w:r>
      <w:r/>
    </w:p>
    <w:p>
      <w:pPr>
        <w:pStyle w:val="815"/>
        <w:ind w:firstLine="482"/>
        <w:spacing w:line="480" w:lineRule="exact"/>
        <w:rPr>
          <w:rFonts w:hint="eastAsia" w:ascii="宋体" w:hAnsi="宋体" w:cs="仿宋"/>
          <w:b/>
          <w:sz w:val="24"/>
        </w:rPr>
      </w:pPr>
      <w:r>
        <w:rPr>
          <w:rFonts w:hint="eastAsia" w:ascii="宋体" w:hAnsi="宋体" w:cs="仿宋"/>
          <w:b/>
          <w:sz w:val="24"/>
        </w:rPr>
        <w:t xml:space="preserve">30、投诉</w:t>
      </w:r>
      <w:r/>
    </w:p>
    <w:p>
      <w:pPr>
        <w:pStyle w:val="815"/>
        <w:ind w:firstLine="480"/>
        <w:spacing w:line="480" w:lineRule="exact"/>
        <w:rPr>
          <w:rFonts w:ascii="Times New Roman" w:hAnsi="Times New Roman" w:cs="仿宋"/>
          <w:sz w:val="24"/>
        </w:rPr>
      </w:pPr>
      <w:r>
        <w:rPr>
          <w:rFonts w:hint="eastAsia" w:ascii="宋体" w:hAnsi="宋体"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6"/>
        <w:jc w:val="center"/>
        <w:spacing w:before="200"/>
      </w:pPr>
      <w:r/>
      <w:bookmarkStart w:id="130" w:name="EB4d341233595e4bf8ad7006b4bd78d974"/>
      <w:r/>
      <w:bookmarkEnd w:id="130"/>
      <w:r/>
      <w:bookmarkStart w:id="131" w:name="_Toc81575201"/>
      <w:r/>
      <w:bookmarkStart w:id="132" w:name="_Toc81575164"/>
      <w:r/>
      <w:bookmarkStart w:id="133" w:name="_Hlk166141273"/>
      <w:r>
        <w:rPr>
          <w:rFonts w:hint="eastAsia"/>
        </w:rPr>
        <w:br w:type="page" w:clear="all"/>
      </w:r>
      <w:bookmarkStart w:id="134" w:name="_Toc17996"/>
      <w:r>
        <w:rPr>
          <w:rFonts w:hint="eastAsia" w:ascii="Calibri" w:hAnsi="Calibri" w:eastAsia="宋体" w:cs="Times New Roman"/>
          <w:b/>
          <w:sz w:val="44"/>
          <w:szCs w:val="44"/>
        </w:rPr>
        <w:t xml:space="preserve">第三章  资格审查及评标</w:t>
      </w:r>
      <w:bookmarkEnd w:id="131"/>
      <w:r/>
      <w:bookmarkEnd w:id="132"/>
      <w:r/>
      <w:bookmarkEnd w:id="134"/>
      <w:r>
        <w:rPr>
          <w:rFonts w:hint="eastAsia" w:ascii="Calibri" w:hAnsi="Calibri" w:eastAsia="宋体" w:cs="Times New Roman"/>
          <w:b/>
          <w:sz w:val="44"/>
          <w:szCs w:val="44"/>
        </w:rPr>
        <w:t xml:space="preserve">方法</w:t>
      </w:r>
      <w:r/>
    </w:p>
    <w:p>
      <w:pPr>
        <w:pStyle w:val="81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5"/>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5"/>
              <w:jc w:val="center"/>
              <w:spacing w:line="400" w:lineRule="exact"/>
              <w:rPr>
                <w:rFonts w:ascii="Times New Roman" w:hAnsi="Times New Roman" w:cs="仿宋"/>
              </w:rPr>
            </w:pPr>
            <w:r>
              <w:rPr>
                <w:rFonts w:hint="eastAsia" w:ascii="Times New Roman" w:hAnsi="Times New Roman" w:cs="仿宋"/>
              </w:rPr>
              <w:t xml:space="preserve">特定资格</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5"/>
              <w:jc w:val="center"/>
              <w:spacing w:line="40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5"/>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w:t>
      </w:r>
      <w:r>
        <w:rPr>
          <w:rFonts w:hint="eastAsia"/>
          <w:sz w:val="24"/>
          <w:szCs w:val="28"/>
        </w:rPr>
        <w:t xml:space="preserve">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bookmarkStart w:id="135" w:name="OLE_LINK25"/>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w:t>
            </w:r>
            <w:r>
              <w:rPr>
                <w:rFonts w:ascii="Times New Roman" w:hAnsi="Times New Roman" w:cs="仿宋"/>
              </w:rPr>
              <w:t xml:space="preserve">览表</w:t>
            </w:r>
            <w:r>
              <w:rPr>
                <w:rFonts w:hint="eastAsia" w:ascii="Times New Roman" w:hAnsi="Times New Roman" w:cs="仿宋"/>
              </w:rPr>
              <w:t xml:space="preserve">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ascii="Segoe UI" w:hAnsi="Segoe UI" w:eastAsia="Segoe UI" w:cs="Segoe UI"/>
                <w:szCs w:val="21"/>
                <w:shd w:val="clear" w:color="auto" w:fill="fafafa"/>
              </w:rPr>
            </w:pPr>
            <w:r/>
            <w:bookmarkStart w:id="136" w:name="OLE_LINK131"/>
            <w:r>
              <w:rPr>
                <w:rFonts w:hint="eastAsia" w:ascii="Times New Roman" w:hAnsi="Times New Roman" w:cs="仿宋"/>
              </w:rPr>
              <w:t xml:space="preserve">技术资料要求</w:t>
            </w:r>
            <w:bookmarkEnd w:id="136"/>
            <w:r>
              <w:rPr>
                <w:rFonts w:ascii="Segoe UI" w:hAnsi="Segoe UI" w:eastAsia="Segoe UI" w:cs="Segoe UI"/>
                <w:szCs w:val="21"/>
                <w:shd w:val="clear" w:color="auto" w:fill="fafafa"/>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bookmarkStart w:id="137" w:name="OLE_LINK28"/>
            <w:r>
              <w:rPr>
                <w:rFonts w:hint="eastAsia" w:ascii="Times New Roman" w:hAnsi="Times New Roman" w:cs="仿宋"/>
              </w:rPr>
              <w:t xml:space="preserve">项目组人员承诺函</w:t>
            </w:r>
            <w:bookmarkEnd w:id="137"/>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5"/>
        <w:ind w:firstLine="482"/>
        <w:jc w:val="left"/>
        <w:spacing w:line="480" w:lineRule="exact"/>
        <w:rPr>
          <w:rFonts w:ascii="Times New Roman" w:hAnsi="Times New Roman" w:cs="仿宋"/>
          <w:b/>
          <w:bCs/>
          <w:sz w:val="24"/>
        </w:rPr>
      </w:pPr>
      <w:r/>
      <w:bookmarkEnd w:id="135"/>
      <w:r>
        <w:rPr>
          <w:rFonts w:hint="eastAsia" w:ascii="Times New Roman" w:hAnsi="Times New Roman" w:cs="仿宋"/>
          <w:b/>
          <w:bCs/>
          <w:sz w:val="24"/>
        </w:rPr>
        <w:t xml:space="preserve">三、评标方法</w:t>
      </w:r>
      <w:r>
        <w:rPr>
          <w:rFonts w:ascii="Times New Roman" w:hAnsi="Times New Roman" w:cs="仿宋"/>
          <w:b/>
          <w:bCs/>
          <w:sz w:val="24"/>
        </w:rPr>
      </w:r>
      <w:r/>
    </w:p>
    <w:p>
      <w:pPr>
        <w:pStyle w:val="815"/>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15"/>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5"/>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w:t>
      </w:r>
      <w:r>
        <w:rPr>
          <w:rFonts w:hint="eastAsia" w:ascii="Times New Roman" w:hAnsi="Times New Roman" w:cs="仿宋"/>
          <w:sz w:val="24"/>
        </w:rPr>
        <w:t xml:space="preserve">标准不得作为评标的依据。</w:t>
      </w:r>
      <w:r/>
    </w:p>
    <w:p>
      <w:pPr>
        <w:pStyle w:val="815"/>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15"/>
              <w:jc w:val="center"/>
              <w:spacing w:line="360" w:lineRule="exact"/>
              <w:widowControl/>
              <w:rPr>
                <w:rFonts w:hint="eastAsia" w:ascii="Times New Roman" w:hAnsi="Times New Roman" w:cs="宋体"/>
                <w:sz w:val="24"/>
                <w:szCs w:val="24"/>
              </w:rPr>
            </w:pPr>
            <w:r/>
            <w:bookmarkStart w:id="138" w:name="RANGE!A1"/>
            <w:r>
              <w:rPr>
                <w:rFonts w:hint="eastAsia" w:ascii="Times New Roman" w:hAnsi="Times New Roman" w:cs="宋体"/>
                <w:sz w:val="24"/>
                <w:szCs w:val="24"/>
              </w:rPr>
              <w:t xml:space="preserve">评审因素</w:t>
            </w:r>
            <w:bookmarkEnd w:id="138"/>
            <w:r>
              <w:rPr>
                <w:rFonts w:hint="eastAsia"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31"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投标报价</w:t>
            </w:r>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30.00分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39" w:name="OLE_LINK37"/>
            <w:r>
              <w:rPr>
                <w:rFonts w:hint="eastAsia" w:ascii="Times New Roman" w:hAnsi="Times New Roman" w:cs="宋体"/>
                <w:sz w:val="24"/>
                <w:szCs w:val="24"/>
              </w:rPr>
              <w:t xml:space="preserve">采用低价优先法计算，即满足招标文件要求且投标价格最低的投标报价为评标基准价，其价格分为满分。其他投标人投标报价得分＝（评标基准价/投标报价）*30。</w:t>
            </w:r>
            <w:r/>
          </w:p>
          <w:p>
            <w:pPr>
              <w:pStyle w:val="815"/>
              <w:jc w:val="left"/>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注：1.符合规定的小微企业（含监狱企业和残疾人福利单位）报价给予15%的扣除，用扣除后的价格参加评审。2. 符合规定的本国产品的报价给予20%的价格扣除，用扣除后的价格参与评审。</w:t>
            </w:r>
            <w:bookmarkEnd w:id="139"/>
            <w:r>
              <w:rPr>
                <w:rFonts w:ascii="Times New Roman" w:hAnsi="Times New Roman" w:cs="宋体"/>
                <w:sz w:val="24"/>
                <w:szCs w:val="24"/>
              </w:rPr>
            </w:r>
            <w:r/>
          </w:p>
        </w:tc>
      </w:tr>
      <w:tr>
        <w:trPr>
          <w:trHeight w:val="859"/>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技术</w:t>
            </w:r>
            <w:r>
              <w:rPr>
                <w:rFonts w:hint="eastAsia" w:ascii="Times New Roman" w:hAnsi="Times New Roman" w:cs="宋体"/>
                <w:sz w:val="24"/>
                <w:szCs w:val="24"/>
              </w:rPr>
              <w:t xml:space="preserve">参数</w:t>
            </w:r>
            <w:r>
              <w:rPr>
                <w:rFonts w:hint="eastAsia" w:ascii="Times New Roman" w:hAnsi="Times New Roman" w:cs="宋体"/>
                <w:sz w:val="24"/>
                <w:szCs w:val="24"/>
              </w:rPr>
              <w:t xml:space="preserve">响应</w:t>
            </w:r>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29.00分</w:t>
            </w:r>
            <w:r>
              <w:rPr>
                <w:rFonts w:ascii="Times New Roman" w:hAnsi="Times New Roman" w:cs="宋体"/>
                <w:sz w:val="24"/>
                <w:szCs w:val="24"/>
              </w:rPr>
            </w:r>
            <w:r/>
          </w:p>
        </w:tc>
        <w:tc>
          <w:tcPr>
            <w:tcW w:w="6431" w:type="dxa"/>
            <w:vAlign w:val="center"/>
            <w:textDirection w:val="lrTb"/>
            <w:noWrap w:val="false"/>
          </w:tcPr>
          <w:p>
            <w:pPr>
              <w:pStyle w:val="891"/>
              <w:jc w:val="both"/>
              <w:spacing w:before="0" w:beforeAutospacing="0" w:after="0" w:afterAutospacing="0" w:line="360" w:lineRule="exact"/>
              <w:widowControl w:val="off"/>
              <w:rPr>
                <w:rFonts w:hint="eastAsia" w:ascii="Times New Roman" w:hAnsi="Times New Roman"/>
              </w:rPr>
            </w:pPr>
            <w:r/>
            <w:bookmarkStart w:id="140" w:name="OLE_LINK40"/>
            <w:r>
              <w:rPr>
                <w:rFonts w:hint="eastAsia" w:ascii="Times New Roman" w:hAnsi="Times New Roman"/>
              </w:rPr>
              <w:t xml:space="preserve">针对招标文件采购清单及技术要求内容（★项除外）进行评分，所投产品技术参数性能、质量等完全满足或优于招标文件技术参数要求的</w:t>
            </w:r>
            <w:r>
              <w:rPr>
                <w:rFonts w:hint="eastAsia" w:ascii="Times New Roman" w:hAnsi="Times New Roman"/>
              </w:rPr>
              <w:t xml:space="preserve">得29分。“▲”为重点参数要求，每有一项（一个句号的完整内容为一“项”，共11项）不满足的扣1分。一般参数项目，每有一项不满足的（一个句号的完整内容为一“项”，共36项）扣0.5分。 </w:t>
            </w:r>
            <w:r/>
          </w:p>
          <w:p>
            <w:pPr>
              <w:pStyle w:val="891"/>
              <w:jc w:val="both"/>
              <w:spacing w:before="0" w:beforeAutospacing="0" w:after="0" w:afterAutospacing="0" w:line="360" w:lineRule="exact"/>
              <w:widowControl w:val="off"/>
              <w:rPr>
                <w:rFonts w:ascii="Times New Roman" w:hAnsi="Times New Roman"/>
              </w:rPr>
            </w:pPr>
            <w:r>
              <w:rPr>
                <w:rFonts w:hint="eastAsia" w:ascii="Times New Roman" w:hAnsi="Times New Roman"/>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140"/>
            <w:r>
              <w:rPr>
                <w:rFonts w:ascii="Times New Roman" w:hAnsi="Times New Roman"/>
              </w:rPr>
            </w:r>
            <w:r/>
          </w:p>
        </w:tc>
      </w:tr>
      <w:tr>
        <w:trPr>
          <w:trHeight w:val="1461"/>
        </w:trPr>
        <w:tc>
          <w:tcPr>
            <w:tcW w:w="1405" w:type="dxa"/>
            <w:vAlign w:val="center"/>
            <w:textDirection w:val="lrTb"/>
            <w:noWrap w:val="false"/>
          </w:tcPr>
          <w:p>
            <w:pPr>
              <w:pStyle w:val="815"/>
              <w:jc w:val="center"/>
              <w:spacing w:line="360" w:lineRule="exact"/>
              <w:widowControl/>
              <w:rPr>
                <w:rFonts w:ascii="Times New Roman" w:hAnsi="Times New Roman" w:cs="宋体"/>
                <w:sz w:val="24"/>
                <w:szCs w:val="24"/>
              </w:rPr>
            </w:pPr>
            <w:r/>
            <w:bookmarkStart w:id="141" w:name="OLE_LINK47"/>
            <w:r>
              <w:rPr>
                <w:rFonts w:hint="eastAsia" w:ascii="Times New Roman" w:hAnsi="Times New Roman" w:cs="宋体"/>
                <w:sz w:val="24"/>
                <w:szCs w:val="24"/>
              </w:rPr>
              <w:t xml:space="preserve">主要部件</w:t>
            </w:r>
            <w:bookmarkEnd w:id="141"/>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8.00分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2" w:name="OLE_LINK48"/>
            <w:r>
              <w:rPr>
                <w:rFonts w:hint="eastAsia" w:ascii="Times New Roman" w:hAnsi="Times New Roman" w:cs="宋体"/>
                <w:sz w:val="24"/>
                <w:szCs w:val="24"/>
              </w:rPr>
              <w:t xml:space="preserve">投标人所投品牌电梯的主要部件：曳引机、层门门锁、控制柜、上行超速保护装置、轿厢意外移动保护装置、缓冲器（轿厢及对重）、安全钳、限速器均为原厂原品牌</w:t>
            </w:r>
            <w:r>
              <w:rPr>
                <w:rFonts w:hint="eastAsia" w:ascii="Times New Roman" w:hAnsi="Times New Roman" w:cs="宋体"/>
                <w:sz w:val="24"/>
                <w:szCs w:val="24"/>
              </w:rPr>
              <w:t xml:space="preserve">，</w:t>
            </w:r>
            <w:r>
              <w:rPr>
                <w:rFonts w:hint="eastAsia" w:ascii="Times New Roman" w:hAnsi="Times New Roman" w:cs="宋体"/>
                <w:sz w:val="24"/>
                <w:szCs w:val="24"/>
              </w:rPr>
              <w:t xml:space="preserve">得8分，其中有一样不满足扣1分，扣完为止。</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注：提供与本次投标产品同型号的整机型式试验报告原件扫描上传至电子投标文件中，否则不予得分。</w:t>
            </w:r>
            <w:bookmarkEnd w:id="142"/>
            <w:r>
              <w:rPr>
                <w:rFonts w:hint="eastAsia" w:ascii="Times New Roman" w:hAnsi="Times New Roman" w:cs="宋体"/>
                <w:sz w:val="24"/>
                <w:szCs w:val="24"/>
              </w:rPr>
            </w:r>
            <w:r/>
          </w:p>
        </w:tc>
      </w:tr>
      <w:tr>
        <w:trPr>
          <w:trHeight w:val="1140"/>
        </w:trPr>
        <w:tc>
          <w:tcPr>
            <w:tcW w:w="1405" w:type="dxa"/>
            <w:vAlign w:val="center"/>
            <w:textDirection w:val="lrTb"/>
            <w:noWrap w:val="false"/>
          </w:tcPr>
          <w:p>
            <w:pPr>
              <w:pStyle w:val="815"/>
              <w:jc w:val="center"/>
              <w:spacing w:line="360" w:lineRule="exact"/>
              <w:widowControl/>
              <w:rPr>
                <w:rFonts w:hint="eastAsia" w:ascii="Times New Roman" w:hAnsi="Times New Roman" w:cs="宋体"/>
                <w:sz w:val="24"/>
                <w:szCs w:val="24"/>
              </w:rPr>
            </w:pPr>
            <w:r/>
            <w:bookmarkStart w:id="143" w:name="OLE_LINK49"/>
            <w:r>
              <w:rPr>
                <w:rFonts w:hint="eastAsia" w:ascii="Times New Roman" w:hAnsi="Times New Roman" w:cs="宋体"/>
                <w:sz w:val="24"/>
                <w:szCs w:val="24"/>
              </w:rPr>
              <w:t xml:space="preserve">企业</w:t>
            </w:r>
            <w:r/>
          </w:p>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业绩</w:t>
            </w:r>
            <w:bookmarkEnd w:id="143"/>
            <w:r>
              <w:rPr>
                <w:rFonts w:ascii="Times New Roman" w:hAnsi="Times New Roman" w:cs="宋体"/>
                <w:sz w:val="24"/>
                <w:szCs w:val="24"/>
              </w:rPr>
            </w:r>
            <w:r/>
          </w:p>
        </w:tc>
        <w:tc>
          <w:tcPr>
            <w:tcW w:w="1114" w:type="dxa"/>
            <w:vAlign w:val="center"/>
            <w:textDirection w:val="lrTb"/>
            <w:noWrap w:val="false"/>
          </w:tcPr>
          <w:p>
            <w:pPr>
              <w:pStyle w:val="815"/>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9.00分</w:t>
            </w:r>
            <w:r>
              <w:rPr>
                <w:rFonts w:ascii="Times New Roman" w:hAnsi="Times New Roman" w:cs="宋体"/>
                <w:sz w:val="24"/>
                <w:szCs w:val="24"/>
              </w:rPr>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投标人自2023年1月1日以来（以合同签订时间为准）承担过类似业绩的，每有一个得3分，最高得9分。</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注：1、提供合同（主要内容、标的、金额清晰可见）、验收报告（或电梯监督检验报告）电子件，缺一不可，否则不得分；2、业绩材料原件扫描上</w:t>
            </w:r>
            <w:r>
              <w:rPr>
                <w:rFonts w:hint="eastAsia" w:ascii="Times New Roman" w:hAnsi="Times New Roman" w:cs="宋体"/>
                <w:sz w:val="24"/>
                <w:szCs w:val="24"/>
              </w:rPr>
              <w:t xml:space="preserve">传至投标文件，否则该业绩不得分。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4" w:name="OLE_LINK50"/>
            <w:r>
              <w:rPr>
                <w:rFonts w:hint="eastAsia" w:ascii="Times New Roman" w:hAnsi="Times New Roman" w:cs="宋体"/>
                <w:sz w:val="24"/>
                <w:szCs w:val="24"/>
              </w:rPr>
              <w:t xml:space="preserve">进度安排方案</w:t>
            </w:r>
            <w:bookmarkEnd w:id="144"/>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5" w:name="OLE_LINK51"/>
            <w:r>
              <w:rPr>
                <w:rFonts w:hint="eastAsia" w:ascii="Times New Roman" w:hAnsi="Times New Roman" w:cs="宋体"/>
                <w:sz w:val="24"/>
                <w:szCs w:val="24"/>
              </w:rPr>
              <w:t xml:space="preserve">针对招标文件“第四章 采购需求”中的“七、</w:t>
            </w:r>
            <w:bookmarkStart w:id="146" w:name="OLE_LINK13"/>
            <w:r>
              <w:rPr>
                <w:rFonts w:hint="eastAsia" w:ascii="Times New Roman" w:hAnsi="Times New Roman" w:cs="宋体"/>
                <w:sz w:val="24"/>
                <w:szCs w:val="24"/>
              </w:rPr>
              <w:t xml:space="preserve">项目实施方案</w:t>
            </w:r>
            <w:bookmarkEnd w:id="146"/>
            <w:r>
              <w:rPr>
                <w:rFonts w:hint="eastAsia" w:ascii="Times New Roman" w:hAnsi="Times New Roman" w:cs="宋体"/>
                <w:sz w:val="24"/>
                <w:szCs w:val="24"/>
              </w:rPr>
              <w:t xml:space="preserve">（一）项目进度安排”提供进度安排方案。优于采购需求的得5分；满足采购需求的得3分；其他情况不得分。</w:t>
            </w:r>
            <w:bookmarkEnd w:id="145"/>
            <w:r>
              <w:rPr>
                <w:rFonts w:hint="eastAsia" w:ascii="Times New Roman" w:hAnsi="Times New Roman" w:cs="宋体"/>
                <w:sz w:val="24"/>
                <w:szCs w:val="24"/>
              </w:rPr>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7" w:name="OLE_LINK52"/>
            <w:r>
              <w:rPr>
                <w:rFonts w:hint="eastAsia" w:ascii="Times New Roman" w:hAnsi="Times New Roman" w:cs="宋体"/>
                <w:sz w:val="24"/>
                <w:szCs w:val="24"/>
              </w:rPr>
              <w:t xml:space="preserve">电梯安装和调试方案</w:t>
            </w:r>
            <w:bookmarkEnd w:id="147"/>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8" w:name="OLE_LINK53"/>
            <w:r>
              <w:rPr>
                <w:rFonts w:hint="eastAsia" w:ascii="Times New Roman" w:hAnsi="Times New Roman" w:cs="宋体"/>
                <w:sz w:val="24"/>
                <w:szCs w:val="24"/>
              </w:rPr>
              <w:t xml:space="preserve">针对招标文件“第四章 采购需求”中的“七、项目实施方案-（二）电梯安装和调试要求”提供电梯安装和调试方案。优于采购需求的得5分；满足采购需求的得3分；其他情况不得分。</w:t>
            </w:r>
            <w:bookmarkEnd w:id="148"/>
            <w:r>
              <w:rPr>
                <w:rFonts w:hint="eastAsia" w:ascii="Times New Roman" w:hAnsi="Times New Roman" w:cs="宋体"/>
                <w:sz w:val="24"/>
                <w:szCs w:val="24"/>
              </w:rPr>
            </w:r>
            <w:r/>
          </w:p>
        </w:tc>
      </w:tr>
      <w:tr>
        <w:trPr>
          <w:trHeight w:val="557"/>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49" w:name="_Toc22314"/>
            <w:r/>
            <w:bookmarkStart w:id="150" w:name="_Toc81575205"/>
            <w:r/>
            <w:bookmarkStart w:id="151" w:name="_Toc81575168"/>
            <w:r/>
            <w:bookmarkStart w:id="152" w:name="_Toc2916"/>
            <w:r/>
            <w:bookmarkStart w:id="153" w:name="_Toc12255"/>
            <w:r/>
            <w:bookmarkStart w:id="154" w:name="OLE_LINK54"/>
            <w:r>
              <w:rPr>
                <w:rFonts w:hint="eastAsia" w:ascii="Times New Roman" w:hAnsi="Times New Roman" w:cs="宋体"/>
                <w:sz w:val="24"/>
                <w:szCs w:val="24"/>
              </w:rPr>
              <w:t xml:space="preserve">电梯应急预案</w:t>
            </w:r>
            <w:bookmarkEnd w:id="154"/>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w:t>
            </w:r>
            <w:r>
              <w:rPr>
                <w:rFonts w:hint="eastAsia" w:ascii="Times New Roman" w:hAnsi="Times New Roman" w:cs="宋体"/>
                <w:sz w:val="24"/>
                <w:szCs w:val="24"/>
              </w:rPr>
              <w:t xml:space="preserve">.0</w:t>
            </w:r>
            <w:r>
              <w:rPr>
                <w:rFonts w:hint="eastAsia" w:ascii="Times New Roman" w:hAnsi="Times New Roman" w:cs="宋体"/>
                <w:sz w:val="24"/>
                <w:szCs w:val="24"/>
              </w:rPr>
              <w:t xml:space="preserve">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采购需求”中的“七、项目实施方案-（三）电梯应急要求”提供电梯应急预案。优于采购需求的得5分；满足采购需求的得3分；其他情况不得分。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5" w:name="OLE_LINK55"/>
            <w:r>
              <w:rPr>
                <w:rFonts w:hint="eastAsia" w:ascii="Times New Roman" w:hAnsi="Times New Roman" w:cs="宋体"/>
                <w:sz w:val="24"/>
                <w:szCs w:val="24"/>
              </w:rPr>
              <w:t xml:space="preserve">安全文明施工方案</w:t>
            </w:r>
            <w:bookmarkEnd w:id="155"/>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4.00分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6" w:name="OLE_LINK56"/>
            <w:r>
              <w:rPr>
                <w:rFonts w:hint="eastAsia" w:ascii="Times New Roman" w:hAnsi="Times New Roman" w:cs="宋体"/>
                <w:sz w:val="24"/>
                <w:szCs w:val="24"/>
              </w:rPr>
              <w:t xml:space="preserve">针对招标文件“第四章 采购需求”中的“</w:t>
            </w:r>
            <w:r>
              <w:rPr>
                <w:rFonts w:hint="eastAsia" w:ascii="Times New Roman" w:hAnsi="Times New Roman" w:cs="宋体"/>
                <w:sz w:val="24"/>
                <w:szCs w:val="24"/>
              </w:rPr>
              <w:t xml:space="preserve">九</w:t>
            </w:r>
            <w:r>
              <w:rPr>
                <w:rFonts w:hint="eastAsia" w:ascii="Times New Roman" w:hAnsi="Times New Roman" w:cs="宋体"/>
                <w:sz w:val="24"/>
                <w:szCs w:val="24"/>
              </w:rPr>
              <w:t xml:space="preserve">、安全文明施工方案要求”提供安全文明施工方案。优于采购需求的得4分；满足采购需求的得</w:t>
            </w:r>
            <w:r>
              <w:rPr>
                <w:rFonts w:hint="eastAsia" w:ascii="Times New Roman" w:hAnsi="Times New Roman" w:cs="宋体"/>
                <w:sz w:val="24"/>
                <w:szCs w:val="24"/>
              </w:rPr>
              <w:t xml:space="preserve">2.4</w:t>
            </w:r>
            <w:r>
              <w:rPr>
                <w:rFonts w:hint="eastAsia" w:ascii="Times New Roman" w:hAnsi="Times New Roman" w:cs="宋体"/>
                <w:sz w:val="24"/>
                <w:szCs w:val="24"/>
              </w:rPr>
              <w:t xml:space="preserve">分；其他情况不得分。</w:t>
            </w:r>
            <w:bookmarkEnd w:id="156"/>
            <w:r>
              <w:rPr>
                <w:rFonts w:hint="eastAsia" w:ascii="Times New Roman" w:hAnsi="Times New Roman" w:cs="宋体"/>
                <w:sz w:val="24"/>
                <w:szCs w:val="24"/>
              </w:rPr>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bookmarkStart w:id="157" w:name="OLE_LINK57"/>
            <w:r>
              <w:rPr>
                <w:rFonts w:hint="eastAsia" w:ascii="Times New Roman" w:hAnsi="Times New Roman" w:cs="宋体"/>
                <w:sz w:val="24"/>
                <w:szCs w:val="24"/>
              </w:rPr>
              <w:t xml:space="preserve">售后服务</w:t>
            </w:r>
            <w:bookmarkEnd w:id="157"/>
            <w:r>
              <w:rPr>
                <w:rFonts w:hint="eastAsia" w:ascii="Times New Roman" w:hAnsi="Times New Roman" w:cs="宋体"/>
                <w:sz w:val="24"/>
                <w:szCs w:val="24"/>
              </w:rPr>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3.00分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w:t>
            </w:r>
            <w:r>
              <w:rPr>
                <w:rFonts w:hint="eastAsia" w:ascii="Times New Roman" w:hAnsi="Times New Roman" w:cs="宋体"/>
                <w:sz w:val="24"/>
                <w:szCs w:val="24"/>
              </w:rPr>
              <w:t xml:space="preserve">十</w:t>
            </w:r>
            <w:r>
              <w:rPr>
                <w:rFonts w:hint="eastAsia" w:ascii="Times New Roman" w:hAnsi="Times New Roman" w:cs="宋体"/>
                <w:sz w:val="24"/>
                <w:szCs w:val="24"/>
              </w:rPr>
              <w:t xml:space="preserve">、售后服务要求”，提供售后服务方案。优于采购需求的得3分；满足采购需求的得</w:t>
            </w:r>
            <w:r>
              <w:rPr>
                <w:rFonts w:hint="eastAsia" w:ascii="Times New Roman" w:hAnsi="Times New Roman" w:cs="宋体"/>
                <w:sz w:val="24"/>
                <w:szCs w:val="24"/>
              </w:rPr>
              <w:t xml:space="preserve">1.8</w:t>
            </w:r>
            <w:r>
              <w:rPr>
                <w:rFonts w:hint="eastAsia" w:ascii="Times New Roman" w:hAnsi="Times New Roman" w:cs="宋体"/>
                <w:sz w:val="24"/>
                <w:szCs w:val="24"/>
              </w:rPr>
              <w:t xml:space="preserve">分；其他情况不得分。</w:t>
            </w:r>
            <w:r/>
          </w:p>
        </w:tc>
      </w:tr>
      <w:tr>
        <w:trPr>
          <w:trHeight w:val="855"/>
        </w:trPr>
        <w:tc>
          <w:tcPr>
            <w:tcW w:w="1405"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服务响应时间</w:t>
            </w:r>
            <w:r/>
          </w:p>
        </w:tc>
        <w:tc>
          <w:tcPr>
            <w:tcW w:w="1114"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2.00分</w:t>
            </w:r>
            <w:r/>
          </w:p>
        </w:tc>
        <w:tc>
          <w:tcPr>
            <w:tcW w:w="6431" w:type="dxa"/>
            <w:vAlign w:val="center"/>
            <w:textDirection w:val="lrTb"/>
            <w:noWrap w:val="false"/>
          </w:tcPr>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投标人承诺在接到采购人报修电话后40分钟内到达现场，得2分，1小时内到达现场，得1分。</w:t>
            </w:r>
            <w:r/>
          </w:p>
          <w:p>
            <w:pPr>
              <w:pStyle w:val="815"/>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注：需在投标文件中附承诺函明确标注到达现场时间并加盖投标人电子公章；未提供承诺函或承诺时间不清晰不得分（格式自拟）。</w:t>
            </w:r>
            <w:r/>
          </w:p>
        </w:tc>
      </w:tr>
    </w:tbl>
    <w:p>
      <w:pPr>
        <w:pStyle w:val="815"/>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3"/>
      <w:r/>
      <w:bookmarkEnd w:id="149"/>
      <w:r/>
      <w:bookmarkEnd w:id="150"/>
      <w:r/>
      <w:bookmarkEnd w:id="151"/>
      <w:r/>
      <w:bookmarkEnd w:id="152"/>
      <w:r/>
      <w:bookmarkEnd w:id="153"/>
      <w:r>
        <w:rPr>
          <w:rFonts w:hint="eastAsia"/>
          <w:b/>
          <w:sz w:val="44"/>
          <w:szCs w:val="44"/>
        </w:rPr>
      </w:r>
      <w:r/>
    </w:p>
    <w:p>
      <w:pPr>
        <w:pStyle w:val="815"/>
        <w:ind w:firstLine="480"/>
        <w:spacing w:line="400" w:lineRule="exact"/>
        <w:rPr>
          <w:rFonts w:hint="eastAsia" w:ascii="宋体" w:hAnsi="宋体"/>
          <w:b/>
          <w:sz w:val="28"/>
          <w:szCs w:val="28"/>
        </w:rPr>
      </w:pPr>
      <w:r>
        <w:rPr>
          <w:rFonts w:hint="eastAsia"/>
          <w:b/>
          <w:bCs/>
          <w:sz w:val="28"/>
          <w:szCs w:val="36"/>
        </w:rPr>
        <w:t xml:space="preserve">一、</w:t>
      </w:r>
      <w:r>
        <w:rPr>
          <w:rFonts w:hint="eastAsia" w:ascii="宋体" w:hAnsi="宋体"/>
          <w:b/>
          <w:sz w:val="28"/>
          <w:szCs w:val="28"/>
        </w:rPr>
        <w:t xml:space="preserve">项目概况</w:t>
      </w:r>
      <w:bookmarkStart w:id="158" w:name="OLE_LINK89"/>
      <w:r>
        <w:rPr>
          <w:rFonts w:hint="eastAsia" w:ascii="宋体" w:hAnsi="宋体"/>
          <w:b/>
          <w:sz w:val="28"/>
          <w:szCs w:val="28"/>
        </w:rPr>
      </w:r>
      <w:r/>
    </w:p>
    <w:p>
      <w:pPr>
        <w:pStyle w:val="815"/>
        <w:ind w:firstLine="480"/>
        <w:spacing w:line="400" w:lineRule="exact"/>
        <w:rPr>
          <w:rFonts w:hint="eastAsia" w:ascii="宋体" w:hAnsi="宋体"/>
          <w:sz w:val="24"/>
          <w:szCs w:val="24"/>
        </w:rPr>
      </w:pPr>
      <w:r>
        <w:rPr>
          <w:rFonts w:hint="eastAsia" w:ascii="宋体" w:hAnsi="宋体" w:cs="宋体"/>
          <w:sz w:val="24"/>
        </w:rPr>
        <w:t xml:space="preserve">宿迁卫校行政楼采购并安装1</w:t>
      </w:r>
      <w:r>
        <w:rPr>
          <w:rFonts w:hint="eastAsia" w:ascii="Times New Roman" w:hAnsi="Times New Roman" w:cs="仿宋"/>
          <w:sz w:val="24"/>
        </w:rPr>
        <w:t xml:space="preserve">部5层无机房乘客电梯</w:t>
      </w:r>
      <w:r>
        <w:rPr>
          <w:rFonts w:hint="eastAsia" w:ascii="宋体" w:hAnsi="宋体"/>
          <w:sz w:val="24"/>
          <w:szCs w:val="24"/>
        </w:rPr>
        <w:t xml:space="preserve">，包含新电梯制作、运输、现场安装调试、</w:t>
      </w:r>
      <w:r>
        <w:rPr>
          <w:rFonts w:hint="eastAsia" w:ascii="Times New Roman" w:hAnsi="Times New Roman" w:cs="仿宋"/>
          <w:sz w:val="24"/>
        </w:rPr>
        <w:t xml:space="preserve">维保服务、现场</w:t>
      </w:r>
      <w:r>
        <w:rPr>
          <w:rFonts w:hint="eastAsia" w:ascii="宋体" w:hAnsi="宋体"/>
          <w:sz w:val="24"/>
          <w:szCs w:val="24"/>
        </w:rPr>
        <w:t xml:space="preserve">相关建筑垃圾清运。向政府相关部门报验并承担相关费用，直至</w:t>
      </w:r>
      <w:bookmarkStart w:id="159" w:name="OLE_LINK74"/>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w:t>
      </w:r>
      <w:bookmarkEnd w:id="159"/>
      <w:r>
        <w:rPr>
          <w:rFonts w:hint="eastAsia" w:ascii="宋体" w:hAnsi="宋体"/>
          <w:sz w:val="24"/>
          <w:szCs w:val="24"/>
        </w:rPr>
        <w:t xml:space="preserve">验收合格，获得市场监督管理局登记备案，交付采购人使用。本次采购</w:t>
      </w:r>
      <w:r>
        <w:rPr>
          <w:rFonts w:hint="eastAsia" w:ascii="宋体" w:hAnsi="宋体"/>
          <w:sz w:val="24"/>
          <w:szCs w:val="24"/>
        </w:rPr>
        <w:t xml:space="preserve">的垂直电梯，均要求为未使用过的全新产品。</w:t>
      </w:r>
      <w:bookmarkEnd w:id="158"/>
      <w:r>
        <w:rPr>
          <w:rFonts w:hint="eastAsia" w:ascii="宋体" w:hAnsi="宋体"/>
          <w:sz w:val="24"/>
          <w:szCs w:val="24"/>
        </w:rPr>
      </w:r>
      <w:r/>
    </w:p>
    <w:p>
      <w:pPr>
        <w:pStyle w:val="815"/>
        <w:ind w:firstLine="480"/>
        <w:spacing w:line="400" w:lineRule="exact"/>
        <w:rPr>
          <w:rFonts w:hint="eastAsia"/>
          <w:b/>
          <w:bCs/>
          <w:sz w:val="28"/>
          <w:szCs w:val="36"/>
        </w:rPr>
      </w:pPr>
      <w:r>
        <w:rPr>
          <w:rFonts w:hint="eastAsia"/>
          <w:b/>
          <w:bCs/>
          <w:sz w:val="28"/>
          <w:szCs w:val="36"/>
        </w:rPr>
        <w:t xml:space="preserve">二、供货期及售后服务期</w:t>
      </w:r>
      <w:r/>
    </w:p>
    <w:p>
      <w:pPr>
        <w:pStyle w:val="815"/>
        <w:ind w:firstLine="465"/>
        <w:jc w:val="left"/>
        <w:spacing w:line="400" w:lineRule="exact"/>
        <w:widowControl/>
        <w:rPr>
          <w:rFonts w:hint="eastAsia" w:ascii="宋体" w:hAnsi="宋体"/>
          <w:sz w:val="24"/>
          <w:szCs w:val="24"/>
        </w:rPr>
      </w:pPr>
      <w:r>
        <w:rPr>
          <w:rFonts w:hint="eastAsia" w:ascii="宋体" w:hAnsi="宋体"/>
          <w:sz w:val="24"/>
          <w:szCs w:val="24"/>
        </w:rPr>
        <w:t xml:space="preserve">1.供货期：</w:t>
      </w:r>
      <w:bookmarkStart w:id="160" w:name="OLE_LINK8"/>
      <w:r/>
      <w:bookmarkStart w:id="161" w:name="OLE_LINK9"/>
      <w:r>
        <w:rPr>
          <w:rFonts w:hint="eastAsia" w:ascii="宋体" w:hAnsi="宋体"/>
          <w:sz w:val="24"/>
          <w:szCs w:val="24"/>
        </w:rPr>
        <w:t xml:space="preserve">收到采购人供货通知后45日历天内完成设备供货安装调试</w:t>
      </w:r>
      <w:bookmarkEnd w:id="160"/>
      <w:r>
        <w:rPr>
          <w:rFonts w:hint="eastAsia" w:ascii="宋体" w:hAnsi="宋体"/>
          <w:sz w:val="24"/>
          <w:szCs w:val="24"/>
        </w:rPr>
        <w:t xml:space="preserve">。</w:t>
      </w:r>
      <w:r/>
    </w:p>
    <w:p>
      <w:pPr>
        <w:pStyle w:val="815"/>
        <w:ind w:firstLine="465"/>
        <w:jc w:val="left"/>
        <w:spacing w:line="400" w:lineRule="exact"/>
        <w:widowControl/>
        <w:rPr>
          <w:rFonts w:hint="eastAsia" w:ascii="宋体" w:hAnsi="宋体"/>
          <w:sz w:val="24"/>
          <w:szCs w:val="24"/>
        </w:rPr>
      </w:pPr>
      <w:r/>
      <w:bookmarkEnd w:id="161"/>
      <w:r>
        <w:rPr>
          <w:rFonts w:hint="eastAsia" w:ascii="宋体" w:hAnsi="宋体"/>
          <w:sz w:val="24"/>
          <w:szCs w:val="24"/>
        </w:rPr>
        <w:t xml:space="preserve">2.售后服务期：</w:t>
      </w:r>
      <w:bookmarkStart w:id="162" w:name="_Hlk226014830"/>
      <w:r>
        <w:rPr>
          <w:rFonts w:hint="eastAsia" w:ascii="宋体" w:hAnsi="宋体"/>
          <w:sz w:val="24"/>
          <w:szCs w:val="24"/>
        </w:rPr>
        <w:t xml:space="preserve">2年，自验收通过之日起计算。</w:t>
      </w:r>
      <w:bookmarkEnd w:id="162"/>
      <w:r>
        <w:rPr>
          <w:rFonts w:hint="eastAsia" w:ascii="宋体" w:hAnsi="宋体"/>
          <w:sz w:val="24"/>
          <w:szCs w:val="24"/>
        </w:rPr>
      </w:r>
      <w:r/>
    </w:p>
    <w:p>
      <w:pPr>
        <w:pStyle w:val="815"/>
        <w:ind w:firstLine="465"/>
        <w:jc w:val="left"/>
        <w:spacing w:line="400" w:lineRule="exact"/>
        <w:widowControl/>
        <w:rPr>
          <w:rFonts w:hint="eastAsia" w:ascii="宋体" w:hAnsi="宋体"/>
          <w:sz w:val="24"/>
          <w:szCs w:val="24"/>
        </w:rPr>
      </w:pPr>
      <w:r>
        <w:rPr>
          <w:rFonts w:hint="eastAsia" w:ascii="宋体" w:hAnsi="宋体"/>
          <w:sz w:val="24"/>
          <w:szCs w:val="24"/>
        </w:rPr>
        <w:t xml:space="preserve">3.质量要求:合格。 </w:t>
      </w:r>
      <w:r/>
    </w:p>
    <w:p>
      <w:pPr>
        <w:pStyle w:val="1205"/>
        <w:ind w:firstLine="480"/>
        <w:spacing w:line="480" w:lineRule="exact"/>
        <w:rPr>
          <w:rFonts w:hint="eastAsia" w:ascii="宋体" w:hAnsi="宋体"/>
          <w:sz w:val="24"/>
          <w:szCs w:val="24"/>
        </w:rPr>
      </w:pPr>
      <w:r>
        <w:rPr>
          <w:rFonts w:hint="eastAsia" w:ascii="宋体" w:hAnsi="宋体"/>
          <w:sz w:val="24"/>
          <w:szCs w:val="24"/>
        </w:rPr>
        <w:t xml:space="preserve">4.供货地点：按采购人指定地点交货、安装、调试、验收。</w:t>
      </w:r>
      <w:r/>
    </w:p>
    <w:p>
      <w:pPr>
        <w:pStyle w:val="1205"/>
        <w:ind w:firstLine="480"/>
        <w:spacing w:line="480" w:lineRule="exact"/>
        <w:rPr>
          <w:rFonts w:hint="eastAsia"/>
          <w:b/>
          <w:bCs/>
          <w:sz w:val="28"/>
          <w:szCs w:val="36"/>
        </w:rPr>
      </w:pPr>
      <w:r>
        <w:rPr>
          <w:rFonts w:hint="eastAsia"/>
          <w:b/>
          <w:bCs/>
          <w:sz w:val="28"/>
          <w:szCs w:val="36"/>
        </w:rPr>
        <w:t xml:space="preserve">三、付款方式</w:t>
      </w:r>
      <w:r/>
    </w:p>
    <w:p>
      <w:pPr>
        <w:pStyle w:val="1205"/>
        <w:ind w:firstLine="480"/>
        <w:spacing w:line="480" w:lineRule="exact"/>
        <w:rPr>
          <w:rFonts w:hint="eastAsia" w:ascii="宋体" w:hAnsi="宋体"/>
          <w:sz w:val="24"/>
          <w:szCs w:val="24"/>
        </w:rPr>
      </w:pPr>
      <w:r>
        <w:rPr>
          <w:rFonts w:hint="eastAsia" w:ascii="宋体" w:hAnsi="宋体"/>
          <w:sz w:val="24"/>
          <w:szCs w:val="24"/>
        </w:rPr>
        <w:t xml:space="preserve">合同签订后，在收到供应商发票后10个工作日内支付合同总额30%的预付款；设备全部安装完毕付至合同价款的90%，待特种设备安全监督部门验收合格并取得“电梯使用登记标志”后付清余款（无息）。</w:t>
      </w:r>
      <w:r/>
    </w:p>
    <w:p>
      <w:pPr>
        <w:pStyle w:val="815"/>
        <w:ind w:firstLine="480"/>
        <w:jc w:val="left"/>
        <w:spacing w:line="360" w:lineRule="auto"/>
        <w:widowControl/>
        <w:rPr>
          <w:rFonts w:hint="eastAsia" w:ascii="宋体" w:hAnsi="宋体"/>
          <w:sz w:val="24"/>
          <w:szCs w:val="24"/>
        </w:rPr>
      </w:pPr>
      <w:r>
        <w:rPr>
          <w:rFonts w:hint="eastAsia" w:ascii="宋体" w:hAnsi="宋体"/>
          <w:sz w:val="24"/>
          <w:szCs w:val="24"/>
        </w:rPr>
        <w:t xml:space="preserve">注：在签</w:t>
      </w:r>
      <w:r>
        <w:rPr>
          <w:rFonts w:hint="eastAsia" w:ascii="宋体" w:hAnsi="宋体"/>
          <w:sz w:val="24"/>
          <w:szCs w:val="24"/>
        </w:rPr>
        <w:t xml:space="preserve">订合同时，中标人明确表示无需预付款或者主动要求降低预付款比例的，招标人可不适用前述预付款规定。</w:t>
      </w:r>
      <w:r/>
    </w:p>
    <w:p>
      <w:pPr>
        <w:pStyle w:val="1205"/>
        <w:ind w:firstLine="480"/>
        <w:spacing w:line="480" w:lineRule="exact"/>
        <w:rPr>
          <w:rFonts w:hint="eastAsia"/>
          <w:b/>
          <w:bCs/>
          <w:sz w:val="28"/>
          <w:szCs w:val="36"/>
        </w:rPr>
      </w:pPr>
      <w:r>
        <w:rPr>
          <w:rFonts w:hint="eastAsia"/>
          <w:b/>
          <w:bCs/>
          <w:sz w:val="28"/>
          <w:szCs w:val="36"/>
        </w:rPr>
        <w:t xml:space="preserve">四、采购清单及技术参数要求（本项目核心产品为电梯整机</w:t>
      </w:r>
      <w:bookmarkStart w:id="163" w:name="OLE_LINK32"/>
      <w:r>
        <w:rPr>
          <w:rFonts w:hint="eastAsia"/>
          <w:b/>
          <w:bCs/>
          <w:sz w:val="28"/>
          <w:szCs w:val="36"/>
        </w:rPr>
        <w:t xml:space="preserve">DT1</w:t>
      </w:r>
      <w:bookmarkEnd w:id="163"/>
      <w:r>
        <w:rPr>
          <w:rFonts w:hint="eastAsia"/>
          <w:b/>
          <w:bCs/>
          <w:sz w:val="28"/>
          <w:szCs w:val="36"/>
        </w:rPr>
        <w:t xml:space="preserve">）</w:t>
      </w:r>
      <w:r/>
    </w:p>
    <w:p>
      <w:pPr>
        <w:pStyle w:val="1271"/>
        <w:ind w:firstLine="482"/>
        <w:spacing w:line="400" w:lineRule="exact"/>
        <w:rPr>
          <w:rFonts w:ascii="宋体" w:hAnsi="宋体" w:cs="宋体"/>
          <w:b/>
          <w:bCs/>
          <w:sz w:val="24"/>
        </w:rPr>
      </w:pPr>
      <w:r/>
      <w:bookmarkStart w:id="164" w:name="OLE_LINK31"/>
      <w:r/>
      <w:bookmarkStart w:id="165" w:name="OLE_LINK27"/>
      <w:r>
        <w:rPr>
          <w:rFonts w:hint="eastAsia" w:ascii="宋体" w:hAnsi="宋体" w:cs="宋体"/>
          <w:b/>
          <w:bCs/>
          <w:sz w:val="24"/>
        </w:rPr>
        <w:t xml:space="preserve">（一）采购标的清单</w:t>
      </w:r>
      <w:r>
        <w:rPr>
          <w:rFonts w:ascii="宋体" w:hAnsi="宋体" w:cs="宋体"/>
          <w:b/>
          <w:bCs/>
          <w:sz w:val="24"/>
        </w:rPr>
      </w:r>
      <w:r/>
    </w:p>
    <w:tbl>
      <w:tblPr>
        <w:tblW w:w="898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8"/>
        <w:gridCol w:w="2835"/>
        <w:gridCol w:w="1418"/>
        <w:gridCol w:w="2706"/>
      </w:tblGrid>
      <w:tr>
        <w:trPr>
          <w:trHeight w:val="474"/>
        </w:trPr>
        <w:tc>
          <w:tcPr>
            <w:tcW w:w="2028" w:type="dxa"/>
            <w:vAlign w:val="top"/>
            <w:textDirection w:val="lrTb"/>
            <w:noWrap w:val="false"/>
          </w:tcPr>
          <w:p>
            <w:pPr>
              <w:pStyle w:val="1276"/>
              <w:ind w:left="115"/>
              <w:jc w:val="center"/>
              <w:spacing w:before="226" w:line="400" w:lineRule="exact"/>
              <w:rPr>
                <w:rFonts w:hint="eastAsia" w:cs="等线"/>
                <w:sz w:val="24"/>
                <w:szCs w:val="24"/>
              </w:rPr>
            </w:pPr>
            <w:r/>
            <w:bookmarkEnd w:id="164"/>
            <w:r>
              <w:rPr>
                <w:rFonts w:hint="eastAsia" w:cs="等线"/>
                <w:spacing w:val="5"/>
                <w:sz w:val="24"/>
                <w:szCs w:val="24"/>
              </w:rPr>
              <w:t xml:space="preserve">序号</w:t>
            </w:r>
            <w:r>
              <w:rPr>
                <w:rFonts w:hint="eastAsia" w:cs="等线"/>
                <w:sz w:val="24"/>
                <w:szCs w:val="24"/>
              </w:rPr>
            </w:r>
            <w:r/>
          </w:p>
        </w:tc>
        <w:tc>
          <w:tcPr>
            <w:tcW w:w="2835" w:type="dxa"/>
            <w:vAlign w:val="top"/>
            <w:textDirection w:val="lrTb"/>
            <w:noWrap w:val="false"/>
          </w:tcPr>
          <w:p>
            <w:pPr>
              <w:pStyle w:val="1276"/>
              <w:ind w:left="115"/>
              <w:jc w:val="center"/>
              <w:spacing w:before="226" w:line="400" w:lineRule="exact"/>
              <w:rPr>
                <w:rFonts w:hint="eastAsia" w:cs="等线"/>
                <w:sz w:val="24"/>
                <w:szCs w:val="24"/>
              </w:rPr>
            </w:pPr>
            <w:r>
              <w:rPr>
                <w:rFonts w:hint="eastAsia" w:cs="等线"/>
                <w:spacing w:val="6"/>
                <w:sz w:val="24"/>
                <w:szCs w:val="24"/>
                <w:lang w:eastAsia="zh-CN"/>
              </w:rPr>
              <w:t xml:space="preserve">采购标的</w:t>
            </w:r>
            <w:r>
              <w:rPr>
                <w:rFonts w:hint="eastAsia" w:cs="等线"/>
                <w:sz w:val="24"/>
                <w:szCs w:val="24"/>
              </w:rPr>
            </w:r>
            <w:r/>
          </w:p>
        </w:tc>
        <w:tc>
          <w:tcPr>
            <w:tcW w:w="1418" w:type="dxa"/>
            <w:vAlign w:val="top"/>
            <w:textDirection w:val="lrTb"/>
            <w:noWrap w:val="false"/>
          </w:tcPr>
          <w:p>
            <w:pPr>
              <w:pStyle w:val="1276"/>
              <w:spacing w:before="225" w:line="400" w:lineRule="exact"/>
              <w:rPr>
                <w:rFonts w:hint="eastAsia" w:cs="等线"/>
                <w:sz w:val="24"/>
                <w:szCs w:val="24"/>
              </w:rPr>
            </w:pPr>
            <w:r>
              <w:rPr>
                <w:rFonts w:hint="eastAsia" w:cs="等线"/>
                <w:spacing w:val="3"/>
                <w:sz w:val="24"/>
                <w:szCs w:val="24"/>
              </w:rPr>
              <w:t xml:space="preserve">数量</w:t>
            </w:r>
            <w:r>
              <w:rPr>
                <w:rFonts w:hint="eastAsia" w:cs="等线"/>
                <w:spacing w:val="3"/>
                <w:sz w:val="24"/>
                <w:szCs w:val="24"/>
                <w:lang w:eastAsia="zh-CN"/>
              </w:rPr>
              <w:t xml:space="preserve">（台）</w:t>
            </w:r>
            <w:r>
              <w:rPr>
                <w:rFonts w:hint="eastAsia" w:cs="等线"/>
                <w:sz w:val="24"/>
                <w:szCs w:val="24"/>
              </w:rPr>
            </w:r>
            <w:r/>
          </w:p>
        </w:tc>
        <w:tc>
          <w:tcPr>
            <w:tcW w:w="2706" w:type="dxa"/>
            <w:vAlign w:val="top"/>
            <w:textDirection w:val="lrTb"/>
            <w:noWrap w:val="false"/>
          </w:tcPr>
          <w:p>
            <w:pPr>
              <w:pStyle w:val="1276"/>
              <w:ind w:left="117"/>
              <w:jc w:val="center"/>
              <w:spacing w:before="225" w:line="400" w:lineRule="exact"/>
              <w:rPr>
                <w:rFonts w:hint="eastAsia" w:cs="等线"/>
                <w:spacing w:val="3"/>
                <w:sz w:val="24"/>
                <w:szCs w:val="24"/>
                <w:lang w:eastAsia="zh-CN"/>
              </w:rPr>
            </w:pPr>
            <w:r>
              <w:rPr>
                <w:rFonts w:hint="eastAsia" w:cs="等线"/>
                <w:spacing w:val="3"/>
                <w:sz w:val="24"/>
                <w:szCs w:val="24"/>
                <w:lang w:eastAsia="zh-CN"/>
              </w:rPr>
              <w:t xml:space="preserve">对应中小企业划分标准</w:t>
            </w:r>
            <w:r>
              <w:rPr>
                <w:rFonts w:hint="eastAsia" w:cs="等线"/>
                <w:spacing w:val="-5"/>
                <w:sz w:val="24"/>
                <w:szCs w:val="24"/>
                <w:lang w:eastAsia="zh-CN"/>
              </w:rPr>
              <w:t xml:space="preserve">所属</w:t>
            </w:r>
            <w:r>
              <w:rPr>
                <w:rFonts w:hint="eastAsia" w:cs="等线"/>
                <w:spacing w:val="3"/>
                <w:sz w:val="24"/>
                <w:szCs w:val="24"/>
                <w:lang w:eastAsia="zh-CN"/>
              </w:rPr>
              <w:t xml:space="preserve">行业</w:t>
            </w:r>
            <w:r/>
          </w:p>
        </w:tc>
      </w:tr>
      <w:tr>
        <w:trPr>
          <w:trHeight w:val="259"/>
        </w:trPr>
        <w:tc>
          <w:tcPr>
            <w:tcW w:w="2028" w:type="dxa"/>
            <w:vAlign w:val="center"/>
            <w:textDirection w:val="lrTb"/>
            <w:noWrap w:val="false"/>
          </w:tcPr>
          <w:p>
            <w:pPr>
              <w:pStyle w:val="815"/>
              <w:ind w:left="356"/>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835" w:type="dxa"/>
            <w:vAlign w:val="center"/>
            <w:textDirection w:val="lrTb"/>
            <w:noWrap w:val="false"/>
          </w:tcPr>
          <w:p>
            <w:pPr>
              <w:pStyle w:val="1276"/>
              <w:ind w:left="112"/>
              <w:jc w:val="center"/>
              <w:spacing w:before="65" w:line="400" w:lineRule="exact"/>
              <w:rPr>
                <w:rFonts w:hint="eastAsia" w:cs="等线"/>
                <w:sz w:val="24"/>
                <w:szCs w:val="24"/>
                <w:lang w:eastAsia="zh-CN"/>
              </w:rPr>
            </w:pPr>
            <w:r>
              <w:rPr>
                <w:rFonts w:hint="eastAsia" w:cs="等线"/>
                <w:spacing w:val="-5"/>
                <w:sz w:val="24"/>
                <w:szCs w:val="24"/>
                <w:lang w:eastAsia="zh-CN"/>
              </w:rPr>
              <w:t xml:space="preserve">DT1</w:t>
            </w:r>
            <w:r>
              <w:rPr>
                <w:rFonts w:hint="eastAsia" w:cs="等线"/>
                <w:sz w:val="24"/>
                <w:szCs w:val="24"/>
                <w:lang w:eastAsia="zh-CN"/>
              </w:rPr>
            </w:r>
            <w:r/>
          </w:p>
        </w:tc>
        <w:tc>
          <w:tcPr>
            <w:tcW w:w="1418" w:type="dxa"/>
            <w:vAlign w:val="center"/>
            <w:textDirection w:val="lrTb"/>
            <w:noWrap w:val="false"/>
          </w:tcPr>
          <w:p>
            <w:pPr>
              <w:pStyle w:val="815"/>
              <w:ind w:left="319"/>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706" w:type="dxa"/>
            <w:vAlign w:val="top"/>
            <w:textDirection w:val="lrTb"/>
            <w:noWrap w:val="false"/>
          </w:tcPr>
          <w:p>
            <w:pPr>
              <w:pStyle w:val="815"/>
              <w:ind w:left="319"/>
              <w:jc w:val="center"/>
              <w:spacing w:before="61" w:line="400" w:lineRule="exact"/>
              <w:rPr>
                <w:rFonts w:hint="eastAsia" w:ascii="宋体" w:hAnsi="宋体" w:cs="等线"/>
                <w:spacing w:val="-5"/>
                <w:sz w:val="24"/>
                <w:szCs w:val="24"/>
              </w:rPr>
            </w:pPr>
            <w:r>
              <w:rPr>
                <w:rFonts w:hint="eastAsia" w:ascii="宋体" w:hAnsi="宋体" w:cs="等线"/>
                <w:spacing w:val="-5"/>
                <w:sz w:val="24"/>
                <w:szCs w:val="24"/>
              </w:rPr>
              <w:t xml:space="preserve">工业</w:t>
            </w:r>
            <w:r/>
          </w:p>
        </w:tc>
      </w:tr>
    </w:tbl>
    <w:p>
      <w:pPr>
        <w:pStyle w:val="1271"/>
        <w:ind w:firstLine="482"/>
        <w:spacing w:line="400" w:lineRule="exact"/>
        <w:rPr>
          <w:rFonts w:hint="eastAsia" w:ascii="宋体" w:hAnsi="宋体" w:cs="宋体"/>
          <w:b/>
          <w:bCs/>
          <w:sz w:val="24"/>
        </w:rPr>
      </w:pPr>
      <w:r/>
      <w:bookmarkEnd w:id="165"/>
      <w:r/>
      <w:bookmarkStart w:id="166" w:name="OLE_LINK29"/>
      <w:r>
        <w:rPr>
          <w:rFonts w:hint="eastAsia" w:ascii="宋体" w:hAnsi="宋体" w:cs="宋体"/>
          <w:b/>
          <w:bCs/>
          <w:sz w:val="24"/>
        </w:rPr>
        <w:t xml:space="preserve">（二）具体参数要求</w:t>
      </w:r>
      <w:r/>
    </w:p>
    <w:tbl>
      <w:tblPr>
        <w:tblW w:w="9048"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7765"/>
      </w:tblGrid>
      <w:tr>
        <w:trPr>
          <w:trHeight w:val="233"/>
        </w:trPr>
        <w:tc>
          <w:tcPr>
            <w:gridSpan w:val="2"/>
            <w:tcW w:w="9048" w:type="dxa"/>
            <w:vAlign w:val="center"/>
            <w:textDirection w:val="lrTb"/>
            <w:noWrap w:val="false"/>
          </w:tcPr>
          <w:p>
            <w:pPr>
              <w:pStyle w:val="815"/>
              <w:jc w:val="center"/>
              <w:spacing w:line="360" w:lineRule="auto"/>
              <w:rPr>
                <w:rFonts w:hint="eastAsia" w:ascii="宋体" w:hAnsi="宋体" w:cs="宋体"/>
                <w:color w:val="000000"/>
                <w:sz w:val="22"/>
              </w:rPr>
            </w:pPr>
            <w:r/>
            <w:bookmarkEnd w:id="166"/>
            <w:r/>
            <w:bookmarkStart w:id="167" w:name="OLE_LINK33"/>
            <w:r/>
            <w:bookmarkStart w:id="168" w:name="OLE_LINK39"/>
            <w:r/>
            <w:bookmarkStart w:id="169" w:name="OLE_LINK34"/>
            <w:r/>
            <w:bookmarkStart w:id="170" w:name="OLE_LINK10"/>
            <w:r/>
            <w:bookmarkStart w:id="171" w:name="OLE_LINK19"/>
            <w:r>
              <w:rPr>
                <w:rFonts w:hint="eastAsia" w:ascii="宋体" w:hAnsi="宋体" w:cs="等线"/>
                <w:spacing w:val="-5"/>
                <w:sz w:val="24"/>
                <w:szCs w:val="24"/>
              </w:rPr>
              <w:t xml:space="preserve">主要参数</w:t>
            </w:r>
            <w:bookmarkEnd w:id="167"/>
            <w:r>
              <w:rPr>
                <w:rFonts w:hint="eastAsia" w:ascii="宋体" w:hAnsi="宋体" w:cs="宋体"/>
                <w:color w:val="000000"/>
                <w:sz w:val="22"/>
              </w:rPr>
            </w:r>
            <w:r/>
          </w:p>
        </w:tc>
      </w:tr>
      <w:tr>
        <w:trPr>
          <w:trHeight w:val="233"/>
        </w:trPr>
        <w:tc>
          <w:tcPr>
            <w:tcW w:w="1283" w:type="dxa"/>
            <w:vAlign w:val="center"/>
            <w:textDirection w:val="lrTb"/>
            <w:noWrap w:val="false"/>
          </w:tcPr>
          <w:p>
            <w:pPr>
              <w:pStyle w:val="815"/>
              <w:spacing w:line="360" w:lineRule="auto"/>
              <w:rPr>
                <w:rFonts w:ascii="宋体" w:hAnsi="宋体" w:cs="宋体"/>
                <w:color w:val="000000"/>
                <w:sz w:val="22"/>
              </w:rPr>
            </w:pPr>
            <w:r>
              <w:rPr>
                <w:rFonts w:hint="eastAsia" w:ascii="宋体" w:hAnsi="宋体" w:cs="宋体"/>
                <w:color w:val="000000"/>
                <w:sz w:val="22"/>
              </w:rPr>
              <w:t xml:space="preserve">产品名称</w:t>
            </w:r>
            <w:r>
              <w:rPr>
                <w:rFonts w:ascii="宋体" w:hAnsi="宋体" w:cs="宋体"/>
                <w:color w:val="000000"/>
                <w:sz w:val="22"/>
              </w:rPr>
            </w:r>
            <w:r/>
          </w:p>
        </w:tc>
        <w:tc>
          <w:tcPr>
            <w:tcW w:w="7765" w:type="dxa"/>
            <w:vAlign w:val="center"/>
            <w:textDirection w:val="lrTb"/>
            <w:noWrap w:val="false"/>
          </w:tcPr>
          <w:p>
            <w:pPr>
              <w:pStyle w:val="815"/>
              <w:spacing w:line="360" w:lineRule="auto"/>
              <w:rPr>
                <w:rFonts w:hint="eastAsia" w:ascii="宋体" w:hAnsi="宋体" w:cs="宋体"/>
                <w:color w:val="000000"/>
                <w:sz w:val="22"/>
              </w:rPr>
            </w:pPr>
            <w:r>
              <w:rPr>
                <w:rFonts w:hint="eastAsia" w:ascii="宋体" w:hAnsi="宋体" w:cs="宋体"/>
                <w:sz w:val="22"/>
              </w:rPr>
              <w:t xml:space="preserve">1.无机房乘客电梯。</w:t>
            </w:r>
            <w:r>
              <w:rPr>
                <w:rFonts w:hint="eastAsia" w:ascii="宋体" w:hAnsi="宋体" w:cs="宋体"/>
                <w:color w:val="000000"/>
                <w:sz w:val="22"/>
              </w:rPr>
            </w:r>
            <w:r/>
          </w:p>
        </w:tc>
      </w:tr>
      <w:tr>
        <w:trPr>
          <w:cantSplit/>
          <w:trHeight w:val="233"/>
        </w:trPr>
        <w:tc>
          <w:tcPr>
            <w:tcW w:w="1283" w:type="dxa"/>
            <w:vAlign w:val="center"/>
            <w:vMerge w:val="restart"/>
            <w:textDirection w:val="lrTb"/>
            <w:noWrap w:val="false"/>
          </w:tcPr>
          <w:p>
            <w:pPr>
              <w:pStyle w:val="815"/>
              <w:rPr>
                <w:rFonts w:hint="eastAsia" w:ascii="宋体" w:hAnsi="宋体" w:cs="宋体"/>
                <w:sz w:val="22"/>
              </w:rPr>
            </w:pPr>
            <w:r>
              <w:rPr>
                <w:rFonts w:hint="eastAsia" w:ascii="宋体" w:hAnsi="宋体" w:cs="宋体"/>
                <w:sz w:val="22"/>
              </w:rPr>
              <w:t xml:space="preserve">基本参数</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sz w:val="22"/>
              </w:rPr>
              <w:t xml:space="preserve">2.</w:t>
            </w:r>
            <w:r>
              <w:rPr>
                <w:rFonts w:ascii="宋体" w:hAnsi="宋体" w:cs="宋体"/>
                <w:sz w:val="22"/>
              </w:rPr>
              <w:t xml:space="preserve">★额定载重(kg)</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1050kg</w:t>
            </w:r>
            <w:r>
              <w:rPr>
                <w:rFonts w:hint="eastAsia" w:ascii="宋体" w:hAnsi="宋体" w:cs="宋体"/>
                <w:sz w:val="22"/>
              </w:rPr>
              <w:t xml:space="preserve">。</w:t>
            </w:r>
            <w:r>
              <w:rPr>
                <w:rFonts w:hint="eastAsia" w:ascii="宋体" w:hAnsi="宋体" w:cs="宋体"/>
                <w:b/>
                <w:bCs/>
                <w:sz w:val="22"/>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w:t>
            </w:r>
            <w:r>
              <w:rPr>
                <w:rFonts w:ascii="宋体" w:hAnsi="宋体" w:cs="宋体"/>
                <w:sz w:val="22"/>
              </w:rPr>
              <w:t xml:space="preserve">★额定速度(m/s)</w:t>
            </w:r>
            <w:r>
              <w:rPr>
                <w:rFonts w:hint="eastAsia" w:ascii="宋体" w:hAnsi="宋体" w:cs="宋体"/>
                <w:sz w:val="22"/>
              </w:rPr>
              <w:t xml:space="preserve">：≥</w:t>
            </w:r>
            <w:r>
              <w:rPr>
                <w:rFonts w:ascii="宋体" w:hAnsi="宋体" w:cs="宋体"/>
                <w:sz w:val="22"/>
              </w:rPr>
              <w:t xml:space="preserve">1.0</w:t>
            </w:r>
            <w:r>
              <w:rPr>
                <w:rFonts w:hint="eastAsia" w:ascii="宋体" w:hAnsi="宋体" w:cs="宋体"/>
                <w:sz w:val="22"/>
              </w:rPr>
              <w:t xml:space="preserve">m/s。</w:t>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4.开门方式：双扇自动中分门。</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5.</w:t>
            </w:r>
            <w:r>
              <w:rPr>
                <w:rFonts w:ascii="宋体" w:hAnsi="宋体" w:cs="宋体"/>
                <w:sz w:val="22"/>
              </w:rPr>
              <w:t xml:space="preserve">★停站层数（层/站/门）</w:t>
            </w:r>
            <w:r>
              <w:rPr>
                <w:rFonts w:hint="eastAsia" w:ascii="宋体" w:hAnsi="宋体" w:cs="宋体"/>
                <w:sz w:val="22"/>
              </w:rPr>
              <w:t xml:space="preserve">：</w:t>
            </w:r>
            <w:r>
              <w:rPr>
                <w:rFonts w:ascii="宋体" w:hAnsi="宋体" w:cs="宋体"/>
                <w:sz w:val="22"/>
              </w:rPr>
              <w:t xml:space="preserve">5层5站5门</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6</w:t>
            </w:r>
            <w:r>
              <w:rPr>
                <w:rFonts w:hint="eastAsia" w:ascii="宋体" w:hAnsi="宋体" w:cs="宋体"/>
                <w:sz w:val="22"/>
              </w:rPr>
              <w:t xml:space="preserve">.</w:t>
            </w:r>
            <w:r>
              <w:rPr>
                <w:rFonts w:ascii="宋体" w:hAnsi="宋体" w:cs="宋体"/>
                <w:sz w:val="22"/>
              </w:rPr>
              <w:t xml:space="preserve">提升高度(m)</w:t>
            </w:r>
            <w:r>
              <w:rPr>
                <w:rFonts w:hint="eastAsia" w:ascii="宋体" w:hAnsi="宋体" w:cs="宋体"/>
                <w:sz w:val="22"/>
              </w:rPr>
              <w:t xml:space="preserve">：</w:t>
            </w:r>
            <w:r>
              <w:rPr>
                <w:rFonts w:hint="eastAsia"/>
              </w:rPr>
              <w:t xml:space="preserve">≥18800mm（以现场实际测量为准）。</w:t>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7</w:t>
            </w:r>
            <w:r>
              <w:rPr>
                <w:rFonts w:hint="eastAsia" w:ascii="宋体" w:hAnsi="宋体" w:cs="宋体"/>
                <w:sz w:val="22"/>
              </w:rPr>
              <w:t xml:space="preserve">.</w:t>
            </w:r>
            <w:r>
              <w:rPr>
                <w:rFonts w:ascii="宋体" w:hAnsi="宋体" w:cs="宋体"/>
                <w:sz w:val="22"/>
              </w:rPr>
              <w:t xml:space="preserve">层高（mm）</w:t>
            </w:r>
            <w:r>
              <w:rPr>
                <w:rFonts w:hint="eastAsia" w:ascii="宋体" w:hAnsi="宋体" w:cs="宋体"/>
                <w:sz w:val="22"/>
              </w:rPr>
              <w:t xml:space="preserve">：≥2200mm（以现场实际测量为准）。</w:t>
            </w:r>
            <w:r>
              <w:rPr>
                <w:rFonts w:hint="eastAsia"/>
              </w:rPr>
            </w:r>
            <w:r/>
          </w:p>
        </w:tc>
      </w:tr>
      <w:tr>
        <w:trPr>
          <w:cantSplit/>
          <w:trHeight w:val="233"/>
        </w:trPr>
        <w:tc>
          <w:tcPr>
            <w:tcW w:w="1283" w:type="dxa"/>
            <w:vAlign w:val="center"/>
            <w:vMerge w:val="continue"/>
            <w:textDirection w:val="lrTb"/>
            <w:noWrap w:val="false"/>
          </w:tcPr>
          <w:p>
            <w:pPr>
              <w:pStyle w:val="815"/>
              <w:spacing w:line="360" w:lineRule="auto"/>
            </w:p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8.</w:t>
            </w:r>
            <w:r>
              <w:rPr>
                <w:rFonts w:ascii="宋体" w:hAnsi="宋体" w:cs="宋体"/>
                <w:sz w:val="22"/>
              </w:rPr>
              <w:t xml:space="preserve">运行控制</w:t>
            </w:r>
            <w:r>
              <w:rPr>
                <w:rFonts w:hint="eastAsia" w:ascii="宋体" w:hAnsi="宋体" w:cs="宋体"/>
                <w:sz w:val="22"/>
              </w:rPr>
              <w:t xml:space="preserve">：</w:t>
            </w:r>
            <w:r>
              <w:rPr>
                <w:rFonts w:ascii="宋体" w:hAnsi="宋体" w:cs="宋体"/>
                <w:sz w:val="22"/>
              </w:rPr>
              <w:t xml:space="preserve">单控</w:t>
            </w:r>
            <w:r>
              <w:rPr>
                <w:rFonts w:hint="eastAsia" w:ascii="宋体" w:hAnsi="宋体" w:cs="宋体"/>
                <w:sz w:val="22"/>
              </w:rPr>
              <w:t xml:space="preserve">。</w:t>
            </w:r>
            <w:r>
              <w:rPr>
                <w:rFonts w:hint="eastAsia"/>
              </w:rPr>
            </w:r>
            <w:r/>
          </w:p>
        </w:tc>
      </w:tr>
      <w:tr>
        <w:trPr>
          <w:cantSplit/>
          <w:trHeight w:val="233"/>
        </w:trPr>
        <w:tc>
          <w:tcPr>
            <w:tcW w:w="1283" w:type="dxa"/>
            <w:vAlign w:val="center"/>
            <w:vMerge w:val="restart"/>
            <w:textDirection w:val="lrTb"/>
            <w:noWrap w:val="false"/>
          </w:tcPr>
          <w:p>
            <w:pPr>
              <w:pStyle w:val="815"/>
              <w:spacing w:line="360" w:lineRule="auto"/>
            </w:pPr>
            <w:r>
              <w:rPr>
                <w:rFonts w:hint="eastAsia"/>
              </w:rPr>
              <w:t xml:space="preserve">土建及轿厢尺寸</w:t>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9.</w:t>
            </w:r>
            <w:r>
              <w:rPr>
                <w:rFonts w:ascii="宋体" w:hAnsi="宋体" w:cs="宋体"/>
                <w:sz w:val="22"/>
              </w:rPr>
              <w:t xml:space="preserve">轿厢尺寸宽×深 (mm)</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1600*1500mm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10.</w:t>
            </w:r>
            <w:r>
              <w:rPr>
                <w:rFonts w:ascii="宋体" w:hAnsi="宋体" w:cs="宋体"/>
                <w:sz w:val="22"/>
              </w:rPr>
              <w:t xml:space="preserve">轿厢净高(mm)</w:t>
            </w:r>
            <w:r>
              <w:rPr>
                <w:rFonts w:hint="eastAsia" w:ascii="宋体" w:hAnsi="宋体" w:cs="宋体"/>
                <w:sz w:val="22"/>
              </w:rPr>
              <w:t xml:space="preserve">：</w:t>
            </w:r>
            <w:r>
              <w:rPr>
                <w:rFonts w:hint="eastAsia" w:ascii="宋体" w:hAnsi="宋体" w:cs="宋体"/>
                <w:color w:val="000000"/>
                <w:sz w:val="22"/>
              </w:rPr>
              <w:t xml:space="preserve">≥</w:t>
            </w:r>
            <w:r>
              <w:rPr>
                <w:rFonts w:ascii="宋体" w:hAnsi="宋体" w:cs="宋体"/>
                <w:sz w:val="22"/>
              </w:rPr>
              <w:t xml:space="preserve">2400mm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rPr>
            </w:pPr>
            <w:r>
              <w:rPr>
                <w:rFonts w:hint="eastAsia" w:ascii="宋体" w:hAnsi="宋体" w:cs="宋体"/>
                <w:sz w:val="22"/>
              </w:rPr>
              <w:t xml:space="preserve">11.</w:t>
            </w:r>
            <w:r>
              <w:rPr>
                <w:rFonts w:ascii="宋体" w:hAnsi="宋体" w:cs="宋体"/>
                <w:sz w:val="22"/>
              </w:rPr>
              <w:t xml:space="preserve">开门尺寸(mm)</w:t>
            </w:r>
            <w:r>
              <w:rPr>
                <w:rFonts w:hint="eastAsia" w:ascii="宋体" w:hAnsi="宋体" w:cs="宋体"/>
                <w:sz w:val="22"/>
              </w:rPr>
              <w:t xml:space="preserve">：</w:t>
            </w:r>
            <w:r>
              <w:rPr>
                <w:rFonts w:ascii="宋体" w:hAnsi="宋体" w:cs="宋体"/>
                <w:sz w:val="22"/>
              </w:rPr>
              <w:t xml:space="preserve">900*2100mm</w:t>
            </w:r>
            <w:r>
              <w:rPr>
                <w:rFonts w:hint="eastAsia" w:ascii="宋体" w:hAnsi="宋体" w:cs="宋体"/>
                <w:sz w:val="22"/>
              </w:rPr>
              <w:t xml:space="preserve">。</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ascii="宋体" w:hAnsi="宋体" w:cs="宋体"/>
                <w:sz w:val="22"/>
              </w:rPr>
            </w:pPr>
            <w:r>
              <w:rPr>
                <w:rFonts w:hint="eastAsia" w:ascii="宋体" w:hAnsi="宋体" w:cs="宋体"/>
                <w:sz w:val="22"/>
              </w:rPr>
              <w:t xml:space="preserve">12.</w:t>
            </w:r>
            <w:r>
              <w:rPr>
                <w:rFonts w:ascii="宋体" w:hAnsi="宋体" w:cs="宋体"/>
                <w:sz w:val="22"/>
              </w:rPr>
              <w:t xml:space="preserve">井道尺寸(mm)</w:t>
            </w:r>
            <w:r>
              <w:rPr>
                <w:rFonts w:hint="eastAsia" w:ascii="宋体" w:hAnsi="宋体" w:cs="宋体"/>
                <w:sz w:val="22"/>
              </w:rPr>
              <w:t xml:space="preserve">：宽×深：2200x2150mm（</w:t>
            </w:r>
            <w:r>
              <w:rPr>
                <w:rFonts w:ascii="宋体" w:hAnsi="宋体" w:cs="宋体"/>
                <w:sz w:val="22"/>
              </w:rPr>
              <w:t xml:space="preserve">以现场实际测量为准</w:t>
            </w:r>
            <w:r>
              <w:rPr>
                <w:rFonts w:hint="eastAsia" w:ascii="宋体" w:hAnsi="宋体" w:cs="宋体"/>
                <w:sz w:val="22"/>
              </w:rPr>
              <w:t xml:space="preserve">）。</w:t>
            </w:r>
            <w:r>
              <w:rPr>
                <w:rFonts w:ascii="宋体" w:hAnsi="宋体" w:cs="宋体"/>
                <w:sz w:val="22"/>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pPr>
            <w:r>
              <w:rPr>
                <w:rFonts w:hint="eastAsia" w:ascii="宋体" w:hAnsi="宋体" w:cs="宋体"/>
                <w:sz w:val="22"/>
              </w:rPr>
              <w:t xml:space="preserve">13.</w:t>
            </w:r>
            <w:r>
              <w:rPr>
                <w:rFonts w:ascii="宋体" w:hAnsi="宋体" w:cs="宋体"/>
                <w:sz w:val="22"/>
              </w:rPr>
              <w:t xml:space="preserve">底坑深度(mm)</w:t>
            </w:r>
            <w:r>
              <w:rPr>
                <w:rFonts w:hint="eastAsia" w:ascii="宋体" w:hAnsi="宋体" w:cs="宋体"/>
                <w:sz w:val="22"/>
              </w:rPr>
              <w:t xml:space="preserve">：</w:t>
            </w:r>
            <w:r>
              <w:rPr>
                <w:rFonts w:hint="eastAsia"/>
              </w:rPr>
              <w:t xml:space="preserve">1400mm</w:t>
            </w:r>
            <w:r>
              <w:rPr>
                <w:rFonts w:hint="eastAsia" w:ascii="宋体" w:hAnsi="宋体" w:cs="宋体"/>
                <w:sz w:val="22"/>
              </w:rPr>
              <w:t xml:space="preserve">（</w:t>
            </w:r>
            <w:r>
              <w:rPr>
                <w:rFonts w:ascii="宋体" w:hAnsi="宋体" w:cs="宋体"/>
                <w:sz w:val="22"/>
              </w:rPr>
              <w:t xml:space="preserve">以现场实际测量为准</w:t>
            </w:r>
            <w:r>
              <w:rPr>
                <w:rFonts w:hint="eastAsia" w:ascii="宋体" w:hAnsi="宋体" w:cs="宋体"/>
                <w:sz w:val="22"/>
              </w:rPr>
              <w:t xml:space="preserve">）。</w:t>
            </w:r>
            <w:r/>
          </w:p>
        </w:tc>
      </w:tr>
      <w:tr>
        <w:trPr>
          <w:cantSplit/>
          <w:trHeight w:val="233"/>
        </w:trPr>
        <w:tc>
          <w:tcPr>
            <w:tcW w:w="1283" w:type="dxa"/>
            <w:vAlign w:val="center"/>
            <w:vMerge w:val="restart"/>
            <w:textDirection w:val="lrTb"/>
            <w:noWrap w:val="false"/>
          </w:tcPr>
          <w:p>
            <w:pPr>
              <w:pStyle w:val="815"/>
              <w:spacing w:line="360" w:lineRule="auto"/>
              <w:rPr>
                <w:rFonts w:hint="eastAsia"/>
              </w:rPr>
            </w:pPr>
            <w:r>
              <w:rPr>
                <w:rFonts w:hint="eastAsia"/>
              </w:rPr>
              <w:t xml:space="preserve">主机</w:t>
            </w:r>
            <w:r/>
          </w:p>
        </w:tc>
        <w:tc>
          <w:tcPr>
            <w:tcW w:w="7765" w:type="dxa"/>
            <w:vAlign w:val="top"/>
            <w:textDirection w:val="lrTb"/>
            <w:noWrap w:val="false"/>
          </w:tcPr>
          <w:p>
            <w:pPr>
              <w:pStyle w:val="815"/>
              <w:spacing w:line="360" w:lineRule="auto"/>
              <w:rPr>
                <w:rFonts w:hint="eastAsia"/>
              </w:rPr>
            </w:pPr>
            <w:r>
              <w:rPr>
                <w:rFonts w:hint="eastAsia" w:ascii="宋体" w:hAnsi="宋体"/>
                <w:sz w:val="22"/>
              </w:rPr>
              <w:t xml:space="preserve">14.▲</w:t>
            </w:r>
            <w:r>
              <w:rPr>
                <w:rFonts w:hint="eastAsia" w:ascii="宋体" w:hAnsi="宋体" w:cs="宋体"/>
                <w:sz w:val="22"/>
              </w:rPr>
              <w:t xml:space="preserve">主机：变频调速电机、永磁</w:t>
            </w:r>
            <w:r>
              <w:rPr>
                <w:rFonts w:hint="eastAsia" w:ascii="宋体" w:hAnsi="宋体" w:cs="宋体"/>
                <w:sz w:val="22"/>
              </w:rPr>
              <w:t xml:space="preserve">同步无齿轮驱动。</w:t>
            </w:r>
            <w:r>
              <w:rPr>
                <w:rFonts w:hint="eastAsia"/>
              </w:rPr>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15.</w:t>
            </w:r>
            <w:r>
              <w:rPr>
                <w:rFonts w:hint="eastAsia" w:ascii="宋体" w:hAnsi="宋体"/>
                <w:sz w:val="22"/>
              </w:rPr>
              <w:t xml:space="preserve">▲</w:t>
            </w:r>
            <w:r>
              <w:rPr>
                <w:rFonts w:hint="eastAsia" w:ascii="宋体" w:hAnsi="宋体" w:cs="宋体"/>
                <w:sz w:val="22"/>
              </w:rPr>
              <w:t xml:space="preserve">控制系统：全电脑网络控制处理器（模块化），主控微机板采用32位微电脑全集选控制。</w:t>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16.电源要求：交流三相380V，50Hz；交流单相220V，50Hz。</w:t>
            </w:r>
            <w:r/>
          </w:p>
        </w:tc>
      </w:tr>
      <w:tr>
        <w:trPr>
          <w:cantSplit/>
          <w:trHeight w:val="233"/>
        </w:trPr>
        <w:tc>
          <w:tcPr>
            <w:tcW w:w="1283" w:type="dxa"/>
            <w:vAlign w:val="center"/>
            <w:vMerge w:val="continue"/>
            <w:textDirection w:val="lrTb"/>
            <w:noWrap w:val="false"/>
          </w:tcPr>
          <w:p>
            <w:pPr>
              <w:pStyle w:val="815"/>
              <w:spacing w:line="360" w:lineRule="auto"/>
              <w:rPr>
                <w:rFonts w:hint="eastAsia"/>
              </w:rPr>
            </w:pPr>
            <w:r>
              <w:rPr>
                <w:rFonts w:hint="eastAsia"/>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17.称重装置：电子称重装置，控制柜中可随时显示荷载重量。</w:t>
            </w:r>
            <w:r/>
          </w:p>
        </w:tc>
      </w:tr>
      <w:tr>
        <w:trPr>
          <w:trHeight w:val="233"/>
        </w:trPr>
        <w:tc>
          <w:tcPr>
            <w:tcW w:w="1283" w:type="dxa"/>
            <w:vAlign w:val="center"/>
            <w:textDirection w:val="lrTb"/>
            <w:noWrap w:val="false"/>
          </w:tcPr>
          <w:p>
            <w:pPr>
              <w:pStyle w:val="815"/>
              <w:spacing w:line="360" w:lineRule="auto"/>
              <w:rPr>
                <w:rFonts w:hint="eastAsia"/>
              </w:rPr>
            </w:pPr>
            <w:r>
              <w:rPr>
                <w:rFonts w:hint="eastAsia"/>
              </w:rPr>
              <w:t xml:space="preserve">轿厢尺寸装饰及参数</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18.轿厢门和厅门关闭后，门扇之间的间隙≤4mm。</w:t>
            </w:r>
            <w:r/>
          </w:p>
          <w:p>
            <w:pPr>
              <w:pStyle w:val="815"/>
              <w:spacing w:line="360" w:lineRule="auto"/>
              <w:rPr>
                <w:rFonts w:hint="eastAsia" w:ascii="宋体" w:hAnsi="宋体" w:cs="宋体"/>
                <w:sz w:val="22"/>
              </w:rPr>
            </w:pPr>
            <w:r>
              <w:rPr>
                <w:rFonts w:hint="eastAsia" w:ascii="宋体" w:hAnsi="宋体" w:cs="宋体"/>
                <w:sz w:val="22"/>
              </w:rPr>
              <w:t xml:space="preserve">19.自动精确平层：平层精度应小于±5mm。</w:t>
            </w:r>
            <w:r/>
          </w:p>
          <w:p>
            <w:pPr>
              <w:pStyle w:val="815"/>
              <w:spacing w:line="360" w:lineRule="auto"/>
              <w:rPr>
                <w:rFonts w:ascii="宋体" w:hAnsi="宋体" w:cs="宋体"/>
                <w:sz w:val="22"/>
              </w:rPr>
            </w:pPr>
            <w:r>
              <w:rPr>
                <w:rFonts w:hint="eastAsia" w:ascii="宋体" w:hAnsi="宋体" w:cs="宋体"/>
                <w:sz w:val="22"/>
              </w:rPr>
              <w:t xml:space="preserve">20.轿厢装饰：轿厢及轿门均采用发纹不锈钢，材质发纹不锈钢≥1.2mm；轿顶采用标准装饰并提供样本图册，供招标人选订；</w:t>
            </w:r>
            <w:r>
              <w:rPr>
                <w:rFonts w:ascii="宋体" w:hAnsi="宋体" w:cs="宋体"/>
                <w:sz w:val="22"/>
              </w:rPr>
              <w:t xml:space="preserve">单侧扶手、后侧镜</w:t>
            </w:r>
            <w:r>
              <w:rPr>
                <w:rFonts w:ascii="宋体" w:hAnsi="宋体" w:cs="宋体"/>
                <w:sz w:val="22"/>
              </w:rPr>
              <w:t xml:space="preserve">面</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21.轿厢地面采用平花大理石或同等档次材质（由招标人确定）；电梯轿厢内前壁采用1套连体式发纹不锈钢操作面板。</w:t>
            </w:r>
            <w:r/>
          </w:p>
          <w:p>
            <w:pPr>
              <w:pStyle w:val="815"/>
              <w:spacing w:line="360" w:lineRule="auto"/>
              <w:rPr>
                <w:rFonts w:hint="eastAsia" w:ascii="宋体" w:hAnsi="宋体" w:cs="宋体"/>
                <w:sz w:val="22"/>
              </w:rPr>
            </w:pPr>
            <w:r>
              <w:rPr>
                <w:rFonts w:hint="eastAsia" w:ascii="宋体" w:hAnsi="宋体" w:cs="宋体"/>
                <w:sz w:val="22"/>
              </w:rPr>
              <w:t xml:space="preserve">22.轿内操纵箱：发纹不锈钢，设置一体化操纵盘，采用断码显示，不锈钢按钮，有运行方向箭头显示。</w:t>
            </w:r>
            <w:r/>
          </w:p>
          <w:p>
            <w:pPr>
              <w:pStyle w:val="815"/>
              <w:spacing w:line="360" w:lineRule="auto"/>
              <w:rPr>
                <w:rFonts w:hint="eastAsia" w:ascii="宋体" w:hAnsi="宋体" w:cs="宋体"/>
                <w:sz w:val="22"/>
              </w:rPr>
            </w:pPr>
            <w:r>
              <w:rPr>
                <w:rFonts w:hint="eastAsia" w:ascii="宋体" w:hAnsi="宋体" w:cs="宋体"/>
                <w:sz w:val="22"/>
              </w:rPr>
              <w:t xml:space="preserve">23.层站位置指示器：配置高亮度段位液晶显示器，可以显示电梯的位置和运行方向。</w:t>
            </w:r>
            <w:r/>
          </w:p>
          <w:p>
            <w:pPr>
              <w:pStyle w:val="815"/>
              <w:spacing w:line="360" w:lineRule="auto"/>
              <w:rPr>
                <w:rFonts w:hint="eastAsia" w:ascii="宋体" w:hAnsi="宋体" w:cs="宋体"/>
                <w:sz w:val="22"/>
              </w:rPr>
            </w:pPr>
            <w:r>
              <w:rPr>
                <w:rFonts w:hint="eastAsia" w:ascii="宋体" w:hAnsi="宋体" w:cs="宋体"/>
                <w:sz w:val="22"/>
              </w:rPr>
              <w:t xml:space="preserve">24.轿厢讯号装置：具有超载显示报警功能。</w:t>
            </w:r>
            <w:r/>
          </w:p>
          <w:p>
            <w:pPr>
              <w:pStyle w:val="815"/>
              <w:spacing w:line="360" w:lineRule="auto"/>
              <w:rPr>
                <w:rFonts w:hint="eastAsia" w:ascii="宋体" w:hAnsi="宋体" w:cs="宋体"/>
                <w:sz w:val="22"/>
              </w:rPr>
            </w:pPr>
            <w:r>
              <w:rPr>
                <w:rFonts w:hint="eastAsia" w:ascii="宋体" w:hAnsi="宋体" w:cs="宋体"/>
                <w:sz w:val="22"/>
              </w:rPr>
              <w:t xml:space="preserve">25.首层厅门、小门套采用发纹不锈钢，材质发纹不锈钢≥1.2mm。</w:t>
            </w:r>
            <w:r/>
          </w:p>
          <w:p>
            <w:pPr>
              <w:pStyle w:val="815"/>
              <w:spacing w:line="360" w:lineRule="auto"/>
              <w:rPr>
                <w:rFonts w:hint="eastAsia" w:ascii="宋体" w:hAnsi="宋体" w:cs="宋体"/>
                <w:color w:val="ff0000"/>
                <w:sz w:val="22"/>
              </w:rPr>
            </w:pPr>
            <w:r>
              <w:rPr>
                <w:rFonts w:hint="eastAsia" w:ascii="宋体" w:hAnsi="宋体" w:cs="宋体"/>
                <w:sz w:val="22"/>
              </w:rPr>
              <w:t xml:space="preserve">26.轿顶上设检修箱及安全护栏，供检修时使用，如轿厢内、井道、控制柜也设有检修运行装置，应确保轿顶优先，</w:t>
            </w:r>
            <w:r>
              <w:rPr>
                <w:rFonts w:hint="eastAsia" w:ascii="宋体" w:hAnsi="宋体" w:cs="宋体"/>
                <w:sz w:val="22"/>
              </w:rPr>
              <w:t xml:space="preserve">检修运行应符合</w:t>
            </w:r>
            <w:r>
              <w:rPr>
                <w:rFonts w:ascii="宋体" w:hAnsi="宋体" w:cs="宋体"/>
                <w:sz w:val="22"/>
              </w:rPr>
              <w:t xml:space="preserve">GB/T 7588.1-2020</w:t>
            </w:r>
            <w:r>
              <w:rPr>
                <w:rFonts w:hint="eastAsia" w:ascii="宋体" w:hAnsi="宋体" w:cs="宋体"/>
                <w:sz w:val="22"/>
              </w:rPr>
              <w:t xml:space="preserve">、</w:t>
            </w:r>
            <w:r>
              <w:rPr>
                <w:rFonts w:ascii="宋体" w:hAnsi="宋体" w:cs="宋体"/>
                <w:sz w:val="22"/>
              </w:rPr>
              <w:t xml:space="preserve">GB/T 7588.2-2020</w:t>
            </w:r>
            <w:r>
              <w:rPr>
                <w:rFonts w:hint="eastAsia" w:ascii="宋体" w:hAnsi="宋体" w:cs="宋体"/>
                <w:sz w:val="22"/>
              </w:rPr>
              <w:t xml:space="preserve">。</w:t>
            </w:r>
            <w:r>
              <w:rPr>
                <w:rFonts w:hint="eastAsia" w:ascii="宋体" w:hAnsi="宋体" w:cs="宋体"/>
                <w:color w:val="ff0000"/>
                <w:sz w:val="22"/>
              </w:rPr>
            </w:r>
            <w:r/>
          </w:p>
          <w:p>
            <w:pPr>
              <w:pStyle w:val="815"/>
              <w:spacing w:line="360" w:lineRule="auto"/>
              <w:rPr>
                <w:rFonts w:hint="eastAsia" w:ascii="宋体" w:hAnsi="宋体" w:cs="宋体"/>
                <w:sz w:val="22"/>
              </w:rPr>
            </w:pPr>
            <w:r>
              <w:rPr>
                <w:rFonts w:hint="eastAsia" w:ascii="宋体" w:hAnsi="宋体" w:cs="宋体"/>
                <w:sz w:val="22"/>
              </w:rPr>
              <w:t xml:space="preserve">27.检修箱应包括以下装置：手旋复位的红色停止按钮；检修开关；带36V检修照明灯；维修用插座（220V，单相三线）；检修运行按钮。</w:t>
            </w:r>
            <w:r/>
          </w:p>
          <w:p>
            <w:pPr>
              <w:pStyle w:val="815"/>
              <w:spacing w:line="360" w:lineRule="auto"/>
              <w:rPr>
                <w:rFonts w:hint="eastAsia" w:ascii="宋体" w:hAnsi="宋体" w:cs="宋体"/>
                <w:sz w:val="22"/>
              </w:rPr>
            </w:pPr>
            <w:r>
              <w:rPr>
                <w:rFonts w:hint="eastAsia" w:ascii="宋体" w:hAnsi="宋体" w:cs="宋体"/>
                <w:sz w:val="22"/>
              </w:rPr>
              <w:t xml:space="preserve">28.轿厢导轨主轨采用实心钢制T型轨：导靴为滑动式。</w:t>
            </w:r>
            <w:r/>
          </w:p>
          <w:p>
            <w:pPr>
              <w:pStyle w:val="815"/>
              <w:spacing w:line="360" w:lineRule="auto"/>
              <w:rPr>
                <w:rFonts w:hint="eastAsia" w:ascii="宋体" w:hAnsi="宋体" w:cs="宋体"/>
                <w:sz w:val="22"/>
              </w:rPr>
            </w:pPr>
            <w:r>
              <w:rPr>
                <w:rFonts w:hint="eastAsia" w:ascii="宋体" w:hAnsi="宋体" w:cs="宋体"/>
                <w:sz w:val="22"/>
              </w:rPr>
              <w:t xml:space="preserve">29.轿厢应急照明：供电中断，应急灯立即点亮，向轿厢提供照明（应急灯应采用免维护蓄电池，自动充电，供电时间应不小于4小时）。</w:t>
            </w:r>
            <w:r/>
          </w:p>
          <w:p>
            <w:pPr>
              <w:pStyle w:val="815"/>
              <w:spacing w:line="360" w:lineRule="auto"/>
              <w:rPr>
                <w:rFonts w:hint="eastAsia" w:ascii="宋体" w:hAnsi="宋体" w:cs="宋体"/>
                <w:sz w:val="22"/>
              </w:rPr>
            </w:pPr>
            <w:r>
              <w:rPr>
                <w:rFonts w:hint="eastAsia" w:ascii="宋体" w:hAnsi="宋体" w:cs="宋体"/>
                <w:sz w:val="22"/>
              </w:rPr>
              <w:t xml:space="preserve">30.噪声：机房、轿厢内、开门噪声符合国家标准。</w:t>
            </w:r>
            <w:r/>
          </w:p>
          <w:p>
            <w:pPr>
              <w:pStyle w:val="815"/>
              <w:spacing w:line="360" w:lineRule="auto"/>
              <w:rPr>
                <w:rFonts w:hint="eastAsia" w:ascii="宋体" w:hAnsi="宋体" w:cs="宋体"/>
                <w:sz w:val="22"/>
              </w:rPr>
            </w:pPr>
            <w:r>
              <w:rPr>
                <w:rFonts w:hint="eastAsia" w:ascii="宋体" w:hAnsi="宋体" w:cs="宋体"/>
                <w:sz w:val="22"/>
              </w:rPr>
              <w:t xml:space="preserve">31.起、制动及额定运行时应舒适，无抖动、冲击感觉，运行线路应平滑，运行效</w:t>
            </w:r>
            <w:r>
              <w:rPr>
                <w:rFonts w:hint="eastAsia" w:ascii="宋体" w:hAnsi="宋体" w:cs="宋体"/>
                <w:sz w:val="22"/>
              </w:rPr>
              <w:t xml:space="preserve">率高。</w:t>
            </w:r>
            <w:r/>
          </w:p>
        </w:tc>
      </w:tr>
      <w:tr>
        <w:trPr>
          <w:trHeight w:val="233"/>
        </w:trPr>
        <w:tc>
          <w:tcPr>
            <w:tcW w:w="1283" w:type="dxa"/>
            <w:vAlign w:val="center"/>
            <w:textDirection w:val="lrTb"/>
            <w:noWrap w:val="false"/>
          </w:tcPr>
          <w:p>
            <w:pPr>
              <w:pStyle w:val="815"/>
              <w:spacing w:line="360" w:lineRule="auto"/>
              <w:rPr>
                <w:rFonts w:hint="eastAsia"/>
              </w:rPr>
            </w:pPr>
            <w:r>
              <w:rPr>
                <w:rFonts w:hint="eastAsia" w:ascii="宋体" w:hAnsi="宋体" w:cs="宋体"/>
                <w:sz w:val="22"/>
              </w:rPr>
              <w:t xml:space="preserve">曳引机制动器</w:t>
            </w:r>
            <w:r>
              <w:rPr>
                <w:rFonts w:hint="eastAsia"/>
              </w:rPr>
            </w:r>
            <w:r/>
          </w:p>
        </w:tc>
        <w:tc>
          <w:tcPr>
            <w:tcW w:w="7765" w:type="dxa"/>
            <w:vAlign w:val="top"/>
            <w:textDirection w:val="lrTb"/>
            <w:noWrap w:val="false"/>
          </w:tcPr>
          <w:p>
            <w:pPr>
              <w:pStyle w:val="815"/>
              <w:spacing w:line="360" w:lineRule="auto"/>
              <w:rPr>
                <w:rFonts w:hint="eastAsia" w:ascii="宋体" w:hAnsi="宋体" w:cs="宋体"/>
                <w:sz w:val="22"/>
                <w:highlight w:val="green"/>
              </w:rPr>
            </w:pPr>
            <w:r>
              <w:rPr>
                <w:rFonts w:hint="eastAsia" w:ascii="宋体" w:hAnsi="宋体" w:cs="宋体"/>
                <w:sz w:val="22"/>
              </w:rPr>
              <w:t xml:space="preserve">32.▲动作寿命达到1600万次及以上（</w:t>
            </w:r>
            <w:r>
              <w:rPr>
                <w:rFonts w:hint="eastAsia" w:ascii="宋体" w:hAnsi="宋体" w:cs="宋体"/>
                <w:szCs w:val="18"/>
              </w:rPr>
              <w:t xml:space="preserve">禁止使用鼓式抱闸曳引机）</w:t>
            </w:r>
            <w:bookmarkStart w:id="172" w:name="OLE_LINK112"/>
            <w:r>
              <w:rPr>
                <w:rFonts w:hint="eastAsia" w:cs="方正仿宋_GBK"/>
                <w:b/>
                <w:bCs/>
                <w:sz w:val="24"/>
                <w:szCs w:val="24"/>
              </w:rPr>
              <w:t xml:space="preserve">（提供第三方检测机构出具检验报告原件扫描件上传至电子投标文件中）。</w:t>
            </w:r>
            <w:bookmarkEnd w:id="172"/>
            <w:r>
              <w:rPr>
                <w:rFonts w:hint="eastAsia" w:ascii="宋体" w:hAnsi="宋体" w:cs="宋体"/>
                <w:sz w:val="22"/>
                <w:highlight w:val="green"/>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电梯终端开关</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b/>
                <w:bCs/>
                <w:sz w:val="22"/>
              </w:rPr>
              <w:t xml:space="preserve">33.</w:t>
            </w:r>
            <w:r>
              <w:rPr>
                <w:rFonts w:hint="eastAsia" w:ascii="宋体" w:hAnsi="宋体" w:cs="宋体"/>
                <w:sz w:val="22"/>
              </w:rPr>
              <w:t xml:space="preserve">▲动作寿命达到1200万次及以上</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sz w:val="22"/>
              </w:rPr>
            </w:r>
            <w:r/>
          </w:p>
        </w:tc>
      </w:tr>
      <w:tr>
        <w:trPr>
          <w:cantSplit/>
          <w:trHeight w:val="233"/>
        </w:trPr>
        <w:tc>
          <w:tcPr>
            <w:tcW w:w="1283" w:type="dxa"/>
            <w:vAlign w:val="center"/>
            <w:vMerge w:val="restart"/>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轿门门机</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34.▲门系统（轿门门机）的动作次数均大于1300万次</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sz w:val="22"/>
              </w:rPr>
            </w:r>
            <w:r/>
          </w:p>
        </w:tc>
      </w:tr>
      <w:tr>
        <w:trPr>
          <w:cantSplit/>
          <w:trHeight w:val="233"/>
        </w:trPr>
        <w:tc>
          <w:tcPr>
            <w:tcW w:w="1283" w:type="dxa"/>
            <w:vAlign w:val="center"/>
            <w:vMerge w:val="continue"/>
            <w:textDirection w:val="lrTb"/>
            <w:noWrap w:val="false"/>
          </w:tcPr>
          <w:p>
            <w:pPr>
              <w:pStyle w:val="815"/>
              <w:spacing w:line="360" w:lineRule="auto"/>
              <w:rPr>
                <w:rFonts w:hint="eastAsia" w:ascii="宋体" w:hAnsi="宋体" w:cs="宋体"/>
                <w:sz w:val="22"/>
              </w:rPr>
            </w:pPr>
            <w:r>
              <w:rPr>
                <w:rFonts w:hint="eastAsia" w:ascii="宋体" w:hAnsi="宋体" w:cs="宋体"/>
                <w:sz w:val="22"/>
              </w:rPr>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35.▲电梯门机系统运行开关门噪声最大值（在距离开门宽度中间处，水平方向距门扇0.24m处，分别测量3次开关门的噪声）：V≤50dB（A）</w:t>
            </w:r>
            <w:bookmarkStart w:id="173" w:name="OLE_LINK23"/>
            <w:r/>
            <w:bookmarkStart w:id="174" w:name="OLE_LINK26"/>
            <w:r>
              <w:rPr>
                <w:rFonts w:hint="eastAsia" w:ascii="宋体" w:hAnsi="宋体" w:cs="等线"/>
                <w:b/>
                <w:bCs/>
                <w:color w:val="000000"/>
                <w:sz w:val="24"/>
                <w:szCs w:val="24"/>
              </w:rPr>
              <w:t xml:space="preserve">（</w:t>
            </w:r>
            <w:bookmarkEnd w:id="173"/>
            <w:r>
              <w:rPr>
                <w:rFonts w:hint="eastAsia" w:ascii="宋体" w:hAnsi="宋体" w:cs="等线"/>
                <w:b/>
                <w:bCs/>
                <w:color w:val="000000"/>
                <w:sz w:val="24"/>
                <w:szCs w:val="24"/>
              </w:rPr>
              <w:t xml:space="preserve">提供第三方检测机构出具检验报告原件扫描件上传至电子投标文件中</w:t>
            </w:r>
            <w:bookmarkStart w:id="175" w:name="OLE_LINK24"/>
            <w:r>
              <w:rPr>
                <w:rFonts w:hint="eastAsia" w:ascii="宋体" w:hAnsi="宋体" w:cs="等线"/>
                <w:b/>
                <w:bCs/>
                <w:color w:val="000000"/>
                <w:sz w:val="24"/>
                <w:szCs w:val="24"/>
              </w:rPr>
              <w:t xml:space="preserve">）</w:t>
            </w:r>
            <w:bookmarkEnd w:id="175"/>
            <w:r>
              <w:rPr>
                <w:rFonts w:hint="eastAsia" w:ascii="宋体" w:hAnsi="宋体" w:cs="等线"/>
                <w:b/>
                <w:bCs/>
                <w:color w:val="000000"/>
                <w:sz w:val="24"/>
                <w:szCs w:val="24"/>
              </w:rPr>
              <w:t xml:space="preserve">。</w:t>
            </w:r>
            <w:bookmarkEnd w:id="174"/>
            <w:r>
              <w:rPr>
                <w:rFonts w:hint="eastAsia" w:ascii="宋体" w:hAnsi="宋体" w:cs="宋体"/>
                <w:sz w:val="22"/>
              </w:rPr>
            </w:r>
            <w:r/>
          </w:p>
        </w:tc>
      </w:tr>
      <w:tr>
        <w:trPr>
          <w:trHeight w:val="233"/>
        </w:trPr>
        <w:tc>
          <w:tcPr>
            <w:tcW w:w="1283" w:type="dxa"/>
            <w:vAlign w:val="center"/>
            <w:textDirection w:val="lrTb"/>
            <w:noWrap w:val="false"/>
          </w:tcPr>
          <w:p>
            <w:pPr>
              <w:pStyle w:val="815"/>
              <w:spacing w:line="360" w:lineRule="auto"/>
              <w:rPr>
                <w:rFonts w:ascii="宋体" w:hAnsi="宋体" w:cs="宋体"/>
                <w:sz w:val="22"/>
              </w:rPr>
            </w:pPr>
            <w:r>
              <w:rPr>
                <w:rFonts w:hint="eastAsia"/>
                <w:sz w:val="22"/>
              </w:rPr>
              <w:t xml:space="preserve">曳引机性能</w:t>
            </w:r>
            <w:r>
              <w:rPr>
                <w:rFonts w:ascii="宋体" w:hAnsi="宋体" w:cs="宋体"/>
                <w:sz w:val="22"/>
              </w:rPr>
            </w:r>
            <w:r/>
          </w:p>
        </w:tc>
        <w:tc>
          <w:tcPr>
            <w:tcW w:w="7765" w:type="dxa"/>
            <w:vAlign w:val="top"/>
            <w:textDirection w:val="lrTb"/>
            <w:noWrap w:val="false"/>
          </w:tcPr>
          <w:p>
            <w:pPr>
              <w:pStyle w:val="1276"/>
              <w:ind w:left="4"/>
              <w:spacing w:before="26" w:line="360" w:lineRule="auto"/>
              <w:rPr>
                <w:rFonts w:hint="eastAsia"/>
                <w:sz w:val="22"/>
                <w:szCs w:val="22"/>
                <w:lang w:eastAsia="zh-CN"/>
              </w:rPr>
            </w:pPr>
            <w:r>
              <w:rPr>
                <w:rFonts w:hint="eastAsia"/>
                <w:b/>
                <w:bCs/>
                <w:sz w:val="22"/>
                <w:szCs w:val="22"/>
                <w:lang w:eastAsia="zh-CN"/>
              </w:rPr>
              <w:t xml:space="preserve">36.</w:t>
            </w:r>
            <w:r>
              <w:rPr>
                <w:rFonts w:hint="eastAsia"/>
                <w:sz w:val="22"/>
                <w:szCs w:val="22"/>
                <w:lang w:eastAsia="zh-CN"/>
              </w:rPr>
              <w:t xml:space="preserve">▲曳引机防尘等级</w:t>
            </w:r>
            <w:r>
              <w:rPr>
                <w:rFonts w:hint="eastAsia"/>
                <w:sz w:val="24"/>
                <w:szCs w:val="24"/>
                <w:lang w:eastAsia="zh-CN"/>
              </w:rPr>
              <w:t xml:space="preserve">≥IP4X、曳引机防水等级≥IPX3</w:t>
            </w:r>
            <w:r>
              <w:rPr>
                <w:rFonts w:hint="eastAsia"/>
                <w:sz w:val="22"/>
                <w:szCs w:val="22"/>
                <w:lang w:eastAsia="zh-CN"/>
              </w:rPr>
              <w:t xml:space="preserve">、曳引机实测温升≤50K、曳引机能效等级≥二级</w:t>
            </w:r>
            <w:r>
              <w:rPr>
                <w:rFonts w:hint="eastAsia" w:cs="等线"/>
                <w:b/>
                <w:bCs/>
                <w:color w:val="000000"/>
                <w:sz w:val="24"/>
                <w:szCs w:val="24"/>
                <w:lang w:eastAsia="zh-CN"/>
              </w:rPr>
              <w:t xml:space="preserve">（提供第三方检测机构出具检验报告原件扫描件上传至电子投标文件中）。</w:t>
            </w:r>
            <w:r>
              <w:rPr>
                <w:rFonts w:hint="eastAsia"/>
                <w:sz w:val="22"/>
                <w:szCs w:val="22"/>
                <w:lang w:eastAsia="zh-CN"/>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电梯控制柜</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b/>
                <w:bCs/>
                <w:sz w:val="22"/>
              </w:rPr>
              <w:t xml:space="preserve">37.</w:t>
            </w:r>
            <w:r>
              <w:rPr>
                <w:rFonts w:hint="eastAsia" w:ascii="宋体" w:hAnsi="宋体" w:cs="宋体"/>
                <w:sz w:val="22"/>
              </w:rPr>
              <w:t xml:space="preserve">▲电梯控制柜按GB/T17626.5-2019的试验要求进行浪涌（冲击）抗扰度试验，针对抗雷击浪涌干扰能力不低于±15KV</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b/>
                <w:bCs/>
                <w:sz w:val="22"/>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电源</w:t>
            </w:r>
            <w:r>
              <w:rPr>
                <w:rFonts w:hint="eastAsia" w:ascii="宋体" w:hAnsi="宋体" w:cs="宋体"/>
                <w:sz w:val="22"/>
              </w:rPr>
              <w:t xml:space="preserve">配电箱</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sz w:val="22"/>
              </w:rPr>
              <w:t xml:space="preserve">38.电箱符合GB/T7251.2的工业等级的配电箱，具有高稳定性和高可靠性，能在极端条件下保持高效运作。</w:t>
            </w:r>
            <w:r>
              <w:rPr>
                <w:rFonts w:hint="eastAsia" w:ascii="宋体" w:hAnsi="宋体" w:cs="宋体"/>
                <w:b/>
                <w:bCs/>
                <w:sz w:val="22"/>
              </w:rPr>
            </w:r>
            <w:r/>
          </w:p>
        </w:tc>
      </w:tr>
      <w:tr>
        <w:trPr>
          <w:trHeight w:val="233"/>
        </w:trPr>
        <w:tc>
          <w:tcPr>
            <w:tcW w:w="1283" w:type="dxa"/>
            <w:vAlign w:val="center"/>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智能光幕保护装置</w:t>
            </w:r>
            <w:r/>
          </w:p>
        </w:tc>
        <w:tc>
          <w:tcPr>
            <w:tcW w:w="7765" w:type="dxa"/>
            <w:vAlign w:val="top"/>
            <w:textDirection w:val="lrTb"/>
            <w:noWrap w:val="false"/>
          </w:tcPr>
          <w:p>
            <w:pPr>
              <w:pStyle w:val="815"/>
              <w:spacing w:line="360" w:lineRule="auto"/>
              <w:rPr>
                <w:rFonts w:hint="eastAsia" w:ascii="宋体" w:hAnsi="宋体" w:cs="宋体"/>
                <w:b/>
                <w:bCs/>
                <w:sz w:val="22"/>
              </w:rPr>
            </w:pPr>
            <w:r>
              <w:rPr>
                <w:rFonts w:hint="eastAsia" w:ascii="宋体" w:hAnsi="宋体" w:cs="宋体"/>
                <w:b/>
                <w:bCs/>
                <w:sz w:val="22"/>
              </w:rPr>
              <w:t xml:space="preserve">39.▲</w:t>
            </w:r>
            <w:r>
              <w:rPr>
                <w:rFonts w:hint="eastAsia" w:ascii="宋体" w:hAnsi="宋体" w:cs="宋体"/>
                <w:sz w:val="22"/>
              </w:rPr>
              <w:t xml:space="preserve">满足发射接收管数目≥48对，光束≥230束，探测距离0~5m 、IP防护等级≥IP65</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b/>
                <w:bCs/>
                <w:sz w:val="22"/>
              </w:rPr>
            </w:r>
            <w:r/>
          </w:p>
        </w:tc>
      </w:tr>
      <w:tr>
        <w:trPr>
          <w:trHeight w:val="233"/>
        </w:trPr>
        <w:tc>
          <w:tcPr>
            <w:tcW w:w="1283" w:type="dxa"/>
            <w:vAlign w:val="center"/>
            <w:textDirection w:val="lrTb"/>
            <w:noWrap w:val="false"/>
          </w:tcPr>
          <w:p>
            <w:pPr>
              <w:pStyle w:val="815"/>
              <w:ind w:firstLine="220"/>
              <w:spacing w:line="360" w:lineRule="auto"/>
              <w:rPr>
                <w:rFonts w:hint="eastAsia" w:ascii="宋体" w:hAnsi="宋体" w:cs="宋体"/>
                <w:sz w:val="22"/>
              </w:rPr>
            </w:pPr>
            <w:r>
              <w:rPr>
                <w:rFonts w:hint="eastAsia" w:ascii="宋体" w:hAnsi="宋体" w:cs="宋体"/>
                <w:sz w:val="22"/>
              </w:rPr>
              <w:t xml:space="preserve">按钮</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40.</w:t>
            </w:r>
            <w:r>
              <w:rPr>
                <w:rFonts w:hint="eastAsia" w:ascii="宋体" w:hAnsi="宋体" w:cs="宋体"/>
                <w:b/>
                <w:bCs/>
                <w:sz w:val="22"/>
              </w:rPr>
              <w:t xml:space="preserve">▲</w:t>
            </w:r>
            <w:r>
              <w:rPr>
                <w:rFonts w:hint="eastAsia" w:ascii="宋体" w:hAnsi="宋体" w:cs="宋体"/>
                <w:sz w:val="22"/>
              </w:rPr>
              <w:t xml:space="preserve">垂直电梯按钮按照12N，以2Hz的频次进行按压2000万次及以上寿命试验后，按钮功能正常</w:t>
            </w:r>
            <w:r>
              <w:rPr>
                <w:rFonts w:hint="eastAsia" w:ascii="宋体" w:hAnsi="宋体" w:cs="等线"/>
                <w:b/>
                <w:bCs/>
                <w:color w:val="000000"/>
                <w:sz w:val="24"/>
                <w:szCs w:val="24"/>
              </w:rPr>
              <w:t xml:space="preserve">（提供第三方检测机构出具检验报告原件扫描件上传至电子投标文件中）。</w:t>
            </w:r>
            <w:r>
              <w:rPr>
                <w:rFonts w:hint="eastAsia" w:ascii="宋体" w:hAnsi="宋体" w:cs="宋体"/>
                <w:sz w:val="22"/>
              </w:rPr>
            </w:r>
            <w:r/>
          </w:p>
        </w:tc>
      </w:tr>
      <w:tr>
        <w:trPr/>
        <w:tc>
          <w:tcPr>
            <w:tcW w:w="1283" w:type="dxa"/>
            <w:vAlign w:val="center"/>
            <w:textDirection w:val="lrTb"/>
            <w:noWrap w:val="false"/>
          </w:tcPr>
          <w:p>
            <w:pPr>
              <w:pStyle w:val="815"/>
              <w:jc w:val="center"/>
              <w:rPr>
                <w:rFonts w:hint="eastAsia" w:ascii="宋体" w:hAnsi="宋体" w:cs="宋体"/>
                <w:sz w:val="22"/>
              </w:rPr>
            </w:pPr>
            <w:r>
              <w:rPr>
                <w:rFonts w:hint="eastAsia" w:ascii="宋体" w:hAnsi="宋体" w:cs="宋体"/>
                <w:sz w:val="22"/>
              </w:rPr>
              <w:t xml:space="preserve">功</w:t>
            </w:r>
            <w:r/>
          </w:p>
          <w:p>
            <w:pPr>
              <w:pStyle w:val="815"/>
              <w:jc w:val="center"/>
              <w:rPr>
                <w:rFonts w:hint="eastAsia" w:ascii="宋体" w:hAnsi="宋体" w:cs="宋体"/>
                <w:sz w:val="22"/>
              </w:rPr>
            </w:pPr>
            <w:r>
              <w:rPr>
                <w:rFonts w:hint="eastAsia" w:ascii="宋体" w:hAnsi="宋体" w:cs="宋体"/>
                <w:sz w:val="22"/>
              </w:rPr>
              <w:t xml:space="preserve">能</w:t>
            </w:r>
            <w:r/>
          </w:p>
          <w:p>
            <w:pPr>
              <w:pStyle w:val="815"/>
              <w:jc w:val="center"/>
              <w:rPr>
                <w:rFonts w:hint="eastAsia" w:ascii="宋体" w:hAnsi="宋体" w:cs="宋体"/>
                <w:sz w:val="22"/>
              </w:rPr>
            </w:pPr>
            <w:r>
              <w:rPr>
                <w:rFonts w:hint="eastAsia" w:ascii="宋体" w:hAnsi="宋体" w:cs="宋体"/>
                <w:sz w:val="22"/>
              </w:rPr>
              <w:t xml:space="preserve">要</w:t>
            </w:r>
            <w:r/>
          </w:p>
          <w:p>
            <w:pPr>
              <w:pStyle w:val="815"/>
              <w:jc w:val="center"/>
              <w:rPr>
                <w:rFonts w:hint="eastAsia" w:ascii="宋体" w:hAnsi="宋体" w:cs="宋体"/>
                <w:sz w:val="22"/>
              </w:rPr>
            </w:pPr>
            <w:r>
              <w:rPr>
                <w:rFonts w:hint="eastAsia" w:ascii="宋体" w:hAnsi="宋体" w:cs="宋体"/>
                <w:sz w:val="22"/>
              </w:rPr>
              <w:t xml:space="preserve">求</w:t>
            </w:r>
            <w:r/>
          </w:p>
        </w:tc>
        <w:tc>
          <w:tcPr>
            <w:tcW w:w="7765" w:type="dxa"/>
            <w:vAlign w:val="top"/>
            <w:textDirection w:val="lrTb"/>
            <w:noWrap w:val="false"/>
          </w:tcPr>
          <w:p>
            <w:pPr>
              <w:pStyle w:val="815"/>
              <w:spacing w:line="360" w:lineRule="auto"/>
              <w:rPr>
                <w:rFonts w:hint="eastAsia" w:ascii="宋体" w:hAnsi="宋体" w:cs="宋体"/>
                <w:sz w:val="22"/>
              </w:rPr>
            </w:pPr>
            <w:r>
              <w:rPr>
                <w:rFonts w:hint="eastAsia" w:ascii="宋体" w:hAnsi="宋体" w:cs="宋体"/>
                <w:sz w:val="22"/>
              </w:rPr>
              <w:t xml:space="preserve">41.</w:t>
            </w:r>
            <w:r>
              <w:rPr>
                <w:rFonts w:ascii="宋体" w:hAnsi="宋体" w:cs="宋体"/>
                <w:sz w:val="22"/>
              </w:rPr>
              <w:t xml:space="preserve">全集选控制运</w:t>
            </w:r>
            <w:r>
              <w:rPr>
                <w:rFonts w:ascii="宋体" w:hAnsi="宋体" w:cs="宋体"/>
                <w:sz w:val="22"/>
              </w:rPr>
              <w:t xml:space="preserve">行功能</w:t>
            </w:r>
            <w:r>
              <w:rPr>
                <w:rFonts w:hint="eastAsia" w:ascii="宋体" w:hAnsi="宋体" w:cs="宋体"/>
                <w:sz w:val="22"/>
              </w:rPr>
              <w:t xml:space="preserve">。</w:t>
            </w:r>
            <w:r/>
          </w:p>
          <w:p>
            <w:pPr>
              <w:pStyle w:val="815"/>
              <w:spacing w:line="360" w:lineRule="auto"/>
              <w:rPr>
                <w:rFonts w:hint="eastAsia" w:ascii="宋体" w:hAnsi="宋体" w:cs="宋体"/>
                <w:sz w:val="22"/>
              </w:rPr>
            </w:pPr>
            <w:r>
              <w:rPr>
                <w:rFonts w:hint="eastAsia" w:ascii="宋体" w:hAnsi="宋体" w:cs="宋体"/>
                <w:sz w:val="22"/>
              </w:rPr>
              <w:t xml:space="preserve">42.▲</w:t>
            </w:r>
            <w:r>
              <w:rPr>
                <w:rFonts w:hint="eastAsia" w:ascii="宋体" w:hAnsi="宋体" w:cs="宋体"/>
                <w:sz w:val="24"/>
              </w:rPr>
              <w:t xml:space="preserve">投标电梯配备电梯远程服务系统</w:t>
            </w:r>
            <w:r>
              <w:rPr>
                <w:rFonts w:hint="eastAsia" w:ascii="宋体" w:hAnsi="宋体" w:cs="宋体"/>
                <w:b/>
                <w:bCs/>
                <w:sz w:val="24"/>
              </w:rPr>
              <w:t xml:space="preserve">（提供第三方检测机构出具检验报告原件扫描件上传至电子投标文件中）。</w:t>
            </w:r>
            <w:r>
              <w:rPr>
                <w:rFonts w:hint="eastAsia"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43.具有电源缺相、错相、短路保护装置。</w:t>
            </w:r>
            <w:r/>
          </w:p>
          <w:p>
            <w:pPr>
              <w:pStyle w:val="815"/>
              <w:spacing w:line="360" w:lineRule="auto"/>
              <w:rPr>
                <w:rFonts w:ascii="宋体" w:hAnsi="宋体" w:cs="宋体"/>
                <w:sz w:val="22"/>
              </w:rPr>
            </w:pPr>
            <w:r>
              <w:rPr>
                <w:rFonts w:hint="eastAsia" w:ascii="宋体" w:hAnsi="宋体" w:cs="宋体"/>
                <w:sz w:val="22"/>
              </w:rPr>
              <w:t xml:space="preserve">44.具备火灾运行管理功能：发生火警时，地面1层消防开关接通，所有召唤取消，轿厢返回地面1层，开门放人</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45.</w:t>
            </w:r>
            <w:r>
              <w:rPr>
                <w:rFonts w:hint="eastAsia" w:ascii="宋体" w:hAnsi="宋体" w:cs="宋体"/>
                <w:sz w:val="22"/>
              </w:rPr>
              <w:t xml:space="preserve">提供和消防控制中心匹配的信号输入输出点，消防完毕信号采用无源干触点输出，供消防设备采集信号。</w:t>
            </w:r>
            <w:r/>
          </w:p>
          <w:p>
            <w:pPr>
              <w:pStyle w:val="815"/>
              <w:spacing w:line="360" w:lineRule="auto"/>
              <w:rPr>
                <w:rFonts w:hint="eastAsia" w:ascii="宋体" w:hAnsi="宋体" w:cs="宋体"/>
                <w:sz w:val="22"/>
              </w:rPr>
            </w:pPr>
            <w:r>
              <w:rPr>
                <w:rFonts w:hint="eastAsia" w:ascii="宋体" w:hAnsi="宋体" w:cs="宋体"/>
                <w:sz w:val="22"/>
              </w:rPr>
              <w:t xml:space="preserve">4</w:t>
            </w:r>
            <w:r>
              <w:rPr>
                <w:rFonts w:hint="eastAsia" w:ascii="宋体" w:hAnsi="宋体" w:cs="宋体"/>
                <w:sz w:val="22"/>
              </w:rPr>
              <w:t xml:space="preserve">6</w:t>
            </w:r>
            <w:r>
              <w:rPr>
                <w:rFonts w:hint="eastAsia" w:ascii="宋体" w:hAnsi="宋体" w:cs="宋体"/>
                <w:sz w:val="22"/>
              </w:rPr>
              <w:t xml:space="preserve">.</w:t>
            </w:r>
            <w:r>
              <w:rPr>
                <w:rFonts w:ascii="宋体" w:hAnsi="宋体" w:cs="宋体"/>
                <w:sz w:val="22"/>
              </w:rPr>
              <w:t xml:space="preserve">轿内防捣乱功能</w:t>
            </w:r>
            <w:r>
              <w:rPr>
                <w:rFonts w:hint="eastAsia" w:ascii="宋体" w:hAnsi="宋体" w:cs="宋体"/>
                <w:sz w:val="22"/>
              </w:rPr>
              <w:t xml:space="preserve">、</w:t>
            </w:r>
            <w:r>
              <w:rPr>
                <w:rFonts w:ascii="宋体" w:hAnsi="宋体" w:cs="宋体"/>
                <w:sz w:val="22"/>
              </w:rPr>
              <w:t xml:space="preserve">门速自动调整（根据门的重量，系统自动调整门运行速度和力矩）</w:t>
            </w:r>
            <w:r>
              <w:rPr>
                <w:rFonts w:hint="eastAsia" w:ascii="宋体" w:hAnsi="宋体" w:cs="宋体"/>
                <w:sz w:val="22"/>
              </w:rPr>
              <w:t xml:space="preserve">、</w:t>
            </w:r>
            <w:r>
              <w:rPr>
                <w:rFonts w:ascii="宋体" w:hAnsi="宋体" w:cs="宋体"/>
                <w:sz w:val="22"/>
              </w:rPr>
              <w:t xml:space="preserve">重复关门（关门受阻时，重复关门动作，直至杂物被清除）</w:t>
            </w:r>
            <w:r>
              <w:rPr>
                <w:rFonts w:hint="eastAsia" w:ascii="宋体" w:hAnsi="宋体" w:cs="宋体"/>
                <w:sz w:val="22"/>
              </w:rPr>
              <w:t xml:space="preserve">。</w:t>
            </w:r>
            <w:r/>
          </w:p>
          <w:p>
            <w:pPr>
              <w:pStyle w:val="815"/>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rPr>
              <w:t xml:space="preserve">7</w:t>
            </w:r>
            <w:r>
              <w:rPr>
                <w:rFonts w:hint="eastAsia" w:ascii="宋体" w:hAnsi="宋体" w:cs="宋体"/>
                <w:sz w:val="22"/>
              </w:rPr>
              <w:t xml:space="preserve">.具有防坠落装</w:t>
            </w:r>
            <w:r>
              <w:rPr>
                <w:rFonts w:hint="eastAsia" w:ascii="宋体" w:hAnsi="宋体" w:cs="宋体"/>
                <w:sz w:val="22"/>
              </w:rPr>
              <w:t xml:space="preserve">置、</w:t>
            </w:r>
            <w:r>
              <w:rPr>
                <w:rFonts w:hint="eastAsia" w:ascii="宋体" w:hAnsi="宋体" w:cs="宋体"/>
                <w:sz w:val="22"/>
                <w:lang w:bidi="ar"/>
              </w:rPr>
              <w:t xml:space="preserve">具有重复关门功能、</w:t>
            </w:r>
            <w:r>
              <w:rPr>
                <w:rFonts w:ascii="宋体" w:hAnsi="宋体" w:cs="宋体"/>
                <w:sz w:val="22"/>
              </w:rPr>
              <w:t xml:space="preserve">停电应急照明功能（包含设备材料）</w:t>
            </w:r>
            <w:r>
              <w:rPr>
                <w:rFonts w:hint="eastAsia" w:ascii="宋体" w:hAnsi="宋体" w:cs="宋体"/>
                <w:sz w:val="22"/>
              </w:rPr>
              <w:t xml:space="preserve">、</w:t>
            </w:r>
            <w:r>
              <w:rPr>
                <w:rFonts w:ascii="宋体" w:hAnsi="宋体" w:cs="宋体"/>
                <w:sz w:val="22"/>
              </w:rPr>
              <w:t xml:space="preserve">故障自动存储功能</w:t>
            </w:r>
            <w:r>
              <w:rPr>
                <w:rFonts w:hint="eastAsia" w:ascii="宋体" w:hAnsi="宋体" w:cs="宋体"/>
                <w:sz w:val="22"/>
              </w:rPr>
              <w:t xml:space="preserve">、</w:t>
            </w:r>
            <w:r>
              <w:rPr>
                <w:rFonts w:ascii="宋体" w:hAnsi="宋体" w:cs="宋体"/>
                <w:sz w:val="22"/>
              </w:rPr>
              <w:t xml:space="preserve">超载保护功能</w:t>
            </w:r>
            <w:r>
              <w:rPr>
                <w:rFonts w:hint="eastAsia" w:ascii="宋体" w:hAnsi="宋体" w:cs="宋体"/>
                <w:sz w:val="22"/>
              </w:rPr>
              <w:t xml:space="preserve">、</w:t>
            </w:r>
            <w:r>
              <w:rPr>
                <w:rFonts w:ascii="宋体" w:hAnsi="宋体" w:cs="宋体"/>
                <w:sz w:val="22"/>
              </w:rPr>
              <w:t xml:space="preserve">超载报警功能</w:t>
            </w:r>
            <w:r>
              <w:rPr>
                <w:rFonts w:hint="eastAsia" w:ascii="宋体" w:hAnsi="宋体" w:cs="宋体"/>
                <w:sz w:val="22"/>
              </w:rPr>
              <w:t xml:space="preserve">、</w:t>
            </w:r>
            <w:r>
              <w:rPr>
                <w:rFonts w:ascii="宋体" w:hAnsi="宋体" w:cs="宋体"/>
                <w:sz w:val="22"/>
              </w:rPr>
              <w:t xml:space="preserve">超速保护功能</w:t>
            </w:r>
            <w:r>
              <w:rPr>
                <w:rFonts w:hint="eastAsia" w:ascii="宋体" w:hAnsi="宋体" w:cs="宋体"/>
                <w:sz w:val="22"/>
              </w:rPr>
              <w:t xml:space="preserve">、</w:t>
            </w:r>
            <w:r>
              <w:rPr>
                <w:rFonts w:ascii="宋体" w:hAnsi="宋体" w:cs="宋体"/>
                <w:sz w:val="22"/>
              </w:rPr>
              <w:t xml:space="preserve">电动机空载保护功能</w:t>
            </w:r>
            <w:r>
              <w:rPr>
                <w:rFonts w:hint="eastAsia" w:ascii="宋体" w:hAnsi="宋体" w:cs="宋体"/>
                <w:sz w:val="22"/>
              </w:rPr>
              <w:t xml:space="preserve">、</w:t>
            </w:r>
            <w:r>
              <w:rPr>
                <w:rFonts w:ascii="宋体" w:hAnsi="宋体" w:cs="宋体"/>
                <w:sz w:val="22"/>
              </w:rPr>
              <w:t xml:space="preserve">警铃报警联络功能</w:t>
            </w:r>
            <w:r>
              <w:rPr>
                <w:rFonts w:hint="eastAsia" w:ascii="宋体" w:hAnsi="宋体" w:cs="宋体"/>
                <w:sz w:val="22"/>
              </w:rPr>
              <w:t xml:space="preserve">、</w:t>
            </w:r>
            <w:r>
              <w:rPr>
                <w:rFonts w:ascii="宋体" w:hAnsi="宋体" w:cs="宋体"/>
                <w:sz w:val="22"/>
              </w:rPr>
              <w:t xml:space="preserve">故障低速自救运行功能</w:t>
            </w:r>
            <w:r>
              <w:rPr>
                <w:rFonts w:hint="eastAsia" w:ascii="宋体" w:hAnsi="宋体" w:cs="宋体"/>
                <w:sz w:val="22"/>
              </w:rPr>
              <w:t xml:space="preserve">、</w:t>
            </w:r>
            <w:r>
              <w:rPr>
                <w:rFonts w:ascii="宋体" w:hAnsi="宋体" w:cs="宋体"/>
                <w:sz w:val="22"/>
              </w:rPr>
              <w:t xml:space="preserve">轿顶检修操作功能</w:t>
            </w:r>
            <w:r>
              <w:rPr>
                <w:rFonts w:hint="eastAsia" w:ascii="宋体" w:hAnsi="宋体" w:cs="宋体"/>
                <w:sz w:val="22"/>
              </w:rPr>
              <w:t xml:space="preserve">。</w:t>
            </w:r>
            <w:r>
              <w:rPr>
                <w:rFonts w:ascii="宋体" w:hAnsi="宋体" w:cs="宋体"/>
                <w:sz w:val="22"/>
              </w:rPr>
            </w:r>
            <w:r/>
          </w:p>
          <w:p>
            <w:pPr>
              <w:pStyle w:val="815"/>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rPr>
              <w:t xml:space="preserve">8</w:t>
            </w:r>
            <w:r>
              <w:rPr>
                <w:rFonts w:hint="eastAsia" w:ascii="宋体" w:hAnsi="宋体" w:cs="宋体"/>
                <w:sz w:val="22"/>
              </w:rPr>
              <w:t xml:space="preserve">.</w:t>
            </w:r>
            <w:r>
              <w:rPr>
                <w:rFonts w:ascii="宋体" w:hAnsi="宋体" w:cs="宋体"/>
                <w:sz w:val="22"/>
              </w:rPr>
              <w:t xml:space="preserve">运行次数显示功能</w:t>
            </w:r>
            <w:r>
              <w:rPr>
                <w:rFonts w:hint="eastAsia" w:ascii="宋体" w:hAnsi="宋体" w:cs="宋体"/>
                <w:sz w:val="22"/>
              </w:rPr>
              <w:t xml:space="preserve">、</w:t>
            </w:r>
            <w:r>
              <w:rPr>
                <w:rFonts w:ascii="宋体" w:hAnsi="宋体" w:cs="宋体"/>
                <w:sz w:val="22"/>
              </w:rPr>
              <w:t xml:space="preserve">起动补偿功能</w:t>
            </w:r>
            <w:r>
              <w:rPr>
                <w:rFonts w:hint="eastAsia" w:ascii="宋体" w:hAnsi="宋体" w:cs="宋体"/>
                <w:sz w:val="22"/>
              </w:rPr>
              <w:t xml:space="preserve">、</w:t>
            </w:r>
            <w:r>
              <w:rPr>
                <w:rFonts w:ascii="宋体" w:hAnsi="宋体" w:cs="宋体"/>
                <w:sz w:val="22"/>
              </w:rPr>
              <w:t xml:space="preserve">停车在非门区提示功能</w:t>
            </w:r>
            <w:r>
              <w:rPr>
                <w:rFonts w:hint="eastAsia" w:ascii="宋体" w:hAnsi="宋体" w:cs="宋体"/>
                <w:sz w:val="22"/>
              </w:rPr>
              <w:t xml:space="preserve">、</w:t>
            </w:r>
            <w:r>
              <w:rPr>
                <w:rFonts w:ascii="宋体" w:hAnsi="宋体" w:cs="宋体"/>
                <w:sz w:val="22"/>
              </w:rPr>
              <w:t xml:space="preserve">层高自测定功能</w:t>
            </w:r>
            <w:r>
              <w:rPr>
                <w:rFonts w:hint="eastAsia" w:ascii="宋体" w:hAnsi="宋体" w:cs="宋体"/>
                <w:sz w:val="22"/>
              </w:rPr>
              <w:t xml:space="preserve">、</w:t>
            </w:r>
            <w:r>
              <w:rPr>
                <w:rFonts w:ascii="宋体" w:hAnsi="宋体" w:cs="宋体"/>
                <w:sz w:val="22"/>
              </w:rPr>
              <w:t xml:space="preserve">轿厢照明自动控制功能</w:t>
            </w:r>
            <w:r>
              <w:rPr>
                <w:rFonts w:hint="eastAsia" w:ascii="宋体" w:hAnsi="宋体" w:cs="宋体"/>
                <w:sz w:val="22"/>
              </w:rPr>
              <w:t xml:space="preserve">、</w:t>
            </w:r>
            <w:r>
              <w:rPr>
                <w:rFonts w:ascii="宋体" w:hAnsi="宋体" w:cs="宋体"/>
                <w:sz w:val="22"/>
              </w:rPr>
              <w:t xml:space="preserve">轿厢通风自动控制功能</w:t>
            </w:r>
            <w:r>
              <w:rPr>
                <w:rFonts w:hint="eastAsia" w:ascii="宋体" w:hAnsi="宋体" w:cs="宋体"/>
                <w:sz w:val="22"/>
              </w:rPr>
              <w:t xml:space="preserve">、</w:t>
            </w:r>
            <w:r>
              <w:rPr>
                <w:rFonts w:ascii="宋体" w:hAnsi="宋体" w:cs="宋体"/>
                <w:sz w:val="22"/>
              </w:rPr>
              <w:t xml:space="preserve">开门时间自动调整功能</w:t>
            </w:r>
            <w:r>
              <w:rPr>
                <w:rFonts w:hint="eastAsia" w:ascii="宋体" w:hAnsi="宋体" w:cs="宋体"/>
                <w:sz w:val="22"/>
              </w:rPr>
              <w:t xml:space="preserve">、</w:t>
            </w:r>
            <w:r>
              <w:rPr>
                <w:rFonts w:ascii="宋体" w:hAnsi="宋体" w:cs="宋体"/>
                <w:sz w:val="22"/>
              </w:rPr>
              <w:t xml:space="preserve">开门时间自动控制功能</w:t>
            </w:r>
            <w:r>
              <w:rPr>
                <w:rFonts w:hint="eastAsia" w:ascii="宋体" w:hAnsi="宋体" w:cs="宋体"/>
                <w:sz w:val="22"/>
              </w:rPr>
              <w:t xml:space="preserve">、</w:t>
            </w:r>
            <w:r>
              <w:rPr>
                <w:rFonts w:ascii="宋体" w:hAnsi="宋体" w:cs="宋体"/>
                <w:sz w:val="22"/>
              </w:rPr>
              <w:t xml:space="preserve">门过载保护功能</w:t>
            </w:r>
            <w:r>
              <w:rPr>
                <w:rFonts w:hint="eastAsia" w:ascii="宋体" w:hAnsi="宋体" w:cs="宋体"/>
                <w:sz w:val="22"/>
              </w:rPr>
              <w:t xml:space="preserve">、</w:t>
            </w:r>
            <w:r>
              <w:rPr>
                <w:rFonts w:ascii="宋体" w:hAnsi="宋体" w:cs="宋体"/>
                <w:sz w:val="22"/>
              </w:rPr>
              <w:t xml:space="preserve">开关门时间异常保护功能</w:t>
            </w:r>
            <w:r>
              <w:rPr>
                <w:rFonts w:hint="eastAsia" w:ascii="宋体" w:hAnsi="宋体" w:cs="宋体"/>
                <w:sz w:val="22"/>
              </w:rPr>
              <w:t xml:space="preserve">。</w:t>
            </w:r>
            <w:r>
              <w:rPr>
                <w:rFonts w:ascii="宋体" w:hAnsi="宋体" w:cs="宋体"/>
                <w:sz w:val="22"/>
              </w:rPr>
            </w:r>
            <w:r/>
          </w:p>
          <w:p>
            <w:pPr>
              <w:pStyle w:val="815"/>
              <w:spacing w:line="360" w:lineRule="auto"/>
              <w:rPr>
                <w:rFonts w:hint="eastAsia" w:ascii="宋体" w:hAnsi="宋体" w:cs="宋体"/>
                <w:sz w:val="22"/>
              </w:rPr>
            </w:pPr>
            <w:r>
              <w:rPr>
                <w:rFonts w:hint="eastAsia" w:ascii="宋体" w:hAnsi="宋体" w:cs="宋体"/>
                <w:sz w:val="22"/>
              </w:rPr>
              <w:t xml:space="preserve">4</w:t>
            </w:r>
            <w:r>
              <w:rPr>
                <w:rFonts w:hint="eastAsia" w:ascii="宋体" w:hAnsi="宋体" w:cs="宋体"/>
                <w:sz w:val="22"/>
              </w:rPr>
              <w:t xml:space="preserve">9</w:t>
            </w:r>
            <w:r>
              <w:rPr>
                <w:rFonts w:hint="eastAsia" w:ascii="宋体" w:hAnsi="宋体" w:cs="宋体"/>
                <w:sz w:val="22"/>
              </w:rPr>
              <w:t xml:space="preserve">.</w:t>
            </w:r>
            <w:r>
              <w:rPr>
                <w:rFonts w:ascii="宋体" w:hAnsi="宋体" w:cs="宋体"/>
                <w:sz w:val="22"/>
              </w:rPr>
              <w:t xml:space="preserve">位置异常自动校正功能</w:t>
            </w:r>
            <w:r>
              <w:rPr>
                <w:rFonts w:hint="eastAsia" w:ascii="宋体" w:hAnsi="宋体" w:cs="宋体"/>
                <w:sz w:val="22"/>
              </w:rPr>
              <w:t xml:space="preserve">、</w:t>
            </w:r>
            <w:r>
              <w:rPr>
                <w:rFonts w:ascii="宋体" w:hAnsi="宋体" w:cs="宋体"/>
                <w:sz w:val="22"/>
              </w:rPr>
              <w:t xml:space="preserve">反向内指令自动消除功能</w:t>
            </w:r>
            <w:r>
              <w:rPr>
                <w:rFonts w:hint="eastAsia" w:ascii="宋体" w:hAnsi="宋体" w:cs="宋体"/>
                <w:sz w:val="22"/>
              </w:rPr>
              <w:t xml:space="preserve">、</w:t>
            </w:r>
            <w:r>
              <w:rPr>
                <w:rFonts w:ascii="宋体" w:hAnsi="宋体" w:cs="宋体"/>
                <w:sz w:val="22"/>
              </w:rPr>
              <w:t xml:space="preserve">满载直驶运行功能</w:t>
            </w:r>
            <w:r>
              <w:rPr>
                <w:rFonts w:hint="eastAsia" w:ascii="宋体" w:hAnsi="宋体" w:cs="宋体"/>
                <w:sz w:val="22"/>
              </w:rPr>
              <w:t xml:space="preserve">、</w:t>
            </w:r>
            <w:r>
              <w:rPr>
                <w:rFonts w:ascii="宋体" w:hAnsi="宋体" w:cs="宋体"/>
                <w:sz w:val="22"/>
              </w:rPr>
              <w:t xml:space="preserve">开门异常自动选层功能</w:t>
            </w:r>
            <w:r>
              <w:rPr>
                <w:rFonts w:hint="eastAsia" w:ascii="宋体" w:hAnsi="宋体" w:cs="宋体"/>
                <w:sz w:val="22"/>
              </w:rPr>
              <w:t xml:space="preserve">、</w:t>
            </w:r>
            <w:r>
              <w:rPr>
                <w:rFonts w:ascii="宋体" w:hAnsi="宋体" w:cs="宋体"/>
                <w:sz w:val="22"/>
              </w:rPr>
              <w:t xml:space="preserve">微动平层功能</w:t>
            </w:r>
            <w:r>
              <w:rPr>
                <w:rFonts w:hint="eastAsia" w:ascii="宋体" w:hAnsi="宋体" w:cs="宋体"/>
                <w:sz w:val="22"/>
              </w:rPr>
              <w:t xml:space="preserve">、</w:t>
            </w:r>
            <w:r>
              <w:rPr>
                <w:rFonts w:ascii="宋体" w:hAnsi="宋体" w:cs="宋体"/>
                <w:sz w:val="22"/>
              </w:rPr>
              <w:t xml:space="preserve">故障自动检测功能</w:t>
            </w:r>
            <w:r>
              <w:rPr>
                <w:rFonts w:hint="eastAsia" w:ascii="宋体" w:hAnsi="宋体" w:cs="宋体"/>
                <w:sz w:val="22"/>
              </w:rPr>
              <w:t xml:space="preserve">、</w:t>
            </w:r>
            <w:r>
              <w:rPr>
                <w:rFonts w:ascii="宋体" w:hAnsi="宋体" w:cs="宋体"/>
                <w:sz w:val="22"/>
              </w:rPr>
              <w:t xml:space="preserve">轿内误指令取消功能</w:t>
            </w:r>
            <w:r>
              <w:rPr>
                <w:rFonts w:hint="eastAsia" w:ascii="宋体" w:hAnsi="宋体" w:cs="宋体"/>
                <w:sz w:val="22"/>
              </w:rPr>
              <w:t xml:space="preserve">、</w:t>
            </w:r>
            <w:r>
              <w:rPr>
                <w:rFonts w:ascii="宋体" w:hAnsi="宋体" w:cs="宋体"/>
                <w:sz w:val="22"/>
              </w:rPr>
              <w:t xml:space="preserve">无效内指令自动消除功能</w:t>
            </w:r>
            <w:r>
              <w:rPr>
                <w:rFonts w:hint="eastAsia" w:ascii="宋体" w:hAnsi="宋体" w:cs="宋体"/>
                <w:sz w:val="22"/>
              </w:rPr>
              <w:t xml:space="preserve">、</w:t>
            </w:r>
            <w:r>
              <w:rPr>
                <w:rFonts w:ascii="宋体" w:hAnsi="宋体" w:cs="宋体"/>
                <w:sz w:val="22"/>
              </w:rPr>
              <w:t xml:space="preserve">泊梯功能</w:t>
            </w:r>
            <w:r>
              <w:rPr>
                <w:rFonts w:hint="eastAsia" w:ascii="宋体" w:hAnsi="宋体" w:cs="宋体"/>
                <w:sz w:val="22"/>
              </w:rPr>
              <w:t xml:space="preserve">、</w:t>
            </w:r>
            <w:r>
              <w:rPr>
                <w:rFonts w:ascii="宋体" w:hAnsi="宋体" w:cs="宋体"/>
                <w:sz w:val="22"/>
              </w:rPr>
              <w:t xml:space="preserve">井道照明</w:t>
            </w:r>
            <w:r>
              <w:rPr>
                <w:rFonts w:hint="eastAsia" w:ascii="宋体" w:hAnsi="宋体" w:cs="宋体"/>
                <w:sz w:val="22"/>
              </w:rPr>
              <w:t xml:space="preserve">、</w:t>
            </w:r>
            <w:r>
              <w:rPr>
                <w:rFonts w:ascii="宋体" w:hAnsi="宋体" w:cs="宋体"/>
                <w:sz w:val="22"/>
              </w:rPr>
              <w:t xml:space="preserve">底坑爬梯</w:t>
            </w:r>
            <w:r>
              <w:rPr>
                <w:rFonts w:hint="eastAsia" w:ascii="宋体" w:hAnsi="宋体" w:cs="宋体"/>
                <w:sz w:val="22"/>
              </w:rPr>
              <w:t xml:space="preserve">。</w:t>
            </w:r>
            <w:r/>
          </w:p>
          <w:p>
            <w:pPr>
              <w:pStyle w:val="815"/>
              <w:spacing w:line="360" w:lineRule="auto"/>
              <w:rPr>
                <w:rFonts w:hint="eastAsia" w:ascii="宋体" w:hAnsi="宋体" w:cs="宋体"/>
                <w:b/>
                <w:bCs/>
                <w:sz w:val="22"/>
              </w:rPr>
            </w:pPr>
            <w:r>
              <w:rPr>
                <w:rFonts w:hint="eastAsia" w:ascii="宋体" w:hAnsi="宋体" w:cs="宋体"/>
                <w:sz w:val="22"/>
              </w:rPr>
              <w:t xml:space="preserve">50</w:t>
            </w:r>
            <w:r>
              <w:rPr>
                <w:rFonts w:hint="eastAsia" w:ascii="宋体" w:hAnsi="宋体" w:cs="宋体"/>
                <w:sz w:val="22"/>
              </w:rPr>
              <w:t xml:space="preserve">.</w:t>
            </w:r>
            <w:r>
              <w:rPr>
                <w:rFonts w:ascii="宋体" w:hAnsi="宋体" w:cs="宋体"/>
                <w:sz w:val="22"/>
              </w:rPr>
              <w:t xml:space="preserve">IC卡功能</w:t>
            </w:r>
            <w:r>
              <w:rPr>
                <w:rFonts w:hint="eastAsia" w:ascii="宋体" w:hAnsi="宋体" w:cs="宋体"/>
                <w:sz w:val="22"/>
              </w:rPr>
              <w:t xml:space="preserve">，具备支持IC卡刷卡登记召唤电梯的功能。</w:t>
            </w:r>
            <w:r>
              <w:rPr>
                <w:rFonts w:hint="eastAsia" w:ascii="宋体" w:hAnsi="宋体" w:cs="宋体"/>
                <w:b/>
                <w:bCs/>
                <w:sz w:val="22"/>
              </w:rPr>
            </w:r>
            <w:r/>
          </w:p>
        </w:tc>
      </w:tr>
    </w:tbl>
    <w:p>
      <w:pPr>
        <w:pStyle w:val="815"/>
        <w:jc w:val="left"/>
        <w:spacing w:line="400" w:lineRule="exact"/>
        <w:widowControl/>
        <w:rPr>
          <w:rFonts w:hint="eastAsia" w:ascii="宋体" w:hAnsi="宋体" w:cs="宋体"/>
          <w:b/>
          <w:bCs/>
          <w:sz w:val="22"/>
        </w:rPr>
      </w:pPr>
      <w:r/>
      <w:bookmarkEnd w:id="168"/>
      <w:r/>
      <w:bookmarkEnd w:id="169"/>
      <w:r/>
      <w:bookmarkEnd w:id="170"/>
      <w:r/>
      <w:bookmarkEnd w:id="171"/>
      <w:r/>
      <w:bookmarkStart w:id="176" w:name="OLE_LINK35"/>
      <w:r>
        <w:rPr>
          <w:rFonts w:hint="eastAsia" w:ascii="宋体" w:hAnsi="宋体" w:cs="宋体"/>
          <w:b/>
          <w:bCs/>
          <w:sz w:val="22"/>
        </w:rPr>
        <w:t xml:space="preserve">注：相关具体情况，以现场实际情况为准。</w:t>
      </w:r>
      <w:r/>
    </w:p>
    <w:p>
      <w:pPr>
        <w:pStyle w:val="1271"/>
        <w:ind w:firstLine="562"/>
        <w:spacing w:line="400" w:lineRule="exact"/>
        <w:rPr>
          <w:rFonts w:ascii="宋体" w:hAnsi="宋体" w:cs="宋体"/>
          <w:b/>
          <w:bCs/>
          <w:sz w:val="28"/>
          <w:szCs w:val="28"/>
        </w:rPr>
      </w:pPr>
      <w:r/>
      <w:bookmarkStart w:id="177" w:name="_Hlk187855282"/>
      <w:r>
        <w:rPr>
          <w:rFonts w:ascii="宋体" w:hAnsi="宋体" w:cs="宋体"/>
          <w:b/>
          <w:bCs/>
          <w:sz w:val="28"/>
          <w:szCs w:val="28"/>
        </w:rPr>
      </w:r>
      <w:r/>
    </w:p>
    <w:p>
      <w:pPr>
        <w:pStyle w:val="1271"/>
        <w:ind w:firstLine="562"/>
        <w:spacing w:line="400" w:lineRule="exact"/>
        <w:rPr>
          <w:rFonts w:hint="eastAsia" w:ascii="宋体" w:hAnsi="宋体" w:cs="宋体"/>
          <w:b/>
          <w:bCs/>
          <w:sz w:val="28"/>
          <w:szCs w:val="28"/>
        </w:rPr>
      </w:pPr>
      <w:r>
        <w:rPr>
          <w:rFonts w:hint="eastAsia" w:ascii="宋体" w:hAnsi="宋体" w:cs="宋体"/>
          <w:b/>
          <w:bCs/>
          <w:sz w:val="28"/>
          <w:szCs w:val="28"/>
        </w:rPr>
        <w:t xml:space="preserve">五、电梯应符合的技术标准要求</w:t>
      </w:r>
      <w:r/>
    </w:p>
    <w:p>
      <w:pPr>
        <w:pStyle w:val="815"/>
        <w:ind w:firstLine="439"/>
        <w:jc w:val="left"/>
        <w:spacing w:line="460" w:lineRule="exact"/>
        <w:rPr>
          <w:rFonts w:hint="eastAsia" w:ascii="宋体" w:hAnsi="宋体" w:cs="等线"/>
          <w:spacing w:val="9"/>
          <w:sz w:val="24"/>
          <w:szCs w:val="24"/>
        </w:rPr>
      </w:pPr>
      <w:r/>
      <w:bookmarkStart w:id="178" w:name="_Hlk229494294"/>
      <w:r>
        <w:rPr>
          <w:rFonts w:hint="eastAsia" w:ascii="宋体" w:hAnsi="宋体" w:cs="等线"/>
          <w:spacing w:val="9"/>
          <w:sz w:val="24"/>
          <w:szCs w:val="24"/>
        </w:rPr>
        <w:t xml:space="preserve">（1）</w:t>
      </w:r>
      <w:bookmarkStart w:id="179" w:name="OLE_LINK59"/>
      <w:r>
        <w:rPr>
          <w:rFonts w:hint="eastAsia" w:ascii="宋体" w:hAnsi="宋体" w:cs="等线"/>
          <w:spacing w:val="9"/>
          <w:sz w:val="24"/>
          <w:szCs w:val="24"/>
        </w:rPr>
        <w:t xml:space="preserve">GB/T7588-2020《电梯制造与安装安全规范》</w:t>
      </w:r>
      <w:bookmarkEnd w:id="179"/>
      <w:r>
        <w:rPr>
          <w:rFonts w:hint="eastAsia" w:ascii="宋体" w:hAnsi="宋体" w:cs="等线"/>
          <w:spacing w:val="9"/>
          <w:sz w:val="24"/>
          <w:szCs w:val="24"/>
        </w:rPr>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（2）</w:t>
      </w:r>
      <w:bookmarkStart w:id="180" w:name="OLE_LINK63"/>
      <w:r>
        <w:rPr>
          <w:rFonts w:hint="eastAsia" w:ascii="宋体" w:hAnsi="宋体" w:cs="等线"/>
          <w:spacing w:val="9"/>
          <w:sz w:val="24"/>
          <w:szCs w:val="24"/>
        </w:rPr>
        <w:t xml:space="preserve">GB/T10058-2023</w:t>
      </w:r>
      <w:bookmarkEnd w:id="180"/>
      <w:r>
        <w:rPr>
          <w:rFonts w:hint="eastAsia" w:ascii="宋体" w:hAnsi="宋体" w:cs="等线"/>
          <w:spacing w:val="9"/>
          <w:sz w:val="24"/>
          <w:szCs w:val="24"/>
        </w:rPr>
        <w:t xml:space="preserve">《电梯技术条件》</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（3）GB/T10059-2023《电梯试验方法》</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（4）GB10060-2023《电梯安装验收规范》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（5）GB7025-2008《电梯主要参数及轿厢、井道、机房的型式与尺寸》</w:t>
      </w:r>
      <w:r>
        <w:rPr>
          <w:rFonts w:hint="eastAsia" w:ascii="宋体" w:hAnsi="宋体" w:cs="等线"/>
          <w:spacing w:val="9"/>
          <w:sz w:val="24"/>
          <w:szCs w:val="24"/>
        </w:rPr>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（6）GB8903-2018《电梯用钢丝绳》</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（7）GB50310-2002《电梯工程施工质量验收规范》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（8）GB50763-2012《无障碍设计规范》</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（9）GB/T24478-2023《电梯曳引机》</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（10）其他</w:t>
      </w:r>
      <w:bookmarkStart w:id="181" w:name="_Hlk135317920"/>
      <w:r>
        <w:rPr>
          <w:rFonts w:hint="eastAsia" w:ascii="宋体" w:hAnsi="宋体" w:cs="等线"/>
          <w:spacing w:val="9"/>
          <w:sz w:val="24"/>
          <w:szCs w:val="24"/>
        </w:rPr>
        <w:t xml:space="preserve">与电梯相关的国家、行业和地方的法律法规、规范规程、标准、图集</w:t>
      </w:r>
      <w:bookmarkEnd w:id="181"/>
      <w:r>
        <w:rPr>
          <w:rFonts w:hint="eastAsia" w:ascii="宋体" w:hAnsi="宋体" w:cs="等线"/>
          <w:spacing w:val="9"/>
          <w:sz w:val="24"/>
          <w:szCs w:val="24"/>
        </w:rPr>
        <w:t xml:space="preserve">。</w:t>
      </w:r>
      <w:r/>
    </w:p>
    <w:p>
      <w:pPr>
        <w:pStyle w:val="815"/>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上述规范及技术条件并非全部，未列入而又相关的仍应采用。如有停用或废止的，应以相应的最新版本为准</w:t>
      </w:r>
      <w:bookmarkEnd w:id="178"/>
      <w:r/>
      <w:bookmarkStart w:id="182" w:name="OLE_LINK75"/>
      <w:r>
        <w:rPr>
          <w:rFonts w:hint="eastAsia" w:ascii="宋体" w:hAnsi="宋体" w:cs="等线"/>
          <w:spacing w:val="9"/>
          <w:sz w:val="24"/>
          <w:szCs w:val="24"/>
        </w:rPr>
        <w:t xml:space="preserve">。</w:t>
      </w:r>
      <w:r/>
    </w:p>
    <w:p>
      <w:pPr>
        <w:pStyle w:val="815"/>
        <w:ind w:firstLine="281"/>
        <w:jc w:val="left"/>
        <w:spacing w:line="360" w:lineRule="auto"/>
        <w:widowControl/>
        <w:rPr>
          <w:rFonts w:ascii="宋体" w:hAnsi="宋体" w:cs="宋体"/>
          <w:b/>
          <w:bCs/>
          <w:sz w:val="28"/>
          <w:szCs w:val="32"/>
        </w:rPr>
      </w:pPr>
      <w:r>
        <w:rPr>
          <w:rFonts w:hint="eastAsia" w:ascii="宋体" w:hAnsi="宋体" w:cs="宋体"/>
          <w:b/>
          <w:bCs/>
          <w:sz w:val="28"/>
          <w:szCs w:val="32"/>
        </w:rPr>
        <w:t xml:space="preserve">六、</w:t>
      </w:r>
      <w:bookmarkStart w:id="183" w:name="OLE_LINK46"/>
      <w:r>
        <w:rPr>
          <w:rFonts w:hint="eastAsia" w:ascii="宋体" w:hAnsi="宋体" w:cs="宋体"/>
          <w:b/>
          <w:bCs/>
          <w:sz w:val="28"/>
          <w:szCs w:val="32"/>
        </w:rPr>
        <w:t xml:space="preserve">技术资料要求</w:t>
      </w:r>
      <w:bookmarkEnd w:id="183"/>
      <w:r/>
      <w:bookmarkStart w:id="184" w:name="OLE_LINK36"/>
      <w:r>
        <w:rPr>
          <w:rFonts w:ascii="宋体" w:hAnsi="宋体" w:cs="宋体"/>
          <w:b/>
          <w:bCs/>
          <w:sz w:val="28"/>
          <w:szCs w:val="32"/>
        </w:rPr>
      </w:r>
      <w:r/>
    </w:p>
    <w:p>
      <w:pPr>
        <w:pStyle w:val="815"/>
        <w:ind w:firstLine="241"/>
        <w:jc w:val="left"/>
        <w:spacing w:line="360" w:lineRule="auto"/>
        <w:widowControl/>
        <w:rPr>
          <w:rFonts w:hint="eastAsia" w:ascii="宋体" w:hAnsi="宋体" w:cs="方正仿宋_GBK"/>
          <w:i/>
          <w:iCs/>
          <w:sz w:val="24"/>
        </w:rPr>
      </w:pPr>
      <w:r>
        <w:rPr>
          <w:rFonts w:hint="eastAsia" w:ascii="宋体" w:hAnsi="宋体" w:cs="方正仿宋_GBK"/>
          <w:b/>
          <w:bCs/>
          <w:i/>
          <w:iCs/>
          <w:color w:val="ff0000"/>
          <w:sz w:val="24"/>
        </w:rPr>
        <w:t xml:space="preserve">投标文件中提供</w:t>
      </w:r>
      <w:bookmarkStart w:id="185" w:name="OLE_LINK42"/>
      <w:r>
        <w:rPr>
          <w:rFonts w:hint="eastAsia" w:ascii="宋体" w:hAnsi="宋体" w:cs="方正仿宋_GBK"/>
          <w:b/>
          <w:bCs/>
          <w:i/>
          <w:iCs/>
          <w:color w:val="ff0000"/>
          <w:sz w:val="24"/>
        </w:rPr>
        <w:t xml:space="preserve">技术资料要求</w:t>
      </w:r>
      <w:bookmarkEnd w:id="185"/>
      <w:r>
        <w:rPr>
          <w:rFonts w:hint="eastAsia" w:ascii="宋体" w:hAnsi="宋体" w:cs="方正仿宋_GBK"/>
          <w:b/>
          <w:bCs/>
          <w:i/>
          <w:iCs/>
          <w:color w:val="ff0000"/>
          <w:sz w:val="24"/>
        </w:rPr>
        <w:t xml:space="preserve">全部响应要求的承诺函电子件（加盖公章，承诺函格式附后），否则按无效标处理。</w:t>
      </w:r>
      <w:r>
        <w:rPr>
          <w:rFonts w:hint="eastAsia" w:ascii="宋体" w:hAnsi="宋体" w:cs="方正仿宋_GBK"/>
          <w:i/>
          <w:iCs/>
          <w:sz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1.本项目中标供应商须全程配合（其费用已包括在响应价格之内）设计、监理、土建施工单位完成技术交底、图纸会审、现场校核、变更答疑，不得因衔接问题推诿扯皮。</w:t>
      </w:r>
      <w:r/>
    </w:p>
    <w:p>
      <w:pPr>
        <w:pStyle w:val="815"/>
        <w:ind w:firstLine="439"/>
        <w:jc w:val="left"/>
        <w:spacing w:line="460" w:lineRule="exact"/>
        <w:rPr>
          <w:rFonts w:hint="eastAsia" w:ascii="Arial" w:hAnsi="Arial" w:cs="Arial"/>
          <w:color w:val="000000"/>
          <w:sz w:val="24"/>
          <w:szCs w:val="24"/>
        </w:rPr>
      </w:pPr>
      <w:r/>
      <w:bookmarkEnd w:id="184"/>
      <w:r>
        <w:rPr>
          <w:rFonts w:hint="eastAsia" w:ascii="Arial" w:hAnsi="Arial" w:cs="Arial"/>
          <w:color w:val="000000"/>
          <w:sz w:val="24"/>
          <w:szCs w:val="24"/>
        </w:rPr>
        <w:t xml:space="preserve">2.电梯中标单位中标后须提供全套</w:t>
      </w:r>
      <w:r>
        <w:rPr>
          <w:rFonts w:hint="eastAsia" w:ascii="Arial" w:hAnsi="Arial" w:cs="Arial"/>
          <w:color w:val="000000"/>
          <w:sz w:val="24"/>
          <w:szCs w:val="24"/>
        </w:rPr>
        <w:t xml:space="preserve">（其费用已包括在响应价格之内）</w:t>
      </w:r>
      <w:r>
        <w:rPr>
          <w:rFonts w:hint="eastAsia" w:ascii="Arial" w:hAnsi="Arial" w:cs="Arial"/>
          <w:color w:val="000000"/>
          <w:sz w:val="24"/>
          <w:szCs w:val="24"/>
        </w:rPr>
        <w:t xml:space="preserve">正式井道土建图纸、荷载要求、预留孔洞要求，负责图纸技术交底；采购人认为应交付的其他资料；因图纸错误造成土建返工，由该项目中标单位承担责任。</w:t>
      </w:r>
      <w:r/>
    </w:p>
    <w:p>
      <w:pPr>
        <w:pStyle w:val="815"/>
        <w:ind w:firstLine="439"/>
        <w:jc w:val="left"/>
        <w:spacing w:line="460" w:lineRule="exact"/>
        <w:rPr>
          <w:rFonts w:hint="eastAsia" w:ascii="宋体" w:hAnsi="宋体" w:cs="宋体"/>
          <w:b/>
          <w:bCs/>
          <w:sz w:val="28"/>
          <w:szCs w:val="32"/>
        </w:rPr>
      </w:pPr>
      <w:r>
        <w:rPr>
          <w:rFonts w:hint="eastAsia" w:ascii="宋体" w:hAnsi="宋体" w:cs="宋体"/>
          <w:b/>
          <w:bCs/>
          <w:sz w:val="28"/>
          <w:szCs w:val="32"/>
        </w:rPr>
        <w:t xml:space="preserve">七、项目实施方案</w:t>
      </w:r>
      <w:r/>
    </w:p>
    <w:p>
      <w:pPr>
        <w:pStyle w:val="815"/>
        <w:ind w:firstLine="439"/>
        <w:jc w:val="left"/>
        <w:spacing w:line="460" w:lineRule="exact"/>
        <w:rPr>
          <w:rFonts w:hint="eastAsia" w:ascii="Arial" w:hAnsi="Arial" w:cs="Arial"/>
          <w:color w:val="000000"/>
          <w:sz w:val="24"/>
          <w:szCs w:val="24"/>
        </w:rPr>
      </w:pPr>
      <w:r>
        <w:rPr>
          <w:rFonts w:hint="eastAsia" w:ascii="宋体" w:hAnsi="宋体" w:cs="方正仿宋_GBK"/>
          <w:sz w:val="24"/>
        </w:rPr>
        <w:t xml:space="preserve">投标人应按照招标文件要求制定详细的项目实施方案，</w:t>
      </w:r>
      <w:r>
        <w:rPr>
          <w:rFonts w:hint="eastAsia" w:ascii="Arial" w:hAnsi="Arial" w:cs="Arial"/>
          <w:color w:val="000000"/>
          <w:sz w:val="24"/>
          <w:szCs w:val="24"/>
        </w:rPr>
        <w:t xml:space="preserve">应按《电梯制造与安装安全规范》等规定对本项目进行深化设计，确保电梯选型及安装符合本项目实际及国家相关规定</w:t>
      </w:r>
      <w:r>
        <w:rPr>
          <w:rFonts w:hint="eastAsia" w:ascii="Arial" w:hAnsi="Arial" w:cs="Arial"/>
          <w:color w:val="000000"/>
          <w:sz w:val="24"/>
          <w:szCs w:val="24"/>
        </w:rPr>
        <w:t xml:space="preserve">。</w:t>
      </w:r>
      <w:r/>
    </w:p>
    <w:p>
      <w:pPr>
        <w:pStyle w:val="815"/>
        <w:jc w:val="left"/>
        <w:spacing w:line="360" w:lineRule="auto"/>
        <w:widowControl/>
        <w:rPr>
          <w:rFonts w:ascii="宋体" w:hAnsi="宋体" w:cs="方正仿宋_GBK"/>
          <w:sz w:val="24"/>
        </w:rPr>
      </w:pPr>
      <w:r>
        <w:rPr>
          <w:rFonts w:hint="eastAsia" w:ascii="宋体" w:hAnsi="宋体" w:cs="方正仿宋_GBK"/>
          <w:b/>
          <w:bCs/>
          <w:sz w:val="24"/>
        </w:rPr>
        <w:t xml:space="preserve">（一）项目进度安排</w:t>
      </w:r>
      <w:r>
        <w:rPr>
          <w:rFonts w:hint="eastAsia" w:ascii="宋体" w:hAnsi="宋体" w:cs="方正仿宋_GBK"/>
          <w:sz w:val="24"/>
        </w:rPr>
        <w:t xml:space="preserve">：</w:t>
      </w:r>
      <w:r>
        <w:rPr>
          <w:rFonts w:ascii="宋体" w:hAnsi="宋体" w:cs="方正仿宋_GBK"/>
          <w:sz w:val="24"/>
        </w:rPr>
        <w:t xml:space="preserve"> </w:t>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（1）生产方案需提供投标货物主要生产、检验、测量设备说明</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（2）供货计划需提供交货期及运输方案</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（3）进度控制需提供供货安装计划：①投标方中标后，应在接到招标方通知</w:t>
      </w:r>
      <w:r>
        <w:rPr>
          <w:rFonts w:hint="eastAsia" w:ascii="宋体" w:hAnsi="宋体" w:cs="方正仿宋_GBK"/>
          <w:sz w:val="24"/>
        </w:rPr>
        <w:t xml:space="preserve">后，安排符合资质的授权安装单位进场；若无法提供合法安装主体，甲方有权解除采购合同、索赔损失</w:t>
      </w:r>
      <w:r>
        <w:rPr>
          <w:rFonts w:hint="eastAsia" w:ascii="宋体" w:hAnsi="宋体" w:cs="方正仿宋_GBK"/>
          <w:sz w:val="24"/>
        </w:rPr>
        <w:t xml:space="preserve">。②由中标方厂家工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w:t>
      </w:r>
      <w:r>
        <w:rPr>
          <w:rFonts w:hint="eastAsia" w:ascii="宋体" w:hAnsi="宋体" w:cs="方正仿宋_GBK"/>
          <w:sz w:val="24"/>
        </w:rPr>
        <w:t xml:space="preserve">费用均应列入投标总价，而不能在执行中要求另外付费。</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（4）项目进度应符合本项目实际需要，确保在采购单位规定的时间内完成。</w:t>
      </w:r>
      <w:r/>
    </w:p>
    <w:p>
      <w:pPr>
        <w:pStyle w:val="815"/>
        <w:jc w:val="left"/>
        <w:spacing w:line="360" w:lineRule="auto"/>
        <w:widowControl/>
        <w:rPr>
          <w:rFonts w:ascii="宋体" w:hAnsi="宋体" w:cs="方正仿宋_GBK"/>
          <w:b/>
          <w:bCs/>
          <w:sz w:val="24"/>
        </w:rPr>
      </w:pPr>
      <w:r>
        <w:rPr>
          <w:rFonts w:hint="eastAsia" w:ascii="宋体" w:hAnsi="宋体" w:cs="方正仿宋_GBK"/>
          <w:b/>
          <w:bCs/>
          <w:sz w:val="24"/>
        </w:rPr>
        <w:t xml:space="preserve">（二）</w:t>
      </w:r>
      <w:bookmarkStart w:id="186" w:name="OLE_LINK12"/>
      <w:r>
        <w:rPr>
          <w:rFonts w:hint="eastAsia" w:ascii="宋体" w:hAnsi="宋体" w:cs="方正仿宋_GBK"/>
          <w:b/>
          <w:bCs/>
          <w:sz w:val="24"/>
        </w:rPr>
        <w:t xml:space="preserve">电梯专项安装与调试要求</w:t>
      </w:r>
      <w:bookmarkEnd w:id="186"/>
      <w:r>
        <w:rPr>
          <w:rFonts w:hint="eastAsia" w:ascii="宋体" w:hAnsi="宋体" w:cs="方正仿宋_GBK"/>
          <w:b/>
          <w:bCs/>
          <w:sz w:val="24"/>
        </w:rPr>
        <w:t xml:space="preserve">： </w:t>
      </w:r>
      <w:r>
        <w:rPr>
          <w:rFonts w:ascii="宋体" w:hAnsi="宋体" w:cs="方正仿宋_GBK"/>
          <w:b/>
          <w:bCs/>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w:t>
      </w:r>
      <w:r>
        <w:rPr>
          <w:rFonts w:hint="eastAsia" w:ascii="宋体" w:hAnsi="宋体" w:cs="方正仿宋_GBK"/>
          <w:sz w:val="24"/>
        </w:rPr>
        <w:t xml:space="preserve">）电梯安装现场必须有技术、安全人员监护；</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2</w:t>
      </w:r>
      <w:r>
        <w:rPr>
          <w:rFonts w:hint="eastAsia" w:ascii="宋体" w:hAnsi="宋体" w:cs="方正仿宋_GBK"/>
          <w:sz w:val="24"/>
        </w:rPr>
        <w:t xml:space="preserve">）电梯安装区域设置警戒线，有明显标志，并要有专人监护，安装期间现场严禁闲杂人员进出；</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3</w:t>
      </w:r>
      <w:r>
        <w:rPr>
          <w:rFonts w:hint="eastAsia" w:ascii="宋体" w:hAnsi="宋体" w:cs="方正仿宋_GBK"/>
          <w:sz w:val="24"/>
        </w:rPr>
        <w:t xml:space="preserve">）电梯安装</w:t>
      </w:r>
      <w:r>
        <w:rPr>
          <w:rFonts w:hint="eastAsia" w:ascii="宋体" w:hAnsi="宋体" w:cs="方正仿宋_GBK"/>
          <w:sz w:val="24"/>
        </w:rPr>
        <w:t xml:space="preserve">前工作人员应对工具、附件等仔细检查，不合格者立即更换，确保正常使用；</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4</w:t>
      </w:r>
      <w:r>
        <w:rPr>
          <w:rFonts w:hint="eastAsia" w:ascii="宋体" w:hAnsi="宋体" w:cs="方正仿宋_GBK"/>
          <w:sz w:val="24"/>
        </w:rPr>
        <w:t xml:space="preserve">）电梯安装过程中，所有工作人员必须听从指挥人员的统一指挥和信号；</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5</w:t>
      </w:r>
      <w:r>
        <w:rPr>
          <w:rFonts w:hint="eastAsia" w:ascii="宋体" w:hAnsi="宋体" w:cs="方正仿宋_GBK"/>
          <w:sz w:val="24"/>
        </w:rPr>
        <w:t xml:space="preserve">）电梯安装过程中须有专人照看电源；</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6</w:t>
      </w:r>
      <w:r>
        <w:rPr>
          <w:rFonts w:hint="eastAsia" w:ascii="宋体" w:hAnsi="宋体" w:cs="方正仿宋_GBK"/>
          <w:sz w:val="24"/>
        </w:rPr>
        <w:t xml:space="preserve">）电梯安装过程中所有工作人员必须戴好安全帽，上高人员必须穿防滑鞋，高空作业必须系好安全带，配挂工具包；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7</w:t>
      </w:r>
      <w:r>
        <w:rPr>
          <w:rFonts w:hint="eastAsia" w:ascii="宋体" w:hAnsi="宋体" w:cs="方正仿宋_GBK"/>
          <w:sz w:val="24"/>
        </w:rPr>
        <w:t xml:space="preserve">）电梯安装过程中严禁由高空向下抛投物品；</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8</w:t>
      </w:r>
      <w:r>
        <w:rPr>
          <w:rFonts w:hint="eastAsia" w:ascii="宋体" w:hAnsi="宋体" w:cs="方正仿宋_GBK"/>
          <w:sz w:val="24"/>
        </w:rPr>
        <w:t xml:space="preserve">）室电梯安装过程中注意建筑物周边的障碍物，若有障碍物必须排除后方可作业，防止发生意外事故；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9</w:t>
      </w:r>
      <w:r>
        <w:rPr>
          <w:rFonts w:hint="eastAsia" w:ascii="宋体" w:hAnsi="宋体" w:cs="方正仿宋_GBK"/>
          <w:sz w:val="24"/>
        </w:rPr>
        <w:t xml:space="preserve">）电梯安装过程中吊笼运动时，人体及装运的物件绝对不准超出吊笼护栏；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10</w:t>
      </w:r>
      <w:r>
        <w:rPr>
          <w:rFonts w:hint="eastAsia" w:ascii="宋体" w:hAnsi="宋体" w:cs="方正仿宋_GBK"/>
          <w:sz w:val="24"/>
        </w:rPr>
        <w:t xml:space="preserve">）电梯安装过程中每道工序完成后经专人检查认可方能进行下一道安装工序；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11</w:t>
      </w:r>
      <w:r>
        <w:rPr>
          <w:rFonts w:hint="eastAsia" w:ascii="宋体" w:hAnsi="宋体" w:cs="方正仿宋_GBK"/>
          <w:sz w:val="24"/>
        </w:rPr>
        <w:t xml:space="preserve">）电梯安装过程中发现异常，应立即停止安装工作，排除故障后才能继续安装；</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12</w:t>
      </w:r>
      <w:r>
        <w:rPr>
          <w:rFonts w:hint="eastAsia" w:ascii="宋体" w:hAnsi="宋体" w:cs="方正仿宋_GBK"/>
          <w:sz w:val="24"/>
        </w:rPr>
        <w:t xml:space="preserve">）电梯安装过程中吊笼载荷不允许超过额定安装载重量。</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13</w:t>
      </w:r>
      <w:r>
        <w:rPr>
          <w:rFonts w:hint="eastAsia" w:ascii="宋体" w:hAnsi="宋体" w:cs="方正仿宋_GBK"/>
          <w:sz w:val="24"/>
        </w:rPr>
        <w:t xml:space="preserve">）电梯安装期间绝对不允许非安装人员使用施工升降机；</w:t>
      </w:r>
      <w:r>
        <w:rPr>
          <w:rFonts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14</w:t>
      </w:r>
      <w:r>
        <w:rPr>
          <w:rFonts w:hint="eastAsia" w:ascii="宋体" w:hAnsi="宋体" w:cs="方正仿宋_GBK"/>
          <w:sz w:val="24"/>
        </w:rPr>
        <w:t xml:space="preserve">）安装期间严禁饮酒、打闹；</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15</w:t>
      </w:r>
      <w:r>
        <w:rPr>
          <w:rFonts w:hint="eastAsia" w:ascii="宋体" w:hAnsi="宋体" w:cs="方正仿宋_GBK"/>
          <w:sz w:val="24"/>
        </w:rPr>
        <w:t xml:space="preserve">）电梯安装完成后应仔细检查施工升降机的各机构，各部位是否应处于良好状态，发现问题及时处理。</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（16）需严格执与电梯相关的国家、行业和地方的法律法规、规范规程、标准、图集的要求：</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（17）如因中标人原因造成不能</w:t>
      </w:r>
      <w:r>
        <w:rPr>
          <w:rFonts w:hint="eastAsia" w:ascii="宋体" w:hAnsi="宋体" w:cs="方正仿宋_GBK"/>
          <w:sz w:val="24"/>
        </w:rPr>
        <w:t xml:space="preserve">及时安装和调试，由中标人承担一切责任和损失。</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（18）所投电梯必须符合中华人民共和国电梯制造与安全规范的制造、安装标准和技术规范要求，中标人须提供质量技术监督部门的验收合格证、运行证等。</w:t>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（19）本次采购规定的电梯设备，由中标人负责运输到项目现场，并进行整机安装、调试及试运行。</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（20）中标人应按照国家有关标准和采购文件要求，对其在本采购项目范围内所提供产品进行现场调试。</w:t>
      </w:r>
      <w:r/>
    </w:p>
    <w:p>
      <w:pPr>
        <w:pStyle w:val="815"/>
        <w:jc w:val="left"/>
        <w:spacing w:line="360" w:lineRule="auto"/>
        <w:widowControl/>
        <w:rPr>
          <w:rFonts w:ascii="宋体" w:hAnsi="宋体" w:cs="方正仿宋_GBK"/>
          <w:sz w:val="24"/>
        </w:rPr>
      </w:pPr>
      <w:r/>
      <w:bookmarkStart w:id="187" w:name="OLE_LINK70"/>
      <w:r>
        <w:rPr>
          <w:rFonts w:hint="eastAsia" w:ascii="宋体" w:hAnsi="宋体" w:cs="方正仿宋_GBK"/>
          <w:b/>
          <w:bCs/>
          <w:sz w:val="24"/>
        </w:rPr>
        <w:t xml:space="preserve">（三）电梯应急预案：</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bookmarkEnd w:id="187"/>
      <w:r/>
      <w:bookmarkStart w:id="188" w:name="OLE_LINK64"/>
      <w:r>
        <w:rPr>
          <w:rFonts w:hint="eastAsia" w:ascii="宋体" w:hAnsi="宋体" w:cs="方正仿宋_GBK"/>
          <w:sz w:val="24"/>
        </w:rPr>
        <w:t xml:space="preserve">（1）</w:t>
      </w:r>
      <w:bookmarkEnd w:id="188"/>
      <w:r>
        <w:rPr>
          <w:rFonts w:hint="eastAsia" w:ascii="宋体" w:hAnsi="宋体" w:cs="方正仿宋_GBK"/>
          <w:sz w:val="24"/>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pStyle w:val="815"/>
        <w:ind w:firstLine="480"/>
        <w:jc w:val="left"/>
        <w:spacing w:line="360" w:lineRule="auto"/>
        <w:widowControl/>
        <w:rPr>
          <w:rFonts w:hint="eastAsia" w:ascii="宋体" w:hAnsi="宋体" w:cs="方正仿宋_GBK"/>
          <w:sz w:val="24"/>
        </w:rPr>
      </w:pPr>
      <w:r/>
      <w:bookmarkStart w:id="189" w:name="OLE_LINK65"/>
      <w:r>
        <w:rPr>
          <w:rFonts w:hint="eastAsia" w:ascii="宋体" w:hAnsi="宋体" w:cs="方正仿宋_GBK"/>
          <w:sz w:val="24"/>
        </w:rPr>
        <w:t xml:space="preserve">（2）</w:t>
      </w:r>
      <w:bookmarkEnd w:id="189"/>
      <w:r>
        <w:rPr>
          <w:rFonts w:hint="eastAsia" w:ascii="宋体" w:hAnsi="宋体" w:cs="方正仿宋_GBK"/>
          <w:sz w:val="24"/>
        </w:rPr>
        <w:t xml:space="preserve">接到报警或发现有乘客被困在电梯内，应立即通知保安消防监控室，同时记录接报和发现时间。</w:t>
      </w:r>
      <w:r/>
    </w:p>
    <w:p>
      <w:pPr>
        <w:pStyle w:val="815"/>
        <w:ind w:firstLine="480"/>
        <w:jc w:val="left"/>
        <w:spacing w:line="360" w:lineRule="auto"/>
        <w:widowControl/>
        <w:rPr>
          <w:rFonts w:hint="eastAsia" w:ascii="宋体" w:hAnsi="宋体" w:cs="方正仿宋_GBK"/>
          <w:sz w:val="24"/>
        </w:rPr>
      </w:pPr>
      <w:r/>
      <w:bookmarkStart w:id="190" w:name="OLE_LINK66"/>
      <w:r>
        <w:rPr>
          <w:rFonts w:hint="eastAsia" w:ascii="宋体" w:hAnsi="宋体" w:cs="方正仿宋_GBK"/>
          <w:sz w:val="24"/>
        </w:rPr>
        <w:t xml:space="preserve">（3）</w:t>
      </w:r>
      <w:bookmarkEnd w:id="190"/>
      <w:r>
        <w:rPr>
          <w:rFonts w:hint="eastAsia" w:ascii="宋体" w:hAnsi="宋体" w:cs="方正仿宋_GBK"/>
          <w:sz w:val="24"/>
        </w:rPr>
        <w:t xml:space="preserve">维修单位经理或值班人员接报后，应立即派人前往现场解救，同时电话通知电梯维修公司前来抢修。</w:t>
      </w:r>
      <w:r/>
    </w:p>
    <w:p>
      <w:pPr>
        <w:pStyle w:val="815"/>
        <w:ind w:firstLine="480"/>
        <w:jc w:val="left"/>
        <w:spacing w:line="360" w:lineRule="auto"/>
        <w:widowControl/>
        <w:rPr>
          <w:rFonts w:hint="eastAsia" w:ascii="宋体" w:hAnsi="宋体" w:cs="方正仿宋_GBK"/>
          <w:sz w:val="24"/>
        </w:rPr>
      </w:pPr>
      <w:r/>
      <w:bookmarkStart w:id="191" w:name="OLE_LINK67"/>
      <w:r>
        <w:rPr>
          <w:rFonts w:hint="eastAsia" w:ascii="宋体" w:hAnsi="宋体" w:cs="方正仿宋_GBK"/>
          <w:sz w:val="24"/>
        </w:rPr>
        <w:t xml:space="preserve">（4）</w:t>
      </w:r>
      <w:bookmarkEnd w:id="191"/>
      <w:r>
        <w:rPr>
          <w:rFonts w:hint="eastAsia" w:ascii="宋体" w:hAnsi="宋体" w:cs="方正仿宋_GBK"/>
          <w:sz w:val="24"/>
        </w:rPr>
        <w:t xml:space="preserve">若维修单位和电梯维修公司都无能力解救或短期时间内解救不了，应视情况向公安部门或消防部门求助（应说明求助原因和情况）。向公安、</w:t>
      </w:r>
      <w:r>
        <w:rPr>
          <w:rFonts w:hint="eastAsia" w:ascii="宋体" w:hAnsi="宋体" w:cs="方正仿宋_GBK"/>
          <w:sz w:val="24"/>
        </w:rPr>
        <w:t xml:space="preserve">消防部门求助前应征得甲方的同意。</w:t>
      </w:r>
      <w:r/>
    </w:p>
    <w:p>
      <w:pPr>
        <w:pStyle w:val="815"/>
        <w:ind w:firstLine="480"/>
        <w:jc w:val="left"/>
        <w:spacing w:line="360" w:lineRule="auto"/>
        <w:widowControl/>
        <w:rPr>
          <w:rFonts w:hint="eastAsia" w:ascii="宋体" w:hAnsi="宋体" w:cs="方正仿宋_GBK"/>
          <w:sz w:val="24"/>
        </w:rPr>
      </w:pPr>
      <w:r/>
      <w:bookmarkStart w:id="192" w:name="OLE_LINK68"/>
      <w:r>
        <w:rPr>
          <w:rFonts w:hint="eastAsia" w:ascii="宋体" w:hAnsi="宋体" w:cs="方正仿宋_GBK"/>
          <w:sz w:val="24"/>
        </w:rPr>
        <w:t xml:space="preserve">（5）</w:t>
      </w:r>
      <w:bookmarkEnd w:id="192"/>
      <w:r>
        <w:rPr>
          <w:rFonts w:hint="eastAsia" w:ascii="宋体" w:hAnsi="宋体" w:cs="方正仿宋_GBK"/>
          <w:sz w:val="24"/>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sz w:val="24"/>
        </w:rPr>
        <w:t xml:space="preserve">⾏</w:t>
      </w:r>
      <w:r>
        <w:rPr>
          <w:rFonts w:hint="eastAsia" w:ascii="宋体" w:hAnsi="宋体" w:cs="宋体"/>
          <w:sz w:val="24"/>
        </w:rPr>
        <w:t xml:space="preserve">抢救。</w:t>
      </w:r>
      <w:r>
        <w:rPr>
          <w:rFonts w:hint="eastAsia" w:ascii="宋体" w:hAnsi="宋体" w:cs="方正仿宋_GBK"/>
          <w:sz w:val="24"/>
        </w:rPr>
      </w:r>
      <w:r/>
    </w:p>
    <w:p>
      <w:pPr>
        <w:pStyle w:val="815"/>
        <w:ind w:firstLine="480"/>
        <w:jc w:val="left"/>
        <w:spacing w:line="360" w:lineRule="auto"/>
        <w:widowControl/>
        <w:rPr>
          <w:rFonts w:hint="eastAsia" w:ascii="宋体" w:hAnsi="宋体" w:cs="方正仿宋_GBK"/>
          <w:sz w:val="24"/>
        </w:rPr>
      </w:pPr>
      <w:r/>
      <w:bookmarkStart w:id="193" w:name="OLE_LINK69"/>
      <w:r>
        <w:rPr>
          <w:rFonts w:hint="eastAsia" w:ascii="宋体" w:hAnsi="宋体" w:cs="方正仿宋_GBK"/>
          <w:sz w:val="24"/>
        </w:rPr>
        <w:t xml:space="preserve">（6）</w:t>
      </w:r>
      <w:bookmarkEnd w:id="193"/>
      <w:r>
        <w:rPr>
          <w:rFonts w:hint="eastAsia" w:ascii="宋体" w:hAnsi="宋体" w:cs="方正仿宋_GBK"/>
          <w:sz w:val="24"/>
        </w:rPr>
        <w:t xml:space="preserve">被困者救出后，应立即请电梯维修公司查明故障原因，修复后方可恢复正常运</w:t>
      </w:r>
      <w:r>
        <w:rPr>
          <w:rFonts w:hint="eastAsia" w:ascii="微软雅黑" w:hAnsi="微软雅黑" w:eastAsia="微软雅黑" w:cs="微软雅黑"/>
          <w:sz w:val="24"/>
        </w:rPr>
        <w:t xml:space="preserve">⾏</w:t>
      </w:r>
      <w:r>
        <w:rPr>
          <w:rFonts w:hint="eastAsia" w:ascii="宋体" w:hAnsi="宋体" w:cs="宋体"/>
          <w:sz w:val="24"/>
        </w:rPr>
        <w:t xml:space="preserve">。</w:t>
      </w:r>
      <w:r>
        <w:rPr>
          <w:rFonts w:hint="eastAsia" w:ascii="宋体" w:hAnsi="宋体" w:cs="方正仿宋_GBK"/>
          <w:sz w:val="24"/>
        </w:rPr>
      </w:r>
      <w:r/>
    </w:p>
    <w:p>
      <w:pPr>
        <w:pStyle w:val="815"/>
        <w:ind w:firstLine="480"/>
        <w:jc w:val="left"/>
        <w:spacing w:line="360" w:lineRule="auto"/>
        <w:widowControl/>
        <w:rPr>
          <w:rFonts w:ascii="宋体" w:hAnsi="宋体" w:cs="方正仿宋_GBK"/>
          <w:sz w:val="24"/>
        </w:rPr>
      </w:pPr>
      <w:r>
        <w:rPr>
          <w:rFonts w:hint="eastAsia" w:ascii="宋体" w:hAnsi="宋体" w:cs="方正仿宋_GBK"/>
          <w:sz w:val="24"/>
        </w:rPr>
        <w:t xml:space="preserve">（7）维修单位经理或值班人员应详细记录故障发生时间、原因、解救办法和修复时间。</w:t>
      </w:r>
      <w:r>
        <w:rPr>
          <w:rFonts w:ascii="宋体" w:hAnsi="宋体" w:cs="方正仿宋_GBK"/>
          <w:sz w:val="24"/>
        </w:rPr>
      </w:r>
      <w:r/>
    </w:p>
    <w:p>
      <w:pPr>
        <w:pStyle w:val="815"/>
        <w:jc w:val="left"/>
        <w:spacing w:line="360" w:lineRule="auto"/>
        <w:widowControl/>
        <w:rPr>
          <w:rFonts w:ascii="宋体" w:hAnsi="宋体" w:cs="方正仿宋_GBK"/>
          <w:b/>
          <w:bCs/>
          <w:sz w:val="24"/>
        </w:rPr>
      </w:pPr>
      <w:r>
        <w:rPr>
          <w:rFonts w:hint="eastAsia" w:ascii="宋体" w:hAnsi="宋体" w:cs="方正仿宋_GBK"/>
          <w:b/>
          <w:bCs/>
          <w:sz w:val="24"/>
        </w:rPr>
        <w:t xml:space="preserve">（四）项目组人员</w:t>
      </w:r>
      <w:r>
        <w:rPr>
          <w:rFonts w:ascii="宋体" w:hAnsi="宋体" w:cs="方正仿宋_GBK"/>
          <w:b/>
          <w:bCs/>
          <w:sz w:val="24"/>
        </w:rPr>
      </w:r>
      <w:r/>
    </w:p>
    <w:p>
      <w:pPr>
        <w:pStyle w:val="815"/>
        <w:ind w:firstLine="723"/>
        <w:jc w:val="left"/>
        <w:spacing w:line="360" w:lineRule="auto"/>
        <w:widowControl/>
        <w:rPr>
          <w:rFonts w:ascii="宋体" w:hAnsi="宋体" w:cs="方正仿宋_GBK"/>
          <w:i/>
          <w:iCs/>
          <w:sz w:val="24"/>
        </w:rPr>
      </w:pPr>
      <w:r/>
      <w:bookmarkStart w:id="194" w:name="OLE_LINK38"/>
      <w:r>
        <w:rPr>
          <w:rFonts w:hint="eastAsia" w:ascii="宋体" w:hAnsi="宋体" w:cs="方正仿宋_GBK"/>
          <w:b/>
          <w:bCs/>
          <w:i/>
          <w:iCs/>
          <w:color w:val="ff0000"/>
          <w:sz w:val="24"/>
        </w:rPr>
        <w:t xml:space="preserve">投标文件中提供项目组人员全部响应要求的承诺函电子件（加盖公章，承诺函格式附后），否则按无效标处理。</w:t>
      </w:r>
      <w:r>
        <w:rPr>
          <w:rFonts w:ascii="宋体" w:hAnsi="宋体" w:cs="方正仿宋_GBK"/>
          <w:i/>
          <w:iCs/>
          <w:sz w:val="24"/>
        </w:rPr>
      </w:r>
      <w:r/>
    </w:p>
    <w:p>
      <w:pPr>
        <w:pStyle w:val="815"/>
        <w:ind w:firstLine="480"/>
        <w:jc w:val="left"/>
        <w:spacing w:line="360" w:lineRule="auto"/>
        <w:widowControl/>
        <w:rPr>
          <w:rFonts w:ascii="宋体" w:hAnsi="宋体" w:cs="方正仿宋_GBK"/>
          <w:sz w:val="24"/>
        </w:rPr>
      </w:pPr>
      <w:r/>
      <w:bookmarkEnd w:id="194"/>
      <w:r>
        <w:rPr>
          <w:rFonts w:hint="eastAsia" w:ascii="宋体" w:hAnsi="宋体" w:cs="方正仿宋_GBK"/>
          <w:sz w:val="24"/>
        </w:rPr>
        <w:t xml:space="preserve">人员配置：现场至少 3名人员，经过专项安全与工艺培训，熟悉安拆方案、规范及应急处置。</w:t>
      </w:r>
      <w:r>
        <w:rPr>
          <w:rFonts w:ascii="宋体" w:hAnsi="宋体" w:cs="方正仿宋_GBK"/>
          <w:sz w:val="24"/>
        </w:rPr>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持证要求：核心操作人员最低2人持有效特种设备作业人员证，独立作业；电工、焊工、起重司索等配套工种需对应特种作业证。</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55 周岁以下，无恐高、心脏病、高血压等疾病。</w:t>
      </w:r>
      <w:r/>
    </w:p>
    <w:p>
      <w:pPr>
        <w:pStyle w:val="815"/>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p>
    <w:p>
      <w:pPr>
        <w:pStyle w:val="815"/>
        <w:ind w:firstLine="480"/>
        <w:jc w:val="left"/>
        <w:spacing w:line="360" w:lineRule="auto"/>
        <w:widowControl/>
        <w:rPr>
          <w:rFonts w:hint="eastAsia" w:ascii="宋体" w:hAnsi="宋体" w:cs="方正仿宋_GBK"/>
          <w:b/>
          <w:bCs/>
          <w:color w:val="00509d"/>
          <w:sz w:val="28"/>
          <w:szCs w:val="28"/>
        </w:rPr>
      </w:pPr>
      <w:r>
        <w:rPr>
          <w:rFonts w:hint="eastAsia" w:ascii="宋体" w:hAnsi="宋体" w:cs="宋体"/>
          <w:b/>
          <w:bCs/>
          <w:sz w:val="28"/>
          <w:szCs w:val="28"/>
        </w:rPr>
        <w:t xml:space="preserve">八、验收条件及标准 </w:t>
      </w:r>
      <w:r>
        <w:rPr>
          <w:rFonts w:hint="eastAsia" w:ascii="宋体" w:hAnsi="宋体" w:cs="方正仿宋_GBK"/>
          <w:b/>
          <w:bCs/>
          <w:color w:val="00509d"/>
          <w:sz w:val="28"/>
          <w:szCs w:val="28"/>
        </w:rPr>
      </w:r>
      <w:r/>
    </w:p>
    <w:p>
      <w:pPr>
        <w:pStyle w:val="815"/>
        <w:ind w:firstLine="439"/>
        <w:jc w:val="left"/>
        <w:spacing w:line="460" w:lineRule="exact"/>
        <w:rPr>
          <w:rFonts w:ascii="Arial" w:hAnsi="Arial" w:cs="Arial"/>
          <w:color w:val="000000"/>
          <w:sz w:val="24"/>
          <w:szCs w:val="24"/>
        </w:rPr>
      </w:pPr>
      <w:r/>
      <w:bookmarkStart w:id="195" w:name="OLE_LINK76"/>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w:t>
      </w:r>
      <w:r>
        <w:rPr>
          <w:rFonts w:hint="eastAsia" w:ascii="Arial" w:hAnsi="Arial" w:cs="Arial"/>
          <w:color w:val="000000"/>
          <w:sz w:val="24"/>
          <w:szCs w:val="24"/>
        </w:rPr>
        <w:t xml:space="preserve">获得有资质的特种设备安全监督检验研究院特种设备使用登记证和特种设备使用标志，批准运营后，双方即签署验收文件，设备即视为验收通过。</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w:t>
      </w:r>
      <w:r>
        <w:rPr>
          <w:rFonts w:hint="eastAsia" w:ascii="Arial" w:hAnsi="Arial" w:cs="Arial"/>
          <w:color w:val="000000"/>
          <w:sz w:val="24"/>
          <w:szCs w:val="24"/>
        </w:rPr>
        <w:t xml:space="preserve">妥善解决期间，采购人有权拒付任何货款，直至相关问题处理完毕，有关货物全部风险、保管及其他费用以及给采购人造成的损失均应由供应商承担。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安装完成由供应商负责向市场监督管理局质量技术监督部门送交有关验收资料，经市场监督管理局质量技术监督部门（特检院）检验验收合格。并由供应商负责办理特种设备使用登记证，特种设备使用标志。使用前办理完成电梯安全责任保险。</w:t>
      </w:r>
      <w:bookmarkEnd w:id="182"/>
      <w:r/>
      <w:bookmarkEnd w:id="195"/>
      <w:r>
        <w:rPr>
          <w:rFonts w:hint="eastAsia" w:ascii="Arial" w:hAnsi="Arial" w:cs="Arial"/>
          <w:color w:val="000000"/>
          <w:sz w:val="24"/>
          <w:szCs w:val="24"/>
        </w:rPr>
      </w:r>
      <w:r/>
    </w:p>
    <w:p>
      <w:pPr>
        <w:pStyle w:val="815"/>
        <w:ind w:firstLine="439"/>
        <w:jc w:val="left"/>
        <w:spacing w:line="460" w:lineRule="exact"/>
        <w:rPr>
          <w:rFonts w:hint="eastAsia" w:ascii="宋体" w:hAnsi="宋体" w:cs="宋体"/>
          <w:b/>
          <w:bCs/>
          <w:sz w:val="28"/>
          <w:szCs w:val="28"/>
        </w:rPr>
      </w:pPr>
      <w:r>
        <w:rPr>
          <w:rFonts w:hint="eastAsia" w:ascii="宋体" w:hAnsi="宋体" w:cs="宋体"/>
          <w:b/>
          <w:bCs/>
          <w:sz w:val="28"/>
          <w:szCs w:val="28"/>
        </w:rPr>
        <w:t xml:space="preserve">九、安全文明施工方案要求</w:t>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815"/>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2.投标人须做好安全防护、围挡、个人安全防护措施；施工区域悬挂警示标志和安全文明用语；每天施工完毕需清洁场地；安装的进度施工方案需征得业主同意方可施工。</w:t>
      </w:r>
      <w:r>
        <w:rPr>
          <w:rFonts w:ascii="Arial" w:hAnsi="Arial" w:cs="Arial"/>
          <w:color w:val="000000"/>
          <w:sz w:val="24"/>
          <w:szCs w:val="24"/>
        </w:rPr>
      </w:r>
      <w:r/>
    </w:p>
    <w:p>
      <w:pPr>
        <w:pStyle w:val="815"/>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3.施工前须与采购人签订安全协议，施工期间的安全责任由中标供应商负责，若发生安全事故，所有损失由中标供应商承担，造成损失的，追究相关责任。</w:t>
      </w:r>
      <w:bookmarkEnd w:id="177"/>
      <w:r>
        <w:rPr>
          <w:rFonts w:hint="eastAsia" w:ascii="Arial" w:hAnsi="Arial" w:cs="Arial"/>
          <w:color w:val="000000"/>
          <w:sz w:val="24"/>
          <w:szCs w:val="24"/>
        </w:rPr>
      </w:r>
      <w:r/>
    </w:p>
    <w:p>
      <w:pPr>
        <w:pStyle w:val="815"/>
        <w:ind w:firstLine="439"/>
        <w:jc w:val="left"/>
        <w:spacing w:line="460" w:lineRule="exact"/>
        <w:rPr>
          <w:rFonts w:hint="eastAsia" w:ascii="宋体" w:hAnsi="宋体" w:cs="宋体"/>
          <w:b/>
          <w:bCs/>
          <w:sz w:val="28"/>
          <w:szCs w:val="28"/>
        </w:rPr>
      </w:pPr>
      <w:r>
        <w:rPr>
          <w:rFonts w:hint="eastAsia" w:ascii="宋体" w:hAnsi="宋体" w:cs="宋体"/>
          <w:b/>
          <w:bCs/>
          <w:sz w:val="28"/>
          <w:szCs w:val="28"/>
        </w:rPr>
        <w:t xml:space="preserve">十、售后服务要求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1.售后服务方案：投标人应按照招标文件要求制定切实可行的售后服务方案，包括但</w:t>
      </w:r>
      <w:r>
        <w:rPr>
          <w:rFonts w:hint="eastAsia" w:ascii="宋体" w:hAnsi="宋体" w:cs="宋体"/>
          <w:sz w:val="24"/>
        </w:rPr>
        <w:t xml:space="preserve">不限于服务保障体系、技术人员配置、响应时间、电梯常规检查及保养、日常使用注意事项等内容，方案应满足招标文件对项目实施的要求，方案内容完整详细、故障响应时间迅速，能够针对采购项目内容要求而细化制定。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2.售后服务期内提供 7*24 小时免费上门服务:</w:t>
      </w:r>
      <w:bookmarkStart w:id="196" w:name="OLE_LINK104"/>
      <w:r/>
      <w:bookmarkStart w:id="197" w:name="OLE_LINK100"/>
      <w:r>
        <w:rPr>
          <w:rFonts w:hint="eastAsia" w:ascii="宋体" w:hAnsi="宋体" w:cs="宋体"/>
          <w:sz w:val="24"/>
        </w:rPr>
        <w:t xml:space="preserve">在接到使用方报修电话后 2 小时内到达现场</w:t>
      </w:r>
      <w:bookmarkEnd w:id="196"/>
      <w:r>
        <w:rPr>
          <w:rFonts w:hint="eastAsia" w:ascii="宋体" w:hAnsi="宋体" w:cs="宋体"/>
          <w:sz w:val="24"/>
        </w:rPr>
        <w:t xml:space="preserve">，24 小时现场解决问题。4 小时内不</w:t>
      </w:r>
      <w:bookmarkEnd w:id="197"/>
      <w:r>
        <w:rPr>
          <w:rFonts w:hint="eastAsia" w:ascii="宋体" w:hAnsi="宋体" w:cs="宋体"/>
          <w:sz w:val="24"/>
        </w:rPr>
        <w:t xml:space="preserve">到达现场，采购人将自行采取必要的措施，由此产生风险和费用由中标人承担。24 小时内不能现场解决问题的，必须提供备品备件，以确保使用方正常工作。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3、在运行中出现紧急故障时（如人员被困电梯等），在接到报警电话后 0.5 小时内予以响应并到达现场解决。 </w:t>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4、验收通过之日起对</w:t>
      </w:r>
      <w:bookmarkStart w:id="198" w:name="OLE_LINK101"/>
      <w:r>
        <w:rPr>
          <w:rFonts w:hint="eastAsia" w:ascii="宋体" w:hAnsi="宋体" w:cs="宋体"/>
          <w:sz w:val="24"/>
        </w:rPr>
        <w:t xml:space="preserve">设备免费保修2年</w:t>
      </w:r>
      <w:bookmarkEnd w:id="198"/>
      <w:r>
        <w:rPr>
          <w:rFonts w:hint="eastAsia" w:ascii="宋体" w:hAnsi="宋体" w:cs="宋体"/>
          <w:sz w:val="24"/>
        </w:rPr>
        <w:t xml:space="preserve">，售后服务期内，中标人对产品质量实行三包，因设备配置或制造质量问题而引起的故障，中标人应在 24 小时内立即予以免费维修或更换，由此引起的一切费用由中标人承担，包含每年一次的年检均由中标单位负责。 </w:t>
      </w:r>
      <w:r>
        <w:rPr>
          <w:rFonts w:ascii="宋体" w:hAnsi="宋体" w:cs="宋体"/>
          <w:sz w:val="24"/>
        </w:rPr>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5、售后服务期内，电梯每年至少一次全面整梯检修，并视不同易损部件实行 1～6 个月定期检修、维护（电梯的日常维护、保养时间，应服从采购人的安排）。</w:t>
      </w:r>
      <w:r>
        <w:rPr>
          <w:rFonts w:ascii="宋体" w:hAnsi="宋体" w:cs="宋体"/>
          <w:sz w:val="24"/>
        </w:rPr>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6、安装调试中负责进行电气及机械设备维修、操作及对操作、</w:t>
      </w:r>
      <w:r>
        <w:rPr>
          <w:rFonts w:hint="eastAsia" w:ascii="宋体" w:hAnsi="宋体" w:cs="宋体"/>
          <w:sz w:val="24"/>
        </w:rPr>
        <w:t xml:space="preserve">维护人员的培训；免费提供上述服务</w:t>
      </w:r>
      <w:r>
        <w:rPr>
          <w:rFonts w:hint="eastAsia" w:ascii="宋体" w:hAnsi="宋体" w:cs="宋体"/>
          <w:sz w:val="24"/>
        </w:rPr>
        <w:t xml:space="preserve">。</w:t>
      </w:r>
      <w:r/>
    </w:p>
    <w:p>
      <w:pPr>
        <w:pStyle w:val="815"/>
        <w:ind w:firstLine="480"/>
        <w:jc w:val="left"/>
        <w:spacing w:line="360" w:lineRule="auto"/>
        <w:widowControl/>
        <w:rPr>
          <w:rFonts w:hint="eastAsia" w:ascii="宋体" w:hAnsi="宋体" w:cs="宋体"/>
          <w:b/>
          <w:bCs/>
          <w:sz w:val="28"/>
          <w:szCs w:val="32"/>
        </w:rPr>
      </w:pPr>
      <w:r>
        <w:rPr>
          <w:rFonts w:hint="eastAsia" w:ascii="宋体" w:hAnsi="宋体" w:cs="宋体"/>
          <w:b/>
          <w:bCs/>
          <w:sz w:val="28"/>
          <w:szCs w:val="32"/>
        </w:rPr>
        <w:t xml:space="preserve">十一、商品包装、快递包装政府采购需求标准</w:t>
      </w:r>
      <w:r/>
    </w:p>
    <w:p>
      <w:pPr>
        <w:pStyle w:val="1212"/>
        <w:ind w:firstLine="480"/>
        <w:spacing w:line="500" w:lineRule="exact"/>
        <w:rPr>
          <w:rFonts w:hint="eastAsia" w:ascii="宋体" w:hAnsi="宋体" w:cs="宋体"/>
          <w:sz w:val="24"/>
        </w:rPr>
      </w:pPr>
      <w:r>
        <w:rPr>
          <w:rFonts w:hint="eastAsia" w:ascii="宋体" w:hAnsi="宋体" w:cs="宋体"/>
          <w:sz w:val="24"/>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2、包装具体要求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2.1产品安装服务</w:t>
      </w:r>
      <w:r/>
    </w:p>
    <w:p>
      <w:pPr>
        <w:pStyle w:val="1212"/>
        <w:ind w:firstLine="480"/>
        <w:spacing w:line="500" w:lineRule="exact"/>
        <w:rPr>
          <w:rFonts w:hint="eastAsia" w:ascii="宋体" w:hAnsi="宋体" w:cs="宋体"/>
          <w:sz w:val="24"/>
        </w:rPr>
      </w:pPr>
      <w:r>
        <w:rPr>
          <w:rFonts w:hint="eastAsia" w:ascii="宋体" w:hAnsi="宋体" w:cs="宋体"/>
          <w:sz w:val="24"/>
        </w:rPr>
        <w:t xml:space="preserve">2.1.1 范围:产品安装包括产品硬件、软件及设备操作系统的安装、配置、调试。</w:t>
      </w:r>
      <w:r/>
    </w:p>
    <w:p>
      <w:pPr>
        <w:pStyle w:val="1212"/>
        <w:ind w:firstLine="480"/>
        <w:spacing w:line="500" w:lineRule="exact"/>
        <w:rPr>
          <w:rFonts w:hint="eastAsia" w:ascii="宋体" w:hAnsi="宋体" w:cs="宋体"/>
          <w:sz w:val="24"/>
        </w:rPr>
      </w:pPr>
      <w:r>
        <w:rPr>
          <w:rFonts w:hint="eastAsia" w:ascii="宋体" w:hAnsi="宋体" w:cs="宋体"/>
          <w:sz w:val="24"/>
        </w:rPr>
        <w:t xml:space="preserve">2.2 商品包装环保要求</w:t>
      </w:r>
      <w:r/>
    </w:p>
    <w:p>
      <w:pPr>
        <w:pStyle w:val="1212"/>
        <w:ind w:firstLine="480"/>
        <w:spacing w:line="500" w:lineRule="exact"/>
        <w:rPr>
          <w:rFonts w:hint="eastAsia" w:ascii="宋体" w:hAnsi="宋体" w:cs="宋体"/>
          <w:sz w:val="24"/>
        </w:rPr>
      </w:pPr>
      <w:r>
        <w:rPr>
          <w:rFonts w:hint="eastAsia" w:ascii="宋体" w:hAnsi="宋体" w:cs="宋体"/>
          <w:sz w:val="24"/>
        </w:rPr>
        <w:t xml:space="preserve">2.2.1商品包装层数不得超过 3 层，空隙率不大于 40%;</w:t>
      </w:r>
      <w:r/>
    </w:p>
    <w:p>
      <w:pPr>
        <w:pStyle w:val="1212"/>
        <w:ind w:firstLine="480"/>
        <w:spacing w:line="500" w:lineRule="exact"/>
        <w:rPr>
          <w:rFonts w:hint="eastAsia" w:ascii="宋体" w:hAnsi="宋体" w:cs="宋体"/>
          <w:sz w:val="24"/>
        </w:rPr>
      </w:pPr>
      <w:r>
        <w:rPr>
          <w:rFonts w:hint="eastAsia" w:ascii="宋体" w:hAnsi="宋体" w:cs="宋体"/>
          <w:sz w:val="24"/>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1212"/>
        <w:ind w:firstLine="480"/>
        <w:spacing w:line="500" w:lineRule="exact"/>
        <w:rPr>
          <w:rFonts w:hint="eastAsia" w:ascii="宋体" w:hAnsi="宋体" w:cs="宋体"/>
          <w:sz w:val="24"/>
        </w:rPr>
      </w:pPr>
      <w:r>
        <w:rPr>
          <w:rFonts w:hint="eastAsia" w:ascii="宋体" w:hAnsi="宋体" w:cs="宋体"/>
          <w:sz w:val="24"/>
        </w:rPr>
        <w:t xml:space="preserve">2.2.5塑料材质商品包装上呈现的印刷颜色不得超过 6色;</w:t>
      </w:r>
      <w:r/>
    </w:p>
    <w:p>
      <w:pPr>
        <w:pStyle w:val="1212"/>
        <w:ind w:firstLine="480"/>
        <w:spacing w:line="500" w:lineRule="exact"/>
        <w:rPr>
          <w:rFonts w:hint="eastAsia" w:ascii="宋体" w:hAnsi="宋体" w:cs="宋体"/>
          <w:sz w:val="24"/>
        </w:rPr>
      </w:pPr>
      <w:r>
        <w:rPr>
          <w:rFonts w:hint="eastAsia" w:ascii="宋体" w:hAnsi="宋体" w:cs="宋体"/>
          <w:sz w:val="24"/>
        </w:rPr>
        <w:t xml:space="preserve">2.2.6纸质商品包装应使用 75%以上的可再生纤维原</w:t>
      </w:r>
      <w:r>
        <w:rPr>
          <w:rFonts w:hint="eastAsia" w:ascii="宋体" w:hAnsi="宋体" w:cs="宋体"/>
          <w:sz w:val="24"/>
        </w:rPr>
        <w:t xml:space="preserve">料生产;</w:t>
      </w:r>
      <w:r/>
    </w:p>
    <w:p>
      <w:pPr>
        <w:pStyle w:val="1212"/>
        <w:ind w:firstLine="480"/>
        <w:spacing w:line="500" w:lineRule="exact"/>
        <w:rPr>
          <w:rFonts w:hint="eastAsia" w:ascii="宋体" w:hAnsi="宋体" w:cs="宋体"/>
          <w:sz w:val="24"/>
        </w:rPr>
      </w:pPr>
      <w:r>
        <w:rPr>
          <w:rFonts w:hint="eastAsia" w:ascii="宋体" w:hAnsi="宋体" w:cs="宋体"/>
          <w:sz w:val="24"/>
        </w:rPr>
        <w:t xml:space="preserve">2.2.7 木质商品包装的原料应来源于可持续性森林。</w:t>
      </w:r>
      <w:r/>
    </w:p>
    <w:p>
      <w:pPr>
        <w:pStyle w:val="1212"/>
        <w:ind w:firstLine="480"/>
        <w:spacing w:line="500" w:lineRule="exact"/>
        <w:rPr>
          <w:rFonts w:hint="eastAsia" w:ascii="宋体" w:hAnsi="宋体" w:cs="宋体"/>
          <w:sz w:val="24"/>
        </w:rPr>
      </w:pPr>
      <w:r>
        <w:rPr>
          <w:rFonts w:hint="eastAsia" w:ascii="宋体" w:hAnsi="宋体" w:cs="宋体"/>
          <w:sz w:val="24"/>
        </w:rPr>
        <w:t xml:space="preserve">注:检测方法</w:t>
      </w:r>
      <w:r/>
    </w:p>
    <w:p>
      <w:pPr>
        <w:pStyle w:val="1212"/>
        <w:ind w:firstLine="480"/>
        <w:spacing w:line="500" w:lineRule="exact"/>
        <w:rPr>
          <w:rFonts w:hint="eastAsia" w:ascii="宋体" w:hAnsi="宋体" w:cs="宋体"/>
          <w:sz w:val="24"/>
        </w:rPr>
      </w:pPr>
      <w:r>
        <w:rPr>
          <w:rFonts w:hint="eastAsia" w:ascii="宋体" w:hAnsi="宋体" w:cs="宋体"/>
          <w:sz w:val="24"/>
        </w:rPr>
        <w:t xml:space="preserve">1.商品包装中重金属(铅、汞、锅、六价铬) 总量的检 测按照 GB/T10004-2008《包装用塑料复合膜、袋于法复合、 挤出复合》规定的方法进行。</w:t>
      </w:r>
      <w:r/>
    </w:p>
    <w:p>
      <w:pPr>
        <w:pStyle w:val="1212"/>
        <w:ind w:firstLine="480"/>
        <w:spacing w:line="500" w:lineRule="exact"/>
        <w:rPr>
          <w:rFonts w:hint="eastAsia" w:ascii="宋体" w:hAnsi="宋体" w:cs="宋体"/>
          <w:sz w:val="24"/>
        </w:rPr>
      </w:pPr>
      <w:r>
        <w:rPr>
          <w:rFonts w:hint="eastAsia" w:ascii="宋体" w:hAnsi="宋体" w:cs="宋体"/>
          <w:sz w:val="24"/>
        </w:rPr>
        <w:t xml:space="preserve">2.商品包装印刷使用的油墨中挥发性有机化合物(VOCs) 的检测按照 GB/T23986-2009《色漆和清漆 挥发性有机化合 物(VOC)含量的测定 气相色谱法》规定的方法。</w:t>
      </w:r>
      <w:r/>
    </w:p>
    <w:p>
      <w:pPr>
        <w:pStyle w:val="1212"/>
        <w:ind w:firstLine="480"/>
        <w:spacing w:line="500" w:lineRule="exact"/>
        <w:rPr>
          <w:rFonts w:hint="eastAsia" w:ascii="宋体" w:hAnsi="宋体" w:cs="宋体"/>
          <w:sz w:val="24"/>
        </w:rPr>
      </w:pPr>
      <w:r>
        <w:rPr>
          <w:rFonts w:hint="eastAsia" w:ascii="宋体" w:hAnsi="宋体" w:cs="宋体"/>
          <w:sz w:val="24"/>
        </w:rPr>
        <w:t xml:space="preserve">2.3 安装规范及验收标准</w:t>
      </w:r>
      <w:r/>
    </w:p>
    <w:p>
      <w:pPr>
        <w:pStyle w:val="1212"/>
        <w:ind w:firstLine="480"/>
        <w:spacing w:line="500" w:lineRule="exact"/>
        <w:rPr>
          <w:rFonts w:hint="eastAsia" w:ascii="宋体" w:hAnsi="宋体" w:cs="宋体"/>
          <w:sz w:val="24"/>
        </w:rPr>
      </w:pPr>
      <w:r>
        <w:rPr>
          <w:rFonts w:hint="eastAsia" w:ascii="宋体" w:hAnsi="宋体" w:cs="宋体"/>
          <w:sz w:val="24"/>
        </w:rPr>
        <w:t xml:space="preserve">产品的安装规范按照规定流程逐步进行，用专用的测试工具对设备模块进行功能测试调整。</w:t>
      </w:r>
      <w:r/>
    </w:p>
    <w:p>
      <w:pPr>
        <w:pStyle w:val="1212"/>
        <w:ind w:firstLine="480"/>
        <w:spacing w:line="500" w:lineRule="exact"/>
        <w:rPr>
          <w:rFonts w:hint="eastAsia" w:ascii="宋体" w:hAnsi="宋体" w:cs="宋体"/>
          <w:b/>
          <w:bCs/>
          <w:sz w:val="28"/>
          <w:szCs w:val="36"/>
        </w:rPr>
      </w:pPr>
      <w:r>
        <w:rPr>
          <w:rFonts w:hint="eastAsia" w:ascii="宋体" w:hAnsi="宋体" w:cs="宋体"/>
          <w:b/>
          <w:bCs/>
          <w:sz w:val="28"/>
          <w:szCs w:val="36"/>
        </w:rPr>
        <w:t xml:space="preserve">十二、其它要求</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1、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、投标产品涉及到颜色或配件样式的，均需在供货前提供色卡</w:t>
      </w:r>
      <w:r>
        <w:rPr>
          <w:rFonts w:hint="eastAsia" w:ascii="宋体" w:hAnsi="宋体" w:cs="宋体"/>
          <w:sz w:val="24"/>
        </w:rPr>
        <w:t xml:space="preserve">或样式图片供采购人选择，经采购人确定后的颜色或样式方可进行生产及供货，否则损失自负。 </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、合同签订前，采购人有权要求中标人按投标文件提供的相关证书或材料的原件进行核查，发现弄虚作假的或提供的材料非法无效的，取消其中标资格并将相关情况汇报至财政监管机构处理。</w:t>
      </w:r>
      <w:r/>
    </w:p>
    <w:p>
      <w:pPr>
        <w:pStyle w:val="815"/>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、电梯设备自运抵用户现场至交付使用过程中的看护防盗工作由中标人自行负责，由于看管不力等造成的损失，由中标人自行承担。</w:t>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rPr>
          <w:rFonts w:ascii="宋体" w:hAnsi="宋体" w:cs="宋体"/>
          <w:sz w:val="24"/>
        </w:rPr>
      </w:r>
      <w:r/>
    </w:p>
    <w:p>
      <w:pPr>
        <w:pStyle w:val="815"/>
        <w:ind w:firstLine="480"/>
        <w:jc w:val="left"/>
        <w:spacing w:line="360" w:lineRule="auto"/>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rPr>
          <w:rFonts w:ascii="宋体" w:hAnsi="宋体" w:cs="宋体"/>
          <w:sz w:val="24"/>
        </w:rPr>
      </w:r>
      <w:r/>
    </w:p>
    <w:p>
      <w:pPr>
        <w:pStyle w:val="815"/>
        <w:ind w:firstLine="480"/>
        <w:spacing w:line="400" w:lineRule="exact"/>
        <w:rPr>
          <w:rFonts w:hint="eastAsia" w:ascii="宋体" w:hAnsi="宋体"/>
          <w:sz w:val="24"/>
          <w:szCs w:val="21"/>
          <w:highlight w:val="yellow"/>
        </w:rPr>
      </w:pPr>
      <w:r/>
      <w:bookmarkEnd w:id="176"/>
      <w:r>
        <w:rPr>
          <w:rFonts w:hint="eastAsia" w:ascii="宋体" w:hAnsi="宋体"/>
          <w:sz w:val="24"/>
          <w:szCs w:val="21"/>
          <w:highlight w:val="yellow"/>
        </w:rPr>
      </w:r>
      <w:r/>
    </w:p>
    <w:p>
      <w:pPr>
        <w:pStyle w:val="1272"/>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2"/>
        <w:ind w:firstLine="480"/>
        <w:jc w:val="both"/>
        <w:spacing w:before="0" w:beforeAutospacing="0" w:after="0" w:afterAutospacing="0" w:line="400" w:lineRule="exact"/>
        <w:widowControl w:val="off"/>
        <w:rPr>
          <w:rFonts w:hint="eastAsia" w:ascii="Times New Roman" w:hAnsi="Times New Roman" w:eastAsia="等线" w:cs="仿宋"/>
        </w:rPr>
      </w:pPr>
      <w:r>
        <w:rPr>
          <w:rFonts w:hint="eastAsia" w:ascii="Times New Roman" w:hAnsi="Times New Roman" w:eastAsia="等线" w:cs="仿宋"/>
        </w:rPr>
      </w:r>
      <w:r/>
    </w:p>
    <w:p>
      <w:pPr>
        <w:pStyle w:val="816"/>
        <w:jc w:val="center"/>
        <w:spacing w:before="200"/>
        <w:rPr>
          <w:rFonts w:ascii="Calibri" w:hAnsi="Calibri" w:eastAsia="宋体" w:cs="Times New Roman"/>
          <w:b/>
          <w:sz w:val="44"/>
          <w:szCs w:val="44"/>
        </w:rPr>
      </w:pPr>
      <w:r/>
      <w:bookmarkStart w:id="199" w:name="_Toc81575169"/>
      <w:r/>
      <w:bookmarkStart w:id="200" w:name="_Toc31499"/>
      <w:r/>
      <w:bookmarkStart w:id="201" w:name="_Toc2513"/>
      <w:r/>
      <w:bookmarkStart w:id="202" w:name="_Toc81575206"/>
      <w:r/>
      <w:bookmarkStart w:id="203" w:name="_Toc22098"/>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99"/>
      <w:r/>
      <w:bookmarkEnd w:id="200"/>
      <w:r/>
      <w:bookmarkEnd w:id="201"/>
      <w:r/>
      <w:bookmarkEnd w:id="202"/>
      <w:r/>
      <w:bookmarkEnd w:id="203"/>
      <w:r/>
      <w:bookmarkStart w:id="204" w:name="_Toc16938559"/>
      <w:r/>
      <w:bookmarkStart w:id="205" w:name="_Toc20823315"/>
      <w:r/>
      <w:bookmarkStart w:id="206" w:name="_Toc513029243"/>
      <w:r>
        <w:rPr>
          <w:rFonts w:ascii="Calibri" w:hAnsi="Calibri" w:eastAsia="宋体" w:cs="Times New Roman"/>
          <w:b/>
          <w:sz w:val="44"/>
          <w:szCs w:val="44"/>
        </w:rPr>
      </w:r>
      <w:r/>
    </w:p>
    <w:p>
      <w:pPr>
        <w:pStyle w:val="815"/>
        <w:jc w:val="center"/>
        <w:rPr>
          <w:rFonts w:hint="eastAsia" w:ascii="宋体" w:hAnsi="宋体" w:cs="宋体"/>
          <w:b/>
          <w:bCs/>
          <w:spacing w:val="-20"/>
          <w:sz w:val="32"/>
          <w:szCs w:val="32"/>
        </w:rPr>
      </w:pPr>
      <w:r>
        <w:rPr>
          <w:rFonts w:hint="eastAsia" w:ascii="宋体" w:hAnsi="宋体" w:cs="宋体"/>
          <w:b/>
          <w:bCs/>
          <w:spacing w:val="-20"/>
          <w:sz w:val="32"/>
          <w:szCs w:val="32"/>
        </w:rPr>
        <w:t xml:space="preserve">（草案）</w:t>
      </w:r>
      <w:r/>
    </w:p>
    <w:p>
      <w:pPr>
        <w:pStyle w:val="815"/>
        <w:spacing w:line="400" w:lineRule="exact"/>
        <w:rPr>
          <w:rFonts w:ascii="宋体" w:hAnsi="宋体" w:cs="宋体"/>
          <w:b/>
          <w:bCs/>
          <w:spacing w:val="-20"/>
          <w:sz w:val="32"/>
          <w:szCs w:val="32"/>
        </w:rPr>
      </w:pPr>
      <w:r>
        <w:rPr>
          <w:rFonts w:ascii="宋体" w:hAnsi="宋体" w:cs="宋体"/>
          <w:b/>
          <w:bCs/>
          <w:spacing w:val="-20"/>
          <w:sz w:val="32"/>
          <w:szCs w:val="32"/>
        </w:rPr>
      </w:r>
      <w:r/>
    </w:p>
    <w:p>
      <w:pPr>
        <w:pStyle w:val="815"/>
        <w:spacing w:line="500" w:lineRule="exact"/>
        <w:rPr>
          <w:rFonts w:hint="eastAsia" w:ascii="宋体" w:hAnsi="宋体"/>
          <w:bCs/>
          <w:sz w:val="24"/>
          <w:szCs w:val="24"/>
        </w:rPr>
      </w:pPr>
      <w:r>
        <w:rPr>
          <w:rFonts w:hint="eastAsia" w:ascii="宋体" w:hAnsi="宋体"/>
          <w:bCs/>
          <w:sz w:val="24"/>
          <w:szCs w:val="24"/>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bookmarkStart w:id="207" w:name="_Hlk187856708"/>
      <w:r>
        <w:rPr>
          <w:rFonts w:ascii="宋体" w:hAnsi="宋体" w:eastAsia="宋体" w:cs="宋体"/>
          <w:b/>
          <w:bCs/>
          <w:spacing w:val="-20"/>
          <w:lang w:eastAsia="zh-CN"/>
        </w:rPr>
      </w:r>
      <w:r/>
    </w:p>
    <w:p>
      <w:pPr>
        <w:pStyle w:val="815"/>
        <w:spacing w:line="400" w:lineRule="exact"/>
        <w:rPr>
          <w:rFonts w:ascii="宋体" w:hAnsi="宋体"/>
          <w:bCs/>
          <w:sz w:val="24"/>
          <w:szCs w:val="24"/>
        </w:rPr>
      </w:pPr>
      <w:r/>
      <w:bookmarkEnd w:id="204"/>
      <w:r/>
      <w:bookmarkEnd w:id="205"/>
      <w:r/>
      <w:bookmarkEnd w:id="206"/>
      <w:r/>
      <w:bookmarkEnd w:id="207"/>
      <w:r/>
      <w:bookmarkStart w:id="208" w:name="_Toc81575207"/>
      <w:r/>
      <w:bookmarkStart w:id="209" w:name="_Toc9003"/>
      <w:r/>
      <w:bookmarkStart w:id="210" w:name="_Toc19649"/>
      <w:r/>
      <w:bookmarkStart w:id="211" w:name="_Toc81575170"/>
      <w:r/>
      <w:bookmarkStart w:id="212" w:name="_Toc12937"/>
      <w:r/>
      <w:bookmarkStart w:id="213" w:name="_Toc22853"/>
      <w:r>
        <w:rPr>
          <w:rFonts w:ascii="宋体" w:hAnsi="宋体"/>
          <w:bCs/>
          <w:sz w:val="24"/>
          <w:szCs w:val="24"/>
        </w:rPr>
      </w:r>
      <w:r/>
    </w:p>
    <w:p>
      <w:pPr>
        <w:pStyle w:val="815"/>
        <w:spacing w:line="500" w:lineRule="exact"/>
        <w:rPr>
          <w:rFonts w:hint="eastAsia" w:ascii="宋体" w:hAnsi="宋体"/>
          <w:bCs/>
          <w:sz w:val="24"/>
          <w:szCs w:val="24"/>
        </w:rPr>
      </w:pPr>
      <w:r>
        <w:rPr>
          <w:rFonts w:hint="eastAsia" w:ascii="宋体" w:hAnsi="宋体"/>
          <w:bCs/>
          <w:sz w:val="24"/>
          <w:szCs w:val="24"/>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53"/>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rPr>
          <w:rFonts w:ascii="宋体" w:hAnsi="宋体" w:cs="宋体"/>
          <w:b/>
          <w:bCs/>
          <w:spacing w:val="-20"/>
          <w:sz w:val="40"/>
          <w:szCs w:val="40"/>
        </w:rPr>
      </w:pPr>
      <w:r>
        <w:rPr>
          <w:rFonts w:ascii="宋体" w:hAnsi="宋体" w:cs="宋体"/>
          <w:b/>
          <w:bCs/>
          <w:spacing w:val="-20"/>
          <w:sz w:val="40"/>
          <w:szCs w:val="40"/>
        </w:rPr>
      </w:r>
      <w:r/>
    </w:p>
    <w:p>
      <w:pPr>
        <w:pStyle w:val="81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rFonts w:hint="eastAsia"/>
          <w:sz w:val="28"/>
          <w:szCs w:val="28"/>
          <w:u w:val="single"/>
        </w:rPr>
        <w:t xml:space="preserve">                        </w:t>
      </w:r>
      <w:r>
        <w:rPr>
          <w:sz w:val="28"/>
          <w:szCs w:val="28"/>
        </w:rPr>
      </w:r>
      <w:r/>
    </w:p>
    <w:p>
      <w:pPr>
        <w:pStyle w:val="81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1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5"/>
      </w:p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eastAsia="黑体"/>
          <w:sz w:val="44"/>
          <w:szCs w:val="44"/>
        </w:rPr>
      </w:pPr>
      <w:r>
        <w:rPr>
          <w:rFonts w:eastAsia="黑体"/>
          <w:sz w:val="44"/>
          <w:szCs w:val="44"/>
        </w:rPr>
      </w:r>
      <w:r/>
    </w:p>
    <w:p>
      <w:pPr>
        <w:pStyle w:val="815"/>
        <w:rPr>
          <w:rFonts w:hint="eastAsia" w:eastAsia="黑体"/>
          <w:sz w:val="44"/>
          <w:szCs w:val="44"/>
        </w:rPr>
      </w:pPr>
      <w:r>
        <w:rPr>
          <w:rFonts w:hint="eastAsia" w:eastAsia="黑体"/>
          <w:sz w:val="44"/>
          <w:szCs w:val="44"/>
        </w:rPr>
      </w:r>
      <w:r/>
    </w:p>
    <w:p>
      <w:pPr>
        <w:pStyle w:val="815"/>
        <w:rPr>
          <w:rFonts w:eastAsia="黑体"/>
          <w:sz w:val="44"/>
          <w:szCs w:val="44"/>
        </w:rPr>
      </w:pPr>
      <w:r>
        <w:rPr>
          <w:rFonts w:eastAsia="黑体"/>
          <w:sz w:val="44"/>
          <w:szCs w:val="44"/>
        </w:rPr>
      </w:r>
      <w:r/>
    </w:p>
    <w:p>
      <w:pPr>
        <w:pStyle w:val="815"/>
        <w:rPr>
          <w:rFonts w:hint="eastAsia" w:eastAsia="黑体"/>
          <w:sz w:val="44"/>
          <w:szCs w:val="44"/>
        </w:rPr>
      </w:pPr>
      <w:r>
        <w:rPr>
          <w:rFonts w:hint="eastAsia" w:eastAsia="黑体"/>
          <w:sz w:val="44"/>
          <w:szCs w:val="44"/>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ascii="宋体" w:hAnsi="宋体"/>
          <w:sz w:val="32"/>
          <w:szCs w:val="32"/>
        </w:rPr>
      </w:r>
      <w:r/>
    </w:p>
    <w:p>
      <w:pPr>
        <w:pStyle w:val="81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5"/>
        <w:ind w:firstLine="480"/>
        <w:spacing w:line="480" w:lineRule="exact"/>
        <w:rPr>
          <w:rFonts w:ascii="宋体" w:hAnsi="宋体"/>
          <w:sz w:val="24"/>
          <w:szCs w:val="24"/>
        </w:rPr>
      </w:pPr>
      <w:r>
        <w:rPr>
          <w:rFonts w:ascii="宋体" w:hAnsi="宋体"/>
          <w:sz w:val="24"/>
          <w:szCs w:val="24"/>
        </w:rPr>
        <w:t xml:space="preserve">1.本合同标准文本适用于购买现成货物的采购项目，不包括需要</w:t>
      </w:r>
      <w:r>
        <w:rPr>
          <w:rFonts w:hint="eastAsia" w:ascii="宋体" w:hAnsi="宋体"/>
          <w:sz w:val="24"/>
          <w:szCs w:val="24"/>
        </w:rPr>
        <w:t xml:space="preserve">投标人</w:t>
      </w:r>
      <w:r>
        <w:rPr>
          <w:rFonts w:ascii="宋体" w:hAnsi="宋体"/>
          <w:sz w:val="24"/>
          <w:szCs w:val="24"/>
        </w:rPr>
        <w:t xml:space="preserve">定制开发、创新研发的货物采购项目。</w:t>
      </w:r>
      <w:r/>
    </w:p>
    <w:p>
      <w:pPr>
        <w:pStyle w:val="815"/>
        <w:spacing w:line="480" w:lineRule="exact"/>
        <w:rPr>
          <w:rFonts w:ascii="宋体" w:hAnsi="宋体"/>
          <w:sz w:val="24"/>
          <w:szCs w:val="24"/>
        </w:rPr>
      </w:pPr>
      <w:r>
        <w:rPr>
          <w:rFonts w:ascii="宋体" w:hAnsi="宋体"/>
          <w:sz w:val="24"/>
          <w:szCs w:val="24"/>
        </w:rPr>
        <w:t xml:space="preserve">    2.本合同标准文本为政府采购货物买卖合同编制提供参考，可以结合采购项目具体情况，对文本作必要的调整修订后使用。</w:t>
      </w:r>
      <w:r/>
    </w:p>
    <w:p>
      <w:pPr>
        <w:pStyle w:val="815"/>
        <w:ind w:firstLine="480"/>
        <w:spacing w:line="480" w:lineRule="exact"/>
        <w:rPr>
          <w:rFonts w:ascii="宋体" w:hAnsi="宋体"/>
          <w:sz w:val="24"/>
          <w:szCs w:val="24"/>
        </w:rPr>
      </w:pPr>
      <w:r>
        <w:rPr>
          <w:rFonts w:ascii="宋体" w:hAnsi="宋体"/>
          <w:sz w:val="24"/>
          <w:szCs w:val="24"/>
        </w:rPr>
        <w:t xml:space="preserve">3.本合同标准文本各条款中，如涉及填写多家</w:t>
      </w:r>
      <w:r>
        <w:rPr>
          <w:rFonts w:hint="eastAsia" w:ascii="宋体" w:hAnsi="宋体"/>
          <w:sz w:val="24"/>
          <w:szCs w:val="24"/>
        </w:rPr>
        <w:t xml:space="preserve">投标人</w:t>
      </w:r>
      <w:r>
        <w:rPr>
          <w:rFonts w:ascii="宋体" w:hAnsi="宋体"/>
          <w:sz w:val="24"/>
          <w:szCs w:val="24"/>
        </w:rPr>
        <w:t xml:space="preserve">、制造商，多种采购标的、分包主要内容等信息的，可根据采购项目具体情况添加信息项。</w:t>
      </w:r>
      <w:r/>
    </w:p>
    <w:p>
      <w:pPr>
        <w:pStyle w:val="815"/>
        <w:ind w:firstLine="560"/>
        <w:rPr>
          <w:rFonts w:ascii="Times New Roman" w:hAnsi="Times New Roman"/>
          <w:sz w:val="28"/>
          <w:szCs w:val="28"/>
        </w:rPr>
      </w:pPr>
      <w:r>
        <w:rPr>
          <w:rFonts w:ascii="Times New Roman" w:hAnsi="Times New Roman"/>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5"/>
        <w:ind w:firstLine="560"/>
        <w:rPr>
          <w:rFonts w:ascii="宋体" w:hAnsi="宋体" w:cs="仿宋_GB2312"/>
          <w:sz w:val="28"/>
          <w:szCs w:val="28"/>
        </w:rPr>
      </w:pPr>
      <w:r>
        <w:rPr>
          <w:rFonts w:ascii="宋体" w:hAnsi="宋体" w:cs="仿宋_GB2312"/>
          <w:sz w:val="28"/>
          <w:szCs w:val="28"/>
        </w:rPr>
      </w:r>
      <w:r/>
    </w:p>
    <w:p>
      <w:pPr>
        <w:pStyle w:val="817"/>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5"/>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w:t>
      </w:r>
      <w:r>
        <w:rPr>
          <w:rFonts w:ascii="宋体" w:hAnsi="宋体"/>
          <w:sz w:val="24"/>
          <w:szCs w:val="24"/>
        </w:rPr>
      </w:r>
      <w:r/>
    </w:p>
    <w:p>
      <w:pPr>
        <w:pStyle w:val="815"/>
        <w:ind w:firstLine="480"/>
        <w:spacing w:line="400" w:lineRule="exact"/>
        <w:rPr>
          <w:rFonts w:hint="eastAsia"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p>
    <w:p>
      <w:pPr>
        <w:pStyle w:val="815"/>
        <w:ind w:firstLine="480"/>
        <w:spacing w:line="400" w:lineRule="exact"/>
        <w:rPr>
          <w:rFonts w:hint="eastAsia" w:ascii="宋体" w:hAnsi="宋体"/>
          <w:sz w:val="24"/>
          <w:szCs w:val="24"/>
        </w:rPr>
      </w:pPr>
      <w:r/>
      <w:bookmarkStart w:id="214" w:name="_Hlk187832913"/>
      <w:r>
        <w:rPr>
          <w:rFonts w:hint="eastAsia" w:ascii="宋体" w:hAnsi="宋体"/>
          <w:sz w:val="24"/>
          <w:szCs w:val="24"/>
        </w:rPr>
        <w:t xml:space="preserve">依据《中华人民共和国民法典》、《中华人民共和国政府采购法》等有关的法律</w:t>
      </w:r>
      <w:r>
        <w:rPr>
          <w:rFonts w:hint="eastAsia" w:ascii="宋体" w:hAnsi="宋体"/>
          <w:sz w:val="24"/>
          <w:szCs w:val="24"/>
        </w:rPr>
        <w:t xml:space="preserve">法规，以及本采购项目采购文件、乙方的《投标文件》及《中标通知书》，甲乙双方同意签订本合同。具体情况及要求如下： </w:t>
      </w:r>
      <w:r/>
    </w:p>
    <w:p>
      <w:pPr>
        <w:pStyle w:val="815"/>
        <w:ind w:firstLine="482"/>
        <w:spacing w:line="400" w:lineRule="exact"/>
        <w:rPr>
          <w:rFonts w:hint="eastAsia" w:ascii="宋体" w:hAnsi="宋体"/>
          <w:b/>
          <w:bCs/>
          <w:sz w:val="24"/>
          <w:szCs w:val="24"/>
        </w:rPr>
      </w:pPr>
      <w:r/>
      <w:bookmarkEnd w:id="214"/>
      <w:r>
        <w:rPr>
          <w:rFonts w:hint="eastAsia" w:ascii="宋体" w:hAnsi="宋体"/>
          <w:b/>
          <w:bCs/>
          <w:sz w:val="24"/>
          <w:szCs w:val="24"/>
        </w:rPr>
        <w:t xml:space="preserve">项目信息</w:t>
      </w:r>
      <w:r/>
    </w:p>
    <w:p>
      <w:pPr>
        <w:pStyle w:val="815"/>
        <w:ind w:firstLine="480"/>
        <w:spacing w:line="400" w:lineRule="exact"/>
        <w:rPr>
          <w:rFonts w:ascii="Times New Roman" w:hAnsi="Times New Roman"/>
          <w:sz w:val="24"/>
          <w:szCs w:val="24"/>
          <w:u w:val="single"/>
        </w:rPr>
      </w:pPr>
      <w:r/>
      <w:bookmarkStart w:id="215"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5"/>
        <w:ind w:firstLine="96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标的名称：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5"/>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rPr>
          <w:rFonts w:ascii="Times New Roman" w:hAnsi="Times New Roman"/>
          <w:sz w:val="24"/>
          <w:szCs w:val="24"/>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是否涉及绿色</w:t>
      </w:r>
      <w:r>
        <w:rPr>
          <w:rFonts w:ascii="Times New Roman" w:hAnsi="Times New Roman"/>
          <w:sz w:val="24"/>
          <w:szCs w:val="24"/>
        </w:rPr>
        <w:t xml:space="preserve">产品：</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5"/>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5"/>
        <w:numPr>
          <w:ilvl w:val="0"/>
          <w:numId w:val="3"/>
        </w:numPr>
        <w:ind w:firstLine="482"/>
        <w:spacing w:line="400" w:lineRule="exact"/>
        <w:rPr>
          <w:rFonts w:ascii="宋体" w:hAnsi="宋体"/>
          <w:b/>
          <w:sz w:val="24"/>
          <w:szCs w:val="24"/>
        </w:rPr>
      </w:pPr>
      <w:r/>
      <w:bookmarkEnd w:id="215"/>
      <w:r>
        <w:rPr>
          <w:rFonts w:hint="eastAsia" w:ascii="宋体" w:hAnsi="宋体"/>
          <w:b/>
          <w:sz w:val="24"/>
          <w:szCs w:val="24"/>
        </w:rPr>
        <w:t xml:space="preserve">合同金额</w:t>
      </w:r>
      <w:r>
        <w:rPr>
          <w:rFonts w:ascii="宋体" w:hAnsi="宋体"/>
          <w:b/>
          <w:sz w:val="24"/>
          <w:szCs w:val="24"/>
        </w:rPr>
      </w:r>
      <w:r/>
    </w:p>
    <w:p>
      <w:pPr>
        <w:pStyle w:val="815"/>
        <w:ind w:firstLine="480"/>
        <w:spacing w:line="400" w:lineRule="exact"/>
        <w:rPr>
          <w:rFonts w:ascii="宋体" w:hAnsi="宋体"/>
          <w:sz w:val="24"/>
          <w:szCs w:val="24"/>
        </w:rPr>
      </w:pPr>
      <w:r/>
      <w:bookmarkStart w:id="216"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16"/>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5"/>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5"/>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224"/>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15"/>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15"/>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217" w:name="_Hlk187834001"/>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15"/>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预付款：合同签订后10个工作日内，预付款支付</w:t>
      </w:r>
      <w:r>
        <w:rPr>
          <w:rFonts w:hint="eastAsia" w:ascii="宋体" w:hAnsi="宋体" w:cs="Courier New"/>
          <w:sz w:val="24"/>
          <w:szCs w:val="24"/>
        </w:rPr>
        <w:t xml:space="preserve">比例：合同金额的30</w:t>
      </w:r>
      <w:r>
        <w:rPr>
          <w:rFonts w:ascii="宋体" w:hAnsi="宋体" w:cs="Courier New"/>
          <w:sz w:val="24"/>
          <w:szCs w:val="24"/>
        </w:rPr>
        <w:t xml:space="preserve">%</w:t>
      </w:r>
      <w:r>
        <w:rPr>
          <w:rFonts w:hint="eastAsia" w:ascii="宋体" w:hAnsi="宋体" w:cs="Courier New"/>
          <w:sz w:val="24"/>
          <w:szCs w:val="24"/>
        </w:rPr>
        <w:t xml:space="preserve">。</w:t>
      </w:r>
      <w:r/>
    </w:p>
    <w:p>
      <w:pPr>
        <w:pStyle w:val="815"/>
        <w:ind w:firstLine="480"/>
        <w:spacing w:line="400" w:lineRule="exact"/>
        <w:rPr>
          <w:rFonts w:ascii="宋体" w:hAnsi="宋体" w:cs="Courier New"/>
          <w:sz w:val="24"/>
          <w:szCs w:val="24"/>
        </w:rPr>
      </w:pPr>
      <w:r>
        <w:rPr>
          <w:rFonts w:hint="eastAsia" w:ascii="宋体" w:hAnsi="宋体" w:cs="Courier New"/>
          <w:sz w:val="24"/>
          <w:szCs w:val="24"/>
        </w:rPr>
        <w:t xml:space="preserve">第二次支付：采购人收到发票后</w:t>
      </w:r>
      <w:r>
        <w:rPr>
          <w:rFonts w:ascii="宋体" w:hAnsi="宋体" w:cs="Courier New"/>
          <w:sz w:val="24"/>
          <w:szCs w:val="24"/>
        </w:rPr>
        <w:t xml:space="preserve">10</w:t>
      </w:r>
      <w:r>
        <w:rPr>
          <w:rFonts w:hint="eastAsia" w:ascii="宋体" w:hAnsi="宋体" w:cs="Courier New"/>
          <w:sz w:val="24"/>
          <w:szCs w:val="24"/>
        </w:rPr>
        <w:t xml:space="preserve">个工作日内支付，支付比例：合同金额的90</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r>
      <w:r/>
    </w:p>
    <w:p>
      <w:pPr>
        <w:pStyle w:val="815"/>
        <w:ind w:firstLine="480"/>
        <w:spacing w:line="400" w:lineRule="exact"/>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p>
      <w:pPr>
        <w:pStyle w:val="815"/>
        <w:ind w:firstLine="480"/>
        <w:spacing w:line="400" w:lineRule="exact"/>
        <w:rPr>
          <w:rFonts w:ascii="宋体" w:hAnsi="宋体" w:cs="Courier New"/>
          <w:bCs/>
          <w:sz w:val="24"/>
          <w:szCs w:val="24"/>
        </w:rPr>
      </w:pPr>
      <w:r/>
      <w:bookmarkEnd w:id="217"/>
      <w:r>
        <w:rPr>
          <w:rFonts w:hint="eastAsia" w:ascii="宋体" w:hAnsi="宋体" w:cs="Courier New"/>
          <w:bCs/>
          <w:sz w:val="24"/>
          <w:szCs w:val="24"/>
        </w:rPr>
        <w:t xml:space="preserve">（备注：根据《关于进一步提高政府采购透明度和采购效率相关事项的通知》（财办库〔2023〕243号）规定，对于有预付安排的合同，鼓励采购人将合同预付款比例提高到30%以上。</w:t>
      </w:r>
      <w:r>
        <w:rPr>
          <w:rFonts w:ascii="宋体" w:hAnsi="宋体" w:cs="Courier New"/>
          <w:bCs/>
          <w:sz w:val="24"/>
          <w:szCs w:val="24"/>
        </w:rPr>
      </w:r>
      <w:r/>
    </w:p>
    <w:p>
      <w:pPr>
        <w:pStyle w:val="815"/>
        <w:ind w:firstLine="480"/>
        <w:spacing w:line="400" w:lineRule="exact"/>
        <w:rPr>
          <w:sz w:val="24"/>
          <w:szCs w:val="24"/>
        </w:rPr>
      </w:pPr>
      <w:r>
        <w:rPr>
          <w:rFonts w:hint="eastAsia" w:ascii="宋体" w:hAnsi="宋体" w:cs="Courier New"/>
          <w:bCs/>
          <w:sz w:val="24"/>
          <w:szCs w:val="24"/>
        </w:rPr>
        <w:t xml:space="preserve">对于满足合同约定支付条件的，采购人原则上应当自收到发票后10个工作日内将资金支付到合同约定的投标人账户，鼓励采购人完善内部流程，自收到发票后1个工作日内完成资金支付事宜。招标文件定稿后该备注删除。）</w:t>
      </w:r>
      <w:r>
        <w:rPr>
          <w:sz w:val="24"/>
          <w:szCs w:val="24"/>
        </w:rPr>
      </w:r>
      <w:r/>
    </w:p>
    <w:p>
      <w:pPr>
        <w:pStyle w:val="815"/>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5"/>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5"/>
        <w:ind w:left="482"/>
        <w:spacing w:line="400" w:lineRule="exact"/>
        <w:rPr>
          <w:rFonts w:ascii="Times New Roman" w:hAnsi="Times New Roman"/>
          <w:b/>
          <w:sz w:val="24"/>
          <w:szCs w:val="24"/>
          <w:u w:val="single"/>
        </w:rPr>
      </w:pPr>
      <w:r/>
      <w:bookmarkStart w:id="218"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5"/>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19"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219"/>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w:t>
      </w:r>
      <w:r>
        <w:rPr>
          <w:rFonts w:ascii="Times New Roman" w:hAnsi="Times New Roman"/>
          <w:bCs/>
          <w:sz w:val="24"/>
          <w:szCs w:val="24"/>
        </w:rPr>
        <w:t xml:space="preserve">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220"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5"/>
        <w:ind w:firstLine="480"/>
        <w:spacing w:line="400" w:lineRule="exact"/>
        <w:rPr>
          <w:rFonts w:ascii="Times New Roman" w:hAnsi="Times New Roman"/>
          <w:sz w:val="24"/>
          <w:szCs w:val="24"/>
        </w:rPr>
      </w:pPr>
      <w:r/>
      <w:bookmarkEnd w:id="220"/>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w:t>
      </w:r>
      <w:r>
        <w:rPr>
          <w:rFonts w:ascii="Times New Roman" w:hAnsi="Times New Roman"/>
          <w:bCs/>
          <w:sz w:val="24"/>
          <w:szCs w:val="24"/>
        </w:rPr>
        <w:t xml:space="preserve">外。</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rPr>
      </w:r>
      <w:r/>
    </w:p>
    <w:p>
      <w:pPr>
        <w:pStyle w:val="815"/>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5"/>
        <w:ind w:left="482"/>
        <w:spacing w:line="400" w:lineRule="exact"/>
        <w:rPr>
          <w:rFonts w:ascii="宋体" w:hAnsi="宋体"/>
          <w:b/>
          <w:sz w:val="24"/>
          <w:szCs w:val="24"/>
        </w:rPr>
      </w:pPr>
      <w:r/>
      <w:bookmarkEnd w:id="218"/>
      <w:r/>
      <w:bookmarkStart w:id="221" w:name="_Hlk187834828"/>
      <w:r>
        <w:rPr>
          <w:rFonts w:hint="eastAsia" w:ascii="宋体" w:hAnsi="宋体"/>
          <w:b/>
          <w:sz w:val="24"/>
          <w:szCs w:val="24"/>
        </w:rPr>
        <w:t xml:space="preserve">3.合同验收</w:t>
      </w:r>
      <w:r>
        <w:rPr>
          <w:rFonts w:ascii="宋体" w:hAnsi="宋体"/>
          <w:b/>
          <w:sz w:val="24"/>
          <w:szCs w:val="24"/>
        </w:rPr>
      </w:r>
      <w:r/>
    </w:p>
    <w:p>
      <w:pPr>
        <w:pStyle w:val="815"/>
        <w:numPr>
          <w:ilvl w:val="0"/>
          <w:numId w:val="4"/>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5"/>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5"/>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5"/>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5"/>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5"/>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w:t>
      </w:r>
      <w:r>
        <w:rPr>
          <w:rFonts w:hint="eastAsia" w:ascii="Times New Roman" w:hAnsi="Times New Roman"/>
          <w:bCs/>
          <w:sz w:val="24"/>
          <w:szCs w:val="24"/>
        </w:rPr>
        <w:t xml:space="preserve">定验收工作实施方案，按照方案开展验收；履约验收工作结束后，验收小组应形成书面验收意见。</w:t>
      </w:r>
      <w:r>
        <w:rPr>
          <w:rFonts w:ascii="Times New Roman" w:hAnsi="Times New Roman"/>
          <w:bCs/>
          <w:sz w:val="24"/>
          <w:szCs w:val="24"/>
        </w:rPr>
      </w:r>
      <w:r/>
    </w:p>
    <w:p>
      <w:pPr>
        <w:pStyle w:val="815"/>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5"/>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5"/>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5"/>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275"/>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5"/>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5"/>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5"/>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5"/>
        <w:ind w:firstLine="480"/>
        <w:spacing w:line="400" w:lineRule="exact"/>
        <w:rPr>
          <w:rFonts w:ascii="宋体" w:hAnsi="宋体"/>
          <w:sz w:val="24"/>
          <w:szCs w:val="24"/>
        </w:rPr>
      </w:pPr>
      <w:r/>
      <w:bookmarkEnd w:id="221"/>
      <w:r/>
      <w:bookmarkStart w:id="222"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5"/>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法定代表人</w:t>
            </w:r>
            <w:r/>
          </w:p>
          <w:p>
            <w:pPr>
              <w:pStyle w:val="815"/>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法定代表人</w:t>
            </w:r>
            <w:r/>
          </w:p>
          <w:p>
            <w:pPr>
              <w:pStyle w:val="8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5"/>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5"/>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54"/>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263"/>
      </w:pPr>
      <w:r/>
      <w:bookmarkEnd w:id="222"/>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rPr>
          <w:rFonts w:hint="eastAsia"/>
        </w:rPr>
      </w:pPr>
      <w:r>
        <w:rPr>
          <w:rFonts w:hint="eastAsia"/>
        </w:rPr>
      </w:r>
      <w:r/>
    </w:p>
    <w:p>
      <w:pPr>
        <w:pStyle w:val="830"/>
      </w:pPr>
      <w:r/>
      <w:r/>
    </w:p>
    <w:p>
      <w:pPr>
        <w:pStyle w:val="830"/>
      </w:pPr>
      <w:r/>
      <w:r/>
    </w:p>
    <w:p>
      <w:pPr>
        <w:pStyle w:val="830"/>
      </w:pPr>
      <w:r/>
      <w:r/>
    </w:p>
    <w:p>
      <w:pPr>
        <w:pStyle w:val="830"/>
      </w:pPr>
      <w:r/>
      <w:r/>
    </w:p>
    <w:p>
      <w:pPr>
        <w:pStyle w:val="830"/>
      </w:pPr>
      <w:r/>
      <w:r/>
    </w:p>
    <w:p>
      <w:pPr>
        <w:pStyle w:val="830"/>
      </w:pPr>
      <w:r/>
      <w:r/>
    </w:p>
    <w:p>
      <w:pPr>
        <w:pStyle w:val="830"/>
        <w:rPr>
          <w:rFonts w:hint="eastAsia"/>
        </w:rPr>
      </w:pPr>
      <w:r>
        <w:rPr>
          <w:rFonts w:hint="eastAsia"/>
        </w:rPr>
      </w:r>
      <w:r/>
    </w:p>
    <w:p>
      <w:pPr>
        <w:pStyle w:val="817"/>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5"/>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w:t>
      </w:r>
      <w:r>
        <w:rPr>
          <w:rFonts w:ascii="Times New Roman" w:hAnsi="Times New Roman"/>
          <w:sz w:val="24"/>
          <w:szCs w:val="24"/>
        </w:rPr>
        <w:t xml:space="preserve">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5"/>
        <w:ind w:firstLine="480"/>
        <w:spacing w:line="400" w:lineRule="exact"/>
        <w:rPr>
          <w:rFonts w:ascii="宋体" w:hAnsi="宋体"/>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w:t>
      </w:r>
      <w:r>
        <w:rPr>
          <w:rFonts w:ascii="宋体" w:hAnsi="宋体"/>
          <w:sz w:val="24"/>
          <w:szCs w:val="24"/>
        </w:rPr>
        <w:t xml:space="preserve">险、检验、现场准备、安装、集成、调试、培训、维修、废弃处</w:t>
      </w:r>
      <w:r>
        <w:rPr>
          <w:rFonts w:ascii="宋体" w:hAnsi="宋体"/>
          <w:sz w:val="24"/>
          <w:szCs w:val="24"/>
        </w:rPr>
        <w:t xml:space="preserve">置、技术支持等以及合同中规定乙方应承担的</w:t>
      </w:r>
      <w:r>
        <w:rPr>
          <w:rFonts w:ascii="宋体" w:hAnsi="宋体"/>
          <w:sz w:val="24"/>
          <w:szCs w:val="24"/>
          <w:lang w:val="en"/>
        </w:rPr>
        <w:t xml:space="preserve">其他</w:t>
      </w:r>
      <w:r>
        <w:rPr>
          <w:rFonts w:ascii="宋体" w:hAnsi="宋体"/>
          <w:sz w:val="24"/>
          <w:szCs w:val="24"/>
        </w:rPr>
        <w:t xml:space="preserve">义务。</w:t>
      </w:r>
      <w:r/>
    </w:p>
    <w:p>
      <w:pPr>
        <w:pStyle w:val="815"/>
        <w:ind w:firstLine="480"/>
        <w:spacing w:line="400" w:lineRule="exact"/>
        <w:rPr>
          <w:rFonts w:ascii="Times New Roman" w:hAnsi="Times New Roman"/>
          <w:sz w:val="24"/>
          <w:szCs w:val="24"/>
        </w:rPr>
      </w:pPr>
      <w:r>
        <w:rPr>
          <w:rFonts w:ascii="宋体" w:hAnsi="宋体"/>
          <w:sz w:val="24"/>
          <w:szCs w:val="24"/>
        </w:rPr>
        <w:t xml:space="preserve">（5）“分包”系指中标</w:t>
      </w:r>
      <w:r>
        <w:rPr>
          <w:rFonts w:hint="eastAsia" w:ascii="宋体" w:hAnsi="宋体"/>
          <w:sz w:val="24"/>
          <w:szCs w:val="24"/>
        </w:rPr>
        <w:t xml:space="preserve">投标人</w:t>
      </w:r>
      <w:r>
        <w:rPr>
          <w:rFonts w:ascii="宋体" w:hAnsi="宋体"/>
          <w:sz w:val="24"/>
          <w:szCs w:val="24"/>
        </w:rPr>
        <w:t xml:space="preserve">按采购文件、投标文件的规定，根据分包意向协议，将中标项目中的部分履约内容，分给具有相应资质条件的</w:t>
      </w:r>
      <w:r>
        <w:rPr>
          <w:rFonts w:hint="eastAsia" w:ascii="宋体" w:hAnsi="宋体"/>
          <w:sz w:val="24"/>
          <w:szCs w:val="24"/>
        </w:rPr>
        <w:t xml:space="preserve">投标人</w:t>
      </w:r>
      <w:r>
        <w:rPr>
          <w:rFonts w:ascii="宋体" w:hAnsi="宋体"/>
          <w:sz w:val="24"/>
          <w:szCs w:val="24"/>
        </w:rPr>
        <w:t xml:space="preserve">履</w:t>
      </w:r>
      <w:r>
        <w:rPr>
          <w:rFonts w:ascii="Times New Roman" w:hAnsi="Times New Roman"/>
          <w:sz w:val="24"/>
          <w:szCs w:val="24"/>
        </w:rPr>
        <w:t xml:space="preserve">行合同的行为。</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5"/>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5"/>
        <w:numPr>
          <w:ilvl w:val="0"/>
          <w:numId w:val="5"/>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5"/>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.2 甲方有权要求乙方按时提交各阶段有关安排计划，并有权定期核对乙方提供货物数量、规格、质量等内容。甲方有权督促乙方工作并要求乙方更换不符合要求的货物。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5"/>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w:t>
      </w:r>
      <w:r>
        <w:rPr>
          <w:rFonts w:ascii="Times New Roman" w:hAnsi="Times New Roman"/>
          <w:sz w:val="24"/>
          <w:szCs w:val="24"/>
        </w:rPr>
        <w:t xml:space="preserve">义务和责任。</w:t>
      </w:r>
      <w:r/>
    </w:p>
    <w:p>
      <w:pPr>
        <w:pStyle w:val="815"/>
        <w:numPr>
          <w:ilvl w:val="0"/>
          <w:numId w:val="6"/>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7.5 乙方在</w:t>
      </w:r>
      <w:r>
        <w:rPr>
          <w:rFonts w:ascii="Times New Roman" w:hAnsi="Times New Roman"/>
          <w:sz w:val="24"/>
          <w:szCs w:val="24"/>
        </w:rPr>
        <w:t xml:space="preserve">运输到达之前应提前通知甲方，并提示货物运输装卸的注意事项，甲方配合乙方做好货物的接收工作。</w:t>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59"/>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9"/>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w:t>
      </w:r>
      <w:r>
        <w:rPr>
          <w:rFonts w:ascii="Times New Roman" w:hAnsi="Times New Roman"/>
          <w:sz w:val="24"/>
          <w:szCs w:val="24"/>
        </w:rPr>
        <w:t xml:space="preserve">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w:t>
      </w:r>
      <w:r>
        <w:rPr>
          <w:rFonts w:ascii="Times New Roman" w:hAnsi="Times New Roman"/>
          <w:sz w:val="24"/>
          <w:szCs w:val="24"/>
        </w:rPr>
        <w:t xml:space="preserve">向乙方追偿。甲方有其他损失的，乙方应当赔偿。</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w:t>
      </w:r>
      <w:r>
        <w:rPr>
          <w:rFonts w:ascii="Times New Roman" w:hAnsi="Times New Roman"/>
          <w:sz w:val="24"/>
          <w:szCs w:val="24"/>
        </w:rPr>
        <w:t xml:space="preserve">定的超过履约保证金的违约责任的权利。</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5"/>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w:t>
      </w:r>
      <w:r>
        <w:rPr>
          <w:rFonts w:ascii="Times New Roman" w:hAnsi="Times New Roman"/>
          <w:sz w:val="24"/>
          <w:szCs w:val="24"/>
        </w:rPr>
        <w:t xml:space="preserve">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815"/>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5"/>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5"/>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5"/>
        <w:numPr>
          <w:ilvl w:val="0"/>
          <w:numId w:val="7"/>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5"/>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w:t>
      </w:r>
      <w:r>
        <w:rPr>
          <w:rFonts w:ascii="Times New Roman" w:hAnsi="Times New Roman"/>
          <w:sz w:val="24"/>
          <w:szCs w:val="24"/>
        </w:rPr>
        <w:t xml:space="preserve">商一致后签订补充协议。</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275"/>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w:t>
      </w:r>
      <w:r>
        <w:rPr>
          <w:rFonts w:ascii="Times New Roman" w:hAnsi="Times New Roman" w:eastAsia="宋体" w:cs="Times New Roman"/>
          <w:sz w:val="24"/>
          <w:szCs w:val="24"/>
        </w:rPr>
        <w:t xml:space="preserve">情形</w:t>
      </w:r>
      <w:r>
        <w:rPr>
          <w:rFonts w:ascii="Times New Roman" w:hAnsi="Times New Roman" w:cs="Times New Roman"/>
          <w:sz w:val="24"/>
          <w:szCs w:val="24"/>
        </w:rPr>
      </w:r>
      <w:r/>
    </w:p>
    <w:p>
      <w:pPr>
        <w:pStyle w:val="127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5"/>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w:t>
      </w:r>
      <w:r>
        <w:rPr>
          <w:rFonts w:ascii="Times New Roman" w:hAnsi="Times New Roman" w:eastAsia="宋体" w:cs="Times New Roman"/>
          <w:sz w:val="24"/>
          <w:szCs w:val="24"/>
        </w:rPr>
        <w:t xml:space="preserve">式解决争议。</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5"/>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w:t>
      </w:r>
      <w:r>
        <w:rPr>
          <w:rFonts w:ascii="Times New Roman" w:hAnsi="Times New Roman" w:eastAsia="宋体" w:cs="Times New Roman"/>
          <w:sz w:val="24"/>
          <w:szCs w:val="24"/>
        </w:rPr>
        <w:t xml:space="preserve">强制性规定不一致的，双方当事人应按照法律、行政法规的强制性规定修改本合同的相关条款。</w:t>
      </w:r>
      <w:r/>
    </w:p>
    <w:p>
      <w:pPr>
        <w:pStyle w:val="815"/>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27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5"/>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5"/>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5"/>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5"/>
        <w:spacing w:line="400" w:lineRule="exact"/>
        <w:rPr>
          <w:rFonts w:ascii="黑体" w:hAnsi="华文中宋" w:eastAsia="黑体"/>
          <w:sz w:val="24"/>
          <w:szCs w:val="24"/>
        </w:rPr>
      </w:pPr>
      <w:r>
        <w:rPr>
          <w:rFonts w:ascii="黑体" w:hAnsi="华文中宋" w:eastAsia="黑体"/>
          <w:sz w:val="24"/>
          <w:szCs w:val="24"/>
        </w:rPr>
      </w:r>
      <w:r/>
    </w:p>
    <w:p>
      <w:pPr>
        <w:pStyle w:val="815"/>
        <w:jc w:val="center"/>
        <w:keepLines/>
        <w:keepNext/>
        <w:pageBreakBefore/>
        <w:rPr>
          <w:b/>
          <w:sz w:val="44"/>
          <w:szCs w:val="44"/>
        </w:rPr>
        <w:outlineLvl w:val="0"/>
      </w:pPr>
      <w:r>
        <w:rPr>
          <w:rFonts w:hint="eastAsia"/>
          <w:b/>
          <w:sz w:val="44"/>
          <w:szCs w:val="44"/>
        </w:rPr>
        <w:t xml:space="preserve">第六章  投标文件格式</w:t>
      </w:r>
      <w:bookmarkEnd w:id="208"/>
      <w:r/>
      <w:bookmarkEnd w:id="209"/>
      <w:r/>
      <w:bookmarkEnd w:id="210"/>
      <w:r/>
      <w:bookmarkEnd w:id="211"/>
      <w:r/>
      <w:bookmarkEnd w:id="212"/>
      <w:r/>
      <w:bookmarkEnd w:id="213"/>
      <w:r>
        <w:rPr>
          <w:b/>
          <w:sz w:val="44"/>
          <w:szCs w:val="44"/>
        </w:rPr>
      </w:r>
      <w:r/>
    </w:p>
    <w:p>
      <w:pPr>
        <w:pStyle w:val="815"/>
      </w:pPr>
      <w:r/>
      <w:bookmarkStart w:id="223" w:name="EB819316f773b24a75aef829f9b72900c0"/>
      <w:r/>
      <w:r/>
    </w:p>
    <w:p>
      <w:pPr>
        <w:pStyle w:val="815"/>
        <w:rPr>
          <w:rFonts w:ascii="Times New Roman" w:hAnsi="Times New Roman"/>
          <w:b/>
          <w:sz w:val="72"/>
        </w:rPr>
      </w:pPr>
      <w:r/>
      <w:bookmarkStart w:id="224" w:name="_Toc15716"/>
      <w:r>
        <w:rPr>
          <w:rFonts w:ascii="Times New Roman" w:hAnsi="Times New Roman"/>
          <w:b/>
          <w:sz w:val="72"/>
        </w:rPr>
      </w:r>
      <w:r/>
    </w:p>
    <w:p>
      <w:pPr>
        <w:pStyle w:val="815"/>
        <w:rPr>
          <w:rFonts w:ascii="Times New Roman" w:hAnsi="Times New Roman"/>
          <w:b/>
          <w:sz w:val="72"/>
        </w:rPr>
      </w:pPr>
      <w:r>
        <w:rPr>
          <w:rFonts w:ascii="Times New Roman" w:hAnsi="Times New Roman"/>
          <w:b/>
          <w:sz w:val="72"/>
        </w:rPr>
      </w:r>
      <w:r/>
    </w:p>
    <w:p>
      <w:pPr>
        <w:pStyle w:val="815"/>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72"/>
        </w:rPr>
      </w:pPr>
      <w:r>
        <w:rPr>
          <w:rFonts w:ascii="Times New Roman" w:hAnsi="Times New Roman"/>
          <w:b/>
          <w:sz w:val="72"/>
        </w:rPr>
      </w:r>
      <w:r/>
    </w:p>
    <w:p>
      <w:pPr>
        <w:pStyle w:val="815"/>
        <w:jc w:val="center"/>
        <w:rPr>
          <w:rFonts w:ascii="Times New Roman" w:hAnsi="Times New Roman"/>
          <w:b/>
          <w:sz w:val="36"/>
        </w:rPr>
      </w:pPr>
      <w:r>
        <w:rPr>
          <w:rFonts w:ascii="Times New Roman" w:hAnsi="Times New Roman"/>
          <w:b/>
          <w:sz w:val="36"/>
        </w:rPr>
      </w:r>
      <w:r/>
    </w:p>
    <w:p>
      <w:pPr>
        <w:pStyle w:val="815"/>
        <w:jc w:val="center"/>
        <w:rPr>
          <w:rFonts w:ascii="Times New Roman" w:hAnsi="Times New Roman"/>
          <w:b/>
          <w:sz w:val="36"/>
        </w:rPr>
      </w:pPr>
      <w:r>
        <w:rPr>
          <w:rFonts w:ascii="Times New Roman" w:hAnsi="Times New Roman"/>
          <w:b/>
          <w:sz w:val="36"/>
        </w:rPr>
      </w:r>
      <w:r/>
    </w:p>
    <w:p>
      <w:pPr>
        <w:pStyle w:val="815"/>
        <w:jc w:val="center"/>
        <w:rPr>
          <w:rFonts w:ascii="Times New Roman" w:hAnsi="Times New Roman"/>
          <w:b/>
          <w:sz w:val="36"/>
        </w:rPr>
      </w:pPr>
      <w:r>
        <w:rPr>
          <w:rFonts w:ascii="Times New Roman" w:hAnsi="Times New Roman"/>
          <w:b/>
          <w:sz w:val="36"/>
        </w:rPr>
      </w:r>
      <w:r/>
    </w:p>
    <w:p>
      <w:pPr>
        <w:pStyle w:val="815"/>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15"/>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15"/>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5"/>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224"/>
      <w:r>
        <w:rPr>
          <w:rFonts w:ascii="Times New Roman" w:hAnsi="Times New Roman"/>
          <w:b/>
          <w:sz w:val="36"/>
          <w:u w:val="single"/>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rPr>
          <w:rFonts w:ascii="宋体" w:hAnsi="宋体" w:eastAsia="宋体" w:cs="宋体"/>
        </w:rPr>
      </w:r>
      <w:r/>
    </w:p>
    <w:p>
      <w:pPr>
        <w:pStyle w:val="1097"/>
        <w:rPr>
          <w:rFonts w:ascii="宋体" w:hAnsi="宋体" w:eastAsia="宋体" w:cs="宋体"/>
        </w:rPr>
      </w:pPr>
      <w:r/>
      <w:bookmarkEnd w:id="223"/>
      <w:r>
        <w:rPr>
          <w:rFonts w:ascii="宋体" w:hAnsi="宋体" w:eastAsia="宋体" w:cs="宋体"/>
        </w:rPr>
      </w:r>
      <w:r/>
    </w:p>
    <w:p>
      <w:pPr>
        <w:pStyle w:val="1097"/>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97"/>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097"/>
        <w:spacing w:line="360" w:lineRule="auto"/>
        <w:rPr>
          <w:rFonts w:ascii="宋体" w:hAnsi="宋体" w:eastAsia="宋体" w:cs="宋体"/>
          <w:sz w:val="28"/>
          <w:szCs w:val="28"/>
        </w:rPr>
      </w:pPr>
      <w:r>
        <w:rPr>
          <w:rFonts w:ascii="宋体" w:hAnsi="宋体" w:eastAsia="宋体" w:cs="宋体"/>
          <w:sz w:val="28"/>
          <w:szCs w:val="28"/>
        </w:rPr>
      </w:r>
      <w:r/>
    </w:p>
    <w:p>
      <w:pPr>
        <w:pStyle w:val="815"/>
        <w:spacing w:line="360" w:lineRule="auto"/>
        <w:rPr>
          <w:rFonts w:hint="eastAsia" w:ascii="Times New Roman" w:hAnsi="Times New Roman"/>
          <w:sz w:val="28"/>
          <w:szCs w:val="28"/>
        </w:rPr>
      </w:pPr>
      <w:r/>
      <w:bookmarkStart w:id="225" w:name="_Toc20577"/>
      <w:r/>
      <w:bookmarkStart w:id="226" w:name="_Toc26005"/>
      <w:r>
        <w:rPr>
          <w:rFonts w:hint="eastAsia" w:ascii="Times New Roman" w:hAnsi="Times New Roman"/>
          <w:sz w:val="28"/>
          <w:szCs w:val="28"/>
        </w:rPr>
        <w:t xml:space="preserve">一、投标函</w:t>
      </w:r>
      <w:r>
        <w:rPr>
          <w:rFonts w:hint="eastAsia"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pStyle w:val="815"/>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pStyle w:val="815"/>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rPr>
          <w:rFonts w:ascii="Times New Roman" w:hAnsi="Times New Roman"/>
          <w:sz w:val="28"/>
          <w:szCs w:val="28"/>
        </w:rPr>
      </w:r>
      <w:r/>
    </w:p>
    <w:p>
      <w:pPr>
        <w:pStyle w:val="815"/>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rPr>
          <w:rFonts w:ascii="Times New Roman" w:hAnsi="Times New Roman"/>
          <w:sz w:val="28"/>
          <w:szCs w:val="28"/>
        </w:rPr>
      </w:r>
      <w:r/>
    </w:p>
    <w:p>
      <w:pPr>
        <w:pStyle w:val="815"/>
        <w:spacing w:line="360" w:lineRule="auto"/>
        <w:rPr>
          <w:rFonts w:hint="eastAsia" w:ascii="Times New Roman" w:hAnsi="Times New Roman"/>
          <w:sz w:val="28"/>
          <w:szCs w:val="28"/>
        </w:rPr>
      </w:pPr>
      <w:r>
        <w:rPr>
          <w:rFonts w:hint="eastAsia" w:ascii="Times New Roman" w:hAnsi="Times New Roman"/>
          <w:sz w:val="28"/>
          <w:szCs w:val="28"/>
        </w:rPr>
        <w:t xml:space="preserve">八、企业业绩</w:t>
      </w:r>
      <w:r/>
    </w:p>
    <w:p>
      <w:pPr>
        <w:pStyle w:val="815"/>
        <w:spacing w:line="360" w:lineRule="auto"/>
        <w:rPr>
          <w:rFonts w:ascii="宋体" w:hAnsi="宋体" w:cs="宋体"/>
          <w:sz w:val="28"/>
          <w:szCs w:val="28"/>
        </w:rPr>
      </w:pPr>
      <w:r>
        <w:rPr>
          <w:rFonts w:hint="eastAsia" w:ascii="Times New Roman" w:hAnsi="Times New Roman"/>
          <w:sz w:val="28"/>
          <w:szCs w:val="28"/>
        </w:rPr>
        <w:t xml:space="preserve">九、投标所需其他材料</w:t>
      </w:r>
      <w:r>
        <w:rPr>
          <w:rFonts w:ascii="宋体" w:hAnsi="宋体" w:cs="宋体"/>
          <w:sz w:val="28"/>
          <w:szCs w:val="28"/>
        </w:r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1107"/>
        <w:rPr>
          <w:b w:val="0"/>
          <w:bCs/>
        </w:rPr>
        <w:outlineLvl w:val="1"/>
      </w:pPr>
      <w:r/>
      <w:bookmarkStart w:id="227" w:name="_Toc8978"/>
      <w:r>
        <w:rPr>
          <w:rFonts w:hint="eastAsia"/>
          <w:b w:val="0"/>
          <w:bCs/>
        </w:rPr>
        <w:br w:type="page" w:clear="all"/>
      </w:r>
      <w:bookmarkEnd w:id="225"/>
      <w:r/>
      <w:bookmarkEnd w:id="226"/>
      <w:r/>
      <w:bookmarkEnd w:id="227"/>
      <w:r>
        <w:rPr>
          <w:rFonts w:hint="eastAsia"/>
          <w:b w:val="0"/>
          <w:bCs/>
        </w:rPr>
        <w:t xml:space="preserve">一</w:t>
      </w:r>
      <w:r>
        <w:rPr>
          <w:b w:val="0"/>
          <w:bCs/>
        </w:rPr>
        <w:t xml:space="preserve">、投标函</w:t>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08"/>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ascii="宋体" w:hAnsi="宋体"/>
          <w:sz w:val="24"/>
          <w:szCs w:val="24"/>
          <w:u w:val="single"/>
        </w:rPr>
        <w:t xml:space="preserve">JSZC-321300-JZCG-G2026-0061</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08"/>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08"/>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六、我方同意</w:t>
      </w:r>
      <w:r>
        <w:rPr>
          <w:rFonts w:hint="eastAsia" w:ascii="宋体" w:hAnsi="宋体"/>
          <w:sz w:val="24"/>
          <w:szCs w:val="24"/>
        </w:rPr>
        <w:t xml:space="preserve">采购人、采购代理机构将本函上网公开。</w:t>
      </w:r>
      <w:r>
        <w:rPr>
          <w:rFonts w:ascii="宋体" w:hAnsi="宋体"/>
          <w:sz w:val="24"/>
          <w:szCs w:val="24"/>
        </w:rPr>
      </w:r>
      <w:r/>
    </w:p>
    <w:p>
      <w:pPr>
        <w:pStyle w:val="110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08"/>
        <w:jc w:val="left"/>
        <w:spacing w:line="500" w:lineRule="exact"/>
        <w:rPr>
          <w:rFonts w:ascii="宋体" w:hAnsi="宋体"/>
          <w:sz w:val="24"/>
          <w:szCs w:val="24"/>
        </w:rPr>
      </w:pPr>
      <w:r>
        <w:rPr>
          <w:rFonts w:ascii="宋体" w:hAnsi="宋体"/>
          <w:sz w:val="24"/>
          <w:szCs w:val="24"/>
        </w:rPr>
      </w:r>
      <w:r/>
    </w:p>
    <w:p>
      <w:pPr>
        <w:pStyle w:val="1108"/>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08"/>
        <w:ind w:firstLine="480"/>
        <w:rPr>
          <w:rFonts w:ascii="宋体" w:hAnsi="宋体"/>
          <w:sz w:val="24"/>
          <w:szCs w:val="24"/>
        </w:rPr>
      </w:pPr>
      <w:r>
        <w:rPr>
          <w:rFonts w:ascii="宋体" w:hAnsi="宋体"/>
          <w:sz w:val="24"/>
          <w:szCs w:val="24"/>
        </w:rPr>
      </w:r>
      <w:r/>
    </w:p>
    <w:p>
      <w:pPr>
        <w:pStyle w:val="1108"/>
        <w:ind w:firstLine="480"/>
        <w:rPr>
          <w:rFonts w:ascii="宋体" w:hAnsi="宋体"/>
        </w:rPr>
      </w:pPr>
      <w:r>
        <w:rPr>
          <w:rFonts w:hint="eastAsia" w:ascii="宋体" w:hAnsi="宋体"/>
          <w:sz w:val="24"/>
          <w:szCs w:val="24"/>
        </w:rPr>
        <w:t xml:space="preserve">日期：    年    月   日</w:t>
      </w:r>
      <w:r>
        <w:rPr>
          <w:rFonts w:ascii="宋体" w:hAnsi="宋体"/>
        </w:r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pPr>
      <w:r/>
      <w:r/>
    </w:p>
    <w:p>
      <w:pPr>
        <w:pStyle w:val="815"/>
        <w:rPr>
          <w:rFonts w:hint="eastAsia"/>
        </w:rPr>
      </w:pPr>
      <w:r>
        <w:rPr>
          <w:rFonts w:hint="eastAsia"/>
        </w:rPr>
      </w:r>
      <w:r/>
    </w:p>
    <w:p>
      <w:pPr>
        <w:pStyle w:val="815"/>
        <w:outlineLvl w:val="1"/>
      </w:pPr>
      <w:r>
        <w:rPr>
          <w:rFonts w:hint="eastAsia"/>
        </w:rPr>
        <w:br w:type="page" w:clear="all"/>
      </w:r>
      <w:bookmarkStart w:id="228" w:name="_Toc27409"/>
      <w:r>
        <w:rPr>
          <w:rFonts w:hint="eastAsia" w:ascii="黑体" w:hAnsi="黑体" w:eastAsia="黑体" w:cs="黑体"/>
          <w:bCs/>
          <w:sz w:val="32"/>
          <w:szCs w:val="24"/>
        </w:rPr>
        <w:t xml:space="preserve">二、法人授权书</w:t>
      </w:r>
      <w:bookmarkEnd w:id="228"/>
      <w:r/>
      <w:r/>
    </w:p>
    <w:p>
      <w:pPr>
        <w:pStyle w:val="1108"/>
        <w:jc w:val="center"/>
        <w:rPr>
          <w:rFonts w:ascii="方正小标宋_GBK" w:eastAsia="方正小标宋_GBK"/>
          <w:bCs/>
          <w:sz w:val="32"/>
          <w:szCs w:val="32"/>
        </w:rPr>
      </w:pPr>
      <w:r/>
      <w:bookmarkStart w:id="229"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28"/>
        <w:ind w:firstLine="482"/>
        <w:spacing w:line="480" w:lineRule="exact"/>
        <w:rPr>
          <w:rFonts w:hint="eastAsia" w:ascii="宋体" w:hAnsi="宋体"/>
          <w:sz w:val="24"/>
          <w:szCs w:val="24"/>
        </w:rPr>
      </w:pPr>
      <w:r/>
      <w:bookmarkEnd w:id="229"/>
      <w:r>
        <w:rPr>
          <w:rFonts w:hint="eastAsia" w:ascii="宋体" w:hAnsi="宋体"/>
          <w:sz w:val="24"/>
          <w:szCs w:val="24"/>
        </w:rPr>
        <w:t xml:space="preserve">本授权书声明：____________（投标人名称）授权________________（被授权人的姓名）为我方就</w:t>
      </w:r>
      <w:r>
        <w:rPr>
          <w:rFonts w:ascii="宋体" w:hAnsi="宋体"/>
          <w:sz w:val="24"/>
          <w:szCs w:val="24"/>
          <w:u w:val="single"/>
        </w:rPr>
        <w:t xml:space="preserve">JSZC-321300-JZCG-G2026-0061</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228"/>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2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28"/>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28"/>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28"/>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28"/>
        <w:ind w:firstLine="482"/>
        <w:spacing w:line="480" w:lineRule="exact"/>
        <w:rPr>
          <w:rFonts w:hint="eastAsia" w:ascii="宋体" w:hAnsi="宋体"/>
          <w:sz w:val="24"/>
          <w:szCs w:val="24"/>
        </w:rPr>
      </w:pPr>
      <w:r>
        <w:rPr>
          <w:rFonts w:hint="eastAsia"/>
          <w:sz w:val="24"/>
          <w:szCs w:val="24"/>
        </w:rPr>
        <w:t xml:space="preserve">日期：</w:t>
      </w:r>
      <w:bookmarkStart w:id="230" w:name="_Hlt26671380"/>
      <w:r/>
      <w:bookmarkEnd w:id="230"/>
      <w:r/>
      <w:bookmarkStart w:id="231" w:name="_Hlt26955070"/>
      <w:r/>
      <w:bookmarkEnd w:id="231"/>
      <w:r/>
      <w:bookmarkStart w:id="232" w:name="_格式3__银行出具的资信证明"/>
      <w:r/>
      <w:bookmarkEnd w:id="232"/>
      <w:r>
        <w:rPr>
          <w:rFonts w:hint="eastAsia"/>
          <w:sz w:val="24"/>
          <w:szCs w:val="24"/>
          <w:u w:val="single"/>
        </w:rPr>
        <w:t xml:space="preserve">                                         </w:t>
      </w:r>
      <w:r>
        <w:rPr>
          <w:rFonts w:hint="eastAsia" w:ascii="宋体" w:hAnsi="宋体"/>
          <w:sz w:val="24"/>
          <w:szCs w:val="24"/>
        </w:rPr>
      </w:r>
      <w:r/>
    </w:p>
    <w:p>
      <w:pPr>
        <w:pStyle w:val="1110"/>
        <w:ind w:firstLine="629"/>
        <w:spacing w:line="700" w:lineRule="exact"/>
        <w:rPr>
          <w:rFonts w:ascii="方正仿宋_GBK" w:eastAsia="方正仿宋_GBK"/>
          <w:sz w:val="24"/>
        </w:rPr>
      </w:pPr>
      <w:r>
        <w:rPr>
          <w:rFonts w:ascii="方正仿宋_GBK" w:eastAsia="方正仿宋_GBK"/>
          <w:sz w:val="24"/>
        </w:rPr>
      </w:r>
      <w:r/>
    </w:p>
    <w:p>
      <w:pPr>
        <w:pStyle w:val="1113"/>
        <w:outlineLvl w:val="1"/>
      </w:pPr>
      <w:r>
        <w:br w:type="page" w:clear="all"/>
      </w:r>
      <w:bookmarkStart w:id="233" w:name="_Toc13550"/>
      <w:r/>
      <w:bookmarkStart w:id="234" w:name="_Toc30543"/>
      <w:r/>
      <w:bookmarkStart w:id="235" w:name="_Toc27199"/>
      <w:r>
        <w:rPr>
          <w:rFonts w:hint="eastAsia"/>
          <w:b w:val="0"/>
          <w:bCs/>
        </w:rPr>
        <w:t xml:space="preserve">三</w:t>
      </w:r>
      <w:r>
        <w:rPr>
          <w:b w:val="0"/>
          <w:bCs/>
        </w:rPr>
        <w:t xml:space="preserve">、开标一览表</w:t>
      </w:r>
      <w:bookmarkEnd w:id="233"/>
      <w:r/>
      <w:bookmarkEnd w:id="234"/>
      <w:r/>
      <w:bookmarkEnd w:id="235"/>
      <w:r/>
      <w:r/>
    </w:p>
    <w:p>
      <w:pPr>
        <w:pStyle w:val="1114"/>
        <w:rPr>
          <w:rFonts w:hint="eastAsia" w:ascii="宋体" w:hAnsi="宋体" w:eastAsia="宋体" w:cs="宋体"/>
        </w:rPr>
      </w:pPr>
      <w:r>
        <w:rPr>
          <w:rFonts w:hint="eastAsia" w:ascii="宋体" w:hAnsi="宋体" w:eastAsia="宋体" w:cs="宋体"/>
        </w:rPr>
      </w:r>
      <w:r/>
    </w:p>
    <w:p>
      <w:pPr>
        <w:pStyle w:val="1263"/>
        <w:rPr>
          <w:rFonts w:hint="eastAsia"/>
        </w:rPr>
      </w:pPr>
      <w:r>
        <w:rPr>
          <w:rFonts w:hint="eastAsia"/>
        </w:rPr>
        <w:t xml:space="preserve">格式详见投标文件制作工具</w:t>
      </w:r>
      <w:r>
        <w:br w:type="page" w:clear="all"/>
      </w:r>
      <w:bookmarkStart w:id="236" w:name="_Toc956"/>
      <w:r/>
      <w:bookmarkStart w:id="237" w:name="_Toc26543"/>
      <w:r/>
      <w:bookmarkStart w:id="238" w:name="_Toc12614"/>
      <w:r>
        <w:rPr>
          <w:rFonts w:hint="eastAsia" w:ascii="黑体" w:hAnsi="黑体" w:eastAsia="黑体" w:cs="黑体"/>
          <w:bCs/>
          <w:color w:val="000000"/>
          <w:sz w:val="32"/>
        </w:rPr>
        <w:t xml:space="preserve">四</w:t>
      </w:r>
      <w:r>
        <w:rPr>
          <w:rFonts w:ascii="黑体" w:hAnsi="黑体" w:eastAsia="黑体" w:cs="黑体"/>
          <w:bCs/>
          <w:color w:val="000000"/>
          <w:sz w:val="32"/>
        </w:rPr>
        <w:t xml:space="preserve">、</w:t>
      </w:r>
      <w:bookmarkEnd w:id="236"/>
      <w:r/>
      <w:bookmarkEnd w:id="237"/>
      <w:r>
        <w:rPr>
          <w:rFonts w:hint="eastAsia" w:ascii="黑体" w:hAnsi="黑体" w:eastAsia="黑体" w:cs="黑体"/>
          <w:bCs/>
          <w:color w:val="000000"/>
          <w:sz w:val="32"/>
        </w:rPr>
        <w:t xml:space="preserve">分项报价表</w:t>
      </w:r>
      <w:bookmarkEnd w:id="238"/>
      <w:r>
        <w:rPr>
          <w:rFonts w:hint="eastAsia"/>
        </w:rPr>
      </w:r>
      <w:r/>
    </w:p>
    <w:p>
      <w:pPr>
        <w:pStyle w:val="1108"/>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1108"/>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5"/>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5"/>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5"/>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5"/>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5"/>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5"/>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05"/>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05"/>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05"/>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1"/>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5"/>
        <w:spacing w:line="400" w:lineRule="exact"/>
        <w:rPr>
          <w:rFonts w:hint="eastAsia" w:ascii="宋体" w:hAnsi="宋体"/>
          <w:sz w:val="24"/>
          <w:szCs w:val="24"/>
        </w:rPr>
      </w:pPr>
      <w:r>
        <w:rPr>
          <w:rFonts w:hint="eastAsia" w:ascii="宋体" w:hAnsi="宋体"/>
          <w:sz w:val="24"/>
          <w:szCs w:val="24"/>
        </w:rPr>
        <w:t xml:space="preserve">备注：</w:t>
      </w:r>
      <w:r/>
    </w:p>
    <w:p>
      <w:pPr>
        <w:pStyle w:val="815"/>
        <w:ind w:firstLine="480"/>
        <w:spacing w:line="400" w:lineRule="exact"/>
        <w:rPr>
          <w:rFonts w:hint="eastAsia" w:ascii="Times New Roman" w:hAnsi="Times New Roman"/>
          <w:bCs/>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w:t>
      </w:r>
      <w:r>
        <w:rPr>
          <w:rFonts w:hint="eastAsia" w:ascii="Times New Roman" w:hAnsi="Times New Roman"/>
          <w:bCs/>
          <w:sz w:val="24"/>
          <w:szCs w:val="21"/>
        </w:rPr>
        <w:t xml:space="preserve">设备费、运输费、装卸费、保险费、安全文明措施费、施工专项措施费、施工脚手架搭建费、井道照明费、检修插座、底坑爬梯、调试费、电梯监检费（取得电梯运行合格证）、培训费、安装费（含拆除及安装施工用水电费、电梯安装所需的全部主辅材料、人工费、机械费、措施费等）、轿厢装潢费、售后服务费用，项目在指定地点、环境、交付、验收所需费用和所有相关税金费用及为完成整个项目所产生的其它所有费用（含材料、设备、关</w:t>
      </w:r>
      <w:r>
        <w:rPr>
          <w:rFonts w:hint="eastAsia" w:ascii="Times New Roman" w:hAnsi="Times New Roman"/>
          <w:bCs/>
          <w:sz w:val="24"/>
          <w:szCs w:val="21"/>
        </w:rPr>
        <w:t xml:space="preserve">税等的涨跌风险），</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rPr>
          <w:rFonts w:hint="eastAsia" w:ascii="Times New Roman" w:hAnsi="Times New Roman"/>
          <w:bCs/>
          <w:sz w:val="24"/>
          <w:szCs w:val="21"/>
        </w:rPr>
      </w:r>
      <w:r/>
    </w:p>
    <w:p>
      <w:pPr>
        <w:pStyle w:val="815"/>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5"/>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5"/>
        <w:spacing w:line="480" w:lineRule="exact"/>
        <w:rPr>
          <w:rFonts w:ascii="宋体" w:hAnsi="宋体"/>
          <w:sz w:val="24"/>
          <w:szCs w:val="24"/>
        </w:rPr>
      </w:pPr>
      <w:r>
        <w:rPr>
          <w:rFonts w:ascii="宋体" w:hAnsi="宋体"/>
          <w:sz w:val="24"/>
          <w:szCs w:val="24"/>
        </w:rPr>
      </w:r>
      <w:r/>
    </w:p>
    <w:p>
      <w:pPr>
        <w:pStyle w:val="815"/>
        <w:spacing w:line="480" w:lineRule="exact"/>
      </w:p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ascii="方正小标宋_GBK" w:eastAsia="方正小标宋_GBK"/>
          <w:bCs/>
          <w:sz w:val="32"/>
          <w:szCs w:val="32"/>
        </w:rPr>
      </w:pPr>
      <w:r>
        <w:rPr>
          <w:rFonts w:ascii="方正小标宋_GBK" w:eastAsia="方正小标宋_GBK"/>
          <w:bCs/>
          <w:sz w:val="32"/>
          <w:szCs w:val="32"/>
        </w:rPr>
      </w:r>
      <w:r/>
    </w:p>
    <w:p>
      <w:pPr>
        <w:pStyle w:val="1108"/>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142"/>
        <w:rPr>
          <w:rFonts w:hint="eastAsia"/>
          <w:b w:val="0"/>
          <w:bCs/>
        </w:rPr>
        <w:outlineLvl w:val="1"/>
      </w:pPr>
      <w:r/>
      <w:bookmarkStart w:id="239" w:name="_Toc2747"/>
      <w:r/>
      <w:bookmarkStart w:id="240" w:name="_Toc17418"/>
      <w:r/>
      <w:bookmarkStart w:id="241" w:name="_Toc21129"/>
      <w:r>
        <w:rPr>
          <w:rFonts w:hint="eastAsia"/>
          <w:b w:val="0"/>
          <w:bCs/>
        </w:rPr>
        <w:t xml:space="preserve">五、中小企业或残疾人福利性单位声明函</w:t>
      </w:r>
      <w:bookmarkEnd w:id="239"/>
      <w:r/>
      <w:bookmarkEnd w:id="240"/>
      <w:r/>
      <w:bookmarkEnd w:id="241"/>
      <w:r>
        <w:rPr>
          <w:rFonts w:hint="eastAsia"/>
          <w:b w:val="0"/>
          <w:bCs/>
        </w:rPr>
      </w:r>
      <w:r/>
    </w:p>
    <w:p>
      <w:pPr>
        <w:pStyle w:val="1108"/>
        <w:jc w:val="left"/>
        <w:rPr>
          <w:rFonts w:ascii="Times New Roman" w:hAnsi="Times New Roman"/>
          <w:b/>
          <w:bCs/>
          <w:sz w:val="32"/>
          <w:szCs w:val="32"/>
        </w:rPr>
      </w:pPr>
      <w:r>
        <w:rPr>
          <w:rFonts w:ascii="Times New Roman" w:hAnsi="Times New Roman"/>
          <w:b/>
          <w:bCs/>
          <w:sz w:val="32"/>
          <w:szCs w:val="32"/>
        </w:rPr>
      </w:r>
      <w:r/>
    </w:p>
    <w:p>
      <w:pPr>
        <w:pStyle w:val="1108"/>
        <w:jc w:val="left"/>
        <w:rPr>
          <w:rFonts w:ascii="Times New Roman" w:hAnsi="Times New Roman"/>
          <w:b/>
          <w:bCs/>
          <w:sz w:val="32"/>
          <w:szCs w:val="32"/>
        </w:rPr>
      </w:pPr>
      <w:r>
        <w:rPr>
          <w:rFonts w:ascii="Times New Roman" w:hAnsi="Times New Roman"/>
          <w:b/>
          <w:bCs/>
          <w:sz w:val="32"/>
          <w:szCs w:val="32"/>
        </w:rPr>
      </w:r>
      <w:r/>
    </w:p>
    <w:p>
      <w:pPr>
        <w:pStyle w:val="1108"/>
        <w:jc w:val="left"/>
        <w:rPr>
          <w:rFonts w:ascii="Times New Roman" w:hAnsi="Times New Roman"/>
          <w:b/>
          <w:bCs/>
          <w:sz w:val="32"/>
          <w:szCs w:val="32"/>
        </w:rPr>
      </w:pPr>
      <w:r>
        <w:rPr>
          <w:rFonts w:hint="eastAsia" w:ascii="Times New Roman" w:hAnsi="Times New Roman"/>
          <w:b/>
          <w:bCs/>
          <w:sz w:val="32"/>
          <w:szCs w:val="32"/>
        </w:rPr>
        <w:t xml:space="preserve">格式详见投标文件制作工具</w:t>
      </w:r>
      <w:r>
        <w:rPr>
          <w:rFonts w:ascii="Times New Roman" w:hAnsi="Times New Roman"/>
          <w:b/>
          <w:bCs/>
          <w:sz w:val="32"/>
          <w:szCs w:val="32"/>
        </w:rPr>
      </w:r>
      <w:r/>
    </w:p>
    <w:p>
      <w:pPr>
        <w:pStyle w:val="815"/>
        <w:ind w:firstLine="480"/>
        <w:jc w:val="left"/>
        <w:spacing w:line="400" w:lineRule="exact"/>
        <w:rPr>
          <w:rFonts w:hint="eastAsia" w:ascii="宋体" w:hAnsi="宋体"/>
          <w:sz w:val="24"/>
          <w:szCs w:val="24"/>
        </w:rPr>
      </w:pPr>
      <w:r>
        <w:rPr>
          <w:rFonts w:hint="eastAsia" w:ascii="宋体" w:hAnsi="宋体"/>
          <w:sz w:val="24"/>
          <w:szCs w:val="24"/>
        </w:rPr>
      </w:r>
      <w:r/>
    </w:p>
    <w:p>
      <w:pPr>
        <w:pStyle w:val="1108"/>
        <w:jc w:val="center"/>
        <w:rPr>
          <w:rFonts w:ascii="Times New Roman" w:hAnsi="Times New Roman"/>
          <w:sz w:val="22"/>
          <w:szCs w:val="21"/>
        </w:rPr>
      </w:pPr>
      <w:r>
        <w:rPr>
          <w:rFonts w:ascii="宋体" w:hAnsi="宋体"/>
          <w:sz w:val="24"/>
          <w:szCs w:val="24"/>
        </w:rPr>
        <w:br w:type="page" w:clear="all"/>
      </w:r>
      <w:r>
        <w:rPr>
          <w:rFonts w:ascii="Times New Roman" w:hAnsi="Times New Roman"/>
          <w:sz w:val="22"/>
          <w:szCs w:val="21"/>
        </w:rPr>
        <w:t xml:space="preserve"> </w:t>
      </w:r>
      <w:r/>
    </w:p>
    <w:p>
      <w:pPr>
        <w:pStyle w:val="817"/>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5"/>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rPr>
          <w:rFonts w:ascii="方正魏碑_GBK" w:hAnsi="方正魏碑_GBK" w:eastAsia="方正魏碑_GBK" w:cs="方正魏碑_GBK"/>
          <w:b/>
          <w:color w:val="ff0000"/>
          <w:sz w:val="24"/>
          <w:szCs w:val="24"/>
        </w:rPr>
      </w:r>
      <w:r/>
    </w:p>
    <w:p>
      <w:pPr>
        <w:pStyle w:val="1108"/>
        <w:jc w:val="left"/>
        <w:rPr>
          <w:rFonts w:ascii="Times New Roman" w:hAnsi="Times New Roman"/>
          <w:b/>
          <w:bCs/>
          <w:sz w:val="32"/>
          <w:szCs w:val="32"/>
        </w:rPr>
      </w:pPr>
      <w:r>
        <w:rPr>
          <w:rFonts w:hint="eastAsia" w:ascii="Times New Roman" w:hAnsi="Times New Roman"/>
          <w:b/>
          <w:bCs/>
          <w:sz w:val="32"/>
          <w:szCs w:val="32"/>
        </w:rPr>
        <w:t xml:space="preserve">格式详见投标文件制作工具</w:t>
      </w:r>
      <w:r>
        <w:rPr>
          <w:rFonts w:ascii="Times New Roman" w:hAnsi="Times New Roman"/>
          <w:b/>
          <w:bCs/>
          <w:sz w:val="32"/>
          <w:szCs w:val="32"/>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815"/>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pStyle w:val="817"/>
        <w:spacing w:before="0" w:after="0" w:line="520" w:lineRule="exact"/>
        <w:rPr>
          <w:rFonts w:hint="eastAsia" w:ascii="宋体" w:hAnsi="宋体" w:eastAsia="宋体" w:cs="宋体"/>
          <w:bCs/>
          <w:szCs w:val="32"/>
        </w:rPr>
      </w:pP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5"/>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5"/>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w:t>
      </w:r>
      <w:r>
        <w:rPr>
          <w:rFonts w:ascii="宋体" w:hAnsi="宋体" w:cs="仿宋"/>
          <w:sz w:val="24"/>
        </w:rPr>
        <w:t xml:space="preserve">公章）</w:t>
      </w:r>
      <w:r>
        <w:rPr>
          <w:rFonts w:ascii="宋体" w:hAnsi="宋体" w:cs="仿宋"/>
        </w:rPr>
      </w:r>
      <w:r/>
    </w:p>
    <w:p>
      <w:pPr>
        <w:pStyle w:val="891"/>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1"/>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242"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91"/>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15"/>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15"/>
        <w:rPr>
          <w:rFonts w:hint="eastAsia" w:ascii="仿宋" w:hAnsi="仿宋" w:eastAsia="仿宋" w:cs="仿宋"/>
          <w:color w:val="ff0000"/>
          <w:szCs w:val="21"/>
        </w:rPr>
      </w:pPr>
      <w:r/>
      <w:bookmarkEnd w:id="242"/>
      <w:r/>
      <w:bookmarkStart w:id="243" w:name="_Toc25337"/>
      <w:r/>
      <w:bookmarkStart w:id="244" w:name="_Toc15871"/>
      <w:r>
        <w:rPr>
          <w:rFonts w:hint="eastAsia" w:ascii="仿宋" w:hAnsi="仿宋" w:eastAsia="仿宋" w:cs="仿宋"/>
          <w:color w:val="ff0000"/>
          <w:szCs w:val="21"/>
        </w:rPr>
      </w:r>
      <w:r/>
    </w:p>
    <w:p>
      <w:pPr>
        <w:pStyle w:val="815"/>
        <w:ind w:firstLine="210"/>
        <w:rPr>
          <w:rFonts w:hint="eastAsia" w:ascii="仿宋" w:hAnsi="仿宋" w:eastAsia="仿宋" w:cs="仿宋"/>
          <w:szCs w:val="21"/>
        </w:rPr>
      </w:pPr>
      <w:r>
        <w:rPr>
          <w:rFonts w:hint="eastAsia" w:ascii="仿宋" w:hAnsi="仿宋" w:eastAsia="仿宋" w:cs="仿宋"/>
          <w:szCs w:val="21"/>
        </w:rPr>
      </w:r>
      <w:r/>
    </w:p>
    <w:p>
      <w:pPr>
        <w:pStyle w:val="1142"/>
        <w:ind w:left="210"/>
        <w:rPr>
          <w:rFonts w:hint="eastAsia" w:ascii="宋体"/>
          <w:b w:val="0"/>
          <w:szCs w:val="32"/>
        </w:rPr>
        <w:outlineLvl w:val="1"/>
      </w:pPr>
      <w:r>
        <w:rPr>
          <w:rFonts w:hint="eastAsia" w:ascii="宋体"/>
          <w:b w:val="0"/>
          <w:szCs w:val="32"/>
        </w:rPr>
        <w:br w:type="page" w:clear="all"/>
        <w:t xml:space="preserve">八、企业业绩</w:t>
      </w:r>
      <w:bookmarkEnd w:id="243"/>
      <w:r/>
      <w:bookmarkEnd w:id="244"/>
      <w:r>
        <w:rPr>
          <w:rFonts w:hint="eastAsia" w:ascii="宋体"/>
          <w:b w:val="0"/>
          <w:szCs w:val="32"/>
        </w:rPr>
      </w:r>
      <w:r/>
    </w:p>
    <w:p>
      <w:pPr>
        <w:pStyle w:val="115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45"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50"/>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14"/>
              <w:jc w:val="center"/>
              <w:spacing w:line="500" w:lineRule="exact"/>
              <w:widowControl/>
              <w:rPr>
                <w:rFonts w:ascii="宋体" w:hAnsi="宋体" w:cs="仿宋"/>
                <w:sz w:val="28"/>
                <w:szCs w:val="28"/>
              </w:rPr>
            </w:pPr>
            <w:r/>
            <w:bookmarkEnd w:id="245"/>
            <w:r>
              <w:rPr>
                <w:rFonts w:hint="eastAsia" w:ascii="宋体" w:hAnsi="宋体" w:cs="仿宋"/>
                <w:sz w:val="28"/>
                <w:szCs w:val="28"/>
              </w:rPr>
              <w:t xml:space="preserve">序</w:t>
            </w:r>
            <w:r>
              <w:rPr>
                <w:rFonts w:ascii="宋体" w:hAnsi="宋体" w:cs="仿宋"/>
                <w:sz w:val="28"/>
                <w:szCs w:val="28"/>
              </w:rPr>
            </w:r>
            <w:r/>
          </w:p>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14"/>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1"/>
              <w:jc w:val="center"/>
              <w:spacing w:line="560" w:lineRule="exact"/>
              <w:rPr>
                <w:rFonts w:ascii="仿宋_GB2312" w:eastAsia="仿宋_GB2312"/>
                <w:sz w:val="28"/>
              </w:rPr>
            </w:pPr>
            <w:r>
              <w:rPr>
                <w:rFonts w:ascii="仿宋_GB2312" w:eastAsia="仿宋_GB2312"/>
                <w:sz w:val="28"/>
              </w:rPr>
            </w:r>
            <w:r/>
          </w:p>
        </w:tc>
      </w:tr>
    </w:tbl>
    <w:p>
      <w:pPr>
        <w:pStyle w:val="815"/>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815"/>
        <w:spacing w:line="480" w:lineRule="exact"/>
        <w:rPr>
          <w:rFonts w:ascii="宋体" w:hAnsi="黑体" w:eastAsia="黑体" w:cs="黑体"/>
          <w:sz w:val="32"/>
          <w:szCs w:val="32"/>
        </w:rPr>
        <w:outlineLvl w:val="1"/>
      </w:pPr>
      <w:r/>
      <w:bookmarkStart w:id="246" w:name="_Toc9275"/>
      <w:r/>
      <w:bookmarkStart w:id="247" w:name="_Toc26048"/>
      <w:r>
        <w:rPr>
          <w:rFonts w:hint="eastAsia" w:ascii="宋体" w:hAnsi="黑体" w:eastAsia="黑体" w:cs="黑体"/>
          <w:sz w:val="32"/>
          <w:szCs w:val="32"/>
        </w:rPr>
        <w:br w:type="page" w:clear="all"/>
      </w:r>
      <w:bookmarkStart w:id="248" w:name="OLE_LINK43"/>
      <w:r>
        <w:rPr>
          <w:rFonts w:hint="eastAsia" w:ascii="宋体" w:hAnsi="黑体" w:eastAsia="黑体" w:cs="黑体"/>
          <w:sz w:val="32"/>
          <w:szCs w:val="32"/>
        </w:rPr>
        <w:t xml:space="preserve">九、</w:t>
      </w:r>
      <w:bookmarkEnd w:id="248"/>
      <w:r>
        <w:rPr>
          <w:rFonts w:hint="eastAsia" w:ascii="宋体" w:hAnsi="黑体" w:eastAsia="黑体" w:cs="黑体"/>
          <w:sz w:val="32"/>
          <w:szCs w:val="32"/>
        </w:rPr>
        <w:t xml:space="preserve">技术资料要求承诺函</w:t>
      </w:r>
      <w:r>
        <w:rPr>
          <w:rFonts w:ascii="宋体" w:hAnsi="黑体" w:eastAsia="黑体" w:cs="黑体"/>
          <w:sz w:val="32"/>
          <w:szCs w:val="32"/>
        </w:rPr>
      </w:r>
      <w:r/>
    </w:p>
    <w:p>
      <w:pPr>
        <w:pStyle w:val="1263"/>
      </w:pPr>
      <w:r/>
      <w:r/>
    </w:p>
    <w:p>
      <w:pPr>
        <w:pStyle w:val="1263"/>
      </w:pPr>
      <w:r/>
      <w:r/>
    </w:p>
    <w:p>
      <w:pPr>
        <w:pStyle w:val="1171"/>
        <w:spacing w:before="10" w:after="10" w:line="600" w:lineRule="exact"/>
        <w:rPr>
          <w:rFonts w:hint="eastAsia" w:ascii="宋体" w:hAnsi="宋体" w:cs="仿宋"/>
          <w:sz w:val="24"/>
          <w:szCs w:val="24"/>
          <w:u w:val="single"/>
        </w:rPr>
      </w:pPr>
      <w:r/>
      <w:bookmarkStart w:id="249" w:name="OLE_LINK45"/>
      <w:r>
        <w:rPr>
          <w:rFonts w:hint="eastAsia" w:ascii="宋体" w:hAnsi="宋体"/>
          <w:sz w:val="24"/>
          <w:szCs w:val="24"/>
          <w:u w:val="single"/>
        </w:rPr>
        <w:t xml:space="preserve">江苏省宿迁卫生中等专业学校</w:t>
      </w:r>
      <w:bookmarkEnd w:id="249"/>
      <w:r>
        <w:rPr>
          <w:rFonts w:hint="eastAsia" w:ascii="宋体" w:hAnsi="宋体" w:cs="仿宋"/>
          <w:sz w:val="24"/>
          <w:szCs w:val="24"/>
          <w:u w:val="single"/>
        </w:rPr>
        <w:t xml:space="preserve">：</w:t>
      </w:r>
      <w:r/>
    </w:p>
    <w:p>
      <w:pPr>
        <w:pStyle w:val="815"/>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sz w:val="24"/>
          <w:szCs w:val="24"/>
          <w:u w:val="single"/>
        </w:rPr>
        <w:t xml:space="preserve">JSZC-321300-JZCG-G2026-0061</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hint="eastAsia" w:ascii="宋体" w:hAnsi="宋体" w:cs="仿宋"/>
          <w:sz w:val="24"/>
          <w:szCs w:val="24"/>
        </w:rPr>
        <w:t xml:space="preserve">招标文件相关要求，承诺如下：针对“第四章 采购需求-六、技术资料要求”内容，我单位完全响应，如我单位中</w:t>
      </w:r>
      <w:r>
        <w:rPr>
          <w:rFonts w:hint="eastAsia" w:ascii="宋体" w:hAnsi="宋体" w:cs="仿宋"/>
          <w:sz w:val="24"/>
          <w:szCs w:val="24"/>
        </w:rPr>
        <w:t xml:space="preserve">标，将按照响应内容进行履约。如我单位投标文件的响应方案优于采购需求，将按投标文件履约。</w:t>
      </w:r>
      <w:r/>
    </w:p>
    <w:p>
      <w:pPr>
        <w:pStyle w:val="1263"/>
        <w:rPr>
          <w:rFonts w:hint="eastAsia"/>
        </w:rPr>
      </w:pPr>
      <w:r>
        <w:rPr>
          <w:rFonts w:hint="eastAsia"/>
        </w:rPr>
      </w:r>
      <w:r/>
    </w:p>
    <w:p>
      <w:pPr>
        <w:pStyle w:val="1263"/>
        <w:rPr>
          <w:rFonts w:cs="黑体"/>
        </w:rPr>
      </w:pPr>
      <w:r>
        <w:rPr>
          <w:rFonts w:cs="黑体"/>
        </w:rPr>
      </w:r>
      <w:r/>
    </w:p>
    <w:p>
      <w:pPr>
        <w:pStyle w:val="815"/>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rPr>
          <w:rFonts w:hint="eastAsia"/>
        </w:rPr>
      </w:pPr>
      <w:r>
        <w:rPr>
          <w:rFonts w:hint="eastAsia"/>
        </w:rPr>
      </w:r>
      <w:r/>
    </w:p>
    <w:p>
      <w:pPr>
        <w:pStyle w:val="815"/>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十、项目组人员承诺函</w:t>
      </w:r>
      <w:r>
        <w:rPr>
          <w:rFonts w:ascii="宋体" w:hAnsi="黑体" w:eastAsia="黑体" w:cs="黑体"/>
          <w:sz w:val="32"/>
          <w:szCs w:val="32"/>
        </w:rPr>
      </w:r>
      <w:r/>
    </w:p>
    <w:p>
      <w:pPr>
        <w:pStyle w:val="1263"/>
      </w:pPr>
      <w:r/>
      <w:r/>
    </w:p>
    <w:p>
      <w:pPr>
        <w:pStyle w:val="1263"/>
      </w:pPr>
      <w:r/>
      <w:r/>
    </w:p>
    <w:p>
      <w:pPr>
        <w:pStyle w:val="1171"/>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江苏省宿迁卫生中等专业学校</w:t>
      </w:r>
      <w:r>
        <w:rPr>
          <w:rFonts w:hint="eastAsia" w:ascii="宋体" w:hAnsi="宋体" w:cs="仿宋"/>
          <w:sz w:val="24"/>
          <w:szCs w:val="24"/>
          <w:u w:val="single"/>
        </w:rPr>
        <w:t xml:space="preserve">：</w:t>
      </w:r>
      <w:r/>
    </w:p>
    <w:p>
      <w:pPr>
        <w:pStyle w:val="815"/>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sz w:val="24"/>
          <w:szCs w:val="24"/>
          <w:u w:val="single"/>
        </w:rPr>
        <w:t xml:space="preserve">JSZC-321300-JZCG-G2026-0061</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hint="eastAsia" w:ascii="宋体" w:hAnsi="宋体" w:cs="仿宋"/>
          <w:sz w:val="24"/>
          <w:szCs w:val="24"/>
        </w:rPr>
        <w:t xml:space="preserve">招标文件相关要求，承诺如下：针对“第四章 采购需求-七、项目实施方案-（四）项目组人员”内容，我单位完全响应，如我单位中标，将按照响应内容进行履约。如我单位投标文件的响应方案优于采购需求，将按投标文件履约。</w:t>
      </w:r>
      <w:r/>
    </w:p>
    <w:p>
      <w:pPr>
        <w:pStyle w:val="1263"/>
        <w:rPr>
          <w:rFonts w:hint="eastAsia"/>
        </w:rPr>
      </w:pPr>
      <w:r>
        <w:rPr>
          <w:rFonts w:hint="eastAsia"/>
        </w:rPr>
      </w:r>
      <w:r/>
    </w:p>
    <w:p>
      <w:pPr>
        <w:pStyle w:val="1263"/>
        <w:rPr>
          <w:rFonts w:cs="黑体"/>
        </w:rPr>
      </w:pPr>
      <w:r>
        <w:rPr>
          <w:rFonts w:cs="黑体"/>
        </w:rPr>
      </w:r>
      <w:r/>
    </w:p>
    <w:p>
      <w:pPr>
        <w:pStyle w:val="815"/>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1263"/>
      </w:pPr>
      <w:r/>
      <w:r/>
    </w:p>
    <w:p>
      <w:pPr>
        <w:pStyle w:val="815"/>
        <w:spacing w:line="480" w:lineRule="exact"/>
        <w:rPr>
          <w:rFonts w:hint="eastAsia" w:ascii="宋体"/>
          <w:szCs w:val="32"/>
        </w:rPr>
        <w:outlineLvl w:val="1"/>
      </w:pPr>
      <w:r>
        <w:rPr>
          <w:rFonts w:hint="eastAsia" w:ascii="宋体" w:hAnsi="黑体" w:eastAsia="黑体" w:cs="黑体"/>
          <w:sz w:val="32"/>
          <w:szCs w:val="32"/>
        </w:rPr>
        <w:t xml:space="preserve">十一、投标所需其他材料</w:t>
      </w:r>
      <w:bookmarkEnd w:id="246"/>
      <w:r/>
      <w:bookmarkEnd w:id="247"/>
      <w:r>
        <w:rPr>
          <w:rFonts w:hint="eastAsia" w:ascii="宋体"/>
          <w:szCs w:val="32"/>
        </w:rPr>
      </w:r>
      <w:r/>
    </w:p>
    <w:p>
      <w:pPr>
        <w:pStyle w:val="115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p>
      <w:pPr>
        <w:pStyle w:val="1129"/>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4"/>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5"/>
                    </w:pPr>
                    <w:r/>
                    <w:r/>
                  </w:p>
                </w:txbxContent>
              </v:textbox>
            </v:shape>
          </w:pict>
        </mc:Fallback>
      </mc:AlternateContent>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p>
                    <w:pPr>
                      <w:pStyle w:val="8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w:instrText>
                          </w:r>
                          <w:r>
                            <w:rPr>
                              <w:rFonts w:ascii="Times New Roman" w:hAnsi="Times New Roman"/>
                              <w:sz w:val="32"/>
                              <w:szCs w:val="32"/>
                            </w:rPr>
                            <w:instrText xml:space="preserve">*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w:instrText>
                    </w:r>
                    <w:r>
                      <w:rPr>
                        <w:rFonts w:ascii="Times New Roman" w:hAnsi="Times New Roman"/>
                        <w:sz w:val="32"/>
                        <w:szCs w:val="32"/>
                      </w:rPr>
                      <w:instrText xml:space="preserve">*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5"/>
                    </w:pPr>
                    <w:r/>
                    <w:r/>
                  </w:p>
                </w:txbxContent>
              </v:textbox>
            </v:shape>
          </w:pict>
        </mc:Fallback>
      </mc:AlternateContent>
    </w:r>
    <w:r/>
  </w:p>
  <w:p>
    <w:pPr>
      <w:pStyle w:val="8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2"/>
      <w:isLgl w:val="false"/>
      <w:suff w:val="nothing"/>
      <w:lvlText w:val="%1、"/>
      <w:lvlJc w:val="left"/>
      <w:pPr>
        <w:pStyle w:val="815"/>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6">
    <w:multiLevelType w:val="hybridMultilevel"/>
    <w:lvl w:ilvl="0">
      <w:start w:val="1"/>
      <w:numFmt w:val="chineseCounting"/>
      <w:pStyle w:val="1237"/>
      <w:isLgl w:val="false"/>
      <w:suff w:val="nothing"/>
      <w:lvlText w:val="%1、"/>
      <w:lvlJc w:val="left"/>
      <w:pPr>
        <w:pStyle w:val="815"/>
      </w:pPr>
      <w:rPr>
        <w:rFonts w:hint="eastAsia"/>
      </w:r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15"/>
    <w:next w:val="815"/>
    <w:link w:val="958"/>
    <w:uiPriority w:val="9"/>
    <w:qFormat/>
    <w:pPr>
      <w:keepLines/>
      <w:keepNext/>
      <w:spacing w:before="480" w:after="200"/>
      <w:outlineLvl w:val="0"/>
    </w:pPr>
    <w:rPr>
      <w:rFonts w:ascii="Arial" w:hAnsi="Arial" w:eastAsia="Arial" w:cs="Arial"/>
      <w:sz w:val="40"/>
      <w:szCs w:val="40"/>
    </w:rPr>
  </w:style>
  <w:style w:type="paragraph" w:styleId="791">
    <w:name w:val="Heading 2"/>
    <w:basedOn w:val="815"/>
    <w:next w:val="815"/>
    <w:link w:val="959"/>
    <w:uiPriority w:val="9"/>
    <w:unhideWhenUsed/>
    <w:qFormat/>
    <w:pPr>
      <w:keepLines/>
      <w:keepNext/>
      <w:spacing w:before="360" w:after="200"/>
      <w:outlineLvl w:val="1"/>
    </w:pPr>
    <w:rPr>
      <w:rFonts w:ascii="Arial" w:hAnsi="Arial" w:eastAsia="Arial" w:cs="Arial"/>
      <w:sz w:val="34"/>
    </w:rPr>
  </w:style>
  <w:style w:type="paragraph" w:styleId="792">
    <w:name w:val="Heading 3"/>
    <w:basedOn w:val="815"/>
    <w:next w:val="815"/>
    <w:link w:val="96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15"/>
    <w:next w:val="815"/>
    <w:link w:val="961"/>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15"/>
    <w:next w:val="815"/>
    <w:link w:val="962"/>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15"/>
    <w:next w:val="815"/>
    <w:link w:val="963"/>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15"/>
    <w:next w:val="815"/>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15"/>
    <w:next w:val="815"/>
    <w:link w:val="965"/>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15"/>
    <w:next w:val="815"/>
    <w:link w:val="966"/>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815"/>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15"/>
    <w:next w:val="815"/>
    <w:link w:val="967"/>
    <w:uiPriority w:val="10"/>
    <w:qFormat/>
    <w:pPr>
      <w:contextualSpacing/>
      <w:spacing w:before="300" w:after="200"/>
    </w:pPr>
    <w:rPr>
      <w:sz w:val="48"/>
      <w:szCs w:val="48"/>
    </w:rPr>
  </w:style>
  <w:style w:type="paragraph" w:styleId="802">
    <w:name w:val="Subtitle"/>
    <w:basedOn w:val="815"/>
    <w:next w:val="815"/>
    <w:link w:val="968"/>
    <w:uiPriority w:val="11"/>
    <w:qFormat/>
    <w:pPr>
      <w:spacing w:before="200" w:after="200"/>
    </w:pPr>
    <w:rPr>
      <w:sz w:val="24"/>
      <w:szCs w:val="24"/>
    </w:rPr>
  </w:style>
  <w:style w:type="paragraph" w:styleId="803">
    <w:name w:val="Quote"/>
    <w:basedOn w:val="815"/>
    <w:next w:val="815"/>
    <w:link w:val="969"/>
    <w:uiPriority w:val="29"/>
    <w:qFormat/>
    <w:pPr>
      <w:ind w:left="720" w:right="720"/>
    </w:pPr>
    <w:rPr>
      <w:i/>
    </w:rPr>
  </w:style>
  <w:style w:type="paragraph" w:styleId="804">
    <w:name w:val="Intense Quote"/>
    <w:basedOn w:val="815"/>
    <w:next w:val="815"/>
    <w:link w:val="9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name w:val="Header"/>
    <w:basedOn w:val="815"/>
    <w:link w:val="980"/>
    <w:uiPriority w:val="99"/>
    <w:unhideWhenUsed/>
    <w:pPr>
      <w:spacing w:after="0" w:line="240" w:lineRule="auto"/>
      <w:tabs>
        <w:tab w:val="center" w:pos="7143" w:leader="none"/>
        <w:tab w:val="right" w:pos="14287" w:leader="none"/>
      </w:tabs>
    </w:pPr>
  </w:style>
  <w:style w:type="paragraph" w:styleId="806">
    <w:name w:val="Footer"/>
    <w:basedOn w:val="815"/>
    <w:link w:val="971"/>
    <w:uiPriority w:val="99"/>
    <w:unhideWhenUsed/>
    <w:pPr>
      <w:spacing w:after="0" w:line="240" w:lineRule="auto"/>
      <w:tabs>
        <w:tab w:val="center" w:pos="7143" w:leader="none"/>
        <w:tab w:val="right" w:pos="14287" w:leader="none"/>
      </w:tabs>
    </w:pPr>
  </w:style>
  <w:style w:type="paragraph" w:styleId="807">
    <w:name w:val="Caption"/>
    <w:basedOn w:val="815"/>
    <w:next w:val="815"/>
    <w:uiPriority w:val="35"/>
    <w:semiHidden/>
    <w:unhideWhenUsed/>
    <w:qFormat/>
    <w:pPr>
      <w:spacing w:line="276" w:lineRule="auto"/>
    </w:pPr>
    <w:rPr>
      <w:b/>
      <w:bCs/>
      <w:color w:val="4f81bd" w:themeColor="accent1"/>
      <w:sz w:val="18"/>
      <w:szCs w:val="18"/>
    </w:rPr>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Hyperlink"/>
    <w:uiPriority w:val="99"/>
    <w:unhideWhenUsed/>
    <w:rPr>
      <w:color w:val="0000ff" w:themeColor="hyperlink"/>
      <w:u w:val="single"/>
    </w:rPr>
  </w:style>
  <w:style w:type="paragraph" w:styleId="810">
    <w:name w:val="footnote text"/>
    <w:basedOn w:val="815"/>
    <w:link w:val="972"/>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15"/>
    <w:link w:val="973"/>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rFonts w:ascii="Calibri" w:hAnsi="Calibri"/>
      <w:sz w:val="21"/>
      <w:szCs w:val="22"/>
      <w:lang w:val="en-US" w:eastAsia="zh-CN" w:bidi="ar-SA"/>
    </w:rPr>
  </w:style>
  <w:style w:type="paragraph" w:styleId="816">
    <w:name w:val="标题 1"/>
    <w:basedOn w:val="815"/>
    <w:next w:val="815"/>
    <w:link w:val="828"/>
    <w:qFormat/>
    <w:pPr>
      <w:keepLines/>
      <w:keepNext/>
      <w:spacing w:before="480" w:after="200"/>
      <w:outlineLvl w:val="0"/>
    </w:pPr>
    <w:rPr>
      <w:rFonts w:ascii="Arial" w:hAnsi="Arial" w:eastAsia="Arial" w:cs="Arial"/>
      <w:sz w:val="40"/>
      <w:szCs w:val="40"/>
    </w:rPr>
  </w:style>
  <w:style w:type="paragraph" w:styleId="817">
    <w:name w:val="标题 2"/>
    <w:basedOn w:val="815"/>
    <w:next w:val="830"/>
    <w:link w:val="829"/>
    <w:qFormat/>
    <w:pPr>
      <w:keepLines/>
      <w:keepNext/>
      <w:spacing w:before="260" w:after="260" w:line="413" w:lineRule="auto"/>
      <w:outlineLvl w:val="1"/>
    </w:pPr>
    <w:rPr>
      <w:rFonts w:ascii="Arial" w:hAnsi="Arial" w:eastAsia="黑体"/>
      <w:b/>
      <w:sz w:val="32"/>
      <w:szCs w:val="20"/>
    </w:rPr>
  </w:style>
  <w:style w:type="paragraph" w:styleId="818">
    <w:name w:val="标题 3"/>
    <w:basedOn w:val="832"/>
    <w:next w:val="834"/>
    <w:link w:val="833"/>
    <w:qFormat/>
    <w:pPr>
      <w:keepLines/>
      <w:keepNext/>
      <w:spacing w:before="320" w:after="200"/>
      <w:outlineLvl w:val="2"/>
    </w:pPr>
    <w:rPr>
      <w:rFonts w:ascii="Arial" w:hAnsi="Arial" w:eastAsia="Arial" w:cs="Arial"/>
      <w:sz w:val="30"/>
      <w:szCs w:val="30"/>
    </w:rPr>
  </w:style>
  <w:style w:type="paragraph" w:styleId="819">
    <w:name w:val="标题 4"/>
    <w:basedOn w:val="815"/>
    <w:next w:val="815"/>
    <w:link w:val="838"/>
    <w:qFormat/>
    <w:pPr>
      <w:jc w:val="center"/>
      <w:keepNext/>
      <w:outlineLvl w:val="3"/>
    </w:pPr>
    <w:rPr>
      <w:rFonts w:eastAsia="新宋体"/>
      <w:sz w:val="30"/>
      <w:szCs w:val="21"/>
    </w:rPr>
  </w:style>
  <w:style w:type="paragraph" w:styleId="820">
    <w:name w:val="标题 5"/>
    <w:basedOn w:val="815"/>
    <w:next w:val="815"/>
    <w:link w:val="839"/>
    <w:qFormat/>
    <w:pPr>
      <w:keepLines/>
      <w:keepNext/>
      <w:spacing w:before="320" w:after="200"/>
      <w:outlineLvl w:val="4"/>
    </w:pPr>
    <w:rPr>
      <w:rFonts w:ascii="Arial" w:hAnsi="Arial" w:eastAsia="Arial" w:cs="Arial"/>
      <w:b/>
      <w:bCs/>
      <w:sz w:val="24"/>
      <w:szCs w:val="24"/>
    </w:rPr>
  </w:style>
  <w:style w:type="paragraph" w:styleId="821">
    <w:name w:val="标题 6"/>
    <w:basedOn w:val="815"/>
    <w:next w:val="815"/>
    <w:link w:val="840"/>
    <w:qFormat/>
    <w:pPr>
      <w:keepLines/>
      <w:keepNext/>
      <w:spacing w:before="320" w:after="200"/>
      <w:outlineLvl w:val="5"/>
    </w:pPr>
    <w:rPr>
      <w:rFonts w:ascii="Arial" w:hAnsi="Arial" w:eastAsia="Arial" w:cs="Arial"/>
      <w:b/>
      <w:bCs/>
      <w:sz w:val="22"/>
    </w:rPr>
  </w:style>
  <w:style w:type="paragraph" w:styleId="822">
    <w:name w:val="标题 7"/>
    <w:basedOn w:val="815"/>
    <w:next w:val="815"/>
    <w:link w:val="841"/>
    <w:qFormat/>
    <w:pPr>
      <w:keepLines/>
      <w:keepNext/>
      <w:spacing w:before="320" w:after="200"/>
      <w:outlineLvl w:val="6"/>
    </w:pPr>
    <w:rPr>
      <w:rFonts w:ascii="Arial" w:hAnsi="Arial" w:eastAsia="Arial" w:cs="Arial"/>
      <w:b/>
      <w:bCs/>
      <w:i/>
      <w:iCs/>
      <w:sz w:val="22"/>
    </w:rPr>
  </w:style>
  <w:style w:type="paragraph" w:styleId="823">
    <w:name w:val="标题 8"/>
    <w:basedOn w:val="815"/>
    <w:next w:val="815"/>
    <w:link w:val="842"/>
    <w:qFormat/>
    <w:pPr>
      <w:keepLines/>
      <w:keepNext/>
      <w:spacing w:before="320" w:after="200"/>
      <w:outlineLvl w:val="7"/>
    </w:pPr>
    <w:rPr>
      <w:rFonts w:ascii="Arial" w:hAnsi="Arial" w:eastAsia="Arial" w:cs="Arial"/>
      <w:i/>
      <w:iCs/>
      <w:sz w:val="22"/>
    </w:rPr>
  </w:style>
  <w:style w:type="paragraph" w:styleId="824">
    <w:name w:val="标题 9"/>
    <w:basedOn w:val="815"/>
    <w:next w:val="815"/>
    <w:link w:val="843"/>
    <w:qFormat/>
    <w:pPr>
      <w:keepLines/>
      <w:keepNext/>
      <w:spacing w:before="320" w:after="200"/>
      <w:outlineLvl w:val="8"/>
    </w:pPr>
    <w:rPr>
      <w:rFonts w:ascii="Arial" w:hAnsi="Arial" w:eastAsia="Arial" w:cs="Arial"/>
      <w:i/>
      <w:iCs/>
      <w:szCs w:val="21"/>
    </w:rPr>
  </w:style>
  <w:style w:type="character" w:styleId="825">
    <w:name w:val="默认段落字体"/>
    <w:next w:val="825"/>
    <w:link w:val="815"/>
    <w:uiPriority w:val="1"/>
    <w:unhideWhenUsed/>
    <w:qFormat/>
  </w:style>
  <w:style w:type="table" w:styleId="826">
    <w:name w:val="普通表格"/>
    <w:next w:val="826"/>
    <w:link w:val="815"/>
    <w:uiPriority w:val="99"/>
    <w:unhideWhenUsed/>
    <w:qFormat/>
    <w:tblPr/>
  </w:style>
  <w:style w:type="numbering" w:styleId="827">
    <w:name w:val="无列表"/>
    <w:next w:val="827"/>
    <w:link w:val="815"/>
    <w:uiPriority w:val="99"/>
    <w:semiHidden/>
    <w:unhideWhenUsed/>
  </w:style>
  <w:style w:type="character" w:styleId="828">
    <w:name w:val="标题 1 字符"/>
    <w:next w:val="828"/>
    <w:link w:val="816"/>
    <w:qFormat/>
    <w:rPr>
      <w:rFonts w:ascii="Arial" w:hAnsi="Arial" w:eastAsia="Arial" w:cs="Arial"/>
      <w:sz w:val="40"/>
      <w:szCs w:val="40"/>
    </w:rPr>
  </w:style>
  <w:style w:type="character" w:styleId="829">
    <w:name w:val="标题 2 字符"/>
    <w:next w:val="829"/>
    <w:link w:val="817"/>
    <w:qFormat/>
    <w:rPr>
      <w:rFonts w:ascii="Arial" w:hAnsi="Arial" w:eastAsia="Arial" w:cs="Arial"/>
      <w:sz w:val="34"/>
    </w:rPr>
  </w:style>
  <w:style w:type="paragraph" w:styleId="830">
    <w:name w:val="正文缩进"/>
    <w:basedOn w:val="815"/>
    <w:next w:val="830"/>
    <w:link w:val="831"/>
    <w:qFormat/>
    <w:pPr>
      <w:ind w:firstLine="420"/>
    </w:pPr>
    <w:rPr>
      <w:rFonts w:ascii="宋体"/>
      <w:color w:val="000000"/>
      <w:sz w:val="24"/>
      <w:szCs w:val="20"/>
    </w:rPr>
  </w:style>
  <w:style w:type="character" w:styleId="831">
    <w:name w:val="正文缩进 字符"/>
    <w:next w:val="831"/>
    <w:link w:val="830"/>
    <w:qFormat/>
    <w:rPr>
      <w:rFonts w:ascii="宋体" w:hAnsi="Calibri"/>
      <w:color w:val="000000"/>
      <w:sz w:val="24"/>
    </w:rPr>
  </w:style>
  <w:style w:type="paragraph" w:styleId="832">
    <w:name w:val="Normal1"/>
    <w:next w:val="818"/>
    <w:link w:val="815"/>
    <w:qFormat/>
    <w:pPr>
      <w:jc w:val="both"/>
      <w:widowControl w:val="off"/>
    </w:pPr>
    <w:rPr>
      <w:rFonts w:ascii="Calibri" w:hAnsi="Calibri"/>
      <w:sz w:val="21"/>
      <w:szCs w:val="22"/>
      <w:lang w:val="en-US" w:eastAsia="zh-CN" w:bidi="ar-SA"/>
    </w:rPr>
  </w:style>
  <w:style w:type="character" w:styleId="833">
    <w:name w:val="标题 3 字符"/>
    <w:next w:val="833"/>
    <w:link w:val="818"/>
    <w:qFormat/>
    <w:rPr>
      <w:rFonts w:ascii="Arial" w:hAnsi="Arial" w:eastAsia="Arial" w:cs="Arial"/>
      <w:sz w:val="30"/>
      <w:szCs w:val="30"/>
    </w:rPr>
  </w:style>
  <w:style w:type="paragraph" w:styleId="834">
    <w:name w:val="Normal_19"/>
    <w:next w:val="835"/>
    <w:link w:val="815"/>
    <w:qFormat/>
    <w:rPr>
      <w:rFonts w:ascii="黑体" w:hAnsi="黑体" w:eastAsia="黑体" w:cs="黑体"/>
      <w:b/>
      <w:sz w:val="32"/>
      <w:szCs w:val="24"/>
      <w:lang w:val="en-US" w:eastAsia="zh-CN" w:bidi="ar-SA"/>
    </w:rPr>
  </w:style>
  <w:style w:type="paragraph" w:styleId="835">
    <w:name w:val="Normal1"/>
    <w:next w:val="836"/>
    <w:link w:val="815"/>
    <w:qFormat/>
    <w:pPr>
      <w:jc w:val="both"/>
      <w:widowControl w:val="off"/>
    </w:pPr>
    <w:rPr>
      <w:szCs w:val="21"/>
      <w:lang w:val="en-US" w:eastAsia="zh-CN" w:bidi="ar-SA"/>
    </w:rPr>
  </w:style>
  <w:style w:type="paragraph" w:styleId="836">
    <w:name w:val="Body Text First Indent1"/>
    <w:basedOn w:val="837"/>
    <w:next w:val="836"/>
    <w:link w:val="815"/>
    <w:uiPriority w:val="99"/>
    <w:unhideWhenUsed/>
    <w:qFormat/>
    <w:pPr>
      <w:ind w:firstLine="420"/>
    </w:pPr>
  </w:style>
  <w:style w:type="paragraph" w:styleId="837">
    <w:name w:val="Body Text1"/>
    <w:basedOn w:val="835"/>
    <w:next w:val="837"/>
    <w:link w:val="815"/>
    <w:uiPriority w:val="99"/>
    <w:unhideWhenUsed/>
    <w:qFormat/>
    <w:pPr>
      <w:spacing w:after="120"/>
    </w:pPr>
  </w:style>
  <w:style w:type="character" w:styleId="838">
    <w:name w:val="标题 4 字符"/>
    <w:next w:val="838"/>
    <w:link w:val="819"/>
    <w:qFormat/>
    <w:rPr>
      <w:rFonts w:ascii="Arial" w:hAnsi="Arial" w:eastAsia="Arial" w:cs="Arial"/>
      <w:b/>
      <w:bCs/>
      <w:sz w:val="26"/>
      <w:szCs w:val="26"/>
    </w:rPr>
  </w:style>
  <w:style w:type="character" w:styleId="839">
    <w:name w:val="标题 5 字符"/>
    <w:next w:val="839"/>
    <w:link w:val="820"/>
    <w:qFormat/>
    <w:rPr>
      <w:rFonts w:ascii="Arial" w:hAnsi="Arial" w:eastAsia="Arial" w:cs="Arial"/>
      <w:b/>
      <w:bCs/>
      <w:sz w:val="24"/>
      <w:szCs w:val="24"/>
    </w:rPr>
  </w:style>
  <w:style w:type="character" w:styleId="840">
    <w:name w:val="标题 6 字符"/>
    <w:next w:val="840"/>
    <w:link w:val="821"/>
    <w:qFormat/>
    <w:rPr>
      <w:rFonts w:ascii="Arial" w:hAnsi="Arial" w:eastAsia="Arial" w:cs="Arial"/>
      <w:b/>
      <w:bCs/>
      <w:sz w:val="22"/>
      <w:szCs w:val="22"/>
    </w:rPr>
  </w:style>
  <w:style w:type="character" w:styleId="841">
    <w:name w:val="标题 7 字符"/>
    <w:next w:val="841"/>
    <w:link w:val="822"/>
    <w:qFormat/>
    <w:rPr>
      <w:rFonts w:ascii="Arial" w:hAnsi="Arial" w:eastAsia="Arial" w:cs="Arial"/>
      <w:b/>
      <w:bCs/>
      <w:i/>
      <w:iCs/>
      <w:sz w:val="22"/>
      <w:szCs w:val="22"/>
    </w:rPr>
  </w:style>
  <w:style w:type="character" w:styleId="842">
    <w:name w:val="标题 8 字符"/>
    <w:next w:val="842"/>
    <w:link w:val="823"/>
    <w:qFormat/>
    <w:rPr>
      <w:rFonts w:ascii="Arial" w:hAnsi="Arial" w:eastAsia="Arial" w:cs="Arial"/>
      <w:i/>
      <w:iCs/>
      <w:sz w:val="22"/>
      <w:szCs w:val="22"/>
    </w:rPr>
  </w:style>
  <w:style w:type="character" w:styleId="843">
    <w:name w:val="标题 9 字符"/>
    <w:next w:val="843"/>
    <w:link w:val="824"/>
    <w:qFormat/>
    <w:rPr>
      <w:rFonts w:ascii="Arial" w:hAnsi="Arial" w:eastAsia="Arial" w:cs="Arial"/>
      <w:i/>
      <w:iCs/>
      <w:sz w:val="21"/>
      <w:szCs w:val="21"/>
    </w:rPr>
  </w:style>
  <w:style w:type="paragraph" w:styleId="844">
    <w:name w:val="列表 3"/>
    <w:basedOn w:val="815"/>
    <w:next w:val="844"/>
    <w:link w:val="815"/>
    <w:qFormat/>
    <w:pPr>
      <w:ind w:left="100" w:hanging="200"/>
    </w:pPr>
    <w:rPr>
      <w:rFonts w:ascii="Times New Roman" w:hAnsi="Times New Roman"/>
      <w:szCs w:val="21"/>
    </w:rPr>
  </w:style>
  <w:style w:type="paragraph" w:styleId="845">
    <w:name w:val="toc 7"/>
    <w:basedOn w:val="815"/>
    <w:next w:val="815"/>
    <w:link w:val="815"/>
    <w:unhideWhenUsed/>
    <w:qFormat/>
    <w:pPr>
      <w:ind w:left="1701"/>
      <w:spacing w:after="57"/>
    </w:pPr>
  </w:style>
  <w:style w:type="paragraph" w:styleId="846">
    <w:name w:val="题注"/>
    <w:basedOn w:val="815"/>
    <w:next w:val="815"/>
    <w:link w:val="815"/>
    <w:uiPriority w:val="35"/>
    <w:qFormat/>
    <w:pPr>
      <w:spacing w:line="276" w:lineRule="auto"/>
    </w:pPr>
    <w:rPr>
      <w:b/>
      <w:bCs/>
      <w:color w:val="5b9bd5"/>
      <w:sz w:val="18"/>
      <w:szCs w:val="18"/>
    </w:rPr>
  </w:style>
  <w:style w:type="paragraph" w:styleId="847">
    <w:name w:val="文档结构图"/>
    <w:basedOn w:val="815"/>
    <w:next w:val="847"/>
    <w:link w:val="848"/>
    <w:semiHidden/>
    <w:qFormat/>
    <w:pPr>
      <w:shd w:val="clear" w:color="auto" w:fill="000080"/>
    </w:pPr>
    <w:rPr>
      <w:rFonts w:ascii="Times New Roman" w:hAnsi="Times New Roman"/>
      <w:szCs w:val="21"/>
    </w:rPr>
  </w:style>
  <w:style w:type="character" w:styleId="848">
    <w:name w:val="文档结构图 字符"/>
    <w:next w:val="848"/>
    <w:link w:val="847"/>
    <w:semiHidden/>
    <w:qFormat/>
    <w:rPr>
      <w:sz w:val="21"/>
      <w:szCs w:val="21"/>
      <w:shd w:val="clear" w:color="auto" w:fill="000080"/>
    </w:rPr>
  </w:style>
  <w:style w:type="paragraph" w:styleId="849">
    <w:name w:val="批注文字"/>
    <w:basedOn w:val="815"/>
    <w:next w:val="849"/>
    <w:link w:val="850"/>
    <w:semiHidden/>
    <w:qFormat/>
    <w:pPr>
      <w:jc w:val="left"/>
    </w:pPr>
    <w:rPr>
      <w:rFonts w:ascii="Times New Roman" w:hAnsi="Times New Roman"/>
      <w:szCs w:val="21"/>
    </w:rPr>
  </w:style>
  <w:style w:type="character" w:styleId="850">
    <w:name w:val="批注文字 字符"/>
    <w:next w:val="850"/>
    <w:link w:val="849"/>
    <w:semiHidden/>
    <w:qFormat/>
    <w:rPr>
      <w:sz w:val="21"/>
      <w:szCs w:val="21"/>
    </w:rPr>
  </w:style>
  <w:style w:type="paragraph" w:styleId="851">
    <w:name w:val="正文文本 3"/>
    <w:basedOn w:val="815"/>
    <w:next w:val="851"/>
    <w:link w:val="852"/>
    <w:qFormat/>
    <w:rPr>
      <w:rFonts w:ascii="仿宋_GB2312" w:hAnsi="Arial" w:eastAsia="仿宋_GB2312"/>
      <w:sz w:val="32"/>
      <w:szCs w:val="32"/>
    </w:rPr>
  </w:style>
  <w:style w:type="character" w:styleId="852">
    <w:name w:val="正文文本 3 字符"/>
    <w:next w:val="852"/>
    <w:link w:val="851"/>
    <w:qFormat/>
    <w:rPr>
      <w:rFonts w:ascii="仿宋_GB2312" w:hAnsi="Arial" w:eastAsia="仿宋_GB2312"/>
      <w:sz w:val="32"/>
      <w:szCs w:val="32"/>
    </w:rPr>
  </w:style>
  <w:style w:type="paragraph" w:styleId="853">
    <w:name w:val="正文文本"/>
    <w:basedOn w:val="815"/>
    <w:next w:val="853"/>
    <w:link w:val="815"/>
    <w:semiHidden/>
    <w:qFormat/>
    <w:rPr>
      <w:rFonts w:ascii="仿宋" w:hAnsi="仿宋" w:eastAsia="仿宋" w:cs="仿宋"/>
      <w:sz w:val="32"/>
      <w:szCs w:val="32"/>
      <w:lang w:val="en-US" w:eastAsia="en-US" w:bidi="ar-SA"/>
    </w:rPr>
  </w:style>
  <w:style w:type="paragraph" w:styleId="854">
    <w:name w:val="正文文本缩进"/>
    <w:basedOn w:val="815"/>
    <w:next w:val="854"/>
    <w:link w:val="855"/>
    <w:qFormat/>
    <w:pPr>
      <w:ind w:firstLine="225"/>
    </w:pPr>
    <w:rPr>
      <w:rFonts w:ascii="仿宋_GB2312" w:eastAsia="仿宋_GB2312"/>
      <w:sz w:val="32"/>
    </w:rPr>
  </w:style>
  <w:style w:type="character" w:styleId="855">
    <w:name w:val="正文文本缩进 字符1"/>
    <w:next w:val="855"/>
    <w:link w:val="854"/>
    <w:qFormat/>
    <w:rPr>
      <w:rFonts w:ascii="仿宋_GB2312" w:hAnsi="Calibri" w:eastAsia="仿宋_GB2312"/>
      <w:sz w:val="32"/>
      <w:szCs w:val="22"/>
    </w:rPr>
  </w:style>
  <w:style w:type="paragraph" w:styleId="856">
    <w:name w:val="列表 2"/>
    <w:basedOn w:val="815"/>
    <w:next w:val="856"/>
    <w:link w:val="815"/>
    <w:qFormat/>
    <w:pPr>
      <w:ind w:left="100" w:hanging="200"/>
    </w:pPr>
    <w:rPr>
      <w:rFonts w:ascii="Times New Roman" w:hAnsi="Times New Roman"/>
      <w:szCs w:val="21"/>
    </w:rPr>
  </w:style>
  <w:style w:type="paragraph" w:styleId="857">
    <w:name w:val="toc 5"/>
    <w:basedOn w:val="815"/>
    <w:next w:val="815"/>
    <w:link w:val="815"/>
    <w:unhideWhenUsed/>
    <w:qFormat/>
    <w:pPr>
      <w:ind w:left="1134"/>
      <w:spacing w:after="57"/>
    </w:pPr>
  </w:style>
  <w:style w:type="paragraph" w:styleId="858">
    <w:name w:val="toc 3"/>
    <w:basedOn w:val="815"/>
    <w:next w:val="815"/>
    <w:link w:val="815"/>
    <w:unhideWhenUsed/>
    <w:qFormat/>
    <w:pPr>
      <w:ind w:left="567"/>
      <w:spacing w:after="57"/>
    </w:pPr>
  </w:style>
  <w:style w:type="paragraph" w:styleId="859">
    <w:name w:val="纯文本"/>
    <w:basedOn w:val="815"/>
    <w:next w:val="859"/>
    <w:link w:val="860"/>
    <w:qFormat/>
    <w:rPr>
      <w:rFonts w:ascii="宋体" w:hAnsi="Courier New" w:cs="Courier New"/>
      <w:szCs w:val="21"/>
    </w:rPr>
  </w:style>
  <w:style w:type="character" w:styleId="860">
    <w:name w:val="纯文本 字符"/>
    <w:next w:val="860"/>
    <w:link w:val="859"/>
    <w:qFormat/>
    <w:rPr>
      <w:rFonts w:ascii="宋体" w:hAnsi="Courier New" w:cs="Courier New"/>
      <w:sz w:val="21"/>
      <w:szCs w:val="21"/>
    </w:rPr>
  </w:style>
  <w:style w:type="paragraph" w:styleId="861">
    <w:name w:val="toc 8"/>
    <w:basedOn w:val="815"/>
    <w:next w:val="815"/>
    <w:link w:val="815"/>
    <w:unhideWhenUsed/>
    <w:qFormat/>
    <w:pPr>
      <w:ind w:left="1984"/>
      <w:spacing w:after="57"/>
    </w:pPr>
  </w:style>
  <w:style w:type="paragraph" w:styleId="862">
    <w:name w:val="日期"/>
    <w:basedOn w:val="815"/>
    <w:next w:val="815"/>
    <w:link w:val="863"/>
    <w:qFormat/>
    <w:rPr>
      <w:rFonts w:ascii="Times New Roman" w:hAnsi="Times New Roman"/>
      <w:sz w:val="24"/>
      <w:szCs w:val="24"/>
    </w:rPr>
  </w:style>
  <w:style w:type="character" w:styleId="863">
    <w:name w:val="日期 字符"/>
    <w:next w:val="863"/>
    <w:link w:val="862"/>
    <w:qFormat/>
    <w:rPr>
      <w:sz w:val="24"/>
      <w:szCs w:val="24"/>
    </w:rPr>
  </w:style>
  <w:style w:type="paragraph" w:styleId="864">
    <w:name w:val="正文文本缩进 2"/>
    <w:basedOn w:val="815"/>
    <w:next w:val="864"/>
    <w:link w:val="865"/>
    <w:qFormat/>
    <w:pPr>
      <w:ind w:left="630" w:firstLine="645"/>
    </w:pPr>
    <w:rPr>
      <w:rFonts w:ascii="Arial" w:hAnsi="Arial" w:eastAsia="仿宋_GB2312" w:cs="Arial"/>
      <w:sz w:val="32"/>
      <w:szCs w:val="32"/>
    </w:rPr>
  </w:style>
  <w:style w:type="character" w:styleId="865">
    <w:name w:val="正文文本缩进 2 字符"/>
    <w:next w:val="865"/>
    <w:link w:val="864"/>
    <w:qFormat/>
    <w:rPr>
      <w:rFonts w:ascii="Arial" w:hAnsi="Arial" w:eastAsia="仿宋_GB2312" w:cs="Arial"/>
      <w:sz w:val="32"/>
      <w:szCs w:val="32"/>
    </w:rPr>
  </w:style>
  <w:style w:type="paragraph" w:styleId="866">
    <w:name w:val="尾注文本"/>
    <w:basedOn w:val="815"/>
    <w:next w:val="866"/>
    <w:link w:val="867"/>
    <w:uiPriority w:val="99"/>
    <w:unhideWhenUsed/>
    <w:qFormat/>
    <w:rPr>
      <w:sz w:val="20"/>
    </w:rPr>
  </w:style>
  <w:style w:type="character" w:styleId="867">
    <w:name w:val="尾注文本 字符"/>
    <w:next w:val="867"/>
    <w:link w:val="866"/>
    <w:uiPriority w:val="99"/>
    <w:qFormat/>
    <w:rPr>
      <w:sz w:val="20"/>
    </w:rPr>
  </w:style>
  <w:style w:type="paragraph" w:styleId="868">
    <w:name w:val="批注框文本"/>
    <w:basedOn w:val="815"/>
    <w:next w:val="868"/>
    <w:link w:val="869"/>
    <w:qFormat/>
    <w:rPr>
      <w:rFonts w:ascii="Times New Roman" w:hAnsi="Times New Roman"/>
      <w:sz w:val="18"/>
      <w:szCs w:val="18"/>
    </w:rPr>
  </w:style>
  <w:style w:type="character" w:styleId="869">
    <w:name w:val="批注框文本 字符"/>
    <w:next w:val="869"/>
    <w:link w:val="868"/>
    <w:qFormat/>
    <w:rPr>
      <w:sz w:val="18"/>
      <w:szCs w:val="18"/>
    </w:rPr>
  </w:style>
  <w:style w:type="paragraph" w:styleId="870">
    <w:name w:val="页脚"/>
    <w:basedOn w:val="815"/>
    <w:next w:val="870"/>
    <w:link w:val="871"/>
    <w:uiPriority w:val="99"/>
    <w:qFormat/>
    <w:pPr>
      <w:jc w:val="left"/>
      <w:tabs>
        <w:tab w:val="center" w:pos="4153" w:leader="none"/>
        <w:tab w:val="right" w:pos="8306" w:leader="none"/>
      </w:tabs>
    </w:pPr>
    <w:rPr>
      <w:sz w:val="18"/>
      <w:szCs w:val="18"/>
    </w:rPr>
  </w:style>
  <w:style w:type="character" w:styleId="871">
    <w:name w:val="页脚 字符"/>
    <w:next w:val="871"/>
    <w:link w:val="870"/>
    <w:uiPriority w:val="99"/>
    <w:qFormat/>
  </w:style>
  <w:style w:type="paragraph" w:styleId="872">
    <w:name w:val="页眉"/>
    <w:basedOn w:val="815"/>
    <w:next w:val="872"/>
    <w:link w:val="873"/>
    <w:qFormat/>
    <w:pPr>
      <w:jc w:val="center"/>
      <w:tabs>
        <w:tab w:val="center" w:pos="4153" w:leader="none"/>
        <w:tab w:val="right" w:pos="8306" w:leader="none"/>
      </w:tabs>
    </w:pPr>
    <w:rPr>
      <w:sz w:val="18"/>
      <w:szCs w:val="18"/>
    </w:rPr>
  </w:style>
  <w:style w:type="character" w:styleId="873">
    <w:name w:val="页眉 字符"/>
    <w:next w:val="873"/>
    <w:link w:val="872"/>
    <w:qFormat/>
    <w:rPr>
      <w:rFonts w:ascii="Calibri" w:hAnsi="Calibri"/>
      <w:sz w:val="18"/>
      <w:szCs w:val="18"/>
    </w:rPr>
  </w:style>
  <w:style w:type="paragraph" w:styleId="874">
    <w:name w:val="toc 1"/>
    <w:basedOn w:val="815"/>
    <w:next w:val="815"/>
    <w:link w:val="815"/>
    <w:qFormat/>
    <w:pPr>
      <w:jc w:val="left"/>
      <w:spacing w:before="120" w:after="120"/>
    </w:pPr>
    <w:rPr>
      <w:rFonts w:cs="Calibri"/>
      <w:b/>
      <w:bCs/>
      <w:caps/>
      <w:sz w:val="20"/>
      <w:szCs w:val="20"/>
    </w:rPr>
  </w:style>
  <w:style w:type="paragraph" w:styleId="875">
    <w:name w:val="toc 4"/>
    <w:basedOn w:val="815"/>
    <w:next w:val="815"/>
    <w:link w:val="815"/>
    <w:unhideWhenUsed/>
    <w:qFormat/>
    <w:pPr>
      <w:ind w:left="850"/>
      <w:spacing w:after="57"/>
    </w:pPr>
  </w:style>
  <w:style w:type="paragraph" w:styleId="876">
    <w:name w:val="副标题"/>
    <w:basedOn w:val="815"/>
    <w:next w:val="815"/>
    <w:link w:val="877"/>
    <w:uiPriority w:val="11"/>
    <w:qFormat/>
    <w:pPr>
      <w:spacing w:before="200" w:after="200"/>
    </w:pPr>
    <w:rPr>
      <w:sz w:val="24"/>
      <w:szCs w:val="24"/>
    </w:rPr>
  </w:style>
  <w:style w:type="character" w:styleId="877">
    <w:name w:val="副标题 字符"/>
    <w:next w:val="877"/>
    <w:link w:val="876"/>
    <w:uiPriority w:val="11"/>
    <w:qFormat/>
    <w:rPr>
      <w:sz w:val="24"/>
      <w:szCs w:val="24"/>
    </w:rPr>
  </w:style>
  <w:style w:type="paragraph" w:styleId="878">
    <w:name w:val="列表"/>
    <w:basedOn w:val="815"/>
    <w:next w:val="878"/>
    <w:link w:val="815"/>
    <w:qFormat/>
    <w:pPr>
      <w:ind w:left="200" w:hanging="200"/>
    </w:pPr>
    <w:rPr>
      <w:rFonts w:ascii="Times New Roman" w:hAnsi="Times New Roman"/>
      <w:szCs w:val="21"/>
    </w:rPr>
  </w:style>
  <w:style w:type="paragraph" w:styleId="879">
    <w:name w:val="脚注文本"/>
    <w:basedOn w:val="815"/>
    <w:next w:val="879"/>
    <w:link w:val="880"/>
    <w:uiPriority w:val="99"/>
    <w:unhideWhenUsed/>
    <w:qFormat/>
    <w:pPr>
      <w:spacing w:after="40"/>
    </w:pPr>
    <w:rPr>
      <w:sz w:val="18"/>
    </w:rPr>
  </w:style>
  <w:style w:type="character" w:styleId="880">
    <w:name w:val="脚注文本 字符"/>
    <w:next w:val="880"/>
    <w:link w:val="879"/>
    <w:uiPriority w:val="99"/>
    <w:qFormat/>
    <w:rPr>
      <w:sz w:val="18"/>
    </w:rPr>
  </w:style>
  <w:style w:type="paragraph" w:styleId="881">
    <w:name w:val="toc 6"/>
    <w:basedOn w:val="815"/>
    <w:next w:val="815"/>
    <w:link w:val="815"/>
    <w:unhideWhenUsed/>
    <w:qFormat/>
    <w:pPr>
      <w:ind w:left="1417"/>
      <w:spacing w:after="57"/>
    </w:pPr>
  </w:style>
  <w:style w:type="paragraph" w:styleId="882">
    <w:name w:val="正文文本缩进 3"/>
    <w:basedOn w:val="815"/>
    <w:next w:val="882"/>
    <w:link w:val="883"/>
    <w:qFormat/>
    <w:pPr>
      <w:ind w:left="645" w:firstLine="645"/>
    </w:pPr>
    <w:rPr>
      <w:rFonts w:ascii="Arial" w:hAnsi="Arial" w:eastAsia="仿宋_GB2312" w:cs="Arial"/>
      <w:color w:val="ffff00"/>
      <w:sz w:val="32"/>
      <w:szCs w:val="32"/>
    </w:rPr>
  </w:style>
  <w:style w:type="character" w:styleId="883">
    <w:name w:val="正文文本缩进 3 字符"/>
    <w:next w:val="883"/>
    <w:link w:val="882"/>
    <w:qFormat/>
    <w:rPr>
      <w:rFonts w:ascii="Arial" w:hAnsi="Arial" w:eastAsia="仿宋_GB2312" w:cs="Arial"/>
      <w:color w:val="ffff00"/>
      <w:sz w:val="32"/>
      <w:szCs w:val="32"/>
    </w:rPr>
  </w:style>
  <w:style w:type="paragraph" w:styleId="884">
    <w:name w:val="图表目录"/>
    <w:basedOn w:val="815"/>
    <w:next w:val="815"/>
    <w:link w:val="815"/>
    <w:unhideWhenUsed/>
    <w:qFormat/>
  </w:style>
  <w:style w:type="paragraph" w:styleId="885">
    <w:name w:val="toc 2"/>
    <w:basedOn w:val="815"/>
    <w:next w:val="815"/>
    <w:link w:val="815"/>
    <w:qFormat/>
    <w:pPr>
      <w:ind w:left="210"/>
      <w:jc w:val="left"/>
    </w:pPr>
    <w:rPr>
      <w:rFonts w:cs="Calibri"/>
      <w:smallCaps/>
      <w:sz w:val="20"/>
      <w:szCs w:val="20"/>
    </w:rPr>
  </w:style>
  <w:style w:type="paragraph" w:styleId="886">
    <w:name w:val="toc 9"/>
    <w:basedOn w:val="815"/>
    <w:next w:val="815"/>
    <w:link w:val="815"/>
    <w:unhideWhenUsed/>
    <w:qFormat/>
    <w:pPr>
      <w:ind w:left="2268"/>
      <w:spacing w:after="57"/>
    </w:pPr>
  </w:style>
  <w:style w:type="paragraph" w:styleId="887">
    <w:name w:val="正文文本 2"/>
    <w:basedOn w:val="815"/>
    <w:next w:val="887"/>
    <w:link w:val="888"/>
    <w:qFormat/>
    <w:pPr>
      <w:jc w:val="center"/>
      <w:widowControl/>
    </w:pPr>
    <w:rPr>
      <w:rFonts w:ascii="楷体_GB2312" w:hAnsi="Times New Roman" w:eastAsia="楷体_GB2312"/>
      <w:sz w:val="28"/>
      <w:szCs w:val="28"/>
    </w:rPr>
  </w:style>
  <w:style w:type="character" w:styleId="888">
    <w:name w:val="正文文本 2 字符"/>
    <w:next w:val="888"/>
    <w:link w:val="887"/>
    <w:qFormat/>
    <w:rPr>
      <w:rFonts w:ascii="楷体_GB2312" w:eastAsia="楷体_GB2312"/>
      <w:sz w:val="28"/>
      <w:szCs w:val="28"/>
    </w:rPr>
  </w:style>
  <w:style w:type="paragraph" w:styleId="889">
    <w:name w:val="HTML 预设格式"/>
    <w:basedOn w:val="815"/>
    <w:next w:val="889"/>
    <w:link w:val="8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0">
    <w:name w:val="HTML 预设格式 字符"/>
    <w:next w:val="890"/>
    <w:link w:val="889"/>
    <w:uiPriority w:val="99"/>
    <w:qFormat/>
    <w:rPr>
      <w:rFonts w:ascii="宋体" w:hAnsi="宋体"/>
      <w:sz w:val="24"/>
      <w:szCs w:val="24"/>
    </w:rPr>
  </w:style>
  <w:style w:type="paragraph" w:styleId="891">
    <w:name w:val="普通(网站)"/>
    <w:basedOn w:val="815"/>
    <w:next w:val="891"/>
    <w:link w:val="815"/>
    <w:uiPriority w:val="99"/>
    <w:qFormat/>
    <w:pPr>
      <w:jc w:val="left"/>
      <w:spacing w:before="100" w:beforeAutospacing="1" w:after="100" w:afterAutospacing="1"/>
      <w:widowControl/>
    </w:pPr>
    <w:rPr>
      <w:rFonts w:ascii="宋体" w:hAnsi="宋体" w:cs="宋体"/>
      <w:sz w:val="24"/>
      <w:szCs w:val="24"/>
    </w:rPr>
  </w:style>
  <w:style w:type="paragraph" w:styleId="892">
    <w:name w:val="索引 1"/>
    <w:basedOn w:val="815"/>
    <w:next w:val="815"/>
    <w:link w:val="815"/>
    <w:semiHidden/>
    <w:qFormat/>
    <w:pPr>
      <w:spacing w:line="240" w:lineRule="atLeast"/>
    </w:pPr>
    <w:rPr>
      <w:rFonts w:ascii="Times New Roman" w:hAnsi="Times New Roman"/>
      <w:b/>
      <w:bCs/>
      <w:szCs w:val="21"/>
    </w:rPr>
  </w:style>
  <w:style w:type="paragraph" w:styleId="893">
    <w:name w:val="标题"/>
    <w:basedOn w:val="815"/>
    <w:next w:val="815"/>
    <w:link w:val="894"/>
    <w:uiPriority w:val="10"/>
    <w:qFormat/>
    <w:pPr>
      <w:contextualSpacing/>
      <w:spacing w:before="300" w:after="200"/>
    </w:pPr>
    <w:rPr>
      <w:sz w:val="48"/>
      <w:szCs w:val="48"/>
    </w:rPr>
  </w:style>
  <w:style w:type="character" w:styleId="894">
    <w:name w:val="标题 字符"/>
    <w:next w:val="894"/>
    <w:link w:val="893"/>
    <w:uiPriority w:val="10"/>
    <w:qFormat/>
    <w:rPr>
      <w:sz w:val="48"/>
      <w:szCs w:val="48"/>
    </w:rPr>
  </w:style>
  <w:style w:type="paragraph" w:styleId="895">
    <w:name w:val="批注主题"/>
    <w:basedOn w:val="849"/>
    <w:next w:val="849"/>
    <w:link w:val="896"/>
    <w:semiHidden/>
    <w:qFormat/>
    <w:rPr>
      <w:b/>
      <w:bCs/>
    </w:rPr>
  </w:style>
  <w:style w:type="character" w:styleId="896">
    <w:name w:val="批注主题 字符"/>
    <w:next w:val="896"/>
    <w:link w:val="895"/>
    <w:semiHidden/>
    <w:qFormat/>
    <w:rPr>
      <w:b/>
      <w:bCs/>
      <w:sz w:val="21"/>
      <w:szCs w:val="21"/>
    </w:rPr>
  </w:style>
  <w:style w:type="paragraph" w:styleId="897">
    <w:name w:val="正文文本首行缩进 2"/>
    <w:basedOn w:val="854"/>
    <w:next w:val="897"/>
    <w:link w:val="898"/>
    <w:qFormat/>
    <w:pPr>
      <w:ind w:firstLine="420"/>
      <w:spacing w:line="360" w:lineRule="auto"/>
    </w:pPr>
    <w:rPr>
      <w:rFonts w:ascii="宋体" w:hAnsi="宋体" w:eastAsia="宋体"/>
      <w:sz w:val="21"/>
      <w:szCs w:val="20"/>
    </w:rPr>
  </w:style>
  <w:style w:type="character" w:styleId="898">
    <w:name w:val="正文文本首行缩进 2 字符"/>
    <w:next w:val="898"/>
    <w:link w:val="897"/>
    <w:qFormat/>
    <w:rPr>
      <w:rFonts w:ascii="宋体" w:hAnsi="宋体" w:eastAsia="仿宋_GB2312"/>
      <w:sz w:val="21"/>
      <w:szCs w:val="22"/>
    </w:rPr>
  </w:style>
  <w:style w:type="table" w:styleId="899">
    <w:name w:val="网格型"/>
    <w:basedOn w:val="826"/>
    <w:next w:val="899"/>
    <w:link w:val="815"/>
    <w:qFormat/>
    <w:pPr>
      <w:jc w:val="both"/>
      <w:widowControl w:val="off"/>
    </w:pPr>
    <w:tblPr/>
  </w:style>
  <w:style w:type="character" w:styleId="900">
    <w:name w:val="要点"/>
    <w:next w:val="900"/>
    <w:link w:val="815"/>
    <w:qFormat/>
    <w:rPr>
      <w:b/>
      <w:bCs/>
    </w:rPr>
  </w:style>
  <w:style w:type="character" w:styleId="901">
    <w:name w:val="尾注引用"/>
    <w:next w:val="901"/>
    <w:link w:val="815"/>
    <w:uiPriority w:val="99"/>
    <w:unhideWhenUsed/>
    <w:qFormat/>
    <w:rPr>
      <w:vertAlign w:val="superscript"/>
    </w:rPr>
  </w:style>
  <w:style w:type="character" w:styleId="902">
    <w:name w:val="页码"/>
    <w:next w:val="902"/>
    <w:link w:val="815"/>
    <w:qFormat/>
  </w:style>
  <w:style w:type="character" w:styleId="903">
    <w:name w:val="访问过的超链接"/>
    <w:next w:val="903"/>
    <w:link w:val="815"/>
    <w:qFormat/>
    <w:rPr>
      <w:color w:val="800080"/>
      <w:u w:val="single"/>
    </w:rPr>
  </w:style>
  <w:style w:type="character" w:styleId="904">
    <w:name w:val="超链接"/>
    <w:next w:val="904"/>
    <w:link w:val="815"/>
    <w:qFormat/>
    <w:rPr>
      <w:color w:val="0000ff"/>
      <w:u w:val="single"/>
    </w:rPr>
  </w:style>
  <w:style w:type="character" w:styleId="905">
    <w:name w:val="批注引用"/>
    <w:next w:val="905"/>
    <w:link w:val="815"/>
    <w:semiHidden/>
    <w:qFormat/>
    <w:rPr>
      <w:sz w:val="21"/>
      <w:szCs w:val="21"/>
    </w:rPr>
  </w:style>
  <w:style w:type="character" w:styleId="906">
    <w:name w:val="脚注引用"/>
    <w:next w:val="906"/>
    <w:link w:val="815"/>
    <w:uiPriority w:val="99"/>
    <w:unhideWhenUsed/>
    <w:qFormat/>
    <w:rPr>
      <w:vertAlign w:val="superscript"/>
    </w:rPr>
  </w:style>
  <w:style w:type="paragraph" w:styleId="907">
    <w:name w:val="正文首行缩进 21"/>
    <w:basedOn w:val="908"/>
    <w:next w:val="815"/>
    <w:link w:val="815"/>
    <w:qFormat/>
    <w:pPr>
      <w:ind w:firstLine="420"/>
      <w:spacing w:line="360" w:lineRule="auto"/>
    </w:pPr>
    <w:rPr>
      <w:rFonts w:ascii="宋体" w:hAnsi="宋体" w:eastAsia="宋体"/>
      <w:sz w:val="21"/>
      <w:szCs w:val="20"/>
    </w:rPr>
  </w:style>
  <w:style w:type="paragraph" w:styleId="908">
    <w:name w:val="正文文本缩进1"/>
    <w:basedOn w:val="815"/>
    <w:next w:val="909"/>
    <w:link w:val="815"/>
    <w:qFormat/>
    <w:pPr>
      <w:ind w:firstLine="645"/>
    </w:pPr>
    <w:rPr>
      <w:rFonts w:ascii="楷体_GB2312" w:eastAsia="楷体_GB2312"/>
      <w:sz w:val="32"/>
      <w:szCs w:val="32"/>
    </w:rPr>
  </w:style>
  <w:style w:type="paragraph" w:styleId="909">
    <w:name w:val="寄信人地址1"/>
    <w:basedOn w:val="815"/>
    <w:next w:val="909"/>
    <w:link w:val="815"/>
    <w:qFormat/>
    <w:rPr>
      <w:rFonts w:ascii="Arial" w:hAnsi="Arial"/>
    </w:rPr>
  </w:style>
  <w:style w:type="paragraph" w:styleId="910">
    <w:name w:val="标题 41"/>
    <w:basedOn w:val="911"/>
    <w:next w:val="815"/>
    <w:link w:val="81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1">
    <w:name w:val="Normal_20"/>
    <w:next w:val="912"/>
    <w:link w:val="815"/>
    <w:qFormat/>
    <w:rPr>
      <w:rFonts w:ascii="黑体" w:hAnsi="黑体" w:eastAsia="黑体" w:cs="黑体"/>
      <w:b/>
      <w:sz w:val="32"/>
      <w:szCs w:val="24"/>
      <w:lang w:val="en-US" w:eastAsia="zh-CN" w:bidi="ar-SA"/>
    </w:rPr>
  </w:style>
  <w:style w:type="paragraph" w:styleId="912">
    <w:name w:val="Body Text First Indent_2"/>
    <w:basedOn w:val="911"/>
    <w:next w:val="912"/>
    <w:link w:val="815"/>
    <w:qFormat/>
    <w:pPr>
      <w:ind w:firstLine="100"/>
      <w:spacing w:after="120"/>
    </w:pPr>
  </w:style>
  <w:style w:type="paragraph" w:styleId="913">
    <w:name w:val="脚注文本1"/>
    <w:basedOn w:val="815"/>
    <w:next w:val="913"/>
    <w:link w:val="815"/>
    <w:qFormat/>
    <w:pPr>
      <w:jc w:val="left"/>
    </w:pPr>
    <w:rPr>
      <w:rFonts w:eastAsia="Times New Roman"/>
      <w:sz w:val="18"/>
      <w:szCs w:val="24"/>
    </w:rPr>
  </w:style>
  <w:style w:type="table" w:styleId="914">
    <w:name w:val="Plain Table 1"/>
    <w:basedOn w:val="826"/>
    <w:next w:val="914"/>
    <w:link w:val="815"/>
    <w:uiPriority w:val="59"/>
    <w:qFormat/>
    <w:pPr>
      <w:spacing w:after="0" w:line="240" w:lineRule="auto"/>
    </w:pPr>
    <w:tblPr/>
  </w:style>
  <w:style w:type="table" w:styleId="915">
    <w:name w:val="Plain Table 2"/>
    <w:basedOn w:val="826"/>
    <w:next w:val="915"/>
    <w:link w:val="815"/>
    <w:uiPriority w:val="59"/>
    <w:qFormat/>
    <w:pPr>
      <w:spacing w:after="0" w:line="240" w:lineRule="auto"/>
    </w:pPr>
    <w:tblPr/>
  </w:style>
  <w:style w:type="table" w:styleId="916">
    <w:name w:val="Plain Table 3"/>
    <w:basedOn w:val="826"/>
    <w:next w:val="916"/>
    <w:link w:val="815"/>
    <w:uiPriority w:val="99"/>
    <w:qFormat/>
    <w:pPr>
      <w:spacing w:after="0" w:line="240" w:lineRule="auto"/>
    </w:pPr>
    <w:tblPr/>
  </w:style>
  <w:style w:type="table" w:styleId="917">
    <w:name w:val="Plain Table 4"/>
    <w:basedOn w:val="826"/>
    <w:next w:val="917"/>
    <w:link w:val="815"/>
    <w:uiPriority w:val="99"/>
    <w:qFormat/>
    <w:pPr>
      <w:spacing w:after="0" w:line="240" w:lineRule="auto"/>
    </w:pPr>
    <w:tblPr/>
  </w:style>
  <w:style w:type="table" w:styleId="918">
    <w:name w:val="Plain Table 5"/>
    <w:basedOn w:val="826"/>
    <w:next w:val="918"/>
    <w:link w:val="815"/>
    <w:uiPriority w:val="99"/>
    <w:qFormat/>
    <w:pPr>
      <w:spacing w:after="0" w:line="240" w:lineRule="auto"/>
    </w:pPr>
    <w:tblPr/>
  </w:style>
  <w:style w:type="table" w:styleId="919">
    <w:name w:val="Grid Table 1 Light"/>
    <w:basedOn w:val="826"/>
    <w:next w:val="919"/>
    <w:link w:val="815"/>
    <w:uiPriority w:val="99"/>
    <w:qFormat/>
    <w:pPr>
      <w:spacing w:after="0" w:line="240" w:lineRule="auto"/>
    </w:pPr>
    <w:tblPr/>
  </w:style>
  <w:style w:type="table" w:styleId="920">
    <w:name w:val="Grid Table 2"/>
    <w:basedOn w:val="826"/>
    <w:next w:val="920"/>
    <w:link w:val="815"/>
    <w:uiPriority w:val="99"/>
    <w:qFormat/>
    <w:pPr>
      <w:spacing w:after="0" w:line="240" w:lineRule="auto"/>
    </w:pPr>
    <w:tblPr/>
  </w:style>
  <w:style w:type="table" w:styleId="921">
    <w:name w:val="Grid Table 3"/>
    <w:basedOn w:val="826"/>
    <w:next w:val="921"/>
    <w:link w:val="815"/>
    <w:uiPriority w:val="99"/>
    <w:qFormat/>
    <w:pPr>
      <w:spacing w:after="0" w:line="240" w:lineRule="auto"/>
    </w:pPr>
    <w:tblPr/>
  </w:style>
  <w:style w:type="table" w:styleId="922">
    <w:name w:val="Grid Table 4"/>
    <w:basedOn w:val="826"/>
    <w:next w:val="922"/>
    <w:link w:val="815"/>
    <w:uiPriority w:val="59"/>
    <w:qFormat/>
    <w:pPr>
      <w:spacing w:after="0" w:line="240" w:lineRule="auto"/>
    </w:pPr>
    <w:tblPr/>
  </w:style>
  <w:style w:type="table" w:styleId="923">
    <w:name w:val="Grid Table 5 Dark"/>
    <w:basedOn w:val="826"/>
    <w:next w:val="923"/>
    <w:link w:val="815"/>
    <w:uiPriority w:val="99"/>
    <w:qFormat/>
    <w:pPr>
      <w:spacing w:after="0" w:line="240" w:lineRule="auto"/>
    </w:pPr>
    <w:tblPr/>
  </w:style>
  <w:style w:type="table" w:styleId="924">
    <w:name w:val="Grid Table 6 Colorful"/>
    <w:basedOn w:val="826"/>
    <w:next w:val="924"/>
    <w:link w:val="815"/>
    <w:uiPriority w:val="99"/>
    <w:qFormat/>
    <w:pPr>
      <w:spacing w:after="0" w:line="240" w:lineRule="auto"/>
    </w:pPr>
    <w:tblPr/>
  </w:style>
  <w:style w:type="table" w:styleId="925">
    <w:name w:val="Grid Table 7 Colorful"/>
    <w:basedOn w:val="826"/>
    <w:next w:val="925"/>
    <w:link w:val="815"/>
    <w:uiPriority w:val="99"/>
    <w:qFormat/>
    <w:pPr>
      <w:spacing w:after="0" w:line="240" w:lineRule="auto"/>
    </w:pPr>
    <w:tblPr/>
  </w:style>
  <w:style w:type="table" w:styleId="926">
    <w:name w:val="List Table 1 Light"/>
    <w:basedOn w:val="826"/>
    <w:next w:val="926"/>
    <w:link w:val="815"/>
    <w:uiPriority w:val="99"/>
    <w:qFormat/>
    <w:pPr>
      <w:spacing w:after="0" w:line="240" w:lineRule="auto"/>
    </w:pPr>
    <w:tblPr/>
  </w:style>
  <w:style w:type="table" w:styleId="927">
    <w:name w:val="List Table 2"/>
    <w:basedOn w:val="826"/>
    <w:next w:val="927"/>
    <w:link w:val="815"/>
    <w:uiPriority w:val="99"/>
    <w:qFormat/>
    <w:pPr>
      <w:spacing w:after="0" w:line="240" w:lineRule="auto"/>
    </w:pPr>
    <w:tblPr/>
  </w:style>
  <w:style w:type="table" w:styleId="928">
    <w:name w:val="List Table 3"/>
    <w:basedOn w:val="826"/>
    <w:next w:val="928"/>
    <w:link w:val="815"/>
    <w:uiPriority w:val="99"/>
    <w:qFormat/>
    <w:pPr>
      <w:spacing w:after="0" w:line="240" w:lineRule="auto"/>
    </w:pPr>
    <w:tblPr/>
  </w:style>
  <w:style w:type="table" w:styleId="929">
    <w:name w:val="List Table 4"/>
    <w:basedOn w:val="826"/>
    <w:next w:val="929"/>
    <w:link w:val="815"/>
    <w:uiPriority w:val="99"/>
    <w:qFormat/>
    <w:pPr>
      <w:spacing w:after="0" w:line="240" w:lineRule="auto"/>
    </w:pPr>
    <w:tblPr/>
  </w:style>
  <w:style w:type="table" w:styleId="930">
    <w:name w:val="List Table 5 Dark"/>
    <w:basedOn w:val="826"/>
    <w:next w:val="930"/>
    <w:link w:val="815"/>
    <w:uiPriority w:val="99"/>
    <w:qFormat/>
    <w:pPr>
      <w:spacing w:after="0" w:line="240" w:lineRule="auto"/>
    </w:pPr>
    <w:tblPr/>
  </w:style>
  <w:style w:type="table" w:styleId="931">
    <w:name w:val="List Table 6 Colorful"/>
    <w:basedOn w:val="826"/>
    <w:next w:val="931"/>
    <w:link w:val="815"/>
    <w:uiPriority w:val="99"/>
    <w:qFormat/>
    <w:pPr>
      <w:spacing w:after="0" w:line="240" w:lineRule="auto"/>
    </w:pPr>
    <w:tblPr/>
  </w:style>
  <w:style w:type="table" w:styleId="932">
    <w:name w:val="List Table 7 Colorful"/>
    <w:basedOn w:val="826"/>
    <w:next w:val="932"/>
    <w:link w:val="815"/>
    <w:uiPriority w:val="99"/>
    <w:qFormat/>
    <w:pPr>
      <w:spacing w:after="0" w:line="240" w:lineRule="auto"/>
    </w:pPr>
    <w:tblPr/>
  </w:style>
  <w:style w:type="paragraph" w:styleId="933">
    <w:name w:val="TOC Heading"/>
    <w:next w:val="933"/>
    <w:link w:val="815"/>
    <w:uiPriority w:val="39"/>
    <w:unhideWhenUsed/>
    <w:qFormat/>
    <w:rPr>
      <w:lang w:val="en-US" w:eastAsia="zh-CN" w:bidi="ar-SA"/>
    </w:rPr>
  </w:style>
  <w:style w:type="table" w:styleId="934">
    <w:name w:val="无格式表格 11"/>
    <w:basedOn w:val="826"/>
    <w:next w:val="934"/>
    <w:link w:val="815"/>
    <w:uiPriority w:val="59"/>
    <w:qFormat/>
    <w:tblPr/>
  </w:style>
  <w:style w:type="table" w:styleId="935">
    <w:name w:val="无格式表格 21"/>
    <w:basedOn w:val="826"/>
    <w:next w:val="935"/>
    <w:link w:val="815"/>
    <w:uiPriority w:val="59"/>
    <w:qFormat/>
    <w:tblPr/>
  </w:style>
  <w:style w:type="table" w:styleId="936">
    <w:name w:val="无格式表格 31"/>
    <w:basedOn w:val="826"/>
    <w:next w:val="936"/>
    <w:link w:val="815"/>
    <w:uiPriority w:val="99"/>
    <w:qFormat/>
    <w:tblPr/>
  </w:style>
  <w:style w:type="table" w:styleId="937">
    <w:name w:val="无格式表格 41"/>
    <w:basedOn w:val="826"/>
    <w:next w:val="937"/>
    <w:link w:val="815"/>
    <w:uiPriority w:val="99"/>
    <w:qFormat/>
    <w:tblPr/>
  </w:style>
  <w:style w:type="table" w:styleId="938">
    <w:name w:val="无格式表格 51"/>
    <w:basedOn w:val="826"/>
    <w:next w:val="938"/>
    <w:link w:val="815"/>
    <w:uiPriority w:val="99"/>
    <w:qFormat/>
    <w:tblPr/>
  </w:style>
  <w:style w:type="table" w:styleId="939">
    <w:name w:val="网格表 1 浅色1"/>
    <w:basedOn w:val="826"/>
    <w:next w:val="939"/>
    <w:link w:val="815"/>
    <w:uiPriority w:val="99"/>
    <w:qFormat/>
    <w:tblPr/>
  </w:style>
  <w:style w:type="table" w:styleId="940">
    <w:name w:val="网格表 21"/>
    <w:basedOn w:val="826"/>
    <w:next w:val="940"/>
    <w:link w:val="815"/>
    <w:uiPriority w:val="99"/>
    <w:qFormat/>
    <w:tblPr/>
  </w:style>
  <w:style w:type="table" w:styleId="941">
    <w:name w:val="网格表 31"/>
    <w:basedOn w:val="826"/>
    <w:next w:val="941"/>
    <w:link w:val="815"/>
    <w:uiPriority w:val="99"/>
    <w:qFormat/>
    <w:tblPr/>
  </w:style>
  <w:style w:type="table" w:styleId="942">
    <w:name w:val="网格表 41"/>
    <w:basedOn w:val="826"/>
    <w:next w:val="942"/>
    <w:link w:val="815"/>
    <w:uiPriority w:val="59"/>
    <w:qFormat/>
    <w:tblPr/>
  </w:style>
  <w:style w:type="table" w:styleId="943">
    <w:name w:val="网格表 5 深色1"/>
    <w:basedOn w:val="826"/>
    <w:next w:val="943"/>
    <w:link w:val="815"/>
    <w:uiPriority w:val="99"/>
    <w:qFormat/>
    <w:tblPr/>
  </w:style>
  <w:style w:type="table" w:styleId="944">
    <w:name w:val="网格表 6 彩色1"/>
    <w:basedOn w:val="826"/>
    <w:next w:val="944"/>
    <w:link w:val="815"/>
    <w:uiPriority w:val="99"/>
    <w:qFormat/>
    <w:tblPr/>
  </w:style>
  <w:style w:type="table" w:styleId="945">
    <w:name w:val="网格表 7 彩色1"/>
    <w:basedOn w:val="826"/>
    <w:next w:val="945"/>
    <w:link w:val="815"/>
    <w:uiPriority w:val="99"/>
    <w:qFormat/>
    <w:tblPr/>
  </w:style>
  <w:style w:type="table" w:styleId="946">
    <w:name w:val="清单表 1 浅色1"/>
    <w:basedOn w:val="826"/>
    <w:next w:val="946"/>
    <w:link w:val="815"/>
    <w:uiPriority w:val="99"/>
    <w:qFormat/>
    <w:tblPr/>
  </w:style>
  <w:style w:type="table" w:styleId="947">
    <w:name w:val="清单表 21"/>
    <w:basedOn w:val="826"/>
    <w:next w:val="947"/>
    <w:link w:val="815"/>
    <w:uiPriority w:val="99"/>
    <w:qFormat/>
    <w:tblPr/>
  </w:style>
  <w:style w:type="table" w:styleId="948">
    <w:name w:val="清单表 31"/>
    <w:basedOn w:val="826"/>
    <w:next w:val="948"/>
    <w:link w:val="815"/>
    <w:uiPriority w:val="99"/>
    <w:qFormat/>
    <w:tblPr/>
  </w:style>
  <w:style w:type="table" w:styleId="949">
    <w:name w:val="清单表 41"/>
    <w:basedOn w:val="826"/>
    <w:next w:val="949"/>
    <w:link w:val="815"/>
    <w:uiPriority w:val="99"/>
    <w:qFormat/>
    <w:tblPr/>
  </w:style>
  <w:style w:type="table" w:styleId="950">
    <w:name w:val="清单表 5 深色1"/>
    <w:basedOn w:val="826"/>
    <w:next w:val="950"/>
    <w:link w:val="815"/>
    <w:uiPriority w:val="99"/>
    <w:qFormat/>
    <w:tblPr/>
  </w:style>
  <w:style w:type="table" w:styleId="951">
    <w:name w:val="清单表 6 彩色1"/>
    <w:basedOn w:val="826"/>
    <w:next w:val="951"/>
    <w:link w:val="815"/>
    <w:uiPriority w:val="99"/>
    <w:qFormat/>
    <w:tblPr/>
  </w:style>
  <w:style w:type="table" w:styleId="952">
    <w:name w:val="清单表 7 彩色1"/>
    <w:basedOn w:val="826"/>
    <w:next w:val="952"/>
    <w:link w:val="815"/>
    <w:uiPriority w:val="99"/>
    <w:qFormat/>
    <w:tblPr/>
  </w:style>
  <w:style w:type="paragraph" w:styleId="953">
    <w:name w:val="TOC 标题1"/>
    <w:next w:val="953"/>
    <w:link w:val="815"/>
    <w:uiPriority w:val="39"/>
    <w:unhideWhenUsed/>
    <w:qFormat/>
    <w:rPr>
      <w:lang w:val="en-US" w:eastAsia="zh-CN" w:bidi="ar-SA"/>
    </w:rPr>
  </w:style>
  <w:style w:type="paragraph" w:styleId="954">
    <w:name w:val="Normal_21"/>
    <w:basedOn w:val="955"/>
    <w:next w:val="955"/>
    <w:link w:val="815"/>
    <w:qFormat/>
    <w:pPr>
      <w:jc w:val="both"/>
      <w:widowControl w:val="off"/>
    </w:pPr>
    <w:rPr>
      <w:rFonts w:ascii="Times New Roman" w:hAnsi="Times New Roman" w:eastAsia="宋体" w:cs="Times New Roman"/>
      <w:sz w:val="21"/>
      <w:szCs w:val="24"/>
      <w:lang w:val="en-US" w:eastAsia="zh-CN" w:bidi="ar-SA"/>
    </w:rPr>
  </w:style>
  <w:style w:type="paragraph" w:styleId="955">
    <w:name w:val="正文_16"/>
    <w:next w:val="955"/>
    <w:link w:val="815"/>
    <w:qFormat/>
    <w:pPr>
      <w:jc w:val="both"/>
      <w:widowControl w:val="off"/>
    </w:pPr>
    <w:rPr>
      <w:rFonts w:ascii="Calibri" w:hAnsi="Calibri"/>
      <w:sz w:val="21"/>
      <w:szCs w:val="22"/>
      <w:lang w:val="en-US" w:eastAsia="zh-CN" w:bidi="ar-SA"/>
    </w:rPr>
  </w:style>
  <w:style w:type="paragraph" w:styleId="956">
    <w:name w:val="正文_17"/>
    <w:next w:val="957"/>
    <w:link w:val="815"/>
    <w:qFormat/>
    <w:pPr>
      <w:jc w:val="both"/>
      <w:widowControl w:val="off"/>
    </w:pPr>
    <w:rPr>
      <w:sz w:val="21"/>
      <w:szCs w:val="22"/>
      <w:lang w:val="en-US" w:eastAsia="zh-CN" w:bidi="ar-SA"/>
    </w:rPr>
  </w:style>
  <w:style w:type="paragraph" w:styleId="957">
    <w:name w:val="标题 4_1"/>
    <w:basedOn w:val="956"/>
    <w:next w:val="956"/>
    <w:link w:val="81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8">
    <w:name w:val="Heading 1 Char"/>
    <w:next w:val="958"/>
    <w:link w:val="815"/>
    <w:uiPriority w:val="9"/>
    <w:qFormat/>
    <w:rPr>
      <w:rFonts w:ascii="Arial" w:hAnsi="Arial" w:eastAsia="Arial" w:cs="Arial"/>
      <w:sz w:val="40"/>
      <w:szCs w:val="40"/>
    </w:rPr>
  </w:style>
  <w:style w:type="character" w:styleId="959">
    <w:name w:val="Heading 2 Char"/>
    <w:next w:val="959"/>
    <w:link w:val="815"/>
    <w:uiPriority w:val="9"/>
    <w:qFormat/>
    <w:rPr>
      <w:rFonts w:ascii="Arial" w:hAnsi="Arial" w:eastAsia="Arial" w:cs="Arial"/>
      <w:sz w:val="34"/>
    </w:rPr>
  </w:style>
  <w:style w:type="character" w:styleId="960">
    <w:name w:val="Heading 3 Char"/>
    <w:next w:val="960"/>
    <w:link w:val="815"/>
    <w:uiPriority w:val="9"/>
    <w:qFormat/>
    <w:rPr>
      <w:rFonts w:ascii="Arial" w:hAnsi="Arial" w:eastAsia="Arial" w:cs="Arial"/>
      <w:sz w:val="30"/>
      <w:szCs w:val="30"/>
    </w:rPr>
  </w:style>
  <w:style w:type="character" w:styleId="961">
    <w:name w:val="Heading 4 Char"/>
    <w:next w:val="961"/>
    <w:link w:val="815"/>
    <w:uiPriority w:val="9"/>
    <w:qFormat/>
    <w:rPr>
      <w:rFonts w:ascii="Arial" w:hAnsi="Arial" w:eastAsia="Arial" w:cs="Arial"/>
      <w:b/>
      <w:bCs/>
      <w:sz w:val="26"/>
      <w:szCs w:val="26"/>
    </w:rPr>
  </w:style>
  <w:style w:type="character" w:styleId="962">
    <w:name w:val="Heading 5 Char"/>
    <w:next w:val="962"/>
    <w:link w:val="815"/>
    <w:uiPriority w:val="9"/>
    <w:qFormat/>
    <w:rPr>
      <w:rFonts w:ascii="Arial" w:hAnsi="Arial" w:eastAsia="Arial" w:cs="Arial"/>
      <w:b/>
      <w:bCs/>
      <w:sz w:val="24"/>
      <w:szCs w:val="24"/>
    </w:rPr>
  </w:style>
  <w:style w:type="character" w:styleId="963">
    <w:name w:val="Heading 6 Char"/>
    <w:next w:val="963"/>
    <w:link w:val="815"/>
    <w:uiPriority w:val="9"/>
    <w:qFormat/>
    <w:rPr>
      <w:rFonts w:ascii="Arial" w:hAnsi="Arial" w:eastAsia="Arial" w:cs="Arial"/>
      <w:b/>
      <w:bCs/>
      <w:sz w:val="22"/>
      <w:szCs w:val="22"/>
    </w:rPr>
  </w:style>
  <w:style w:type="character" w:styleId="964">
    <w:name w:val="Heading 7 Char"/>
    <w:next w:val="964"/>
    <w:link w:val="815"/>
    <w:uiPriority w:val="9"/>
    <w:qFormat/>
    <w:rPr>
      <w:rFonts w:ascii="Arial" w:hAnsi="Arial" w:eastAsia="Arial" w:cs="Arial"/>
      <w:b/>
      <w:bCs/>
      <w:i/>
      <w:iCs/>
      <w:sz w:val="22"/>
      <w:szCs w:val="22"/>
    </w:rPr>
  </w:style>
  <w:style w:type="character" w:styleId="965">
    <w:name w:val="Heading 8 Char"/>
    <w:next w:val="965"/>
    <w:link w:val="815"/>
    <w:uiPriority w:val="9"/>
    <w:qFormat/>
    <w:rPr>
      <w:rFonts w:ascii="Arial" w:hAnsi="Arial" w:eastAsia="Arial" w:cs="Arial"/>
      <w:i/>
      <w:iCs/>
      <w:sz w:val="22"/>
      <w:szCs w:val="22"/>
    </w:rPr>
  </w:style>
  <w:style w:type="character" w:styleId="966">
    <w:name w:val="Heading 9 Char"/>
    <w:next w:val="966"/>
    <w:link w:val="815"/>
    <w:uiPriority w:val="9"/>
    <w:qFormat/>
    <w:rPr>
      <w:rFonts w:ascii="Arial" w:hAnsi="Arial" w:eastAsia="Arial" w:cs="Arial"/>
      <w:i/>
      <w:iCs/>
      <w:sz w:val="21"/>
      <w:szCs w:val="21"/>
    </w:rPr>
  </w:style>
  <w:style w:type="character" w:styleId="967">
    <w:name w:val="Title Char"/>
    <w:next w:val="967"/>
    <w:link w:val="815"/>
    <w:uiPriority w:val="10"/>
    <w:qFormat/>
    <w:rPr>
      <w:sz w:val="48"/>
      <w:szCs w:val="48"/>
    </w:rPr>
  </w:style>
  <w:style w:type="character" w:styleId="968">
    <w:name w:val="Subtitle Char"/>
    <w:next w:val="968"/>
    <w:link w:val="815"/>
    <w:uiPriority w:val="11"/>
    <w:qFormat/>
    <w:rPr>
      <w:sz w:val="24"/>
      <w:szCs w:val="24"/>
    </w:rPr>
  </w:style>
  <w:style w:type="character" w:styleId="969">
    <w:name w:val="Quote Char"/>
    <w:next w:val="969"/>
    <w:link w:val="815"/>
    <w:uiPriority w:val="29"/>
    <w:qFormat/>
    <w:rPr>
      <w:i/>
    </w:rPr>
  </w:style>
  <w:style w:type="character" w:styleId="970">
    <w:name w:val="Intense Quote Char"/>
    <w:next w:val="970"/>
    <w:link w:val="815"/>
    <w:uiPriority w:val="30"/>
    <w:qFormat/>
    <w:rPr>
      <w:i/>
    </w:rPr>
  </w:style>
  <w:style w:type="character" w:styleId="971">
    <w:name w:val="Caption Char"/>
    <w:next w:val="971"/>
    <w:link w:val="815"/>
    <w:uiPriority w:val="99"/>
    <w:qFormat/>
  </w:style>
  <w:style w:type="character" w:styleId="972">
    <w:name w:val="Footnote Text Char"/>
    <w:next w:val="972"/>
    <w:link w:val="815"/>
    <w:uiPriority w:val="99"/>
    <w:qFormat/>
    <w:rPr>
      <w:sz w:val="18"/>
    </w:rPr>
  </w:style>
  <w:style w:type="character" w:styleId="973">
    <w:name w:val="Endnote Text Char"/>
    <w:next w:val="973"/>
    <w:link w:val="815"/>
    <w:uiPriority w:val="99"/>
    <w:qFormat/>
    <w:rPr>
      <w:sz w:val="20"/>
    </w:rPr>
  </w:style>
  <w:style w:type="paragraph" w:styleId="974">
    <w:name w:val="列表段落"/>
    <w:basedOn w:val="815"/>
    <w:next w:val="974"/>
    <w:link w:val="815"/>
    <w:qFormat/>
    <w:pPr>
      <w:contextualSpacing/>
      <w:ind w:left="720"/>
    </w:pPr>
  </w:style>
  <w:style w:type="paragraph" w:styleId="975">
    <w:name w:val="无间隔"/>
    <w:next w:val="975"/>
    <w:link w:val="815"/>
    <w:uiPriority w:val="99"/>
    <w:qFormat/>
    <w:rPr>
      <w:lang w:val="en-US" w:eastAsia="zh-CN" w:bidi="ar-SA"/>
    </w:rPr>
  </w:style>
  <w:style w:type="paragraph" w:styleId="976">
    <w:name w:val="引用"/>
    <w:basedOn w:val="815"/>
    <w:next w:val="815"/>
    <w:link w:val="977"/>
    <w:uiPriority w:val="29"/>
    <w:qFormat/>
    <w:pPr>
      <w:ind w:left="720" w:right="720"/>
    </w:pPr>
    <w:rPr>
      <w:i/>
    </w:rPr>
  </w:style>
  <w:style w:type="character" w:styleId="977">
    <w:name w:val="引用 字符"/>
    <w:next w:val="977"/>
    <w:link w:val="976"/>
    <w:uiPriority w:val="29"/>
    <w:qFormat/>
    <w:rPr>
      <w:i/>
    </w:rPr>
  </w:style>
  <w:style w:type="paragraph" w:styleId="978">
    <w:name w:val="明显引用"/>
    <w:basedOn w:val="815"/>
    <w:next w:val="815"/>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明显引用 字符"/>
    <w:next w:val="979"/>
    <w:link w:val="978"/>
    <w:uiPriority w:val="30"/>
    <w:qFormat/>
    <w:rPr>
      <w:i/>
    </w:rPr>
  </w:style>
  <w:style w:type="character" w:styleId="980">
    <w:name w:val="Header Char"/>
    <w:next w:val="980"/>
    <w:link w:val="815"/>
    <w:uiPriority w:val="99"/>
    <w:qFormat/>
  </w:style>
  <w:style w:type="character" w:styleId="981">
    <w:name w:val="Footer Char"/>
    <w:next w:val="981"/>
    <w:link w:val="815"/>
    <w:uiPriority w:val="99"/>
    <w:qFormat/>
  </w:style>
  <w:style w:type="table" w:styleId="982">
    <w:name w:val="Table Grid Light"/>
    <w:basedOn w:val="826"/>
    <w:next w:val="982"/>
    <w:link w:val="815"/>
    <w:uiPriority w:val="59"/>
    <w:qFormat/>
    <w:tblPr/>
  </w:style>
  <w:style w:type="table" w:styleId="983">
    <w:name w:val="Grid Table 1 Light - Accent 1"/>
    <w:basedOn w:val="826"/>
    <w:next w:val="983"/>
    <w:link w:val="815"/>
    <w:uiPriority w:val="99"/>
    <w:qFormat/>
    <w:tblPr/>
  </w:style>
  <w:style w:type="table" w:styleId="984">
    <w:name w:val="Grid Table 1 Light - Accent 2"/>
    <w:basedOn w:val="826"/>
    <w:next w:val="984"/>
    <w:link w:val="815"/>
    <w:uiPriority w:val="99"/>
    <w:qFormat/>
    <w:tblPr/>
  </w:style>
  <w:style w:type="table" w:styleId="985">
    <w:name w:val="Grid Table 1 Light - Accent 3"/>
    <w:basedOn w:val="826"/>
    <w:next w:val="985"/>
    <w:link w:val="815"/>
    <w:uiPriority w:val="99"/>
    <w:qFormat/>
    <w:tblPr/>
  </w:style>
  <w:style w:type="table" w:styleId="986">
    <w:name w:val="Grid Table 1 Light - Accent 4"/>
    <w:basedOn w:val="826"/>
    <w:next w:val="986"/>
    <w:link w:val="815"/>
    <w:uiPriority w:val="99"/>
    <w:qFormat/>
    <w:tblPr/>
  </w:style>
  <w:style w:type="table" w:styleId="987">
    <w:name w:val="Grid Table 1 Light - Accent 5"/>
    <w:basedOn w:val="826"/>
    <w:next w:val="987"/>
    <w:link w:val="815"/>
    <w:uiPriority w:val="99"/>
    <w:qFormat/>
    <w:tblPr/>
  </w:style>
  <w:style w:type="table" w:styleId="988">
    <w:name w:val="Grid Table 1 Light - Accent 6"/>
    <w:basedOn w:val="826"/>
    <w:next w:val="988"/>
    <w:link w:val="815"/>
    <w:uiPriority w:val="99"/>
    <w:qFormat/>
    <w:tblPr/>
  </w:style>
  <w:style w:type="table" w:styleId="989">
    <w:name w:val="Grid Table 2 - Accent 1"/>
    <w:basedOn w:val="826"/>
    <w:next w:val="989"/>
    <w:link w:val="815"/>
    <w:uiPriority w:val="99"/>
    <w:qFormat/>
    <w:tblPr/>
  </w:style>
  <w:style w:type="table" w:styleId="990">
    <w:name w:val="Grid Table 2 - Accent 2"/>
    <w:basedOn w:val="826"/>
    <w:next w:val="990"/>
    <w:link w:val="815"/>
    <w:uiPriority w:val="99"/>
    <w:qFormat/>
    <w:tblPr/>
  </w:style>
  <w:style w:type="table" w:styleId="991">
    <w:name w:val="Grid Table 2 - Accent 3"/>
    <w:basedOn w:val="826"/>
    <w:next w:val="991"/>
    <w:link w:val="815"/>
    <w:uiPriority w:val="99"/>
    <w:qFormat/>
    <w:tblPr/>
  </w:style>
  <w:style w:type="table" w:styleId="992">
    <w:name w:val="Grid Table 2 - Accent 4"/>
    <w:basedOn w:val="826"/>
    <w:next w:val="992"/>
    <w:link w:val="815"/>
    <w:uiPriority w:val="99"/>
    <w:qFormat/>
    <w:tblPr/>
  </w:style>
  <w:style w:type="table" w:styleId="993">
    <w:name w:val="Grid Table 2 - Accent 5"/>
    <w:basedOn w:val="826"/>
    <w:next w:val="993"/>
    <w:link w:val="815"/>
    <w:uiPriority w:val="99"/>
    <w:qFormat/>
    <w:tblPr/>
  </w:style>
  <w:style w:type="table" w:styleId="994">
    <w:name w:val="Grid Table 2 - Accent 6"/>
    <w:basedOn w:val="826"/>
    <w:next w:val="994"/>
    <w:link w:val="815"/>
    <w:uiPriority w:val="99"/>
    <w:qFormat/>
    <w:tblPr/>
  </w:style>
  <w:style w:type="table" w:styleId="995">
    <w:name w:val="Grid Table 3 - Accent 1"/>
    <w:basedOn w:val="826"/>
    <w:next w:val="995"/>
    <w:link w:val="815"/>
    <w:uiPriority w:val="99"/>
    <w:qFormat/>
    <w:tblPr/>
  </w:style>
  <w:style w:type="table" w:styleId="996">
    <w:name w:val="Grid Table 3 - Accent 2"/>
    <w:basedOn w:val="826"/>
    <w:next w:val="996"/>
    <w:link w:val="815"/>
    <w:uiPriority w:val="99"/>
    <w:qFormat/>
    <w:tblPr/>
  </w:style>
  <w:style w:type="table" w:styleId="997">
    <w:name w:val="Grid Table 3 - Accent 3"/>
    <w:basedOn w:val="826"/>
    <w:next w:val="997"/>
    <w:link w:val="815"/>
    <w:uiPriority w:val="99"/>
    <w:qFormat/>
    <w:tblPr/>
  </w:style>
  <w:style w:type="table" w:styleId="998">
    <w:name w:val="Grid Table 3 - Accent 4"/>
    <w:basedOn w:val="826"/>
    <w:next w:val="998"/>
    <w:link w:val="815"/>
    <w:uiPriority w:val="99"/>
    <w:qFormat/>
    <w:tblPr/>
  </w:style>
  <w:style w:type="table" w:styleId="999">
    <w:name w:val="Grid Table 3 - Accent 5"/>
    <w:basedOn w:val="826"/>
    <w:next w:val="999"/>
    <w:link w:val="815"/>
    <w:uiPriority w:val="99"/>
    <w:qFormat/>
    <w:tblPr/>
  </w:style>
  <w:style w:type="table" w:styleId="1000">
    <w:name w:val="Grid Table 3 - Accent 6"/>
    <w:basedOn w:val="826"/>
    <w:next w:val="1000"/>
    <w:link w:val="815"/>
    <w:uiPriority w:val="99"/>
    <w:qFormat/>
    <w:tblPr/>
  </w:style>
  <w:style w:type="table" w:styleId="1001">
    <w:name w:val="Grid Table 4 - Accent 1"/>
    <w:basedOn w:val="826"/>
    <w:next w:val="1001"/>
    <w:link w:val="815"/>
    <w:uiPriority w:val="59"/>
    <w:qFormat/>
    <w:tblPr/>
  </w:style>
  <w:style w:type="table" w:styleId="1002">
    <w:name w:val="Grid Table 4 - Accent 2"/>
    <w:basedOn w:val="826"/>
    <w:next w:val="1002"/>
    <w:link w:val="815"/>
    <w:uiPriority w:val="59"/>
    <w:qFormat/>
    <w:tblPr/>
  </w:style>
  <w:style w:type="table" w:styleId="1003">
    <w:name w:val="Grid Table 4 - Accent 3"/>
    <w:basedOn w:val="826"/>
    <w:next w:val="1003"/>
    <w:link w:val="815"/>
    <w:uiPriority w:val="59"/>
    <w:qFormat/>
    <w:tblPr/>
  </w:style>
  <w:style w:type="table" w:styleId="1004">
    <w:name w:val="Grid Table 4 - Accent 4"/>
    <w:basedOn w:val="826"/>
    <w:next w:val="1004"/>
    <w:link w:val="815"/>
    <w:uiPriority w:val="59"/>
    <w:qFormat/>
    <w:tblPr/>
  </w:style>
  <w:style w:type="table" w:styleId="1005">
    <w:name w:val="Grid Table 4 - Accent 5"/>
    <w:basedOn w:val="826"/>
    <w:next w:val="1005"/>
    <w:link w:val="815"/>
    <w:uiPriority w:val="59"/>
    <w:qFormat/>
    <w:tblPr/>
  </w:style>
  <w:style w:type="table" w:styleId="1006">
    <w:name w:val="Grid Table 4 - Accent 6"/>
    <w:basedOn w:val="826"/>
    <w:next w:val="1006"/>
    <w:link w:val="815"/>
    <w:uiPriority w:val="59"/>
    <w:qFormat/>
    <w:tblPr/>
  </w:style>
  <w:style w:type="table" w:styleId="1007">
    <w:name w:val="Grid Table 5 Dark- Accent 1"/>
    <w:basedOn w:val="826"/>
    <w:next w:val="1007"/>
    <w:link w:val="815"/>
    <w:uiPriority w:val="99"/>
    <w:qFormat/>
    <w:tblPr/>
  </w:style>
  <w:style w:type="table" w:styleId="1008">
    <w:name w:val="Grid Table 5 Dark - Accent 2"/>
    <w:basedOn w:val="826"/>
    <w:next w:val="1008"/>
    <w:link w:val="815"/>
    <w:uiPriority w:val="99"/>
    <w:qFormat/>
    <w:tblPr/>
  </w:style>
  <w:style w:type="table" w:styleId="1009">
    <w:name w:val="Grid Table 5 Dark - Accent 3"/>
    <w:basedOn w:val="826"/>
    <w:next w:val="1009"/>
    <w:link w:val="815"/>
    <w:uiPriority w:val="99"/>
    <w:qFormat/>
    <w:tblPr/>
  </w:style>
  <w:style w:type="table" w:styleId="1010">
    <w:name w:val="Grid Table 5 Dark- Accent 4"/>
    <w:basedOn w:val="826"/>
    <w:next w:val="1010"/>
    <w:link w:val="815"/>
    <w:uiPriority w:val="99"/>
    <w:qFormat/>
    <w:tblPr/>
  </w:style>
  <w:style w:type="table" w:styleId="1011">
    <w:name w:val="Grid Table 5 Dark - Accent 5"/>
    <w:basedOn w:val="826"/>
    <w:next w:val="1011"/>
    <w:link w:val="815"/>
    <w:uiPriority w:val="99"/>
    <w:qFormat/>
    <w:tblPr/>
  </w:style>
  <w:style w:type="table" w:styleId="1012">
    <w:name w:val="Grid Table 5 Dark - Accent 6"/>
    <w:basedOn w:val="826"/>
    <w:next w:val="1012"/>
    <w:link w:val="815"/>
    <w:uiPriority w:val="99"/>
    <w:qFormat/>
    <w:tblPr/>
  </w:style>
  <w:style w:type="table" w:styleId="1013">
    <w:name w:val="Grid Table 6 Colorful - Accent 1"/>
    <w:basedOn w:val="826"/>
    <w:next w:val="1013"/>
    <w:link w:val="815"/>
    <w:uiPriority w:val="99"/>
    <w:qFormat/>
    <w:tblPr/>
  </w:style>
  <w:style w:type="table" w:styleId="1014">
    <w:name w:val="Grid Table 6 Colorful - Accent 2"/>
    <w:basedOn w:val="826"/>
    <w:next w:val="1014"/>
    <w:link w:val="815"/>
    <w:uiPriority w:val="99"/>
    <w:qFormat/>
    <w:tblPr/>
  </w:style>
  <w:style w:type="table" w:styleId="1015">
    <w:name w:val="Grid Table 6 Colorful - Accent 3"/>
    <w:basedOn w:val="826"/>
    <w:next w:val="1015"/>
    <w:link w:val="815"/>
    <w:uiPriority w:val="99"/>
    <w:qFormat/>
    <w:tblPr/>
  </w:style>
  <w:style w:type="table" w:styleId="1016">
    <w:name w:val="Grid Table 6 Colorful - Accent 4"/>
    <w:basedOn w:val="826"/>
    <w:next w:val="1016"/>
    <w:link w:val="815"/>
    <w:uiPriority w:val="99"/>
    <w:qFormat/>
    <w:tblPr/>
  </w:style>
  <w:style w:type="table" w:styleId="1017">
    <w:name w:val="Grid Table 6 Colorful - Accent 5"/>
    <w:basedOn w:val="826"/>
    <w:next w:val="1017"/>
    <w:link w:val="815"/>
    <w:uiPriority w:val="99"/>
    <w:qFormat/>
    <w:tblPr/>
  </w:style>
  <w:style w:type="table" w:styleId="1018">
    <w:name w:val="Grid Table 6 Colorful - Accent 6"/>
    <w:basedOn w:val="826"/>
    <w:next w:val="1018"/>
    <w:link w:val="815"/>
    <w:uiPriority w:val="99"/>
    <w:qFormat/>
    <w:tblPr/>
  </w:style>
  <w:style w:type="table" w:styleId="1019">
    <w:name w:val="Grid Table 7 Colorful - Accent 1"/>
    <w:basedOn w:val="826"/>
    <w:next w:val="1019"/>
    <w:link w:val="815"/>
    <w:uiPriority w:val="99"/>
    <w:qFormat/>
    <w:tblPr/>
  </w:style>
  <w:style w:type="table" w:styleId="1020">
    <w:name w:val="Grid Table 7 Colorful - Accent 2"/>
    <w:basedOn w:val="826"/>
    <w:next w:val="1020"/>
    <w:link w:val="815"/>
    <w:uiPriority w:val="99"/>
    <w:qFormat/>
    <w:tblPr/>
  </w:style>
  <w:style w:type="table" w:styleId="1021">
    <w:name w:val="Grid Table 7 Colorful - Accent 3"/>
    <w:basedOn w:val="826"/>
    <w:next w:val="1021"/>
    <w:link w:val="815"/>
    <w:uiPriority w:val="99"/>
    <w:qFormat/>
    <w:tblPr/>
  </w:style>
  <w:style w:type="table" w:styleId="1022">
    <w:name w:val="Grid Table 7 Colorful - Accent 4"/>
    <w:basedOn w:val="826"/>
    <w:next w:val="1022"/>
    <w:link w:val="815"/>
    <w:uiPriority w:val="99"/>
    <w:qFormat/>
    <w:tblPr/>
  </w:style>
  <w:style w:type="table" w:styleId="1023">
    <w:name w:val="Grid Table 7 Colorful - Accent 5"/>
    <w:basedOn w:val="826"/>
    <w:next w:val="1023"/>
    <w:link w:val="815"/>
    <w:uiPriority w:val="99"/>
    <w:qFormat/>
    <w:tblPr/>
  </w:style>
  <w:style w:type="table" w:styleId="1024">
    <w:name w:val="Grid Table 7 Colorful - Accent 6"/>
    <w:basedOn w:val="826"/>
    <w:next w:val="1024"/>
    <w:link w:val="815"/>
    <w:uiPriority w:val="99"/>
    <w:qFormat/>
    <w:tblPr/>
  </w:style>
  <w:style w:type="table" w:styleId="1025">
    <w:name w:val="List Table 1 Light - Accent 1"/>
    <w:basedOn w:val="826"/>
    <w:next w:val="1025"/>
    <w:link w:val="815"/>
    <w:uiPriority w:val="99"/>
    <w:qFormat/>
    <w:tblPr/>
  </w:style>
  <w:style w:type="table" w:styleId="1026">
    <w:name w:val="List Table 1 Light - Accent 2"/>
    <w:basedOn w:val="826"/>
    <w:next w:val="1026"/>
    <w:link w:val="815"/>
    <w:uiPriority w:val="99"/>
    <w:qFormat/>
    <w:tblPr/>
  </w:style>
  <w:style w:type="table" w:styleId="1027">
    <w:name w:val="List Table 1 Light - Accent 3"/>
    <w:basedOn w:val="826"/>
    <w:next w:val="1027"/>
    <w:link w:val="815"/>
    <w:uiPriority w:val="99"/>
    <w:qFormat/>
    <w:tblPr/>
  </w:style>
  <w:style w:type="table" w:styleId="1028">
    <w:name w:val="List Table 1 Light - Accent 4"/>
    <w:basedOn w:val="826"/>
    <w:next w:val="1028"/>
    <w:link w:val="815"/>
    <w:uiPriority w:val="99"/>
    <w:qFormat/>
    <w:tblPr/>
  </w:style>
  <w:style w:type="table" w:styleId="1029">
    <w:name w:val="List Table 1 Light - Accent 5"/>
    <w:basedOn w:val="826"/>
    <w:next w:val="1029"/>
    <w:link w:val="815"/>
    <w:uiPriority w:val="99"/>
    <w:qFormat/>
    <w:tblPr/>
  </w:style>
  <w:style w:type="table" w:styleId="1030">
    <w:name w:val="List Table 1 Light - Accent 6"/>
    <w:basedOn w:val="826"/>
    <w:next w:val="1030"/>
    <w:link w:val="815"/>
    <w:uiPriority w:val="99"/>
    <w:qFormat/>
    <w:tblPr/>
  </w:style>
  <w:style w:type="table" w:styleId="1031">
    <w:name w:val="List Table 2 - Accent 1"/>
    <w:basedOn w:val="826"/>
    <w:next w:val="1031"/>
    <w:link w:val="815"/>
    <w:uiPriority w:val="99"/>
    <w:qFormat/>
    <w:tblPr/>
  </w:style>
  <w:style w:type="table" w:styleId="1032">
    <w:name w:val="List Table 2 - Accent 2"/>
    <w:basedOn w:val="826"/>
    <w:next w:val="1032"/>
    <w:link w:val="815"/>
    <w:uiPriority w:val="99"/>
    <w:qFormat/>
    <w:tblPr/>
  </w:style>
  <w:style w:type="table" w:styleId="1033">
    <w:name w:val="List Table 2 - Accent 3"/>
    <w:basedOn w:val="826"/>
    <w:next w:val="1033"/>
    <w:link w:val="815"/>
    <w:uiPriority w:val="99"/>
    <w:qFormat/>
    <w:tblPr/>
  </w:style>
  <w:style w:type="table" w:styleId="1034">
    <w:name w:val="List Table 2 - Accent 4"/>
    <w:basedOn w:val="826"/>
    <w:next w:val="1034"/>
    <w:link w:val="815"/>
    <w:uiPriority w:val="99"/>
    <w:qFormat/>
    <w:tblPr/>
  </w:style>
  <w:style w:type="table" w:styleId="1035">
    <w:name w:val="List Table 2 - Accent 5"/>
    <w:basedOn w:val="826"/>
    <w:next w:val="1035"/>
    <w:link w:val="815"/>
    <w:uiPriority w:val="99"/>
    <w:qFormat/>
    <w:tblPr/>
  </w:style>
  <w:style w:type="table" w:styleId="1036">
    <w:name w:val="List Table 2 - Accent 6"/>
    <w:basedOn w:val="826"/>
    <w:next w:val="1036"/>
    <w:link w:val="815"/>
    <w:uiPriority w:val="99"/>
    <w:qFormat/>
    <w:tblPr/>
  </w:style>
  <w:style w:type="table" w:styleId="1037">
    <w:name w:val="List Table 3 - Accent 1"/>
    <w:basedOn w:val="826"/>
    <w:next w:val="1037"/>
    <w:link w:val="815"/>
    <w:uiPriority w:val="99"/>
    <w:qFormat/>
    <w:tblPr/>
  </w:style>
  <w:style w:type="table" w:styleId="1038">
    <w:name w:val="List Table 3 - Accent 2"/>
    <w:basedOn w:val="826"/>
    <w:next w:val="1038"/>
    <w:link w:val="815"/>
    <w:uiPriority w:val="99"/>
    <w:qFormat/>
    <w:tblPr/>
  </w:style>
  <w:style w:type="table" w:styleId="1039">
    <w:name w:val="List Table 3 - Accent 3"/>
    <w:basedOn w:val="826"/>
    <w:next w:val="1039"/>
    <w:link w:val="815"/>
    <w:uiPriority w:val="99"/>
    <w:qFormat/>
    <w:tblPr/>
  </w:style>
  <w:style w:type="table" w:styleId="1040">
    <w:name w:val="List Table 3 - Accent 4"/>
    <w:basedOn w:val="826"/>
    <w:next w:val="1040"/>
    <w:link w:val="815"/>
    <w:uiPriority w:val="99"/>
    <w:qFormat/>
    <w:tblPr/>
  </w:style>
  <w:style w:type="table" w:styleId="1041">
    <w:name w:val="List Table 3 - Accent 5"/>
    <w:basedOn w:val="826"/>
    <w:next w:val="1041"/>
    <w:link w:val="815"/>
    <w:uiPriority w:val="99"/>
    <w:qFormat/>
    <w:tblPr/>
  </w:style>
  <w:style w:type="table" w:styleId="1042">
    <w:name w:val="List Table 3 - Accent 6"/>
    <w:basedOn w:val="826"/>
    <w:next w:val="1042"/>
    <w:link w:val="815"/>
    <w:uiPriority w:val="99"/>
    <w:qFormat/>
    <w:tblPr/>
  </w:style>
  <w:style w:type="table" w:styleId="1043">
    <w:name w:val="List Table 4 - Accent 1"/>
    <w:basedOn w:val="826"/>
    <w:next w:val="1043"/>
    <w:link w:val="815"/>
    <w:uiPriority w:val="99"/>
    <w:qFormat/>
    <w:tblPr/>
  </w:style>
  <w:style w:type="table" w:styleId="1044">
    <w:name w:val="List Table 4 - Accent 2"/>
    <w:basedOn w:val="826"/>
    <w:next w:val="1044"/>
    <w:link w:val="815"/>
    <w:uiPriority w:val="99"/>
    <w:qFormat/>
    <w:tblPr/>
  </w:style>
  <w:style w:type="table" w:styleId="1045">
    <w:name w:val="List Table 4 - Accent 3"/>
    <w:basedOn w:val="826"/>
    <w:next w:val="1045"/>
    <w:link w:val="815"/>
    <w:uiPriority w:val="99"/>
    <w:qFormat/>
    <w:tblPr/>
  </w:style>
  <w:style w:type="table" w:styleId="1046">
    <w:name w:val="List Table 4 - Accent 4"/>
    <w:basedOn w:val="826"/>
    <w:next w:val="1046"/>
    <w:link w:val="815"/>
    <w:uiPriority w:val="99"/>
    <w:qFormat/>
    <w:tblPr/>
  </w:style>
  <w:style w:type="table" w:styleId="1047">
    <w:name w:val="List Table 4 - Accent 5"/>
    <w:basedOn w:val="826"/>
    <w:next w:val="1047"/>
    <w:link w:val="815"/>
    <w:uiPriority w:val="99"/>
    <w:qFormat/>
    <w:tblPr/>
  </w:style>
  <w:style w:type="table" w:styleId="1048">
    <w:name w:val="List Table 4 - Accent 6"/>
    <w:basedOn w:val="826"/>
    <w:next w:val="1048"/>
    <w:link w:val="815"/>
    <w:uiPriority w:val="99"/>
    <w:qFormat/>
    <w:tblPr/>
  </w:style>
  <w:style w:type="table" w:styleId="1049">
    <w:name w:val="List Table 5 Dark - Accent 1"/>
    <w:basedOn w:val="826"/>
    <w:next w:val="1049"/>
    <w:link w:val="815"/>
    <w:uiPriority w:val="99"/>
    <w:qFormat/>
    <w:tblPr/>
  </w:style>
  <w:style w:type="table" w:styleId="1050">
    <w:name w:val="List Table 5 Dark - Accent 2"/>
    <w:basedOn w:val="826"/>
    <w:next w:val="1050"/>
    <w:link w:val="815"/>
    <w:uiPriority w:val="99"/>
    <w:qFormat/>
    <w:tblPr/>
  </w:style>
  <w:style w:type="table" w:styleId="1051">
    <w:name w:val="List Table 5 Dark - Accent 3"/>
    <w:basedOn w:val="826"/>
    <w:next w:val="1051"/>
    <w:link w:val="815"/>
    <w:uiPriority w:val="99"/>
    <w:qFormat/>
    <w:tblPr/>
  </w:style>
  <w:style w:type="table" w:styleId="1052">
    <w:name w:val="List Table 5 Dark - Accent 4"/>
    <w:basedOn w:val="826"/>
    <w:next w:val="1052"/>
    <w:link w:val="815"/>
    <w:uiPriority w:val="99"/>
    <w:qFormat/>
    <w:tblPr/>
  </w:style>
  <w:style w:type="table" w:styleId="1053">
    <w:name w:val="List Table 5 Dark - Accent 5"/>
    <w:basedOn w:val="826"/>
    <w:next w:val="1053"/>
    <w:link w:val="815"/>
    <w:uiPriority w:val="99"/>
    <w:qFormat/>
    <w:tblPr/>
  </w:style>
  <w:style w:type="table" w:styleId="1054">
    <w:name w:val="List Table 5 Dark - Accent 6"/>
    <w:basedOn w:val="826"/>
    <w:next w:val="1054"/>
    <w:link w:val="815"/>
    <w:uiPriority w:val="99"/>
    <w:qFormat/>
    <w:tblPr/>
  </w:style>
  <w:style w:type="table" w:styleId="1055">
    <w:name w:val="List Table 6 Colorful - Accent 1"/>
    <w:basedOn w:val="826"/>
    <w:next w:val="1055"/>
    <w:link w:val="815"/>
    <w:uiPriority w:val="99"/>
    <w:qFormat/>
    <w:tblPr/>
  </w:style>
  <w:style w:type="table" w:styleId="1056">
    <w:name w:val="List Table 6 Colorful - Accent 2"/>
    <w:basedOn w:val="826"/>
    <w:next w:val="1056"/>
    <w:link w:val="815"/>
    <w:uiPriority w:val="99"/>
    <w:qFormat/>
    <w:tblPr/>
  </w:style>
  <w:style w:type="table" w:styleId="1057">
    <w:name w:val="List Table 6 Colorful - Accent 3"/>
    <w:basedOn w:val="826"/>
    <w:next w:val="1057"/>
    <w:link w:val="815"/>
    <w:uiPriority w:val="99"/>
    <w:qFormat/>
    <w:tblPr/>
  </w:style>
  <w:style w:type="table" w:styleId="1058">
    <w:name w:val="List Table 6 Colorful - Accent 4"/>
    <w:basedOn w:val="826"/>
    <w:next w:val="1058"/>
    <w:link w:val="815"/>
    <w:uiPriority w:val="99"/>
    <w:qFormat/>
    <w:tblPr/>
  </w:style>
  <w:style w:type="table" w:styleId="1059">
    <w:name w:val="List Table 6 Colorful - Accent 5"/>
    <w:basedOn w:val="826"/>
    <w:next w:val="1059"/>
    <w:link w:val="815"/>
    <w:uiPriority w:val="99"/>
    <w:qFormat/>
    <w:tblPr/>
  </w:style>
  <w:style w:type="table" w:styleId="1060">
    <w:name w:val="List Table 6 Colorful - Accent 6"/>
    <w:basedOn w:val="826"/>
    <w:next w:val="1060"/>
    <w:link w:val="815"/>
    <w:uiPriority w:val="99"/>
    <w:qFormat/>
    <w:tblPr/>
  </w:style>
  <w:style w:type="table" w:styleId="1061">
    <w:name w:val="List Table 7 Colorful - Accent 1"/>
    <w:basedOn w:val="826"/>
    <w:next w:val="1061"/>
    <w:link w:val="815"/>
    <w:uiPriority w:val="99"/>
    <w:qFormat/>
    <w:tblPr/>
  </w:style>
  <w:style w:type="table" w:styleId="1062">
    <w:name w:val="List Table 7 Colorful - Accent 2"/>
    <w:basedOn w:val="826"/>
    <w:next w:val="1062"/>
    <w:link w:val="815"/>
    <w:uiPriority w:val="99"/>
    <w:qFormat/>
    <w:tblPr/>
  </w:style>
  <w:style w:type="table" w:styleId="1063">
    <w:name w:val="List Table 7 Colorful - Accent 3"/>
    <w:basedOn w:val="826"/>
    <w:next w:val="1063"/>
    <w:link w:val="815"/>
    <w:uiPriority w:val="99"/>
    <w:qFormat/>
    <w:tblPr/>
  </w:style>
  <w:style w:type="table" w:styleId="1064">
    <w:name w:val="List Table 7 Colorful - Accent 4"/>
    <w:basedOn w:val="826"/>
    <w:next w:val="1064"/>
    <w:link w:val="815"/>
    <w:uiPriority w:val="99"/>
    <w:qFormat/>
    <w:tblPr/>
  </w:style>
  <w:style w:type="table" w:styleId="1065">
    <w:name w:val="List Table 7 Colorful - Accent 5"/>
    <w:basedOn w:val="826"/>
    <w:next w:val="1065"/>
    <w:link w:val="815"/>
    <w:uiPriority w:val="99"/>
    <w:qFormat/>
    <w:tblPr/>
  </w:style>
  <w:style w:type="table" w:styleId="1066">
    <w:name w:val="List Table 7 Colorful - Accent 6"/>
    <w:basedOn w:val="826"/>
    <w:next w:val="1066"/>
    <w:link w:val="815"/>
    <w:uiPriority w:val="99"/>
    <w:qFormat/>
    <w:tblPr/>
  </w:style>
  <w:style w:type="table" w:styleId="1067">
    <w:name w:val="Lined - Accent"/>
    <w:basedOn w:val="826"/>
    <w:next w:val="1067"/>
    <w:link w:val="815"/>
    <w:uiPriority w:val="99"/>
    <w:qFormat/>
    <w:rPr>
      <w:color w:val="404040"/>
    </w:rPr>
    <w:tblPr/>
  </w:style>
  <w:style w:type="table" w:styleId="1068">
    <w:name w:val="Lined - Accent 1"/>
    <w:basedOn w:val="826"/>
    <w:next w:val="1068"/>
    <w:link w:val="815"/>
    <w:uiPriority w:val="99"/>
    <w:qFormat/>
    <w:rPr>
      <w:color w:val="404040"/>
    </w:rPr>
    <w:tblPr/>
  </w:style>
  <w:style w:type="table" w:styleId="1069">
    <w:name w:val="Lined - Accent 2"/>
    <w:basedOn w:val="826"/>
    <w:next w:val="1069"/>
    <w:link w:val="815"/>
    <w:uiPriority w:val="99"/>
    <w:qFormat/>
    <w:rPr>
      <w:color w:val="404040"/>
    </w:rPr>
    <w:tblPr/>
  </w:style>
  <w:style w:type="table" w:styleId="1070">
    <w:name w:val="Lined - Accent 3"/>
    <w:basedOn w:val="826"/>
    <w:next w:val="1070"/>
    <w:link w:val="815"/>
    <w:uiPriority w:val="99"/>
    <w:qFormat/>
    <w:rPr>
      <w:color w:val="404040"/>
    </w:rPr>
    <w:tblPr/>
  </w:style>
  <w:style w:type="table" w:styleId="1071">
    <w:name w:val="Lined - Accent 4"/>
    <w:basedOn w:val="826"/>
    <w:next w:val="1071"/>
    <w:link w:val="815"/>
    <w:uiPriority w:val="99"/>
    <w:qFormat/>
    <w:rPr>
      <w:color w:val="404040"/>
    </w:rPr>
    <w:tblPr/>
  </w:style>
  <w:style w:type="table" w:styleId="1072">
    <w:name w:val="Lined - Accent 5"/>
    <w:basedOn w:val="826"/>
    <w:next w:val="1072"/>
    <w:link w:val="815"/>
    <w:uiPriority w:val="99"/>
    <w:qFormat/>
    <w:rPr>
      <w:color w:val="404040"/>
    </w:rPr>
    <w:tblPr/>
  </w:style>
  <w:style w:type="table" w:styleId="1073">
    <w:name w:val="Lined - Accent 6"/>
    <w:basedOn w:val="826"/>
    <w:next w:val="1073"/>
    <w:link w:val="815"/>
    <w:uiPriority w:val="99"/>
    <w:qFormat/>
    <w:rPr>
      <w:color w:val="404040"/>
    </w:rPr>
    <w:tblPr/>
  </w:style>
  <w:style w:type="table" w:styleId="1074">
    <w:name w:val="Bordered &amp; Lined - Accent"/>
    <w:basedOn w:val="826"/>
    <w:next w:val="1074"/>
    <w:link w:val="815"/>
    <w:uiPriority w:val="99"/>
    <w:qFormat/>
    <w:rPr>
      <w:color w:val="404040"/>
    </w:rPr>
    <w:tblPr/>
  </w:style>
  <w:style w:type="table" w:styleId="1075">
    <w:name w:val="Bordered &amp; Lined - Accent 1"/>
    <w:basedOn w:val="826"/>
    <w:next w:val="1075"/>
    <w:link w:val="815"/>
    <w:uiPriority w:val="99"/>
    <w:qFormat/>
    <w:rPr>
      <w:color w:val="404040"/>
    </w:rPr>
    <w:tblPr/>
  </w:style>
  <w:style w:type="table" w:styleId="1076">
    <w:name w:val="Bordered &amp; Lined - Accent 2"/>
    <w:basedOn w:val="826"/>
    <w:next w:val="1076"/>
    <w:link w:val="815"/>
    <w:uiPriority w:val="99"/>
    <w:qFormat/>
    <w:rPr>
      <w:color w:val="404040"/>
    </w:rPr>
    <w:tblPr/>
  </w:style>
  <w:style w:type="table" w:styleId="1077">
    <w:name w:val="Bordered &amp; Lined - Accent 3"/>
    <w:basedOn w:val="826"/>
    <w:next w:val="1077"/>
    <w:link w:val="815"/>
    <w:uiPriority w:val="99"/>
    <w:qFormat/>
    <w:rPr>
      <w:color w:val="404040"/>
    </w:rPr>
    <w:tblPr/>
  </w:style>
  <w:style w:type="table" w:styleId="1078">
    <w:name w:val="Bordered &amp; Lined - Accent 4"/>
    <w:basedOn w:val="826"/>
    <w:next w:val="1078"/>
    <w:link w:val="815"/>
    <w:uiPriority w:val="99"/>
    <w:qFormat/>
    <w:rPr>
      <w:color w:val="404040"/>
    </w:rPr>
    <w:tblPr/>
  </w:style>
  <w:style w:type="table" w:styleId="1079">
    <w:name w:val="Bordered &amp; Lined - Accent 5"/>
    <w:basedOn w:val="826"/>
    <w:next w:val="1079"/>
    <w:link w:val="815"/>
    <w:uiPriority w:val="99"/>
    <w:qFormat/>
    <w:rPr>
      <w:color w:val="404040"/>
    </w:rPr>
    <w:tblPr/>
  </w:style>
  <w:style w:type="table" w:styleId="1080">
    <w:name w:val="Bordered &amp; Lined - Accent 6"/>
    <w:basedOn w:val="826"/>
    <w:next w:val="1080"/>
    <w:link w:val="815"/>
    <w:uiPriority w:val="99"/>
    <w:qFormat/>
    <w:rPr>
      <w:color w:val="404040"/>
    </w:rPr>
    <w:tblPr/>
  </w:style>
  <w:style w:type="table" w:styleId="1081">
    <w:name w:val="Bordered"/>
    <w:basedOn w:val="826"/>
    <w:next w:val="1081"/>
    <w:link w:val="815"/>
    <w:uiPriority w:val="99"/>
    <w:qFormat/>
    <w:tblPr/>
  </w:style>
  <w:style w:type="table" w:styleId="1082">
    <w:name w:val="Bordered - Accent 1"/>
    <w:basedOn w:val="826"/>
    <w:next w:val="1082"/>
    <w:link w:val="815"/>
    <w:uiPriority w:val="99"/>
    <w:qFormat/>
    <w:tblPr/>
  </w:style>
  <w:style w:type="table" w:styleId="1083">
    <w:name w:val="Bordered - Accent 2"/>
    <w:basedOn w:val="826"/>
    <w:next w:val="1083"/>
    <w:link w:val="815"/>
    <w:uiPriority w:val="99"/>
    <w:qFormat/>
    <w:tblPr/>
  </w:style>
  <w:style w:type="table" w:styleId="1084">
    <w:name w:val="Bordered - Accent 3"/>
    <w:basedOn w:val="826"/>
    <w:next w:val="1084"/>
    <w:link w:val="815"/>
    <w:uiPriority w:val="99"/>
    <w:qFormat/>
    <w:tblPr/>
  </w:style>
  <w:style w:type="table" w:styleId="1085">
    <w:name w:val="Bordered - Accent 4"/>
    <w:basedOn w:val="826"/>
    <w:next w:val="1085"/>
    <w:link w:val="815"/>
    <w:uiPriority w:val="99"/>
    <w:qFormat/>
    <w:tblPr/>
  </w:style>
  <w:style w:type="table" w:styleId="1086">
    <w:name w:val="Bordered - Accent 5"/>
    <w:basedOn w:val="826"/>
    <w:next w:val="1086"/>
    <w:link w:val="815"/>
    <w:uiPriority w:val="99"/>
    <w:qFormat/>
    <w:tblPr/>
  </w:style>
  <w:style w:type="table" w:styleId="1087">
    <w:name w:val="Bordered - Accent 6"/>
    <w:basedOn w:val="826"/>
    <w:next w:val="1087"/>
    <w:link w:val="815"/>
    <w:uiPriority w:val="99"/>
    <w:qFormat/>
    <w:tblPr/>
  </w:style>
  <w:style w:type="paragraph" w:styleId="1088">
    <w:name w:val="TOC 标题11"/>
    <w:next w:val="1088"/>
    <w:link w:val="815"/>
    <w:uiPriority w:val="39"/>
    <w:unhideWhenUsed/>
    <w:qFormat/>
    <w:rPr>
      <w:lang w:val="en-US" w:eastAsia="zh-CN" w:bidi="ar-SA"/>
    </w:rPr>
  </w:style>
  <w:style w:type="paragraph" w:styleId="1089">
    <w:name w:val="Normal_0"/>
    <w:next w:val="1089"/>
    <w:link w:val="815"/>
    <w:qFormat/>
    <w:rPr>
      <w:rFonts w:ascii="黑体" w:hAnsi="黑体" w:eastAsia="黑体"/>
      <w:b/>
      <w:sz w:val="32"/>
      <w:szCs w:val="24"/>
      <w:lang w:val="en-US" w:eastAsia="zh-CN" w:bidi="ar-SA"/>
    </w:rPr>
  </w:style>
  <w:style w:type="paragraph" w:styleId="1090">
    <w:name w:val="正文1"/>
    <w:next w:val="836"/>
    <w:link w:val="815"/>
    <w:qFormat/>
    <w:rPr>
      <w:rFonts w:eastAsia="Times New Roman"/>
      <w:sz w:val="24"/>
      <w:szCs w:val="24"/>
      <w:lang w:val="en-US" w:eastAsia="zh-CN" w:bidi="ar-SA"/>
    </w:rPr>
  </w:style>
  <w:style w:type="paragraph" w:styleId="1091">
    <w:name w:val="Normal_0_3"/>
    <w:next w:val="1091"/>
    <w:link w:val="815"/>
    <w:qFormat/>
    <w:rPr>
      <w:rFonts w:ascii="黑体" w:hAnsi="黑体" w:eastAsia="黑体" w:cs="黑体"/>
      <w:b/>
      <w:sz w:val="32"/>
      <w:szCs w:val="24"/>
      <w:lang w:val="en-US" w:eastAsia="zh-CN" w:bidi="ar-SA"/>
    </w:rPr>
  </w:style>
  <w:style w:type="paragraph" w:styleId="1092">
    <w:name w:val="正文首行缩进 2_0"/>
    <w:basedOn w:val="1093"/>
    <w:next w:val="1092"/>
    <w:link w:val="815"/>
    <w:qFormat/>
    <w:pPr>
      <w:ind w:left="200" w:firstLine="200"/>
      <w:spacing w:after="120"/>
    </w:pPr>
    <w:rPr>
      <w:rFonts w:ascii="Times New Roman" w:hAnsi="Times New Roman"/>
      <w:sz w:val="24"/>
      <w:szCs w:val="24"/>
    </w:rPr>
  </w:style>
  <w:style w:type="paragraph" w:styleId="1093">
    <w:name w:val="正文文本缩进_0"/>
    <w:basedOn w:val="1094"/>
    <w:next w:val="1093"/>
    <w:link w:val="815"/>
    <w:qFormat/>
    <w:pPr>
      <w:ind w:firstLine="225"/>
    </w:pPr>
    <w:rPr>
      <w:rFonts w:ascii="仿宋_GB2312" w:eastAsia="仿宋_GB2312"/>
      <w:sz w:val="32"/>
    </w:rPr>
  </w:style>
  <w:style w:type="paragraph" w:styleId="1094">
    <w:name w:val="正文_2"/>
    <w:next w:val="1094"/>
    <w:link w:val="815"/>
    <w:qFormat/>
    <w:pPr>
      <w:jc w:val="both"/>
      <w:widowControl w:val="off"/>
    </w:pPr>
    <w:rPr>
      <w:rFonts w:ascii="Calibri" w:hAnsi="Calibri"/>
      <w:sz w:val="21"/>
      <w:szCs w:val="22"/>
      <w:lang w:val="en-US" w:eastAsia="zh-CN" w:bidi="ar-SA"/>
    </w:rPr>
  </w:style>
  <w:style w:type="paragraph" w:styleId="1095">
    <w:name w:val="Normal_0_2"/>
    <w:next w:val="1096"/>
    <w:link w:val="815"/>
    <w:qFormat/>
    <w:rPr>
      <w:rFonts w:ascii="黑体" w:hAnsi="黑体" w:eastAsia="黑体" w:cs="黑体"/>
      <w:b/>
      <w:sz w:val="32"/>
      <w:szCs w:val="24"/>
      <w:lang w:val="en-US" w:eastAsia="zh-CN" w:bidi="ar-SA"/>
    </w:rPr>
  </w:style>
  <w:style w:type="paragraph" w:styleId="1096">
    <w:name w:val="Body Text First Indent_1"/>
    <w:basedOn w:val="835"/>
    <w:next w:val="1096"/>
    <w:link w:val="815"/>
    <w:uiPriority w:val="99"/>
    <w:unhideWhenUsed/>
    <w:qFormat/>
    <w:pPr>
      <w:ind w:firstLine="420"/>
      <w:spacing w:after="120"/>
    </w:pPr>
    <w:rPr>
      <w:rFonts w:eastAsia="Times New Roman"/>
      <w:sz w:val="20"/>
    </w:rPr>
  </w:style>
  <w:style w:type="paragraph" w:styleId="1097">
    <w:name w:val="Normal_1_2"/>
    <w:next w:val="1097"/>
    <w:link w:val="815"/>
    <w:qFormat/>
    <w:rPr>
      <w:rFonts w:eastAsia="Times New Roman"/>
      <w:sz w:val="24"/>
      <w:szCs w:val="24"/>
      <w:lang w:val="en-US" w:eastAsia="zh-CN" w:bidi="ar-SA"/>
    </w:rPr>
  </w:style>
  <w:style w:type="paragraph" w:styleId="1098">
    <w:name w:val="Normal_0_1"/>
    <w:next w:val="1099"/>
    <w:link w:val="815"/>
    <w:qFormat/>
    <w:rPr>
      <w:rFonts w:ascii="黑体" w:hAnsi="黑体" w:eastAsia="黑体" w:cs="黑体"/>
      <w:b/>
      <w:sz w:val="32"/>
      <w:szCs w:val="24"/>
      <w:lang w:val="en-US" w:eastAsia="zh-CN" w:bidi="ar-SA"/>
    </w:rPr>
  </w:style>
  <w:style w:type="paragraph" w:styleId="1099">
    <w:name w:val="Body Text First Indent_0"/>
    <w:basedOn w:val="1100"/>
    <w:next w:val="1099"/>
    <w:link w:val="815"/>
    <w:uiPriority w:val="99"/>
    <w:unhideWhenUsed/>
    <w:qFormat/>
    <w:pPr>
      <w:ind w:firstLine="420"/>
      <w:spacing w:after="120"/>
    </w:pPr>
    <w:rPr>
      <w:rFonts w:eastAsia="Times New Roman"/>
    </w:rPr>
  </w:style>
  <w:style w:type="paragraph" w:styleId="1100">
    <w:name w:val="正文3"/>
    <w:next w:val="1101"/>
    <w:link w:val="815"/>
    <w:qFormat/>
    <w:rPr>
      <w:rFonts w:eastAsia="Times New Roman"/>
      <w:sz w:val="24"/>
      <w:szCs w:val="24"/>
      <w:lang w:val="en-US" w:eastAsia="zh-CN" w:bidi="ar-SA"/>
    </w:rPr>
  </w:style>
  <w:style w:type="paragraph" w:styleId="1101">
    <w:name w:val="正文首行缩进3"/>
    <w:basedOn w:val="1090"/>
    <w:next w:val="1101"/>
    <w:link w:val="815"/>
    <w:uiPriority w:val="99"/>
    <w:unhideWhenUsed/>
    <w:qFormat/>
    <w:pPr>
      <w:ind w:firstLine="420"/>
      <w:spacing w:after="120"/>
    </w:pPr>
    <w:rPr>
      <w:sz w:val="20"/>
    </w:rPr>
  </w:style>
  <w:style w:type="paragraph" w:styleId="1102">
    <w:name w:val="Normal_1_1"/>
    <w:next w:val="1102"/>
    <w:link w:val="815"/>
    <w:qFormat/>
    <w:rPr>
      <w:rFonts w:ascii="黑体" w:hAnsi="黑体" w:eastAsia="黑体" w:cs="黑体"/>
      <w:b/>
      <w:sz w:val="32"/>
      <w:szCs w:val="24"/>
      <w:lang w:val="en-US" w:eastAsia="zh-CN" w:bidi="ar-SA"/>
    </w:rPr>
  </w:style>
  <w:style w:type="paragraph" w:styleId="1103">
    <w:name w:val="正文_0_1"/>
    <w:next w:val="1103"/>
    <w:link w:val="815"/>
    <w:qFormat/>
    <w:pPr>
      <w:jc w:val="both"/>
      <w:widowControl w:val="off"/>
    </w:pPr>
    <w:rPr>
      <w:rFonts w:ascii="Calibri" w:hAnsi="Calibri"/>
      <w:sz w:val="21"/>
      <w:szCs w:val="22"/>
      <w:lang w:val="en-US" w:eastAsia="zh-CN" w:bidi="ar-SA"/>
    </w:rPr>
  </w:style>
  <w:style w:type="paragraph" w:styleId="1104">
    <w:name w:val="正文_1_1"/>
    <w:next w:val="1104"/>
    <w:link w:val="815"/>
    <w:qFormat/>
    <w:pPr>
      <w:jc w:val="both"/>
      <w:widowControl w:val="off"/>
    </w:pPr>
    <w:rPr>
      <w:rFonts w:ascii="Calibri" w:hAnsi="Calibri"/>
      <w:sz w:val="21"/>
      <w:szCs w:val="22"/>
      <w:lang w:val="en-US" w:eastAsia="zh-CN" w:bidi="ar-SA"/>
    </w:rPr>
  </w:style>
  <w:style w:type="paragraph" w:styleId="1105">
    <w:name w:val="Normal_2_0"/>
    <w:next w:val="1105"/>
    <w:link w:val="815"/>
    <w:qFormat/>
    <w:rPr>
      <w:rFonts w:ascii="黑体" w:hAnsi="黑体" w:eastAsia="黑体" w:cs="黑体"/>
      <w:b/>
      <w:sz w:val="32"/>
      <w:szCs w:val="24"/>
      <w:lang w:val="en-US" w:eastAsia="zh-CN" w:bidi="ar-SA"/>
    </w:rPr>
  </w:style>
  <w:style w:type="paragraph" w:styleId="1106">
    <w:name w:val="Normal_3_0"/>
    <w:next w:val="1106"/>
    <w:link w:val="815"/>
    <w:qFormat/>
    <w:pPr>
      <w:jc w:val="both"/>
      <w:widowControl w:val="off"/>
    </w:pPr>
    <w:rPr>
      <w:rFonts w:ascii="Calibri" w:hAnsi="Calibri"/>
      <w:sz w:val="21"/>
      <w:szCs w:val="22"/>
      <w:lang w:val="en-US" w:eastAsia="zh-CN" w:bidi="ar-SA"/>
    </w:rPr>
  </w:style>
  <w:style w:type="paragraph" w:styleId="1107">
    <w:name w:val="Normal_4_0"/>
    <w:next w:val="1107"/>
    <w:link w:val="815"/>
    <w:qFormat/>
    <w:rPr>
      <w:rFonts w:ascii="黑体" w:hAnsi="黑体" w:eastAsia="黑体" w:cs="黑体"/>
      <w:b/>
      <w:sz w:val="32"/>
      <w:szCs w:val="24"/>
      <w:lang w:val="en-US" w:eastAsia="zh-CN" w:bidi="ar-SA"/>
    </w:rPr>
  </w:style>
  <w:style w:type="paragraph" w:styleId="1108">
    <w:name w:val="Normal_5_0"/>
    <w:next w:val="1108"/>
    <w:link w:val="815"/>
    <w:qFormat/>
    <w:pPr>
      <w:jc w:val="both"/>
      <w:widowControl w:val="off"/>
    </w:pPr>
    <w:rPr>
      <w:rFonts w:ascii="Calibri" w:hAnsi="Calibri"/>
      <w:sz w:val="21"/>
      <w:szCs w:val="22"/>
      <w:lang w:val="en-US" w:eastAsia="zh-CN" w:bidi="ar-SA"/>
    </w:rPr>
  </w:style>
  <w:style w:type="paragraph" w:styleId="1109">
    <w:name w:val="Normal_6_0"/>
    <w:next w:val="1109"/>
    <w:link w:val="815"/>
    <w:qFormat/>
    <w:rPr>
      <w:rFonts w:ascii="黑体" w:hAnsi="黑体" w:eastAsia="黑体" w:cs="黑体"/>
      <w:b/>
      <w:sz w:val="32"/>
      <w:szCs w:val="24"/>
      <w:lang w:val="en-US" w:eastAsia="zh-CN" w:bidi="ar-SA"/>
    </w:rPr>
  </w:style>
  <w:style w:type="paragraph" w:styleId="1110">
    <w:name w:val="正文_1_0_0"/>
    <w:next w:val="1110"/>
    <w:link w:val="815"/>
    <w:qFormat/>
    <w:pPr>
      <w:jc w:val="both"/>
      <w:widowControl w:val="off"/>
    </w:pPr>
    <w:rPr>
      <w:sz w:val="21"/>
      <w:lang w:val="en-US" w:eastAsia="zh-CN" w:bidi="ar-SA"/>
    </w:rPr>
  </w:style>
  <w:style w:type="paragraph" w:styleId="1111">
    <w:name w:val="正文_0_0_0_0"/>
    <w:next w:val="1111"/>
    <w:link w:val="815"/>
    <w:qFormat/>
    <w:pPr>
      <w:jc w:val="both"/>
      <w:widowControl w:val="off"/>
    </w:pPr>
    <w:rPr>
      <w:sz w:val="21"/>
      <w:szCs w:val="24"/>
      <w:lang w:val="en-US" w:eastAsia="zh-CN" w:bidi="ar-SA"/>
    </w:rPr>
  </w:style>
  <w:style w:type="paragraph" w:styleId="1112">
    <w:name w:val="正文_1_0_0_0"/>
    <w:next w:val="1112"/>
    <w:link w:val="815"/>
    <w:qFormat/>
    <w:pPr>
      <w:jc w:val="both"/>
      <w:widowControl w:val="off"/>
    </w:pPr>
    <w:rPr>
      <w:sz w:val="21"/>
      <w:lang w:val="en-US" w:eastAsia="zh-CN" w:bidi="ar-SA"/>
    </w:rPr>
  </w:style>
  <w:style w:type="paragraph" w:styleId="1113">
    <w:name w:val="Normal_7_0"/>
    <w:next w:val="1113"/>
    <w:link w:val="815"/>
    <w:qFormat/>
    <w:rPr>
      <w:rFonts w:ascii="黑体" w:hAnsi="黑体" w:eastAsia="黑体" w:cs="黑体"/>
      <w:b/>
      <w:sz w:val="32"/>
      <w:szCs w:val="24"/>
      <w:lang w:val="en-US" w:eastAsia="zh-CN" w:bidi="ar-SA"/>
    </w:rPr>
  </w:style>
  <w:style w:type="paragraph" w:styleId="1114">
    <w:name w:val="Normal_8_0"/>
    <w:next w:val="1114"/>
    <w:link w:val="815"/>
    <w:qFormat/>
    <w:rPr>
      <w:rFonts w:eastAsia="Times New Roman"/>
      <w:sz w:val="24"/>
      <w:szCs w:val="24"/>
      <w:lang w:val="en-US" w:eastAsia="zh-CN" w:bidi="ar-SA"/>
    </w:rPr>
  </w:style>
  <w:style w:type="paragraph" w:styleId="1115">
    <w:name w:val="Normal_9_0"/>
    <w:next w:val="1115"/>
    <w:link w:val="815"/>
    <w:qFormat/>
    <w:rPr>
      <w:rFonts w:eastAsia="Times New Roman"/>
      <w:sz w:val="24"/>
      <w:szCs w:val="24"/>
      <w:lang w:val="en-US" w:eastAsia="zh-CN" w:bidi="ar-SA"/>
    </w:rPr>
  </w:style>
  <w:style w:type="paragraph" w:styleId="1116">
    <w:name w:val="Normal_10_0"/>
    <w:next w:val="1116"/>
    <w:link w:val="815"/>
    <w:qFormat/>
    <w:rPr>
      <w:rFonts w:ascii="黑体" w:hAnsi="黑体" w:eastAsia="黑体" w:cs="黑体"/>
      <w:b/>
      <w:sz w:val="32"/>
      <w:szCs w:val="24"/>
      <w:lang w:val="en-US" w:eastAsia="zh-CN" w:bidi="ar-SA"/>
    </w:rPr>
  </w:style>
  <w:style w:type="paragraph" w:styleId="1117">
    <w:name w:val="正文_3"/>
    <w:next w:val="1118"/>
    <w:link w:val="815"/>
    <w:qFormat/>
    <w:pPr>
      <w:jc w:val="both"/>
      <w:widowControl w:val="off"/>
    </w:pPr>
    <w:rPr>
      <w:rFonts w:ascii="Calibri" w:hAnsi="Calibri"/>
      <w:sz w:val="21"/>
      <w:szCs w:val="22"/>
      <w:lang w:val="en-US" w:eastAsia="zh-CN" w:bidi="ar-SA"/>
    </w:rPr>
  </w:style>
  <w:style w:type="paragraph" w:styleId="1118">
    <w:name w:val="正文首行缩进 2_1"/>
    <w:basedOn w:val="1119"/>
    <w:next w:val="1121"/>
    <w:link w:val="815"/>
    <w:qFormat/>
    <w:pPr>
      <w:ind w:left="200" w:firstLine="200"/>
      <w:spacing w:after="120"/>
    </w:pPr>
    <w:rPr>
      <w:rFonts w:ascii="Times New Roman"/>
      <w:szCs w:val="24"/>
    </w:rPr>
  </w:style>
  <w:style w:type="paragraph" w:styleId="1119">
    <w:name w:val="正文文本缩进_1"/>
    <w:basedOn w:val="1120"/>
    <w:next w:val="1118"/>
    <w:link w:val="815"/>
    <w:qFormat/>
    <w:pPr>
      <w:ind w:firstLine="225"/>
    </w:pPr>
    <w:rPr>
      <w:rFonts w:ascii="仿宋_GB2312" w:eastAsia="仿宋_GB2312"/>
      <w:sz w:val="32"/>
    </w:rPr>
  </w:style>
  <w:style w:type="paragraph" w:styleId="1120">
    <w:name w:val="正文_18"/>
    <w:next w:val="1119"/>
    <w:link w:val="815"/>
    <w:qFormat/>
    <w:pPr>
      <w:jc w:val="both"/>
      <w:widowControl w:val="off"/>
    </w:pPr>
    <w:rPr>
      <w:rFonts w:ascii="Calibri" w:hAnsi="Calibri"/>
      <w:sz w:val="21"/>
      <w:szCs w:val="22"/>
      <w:lang w:val="en-US" w:eastAsia="zh-CN" w:bidi="ar-SA"/>
    </w:rPr>
  </w:style>
  <w:style w:type="paragraph" w:styleId="1121">
    <w:name w:val="xl53_0"/>
    <w:next w:val="1117"/>
    <w:link w:val="81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2">
    <w:name w:val="正文_4_0"/>
    <w:next w:val="1122"/>
    <w:link w:val="815"/>
    <w:qFormat/>
    <w:pPr>
      <w:jc w:val="both"/>
      <w:widowControl w:val="off"/>
    </w:pPr>
    <w:rPr>
      <w:rFonts w:ascii="Calibri" w:hAnsi="Calibri"/>
      <w:sz w:val="21"/>
      <w:szCs w:val="22"/>
      <w:lang w:val="en-US" w:eastAsia="zh-CN" w:bidi="ar-SA"/>
    </w:rPr>
  </w:style>
  <w:style w:type="paragraph" w:styleId="1123">
    <w:name w:val="Normal_11_0"/>
    <w:next w:val="1123"/>
    <w:link w:val="815"/>
    <w:qFormat/>
    <w:rPr>
      <w:rFonts w:ascii="黑体" w:hAnsi="黑体" w:eastAsia="黑体" w:cs="黑体"/>
      <w:b/>
      <w:sz w:val="32"/>
      <w:szCs w:val="24"/>
      <w:lang w:val="en-US" w:eastAsia="zh-CN" w:bidi="ar-SA"/>
    </w:rPr>
  </w:style>
  <w:style w:type="paragraph" w:styleId="1124">
    <w:name w:val="Normal_12_0"/>
    <w:next w:val="1124"/>
    <w:link w:val="815"/>
    <w:qFormat/>
    <w:pPr>
      <w:jc w:val="both"/>
      <w:widowControl w:val="off"/>
    </w:pPr>
    <w:rPr>
      <w:rFonts w:ascii="Calibri" w:hAnsi="Calibri"/>
      <w:sz w:val="21"/>
      <w:szCs w:val="22"/>
      <w:lang w:val="en-US" w:eastAsia="zh-CN" w:bidi="ar-SA"/>
    </w:rPr>
  </w:style>
  <w:style w:type="paragraph" w:styleId="1125">
    <w:name w:val="正文_9_0"/>
    <w:next w:val="1125"/>
    <w:link w:val="815"/>
    <w:qFormat/>
    <w:pPr>
      <w:jc w:val="both"/>
      <w:widowControl w:val="off"/>
    </w:pPr>
    <w:rPr>
      <w:rFonts w:ascii="Calibri" w:hAnsi="Calibri"/>
      <w:sz w:val="21"/>
      <w:szCs w:val="22"/>
      <w:lang w:val="en-US" w:eastAsia="zh-CN" w:bidi="ar-SA"/>
    </w:rPr>
  </w:style>
  <w:style w:type="paragraph" w:styleId="1126">
    <w:name w:val="正文_8_1"/>
    <w:next w:val="1126"/>
    <w:link w:val="815"/>
    <w:qFormat/>
    <w:pPr>
      <w:jc w:val="both"/>
      <w:widowControl w:val="off"/>
    </w:pPr>
    <w:rPr>
      <w:rFonts w:ascii="Calibri" w:hAnsi="Calibri"/>
      <w:sz w:val="21"/>
      <w:szCs w:val="22"/>
      <w:lang w:val="en-US" w:eastAsia="zh-CN" w:bidi="ar-SA"/>
    </w:rPr>
  </w:style>
  <w:style w:type="paragraph" w:styleId="1127">
    <w:name w:val="正文_1_0_0_0_0"/>
    <w:next w:val="1127"/>
    <w:link w:val="815"/>
    <w:qFormat/>
    <w:pPr>
      <w:jc w:val="both"/>
      <w:widowControl w:val="off"/>
    </w:pPr>
    <w:rPr>
      <w:sz w:val="21"/>
      <w:lang w:val="en-US" w:eastAsia="zh-CN" w:bidi="ar-SA"/>
    </w:rPr>
  </w:style>
  <w:style w:type="paragraph" w:styleId="1128">
    <w:name w:val="列出段落_2"/>
    <w:basedOn w:val="1126"/>
    <w:next w:val="1128"/>
    <w:link w:val="815"/>
    <w:uiPriority w:val="34"/>
    <w:qFormat/>
    <w:pPr>
      <w:ind w:firstLine="420"/>
    </w:pPr>
  </w:style>
  <w:style w:type="paragraph" w:styleId="1129">
    <w:name w:val="Normal_13_0"/>
    <w:next w:val="1129"/>
    <w:link w:val="815"/>
    <w:qFormat/>
    <w:rPr>
      <w:rFonts w:ascii="黑体" w:hAnsi="黑体" w:eastAsia="黑体" w:cs="黑体"/>
      <w:b/>
      <w:sz w:val="32"/>
      <w:szCs w:val="24"/>
      <w:lang w:val="en-US" w:eastAsia="zh-CN" w:bidi="ar-SA"/>
    </w:rPr>
  </w:style>
  <w:style w:type="paragraph" w:styleId="1130">
    <w:name w:val="正文_7_1_0"/>
    <w:next w:val="1130"/>
    <w:link w:val="815"/>
    <w:qFormat/>
    <w:pPr>
      <w:jc w:val="both"/>
      <w:widowControl w:val="off"/>
    </w:pPr>
    <w:rPr>
      <w:rFonts w:ascii="Calibri" w:hAnsi="Calibri"/>
      <w:sz w:val="21"/>
      <w:szCs w:val="22"/>
      <w:lang w:val="en-US" w:eastAsia="zh-CN" w:bidi="ar-SA"/>
    </w:rPr>
  </w:style>
  <w:style w:type="paragraph" w:styleId="1131">
    <w:name w:val="纯文本_0_0"/>
    <w:basedOn w:val="1130"/>
    <w:next w:val="1131"/>
    <w:link w:val="815"/>
    <w:unhideWhenUsed/>
    <w:qFormat/>
    <w:rPr>
      <w:rFonts w:ascii="宋体" w:hAnsi="Courier New"/>
      <w:szCs w:val="21"/>
    </w:rPr>
  </w:style>
  <w:style w:type="paragraph" w:styleId="1132">
    <w:name w:val="正文_8_0"/>
    <w:next w:val="1132"/>
    <w:link w:val="815"/>
    <w:qFormat/>
    <w:pPr>
      <w:jc w:val="both"/>
      <w:widowControl w:val="off"/>
    </w:pPr>
    <w:rPr>
      <w:rFonts w:ascii="Calibri" w:hAnsi="Calibri"/>
      <w:sz w:val="21"/>
      <w:szCs w:val="22"/>
      <w:lang w:val="en-US" w:eastAsia="zh-CN" w:bidi="ar-SA"/>
    </w:rPr>
  </w:style>
  <w:style w:type="paragraph" w:styleId="1133">
    <w:name w:val="Normal_14_0"/>
    <w:next w:val="1133"/>
    <w:link w:val="815"/>
    <w:qFormat/>
    <w:rPr>
      <w:rFonts w:ascii="黑体" w:hAnsi="黑体" w:eastAsia="黑体" w:cs="黑体"/>
      <w:b/>
      <w:sz w:val="32"/>
      <w:szCs w:val="24"/>
      <w:lang w:val="en-US" w:eastAsia="zh-CN" w:bidi="ar-SA"/>
    </w:rPr>
  </w:style>
  <w:style w:type="paragraph" w:styleId="1134">
    <w:name w:val="正文_6_0"/>
    <w:next w:val="1134"/>
    <w:link w:val="815"/>
    <w:qFormat/>
    <w:pPr>
      <w:jc w:val="both"/>
      <w:widowControl w:val="off"/>
    </w:pPr>
    <w:rPr>
      <w:rFonts w:ascii="Calibri" w:hAnsi="Calibri"/>
      <w:sz w:val="21"/>
      <w:szCs w:val="22"/>
      <w:lang w:val="en-US" w:eastAsia="zh-CN" w:bidi="ar-SA"/>
    </w:rPr>
  </w:style>
  <w:style w:type="paragraph" w:styleId="1135">
    <w:name w:val="Normal_15_0"/>
    <w:next w:val="1135"/>
    <w:link w:val="815"/>
    <w:qFormat/>
    <w:rPr>
      <w:rFonts w:ascii="黑体" w:hAnsi="黑体" w:eastAsia="黑体" w:cs="黑体"/>
      <w:b/>
      <w:sz w:val="32"/>
      <w:szCs w:val="24"/>
      <w:lang w:val="en-US" w:eastAsia="zh-CN" w:bidi="ar-SA"/>
    </w:rPr>
  </w:style>
  <w:style w:type="paragraph" w:styleId="1136">
    <w:name w:val="正文_7_0"/>
    <w:next w:val="1136"/>
    <w:link w:val="815"/>
    <w:qFormat/>
    <w:pPr>
      <w:jc w:val="both"/>
      <w:widowControl w:val="off"/>
    </w:pPr>
    <w:rPr>
      <w:rFonts w:ascii="Calibri" w:hAnsi="Calibri"/>
      <w:sz w:val="21"/>
      <w:szCs w:val="22"/>
      <w:lang w:val="en-US" w:eastAsia="zh-CN" w:bidi="ar-SA"/>
    </w:rPr>
  </w:style>
  <w:style w:type="paragraph" w:styleId="1137">
    <w:name w:val="正文_9_1"/>
    <w:next w:val="1137"/>
    <w:link w:val="815"/>
    <w:qFormat/>
    <w:pPr>
      <w:jc w:val="both"/>
      <w:widowControl w:val="off"/>
    </w:pPr>
    <w:rPr>
      <w:sz w:val="21"/>
      <w:szCs w:val="24"/>
      <w:lang w:val="en-US" w:eastAsia="zh-CN" w:bidi="ar-SA"/>
    </w:rPr>
  </w:style>
  <w:style w:type="paragraph" w:styleId="1138">
    <w:name w:val="Normal_16_0"/>
    <w:next w:val="1138"/>
    <w:link w:val="815"/>
    <w:qFormat/>
    <w:rPr>
      <w:rFonts w:ascii="黑体" w:hAnsi="黑体" w:eastAsia="黑体" w:cs="黑体"/>
      <w:b/>
      <w:sz w:val="32"/>
      <w:szCs w:val="24"/>
      <w:lang w:val="en-US" w:eastAsia="zh-CN" w:bidi="ar-SA"/>
    </w:rPr>
  </w:style>
  <w:style w:type="paragraph" w:styleId="1139">
    <w:name w:val="正文_10_0"/>
    <w:next w:val="1139"/>
    <w:link w:val="815"/>
    <w:qFormat/>
    <w:pPr>
      <w:jc w:val="both"/>
      <w:widowControl w:val="off"/>
    </w:pPr>
    <w:rPr>
      <w:sz w:val="21"/>
      <w:szCs w:val="24"/>
      <w:lang w:val="en-US" w:eastAsia="zh-CN" w:bidi="ar-SA"/>
    </w:rPr>
  </w:style>
  <w:style w:type="paragraph" w:styleId="1140">
    <w:name w:val="Normal_17_0"/>
    <w:next w:val="1140"/>
    <w:link w:val="815"/>
    <w:qFormat/>
    <w:rPr>
      <w:rFonts w:ascii="黑体" w:hAnsi="黑体" w:eastAsia="黑体" w:cs="黑体"/>
      <w:b/>
      <w:sz w:val="32"/>
      <w:szCs w:val="24"/>
      <w:lang w:val="en-US" w:eastAsia="zh-CN" w:bidi="ar-SA"/>
    </w:rPr>
  </w:style>
  <w:style w:type="paragraph" w:styleId="1141">
    <w:name w:val="正文_10_0_0"/>
    <w:next w:val="1141"/>
    <w:link w:val="815"/>
    <w:qFormat/>
    <w:pPr>
      <w:jc w:val="both"/>
      <w:widowControl w:val="off"/>
    </w:pPr>
    <w:rPr>
      <w:sz w:val="21"/>
      <w:szCs w:val="24"/>
      <w:lang w:val="en-US" w:eastAsia="zh-CN" w:bidi="ar-SA"/>
    </w:rPr>
  </w:style>
  <w:style w:type="paragraph" w:styleId="1142">
    <w:name w:val="Normal_18_0"/>
    <w:next w:val="1142"/>
    <w:link w:val="815"/>
    <w:qFormat/>
    <w:rPr>
      <w:rFonts w:ascii="黑体" w:hAnsi="黑体" w:eastAsia="黑体" w:cs="黑体"/>
      <w:b/>
      <w:sz w:val="32"/>
      <w:szCs w:val="24"/>
      <w:lang w:val="en-US" w:eastAsia="zh-CN" w:bidi="ar-SA"/>
    </w:rPr>
  </w:style>
  <w:style w:type="paragraph" w:styleId="1143">
    <w:name w:val="正文_12_0"/>
    <w:next w:val="1143"/>
    <w:link w:val="815"/>
    <w:qFormat/>
    <w:pPr>
      <w:jc w:val="both"/>
      <w:widowControl w:val="off"/>
    </w:pPr>
    <w:rPr>
      <w:rFonts w:ascii="Calibri" w:hAnsi="Calibri"/>
      <w:sz w:val="21"/>
      <w:szCs w:val="22"/>
      <w:lang w:val="en-US" w:eastAsia="zh-CN" w:bidi="ar-SA"/>
    </w:rPr>
  </w:style>
  <w:style w:type="paragraph" w:styleId="1144">
    <w:name w:val="正文_9_1_0"/>
    <w:next w:val="1144"/>
    <w:link w:val="815"/>
    <w:qFormat/>
    <w:pPr>
      <w:jc w:val="both"/>
      <w:widowControl w:val="off"/>
    </w:pPr>
    <w:rPr>
      <w:sz w:val="21"/>
      <w:szCs w:val="24"/>
      <w:lang w:val="en-US" w:eastAsia="zh-CN" w:bidi="ar-SA"/>
    </w:rPr>
  </w:style>
  <w:style w:type="paragraph" w:styleId="1145">
    <w:name w:val="Normal_14_0_0"/>
    <w:next w:val="1145"/>
    <w:link w:val="815"/>
    <w:qFormat/>
    <w:rPr>
      <w:rFonts w:ascii="黑体" w:hAnsi="黑体" w:eastAsia="黑体"/>
      <w:b/>
      <w:sz w:val="32"/>
      <w:szCs w:val="24"/>
      <w:lang w:val="en-US" w:eastAsia="zh-CN" w:bidi="ar-SA"/>
    </w:rPr>
  </w:style>
  <w:style w:type="paragraph" w:styleId="1146">
    <w:name w:val="正文_12_0_0"/>
    <w:next w:val="1146"/>
    <w:link w:val="815"/>
    <w:qFormat/>
    <w:pPr>
      <w:jc w:val="both"/>
      <w:widowControl w:val="off"/>
    </w:pPr>
    <w:rPr>
      <w:sz w:val="21"/>
      <w:szCs w:val="24"/>
      <w:lang w:val="en-US" w:eastAsia="zh-CN" w:bidi="ar-SA"/>
    </w:rPr>
  </w:style>
  <w:style w:type="paragraph" w:styleId="1147">
    <w:name w:val="正文_12_0_0_0"/>
    <w:next w:val="1147"/>
    <w:link w:val="815"/>
    <w:qFormat/>
    <w:pPr>
      <w:jc w:val="both"/>
      <w:widowControl w:val="off"/>
    </w:pPr>
    <w:rPr>
      <w:sz w:val="21"/>
      <w:szCs w:val="24"/>
      <w:lang w:val="en-US" w:eastAsia="zh-CN" w:bidi="ar-SA"/>
    </w:rPr>
  </w:style>
  <w:style w:type="paragraph" w:styleId="1148">
    <w:name w:val="正文_13_0"/>
    <w:next w:val="1148"/>
    <w:link w:val="815"/>
    <w:qFormat/>
    <w:pPr>
      <w:jc w:val="both"/>
      <w:widowControl w:val="off"/>
    </w:pPr>
    <w:rPr>
      <w:rFonts w:ascii="Calibri" w:hAnsi="Calibri"/>
      <w:sz w:val="21"/>
      <w:szCs w:val="22"/>
      <w:lang w:val="en-US" w:eastAsia="zh-CN" w:bidi="ar-SA"/>
    </w:rPr>
  </w:style>
  <w:style w:type="paragraph" w:styleId="1149">
    <w:name w:val="正文_13_0_0"/>
    <w:next w:val="1149"/>
    <w:link w:val="815"/>
    <w:qFormat/>
    <w:pPr>
      <w:jc w:val="both"/>
      <w:widowControl w:val="off"/>
    </w:pPr>
    <w:rPr>
      <w:sz w:val="21"/>
      <w:szCs w:val="24"/>
      <w:lang w:val="en-US" w:eastAsia="zh-CN" w:bidi="ar-SA"/>
    </w:rPr>
  </w:style>
  <w:style w:type="paragraph" w:styleId="1150">
    <w:name w:val="正文_14_0"/>
    <w:next w:val="1150"/>
    <w:link w:val="815"/>
    <w:qFormat/>
    <w:pPr>
      <w:jc w:val="both"/>
      <w:widowControl w:val="off"/>
    </w:pPr>
    <w:rPr>
      <w:rFonts w:ascii="Calibri" w:hAnsi="Calibri"/>
      <w:sz w:val="21"/>
      <w:szCs w:val="22"/>
      <w:lang w:val="en-US" w:eastAsia="zh-CN" w:bidi="ar-SA"/>
    </w:rPr>
  </w:style>
  <w:style w:type="paragraph" w:styleId="1151">
    <w:name w:val="正文_14_0_0"/>
    <w:next w:val="1151"/>
    <w:link w:val="815"/>
    <w:qFormat/>
    <w:pPr>
      <w:jc w:val="both"/>
      <w:widowControl w:val="off"/>
    </w:pPr>
    <w:rPr>
      <w:sz w:val="21"/>
      <w:szCs w:val="24"/>
      <w:lang w:val="en-US" w:eastAsia="zh-CN" w:bidi="ar-SA"/>
    </w:rPr>
  </w:style>
  <w:style w:type="paragraph" w:styleId="1152">
    <w:name w:val="Normal Indent_0"/>
    <w:basedOn w:val="911"/>
    <w:next w:val="1152"/>
    <w:link w:val="815"/>
    <w:qFormat/>
    <w:pPr>
      <w:ind w:firstLine="420"/>
    </w:pPr>
    <w:rPr>
      <w:rFonts w:ascii="宋体" w:eastAsia="Times New Roman"/>
      <w:color w:val="000000"/>
      <w:sz w:val="24"/>
      <w:szCs w:val="20"/>
    </w:rPr>
  </w:style>
  <w:style w:type="paragraph" w:styleId="1153">
    <w:name w:val="Heading 3_0"/>
    <w:basedOn w:val="911"/>
    <w:next w:val="911"/>
    <w:link w:val="815"/>
    <w:qFormat/>
    <w:pPr>
      <w:keepLines/>
      <w:keepNext/>
      <w:spacing w:before="260" w:after="260" w:line="413" w:lineRule="auto"/>
      <w:outlineLvl w:val="2"/>
    </w:pPr>
    <w:rPr>
      <w:rFonts w:ascii="Times New Roman" w:hAnsi="Times New Roman" w:eastAsia="Times New Roman"/>
      <w:szCs w:val="20"/>
    </w:rPr>
  </w:style>
  <w:style w:type="paragraph" w:styleId="1154">
    <w:name w:val="正文_15_0"/>
    <w:next w:val="1154"/>
    <w:link w:val="815"/>
    <w:qFormat/>
    <w:pPr>
      <w:jc w:val="both"/>
      <w:widowControl w:val="off"/>
    </w:pPr>
    <w:rPr>
      <w:rFonts w:ascii="Calibri" w:hAnsi="Calibri"/>
      <w:sz w:val="21"/>
      <w:szCs w:val="22"/>
      <w:lang w:val="en-US" w:eastAsia="zh-CN" w:bidi="ar-SA"/>
    </w:rPr>
  </w:style>
  <w:style w:type="paragraph" w:styleId="1155">
    <w:name w:val="正文2"/>
    <w:basedOn w:val="815"/>
    <w:next w:val="1155"/>
    <w:link w:val="815"/>
    <w:qFormat/>
    <w:pPr>
      <w:ind w:firstLine="510"/>
      <w:spacing w:before="156" w:line="360" w:lineRule="auto"/>
    </w:pPr>
    <w:rPr>
      <w:sz w:val="24"/>
      <w:szCs w:val="20"/>
    </w:rPr>
  </w:style>
  <w:style w:type="paragraph" w:styleId="1156">
    <w:name w:val="Default"/>
    <w:next w:val="1156"/>
    <w:link w:val="815"/>
    <w:qFormat/>
    <w:pPr>
      <w:widowControl w:val="off"/>
    </w:pPr>
    <w:rPr>
      <w:rFonts w:ascii="宋体" w:cs="宋体"/>
      <w:color w:val="000000"/>
      <w:sz w:val="24"/>
      <w:szCs w:val="24"/>
      <w:lang w:val="en-US" w:eastAsia="zh-CN" w:bidi="ar-SA"/>
    </w:rPr>
  </w:style>
  <w:style w:type="paragraph" w:styleId="1157">
    <w:name w:val="正文_0_2_0"/>
    <w:next w:val="1157"/>
    <w:link w:val="815"/>
    <w:qFormat/>
    <w:pPr>
      <w:jc w:val="both"/>
      <w:widowControl w:val="off"/>
    </w:pPr>
    <w:rPr>
      <w:szCs w:val="24"/>
      <w:lang w:val="en-US" w:eastAsia="zh-CN" w:bidi="ar-SA"/>
    </w:rPr>
  </w:style>
  <w:style w:type="paragraph" w:styleId="1158">
    <w:name w:val="Normal_19_1_0"/>
    <w:next w:val="1159"/>
    <w:link w:val="815"/>
    <w:qFormat/>
    <w:pPr>
      <w:jc w:val="both"/>
      <w:widowControl w:val="off"/>
    </w:pPr>
    <w:rPr>
      <w:rFonts w:ascii="Calibri" w:hAnsi="Calibri"/>
      <w:szCs w:val="24"/>
      <w:lang w:val="en-US" w:eastAsia="zh-CN" w:bidi="ar-SA"/>
    </w:rPr>
  </w:style>
  <w:style w:type="paragraph" w:styleId="1159">
    <w:name w:val="正文_16_0"/>
    <w:basedOn w:val="1120"/>
    <w:next w:val="1118"/>
    <w:link w:val="815"/>
    <w:qFormat/>
    <w:rPr>
      <w:rFonts w:ascii="Times New Roman" w:hAnsi="Times New Roman"/>
    </w:rPr>
  </w:style>
  <w:style w:type="paragraph" w:styleId="1160">
    <w:name w:val="Normal_19_0"/>
    <w:basedOn w:val="832"/>
    <w:next w:val="1161"/>
    <w:link w:val="815"/>
    <w:qFormat/>
    <w:rPr>
      <w:szCs w:val="24"/>
    </w:rPr>
  </w:style>
  <w:style w:type="paragraph" w:styleId="1161">
    <w:name w:val="Body Text First Indent_1_0"/>
    <w:basedOn w:val="1160"/>
    <w:next w:val="1161"/>
    <w:link w:val="815"/>
    <w:qFormat/>
    <w:pPr>
      <w:ind w:firstLine="100"/>
      <w:spacing w:after="120"/>
    </w:pPr>
  </w:style>
  <w:style w:type="paragraph" w:styleId="1162">
    <w:name w:val="Body Text_0"/>
    <w:basedOn w:val="1160"/>
    <w:next w:val="1162"/>
    <w:link w:val="815"/>
    <w:qFormat/>
    <w:pPr>
      <w:spacing w:line="60" w:lineRule="auto"/>
    </w:pPr>
    <w:rPr>
      <w:rFonts w:ascii="仿宋_GB2312" w:eastAsia="仿宋_GB2312"/>
      <w:sz w:val="32"/>
    </w:rPr>
  </w:style>
  <w:style w:type="paragraph" w:styleId="1163">
    <w:name w:val="Normal_19_1"/>
    <w:next w:val="911"/>
    <w:link w:val="815"/>
    <w:qFormat/>
    <w:pPr>
      <w:jc w:val="both"/>
      <w:widowControl w:val="off"/>
    </w:pPr>
    <w:rPr>
      <w:rFonts w:ascii="Calibri" w:hAnsi="Calibri"/>
      <w:szCs w:val="24"/>
      <w:lang w:val="en-US" w:eastAsia="zh-CN" w:bidi="ar-SA"/>
    </w:rPr>
  </w:style>
  <w:style w:type="paragraph" w:styleId="1164">
    <w:name w:val="正文_6_0_0"/>
    <w:next w:val="1164"/>
    <w:link w:val="815"/>
    <w:qFormat/>
    <w:pPr>
      <w:jc w:val="both"/>
      <w:widowControl w:val="off"/>
    </w:pPr>
    <w:rPr>
      <w:rFonts w:ascii="Calibri" w:hAnsi="Calibri"/>
      <w:lang w:val="en-US" w:eastAsia="zh-CN" w:bidi="ar-SA"/>
    </w:rPr>
  </w:style>
  <w:style w:type="paragraph" w:styleId="1165">
    <w:name w:val="正文_7_1"/>
    <w:next w:val="1165"/>
    <w:link w:val="815"/>
    <w:qFormat/>
    <w:pPr>
      <w:jc w:val="both"/>
      <w:widowControl w:val="off"/>
    </w:pPr>
    <w:rPr>
      <w:rFonts w:ascii="Calibri" w:hAnsi="Calibri"/>
      <w:lang w:val="en-US" w:eastAsia="zh-CN" w:bidi="ar-SA"/>
    </w:rPr>
  </w:style>
  <w:style w:type="paragraph" w:styleId="1166">
    <w:name w:val="正文1_1"/>
    <w:basedOn w:val="1114"/>
    <w:next w:val="1166"/>
    <w:link w:val="815"/>
    <w:qFormat/>
    <w:pPr>
      <w:jc w:val="both"/>
      <w:widowControl w:val="off"/>
    </w:pPr>
    <w:rPr>
      <w:sz w:val="20"/>
      <w:szCs w:val="20"/>
    </w:rPr>
  </w:style>
  <w:style w:type="paragraph" w:styleId="1167">
    <w:name w:val="Normal_8_0_0"/>
    <w:next w:val="1167"/>
    <w:link w:val="815"/>
    <w:qFormat/>
    <w:rPr>
      <w:rFonts w:eastAsia="Times New Roman"/>
      <w:sz w:val="24"/>
      <w:szCs w:val="24"/>
      <w:lang w:val="en-US" w:eastAsia="zh-CN" w:bidi="ar-SA"/>
    </w:rPr>
  </w:style>
  <w:style w:type="paragraph" w:styleId="1168">
    <w:name w:val="Normal_8_0_0_0"/>
    <w:next w:val="1168"/>
    <w:link w:val="815"/>
    <w:qFormat/>
    <w:pPr>
      <w:jc w:val="both"/>
      <w:widowControl w:val="off"/>
    </w:pPr>
    <w:rPr>
      <w:rFonts w:ascii="Calibri" w:hAnsi="Calibri"/>
      <w:lang w:val="en-US" w:eastAsia="zh-CN" w:bidi="ar-SA"/>
    </w:rPr>
  </w:style>
  <w:style w:type="paragraph" w:styleId="1169">
    <w:name w:val="Normal_16_1"/>
    <w:next w:val="1169"/>
    <w:link w:val="815"/>
    <w:qFormat/>
    <w:rPr>
      <w:rFonts w:ascii="黑体" w:hAnsi="黑体" w:eastAsia="黑体"/>
      <w:b/>
      <w:sz w:val="32"/>
      <w:szCs w:val="24"/>
      <w:lang w:val="en-US" w:eastAsia="zh-CN" w:bidi="ar-SA"/>
    </w:rPr>
  </w:style>
  <w:style w:type="paragraph" w:styleId="1170">
    <w:name w:val="Normal_19_0_1"/>
    <w:next w:val="1170"/>
    <w:link w:val="815"/>
    <w:qFormat/>
    <w:rPr>
      <w:rFonts w:ascii="Tahoma" w:hAnsi="Tahoma" w:eastAsia="微软雅黑"/>
      <w:lang w:val="en-US" w:eastAsia="zh-CN" w:bidi="ar-SA"/>
    </w:rPr>
  </w:style>
  <w:style w:type="paragraph" w:styleId="1171">
    <w:name w:val="Normal_16_0_0"/>
    <w:next w:val="1171"/>
    <w:link w:val="815"/>
    <w:qFormat/>
    <w:pPr>
      <w:jc w:val="both"/>
      <w:widowControl w:val="off"/>
    </w:pPr>
    <w:rPr>
      <w:rFonts w:ascii="Calibri" w:hAnsi="Calibri"/>
      <w:lang w:val="en-US" w:eastAsia="zh-CN" w:bidi="ar-SA"/>
    </w:rPr>
  </w:style>
  <w:style w:type="paragraph" w:styleId="1172">
    <w:name w:val="Normal_22_0"/>
    <w:next w:val="1172"/>
    <w:link w:val="815"/>
    <w:qFormat/>
    <w:pPr>
      <w:jc w:val="both"/>
      <w:widowControl w:val="off"/>
    </w:pPr>
    <w:rPr>
      <w:rFonts w:ascii="Calibri" w:hAnsi="Calibri"/>
      <w:szCs w:val="24"/>
      <w:lang w:val="en-US" w:eastAsia="zh-CN" w:bidi="ar-SA"/>
    </w:rPr>
  </w:style>
  <w:style w:type="paragraph" w:styleId="1173">
    <w:name w:val="Normal_17_0_0"/>
    <w:next w:val="1173"/>
    <w:link w:val="815"/>
    <w:qFormat/>
    <w:rPr>
      <w:rFonts w:ascii="黑体" w:hAnsi="黑体" w:eastAsia="黑体"/>
      <w:b/>
      <w:sz w:val="32"/>
      <w:szCs w:val="24"/>
      <w:lang w:val="en-US" w:eastAsia="zh-CN" w:bidi="ar-SA"/>
    </w:rPr>
  </w:style>
  <w:style w:type="paragraph" w:styleId="1174">
    <w:name w:val="Normal_19_0_1_0"/>
    <w:next w:val="1174"/>
    <w:link w:val="815"/>
    <w:qFormat/>
    <w:rPr>
      <w:rFonts w:ascii="Tahoma" w:hAnsi="Tahoma" w:eastAsia="微软雅黑"/>
      <w:lang w:val="en-US" w:eastAsia="zh-CN" w:bidi="ar-SA"/>
    </w:rPr>
  </w:style>
  <w:style w:type="paragraph" w:styleId="1175">
    <w:name w:val="Normal_19_3"/>
    <w:next w:val="1176"/>
    <w:link w:val="815"/>
    <w:qFormat/>
    <w:pPr>
      <w:jc w:val="both"/>
      <w:widowControl w:val="off"/>
    </w:pPr>
    <w:rPr>
      <w:rFonts w:ascii="Calibri" w:hAnsi="Calibri" w:eastAsia="Times New Roman"/>
      <w:szCs w:val="24"/>
      <w:lang w:val="en-US" w:eastAsia="zh-CN" w:bidi="ar-SA"/>
    </w:rPr>
  </w:style>
  <w:style w:type="paragraph" w:styleId="1176">
    <w:name w:val="正文_17_0"/>
    <w:next w:val="1176"/>
    <w:link w:val="815"/>
    <w:qFormat/>
    <w:pPr>
      <w:jc w:val="both"/>
      <w:widowControl w:val="off"/>
    </w:pPr>
    <w:rPr>
      <w:rFonts w:ascii="Calibri" w:hAnsi="Calibri"/>
      <w:sz w:val="21"/>
      <w:szCs w:val="22"/>
      <w:lang w:val="en-US" w:eastAsia="zh-CN" w:bidi="ar-SA"/>
    </w:rPr>
  </w:style>
  <w:style w:type="paragraph" w:styleId="1177">
    <w:name w:val="Normal_22_0_0"/>
    <w:next w:val="1177"/>
    <w:link w:val="815"/>
    <w:qFormat/>
    <w:pPr>
      <w:jc w:val="both"/>
      <w:widowControl w:val="off"/>
    </w:pPr>
    <w:rPr>
      <w:rFonts w:ascii="Calibri" w:hAnsi="Calibri"/>
      <w:szCs w:val="24"/>
      <w:lang w:val="en-US" w:eastAsia="zh-CN" w:bidi="ar-SA"/>
    </w:rPr>
  </w:style>
  <w:style w:type="character" w:styleId="1178">
    <w:name w:val="custom-tag-placeholder-class"/>
    <w:next w:val="1178"/>
    <w:link w:val="815"/>
    <w:qFormat/>
  </w:style>
  <w:style w:type="paragraph" w:styleId="1179">
    <w:name w:val="Normal_19_0_0"/>
    <w:basedOn w:val="911"/>
    <w:next w:val="1180"/>
    <w:link w:val="815"/>
    <w:qFormat/>
    <w:rPr>
      <w:rFonts w:ascii="Calibri" w:hAnsi="Calibri" w:eastAsia="Times New Roman"/>
      <w:sz w:val="24"/>
    </w:rPr>
  </w:style>
  <w:style w:type="paragraph" w:styleId="1180">
    <w:name w:val="Body Text First Indent_1_0_0"/>
    <w:basedOn w:val="1179"/>
    <w:next w:val="1180"/>
    <w:link w:val="815"/>
    <w:pPr>
      <w:ind w:firstLine="100"/>
      <w:spacing w:after="120"/>
    </w:pPr>
    <w:rPr>
      <w:rFonts w:eastAsia="Times New Roman"/>
    </w:rPr>
  </w:style>
  <w:style w:type="paragraph" w:styleId="1181">
    <w:name w:val="正文首行缩进1"/>
    <w:basedOn w:val="1182"/>
    <w:next w:val="1181"/>
    <w:link w:val="815"/>
    <w:qFormat/>
    <w:pPr>
      <w:ind w:firstLine="100"/>
      <w:spacing w:after="120" w:line="240" w:lineRule="auto"/>
    </w:pPr>
    <w:rPr>
      <w:rFonts w:ascii="Times New Roman" w:hAnsi="Times New Roman" w:eastAsia="宋体"/>
      <w:sz w:val="21"/>
    </w:rPr>
  </w:style>
  <w:style w:type="paragraph" w:styleId="1182">
    <w:name w:val="正文文本1"/>
    <w:basedOn w:val="815"/>
    <w:next w:val="1182"/>
    <w:link w:val="815"/>
    <w:qFormat/>
    <w:pPr>
      <w:spacing w:line="60" w:lineRule="auto"/>
    </w:pPr>
    <w:rPr>
      <w:rFonts w:ascii="仿宋_GB2312" w:eastAsia="仿宋_GB2312"/>
      <w:sz w:val="32"/>
    </w:rPr>
  </w:style>
  <w:style w:type="paragraph" w:styleId="1183">
    <w:name w:val="正文_2_0"/>
    <w:next w:val="1183"/>
    <w:link w:val="815"/>
    <w:qFormat/>
    <w:pPr>
      <w:jc w:val="both"/>
      <w:widowControl w:val="off"/>
    </w:pPr>
    <w:rPr>
      <w:rFonts w:ascii="Calibri" w:hAnsi="Calibri"/>
      <w:sz w:val="21"/>
      <w:szCs w:val="22"/>
      <w:lang w:val="en-US" w:eastAsia="zh-CN" w:bidi="ar-SA"/>
    </w:rPr>
  </w:style>
  <w:style w:type="paragraph" w:styleId="1184">
    <w:name w:val="List Paragraph_0"/>
    <w:basedOn w:val="1094"/>
    <w:next w:val="1184"/>
    <w:link w:val="815"/>
    <w:qFormat/>
    <w:pPr>
      <w:ind w:firstLine="420"/>
    </w:pPr>
  </w:style>
  <w:style w:type="paragraph" w:styleId="1185">
    <w:name w:val="纯文本_1"/>
    <w:basedOn w:val="1183"/>
    <w:next w:val="1185"/>
    <w:link w:val="815"/>
    <w:qFormat/>
    <w:rPr>
      <w:rFonts w:ascii="宋体" w:hAnsi="Times New Roman"/>
      <w:sz w:val="20"/>
      <w:szCs w:val="21"/>
    </w:rPr>
  </w:style>
  <w:style w:type="paragraph" w:styleId="1186">
    <w:name w:val="正文_16_0_0"/>
    <w:next w:val="956"/>
    <w:link w:val="815"/>
    <w:qFormat/>
    <w:pPr>
      <w:jc w:val="both"/>
      <w:widowControl w:val="off"/>
    </w:pPr>
    <w:rPr>
      <w:rFonts w:ascii="Calibri" w:hAnsi="Calibri"/>
      <w:sz w:val="21"/>
      <w:szCs w:val="22"/>
      <w:lang w:val="en-US" w:eastAsia="zh-CN" w:bidi="ar-SA"/>
    </w:rPr>
  </w:style>
  <w:style w:type="paragraph" w:styleId="1187">
    <w:name w:val="正文_11_0"/>
    <w:basedOn w:val="956"/>
    <w:next w:val="1187"/>
    <w:link w:val="815"/>
    <w:qFormat/>
    <w:rPr>
      <w:rFonts w:ascii="Calibri" w:hAnsi="Calibri"/>
      <w:szCs w:val="20"/>
    </w:rPr>
  </w:style>
  <w:style w:type="paragraph" w:styleId="1188">
    <w:name w:val="Normal_19_0_0_0"/>
    <w:basedOn w:val="832"/>
    <w:next w:val="1188"/>
    <w:link w:val="815"/>
    <w:qFormat/>
    <w:rPr>
      <w:rFonts w:cs="黑体"/>
      <w:szCs w:val="24"/>
    </w:rPr>
  </w:style>
  <w:style w:type="paragraph" w:styleId="1189">
    <w:name w:val="无间隔1"/>
    <w:basedOn w:val="1100"/>
    <w:next w:val="1189"/>
    <w:link w:val="815"/>
    <w:qFormat/>
    <w:rPr>
      <w:rFonts w:ascii="Calibri" w:hAnsi="Calibri" w:cs="Calibri"/>
    </w:rPr>
  </w:style>
  <w:style w:type="paragraph" w:styleId="1190">
    <w:name w:val="标题 31"/>
    <w:basedOn w:val="1100"/>
    <w:next w:val="1100"/>
    <w:link w:val="815"/>
    <w:qFormat/>
    <w:pPr>
      <w:keepLines/>
      <w:keepNext/>
      <w:spacing w:before="260" w:after="260" w:line="413" w:lineRule="auto"/>
      <w:outlineLvl w:val="2"/>
    </w:pPr>
    <w:rPr>
      <w:b/>
      <w:sz w:val="32"/>
      <w:szCs w:val="20"/>
    </w:rPr>
  </w:style>
  <w:style w:type="character" w:styleId="1191">
    <w:name w:val="标题 2 Char_0"/>
    <w:next w:val="1191"/>
    <w:link w:val="1192"/>
    <w:qFormat/>
    <w:rPr>
      <w:rFonts w:ascii="Arial" w:hAnsi="Arial" w:eastAsia="黑体"/>
      <w:b/>
      <w:sz w:val="32"/>
      <w:szCs w:val="22"/>
    </w:rPr>
  </w:style>
  <w:style w:type="paragraph" w:styleId="1192">
    <w:name w:val="标题 21"/>
    <w:basedOn w:val="834"/>
    <w:next w:val="834"/>
    <w:link w:val="1191"/>
    <w:unhideWhenUsed/>
    <w:qFormat/>
    <w:pPr>
      <w:keepLines/>
      <w:keepNext/>
      <w:spacing w:before="260" w:after="260" w:line="413" w:lineRule="auto"/>
      <w:outlineLvl w:val="1"/>
    </w:pPr>
    <w:rPr>
      <w:rFonts w:ascii="Arial" w:hAnsi="Arial"/>
      <w:szCs w:val="22"/>
    </w:rPr>
  </w:style>
  <w:style w:type="paragraph" w:styleId="1193">
    <w:name w:val="Normal_19_1_0_0"/>
    <w:next w:val="1194"/>
    <w:link w:val="815"/>
    <w:qFormat/>
    <w:pPr>
      <w:jc w:val="both"/>
      <w:widowControl w:val="off"/>
    </w:pPr>
    <w:rPr>
      <w:rFonts w:ascii="Calibri" w:hAnsi="Calibri"/>
      <w:sz w:val="21"/>
      <w:szCs w:val="24"/>
      <w:lang w:val="en-US" w:eastAsia="zh-CN" w:bidi="ar-SA"/>
    </w:rPr>
  </w:style>
  <w:style w:type="paragraph" w:styleId="1194">
    <w:name w:val="正文_16_0_1"/>
    <w:next w:val="1194"/>
    <w:link w:val="815"/>
    <w:qFormat/>
    <w:pPr>
      <w:jc w:val="both"/>
      <w:widowControl w:val="off"/>
    </w:pPr>
    <w:rPr>
      <w:sz w:val="21"/>
      <w:szCs w:val="22"/>
      <w:lang w:val="en-US" w:eastAsia="zh-CN" w:bidi="ar-SA"/>
    </w:rPr>
  </w:style>
  <w:style w:type="paragraph" w:styleId="1195">
    <w:name w:val="正文1_0_0"/>
    <w:basedOn w:val="834"/>
    <w:next w:val="1195"/>
    <w:link w:val="815"/>
    <w:qFormat/>
    <w:pPr>
      <w:ind w:left="357" w:firstLine="420"/>
      <w:spacing w:line="360" w:lineRule="auto"/>
    </w:pPr>
    <w:rPr>
      <w:rFonts w:eastAsia="Times New Roman" w:cs="Arial"/>
    </w:rPr>
  </w:style>
  <w:style w:type="paragraph" w:styleId="1196">
    <w:name w:val="普通正文"/>
    <w:basedOn w:val="815"/>
    <w:next w:val="1196"/>
    <w:link w:val="815"/>
    <w:qFormat/>
    <w:pPr>
      <w:ind w:firstLine="480"/>
      <w:jc w:val="left"/>
      <w:spacing w:before="120" w:after="120" w:line="360" w:lineRule="auto"/>
    </w:pPr>
    <w:rPr>
      <w:rFonts w:ascii="Arial" w:hAnsi="Arial"/>
      <w:sz w:val="24"/>
      <w:szCs w:val="24"/>
    </w:rPr>
  </w:style>
  <w:style w:type="paragraph" w:styleId="1197">
    <w:name w:val="正文空2字"/>
    <w:basedOn w:val="1198"/>
    <w:next w:val="1197"/>
    <w:link w:val="815"/>
    <w:uiPriority w:val="99"/>
    <w:qFormat/>
    <w:pPr>
      <w:ind w:firstLine="640"/>
      <w:spacing w:line="560" w:lineRule="exact"/>
      <w:widowControl w:val="off"/>
    </w:pPr>
    <w:rPr>
      <w:rFonts w:ascii="仿宋_GB2312" w:hAnsi="仿宋_GB2312" w:cs="仿宋_GB2312"/>
      <w:lang w:val="zh-TW"/>
    </w:rPr>
  </w:style>
  <w:style w:type="paragraph" w:styleId="1198">
    <w:name w:val="左对齐正文"/>
    <w:next w:val="1198"/>
    <w:link w:val="815"/>
    <w:uiPriority w:val="99"/>
    <w:qFormat/>
    <w:rPr>
      <w:rFonts w:ascii="Calibri" w:hAnsi="Calibri" w:eastAsia="仿宋_GB2312" w:cs="Calibri"/>
      <w:sz w:val="32"/>
      <w:szCs w:val="32"/>
      <w:lang w:val="en-US" w:eastAsia="zh-CN" w:bidi="ar-SA"/>
    </w:rPr>
  </w:style>
  <w:style w:type="paragraph" w:styleId="1199">
    <w:name w:val="普通(网站)1"/>
    <w:basedOn w:val="815"/>
    <w:next w:val="1199"/>
    <w:link w:val="815"/>
    <w:qFormat/>
    <w:rPr>
      <w:sz w:val="24"/>
    </w:rPr>
  </w:style>
  <w:style w:type="character" w:styleId="1200">
    <w:name w:val="16"/>
    <w:next w:val="1200"/>
    <w:link w:val="815"/>
    <w:qFormat/>
    <w:rPr>
      <w:rFonts w:ascii="Times New Roman" w:hAnsi="Times New Roman"/>
      <w:sz w:val="21"/>
      <w:szCs w:val="21"/>
      <w:lang w:val="en-US" w:eastAsia="zh-CN" w:bidi="ar-SA"/>
    </w:rPr>
  </w:style>
  <w:style w:type="paragraph" w:styleId="1201">
    <w:name w:val="正文文本_0"/>
    <w:basedOn w:val="1094"/>
    <w:next w:val="1202"/>
    <w:link w:val="815"/>
    <w:qFormat/>
    <w:pPr>
      <w:spacing w:line="60" w:lineRule="auto"/>
    </w:pPr>
    <w:rPr>
      <w:rFonts w:ascii="仿宋_GB2312" w:eastAsia="仿宋_GB2312"/>
      <w:sz w:val="32"/>
    </w:rPr>
  </w:style>
  <w:style w:type="paragraph" w:styleId="1202">
    <w:name w:val="正文缩进_1"/>
    <w:basedOn w:val="1094"/>
    <w:next w:val="1094"/>
    <w:link w:val="815"/>
    <w:qFormat/>
    <w:pPr>
      <w:ind w:firstLine="420"/>
    </w:pPr>
    <w:rPr>
      <w:rFonts w:ascii="宋体"/>
      <w:color w:val="000000"/>
      <w:sz w:val="24"/>
      <w:szCs w:val="20"/>
    </w:rPr>
  </w:style>
  <w:style w:type="paragraph" w:styleId="1203">
    <w:name w:val="Table Paragraph"/>
    <w:basedOn w:val="911"/>
    <w:next w:val="1203"/>
    <w:link w:val="815"/>
    <w:uiPriority w:val="1"/>
    <w:qFormat/>
    <w:rPr>
      <w:rFonts w:ascii="宋体" w:hAnsi="宋体" w:cs="宋体"/>
      <w:sz w:val="22"/>
      <w:lang w:val="zh-CN" w:bidi="zh-CN"/>
    </w:rPr>
  </w:style>
  <w:style w:type="paragraph" w:styleId="1204">
    <w:name w:val="Normal_19_2"/>
    <w:basedOn w:val="1205"/>
    <w:next w:val="1204"/>
    <w:link w:val="815"/>
    <w:qFormat/>
    <w:rPr>
      <w:rFonts w:ascii="Times New Roman" w:hAnsi="Times New Roman"/>
      <w:szCs w:val="21"/>
    </w:rPr>
  </w:style>
  <w:style w:type="paragraph" w:styleId="1205">
    <w:name w:val="正文_3_0"/>
    <w:next w:val="1093"/>
    <w:link w:val="815"/>
    <w:qFormat/>
    <w:pPr>
      <w:jc w:val="both"/>
      <w:widowControl w:val="off"/>
    </w:pPr>
    <w:rPr>
      <w:rFonts w:ascii="Calibri" w:hAnsi="Calibri"/>
      <w:sz w:val="21"/>
      <w:szCs w:val="22"/>
      <w:lang w:val="en-US" w:eastAsia="zh-CN" w:bidi="ar-SA"/>
    </w:rPr>
  </w:style>
  <w:style w:type="paragraph" w:styleId="1206">
    <w:name w:val="正文文本2"/>
    <w:basedOn w:val="954"/>
    <w:next w:val="1206"/>
    <w:link w:val="815"/>
    <w:qFormat/>
    <w:pPr>
      <w:spacing w:line="60" w:lineRule="auto"/>
    </w:pPr>
    <w:rPr>
      <w:rFonts w:ascii="仿宋_GB2312" w:eastAsia="仿宋_GB2312"/>
      <w:sz w:val="32"/>
      <w:szCs w:val="22"/>
    </w:rPr>
  </w:style>
  <w:style w:type="paragraph" w:styleId="1207">
    <w:name w:val="正文1_0"/>
    <w:basedOn w:val="1183"/>
    <w:next w:val="1207"/>
    <w:link w:val="815"/>
    <w:qFormat/>
    <w:pPr>
      <w:ind w:left="357" w:firstLine="420"/>
      <w:jc w:val="left"/>
      <w:spacing w:line="360" w:lineRule="auto"/>
      <w:widowControl/>
    </w:pPr>
    <w:rPr>
      <w:rFonts w:cs="Arial"/>
      <w:szCs w:val="20"/>
    </w:rPr>
  </w:style>
  <w:style w:type="paragraph" w:styleId="1208">
    <w:name w:val="Normal_19_2_0"/>
    <w:basedOn w:val="1209"/>
    <w:next w:val="1208"/>
    <w:link w:val="815"/>
    <w:qFormat/>
    <w:rPr>
      <w:rFonts w:ascii="Times New Roman" w:hAnsi="Times New Roman"/>
      <w:szCs w:val="21"/>
    </w:rPr>
  </w:style>
  <w:style w:type="paragraph" w:styleId="1209">
    <w:name w:val="正文_3_1"/>
    <w:next w:val="1209"/>
    <w:link w:val="815"/>
    <w:qFormat/>
    <w:pPr>
      <w:jc w:val="both"/>
      <w:widowControl w:val="off"/>
    </w:pPr>
    <w:rPr>
      <w:rFonts w:ascii="Calibri" w:hAnsi="Calibri"/>
      <w:sz w:val="21"/>
      <w:szCs w:val="22"/>
      <w:lang w:val="en-US" w:eastAsia="zh-CN" w:bidi="ar-SA"/>
    </w:rPr>
  </w:style>
  <w:style w:type="paragraph" w:styleId="1210">
    <w:name w:val="正文缩进1"/>
    <w:basedOn w:val="815"/>
    <w:next w:val="1210"/>
    <w:link w:val="815"/>
    <w:qFormat/>
    <w:pPr>
      <w:ind w:firstLine="420"/>
      <w:jc w:val="left"/>
    </w:pPr>
    <w:rPr>
      <w:rFonts w:ascii="宋体" w:hAnsi="Calibri" w:eastAsia="宋体" w:cs="Times New Roman"/>
      <w:sz w:val="24"/>
    </w:rPr>
  </w:style>
  <w:style w:type="paragraph" w:styleId="1211">
    <w:name w:val="纯文本1"/>
    <w:basedOn w:val="955"/>
    <w:next w:val="1211"/>
    <w:link w:val="815"/>
    <w:qFormat/>
    <w:rPr>
      <w:rFonts w:ascii="宋体" w:hAnsi="Courier New" w:eastAsia="宋体" w:cs="Times New Roman"/>
    </w:rPr>
  </w:style>
  <w:style w:type="paragraph" w:styleId="1212">
    <w:name w:val="Normal_21_0"/>
    <w:next w:val="1213"/>
    <w:link w:val="815"/>
    <w:qFormat/>
    <w:pPr>
      <w:jc w:val="both"/>
      <w:widowControl w:val="off"/>
    </w:pPr>
    <w:rPr>
      <w:sz w:val="21"/>
      <w:szCs w:val="24"/>
      <w:lang w:val="en-US" w:eastAsia="zh-CN" w:bidi="ar-SA"/>
    </w:rPr>
  </w:style>
  <w:style w:type="paragraph" w:styleId="1213">
    <w:name w:val="Heading 1_0"/>
    <w:basedOn w:val="1212"/>
    <w:next w:val="1212"/>
    <w:link w:val="815"/>
    <w:qFormat/>
    <w:pPr>
      <w:jc w:val="center"/>
      <w:keepLines/>
      <w:keepNext/>
      <w:spacing w:before="240" w:after="120" w:line="300" w:lineRule="auto"/>
      <w:outlineLvl w:val="0"/>
    </w:pPr>
    <w:rPr>
      <w:rFonts w:ascii="宋体"/>
      <w:b/>
      <w:sz w:val="32"/>
      <w:szCs w:val="20"/>
    </w:rPr>
  </w:style>
  <w:style w:type="paragraph" w:styleId="1214">
    <w:name w:val="正文_12_0_0_0_0"/>
    <w:next w:val="1214"/>
    <w:link w:val="815"/>
    <w:qFormat/>
    <w:pPr>
      <w:jc w:val="both"/>
      <w:widowControl w:val="off"/>
    </w:pPr>
    <w:rPr>
      <w:sz w:val="21"/>
      <w:szCs w:val="24"/>
      <w:lang w:val="en-US" w:eastAsia="zh-CN" w:bidi="ar-SA"/>
    </w:rPr>
  </w:style>
  <w:style w:type="character" w:styleId="1215">
    <w:name w:val="正文文本 字符"/>
    <w:next w:val="1215"/>
    <w:link w:val="815"/>
    <w:qFormat/>
    <w:rPr>
      <w:rFonts w:ascii="楷体_GB2312" w:hAnsi="Arial" w:eastAsia="楷体_GB2312" w:cs="Times New Roman"/>
      <w:sz w:val="28"/>
      <w:szCs w:val="28"/>
    </w:rPr>
  </w:style>
  <w:style w:type="character" w:styleId="1216">
    <w:name w:val="正文文本缩进 字符"/>
    <w:next w:val="1216"/>
    <w:link w:val="815"/>
    <w:qFormat/>
    <w:rPr>
      <w:rFonts w:ascii="楷体_GB2312" w:hAnsi="Times New Roman" w:eastAsia="楷体_GB2312" w:cs="Times New Roman"/>
      <w:sz w:val="32"/>
      <w:szCs w:val="32"/>
    </w:rPr>
  </w:style>
  <w:style w:type="character" w:styleId="1217">
    <w:name w:val="正文文本 字符1"/>
    <w:next w:val="1217"/>
    <w:link w:val="815"/>
    <w:qFormat/>
    <w:rPr>
      <w:rFonts w:ascii="Calibri" w:hAnsi="Calibri"/>
      <w:sz w:val="28"/>
      <w:szCs w:val="24"/>
    </w:rPr>
  </w:style>
  <w:style w:type="character" w:styleId="1218">
    <w:name w:val="正文文本首行缩进 字符"/>
    <w:next w:val="1218"/>
    <w:link w:val="815"/>
    <w:qFormat/>
    <w:rPr>
      <w:rFonts w:ascii="仿宋_GB2312" w:hAnsi="Calibri" w:eastAsia="仿宋_GB2312"/>
      <w:sz w:val="30"/>
      <w:szCs w:val="30"/>
    </w:rPr>
  </w:style>
  <w:style w:type="paragraph" w:styleId="1219">
    <w:name w:val="索引 41"/>
    <w:basedOn w:val="815"/>
    <w:next w:val="815"/>
    <w:link w:val="815"/>
    <w:semiHidden/>
    <w:qFormat/>
    <w:pPr>
      <w:ind w:left="1260"/>
    </w:pPr>
    <w:rPr>
      <w:rFonts w:eastAsia="Calibri" w:cs="宋体"/>
      <w:sz w:val="20"/>
      <w:szCs w:val="21"/>
      <w:lang w:val="zh-CN"/>
    </w:rPr>
  </w:style>
  <w:style w:type="character" w:styleId="1220">
    <w:name w:val="font5 Char"/>
    <w:next w:val="1220"/>
    <w:link w:val="815"/>
    <w:qFormat/>
    <w:rPr>
      <w:rFonts w:ascii="宋体" w:hAnsi="宋体" w:eastAsia="宋体"/>
      <w:sz w:val="28"/>
      <w:szCs w:val="28"/>
      <w:lang w:val="en-US" w:eastAsia="zh-CN" w:bidi="ar-SA"/>
    </w:rPr>
  </w:style>
  <w:style w:type="character" w:styleId="1221">
    <w:name w:val="二级目录 Char"/>
    <w:next w:val="1221"/>
    <w:link w:val="1222"/>
    <w:qFormat/>
    <w:rPr>
      <w:b/>
      <w:sz w:val="30"/>
      <w:szCs w:val="28"/>
    </w:rPr>
  </w:style>
  <w:style w:type="paragraph" w:styleId="1222">
    <w:name w:val="二级目录"/>
    <w:next w:val="815"/>
    <w:link w:val="1221"/>
    <w:qFormat/>
    <w:pPr>
      <w:numPr>
        <w:ilvl w:val="0"/>
        <w:numId w:val="1"/>
      </w:numPr>
      <w:tabs>
        <w:tab w:val="left" w:pos="907" w:leader="none"/>
        <w:tab w:val="left" w:pos="1145" w:leader="none"/>
      </w:tabs>
      <w:outlineLvl w:val="1"/>
    </w:pPr>
    <w:rPr>
      <w:b/>
      <w:sz w:val="30"/>
      <w:szCs w:val="28"/>
      <w:lang w:val="en-US" w:eastAsia="zh-CN" w:bidi="ar-SA"/>
    </w:rPr>
  </w:style>
  <w:style w:type="character" w:styleId="1223">
    <w:name w:val="列出段落 Char"/>
    <w:next w:val="1223"/>
    <w:link w:val="1224"/>
    <w:qFormat/>
    <w:rPr>
      <w:rFonts w:ascii="Calibri" w:hAnsi="Calibri"/>
      <w:sz w:val="24"/>
      <w:szCs w:val="24"/>
      <w:lang w:eastAsia="en-US" w:bidi="en-US"/>
    </w:rPr>
  </w:style>
  <w:style w:type="paragraph" w:styleId="1224">
    <w:name w:val="列出段落1"/>
    <w:basedOn w:val="815"/>
    <w:next w:val="1224"/>
    <w:link w:val="1223"/>
    <w:qFormat/>
    <w:pPr>
      <w:contextualSpacing/>
      <w:ind w:left="720"/>
      <w:jc w:val="left"/>
      <w:widowControl/>
    </w:pPr>
    <w:rPr>
      <w:sz w:val="24"/>
      <w:szCs w:val="24"/>
      <w:lang w:eastAsia="en-US" w:bidi="en-US"/>
    </w:rPr>
  </w:style>
  <w:style w:type="paragraph" w:styleId="1225">
    <w:name w:val="Body Text(ch)"/>
    <w:basedOn w:val="815"/>
    <w:next w:val="1225"/>
    <w:link w:val="815"/>
    <w:qFormat/>
    <w:pPr>
      <w:spacing w:after="120"/>
    </w:pPr>
    <w:rPr>
      <w:rFonts w:ascii="宋体" w:hAnsi="Arial"/>
      <w:bCs/>
      <w:iCs/>
      <w:szCs w:val="24"/>
    </w:rPr>
  </w:style>
  <w:style w:type="paragraph" w:styleId="1226">
    <w:name w:val="xl27"/>
    <w:basedOn w:val="815"/>
    <w:next w:val="1226"/>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7">
    <w:name w:val="xl26"/>
    <w:basedOn w:val="815"/>
    <w:next w:val="1227"/>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8">
    <w:name w:val="Char"/>
    <w:basedOn w:val="815"/>
    <w:next w:val="1228"/>
    <w:link w:val="815"/>
    <w:qFormat/>
    <w:pPr>
      <w:ind w:firstLine="200"/>
      <w:tabs>
        <w:tab w:val="left" w:pos="360" w:leader="none"/>
      </w:tabs>
    </w:pPr>
    <w:rPr>
      <w:rFonts w:ascii="Times New Roman" w:hAnsi="Times New Roman"/>
      <w:sz w:val="28"/>
      <w:szCs w:val="30"/>
    </w:rPr>
  </w:style>
  <w:style w:type="paragraph" w:styleId="1229">
    <w:name w:val="Char1"/>
    <w:basedOn w:val="847"/>
    <w:next w:val="1229"/>
    <w:link w:val="815"/>
    <w:qFormat/>
    <w:rPr>
      <w:rFonts w:ascii="Tahoma" w:hAnsi="Tahoma"/>
      <w:sz w:val="24"/>
      <w:szCs w:val="24"/>
    </w:rPr>
  </w:style>
  <w:style w:type="paragraph" w:styleId="1230">
    <w:name w:val="table_lines"/>
    <w:basedOn w:val="815"/>
    <w:next w:val="1230"/>
    <w:link w:val="815"/>
    <w:qFormat/>
    <w:pPr>
      <w:jc w:val="left"/>
      <w:widowControl/>
    </w:pPr>
    <w:rPr>
      <w:rFonts w:ascii="Times New Roman" w:hAnsi="Times New Roman"/>
      <w:sz w:val="20"/>
      <w:szCs w:val="20"/>
      <w:lang w:val="de-DE" w:eastAsia="de-DE"/>
    </w:rPr>
  </w:style>
  <w:style w:type="paragraph" w:styleId="1231">
    <w:name w:val="附录1"/>
    <w:next w:val="1231"/>
    <w:link w:val="815"/>
    <w:qFormat/>
    <w:pPr>
      <w:spacing w:before="240" w:line="600" w:lineRule="atLeast"/>
      <w:tabs>
        <w:tab w:val="left" w:pos="907" w:leader="none"/>
      </w:tabs>
    </w:pPr>
    <w:rPr>
      <w:b/>
      <w:i/>
      <w:sz w:val="28"/>
      <w:lang w:val="en-US" w:eastAsia="zh-CN" w:bidi="ar-SA"/>
    </w:rPr>
  </w:style>
  <w:style w:type="paragraph" w:styleId="1232">
    <w:name w:val="font7"/>
    <w:basedOn w:val="815"/>
    <w:next w:val="1232"/>
    <w:link w:val="815"/>
    <w:qFormat/>
    <w:pPr>
      <w:jc w:val="left"/>
      <w:spacing w:before="100" w:beforeAutospacing="1" w:after="100" w:afterAutospacing="1"/>
      <w:widowControl/>
    </w:pPr>
    <w:rPr>
      <w:rFonts w:hint="eastAsia" w:ascii="宋体" w:hAnsi="宋体"/>
      <w:sz w:val="18"/>
      <w:szCs w:val="18"/>
    </w:rPr>
  </w:style>
  <w:style w:type="paragraph" w:styleId="1233">
    <w:name w:val="Char Char Char Char"/>
    <w:basedOn w:val="847"/>
    <w:next w:val="1233"/>
    <w:link w:val="815"/>
    <w:qFormat/>
    <w:pPr>
      <w:spacing w:line="360" w:lineRule="auto"/>
    </w:pPr>
    <w:rPr>
      <w:rFonts w:ascii="Tahoma" w:hAnsi="Tahoma"/>
      <w:sz w:val="24"/>
      <w:szCs w:val="24"/>
    </w:rPr>
  </w:style>
  <w:style w:type="paragraph" w:styleId="1234">
    <w:name w:val="4"/>
    <w:basedOn w:val="815"/>
    <w:next w:val="882"/>
    <w:link w:val="815"/>
    <w:qFormat/>
    <w:pPr>
      <w:ind w:firstLine="420"/>
      <w:spacing w:line="360" w:lineRule="auto"/>
    </w:pPr>
    <w:rPr>
      <w:rFonts w:ascii="Times New Roman" w:hAnsi="Times New Roman"/>
      <w:color w:val="ff0000"/>
      <w:sz w:val="24"/>
      <w:szCs w:val="24"/>
    </w:rPr>
  </w:style>
  <w:style w:type="paragraph" w:styleId="1235">
    <w:name w:val="普通 (Web)"/>
    <w:basedOn w:val="815"/>
    <w:next w:val="1235"/>
    <w:link w:val="815"/>
    <w:qFormat/>
    <w:pPr>
      <w:jc w:val="left"/>
      <w:spacing w:before="100" w:beforeAutospacing="1" w:after="100" w:afterAutospacing="1"/>
      <w:widowControl/>
    </w:pPr>
    <w:rPr>
      <w:rFonts w:ascii="宋体" w:hAnsi="宋体"/>
      <w:sz w:val="24"/>
      <w:szCs w:val="24"/>
    </w:rPr>
  </w:style>
  <w:style w:type="paragraph" w:styleId="1236">
    <w:name w:val="Char Char Char Char Char Char Char Char Char Char"/>
    <w:basedOn w:val="815"/>
    <w:next w:val="1236"/>
    <w:link w:val="815"/>
    <w:qFormat/>
    <w:pPr>
      <w:spacing w:line="360" w:lineRule="auto"/>
    </w:pPr>
    <w:rPr>
      <w:rFonts w:ascii="Times New Roman" w:hAnsi="Times New Roman"/>
      <w:sz w:val="24"/>
      <w:szCs w:val="20"/>
    </w:rPr>
  </w:style>
  <w:style w:type="paragraph" w:styleId="1237">
    <w:name w:val="样式1"/>
    <w:basedOn w:val="815"/>
    <w:next w:val="1237"/>
    <w:link w:val="815"/>
    <w:qFormat/>
    <w:pPr>
      <w:numPr>
        <w:ilvl w:val="0"/>
        <w:numId w:val="2"/>
      </w:numPr>
      <w:tabs>
        <w:tab w:val="left" w:pos="709" w:leader="none"/>
      </w:tabs>
    </w:pPr>
    <w:rPr>
      <w:rFonts w:ascii="宋体" w:hAnsi="宋体"/>
      <w:szCs w:val="21"/>
    </w:rPr>
  </w:style>
  <w:style w:type="paragraph" w:styleId="1238">
    <w:name w:val="font6"/>
    <w:basedOn w:val="815"/>
    <w:next w:val="1238"/>
    <w:link w:val="815"/>
    <w:qFormat/>
    <w:pPr>
      <w:jc w:val="left"/>
      <w:spacing w:before="100" w:beforeAutospacing="1" w:after="100" w:afterAutospacing="1"/>
      <w:widowControl/>
    </w:pPr>
    <w:rPr>
      <w:rFonts w:hint="eastAsia" w:ascii="宋体" w:hAnsi="宋体"/>
      <w:sz w:val="28"/>
      <w:szCs w:val="28"/>
      <w:u w:val="single"/>
    </w:rPr>
  </w:style>
  <w:style w:type="paragraph" w:styleId="1239">
    <w:name w:val="xl25"/>
    <w:basedOn w:val="815"/>
    <w:next w:val="1239"/>
    <w:link w:val="81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0">
    <w:name w:val="图标"/>
    <w:basedOn w:val="815"/>
    <w:next w:val="815"/>
    <w:link w:val="81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1">
    <w:name w:val="标题3"/>
    <w:basedOn w:val="815"/>
    <w:next w:val="815"/>
    <w:link w:val="815"/>
    <w:qFormat/>
    <w:pPr>
      <w:ind w:firstLine="624"/>
      <w:spacing w:line="590" w:lineRule="atLeast"/>
    </w:pPr>
    <w:rPr>
      <w:rFonts w:ascii="方正黑体_GBK" w:hAnsi="Times New Roman" w:eastAsia="方正黑体_GBK"/>
      <w:sz w:val="32"/>
      <w:szCs w:val="32"/>
    </w:rPr>
  </w:style>
  <w:style w:type="paragraph" w:styleId="1242">
    <w:name w:val="xl24"/>
    <w:basedOn w:val="815"/>
    <w:next w:val="1242"/>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3">
    <w:name w:val="xl29"/>
    <w:basedOn w:val="815"/>
    <w:next w:val="1243"/>
    <w:link w:val="81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4">
    <w:name w:val="Char Char Char Char Char Char Char Char"/>
    <w:basedOn w:val="815"/>
    <w:next w:val="1244"/>
    <w:link w:val="815"/>
    <w:qFormat/>
    <w:pPr>
      <w:jc w:val="left"/>
      <w:spacing w:after="160" w:line="240" w:lineRule="exact"/>
      <w:widowControl/>
    </w:pPr>
    <w:rPr>
      <w:rFonts w:ascii="Verdana" w:hAnsi="Verdana"/>
      <w:sz w:val="20"/>
      <w:szCs w:val="20"/>
      <w:lang w:eastAsia="en-US"/>
    </w:rPr>
  </w:style>
  <w:style w:type="paragraph" w:styleId="1245">
    <w:name w:val="xl28"/>
    <w:basedOn w:val="815"/>
    <w:next w:val="1245"/>
    <w:link w:val="81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6">
    <w:name w:val="Char Char Char Char Char Char Char Char1"/>
    <w:basedOn w:val="815"/>
    <w:next w:val="1246"/>
    <w:link w:val="815"/>
    <w:qFormat/>
    <w:pPr>
      <w:jc w:val="left"/>
      <w:spacing w:after="160" w:line="240" w:lineRule="exact"/>
      <w:widowControl/>
    </w:pPr>
    <w:rPr>
      <w:rFonts w:ascii="Verdana" w:hAnsi="Verdana"/>
      <w:sz w:val="20"/>
      <w:szCs w:val="20"/>
      <w:lang w:eastAsia="en-US"/>
    </w:rPr>
  </w:style>
  <w:style w:type="paragraph" w:styleId="1247">
    <w:name w:val="xl30"/>
    <w:basedOn w:val="815"/>
    <w:next w:val="1247"/>
    <w:link w:val="815"/>
    <w:qFormat/>
    <w:pPr>
      <w:jc w:val="center"/>
      <w:spacing w:before="100" w:beforeAutospacing="1" w:after="100" w:afterAutospacing="1"/>
      <w:widowControl/>
    </w:pPr>
    <w:rPr>
      <w:rFonts w:ascii="宋体" w:hAnsi="宋体"/>
      <w:b/>
      <w:bCs/>
      <w:sz w:val="36"/>
      <w:szCs w:val="36"/>
    </w:rPr>
  </w:style>
  <w:style w:type="paragraph" w:styleId="1248">
    <w:name w:val="Char Char Char Char1"/>
    <w:basedOn w:val="847"/>
    <w:next w:val="1248"/>
    <w:link w:val="815"/>
    <w:qFormat/>
    <w:pPr>
      <w:spacing w:line="360" w:lineRule="auto"/>
    </w:pPr>
    <w:rPr>
      <w:rFonts w:ascii="Tahoma" w:hAnsi="Tahoma"/>
      <w:sz w:val="24"/>
      <w:szCs w:val="24"/>
    </w:rPr>
  </w:style>
  <w:style w:type="paragraph" w:styleId="1249">
    <w:name w:val="table_1stline"/>
    <w:basedOn w:val="815"/>
    <w:next w:val="1249"/>
    <w:link w:val="815"/>
    <w:qFormat/>
    <w:pPr>
      <w:jc w:val="left"/>
      <w:spacing w:before="120"/>
      <w:widowControl/>
    </w:pPr>
    <w:rPr>
      <w:rFonts w:ascii="Times New Roman" w:hAnsi="Times New Roman"/>
      <w:bCs/>
      <w:sz w:val="20"/>
      <w:szCs w:val="20"/>
      <w:lang w:val="de-DE" w:eastAsia="de-DE"/>
    </w:rPr>
  </w:style>
  <w:style w:type="paragraph" w:styleId="1250">
    <w:name w:val="font5"/>
    <w:basedOn w:val="815"/>
    <w:next w:val="1250"/>
    <w:link w:val="815"/>
    <w:qFormat/>
    <w:pPr>
      <w:jc w:val="left"/>
      <w:spacing w:before="100" w:beforeAutospacing="1" w:after="100" w:afterAutospacing="1"/>
      <w:widowControl/>
    </w:pPr>
    <w:rPr>
      <w:rFonts w:hint="eastAsia" w:ascii="宋体" w:hAnsi="宋体"/>
      <w:sz w:val="28"/>
      <w:szCs w:val="28"/>
    </w:rPr>
  </w:style>
  <w:style w:type="paragraph" w:styleId="1251">
    <w:name w:val="标题1"/>
    <w:basedOn w:val="815"/>
    <w:next w:val="815"/>
    <w:link w:val="81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2">
    <w:name w:val="修订1"/>
    <w:next w:val="1252"/>
    <w:link w:val="815"/>
    <w:uiPriority w:val="99"/>
    <w:semiHidden/>
    <w:qFormat/>
    <w:rPr>
      <w:sz w:val="21"/>
      <w:szCs w:val="21"/>
      <w:lang w:val="en-US" w:eastAsia="zh-CN" w:bidi="ar-SA"/>
    </w:rPr>
  </w:style>
  <w:style w:type="table" w:styleId="1253">
    <w:name w:val="Table Normal"/>
    <w:next w:val="1253"/>
    <w:link w:val="815"/>
    <w:qFormat/>
    <w:rPr>
      <w:lang w:val="en-US" w:eastAsia="zh-CN" w:bidi="ar-SA"/>
    </w:rPr>
    <w:tblPr/>
  </w:style>
  <w:style w:type="paragraph" w:styleId="1254">
    <w:name w:val="正文文本12"/>
    <w:basedOn w:val="815"/>
    <w:next w:val="1254"/>
    <w:link w:val="815"/>
    <w:uiPriority w:val="1"/>
    <w:qFormat/>
    <w:pPr>
      <w:ind w:left="120"/>
    </w:pPr>
    <w:rPr>
      <w:rFonts w:ascii="宋体" w:hAnsi="宋体" w:cs="宋体"/>
      <w:szCs w:val="21"/>
      <w:lang w:val="zh-CN" w:bidi="zh-CN"/>
    </w:rPr>
  </w:style>
  <w:style w:type="paragraph" w:styleId="1255">
    <w:name w:val="首行缩进"/>
    <w:basedOn w:val="815"/>
    <w:next w:val="1255"/>
    <w:link w:val="815"/>
    <w:qFormat/>
    <w:pPr>
      <w:ind w:firstLine="480"/>
    </w:pPr>
    <w:rPr>
      <w:rFonts w:ascii="Times New Roman" w:hAnsi="Times New Roman"/>
      <w:szCs w:val="21"/>
      <w:lang w:val="zh-CN"/>
    </w:rPr>
  </w:style>
  <w:style w:type="paragraph" w:styleId="1256">
    <w:name w:val="部分1"/>
    <w:basedOn w:val="815"/>
    <w:next w:val="1256"/>
    <w:link w:val="81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7">
    <w:name w:val="15"/>
    <w:next w:val="1257"/>
    <w:link w:val="815"/>
    <w:qFormat/>
    <w:rPr>
      <w:rFonts w:ascii="Times New Roman" w:hAnsi="Times New Roman" w:cs="Times New Roman"/>
    </w:rPr>
  </w:style>
  <w:style w:type="paragraph" w:styleId="1258">
    <w:name w:val="正文文本缩进 2_0"/>
    <w:basedOn w:val="1094"/>
    <w:next w:val="1258"/>
    <w:link w:val="815"/>
    <w:qFormat/>
    <w:pPr>
      <w:ind w:firstLine="720"/>
      <w:jc w:val="left"/>
      <w:spacing w:line="540" w:lineRule="exact"/>
    </w:pPr>
    <w:rPr>
      <w:rFonts w:ascii="仿宋_GB2312" w:hAnsi="仿宋_GB2312" w:cs="宋体"/>
      <w:sz w:val="32"/>
      <w:szCs w:val="32"/>
    </w:rPr>
  </w:style>
  <w:style w:type="character" w:styleId="1259">
    <w:name w:val="10"/>
    <w:next w:val="1259"/>
    <w:link w:val="815"/>
    <w:qFormat/>
    <w:rPr>
      <w:rFonts w:ascii="Times New Roman" w:hAnsi="Times New Roman" w:cs="Times New Roman"/>
    </w:rPr>
  </w:style>
  <w:style w:type="paragraph" w:styleId="1260">
    <w:name w:val="正文_16_1"/>
    <w:basedOn w:val="815"/>
    <w:next w:val="1260"/>
    <w:link w:val="815"/>
    <w:qFormat/>
    <w:rPr>
      <w:rFonts w:ascii="Times New Roman" w:hAnsi="Times New Roman"/>
      <w:szCs w:val="21"/>
    </w:rPr>
  </w:style>
  <w:style w:type="paragraph" w:styleId="1261">
    <w:name w:val="页脚1"/>
    <w:basedOn w:val="815"/>
    <w:next w:val="1261"/>
    <w:link w:val="815"/>
    <w:qFormat/>
    <w:pPr>
      <w:jc w:val="left"/>
      <w:tabs>
        <w:tab w:val="center" w:pos="4153" w:leader="none"/>
        <w:tab w:val="right" w:pos="8306" w:leader="none"/>
      </w:tabs>
    </w:pPr>
    <w:rPr>
      <w:sz w:val="18"/>
      <w:szCs w:val="18"/>
    </w:rPr>
  </w:style>
  <w:style w:type="character" w:styleId="1262">
    <w:name w:val="页码1"/>
    <w:next w:val="1262"/>
    <w:link w:val="815"/>
    <w:qFormat/>
  </w:style>
  <w:style w:type="paragraph" w:styleId="1263">
    <w:name w:val="*正文"/>
    <w:basedOn w:val="830"/>
    <w:next w:val="1263"/>
    <w:link w:val="815"/>
    <w:qFormat/>
    <w:pPr>
      <w:ind w:firstLine="200"/>
    </w:pPr>
    <w:rPr>
      <w:rFonts w:ascii="宋体" w:hAnsi="宋体"/>
      <w:color w:val="000000"/>
      <w:sz w:val="24"/>
      <w:szCs w:val="24"/>
    </w:rPr>
  </w:style>
  <w:style w:type="paragraph" w:styleId="1264">
    <w:name w:val="*正文_0"/>
    <w:basedOn w:val="1265"/>
    <w:next w:val="1264"/>
    <w:link w:val="815"/>
    <w:qFormat/>
    <w:pPr>
      <w:ind w:firstLine="200"/>
      <w:spacing w:line="360" w:lineRule="auto"/>
    </w:pPr>
    <w:rPr>
      <w:rFonts w:ascii="宋体" w:hAnsi="宋体" w:eastAsia="Arial" w:cs="Arial"/>
      <w:color w:val="000000"/>
      <w:sz w:val="24"/>
    </w:rPr>
  </w:style>
  <w:style w:type="paragraph" w:styleId="1265">
    <w:name w:val="正文缩进_2"/>
    <w:basedOn w:val="1117"/>
    <w:next w:val="1265"/>
    <w:link w:val="815"/>
    <w:unhideWhenUsed/>
    <w:qFormat/>
    <w:pPr>
      <w:ind w:firstLine="420"/>
      <w:jc w:val="left"/>
      <w:widowControl/>
    </w:pPr>
    <w:rPr>
      <w:rFonts w:ascii="Times New Roman" w:hAnsi="Times New Roman"/>
      <w:sz w:val="20"/>
      <w:szCs w:val="24"/>
    </w:rPr>
  </w:style>
  <w:style w:type="paragraph" w:styleId="1266">
    <w:name w:val="*正文_0_0"/>
    <w:basedOn w:val="1117"/>
    <w:next w:val="1266"/>
    <w:link w:val="815"/>
    <w:qFormat/>
    <w:pPr>
      <w:ind w:firstLine="200"/>
      <w:jc w:val="left"/>
      <w:spacing w:line="360" w:lineRule="auto"/>
      <w:widowControl/>
    </w:pPr>
    <w:rPr>
      <w:rFonts w:ascii="宋体" w:hAnsi="宋体" w:eastAsia="Arial" w:cs="Arial"/>
      <w:color w:val="000000"/>
      <w:sz w:val="24"/>
      <w:szCs w:val="24"/>
    </w:rPr>
  </w:style>
  <w:style w:type="paragraph" w:styleId="1267">
    <w:name w:val="无间隔1_0_0"/>
    <w:basedOn w:val="1117"/>
    <w:next w:val="1267"/>
    <w:link w:val="815"/>
    <w:qFormat/>
    <w:rPr>
      <w:rFonts w:ascii="Times New Roman" w:hAnsi="Times New Roman"/>
      <w:szCs w:val="21"/>
    </w:rPr>
  </w:style>
  <w:style w:type="paragraph" w:styleId="1268">
    <w:name w:val="正文_0_2"/>
    <w:next w:val="1268"/>
    <w:link w:val="815"/>
    <w:qFormat/>
    <w:pPr>
      <w:jc w:val="both"/>
      <w:widowControl w:val="off"/>
    </w:pPr>
    <w:rPr>
      <w:szCs w:val="24"/>
      <w:lang w:val="en-US" w:eastAsia="zh-CN" w:bidi="ar-SA"/>
    </w:rPr>
  </w:style>
  <w:style w:type="paragraph" w:styleId="1269">
    <w:name w:val="标题 4_0"/>
    <w:basedOn w:val="1270"/>
    <w:next w:val="1270"/>
    <w:link w:val="815"/>
    <w:uiPriority w:val="9"/>
    <w:unhideWhenUsed/>
    <w:qFormat/>
    <w:pPr>
      <w:keepLines/>
      <w:keepNext/>
      <w:spacing w:before="280" w:after="290" w:line="372" w:lineRule="auto"/>
      <w:outlineLvl w:val="3"/>
    </w:pPr>
    <w:rPr>
      <w:rFonts w:ascii="Arial" w:hAnsi="Arial" w:eastAsia="黑体"/>
      <w:b/>
      <w:sz w:val="28"/>
    </w:rPr>
  </w:style>
  <w:style w:type="paragraph" w:styleId="1270">
    <w:name w:val="正文4"/>
    <w:next w:val="1270"/>
    <w:link w:val="815"/>
    <w:qFormat/>
    <w:pPr>
      <w:jc w:val="both"/>
      <w:widowControl w:val="off"/>
    </w:pPr>
    <w:rPr>
      <w:rFonts w:ascii="Calibri" w:hAnsi="Calibri"/>
      <w:lang w:val="en-US" w:eastAsia="zh-CN" w:bidi="ar-SA"/>
    </w:rPr>
  </w:style>
  <w:style w:type="paragraph" w:styleId="1271">
    <w:name w:val="正文_3_0_0"/>
    <w:next w:val="1271"/>
    <w:link w:val="815"/>
    <w:qFormat/>
    <w:pPr>
      <w:jc w:val="both"/>
      <w:widowControl w:val="off"/>
    </w:pPr>
    <w:rPr>
      <w:lang w:val="en-US" w:eastAsia="zh-CN" w:bidi="ar-SA"/>
    </w:rPr>
  </w:style>
  <w:style w:type="paragraph" w:styleId="1272">
    <w:name w:val="p17_0_0"/>
    <w:basedOn w:val="1160"/>
    <w:next w:val="1272"/>
    <w:link w:val="815"/>
    <w:qFormat/>
    <w:pPr>
      <w:jc w:val="left"/>
      <w:spacing w:before="100" w:beforeAutospacing="1" w:after="100" w:afterAutospacing="1"/>
      <w:widowControl/>
    </w:pPr>
    <w:rPr>
      <w:rFonts w:ascii="宋体" w:hAnsi="宋体" w:eastAsia="Times New Roman" w:cs="宋体"/>
      <w:sz w:val="24"/>
      <w:szCs w:val="24"/>
    </w:rPr>
  </w:style>
  <w:style w:type="paragraph" w:styleId="1273">
    <w:name w:val="p17_0"/>
    <w:basedOn w:val="834"/>
    <w:next w:val="1273"/>
    <w:link w:val="815"/>
    <w:qFormat/>
    <w:pPr>
      <w:jc w:val="left"/>
      <w:spacing w:before="100" w:beforeAutospacing="1" w:after="100" w:afterAutospacing="1"/>
      <w:widowControl/>
    </w:pPr>
    <w:rPr>
      <w:rFonts w:ascii="宋体" w:hAnsi="宋体" w:eastAsia="Times New Roman" w:cs="宋体"/>
      <w:sz w:val="24"/>
      <w:szCs w:val="24"/>
    </w:rPr>
  </w:style>
  <w:style w:type="paragraph" w:styleId="1274">
    <w:name w:val="普通(网站)11"/>
    <w:basedOn w:val="815"/>
    <w:next w:val="1274"/>
    <w:link w:val="815"/>
    <w:uiPriority w:val="99"/>
    <w:qFormat/>
    <w:rPr>
      <w:sz w:val="24"/>
    </w:rPr>
  </w:style>
  <w:style w:type="paragraph" w:styleId="1275">
    <w:name w:val="AONormal"/>
    <w:next w:val="1275"/>
    <w:link w:val="815"/>
    <w:qFormat/>
    <w:pPr>
      <w:ind w:firstLine="440"/>
      <w:spacing w:line="400" w:lineRule="exact"/>
    </w:pPr>
    <w:rPr>
      <w:rFonts w:ascii="华文楷体" w:hAnsi="华文楷体" w:eastAsia="华文楷体" w:cs="华文楷体"/>
      <w:sz w:val="22"/>
      <w:szCs w:val="21"/>
      <w:lang w:val="en-US" w:eastAsia="zh-CN" w:bidi="ar-SA"/>
    </w:rPr>
  </w:style>
  <w:style w:type="paragraph" w:styleId="1276">
    <w:name w:val="Table Text"/>
    <w:basedOn w:val="815"/>
    <w:next w:val="1276"/>
    <w:link w:val="815"/>
    <w:semiHidden/>
    <w:qFormat/>
    <w:rPr>
      <w:rFonts w:ascii="宋体" w:hAnsi="宋体" w:eastAsia="宋体" w:cs="宋体"/>
      <w:sz w:val="19"/>
      <w:szCs w:val="19"/>
      <w:lang w:eastAsia="en-US"/>
    </w:r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25</cp:revision>
  <dcterms:created xsi:type="dcterms:W3CDTF">2023-07-23T13:07:00Z</dcterms:created>
  <dcterms:modified xsi:type="dcterms:W3CDTF">2026-08-26T08:26:57Z</dcterms:modified>
  <cp:version>1048576</cp:version>
</cp:coreProperties>
</file>