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5D0356">
      <w:pPr>
        <w:jc w:val="center"/>
        <w:rPr>
          <w:rFonts w:ascii="黑体" w:hAnsi="黑体" w:eastAsia="黑体" w:cs="黑体"/>
          <w:color w:val="auto"/>
          <w:sz w:val="44"/>
          <w:szCs w:val="44"/>
          <w:highlight w:val="none"/>
        </w:rPr>
      </w:pPr>
      <w:r>
        <w:rPr>
          <w:rFonts w:hint="eastAsia" w:ascii="黑体" w:hAnsi="黑体" w:eastAsia="黑体" w:cs="黑体"/>
          <w:color w:val="auto"/>
          <w:sz w:val="44"/>
          <w:szCs w:val="44"/>
          <w:highlight w:val="none"/>
        </w:rPr>
        <w:t>陆家镇环境卫生作业考评管理办法</w:t>
      </w:r>
    </w:p>
    <w:p w14:paraId="692A1D00">
      <w:pPr>
        <w:spacing w:line="360" w:lineRule="auto"/>
        <w:rPr>
          <w:rFonts w:hint="eastAsia" w:ascii="宋体" w:hAnsi="宋体" w:cs="宋体"/>
          <w:b/>
          <w:bCs/>
          <w:color w:val="auto"/>
          <w:sz w:val="21"/>
          <w:szCs w:val="21"/>
          <w:highlight w:val="none"/>
        </w:rPr>
      </w:pPr>
    </w:p>
    <w:p w14:paraId="2F4799CE">
      <w:pPr>
        <w:spacing w:line="360" w:lineRule="auto"/>
        <w:rPr>
          <w:rFonts w:ascii="宋体" w:hAnsi="宋体" w:cs="宋体"/>
          <w:b/>
          <w:bCs/>
          <w:color w:val="auto"/>
          <w:sz w:val="21"/>
          <w:szCs w:val="21"/>
          <w:highlight w:val="none"/>
        </w:rPr>
      </w:pPr>
      <w:r>
        <w:rPr>
          <w:rFonts w:hint="eastAsia" w:ascii="宋体" w:hAnsi="宋体" w:cs="宋体"/>
          <w:b/>
          <w:bCs/>
          <w:color w:val="auto"/>
          <w:sz w:val="21"/>
          <w:szCs w:val="21"/>
          <w:highlight w:val="none"/>
        </w:rPr>
        <w:t xml:space="preserve">1、考评方式 </w:t>
      </w:r>
    </w:p>
    <w:p w14:paraId="107DB749">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按照公开、公平、公正的原则，注重实绩，体现规范性、合理性和导向性。</w:t>
      </w:r>
    </w:p>
    <w:p w14:paraId="44F5C6BD">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考核实行四级联考制度，由苏州级考核、昆山级考核、本级考核及社会监督考核组成。</w:t>
      </w:r>
    </w:p>
    <w:p w14:paraId="27A9A968">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苏州级考核:根据市级部门或领导反映核实后列入考核。</w:t>
      </w:r>
    </w:p>
    <w:p w14:paraId="381A0FD2">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昆山级考核：根据上级部门或领导反映核实后列入考核。</w:t>
      </w:r>
    </w:p>
    <w:p w14:paraId="1DE7961A">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本级考核:环卫口按照考核计划实施，主要是环卫作业质效、视频监控、城管环卫联动，主要实行随机抽查考核方式，但每一轮次抽查必须公平、公正原则，其余部分的考评根据每月上报的台账记录以及任务交办完成情况进行考评，评分根据考评管理办法执行。</w:t>
      </w:r>
    </w:p>
    <w:p w14:paraId="7DAA9B83">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社会监督考核:根据来电、来信、来访、便民服务平台进行考核。</w:t>
      </w:r>
    </w:p>
    <w:p w14:paraId="213D11FB">
      <w:pPr>
        <w:spacing w:line="360" w:lineRule="auto"/>
        <w:rPr>
          <w:rFonts w:ascii="宋体" w:hAnsi="宋体" w:cs="宋体"/>
          <w:b/>
          <w:bCs/>
          <w:color w:val="auto"/>
          <w:sz w:val="21"/>
          <w:szCs w:val="21"/>
          <w:highlight w:val="none"/>
        </w:rPr>
      </w:pPr>
      <w:r>
        <w:rPr>
          <w:rFonts w:hint="eastAsia" w:ascii="宋体" w:hAnsi="宋体" w:cs="宋体"/>
          <w:b/>
          <w:bCs/>
          <w:color w:val="auto"/>
          <w:sz w:val="21"/>
          <w:szCs w:val="21"/>
          <w:highlight w:val="none"/>
        </w:rPr>
        <w:t xml:space="preserve">2、评分办法 </w:t>
      </w:r>
    </w:p>
    <w:p w14:paraId="5CAA4E56">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(1)根据考评情况汇总扣分情况。</w:t>
      </w:r>
    </w:p>
    <w:p w14:paraId="4759CB08">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(2)因不可抗力等非保洁公司原因导致的考核目标、工作要求无法完成的,经甲方最终确认，不计入考核范围。</w:t>
      </w:r>
    </w:p>
    <w:p w14:paraId="6BACFDEC">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(3)标段对考核结果如有异议，须在考核结果公布3日内以书面或电子邮件形式向甲方提出申述，甲方应在3日内作出答复。</w:t>
      </w:r>
    </w:p>
    <w:p w14:paraId="5E6FC072">
      <w:pPr>
        <w:pStyle w:val="3"/>
        <w:overflowPunct w:val="0"/>
        <w:spacing w:line="360" w:lineRule="auto"/>
        <w:ind w:firstLine="422" w:firstLineChars="200"/>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(4</w:t>
      </w:r>
      <w:r>
        <w:rPr>
          <w:rFonts w:hint="eastAsia" w:ascii="宋体" w:hAnsi="宋体" w:eastAsia="宋体" w:cs="宋体"/>
          <w:b/>
          <w:bCs/>
          <w:color w:val="auto"/>
          <w:kern w:val="0"/>
          <w:sz w:val="21"/>
          <w:szCs w:val="21"/>
          <w:highlight w:val="none"/>
        </w:rPr>
        <w:t>)关于项目考核制度，甲方有权在项目实施过程中根据项目实际需要调整或者制定新的考核办法，项目实施中若遇政府等相关部门颁布新的标准（要求）乙方应按最新标准和要求执行，以上内容中标人需无条件接受。考评项目以及内容根据日常工作重点适时调整，于调整前一个月内通知各板块。</w:t>
      </w:r>
    </w:p>
    <w:p w14:paraId="33B7EEE2">
      <w:pPr>
        <w:spacing w:line="360" w:lineRule="auto"/>
        <w:rPr>
          <w:rFonts w:ascii="宋体" w:hAnsi="宋体" w:cs="宋体"/>
          <w:color w:val="auto"/>
          <w:sz w:val="21"/>
          <w:szCs w:val="21"/>
          <w:highlight w:val="none"/>
        </w:rPr>
      </w:pPr>
      <w:r>
        <w:rPr>
          <w:rFonts w:hint="eastAsia" w:ascii="宋体" w:hAnsi="宋体" w:cs="宋体"/>
          <w:color w:val="auto"/>
          <w:sz w:val="21"/>
          <w:szCs w:val="21"/>
          <w:highlight w:val="none"/>
        </w:rPr>
        <w:t>3、结果运用</w:t>
      </w:r>
    </w:p>
    <w:p w14:paraId="2BBCA253">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 xml:space="preserve">考核结果将纳入环卫作业企业信用管理体系内，在建立健全信用管理制度的基础上，进一步规范环卫作业企业行为，并根据招标文件中对于考核结果运用的相关条款，落实到企业的服务费用、各项评比中。     </w:t>
      </w:r>
    </w:p>
    <w:p w14:paraId="2C18EEE3">
      <w:pPr>
        <w:spacing w:line="360" w:lineRule="auto"/>
        <w:rPr>
          <w:rFonts w:ascii="宋体" w:hAnsi="宋体" w:cs="宋体"/>
          <w:color w:val="auto"/>
          <w:sz w:val="21"/>
          <w:szCs w:val="21"/>
          <w:highlight w:val="none"/>
        </w:rPr>
      </w:pPr>
      <w:r>
        <w:rPr>
          <w:rFonts w:hint="eastAsia" w:ascii="宋体" w:hAnsi="宋体" w:cs="宋体"/>
          <w:color w:val="auto"/>
          <w:sz w:val="21"/>
          <w:szCs w:val="21"/>
          <w:highlight w:val="none"/>
        </w:rPr>
        <w:t>附件：1. 陆家镇环境卫生作业考评细则</w:t>
      </w:r>
    </w:p>
    <w:p w14:paraId="5BBD02AE">
      <w:pPr>
        <w:spacing w:line="360" w:lineRule="auto"/>
        <w:ind w:firstLine="630" w:firstLineChars="300"/>
        <w:rPr>
          <w:rFonts w:ascii="宋体" w:hAnsi="宋体" w:cs="宋体"/>
          <w:color w:val="auto"/>
          <w:sz w:val="21"/>
          <w:szCs w:val="21"/>
          <w:highlight w:val="none"/>
        </w:rPr>
      </w:pPr>
      <w:r>
        <w:rPr>
          <w:rFonts w:hint="eastAsia" w:ascii="宋体" w:hAnsi="宋体" w:cs="宋体"/>
          <w:color w:val="auto"/>
          <w:sz w:val="21"/>
          <w:szCs w:val="21"/>
          <w:highlight w:val="none"/>
        </w:rPr>
        <w:t>2. 各级考核考评标准</w:t>
      </w:r>
    </w:p>
    <w:p w14:paraId="41DD5D25">
      <w:pPr>
        <w:widowControl/>
        <w:jc w:val="left"/>
        <w:rPr>
          <w:rFonts w:ascii="黑体" w:hAnsi="宋体" w:eastAsia="黑体" w:cs="黑体"/>
          <w:color w:val="auto"/>
          <w:kern w:val="0"/>
          <w:sz w:val="31"/>
          <w:szCs w:val="31"/>
          <w:highlight w:val="none"/>
          <w:lang w:bidi="ar"/>
        </w:rPr>
      </w:pPr>
    </w:p>
    <w:p w14:paraId="777DB25F">
      <w:pPr>
        <w:rPr>
          <w:rFonts w:ascii="黑体" w:hAnsi="宋体" w:eastAsia="黑体" w:cs="黑体"/>
          <w:color w:val="auto"/>
          <w:kern w:val="0"/>
          <w:sz w:val="31"/>
          <w:szCs w:val="31"/>
          <w:highlight w:val="none"/>
          <w:lang w:bidi="ar"/>
        </w:rPr>
      </w:pPr>
      <w:r>
        <w:rPr>
          <w:rFonts w:ascii="黑体" w:hAnsi="宋体" w:eastAsia="黑体" w:cs="黑体"/>
          <w:color w:val="auto"/>
          <w:kern w:val="0"/>
          <w:sz w:val="31"/>
          <w:szCs w:val="31"/>
          <w:highlight w:val="none"/>
          <w:lang w:bidi="ar"/>
        </w:rPr>
        <w:br w:type="page"/>
      </w:r>
    </w:p>
    <w:p w14:paraId="17DB1089">
      <w:pPr>
        <w:spacing w:line="360" w:lineRule="auto"/>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附件 1：陆家镇环境卫生作业考评细则</w:t>
      </w:r>
    </w:p>
    <w:tbl>
      <w:tblPr>
        <w:tblStyle w:val="7"/>
        <w:tblpPr w:leftFromText="180" w:rightFromText="180" w:vertAnchor="text" w:horzAnchor="page" w:tblpX="1144" w:tblpY="626"/>
        <w:tblOverlap w:val="never"/>
        <w:tblW w:w="9712" w:type="dxa"/>
        <w:tblInd w:w="0" w:type="dxa"/>
        <w:tblLayout w:type="autofit"/>
        <w:tblCellMar>
          <w:top w:w="0" w:type="dxa"/>
          <w:left w:w="108" w:type="dxa"/>
          <w:bottom w:w="0" w:type="dxa"/>
          <w:right w:w="108" w:type="dxa"/>
        </w:tblCellMar>
      </w:tblPr>
      <w:tblGrid>
        <w:gridCol w:w="936"/>
        <w:gridCol w:w="816"/>
        <w:gridCol w:w="3315"/>
        <w:gridCol w:w="4645"/>
      </w:tblGrid>
      <w:tr w14:paraId="6B25535E">
        <w:tblPrEx>
          <w:tblCellMar>
            <w:top w:w="0" w:type="dxa"/>
            <w:left w:w="108" w:type="dxa"/>
            <w:bottom w:w="0" w:type="dxa"/>
            <w:right w:w="108" w:type="dxa"/>
          </w:tblCellMar>
        </w:tblPrEx>
        <w:trPr>
          <w:trHeight w:val="645" w:hRule="atLeast"/>
        </w:trPr>
        <w:tc>
          <w:tcPr>
            <w:tcW w:w="1752" w:type="dxa"/>
            <w:gridSpan w:val="2"/>
            <w:tcBorders>
              <w:top w:val="single" w:color="auto" w:sz="4" w:space="0"/>
              <w:left w:val="single" w:color="auto" w:sz="4" w:space="0"/>
              <w:bottom w:val="single" w:color="auto" w:sz="4" w:space="0"/>
              <w:right w:val="single" w:color="auto" w:sz="4" w:space="0"/>
            </w:tcBorders>
            <w:noWrap w:val="0"/>
            <w:vAlign w:val="center"/>
          </w:tcPr>
          <w:p w14:paraId="2F62AC57">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项目</w:t>
            </w:r>
          </w:p>
        </w:tc>
        <w:tc>
          <w:tcPr>
            <w:tcW w:w="3315" w:type="dxa"/>
            <w:tcBorders>
              <w:top w:val="single" w:color="auto" w:sz="4" w:space="0"/>
              <w:left w:val="single" w:color="auto" w:sz="4" w:space="0"/>
              <w:bottom w:val="single" w:color="auto" w:sz="4" w:space="0"/>
              <w:right w:val="single" w:color="auto" w:sz="4" w:space="0"/>
            </w:tcBorders>
            <w:noWrap w:val="0"/>
            <w:vAlign w:val="center"/>
          </w:tcPr>
          <w:p w14:paraId="0E737704">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考核内容及标准</w:t>
            </w:r>
          </w:p>
        </w:tc>
        <w:tc>
          <w:tcPr>
            <w:tcW w:w="4645" w:type="dxa"/>
            <w:tcBorders>
              <w:top w:val="single" w:color="auto" w:sz="4" w:space="0"/>
              <w:left w:val="single" w:color="auto" w:sz="4" w:space="0"/>
              <w:bottom w:val="single" w:color="auto" w:sz="4" w:space="0"/>
              <w:right w:val="single" w:color="auto" w:sz="4" w:space="0"/>
            </w:tcBorders>
            <w:noWrap w:val="0"/>
            <w:vAlign w:val="center"/>
          </w:tcPr>
          <w:p w14:paraId="388CFBFD">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扣分细则</w:t>
            </w:r>
          </w:p>
        </w:tc>
      </w:tr>
      <w:tr w14:paraId="252A5C3E">
        <w:tblPrEx>
          <w:tblCellMar>
            <w:top w:w="0" w:type="dxa"/>
            <w:left w:w="108" w:type="dxa"/>
            <w:bottom w:w="0" w:type="dxa"/>
            <w:right w:w="108" w:type="dxa"/>
          </w:tblCellMar>
        </w:tblPrEx>
        <w:trPr>
          <w:trHeight w:val="600" w:hRule="atLeast"/>
        </w:trPr>
        <w:tc>
          <w:tcPr>
            <w:tcW w:w="1752" w:type="dxa"/>
            <w:gridSpan w:val="2"/>
            <w:vMerge w:val="restart"/>
            <w:tcBorders>
              <w:top w:val="single" w:color="auto" w:sz="4" w:space="0"/>
              <w:left w:val="single" w:color="auto" w:sz="4" w:space="0"/>
              <w:bottom w:val="nil"/>
              <w:right w:val="single" w:color="000000" w:sz="4" w:space="0"/>
            </w:tcBorders>
            <w:noWrap w:val="0"/>
            <w:vAlign w:val="center"/>
          </w:tcPr>
          <w:p w14:paraId="0135734B">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（一）               管                                    理                             指</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 xml:space="preserve">标                               </w:t>
            </w:r>
          </w:p>
        </w:tc>
        <w:tc>
          <w:tcPr>
            <w:tcW w:w="3315" w:type="dxa"/>
            <w:tcBorders>
              <w:top w:val="single" w:color="auto" w:sz="4" w:space="0"/>
              <w:left w:val="nil"/>
              <w:bottom w:val="single" w:color="auto" w:sz="4" w:space="0"/>
              <w:right w:val="single" w:color="auto" w:sz="4" w:space="0"/>
            </w:tcBorders>
            <w:noWrap w:val="0"/>
            <w:vAlign w:val="center"/>
          </w:tcPr>
          <w:p w14:paraId="0F94EA3E">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（1）按照招标文件要求的时间进行清扫和保洁，第一次普扫在7:30之前完成；清扫与保洁需无缝对接。</w:t>
            </w:r>
          </w:p>
        </w:tc>
        <w:tc>
          <w:tcPr>
            <w:tcW w:w="4645" w:type="dxa"/>
            <w:tcBorders>
              <w:top w:val="single" w:color="auto" w:sz="4" w:space="0"/>
              <w:left w:val="nil"/>
              <w:bottom w:val="single" w:color="auto" w:sz="4" w:space="0"/>
              <w:right w:val="single" w:color="auto" w:sz="4" w:space="0"/>
            </w:tcBorders>
            <w:noWrap w:val="0"/>
            <w:vAlign w:val="center"/>
          </w:tcPr>
          <w:p w14:paraId="17D3AB5F">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保洁时间不达标或未在规定时间内完成普扫的，每个路段扣10分。</w:t>
            </w:r>
          </w:p>
        </w:tc>
      </w:tr>
      <w:tr w14:paraId="0539E93B">
        <w:tblPrEx>
          <w:tblCellMar>
            <w:top w:w="0" w:type="dxa"/>
            <w:left w:w="108" w:type="dxa"/>
            <w:bottom w:w="0" w:type="dxa"/>
            <w:right w:w="108" w:type="dxa"/>
          </w:tblCellMar>
        </w:tblPrEx>
        <w:trPr>
          <w:trHeight w:val="1099" w:hRule="atLeast"/>
        </w:trPr>
        <w:tc>
          <w:tcPr>
            <w:tcW w:w="1752" w:type="dxa"/>
            <w:gridSpan w:val="2"/>
            <w:vMerge w:val="continue"/>
            <w:tcBorders>
              <w:top w:val="single" w:color="auto" w:sz="4" w:space="0"/>
              <w:left w:val="single" w:color="auto" w:sz="4" w:space="0"/>
              <w:bottom w:val="nil"/>
              <w:right w:val="single" w:color="000000" w:sz="4" w:space="0"/>
            </w:tcBorders>
            <w:noWrap w:val="0"/>
            <w:vAlign w:val="center"/>
          </w:tcPr>
          <w:p w14:paraId="235CFD22">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3315" w:type="dxa"/>
            <w:tcBorders>
              <w:top w:val="nil"/>
              <w:left w:val="nil"/>
              <w:bottom w:val="single" w:color="auto" w:sz="4" w:space="0"/>
              <w:right w:val="single" w:color="auto" w:sz="4" w:space="0"/>
            </w:tcBorders>
            <w:noWrap w:val="0"/>
            <w:vAlign w:val="center"/>
          </w:tcPr>
          <w:p w14:paraId="6626C951">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（2）按作业定额（招标文件）配备人员；不定期对配备人员进行核查，乙方必须确保人员配置到位；</w:t>
            </w:r>
          </w:p>
        </w:tc>
        <w:tc>
          <w:tcPr>
            <w:tcW w:w="4645" w:type="dxa"/>
            <w:tcBorders>
              <w:top w:val="nil"/>
              <w:left w:val="nil"/>
              <w:bottom w:val="single" w:color="auto" w:sz="4" w:space="0"/>
              <w:right w:val="single" w:color="auto" w:sz="4" w:space="0"/>
            </w:tcBorders>
            <w:noWrap w:val="0"/>
            <w:vAlign w:val="center"/>
          </w:tcPr>
          <w:p w14:paraId="3B8A8048">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未按作业定额（招标文件）配足保洁人员，每缺1人扣5000元；未在指定路段作业，每人次扣2分。人员未配备到位的，向环卫</w:t>
            </w:r>
            <w:r>
              <w:rPr>
                <w:rFonts w:hint="eastAsia" w:ascii="宋体" w:hAnsi="宋体" w:cs="宋体"/>
                <w:color w:val="auto"/>
                <w:kern w:val="0"/>
                <w:sz w:val="21"/>
                <w:szCs w:val="21"/>
                <w:highlight w:val="none"/>
                <w:lang w:eastAsia="zh-CN"/>
              </w:rPr>
              <w:t>部门</w:t>
            </w:r>
            <w:r>
              <w:rPr>
                <w:rFonts w:hint="eastAsia" w:ascii="宋体" w:hAnsi="宋体" w:eastAsia="宋体" w:cs="宋体"/>
                <w:color w:val="auto"/>
                <w:kern w:val="0"/>
                <w:sz w:val="21"/>
                <w:szCs w:val="21"/>
                <w:highlight w:val="none"/>
              </w:rPr>
              <w:t>报备的按每天一分扣除实际缺人天数的人头经费，严重弄虚作假的每人次扣50分，并列入不诚信名单；人员不是专职的扣3分/人.天。</w:t>
            </w:r>
          </w:p>
        </w:tc>
      </w:tr>
      <w:tr w14:paraId="2075DCC5">
        <w:tblPrEx>
          <w:tblCellMar>
            <w:top w:w="0" w:type="dxa"/>
            <w:left w:w="108" w:type="dxa"/>
            <w:bottom w:w="0" w:type="dxa"/>
            <w:right w:w="108" w:type="dxa"/>
          </w:tblCellMar>
        </w:tblPrEx>
        <w:trPr>
          <w:trHeight w:val="600" w:hRule="atLeast"/>
        </w:trPr>
        <w:tc>
          <w:tcPr>
            <w:tcW w:w="1752" w:type="dxa"/>
            <w:gridSpan w:val="2"/>
            <w:vMerge w:val="continue"/>
            <w:tcBorders>
              <w:top w:val="single" w:color="auto" w:sz="4" w:space="0"/>
              <w:left w:val="single" w:color="auto" w:sz="4" w:space="0"/>
              <w:bottom w:val="nil"/>
              <w:right w:val="single" w:color="000000" w:sz="4" w:space="0"/>
            </w:tcBorders>
            <w:noWrap w:val="0"/>
            <w:vAlign w:val="center"/>
          </w:tcPr>
          <w:p w14:paraId="2818E32D">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3315" w:type="dxa"/>
            <w:tcBorders>
              <w:top w:val="nil"/>
              <w:left w:val="nil"/>
              <w:bottom w:val="single" w:color="auto" w:sz="4" w:space="0"/>
              <w:right w:val="single" w:color="auto" w:sz="4" w:space="0"/>
            </w:tcBorders>
            <w:noWrap w:val="0"/>
            <w:vAlign w:val="center"/>
          </w:tcPr>
          <w:p w14:paraId="55482290">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（3）作业人员不得进入机动车专用立交桥、封闭的机动车专用道和城市快速路；</w:t>
            </w:r>
          </w:p>
        </w:tc>
        <w:tc>
          <w:tcPr>
            <w:tcW w:w="4645" w:type="dxa"/>
            <w:tcBorders>
              <w:top w:val="nil"/>
              <w:left w:val="nil"/>
              <w:bottom w:val="single" w:color="auto" w:sz="4" w:space="0"/>
              <w:right w:val="single" w:color="auto" w:sz="4" w:space="0"/>
            </w:tcBorders>
            <w:noWrap w:val="0"/>
            <w:vAlign w:val="center"/>
          </w:tcPr>
          <w:p w14:paraId="05917AFE">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发现违规每人次扣5分。</w:t>
            </w:r>
          </w:p>
        </w:tc>
      </w:tr>
      <w:tr w14:paraId="3E4A1005">
        <w:tblPrEx>
          <w:tblCellMar>
            <w:top w:w="0" w:type="dxa"/>
            <w:left w:w="108" w:type="dxa"/>
            <w:bottom w:w="0" w:type="dxa"/>
            <w:right w:w="108" w:type="dxa"/>
          </w:tblCellMar>
        </w:tblPrEx>
        <w:trPr>
          <w:trHeight w:val="600" w:hRule="atLeast"/>
        </w:trPr>
        <w:tc>
          <w:tcPr>
            <w:tcW w:w="1752" w:type="dxa"/>
            <w:gridSpan w:val="2"/>
            <w:vMerge w:val="continue"/>
            <w:tcBorders>
              <w:top w:val="single" w:color="auto" w:sz="4" w:space="0"/>
              <w:left w:val="single" w:color="auto" w:sz="4" w:space="0"/>
              <w:bottom w:val="nil"/>
              <w:right w:val="single" w:color="000000" w:sz="4" w:space="0"/>
            </w:tcBorders>
            <w:noWrap w:val="0"/>
            <w:vAlign w:val="center"/>
          </w:tcPr>
          <w:p w14:paraId="439248A8">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3315" w:type="dxa"/>
            <w:tcBorders>
              <w:top w:val="nil"/>
              <w:left w:val="nil"/>
              <w:bottom w:val="single" w:color="auto" w:sz="4" w:space="0"/>
              <w:right w:val="single" w:color="auto" w:sz="4" w:space="0"/>
            </w:tcBorders>
            <w:noWrap w:val="0"/>
            <w:vAlign w:val="center"/>
          </w:tcPr>
          <w:p w14:paraId="075BF8E3">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（4）作业人员禁止在交通高峰时段到快车道中央区域作业；</w:t>
            </w:r>
          </w:p>
        </w:tc>
        <w:tc>
          <w:tcPr>
            <w:tcW w:w="4645" w:type="dxa"/>
            <w:tcBorders>
              <w:top w:val="nil"/>
              <w:left w:val="nil"/>
              <w:bottom w:val="single" w:color="auto" w:sz="4" w:space="0"/>
              <w:right w:val="single" w:color="auto" w:sz="4" w:space="0"/>
            </w:tcBorders>
            <w:noWrap w:val="0"/>
            <w:vAlign w:val="center"/>
          </w:tcPr>
          <w:p w14:paraId="7BFD3CC6">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发现违规每人次扣5分。</w:t>
            </w:r>
          </w:p>
        </w:tc>
      </w:tr>
      <w:tr w14:paraId="741C6607">
        <w:tblPrEx>
          <w:tblCellMar>
            <w:top w:w="0" w:type="dxa"/>
            <w:left w:w="108" w:type="dxa"/>
            <w:bottom w:w="0" w:type="dxa"/>
            <w:right w:w="108" w:type="dxa"/>
          </w:tblCellMar>
        </w:tblPrEx>
        <w:trPr>
          <w:trHeight w:val="600" w:hRule="atLeast"/>
        </w:trPr>
        <w:tc>
          <w:tcPr>
            <w:tcW w:w="1752" w:type="dxa"/>
            <w:gridSpan w:val="2"/>
            <w:vMerge w:val="continue"/>
            <w:tcBorders>
              <w:top w:val="single" w:color="auto" w:sz="4" w:space="0"/>
              <w:left w:val="single" w:color="auto" w:sz="4" w:space="0"/>
              <w:bottom w:val="nil"/>
              <w:right w:val="single" w:color="000000" w:sz="4" w:space="0"/>
            </w:tcBorders>
            <w:noWrap w:val="0"/>
            <w:vAlign w:val="center"/>
          </w:tcPr>
          <w:p w14:paraId="47E6247F">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3315" w:type="dxa"/>
            <w:tcBorders>
              <w:top w:val="nil"/>
              <w:left w:val="nil"/>
              <w:bottom w:val="single" w:color="auto" w:sz="4" w:space="0"/>
              <w:right w:val="single" w:color="auto" w:sz="4" w:space="0"/>
            </w:tcBorders>
            <w:noWrap w:val="0"/>
            <w:vAlign w:val="center"/>
          </w:tcPr>
          <w:p w14:paraId="6DED948F">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（5）上门收集垃圾路段一天不少于两次；</w:t>
            </w:r>
          </w:p>
        </w:tc>
        <w:tc>
          <w:tcPr>
            <w:tcW w:w="4645" w:type="dxa"/>
            <w:tcBorders>
              <w:top w:val="nil"/>
              <w:left w:val="nil"/>
              <w:bottom w:val="single" w:color="auto" w:sz="4" w:space="0"/>
              <w:right w:val="single" w:color="auto" w:sz="4" w:space="0"/>
            </w:tcBorders>
            <w:noWrap w:val="0"/>
            <w:vAlign w:val="center"/>
          </w:tcPr>
          <w:p w14:paraId="2E0D3ACE">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上门收集垃圾路段少于一天两次收集的，每路段扣2分。</w:t>
            </w:r>
          </w:p>
        </w:tc>
      </w:tr>
      <w:tr w14:paraId="6879A3A6">
        <w:tblPrEx>
          <w:tblCellMar>
            <w:top w:w="0" w:type="dxa"/>
            <w:left w:w="108" w:type="dxa"/>
            <w:bottom w:w="0" w:type="dxa"/>
            <w:right w:w="108" w:type="dxa"/>
          </w:tblCellMar>
        </w:tblPrEx>
        <w:trPr>
          <w:trHeight w:val="600" w:hRule="atLeast"/>
        </w:trPr>
        <w:tc>
          <w:tcPr>
            <w:tcW w:w="1752" w:type="dxa"/>
            <w:gridSpan w:val="2"/>
            <w:vMerge w:val="continue"/>
            <w:tcBorders>
              <w:top w:val="single" w:color="auto" w:sz="4" w:space="0"/>
              <w:left w:val="single" w:color="auto" w:sz="4" w:space="0"/>
              <w:bottom w:val="nil"/>
              <w:right w:val="single" w:color="000000" w:sz="4" w:space="0"/>
            </w:tcBorders>
            <w:noWrap w:val="0"/>
            <w:vAlign w:val="center"/>
          </w:tcPr>
          <w:p w14:paraId="7CDA9F9C">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3315" w:type="dxa"/>
            <w:tcBorders>
              <w:top w:val="nil"/>
              <w:left w:val="nil"/>
              <w:bottom w:val="single" w:color="auto" w:sz="4" w:space="0"/>
              <w:right w:val="single" w:color="auto" w:sz="4" w:space="0"/>
            </w:tcBorders>
            <w:noWrap w:val="0"/>
            <w:vAlign w:val="center"/>
          </w:tcPr>
          <w:p w14:paraId="0DFCD3C7">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（6）便民点、夜排档等疏导点周边设施配套、环境整洁、管理规范；</w:t>
            </w:r>
          </w:p>
        </w:tc>
        <w:tc>
          <w:tcPr>
            <w:tcW w:w="4645" w:type="dxa"/>
            <w:tcBorders>
              <w:top w:val="nil"/>
              <w:left w:val="nil"/>
              <w:bottom w:val="single" w:color="auto" w:sz="4" w:space="0"/>
              <w:right w:val="single" w:color="auto" w:sz="4" w:space="0"/>
            </w:tcBorders>
            <w:noWrap w:val="0"/>
            <w:vAlign w:val="center"/>
          </w:tcPr>
          <w:p w14:paraId="23922BBD">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便民点、夜排档等疏导点周边环境不整洁未及时清理的，每项扣2～5分。</w:t>
            </w:r>
          </w:p>
        </w:tc>
      </w:tr>
      <w:tr w14:paraId="7D6CA42F">
        <w:tblPrEx>
          <w:tblCellMar>
            <w:top w:w="0" w:type="dxa"/>
            <w:left w:w="108" w:type="dxa"/>
            <w:bottom w:w="0" w:type="dxa"/>
            <w:right w:w="108" w:type="dxa"/>
          </w:tblCellMar>
        </w:tblPrEx>
        <w:trPr>
          <w:trHeight w:val="1200" w:hRule="atLeast"/>
        </w:trPr>
        <w:tc>
          <w:tcPr>
            <w:tcW w:w="1752" w:type="dxa"/>
            <w:gridSpan w:val="2"/>
            <w:vMerge w:val="continue"/>
            <w:tcBorders>
              <w:top w:val="single" w:color="auto" w:sz="4" w:space="0"/>
              <w:left w:val="single" w:color="auto" w:sz="4" w:space="0"/>
              <w:bottom w:val="nil"/>
              <w:right w:val="single" w:color="000000" w:sz="4" w:space="0"/>
            </w:tcBorders>
            <w:noWrap w:val="0"/>
            <w:vAlign w:val="center"/>
          </w:tcPr>
          <w:p w14:paraId="6787DD27">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3315" w:type="dxa"/>
            <w:tcBorders>
              <w:top w:val="nil"/>
              <w:left w:val="nil"/>
              <w:bottom w:val="single" w:color="auto" w:sz="4" w:space="0"/>
              <w:right w:val="single" w:color="auto" w:sz="4" w:space="0"/>
            </w:tcBorders>
            <w:noWrap w:val="0"/>
            <w:vAlign w:val="center"/>
          </w:tcPr>
          <w:p w14:paraId="53F0770B">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(7)各类机械化作业车辆、电瓶车辆、垃圾收集车辆等配备满足作业任务量清单中的最低数量，采用符合采购人要求的环卫专业车辆。作业单位必须具有1000㎡以上的专用停车场，车辆必须停放在专用的停车场地；</w:t>
            </w:r>
          </w:p>
        </w:tc>
        <w:tc>
          <w:tcPr>
            <w:tcW w:w="4645" w:type="dxa"/>
            <w:tcBorders>
              <w:top w:val="nil"/>
              <w:left w:val="nil"/>
              <w:bottom w:val="single" w:color="auto" w:sz="4" w:space="0"/>
              <w:right w:val="single" w:color="auto" w:sz="4" w:space="0"/>
            </w:tcBorders>
            <w:noWrap w:val="0"/>
            <w:vAlign w:val="center"/>
          </w:tcPr>
          <w:p w14:paraId="51D69EBD">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机械化作业车辆未达到投标文件承诺配置要求的，按照50分/天.辆进行处罚；电动车辆或垃圾收集车辆未达到投标文件承诺配置要求的，按照20分/天.辆进行处罚；未按规定停放于专用停车场的，每次扣10分/辆;专用停车场不符合规定要求的扣50分/天。</w:t>
            </w:r>
          </w:p>
        </w:tc>
      </w:tr>
      <w:tr w14:paraId="30C75A7D">
        <w:tblPrEx>
          <w:tblCellMar>
            <w:top w:w="0" w:type="dxa"/>
            <w:left w:w="108" w:type="dxa"/>
            <w:bottom w:w="0" w:type="dxa"/>
            <w:right w:w="108" w:type="dxa"/>
          </w:tblCellMar>
        </w:tblPrEx>
        <w:trPr>
          <w:trHeight w:val="600" w:hRule="atLeast"/>
        </w:trPr>
        <w:tc>
          <w:tcPr>
            <w:tcW w:w="1752" w:type="dxa"/>
            <w:gridSpan w:val="2"/>
            <w:vMerge w:val="continue"/>
            <w:tcBorders>
              <w:top w:val="single" w:color="auto" w:sz="4" w:space="0"/>
              <w:left w:val="single" w:color="auto" w:sz="4" w:space="0"/>
              <w:bottom w:val="nil"/>
              <w:right w:val="single" w:color="000000" w:sz="4" w:space="0"/>
            </w:tcBorders>
            <w:noWrap w:val="0"/>
            <w:vAlign w:val="center"/>
          </w:tcPr>
          <w:p w14:paraId="7E572DF3">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3315" w:type="dxa"/>
            <w:tcBorders>
              <w:top w:val="nil"/>
              <w:left w:val="nil"/>
              <w:bottom w:val="single" w:color="auto" w:sz="4" w:space="0"/>
              <w:right w:val="single" w:color="auto" w:sz="4" w:space="0"/>
            </w:tcBorders>
            <w:noWrap w:val="0"/>
            <w:vAlign w:val="center"/>
          </w:tcPr>
          <w:p w14:paraId="2245F506">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（8）作业文明，采取措施减少扬尘、噪音、污水、臭味、苍蝇、占道等作业扰民问题。不发生与人争吵、辱骂、斗殴、窃取他人财物等情况；</w:t>
            </w:r>
          </w:p>
        </w:tc>
        <w:tc>
          <w:tcPr>
            <w:tcW w:w="4645" w:type="dxa"/>
            <w:tcBorders>
              <w:top w:val="nil"/>
              <w:left w:val="nil"/>
              <w:bottom w:val="single" w:color="auto" w:sz="4" w:space="0"/>
              <w:right w:val="single" w:color="auto" w:sz="4" w:space="0"/>
            </w:tcBorders>
            <w:noWrap w:val="0"/>
            <w:vAlign w:val="center"/>
          </w:tcPr>
          <w:p w14:paraId="3EDE4EF9">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发现未采取措施，具有明显扰民现象，扣5分/起;发生与他人争吵情况扣10分/起；发生辱骂他人情况扣20分/起。</w:t>
            </w:r>
          </w:p>
        </w:tc>
      </w:tr>
      <w:tr w14:paraId="00204052">
        <w:tblPrEx>
          <w:tblCellMar>
            <w:top w:w="0" w:type="dxa"/>
            <w:left w:w="108" w:type="dxa"/>
            <w:bottom w:w="0" w:type="dxa"/>
            <w:right w:w="108" w:type="dxa"/>
          </w:tblCellMar>
        </w:tblPrEx>
        <w:trPr>
          <w:trHeight w:val="600" w:hRule="atLeast"/>
        </w:trPr>
        <w:tc>
          <w:tcPr>
            <w:tcW w:w="1752" w:type="dxa"/>
            <w:gridSpan w:val="2"/>
            <w:vMerge w:val="continue"/>
            <w:tcBorders>
              <w:top w:val="single" w:color="auto" w:sz="4" w:space="0"/>
              <w:left w:val="single" w:color="auto" w:sz="4" w:space="0"/>
              <w:bottom w:val="nil"/>
              <w:right w:val="single" w:color="000000" w:sz="4" w:space="0"/>
            </w:tcBorders>
            <w:noWrap w:val="0"/>
            <w:vAlign w:val="center"/>
          </w:tcPr>
          <w:p w14:paraId="0A169985">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3315" w:type="dxa"/>
            <w:tcBorders>
              <w:top w:val="nil"/>
              <w:left w:val="nil"/>
              <w:bottom w:val="single" w:color="auto" w:sz="4" w:space="0"/>
              <w:right w:val="single" w:color="auto" w:sz="4" w:space="0"/>
            </w:tcBorders>
            <w:noWrap w:val="0"/>
            <w:vAlign w:val="center"/>
          </w:tcPr>
          <w:p w14:paraId="7A752F0B">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（9）环卫工单严格按《环卫工单处置规范》办结；</w:t>
            </w:r>
          </w:p>
        </w:tc>
        <w:tc>
          <w:tcPr>
            <w:tcW w:w="4645" w:type="dxa"/>
            <w:tcBorders>
              <w:top w:val="nil"/>
              <w:left w:val="nil"/>
              <w:bottom w:val="single" w:color="auto" w:sz="4" w:space="0"/>
              <w:right w:val="single" w:color="auto" w:sz="4" w:space="0"/>
            </w:tcBorders>
            <w:noWrap w:val="0"/>
            <w:vAlign w:val="center"/>
          </w:tcPr>
          <w:p w14:paraId="686A9AF5">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环卫工单处置、回复不及时的，扣5分/次;对于同一区域同类问题发生二次以上的按考评细则加倍扣分；无正当理由拒不办理的，扣10分/次。</w:t>
            </w:r>
          </w:p>
        </w:tc>
      </w:tr>
      <w:tr w14:paraId="79C904BC">
        <w:tblPrEx>
          <w:tblCellMar>
            <w:top w:w="0" w:type="dxa"/>
            <w:left w:w="108" w:type="dxa"/>
            <w:bottom w:w="0" w:type="dxa"/>
            <w:right w:w="108" w:type="dxa"/>
          </w:tblCellMar>
        </w:tblPrEx>
        <w:trPr>
          <w:trHeight w:val="600" w:hRule="atLeast"/>
        </w:trPr>
        <w:tc>
          <w:tcPr>
            <w:tcW w:w="1752" w:type="dxa"/>
            <w:gridSpan w:val="2"/>
            <w:vMerge w:val="continue"/>
            <w:tcBorders>
              <w:top w:val="single" w:color="auto" w:sz="4" w:space="0"/>
              <w:left w:val="single" w:color="auto" w:sz="4" w:space="0"/>
              <w:bottom w:val="nil"/>
              <w:right w:val="single" w:color="000000" w:sz="4" w:space="0"/>
            </w:tcBorders>
            <w:noWrap w:val="0"/>
            <w:vAlign w:val="center"/>
          </w:tcPr>
          <w:p w14:paraId="267FD75B">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3315" w:type="dxa"/>
            <w:tcBorders>
              <w:top w:val="nil"/>
              <w:left w:val="nil"/>
              <w:bottom w:val="single" w:color="auto" w:sz="4" w:space="0"/>
              <w:right w:val="single" w:color="auto" w:sz="4" w:space="0"/>
            </w:tcBorders>
            <w:noWrap w:val="0"/>
            <w:vAlign w:val="center"/>
          </w:tcPr>
          <w:p w14:paraId="58ECC6E8">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(10)必须遵守劳动法，依法规范用工，全员签订劳动合同，按照要求缴纳社保；全员购买意外伤害保险，按照要求服务期内为员工每年体检一次；</w:t>
            </w:r>
          </w:p>
        </w:tc>
        <w:tc>
          <w:tcPr>
            <w:tcW w:w="4645" w:type="dxa"/>
            <w:tcBorders>
              <w:top w:val="nil"/>
              <w:left w:val="nil"/>
              <w:bottom w:val="single" w:color="auto" w:sz="4" w:space="0"/>
              <w:right w:val="single" w:color="auto" w:sz="4" w:space="0"/>
            </w:tcBorders>
            <w:noWrap w:val="0"/>
            <w:vAlign w:val="center"/>
          </w:tcPr>
          <w:p w14:paraId="1C278280">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未签订劳动合同的扣50分/人.次;社保缴纳比例每低于1%扣10分，未购买全部人员保险的或保额未买足80万的扣50分/人;未安排体检的扣5分/人 。</w:t>
            </w:r>
          </w:p>
        </w:tc>
      </w:tr>
      <w:tr w14:paraId="5E34BB46">
        <w:tblPrEx>
          <w:tblCellMar>
            <w:top w:w="0" w:type="dxa"/>
            <w:left w:w="108" w:type="dxa"/>
            <w:bottom w:w="0" w:type="dxa"/>
            <w:right w:w="108" w:type="dxa"/>
          </w:tblCellMar>
        </w:tblPrEx>
        <w:trPr>
          <w:trHeight w:val="600" w:hRule="atLeast"/>
        </w:trPr>
        <w:tc>
          <w:tcPr>
            <w:tcW w:w="1752" w:type="dxa"/>
            <w:gridSpan w:val="2"/>
            <w:vMerge w:val="continue"/>
            <w:tcBorders>
              <w:top w:val="single" w:color="auto" w:sz="4" w:space="0"/>
              <w:left w:val="single" w:color="auto" w:sz="4" w:space="0"/>
              <w:bottom w:val="nil"/>
              <w:right w:val="single" w:color="000000" w:sz="4" w:space="0"/>
            </w:tcBorders>
            <w:noWrap w:val="0"/>
            <w:vAlign w:val="center"/>
          </w:tcPr>
          <w:p w14:paraId="1B1D9FB2">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3315" w:type="dxa"/>
            <w:tcBorders>
              <w:top w:val="nil"/>
              <w:left w:val="nil"/>
              <w:bottom w:val="single" w:color="auto" w:sz="4" w:space="0"/>
              <w:right w:val="single" w:color="auto" w:sz="4" w:space="0"/>
            </w:tcBorders>
            <w:noWrap w:val="0"/>
            <w:vAlign w:val="center"/>
          </w:tcPr>
          <w:p w14:paraId="46D6F37D">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（11）建立日常巡查机制，如遇上级检查、庆典等重大活动或节假日期间，及时加强保障措施，确保作业质量；</w:t>
            </w:r>
          </w:p>
        </w:tc>
        <w:tc>
          <w:tcPr>
            <w:tcW w:w="4645" w:type="dxa"/>
            <w:tcBorders>
              <w:top w:val="nil"/>
              <w:left w:val="nil"/>
              <w:bottom w:val="single" w:color="auto" w:sz="4" w:space="0"/>
              <w:right w:val="single" w:color="auto" w:sz="4" w:space="0"/>
            </w:tcBorders>
            <w:noWrap w:val="0"/>
            <w:vAlign w:val="center"/>
          </w:tcPr>
          <w:p w14:paraId="54C62F92">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未落实巡查机制的扣10分/次，保障措施不到位扣20分/次；未采取有效措施扣30分/次。</w:t>
            </w:r>
          </w:p>
        </w:tc>
      </w:tr>
      <w:tr w14:paraId="289A2ADB">
        <w:tblPrEx>
          <w:tblCellMar>
            <w:top w:w="0" w:type="dxa"/>
            <w:left w:w="108" w:type="dxa"/>
            <w:bottom w:w="0" w:type="dxa"/>
            <w:right w:w="108" w:type="dxa"/>
          </w:tblCellMar>
        </w:tblPrEx>
        <w:trPr>
          <w:trHeight w:val="720" w:hRule="atLeast"/>
        </w:trPr>
        <w:tc>
          <w:tcPr>
            <w:tcW w:w="936" w:type="dxa"/>
            <w:vMerge w:val="restart"/>
            <w:tcBorders>
              <w:top w:val="single" w:color="auto" w:sz="4" w:space="0"/>
              <w:left w:val="single" w:color="auto" w:sz="4" w:space="0"/>
              <w:bottom w:val="nil"/>
              <w:right w:val="nil"/>
            </w:tcBorders>
            <w:noWrap w:val="0"/>
            <w:vAlign w:val="center"/>
          </w:tcPr>
          <w:p w14:paraId="1EAF2E63">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（二）作           </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业</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规</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范</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指</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 xml:space="preserve">标                               </w:t>
            </w:r>
          </w:p>
        </w:tc>
        <w:tc>
          <w:tcPr>
            <w:tcW w:w="816" w:type="dxa"/>
            <w:vMerge w:val="restart"/>
            <w:tcBorders>
              <w:top w:val="single" w:color="auto" w:sz="4" w:space="0"/>
              <w:left w:val="single" w:color="auto" w:sz="4" w:space="0"/>
              <w:bottom w:val="single" w:color="000000" w:sz="4" w:space="0"/>
              <w:right w:val="single" w:color="auto" w:sz="4" w:space="0"/>
            </w:tcBorders>
            <w:noWrap w:val="0"/>
            <w:vAlign w:val="center"/>
          </w:tcPr>
          <w:p w14:paraId="2E7A7BCD">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                                                  保                     洁</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指</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 xml:space="preserve">标  </w:t>
            </w:r>
          </w:p>
        </w:tc>
        <w:tc>
          <w:tcPr>
            <w:tcW w:w="3315" w:type="dxa"/>
            <w:vMerge w:val="restart"/>
            <w:tcBorders>
              <w:top w:val="nil"/>
              <w:left w:val="single" w:color="auto" w:sz="4" w:space="0"/>
              <w:bottom w:val="single" w:color="000000" w:sz="4" w:space="0"/>
              <w:right w:val="single" w:color="auto" w:sz="4" w:space="0"/>
            </w:tcBorders>
            <w:noWrap w:val="0"/>
            <w:vAlign w:val="center"/>
          </w:tcPr>
          <w:p w14:paraId="05FD5BAD">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（1）实行道路从墙根到墙根的保洁，快慢车道、人行道（含匝道、天桥、地下通道、便道台阶、绿化带、交通隔离栏等）、广场无垃圾、无油污迹、无积泥积水、路面无杂草，窨井沟眼畅通；</w:t>
            </w:r>
          </w:p>
        </w:tc>
        <w:tc>
          <w:tcPr>
            <w:tcW w:w="4645" w:type="dxa"/>
            <w:tcBorders>
              <w:top w:val="nil"/>
              <w:left w:val="nil"/>
              <w:bottom w:val="single" w:color="auto" w:sz="4" w:space="0"/>
              <w:right w:val="single" w:color="auto" w:sz="4" w:space="0"/>
            </w:tcBorders>
            <w:noWrap w:val="0"/>
            <w:vAlign w:val="center"/>
          </w:tcPr>
          <w:p w14:paraId="7EFA25F0">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点状垃圾纸张、烟蒂、饮料瓶、塑料袋、动物排泄物、砖头、果皮、乱涂乱贴、窨井沟眼不畅通等)每处扣0.5分。</w:t>
            </w:r>
          </w:p>
        </w:tc>
      </w:tr>
      <w:tr w14:paraId="4CC5C5F7">
        <w:tblPrEx>
          <w:tblCellMar>
            <w:top w:w="0" w:type="dxa"/>
            <w:left w:w="108" w:type="dxa"/>
            <w:bottom w:w="0" w:type="dxa"/>
            <w:right w:w="108" w:type="dxa"/>
          </w:tblCellMar>
        </w:tblPrEx>
        <w:trPr>
          <w:trHeight w:val="600" w:hRule="atLeast"/>
        </w:trPr>
        <w:tc>
          <w:tcPr>
            <w:tcW w:w="936" w:type="dxa"/>
            <w:vMerge w:val="continue"/>
            <w:tcBorders>
              <w:top w:val="single" w:color="auto" w:sz="4" w:space="0"/>
              <w:left w:val="single" w:color="auto" w:sz="4" w:space="0"/>
              <w:bottom w:val="nil"/>
              <w:right w:val="nil"/>
            </w:tcBorders>
            <w:noWrap w:val="0"/>
            <w:vAlign w:val="center"/>
          </w:tcPr>
          <w:p w14:paraId="79D3A1C1">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816" w:type="dxa"/>
            <w:vMerge w:val="continue"/>
            <w:tcBorders>
              <w:top w:val="single" w:color="auto" w:sz="4" w:space="0"/>
              <w:left w:val="single" w:color="auto" w:sz="4" w:space="0"/>
              <w:bottom w:val="single" w:color="000000" w:sz="4" w:space="0"/>
              <w:right w:val="single" w:color="auto" w:sz="4" w:space="0"/>
            </w:tcBorders>
            <w:noWrap w:val="0"/>
            <w:vAlign w:val="center"/>
          </w:tcPr>
          <w:p w14:paraId="598C8137">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3315" w:type="dxa"/>
            <w:vMerge w:val="continue"/>
            <w:tcBorders>
              <w:top w:val="nil"/>
              <w:left w:val="single" w:color="auto" w:sz="4" w:space="0"/>
              <w:bottom w:val="single" w:color="000000" w:sz="4" w:space="0"/>
              <w:right w:val="single" w:color="auto" w:sz="4" w:space="0"/>
            </w:tcBorders>
            <w:noWrap w:val="0"/>
            <w:vAlign w:val="center"/>
          </w:tcPr>
          <w:p w14:paraId="47EEA91E">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4645" w:type="dxa"/>
            <w:tcBorders>
              <w:top w:val="nil"/>
              <w:left w:val="nil"/>
              <w:bottom w:val="single" w:color="auto" w:sz="4" w:space="0"/>
              <w:right w:val="single" w:color="auto" w:sz="4" w:space="0"/>
            </w:tcBorders>
            <w:noWrap w:val="0"/>
            <w:vAlign w:val="center"/>
          </w:tcPr>
          <w:p w14:paraId="63AC2E07">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积存点状垃圾翻倍扣分，扣1分。</w:t>
            </w:r>
          </w:p>
        </w:tc>
      </w:tr>
      <w:tr w14:paraId="75551E1B">
        <w:tblPrEx>
          <w:tblCellMar>
            <w:top w:w="0" w:type="dxa"/>
            <w:left w:w="108" w:type="dxa"/>
            <w:bottom w:w="0" w:type="dxa"/>
            <w:right w:w="108" w:type="dxa"/>
          </w:tblCellMar>
        </w:tblPrEx>
        <w:trPr>
          <w:trHeight w:val="600" w:hRule="atLeast"/>
        </w:trPr>
        <w:tc>
          <w:tcPr>
            <w:tcW w:w="936" w:type="dxa"/>
            <w:vMerge w:val="continue"/>
            <w:tcBorders>
              <w:top w:val="single" w:color="auto" w:sz="4" w:space="0"/>
              <w:left w:val="single" w:color="auto" w:sz="4" w:space="0"/>
              <w:bottom w:val="nil"/>
              <w:right w:val="nil"/>
            </w:tcBorders>
            <w:noWrap w:val="0"/>
            <w:vAlign w:val="center"/>
          </w:tcPr>
          <w:p w14:paraId="4CEC5F22">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816" w:type="dxa"/>
            <w:vMerge w:val="continue"/>
            <w:tcBorders>
              <w:top w:val="single" w:color="auto" w:sz="4" w:space="0"/>
              <w:left w:val="single" w:color="auto" w:sz="4" w:space="0"/>
              <w:bottom w:val="single" w:color="000000" w:sz="4" w:space="0"/>
              <w:right w:val="single" w:color="auto" w:sz="4" w:space="0"/>
            </w:tcBorders>
            <w:noWrap w:val="0"/>
            <w:vAlign w:val="center"/>
          </w:tcPr>
          <w:p w14:paraId="0CEB3419">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3315" w:type="dxa"/>
            <w:vMerge w:val="continue"/>
            <w:tcBorders>
              <w:top w:val="nil"/>
              <w:left w:val="single" w:color="auto" w:sz="4" w:space="0"/>
              <w:bottom w:val="single" w:color="000000" w:sz="4" w:space="0"/>
              <w:right w:val="single" w:color="auto" w:sz="4" w:space="0"/>
            </w:tcBorders>
            <w:noWrap w:val="0"/>
            <w:vAlign w:val="center"/>
          </w:tcPr>
          <w:p w14:paraId="1A81CB83">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4645" w:type="dxa"/>
            <w:tcBorders>
              <w:top w:val="nil"/>
              <w:left w:val="nil"/>
              <w:bottom w:val="single" w:color="auto" w:sz="4" w:space="0"/>
              <w:right w:val="single" w:color="auto" w:sz="4" w:space="0"/>
            </w:tcBorders>
            <w:noWrap w:val="0"/>
            <w:vAlign w:val="center"/>
          </w:tcPr>
          <w:p w14:paraId="508FDB06">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袋装垃圾每处扣1分；堆状垃圾每处扣2～5分。</w:t>
            </w:r>
          </w:p>
        </w:tc>
      </w:tr>
      <w:tr w14:paraId="7C6E7001">
        <w:tblPrEx>
          <w:tblCellMar>
            <w:top w:w="0" w:type="dxa"/>
            <w:left w:w="108" w:type="dxa"/>
            <w:bottom w:w="0" w:type="dxa"/>
            <w:right w:w="108" w:type="dxa"/>
          </w:tblCellMar>
        </w:tblPrEx>
        <w:trPr>
          <w:trHeight w:val="900" w:hRule="atLeast"/>
        </w:trPr>
        <w:tc>
          <w:tcPr>
            <w:tcW w:w="936" w:type="dxa"/>
            <w:vMerge w:val="continue"/>
            <w:tcBorders>
              <w:top w:val="single" w:color="auto" w:sz="4" w:space="0"/>
              <w:left w:val="single" w:color="auto" w:sz="4" w:space="0"/>
              <w:bottom w:val="nil"/>
              <w:right w:val="nil"/>
            </w:tcBorders>
            <w:noWrap w:val="0"/>
            <w:vAlign w:val="center"/>
          </w:tcPr>
          <w:p w14:paraId="0FB5F636">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816" w:type="dxa"/>
            <w:vMerge w:val="continue"/>
            <w:tcBorders>
              <w:top w:val="single" w:color="auto" w:sz="4" w:space="0"/>
              <w:left w:val="single" w:color="auto" w:sz="4" w:space="0"/>
              <w:bottom w:val="single" w:color="000000" w:sz="4" w:space="0"/>
              <w:right w:val="single" w:color="auto" w:sz="4" w:space="0"/>
            </w:tcBorders>
            <w:noWrap w:val="0"/>
            <w:vAlign w:val="center"/>
          </w:tcPr>
          <w:p w14:paraId="582C8B0C">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3315" w:type="dxa"/>
            <w:vMerge w:val="continue"/>
            <w:tcBorders>
              <w:top w:val="nil"/>
              <w:left w:val="single" w:color="auto" w:sz="4" w:space="0"/>
              <w:bottom w:val="single" w:color="000000" w:sz="4" w:space="0"/>
              <w:right w:val="single" w:color="auto" w:sz="4" w:space="0"/>
            </w:tcBorders>
            <w:noWrap w:val="0"/>
            <w:vAlign w:val="center"/>
          </w:tcPr>
          <w:p w14:paraId="25C4C29E">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4645" w:type="dxa"/>
            <w:tcBorders>
              <w:top w:val="nil"/>
              <w:left w:val="nil"/>
              <w:bottom w:val="single" w:color="auto" w:sz="4" w:space="0"/>
              <w:right w:val="single" w:color="auto" w:sz="4" w:space="0"/>
            </w:tcBorders>
            <w:noWrap w:val="0"/>
            <w:vAlign w:val="center"/>
          </w:tcPr>
          <w:p w14:paraId="39A20856">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面状垃圾（三个及以上点状垃圾组成的、积泥、积沙、积水、油污、杂草等）1平方米以内每处扣1分；1～3平方米的每处扣2分；3平方米以上的每处扣5分。</w:t>
            </w:r>
          </w:p>
        </w:tc>
      </w:tr>
      <w:tr w14:paraId="75DDB557">
        <w:tblPrEx>
          <w:tblCellMar>
            <w:top w:w="0" w:type="dxa"/>
            <w:left w:w="108" w:type="dxa"/>
            <w:bottom w:w="0" w:type="dxa"/>
            <w:right w:w="108" w:type="dxa"/>
          </w:tblCellMar>
        </w:tblPrEx>
        <w:trPr>
          <w:trHeight w:val="600" w:hRule="atLeast"/>
        </w:trPr>
        <w:tc>
          <w:tcPr>
            <w:tcW w:w="936" w:type="dxa"/>
            <w:vMerge w:val="continue"/>
            <w:tcBorders>
              <w:top w:val="single" w:color="auto" w:sz="4" w:space="0"/>
              <w:left w:val="single" w:color="auto" w:sz="4" w:space="0"/>
              <w:bottom w:val="nil"/>
              <w:right w:val="nil"/>
            </w:tcBorders>
            <w:noWrap w:val="0"/>
            <w:vAlign w:val="center"/>
          </w:tcPr>
          <w:p w14:paraId="72180682">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816" w:type="dxa"/>
            <w:vMerge w:val="continue"/>
            <w:tcBorders>
              <w:top w:val="single" w:color="auto" w:sz="4" w:space="0"/>
              <w:left w:val="single" w:color="auto" w:sz="4" w:space="0"/>
              <w:bottom w:val="single" w:color="000000" w:sz="4" w:space="0"/>
              <w:right w:val="single" w:color="auto" w:sz="4" w:space="0"/>
            </w:tcBorders>
            <w:noWrap w:val="0"/>
            <w:vAlign w:val="center"/>
          </w:tcPr>
          <w:p w14:paraId="22300D88">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3315" w:type="dxa"/>
            <w:vMerge w:val="continue"/>
            <w:tcBorders>
              <w:top w:val="nil"/>
              <w:left w:val="single" w:color="auto" w:sz="4" w:space="0"/>
              <w:bottom w:val="single" w:color="000000" w:sz="4" w:space="0"/>
              <w:right w:val="single" w:color="auto" w:sz="4" w:space="0"/>
            </w:tcBorders>
            <w:noWrap w:val="0"/>
            <w:vAlign w:val="center"/>
          </w:tcPr>
          <w:p w14:paraId="4E61C5EA">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4645" w:type="dxa"/>
            <w:tcBorders>
              <w:top w:val="nil"/>
              <w:left w:val="nil"/>
              <w:bottom w:val="single" w:color="auto" w:sz="4" w:space="0"/>
              <w:right w:val="single" w:color="auto" w:sz="4" w:space="0"/>
            </w:tcBorders>
            <w:noWrap w:val="0"/>
            <w:vAlign w:val="center"/>
          </w:tcPr>
          <w:p w14:paraId="419A9E68">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交通隔离栏有明显灰尘或污迹、每条段（每10米）扣2分。</w:t>
            </w:r>
          </w:p>
        </w:tc>
      </w:tr>
      <w:tr w14:paraId="6AC46A69">
        <w:tblPrEx>
          <w:tblCellMar>
            <w:top w:w="0" w:type="dxa"/>
            <w:left w:w="108" w:type="dxa"/>
            <w:bottom w:w="0" w:type="dxa"/>
            <w:right w:w="108" w:type="dxa"/>
          </w:tblCellMar>
        </w:tblPrEx>
        <w:trPr>
          <w:trHeight w:val="600" w:hRule="atLeast"/>
        </w:trPr>
        <w:tc>
          <w:tcPr>
            <w:tcW w:w="936" w:type="dxa"/>
            <w:vMerge w:val="continue"/>
            <w:tcBorders>
              <w:top w:val="single" w:color="auto" w:sz="4" w:space="0"/>
              <w:left w:val="single" w:color="auto" w:sz="4" w:space="0"/>
              <w:bottom w:val="nil"/>
              <w:right w:val="nil"/>
            </w:tcBorders>
            <w:noWrap w:val="0"/>
            <w:vAlign w:val="center"/>
          </w:tcPr>
          <w:p w14:paraId="6B7B1651">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816" w:type="dxa"/>
            <w:vMerge w:val="restart"/>
            <w:tcBorders>
              <w:top w:val="nil"/>
              <w:left w:val="single" w:color="auto" w:sz="4" w:space="0"/>
              <w:bottom w:val="single" w:color="000000" w:sz="4" w:space="0"/>
              <w:right w:val="single" w:color="auto" w:sz="4" w:space="0"/>
            </w:tcBorders>
            <w:noWrap w:val="0"/>
            <w:vAlign w:val="center"/>
          </w:tcPr>
          <w:p w14:paraId="3C23E788">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(B)</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规</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范</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指</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标</w:t>
            </w:r>
          </w:p>
        </w:tc>
        <w:tc>
          <w:tcPr>
            <w:tcW w:w="3315" w:type="dxa"/>
            <w:vMerge w:val="restart"/>
            <w:tcBorders>
              <w:top w:val="nil"/>
              <w:left w:val="single" w:color="auto" w:sz="4" w:space="0"/>
              <w:bottom w:val="single" w:color="000000" w:sz="4" w:space="0"/>
              <w:right w:val="single" w:color="auto" w:sz="4" w:space="0"/>
            </w:tcBorders>
            <w:noWrap w:val="0"/>
            <w:vAlign w:val="center"/>
          </w:tcPr>
          <w:p w14:paraId="24F2DC78">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（2）文明作业，遵章守纪，作业时穿着统一工作服并保持衣着整洁，佩戴环卫人员信息卡（手环），道路保洁使用的各类环卫作业工具有序放置，保持整洁；</w:t>
            </w:r>
          </w:p>
        </w:tc>
        <w:tc>
          <w:tcPr>
            <w:tcW w:w="4645" w:type="dxa"/>
            <w:tcBorders>
              <w:top w:val="nil"/>
              <w:left w:val="nil"/>
              <w:bottom w:val="single" w:color="auto" w:sz="4" w:space="0"/>
              <w:right w:val="single" w:color="auto" w:sz="4" w:space="0"/>
            </w:tcBorders>
            <w:noWrap w:val="0"/>
            <w:vAlign w:val="center"/>
          </w:tcPr>
          <w:p w14:paraId="703A6CFD">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未按规定穿着统一工作服，穿着不规范不整洁（未全套穿着），未佩戴环卫人员信息卡（手环），每项每人次扣2分。</w:t>
            </w:r>
          </w:p>
        </w:tc>
      </w:tr>
      <w:tr w14:paraId="35C30C85">
        <w:tblPrEx>
          <w:tblCellMar>
            <w:top w:w="0" w:type="dxa"/>
            <w:left w:w="108" w:type="dxa"/>
            <w:bottom w:w="0" w:type="dxa"/>
            <w:right w:w="108" w:type="dxa"/>
          </w:tblCellMar>
        </w:tblPrEx>
        <w:trPr>
          <w:trHeight w:val="600" w:hRule="atLeast"/>
        </w:trPr>
        <w:tc>
          <w:tcPr>
            <w:tcW w:w="936" w:type="dxa"/>
            <w:vMerge w:val="continue"/>
            <w:tcBorders>
              <w:top w:val="single" w:color="auto" w:sz="4" w:space="0"/>
              <w:left w:val="single" w:color="auto" w:sz="4" w:space="0"/>
              <w:bottom w:val="nil"/>
              <w:right w:val="nil"/>
            </w:tcBorders>
            <w:noWrap w:val="0"/>
            <w:vAlign w:val="center"/>
          </w:tcPr>
          <w:p w14:paraId="4EF80DD7">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816" w:type="dxa"/>
            <w:vMerge w:val="continue"/>
            <w:tcBorders>
              <w:top w:val="nil"/>
              <w:left w:val="single" w:color="auto" w:sz="4" w:space="0"/>
              <w:bottom w:val="single" w:color="000000" w:sz="4" w:space="0"/>
              <w:right w:val="single" w:color="auto" w:sz="4" w:space="0"/>
            </w:tcBorders>
            <w:noWrap w:val="0"/>
            <w:vAlign w:val="center"/>
          </w:tcPr>
          <w:p w14:paraId="0FD0E22B">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3315" w:type="dxa"/>
            <w:vMerge w:val="continue"/>
            <w:tcBorders>
              <w:top w:val="nil"/>
              <w:left w:val="single" w:color="auto" w:sz="4" w:space="0"/>
              <w:bottom w:val="single" w:color="000000" w:sz="4" w:space="0"/>
              <w:right w:val="single" w:color="auto" w:sz="4" w:space="0"/>
            </w:tcBorders>
            <w:noWrap w:val="0"/>
            <w:vAlign w:val="center"/>
          </w:tcPr>
          <w:p w14:paraId="57D26C6A">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4645" w:type="dxa"/>
            <w:tcBorders>
              <w:top w:val="nil"/>
              <w:left w:val="nil"/>
              <w:bottom w:val="single" w:color="auto" w:sz="4" w:space="0"/>
              <w:right w:val="single" w:color="auto" w:sz="4" w:space="0"/>
            </w:tcBorders>
            <w:noWrap w:val="0"/>
            <w:vAlign w:val="center"/>
          </w:tcPr>
          <w:p w14:paraId="281E59C5">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工作时间内聚堆闲聊、瞌睡、言语举止不文明、拾捡废品等与作业无关的事项，每起扣2分。</w:t>
            </w:r>
          </w:p>
        </w:tc>
      </w:tr>
      <w:tr w14:paraId="6D4E3344">
        <w:tblPrEx>
          <w:tblCellMar>
            <w:top w:w="0" w:type="dxa"/>
            <w:left w:w="108" w:type="dxa"/>
            <w:bottom w:w="0" w:type="dxa"/>
            <w:right w:w="108" w:type="dxa"/>
          </w:tblCellMar>
        </w:tblPrEx>
        <w:trPr>
          <w:trHeight w:val="600" w:hRule="atLeast"/>
        </w:trPr>
        <w:tc>
          <w:tcPr>
            <w:tcW w:w="936" w:type="dxa"/>
            <w:vMerge w:val="continue"/>
            <w:tcBorders>
              <w:top w:val="single" w:color="auto" w:sz="4" w:space="0"/>
              <w:left w:val="single" w:color="auto" w:sz="4" w:space="0"/>
              <w:bottom w:val="nil"/>
              <w:right w:val="nil"/>
            </w:tcBorders>
            <w:noWrap w:val="0"/>
            <w:vAlign w:val="center"/>
          </w:tcPr>
          <w:p w14:paraId="1FB28F7C">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816" w:type="dxa"/>
            <w:vMerge w:val="continue"/>
            <w:tcBorders>
              <w:top w:val="nil"/>
              <w:left w:val="single" w:color="auto" w:sz="4" w:space="0"/>
              <w:bottom w:val="single" w:color="000000" w:sz="4" w:space="0"/>
              <w:right w:val="single" w:color="auto" w:sz="4" w:space="0"/>
            </w:tcBorders>
            <w:noWrap w:val="0"/>
            <w:vAlign w:val="center"/>
          </w:tcPr>
          <w:p w14:paraId="45C909A9">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3315" w:type="dxa"/>
            <w:vMerge w:val="continue"/>
            <w:tcBorders>
              <w:top w:val="nil"/>
              <w:left w:val="single" w:color="auto" w:sz="4" w:space="0"/>
              <w:bottom w:val="single" w:color="000000" w:sz="4" w:space="0"/>
              <w:right w:val="single" w:color="auto" w:sz="4" w:space="0"/>
            </w:tcBorders>
            <w:noWrap w:val="0"/>
            <w:vAlign w:val="center"/>
          </w:tcPr>
          <w:p w14:paraId="0557FAB4">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4645" w:type="dxa"/>
            <w:tcBorders>
              <w:top w:val="nil"/>
              <w:left w:val="nil"/>
              <w:bottom w:val="single" w:color="auto" w:sz="4" w:space="0"/>
              <w:right w:val="single" w:color="auto" w:sz="4" w:space="0"/>
            </w:tcBorders>
            <w:noWrap w:val="0"/>
            <w:vAlign w:val="center"/>
          </w:tcPr>
          <w:p w14:paraId="4AFB8F37">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作业人员将垃圾扫入或倒入绿化带、污（雨）水井、河道、空（田、林）地或企事业单位、生活小区围墙内，每次扣5分。</w:t>
            </w:r>
          </w:p>
        </w:tc>
      </w:tr>
      <w:tr w14:paraId="4E0244B3">
        <w:tblPrEx>
          <w:tblCellMar>
            <w:top w:w="0" w:type="dxa"/>
            <w:left w:w="108" w:type="dxa"/>
            <w:bottom w:w="0" w:type="dxa"/>
            <w:right w:w="108" w:type="dxa"/>
          </w:tblCellMar>
        </w:tblPrEx>
        <w:trPr>
          <w:trHeight w:val="600" w:hRule="atLeast"/>
        </w:trPr>
        <w:tc>
          <w:tcPr>
            <w:tcW w:w="936" w:type="dxa"/>
            <w:vMerge w:val="continue"/>
            <w:tcBorders>
              <w:top w:val="single" w:color="auto" w:sz="4" w:space="0"/>
              <w:left w:val="single" w:color="auto" w:sz="4" w:space="0"/>
              <w:bottom w:val="nil"/>
              <w:right w:val="nil"/>
            </w:tcBorders>
            <w:noWrap w:val="0"/>
            <w:vAlign w:val="center"/>
          </w:tcPr>
          <w:p w14:paraId="764CA241">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816" w:type="dxa"/>
            <w:vMerge w:val="continue"/>
            <w:tcBorders>
              <w:top w:val="nil"/>
              <w:left w:val="single" w:color="auto" w:sz="4" w:space="0"/>
              <w:bottom w:val="single" w:color="000000" w:sz="4" w:space="0"/>
              <w:right w:val="single" w:color="auto" w:sz="4" w:space="0"/>
            </w:tcBorders>
            <w:noWrap w:val="0"/>
            <w:vAlign w:val="center"/>
          </w:tcPr>
          <w:p w14:paraId="337DB397">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3315" w:type="dxa"/>
            <w:vMerge w:val="continue"/>
            <w:tcBorders>
              <w:top w:val="nil"/>
              <w:left w:val="single" w:color="auto" w:sz="4" w:space="0"/>
              <w:bottom w:val="single" w:color="000000" w:sz="4" w:space="0"/>
              <w:right w:val="single" w:color="auto" w:sz="4" w:space="0"/>
            </w:tcBorders>
            <w:noWrap w:val="0"/>
            <w:vAlign w:val="center"/>
          </w:tcPr>
          <w:p w14:paraId="78CBCAB9">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4645" w:type="dxa"/>
            <w:tcBorders>
              <w:top w:val="nil"/>
              <w:left w:val="nil"/>
              <w:bottom w:val="single" w:color="auto" w:sz="4" w:space="0"/>
              <w:right w:val="single" w:color="auto" w:sz="4" w:space="0"/>
            </w:tcBorders>
            <w:noWrap w:val="0"/>
            <w:vAlign w:val="center"/>
          </w:tcPr>
          <w:p w14:paraId="30071D2B">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作业人员有焚烧垃圾、树叶等杂物的行为，每起扣10分。</w:t>
            </w:r>
          </w:p>
        </w:tc>
      </w:tr>
      <w:tr w14:paraId="6A69A276">
        <w:tblPrEx>
          <w:tblCellMar>
            <w:top w:w="0" w:type="dxa"/>
            <w:left w:w="108" w:type="dxa"/>
            <w:bottom w:w="0" w:type="dxa"/>
            <w:right w:w="108" w:type="dxa"/>
          </w:tblCellMar>
        </w:tblPrEx>
        <w:trPr>
          <w:trHeight w:val="600" w:hRule="atLeast"/>
        </w:trPr>
        <w:tc>
          <w:tcPr>
            <w:tcW w:w="936" w:type="dxa"/>
            <w:vMerge w:val="continue"/>
            <w:tcBorders>
              <w:top w:val="single" w:color="auto" w:sz="4" w:space="0"/>
              <w:left w:val="single" w:color="auto" w:sz="4" w:space="0"/>
              <w:bottom w:val="nil"/>
              <w:right w:val="nil"/>
            </w:tcBorders>
            <w:noWrap w:val="0"/>
            <w:vAlign w:val="center"/>
          </w:tcPr>
          <w:p w14:paraId="79B76BBE">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816" w:type="dxa"/>
            <w:vMerge w:val="continue"/>
            <w:tcBorders>
              <w:top w:val="nil"/>
              <w:left w:val="single" w:color="auto" w:sz="4" w:space="0"/>
              <w:bottom w:val="single" w:color="000000" w:sz="4" w:space="0"/>
              <w:right w:val="single" w:color="auto" w:sz="4" w:space="0"/>
            </w:tcBorders>
            <w:noWrap w:val="0"/>
            <w:vAlign w:val="center"/>
          </w:tcPr>
          <w:p w14:paraId="35F934FB">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3315" w:type="dxa"/>
            <w:vMerge w:val="continue"/>
            <w:tcBorders>
              <w:top w:val="nil"/>
              <w:left w:val="single" w:color="auto" w:sz="4" w:space="0"/>
              <w:bottom w:val="single" w:color="000000" w:sz="4" w:space="0"/>
              <w:right w:val="single" w:color="auto" w:sz="4" w:space="0"/>
            </w:tcBorders>
            <w:noWrap w:val="0"/>
            <w:vAlign w:val="center"/>
          </w:tcPr>
          <w:p w14:paraId="57228B6D">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4645" w:type="dxa"/>
            <w:tcBorders>
              <w:top w:val="nil"/>
              <w:left w:val="nil"/>
              <w:bottom w:val="single" w:color="auto" w:sz="4" w:space="0"/>
              <w:right w:val="single" w:color="auto" w:sz="4" w:space="0"/>
            </w:tcBorders>
            <w:noWrap w:val="0"/>
            <w:vAlign w:val="center"/>
          </w:tcPr>
          <w:p w14:paraId="15C7471E">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作业人员收集垃圾等作业不规范行为造成二次污染的，每起扣5分。</w:t>
            </w:r>
          </w:p>
        </w:tc>
      </w:tr>
      <w:tr w14:paraId="377AE385">
        <w:tblPrEx>
          <w:tblCellMar>
            <w:top w:w="0" w:type="dxa"/>
            <w:left w:w="108" w:type="dxa"/>
            <w:bottom w:w="0" w:type="dxa"/>
            <w:right w:w="108" w:type="dxa"/>
          </w:tblCellMar>
        </w:tblPrEx>
        <w:trPr>
          <w:trHeight w:val="600" w:hRule="atLeast"/>
        </w:trPr>
        <w:tc>
          <w:tcPr>
            <w:tcW w:w="936" w:type="dxa"/>
            <w:vMerge w:val="continue"/>
            <w:tcBorders>
              <w:top w:val="single" w:color="auto" w:sz="4" w:space="0"/>
              <w:left w:val="single" w:color="auto" w:sz="4" w:space="0"/>
              <w:bottom w:val="nil"/>
              <w:right w:val="nil"/>
            </w:tcBorders>
            <w:noWrap w:val="0"/>
            <w:vAlign w:val="center"/>
          </w:tcPr>
          <w:p w14:paraId="41B55120">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816" w:type="dxa"/>
            <w:vMerge w:val="continue"/>
            <w:tcBorders>
              <w:top w:val="nil"/>
              <w:left w:val="single" w:color="auto" w:sz="4" w:space="0"/>
              <w:bottom w:val="single" w:color="000000" w:sz="4" w:space="0"/>
              <w:right w:val="single" w:color="auto" w:sz="4" w:space="0"/>
            </w:tcBorders>
            <w:noWrap w:val="0"/>
            <w:vAlign w:val="center"/>
          </w:tcPr>
          <w:p w14:paraId="4F712047">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3315" w:type="dxa"/>
            <w:vMerge w:val="continue"/>
            <w:tcBorders>
              <w:top w:val="nil"/>
              <w:left w:val="single" w:color="auto" w:sz="4" w:space="0"/>
              <w:bottom w:val="single" w:color="000000" w:sz="4" w:space="0"/>
              <w:right w:val="single" w:color="auto" w:sz="4" w:space="0"/>
            </w:tcBorders>
            <w:noWrap w:val="0"/>
            <w:vAlign w:val="center"/>
          </w:tcPr>
          <w:p w14:paraId="046BCED0">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4645" w:type="dxa"/>
            <w:tcBorders>
              <w:top w:val="nil"/>
              <w:left w:val="nil"/>
              <w:bottom w:val="single" w:color="auto" w:sz="4" w:space="0"/>
              <w:right w:val="single" w:color="auto" w:sz="4" w:space="0"/>
            </w:tcBorders>
            <w:noWrap w:val="0"/>
            <w:vAlign w:val="center"/>
          </w:tcPr>
          <w:p w14:paraId="25E7068D">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作业工具、作业车辆随意摆放，每处扣2分。</w:t>
            </w:r>
          </w:p>
        </w:tc>
      </w:tr>
      <w:tr w14:paraId="5BD309A3">
        <w:tblPrEx>
          <w:tblCellMar>
            <w:top w:w="0" w:type="dxa"/>
            <w:left w:w="108" w:type="dxa"/>
            <w:bottom w:w="0" w:type="dxa"/>
            <w:right w:w="108" w:type="dxa"/>
          </w:tblCellMar>
        </w:tblPrEx>
        <w:trPr>
          <w:trHeight w:val="600" w:hRule="atLeast"/>
        </w:trPr>
        <w:tc>
          <w:tcPr>
            <w:tcW w:w="936" w:type="dxa"/>
            <w:vMerge w:val="continue"/>
            <w:tcBorders>
              <w:top w:val="single" w:color="auto" w:sz="4" w:space="0"/>
              <w:left w:val="single" w:color="auto" w:sz="4" w:space="0"/>
              <w:bottom w:val="nil"/>
              <w:right w:val="nil"/>
            </w:tcBorders>
            <w:noWrap w:val="0"/>
            <w:vAlign w:val="center"/>
          </w:tcPr>
          <w:p w14:paraId="63C2F749">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816" w:type="dxa"/>
            <w:vMerge w:val="restart"/>
            <w:tcBorders>
              <w:top w:val="nil"/>
              <w:left w:val="single" w:color="auto" w:sz="4" w:space="0"/>
              <w:bottom w:val="single" w:color="auto" w:sz="4" w:space="0"/>
              <w:right w:val="single" w:color="auto" w:sz="4" w:space="0"/>
            </w:tcBorders>
            <w:noWrap w:val="0"/>
            <w:vAlign w:val="center"/>
          </w:tcPr>
          <w:p w14:paraId="5C7FDE27">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（C） 作</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业</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车</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辆</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作</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业</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管</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理</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指</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 xml:space="preserve">标        </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br w:type="textWrapping"/>
            </w:r>
          </w:p>
        </w:tc>
        <w:tc>
          <w:tcPr>
            <w:tcW w:w="3315" w:type="dxa"/>
            <w:tcBorders>
              <w:top w:val="nil"/>
              <w:left w:val="nil"/>
              <w:bottom w:val="single" w:color="auto" w:sz="4" w:space="0"/>
              <w:right w:val="single" w:color="auto" w:sz="4" w:space="0"/>
            </w:tcBorders>
            <w:noWrap w:val="0"/>
            <w:vAlign w:val="center"/>
          </w:tcPr>
          <w:p w14:paraId="6F461814">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⑴作业人员作业时应穿戴统一、整洁、有警示标识的工作服；</w:t>
            </w:r>
          </w:p>
        </w:tc>
        <w:tc>
          <w:tcPr>
            <w:tcW w:w="4645" w:type="dxa"/>
            <w:tcBorders>
              <w:top w:val="nil"/>
              <w:left w:val="nil"/>
              <w:bottom w:val="single" w:color="auto" w:sz="4" w:space="0"/>
              <w:right w:val="single" w:color="auto" w:sz="4" w:space="0"/>
            </w:tcBorders>
            <w:noWrap w:val="0"/>
            <w:vAlign w:val="center"/>
          </w:tcPr>
          <w:p w14:paraId="63F5458D">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作业时未穿戴统一、整洁、有警示标识的工作服，每人次扣2分。</w:t>
            </w:r>
          </w:p>
        </w:tc>
      </w:tr>
      <w:tr w14:paraId="5F2EBA1F">
        <w:tblPrEx>
          <w:tblCellMar>
            <w:top w:w="0" w:type="dxa"/>
            <w:left w:w="108" w:type="dxa"/>
            <w:bottom w:w="0" w:type="dxa"/>
            <w:right w:w="108" w:type="dxa"/>
          </w:tblCellMar>
        </w:tblPrEx>
        <w:trPr>
          <w:trHeight w:val="919" w:hRule="atLeast"/>
        </w:trPr>
        <w:tc>
          <w:tcPr>
            <w:tcW w:w="936" w:type="dxa"/>
            <w:vMerge w:val="continue"/>
            <w:tcBorders>
              <w:top w:val="single" w:color="auto" w:sz="4" w:space="0"/>
              <w:left w:val="single" w:color="auto" w:sz="4" w:space="0"/>
              <w:bottom w:val="nil"/>
              <w:right w:val="nil"/>
            </w:tcBorders>
            <w:noWrap w:val="0"/>
            <w:vAlign w:val="center"/>
          </w:tcPr>
          <w:p w14:paraId="2DBFC362">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816" w:type="dxa"/>
            <w:vMerge w:val="continue"/>
            <w:tcBorders>
              <w:top w:val="nil"/>
              <w:left w:val="single" w:color="auto" w:sz="4" w:space="0"/>
              <w:bottom w:val="single" w:color="auto" w:sz="4" w:space="0"/>
              <w:right w:val="single" w:color="auto" w:sz="4" w:space="0"/>
            </w:tcBorders>
            <w:noWrap w:val="0"/>
            <w:vAlign w:val="center"/>
          </w:tcPr>
          <w:p w14:paraId="7840F38B">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3315" w:type="dxa"/>
            <w:tcBorders>
              <w:top w:val="nil"/>
              <w:left w:val="nil"/>
              <w:bottom w:val="single" w:color="auto" w:sz="4" w:space="0"/>
              <w:right w:val="single" w:color="auto" w:sz="4" w:space="0"/>
            </w:tcBorders>
            <w:noWrap w:val="0"/>
            <w:vAlign w:val="center"/>
          </w:tcPr>
          <w:p w14:paraId="5C2DA156">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(2)机械化作业车辆需按照规定的时间、线路、频次和作业模式进行作业,作业里程数需符合要求；</w:t>
            </w:r>
          </w:p>
        </w:tc>
        <w:tc>
          <w:tcPr>
            <w:tcW w:w="4645" w:type="dxa"/>
            <w:tcBorders>
              <w:top w:val="nil"/>
              <w:left w:val="nil"/>
              <w:bottom w:val="single" w:color="auto" w:sz="4" w:space="0"/>
              <w:right w:val="single" w:color="auto" w:sz="4" w:space="0"/>
            </w:tcBorders>
            <w:noWrap w:val="0"/>
            <w:vAlign w:val="center"/>
          </w:tcPr>
          <w:p w14:paraId="4C245685">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不按照规定的时间、线路、频次作业的扣5分/辆.次、机械化作业量少于核定数的，扣0.5分/公里。</w:t>
            </w:r>
          </w:p>
        </w:tc>
      </w:tr>
      <w:tr w14:paraId="0887B09B">
        <w:tblPrEx>
          <w:tblCellMar>
            <w:top w:w="0" w:type="dxa"/>
            <w:left w:w="108" w:type="dxa"/>
            <w:bottom w:w="0" w:type="dxa"/>
            <w:right w:w="108" w:type="dxa"/>
          </w:tblCellMar>
        </w:tblPrEx>
        <w:trPr>
          <w:trHeight w:val="960" w:hRule="atLeast"/>
        </w:trPr>
        <w:tc>
          <w:tcPr>
            <w:tcW w:w="936" w:type="dxa"/>
            <w:vMerge w:val="continue"/>
            <w:tcBorders>
              <w:top w:val="single" w:color="auto" w:sz="4" w:space="0"/>
              <w:left w:val="single" w:color="auto" w:sz="4" w:space="0"/>
              <w:bottom w:val="nil"/>
              <w:right w:val="nil"/>
            </w:tcBorders>
            <w:noWrap w:val="0"/>
            <w:vAlign w:val="center"/>
          </w:tcPr>
          <w:p w14:paraId="0A380F1C">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816" w:type="dxa"/>
            <w:vMerge w:val="continue"/>
            <w:tcBorders>
              <w:top w:val="nil"/>
              <w:left w:val="single" w:color="auto" w:sz="4" w:space="0"/>
              <w:bottom w:val="single" w:color="auto" w:sz="4" w:space="0"/>
              <w:right w:val="single" w:color="auto" w:sz="4" w:space="0"/>
            </w:tcBorders>
            <w:noWrap w:val="0"/>
            <w:vAlign w:val="center"/>
          </w:tcPr>
          <w:p w14:paraId="5714BCBA">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3315" w:type="dxa"/>
            <w:tcBorders>
              <w:top w:val="nil"/>
              <w:left w:val="nil"/>
              <w:bottom w:val="single" w:color="auto" w:sz="4" w:space="0"/>
              <w:right w:val="single" w:color="auto" w:sz="4" w:space="0"/>
            </w:tcBorders>
            <w:noWrap w:val="0"/>
            <w:vAlign w:val="center"/>
          </w:tcPr>
          <w:p w14:paraId="5614DB25">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（3）环卫机械化作业应使用GPS定位、车辆称重系统、行车记录仪等系统信息化手段进行监管，信号输出必须与智慧环卫系统联网；</w:t>
            </w:r>
          </w:p>
        </w:tc>
        <w:tc>
          <w:tcPr>
            <w:tcW w:w="4645" w:type="dxa"/>
            <w:tcBorders>
              <w:top w:val="nil"/>
              <w:left w:val="nil"/>
              <w:bottom w:val="single" w:color="auto" w:sz="4" w:space="0"/>
              <w:right w:val="single" w:color="auto" w:sz="4" w:space="0"/>
            </w:tcBorders>
            <w:noWrap w:val="0"/>
            <w:vAlign w:val="center"/>
          </w:tcPr>
          <w:p w14:paraId="71B80161">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未配备或故意损坏的扣20分/辆、人为导致信号未正常输出的车辆扣10分/辆.次、未安装导航及行车记录仪或故意损坏扣20分/辆.次。</w:t>
            </w:r>
          </w:p>
        </w:tc>
      </w:tr>
      <w:tr w14:paraId="034D93BD">
        <w:tblPrEx>
          <w:tblCellMar>
            <w:top w:w="0" w:type="dxa"/>
            <w:left w:w="108" w:type="dxa"/>
            <w:bottom w:w="0" w:type="dxa"/>
            <w:right w:w="108" w:type="dxa"/>
          </w:tblCellMar>
        </w:tblPrEx>
        <w:trPr>
          <w:trHeight w:val="600" w:hRule="atLeast"/>
        </w:trPr>
        <w:tc>
          <w:tcPr>
            <w:tcW w:w="936" w:type="dxa"/>
            <w:vMerge w:val="continue"/>
            <w:tcBorders>
              <w:top w:val="single" w:color="auto" w:sz="4" w:space="0"/>
              <w:left w:val="single" w:color="auto" w:sz="4" w:space="0"/>
              <w:bottom w:val="nil"/>
              <w:right w:val="nil"/>
            </w:tcBorders>
            <w:noWrap w:val="0"/>
            <w:vAlign w:val="center"/>
          </w:tcPr>
          <w:p w14:paraId="16520B34">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816" w:type="dxa"/>
            <w:vMerge w:val="continue"/>
            <w:tcBorders>
              <w:top w:val="nil"/>
              <w:left w:val="single" w:color="auto" w:sz="4" w:space="0"/>
              <w:bottom w:val="single" w:color="auto" w:sz="4" w:space="0"/>
              <w:right w:val="single" w:color="auto" w:sz="4" w:space="0"/>
            </w:tcBorders>
            <w:noWrap w:val="0"/>
            <w:vAlign w:val="center"/>
          </w:tcPr>
          <w:p w14:paraId="194FE3F7">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3315" w:type="dxa"/>
            <w:tcBorders>
              <w:top w:val="nil"/>
              <w:left w:val="nil"/>
              <w:bottom w:val="single" w:color="auto" w:sz="4" w:space="0"/>
              <w:right w:val="single" w:color="auto" w:sz="4" w:space="0"/>
            </w:tcBorders>
            <w:noWrap w:val="0"/>
            <w:vAlign w:val="center"/>
          </w:tcPr>
          <w:p w14:paraId="31B793CF">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（4）由于天气原因需调整作业时，应及时向环卫部门汇报后由环卫部门批准以临时调整作业；</w:t>
            </w:r>
          </w:p>
        </w:tc>
        <w:tc>
          <w:tcPr>
            <w:tcW w:w="4645" w:type="dxa"/>
            <w:tcBorders>
              <w:top w:val="nil"/>
              <w:left w:val="nil"/>
              <w:bottom w:val="single" w:color="auto" w:sz="4" w:space="0"/>
              <w:right w:val="single" w:color="auto" w:sz="4" w:space="0"/>
            </w:tcBorders>
            <w:noWrap w:val="0"/>
            <w:vAlign w:val="center"/>
          </w:tcPr>
          <w:p w14:paraId="024D6909">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未向环卫部门汇报的扣5分/次。</w:t>
            </w:r>
          </w:p>
        </w:tc>
      </w:tr>
      <w:tr w14:paraId="34E32593">
        <w:tblPrEx>
          <w:tblCellMar>
            <w:top w:w="0" w:type="dxa"/>
            <w:left w:w="108" w:type="dxa"/>
            <w:bottom w:w="0" w:type="dxa"/>
            <w:right w:w="108" w:type="dxa"/>
          </w:tblCellMar>
        </w:tblPrEx>
        <w:trPr>
          <w:trHeight w:val="735" w:hRule="atLeast"/>
        </w:trPr>
        <w:tc>
          <w:tcPr>
            <w:tcW w:w="936" w:type="dxa"/>
            <w:vMerge w:val="continue"/>
            <w:tcBorders>
              <w:top w:val="single" w:color="auto" w:sz="4" w:space="0"/>
              <w:left w:val="single" w:color="auto" w:sz="4" w:space="0"/>
              <w:bottom w:val="nil"/>
              <w:right w:val="nil"/>
            </w:tcBorders>
            <w:noWrap w:val="0"/>
            <w:vAlign w:val="center"/>
          </w:tcPr>
          <w:p w14:paraId="6DC52855">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816" w:type="dxa"/>
            <w:vMerge w:val="continue"/>
            <w:tcBorders>
              <w:top w:val="nil"/>
              <w:left w:val="single" w:color="auto" w:sz="4" w:space="0"/>
              <w:bottom w:val="single" w:color="auto" w:sz="4" w:space="0"/>
              <w:right w:val="single" w:color="auto" w:sz="4" w:space="0"/>
            </w:tcBorders>
            <w:noWrap w:val="0"/>
            <w:vAlign w:val="center"/>
          </w:tcPr>
          <w:p w14:paraId="5002912B">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3315" w:type="dxa"/>
            <w:tcBorders>
              <w:top w:val="nil"/>
              <w:left w:val="nil"/>
              <w:bottom w:val="single" w:color="auto" w:sz="4" w:space="0"/>
              <w:right w:val="single" w:color="auto" w:sz="4" w:space="0"/>
            </w:tcBorders>
            <w:noWrap w:val="0"/>
            <w:vAlign w:val="center"/>
          </w:tcPr>
          <w:p w14:paraId="4556BDC3">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（5）洗扫车在非特殊气候情况下必须采取湿扫，当气温≤5℃时，应暂停桥面、坡道、高架的冲洗及清洗作业，当气温≤2℃时，所有路面及附属设施冲洗及清洗作业应停止，道路作业采用不喷水作业方式。</w:t>
            </w:r>
          </w:p>
        </w:tc>
        <w:tc>
          <w:tcPr>
            <w:tcW w:w="4645" w:type="dxa"/>
            <w:tcBorders>
              <w:top w:val="nil"/>
              <w:left w:val="nil"/>
              <w:bottom w:val="single" w:color="auto" w:sz="4" w:space="0"/>
              <w:right w:val="single" w:color="auto" w:sz="4" w:space="0"/>
            </w:tcBorders>
            <w:noWrap w:val="0"/>
            <w:vAlign w:val="center"/>
          </w:tcPr>
          <w:p w14:paraId="4831858D">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未按要求进行作业的扣10分/次。</w:t>
            </w:r>
          </w:p>
        </w:tc>
      </w:tr>
      <w:tr w14:paraId="549587AC">
        <w:tblPrEx>
          <w:tblCellMar>
            <w:top w:w="0" w:type="dxa"/>
            <w:left w:w="108" w:type="dxa"/>
            <w:bottom w:w="0" w:type="dxa"/>
            <w:right w:w="108" w:type="dxa"/>
          </w:tblCellMar>
        </w:tblPrEx>
        <w:trPr>
          <w:trHeight w:val="600" w:hRule="atLeast"/>
        </w:trPr>
        <w:tc>
          <w:tcPr>
            <w:tcW w:w="936" w:type="dxa"/>
            <w:vMerge w:val="continue"/>
            <w:tcBorders>
              <w:top w:val="single" w:color="auto" w:sz="4" w:space="0"/>
              <w:left w:val="single" w:color="auto" w:sz="4" w:space="0"/>
              <w:bottom w:val="nil"/>
              <w:right w:val="nil"/>
            </w:tcBorders>
            <w:noWrap w:val="0"/>
            <w:vAlign w:val="center"/>
          </w:tcPr>
          <w:p w14:paraId="675863E2">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816" w:type="dxa"/>
            <w:vMerge w:val="continue"/>
            <w:tcBorders>
              <w:top w:val="nil"/>
              <w:left w:val="single" w:color="auto" w:sz="4" w:space="0"/>
              <w:bottom w:val="single" w:color="auto" w:sz="4" w:space="0"/>
              <w:right w:val="single" w:color="auto" w:sz="4" w:space="0"/>
            </w:tcBorders>
            <w:noWrap w:val="0"/>
            <w:vAlign w:val="center"/>
          </w:tcPr>
          <w:p w14:paraId="6D3029CA">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3315" w:type="dxa"/>
            <w:tcBorders>
              <w:top w:val="nil"/>
              <w:left w:val="nil"/>
              <w:bottom w:val="single" w:color="auto" w:sz="4" w:space="0"/>
              <w:right w:val="single" w:color="auto" w:sz="4" w:space="0"/>
            </w:tcBorders>
            <w:noWrap w:val="0"/>
            <w:vAlign w:val="center"/>
          </w:tcPr>
          <w:p w14:paraId="0CAF5D5A">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（6）作业车辆由于故障或发生事故，其它不可抗拒原因不能正常作业，应与环卫</w:t>
            </w:r>
            <w:r>
              <w:rPr>
                <w:rFonts w:hint="eastAsia" w:ascii="宋体" w:hAnsi="宋体" w:cs="宋体"/>
                <w:color w:val="auto"/>
                <w:kern w:val="0"/>
                <w:sz w:val="21"/>
                <w:szCs w:val="21"/>
                <w:highlight w:val="none"/>
                <w:lang w:eastAsia="zh-CN"/>
              </w:rPr>
              <w:t>部门</w:t>
            </w:r>
            <w:r>
              <w:rPr>
                <w:rFonts w:hint="eastAsia" w:ascii="宋体" w:hAnsi="宋体" w:eastAsia="宋体" w:cs="宋体"/>
                <w:color w:val="auto"/>
                <w:kern w:val="0"/>
                <w:sz w:val="21"/>
                <w:szCs w:val="21"/>
                <w:highlight w:val="none"/>
              </w:rPr>
              <w:t>及时联系或租用其它车辆代班；</w:t>
            </w:r>
          </w:p>
        </w:tc>
        <w:tc>
          <w:tcPr>
            <w:tcW w:w="4645" w:type="dxa"/>
            <w:tcBorders>
              <w:top w:val="nil"/>
              <w:left w:val="nil"/>
              <w:bottom w:val="single" w:color="auto" w:sz="4" w:space="0"/>
              <w:right w:val="single" w:color="auto" w:sz="4" w:space="0"/>
            </w:tcBorders>
            <w:noWrap w:val="0"/>
            <w:vAlign w:val="center"/>
          </w:tcPr>
          <w:p w14:paraId="3BDF6C1E">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未及时处理的扣10分/次。</w:t>
            </w:r>
          </w:p>
        </w:tc>
      </w:tr>
      <w:tr w14:paraId="5A64F668">
        <w:tblPrEx>
          <w:tblCellMar>
            <w:top w:w="0" w:type="dxa"/>
            <w:left w:w="108" w:type="dxa"/>
            <w:bottom w:w="0" w:type="dxa"/>
            <w:right w:w="108" w:type="dxa"/>
          </w:tblCellMar>
        </w:tblPrEx>
        <w:trPr>
          <w:trHeight w:val="600" w:hRule="atLeast"/>
        </w:trPr>
        <w:tc>
          <w:tcPr>
            <w:tcW w:w="936" w:type="dxa"/>
            <w:vMerge w:val="continue"/>
            <w:tcBorders>
              <w:top w:val="single" w:color="auto" w:sz="4" w:space="0"/>
              <w:left w:val="single" w:color="auto" w:sz="4" w:space="0"/>
              <w:bottom w:val="nil"/>
              <w:right w:val="nil"/>
            </w:tcBorders>
            <w:noWrap w:val="0"/>
            <w:vAlign w:val="center"/>
          </w:tcPr>
          <w:p w14:paraId="65B603E3">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816" w:type="dxa"/>
            <w:vMerge w:val="continue"/>
            <w:tcBorders>
              <w:top w:val="nil"/>
              <w:left w:val="single" w:color="auto" w:sz="4" w:space="0"/>
              <w:bottom w:val="single" w:color="auto" w:sz="4" w:space="0"/>
              <w:right w:val="single" w:color="auto" w:sz="4" w:space="0"/>
            </w:tcBorders>
            <w:noWrap w:val="0"/>
            <w:vAlign w:val="center"/>
          </w:tcPr>
          <w:p w14:paraId="2F69041E">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3315" w:type="dxa"/>
            <w:tcBorders>
              <w:top w:val="nil"/>
              <w:left w:val="nil"/>
              <w:bottom w:val="single" w:color="auto" w:sz="4" w:space="0"/>
              <w:right w:val="single" w:color="auto" w:sz="4" w:space="0"/>
            </w:tcBorders>
            <w:noWrap w:val="0"/>
            <w:vAlign w:val="center"/>
          </w:tcPr>
          <w:p w14:paraId="24C672A9">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(7)建立健全车辆维修、保养和例行检查制度，必须确保出车车况良好；</w:t>
            </w:r>
          </w:p>
        </w:tc>
        <w:tc>
          <w:tcPr>
            <w:tcW w:w="4645" w:type="dxa"/>
            <w:tcBorders>
              <w:top w:val="nil"/>
              <w:left w:val="nil"/>
              <w:bottom w:val="single" w:color="auto" w:sz="4" w:space="0"/>
              <w:right w:val="single" w:color="auto" w:sz="4" w:space="0"/>
            </w:tcBorders>
            <w:noWrap w:val="0"/>
            <w:vAlign w:val="center"/>
          </w:tcPr>
          <w:p w14:paraId="3DC275E5">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未建立车辆管理制度的扣20分/次。</w:t>
            </w:r>
          </w:p>
        </w:tc>
      </w:tr>
      <w:tr w14:paraId="77F17DEA">
        <w:tblPrEx>
          <w:tblCellMar>
            <w:top w:w="0" w:type="dxa"/>
            <w:left w:w="108" w:type="dxa"/>
            <w:bottom w:w="0" w:type="dxa"/>
            <w:right w:w="108" w:type="dxa"/>
          </w:tblCellMar>
        </w:tblPrEx>
        <w:trPr>
          <w:trHeight w:val="600" w:hRule="atLeast"/>
        </w:trPr>
        <w:tc>
          <w:tcPr>
            <w:tcW w:w="936" w:type="dxa"/>
            <w:vMerge w:val="continue"/>
            <w:tcBorders>
              <w:top w:val="single" w:color="auto" w:sz="4" w:space="0"/>
              <w:left w:val="single" w:color="auto" w:sz="4" w:space="0"/>
              <w:bottom w:val="nil"/>
              <w:right w:val="nil"/>
            </w:tcBorders>
            <w:noWrap w:val="0"/>
            <w:vAlign w:val="center"/>
          </w:tcPr>
          <w:p w14:paraId="686F2FB4">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816" w:type="dxa"/>
            <w:vMerge w:val="continue"/>
            <w:tcBorders>
              <w:top w:val="nil"/>
              <w:left w:val="single" w:color="auto" w:sz="4" w:space="0"/>
              <w:bottom w:val="single" w:color="auto" w:sz="4" w:space="0"/>
              <w:right w:val="single" w:color="auto" w:sz="4" w:space="0"/>
            </w:tcBorders>
            <w:noWrap w:val="0"/>
            <w:vAlign w:val="center"/>
          </w:tcPr>
          <w:p w14:paraId="5609C5DA">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3315" w:type="dxa"/>
            <w:tcBorders>
              <w:top w:val="nil"/>
              <w:left w:val="nil"/>
              <w:bottom w:val="single" w:color="auto" w:sz="4" w:space="0"/>
              <w:right w:val="single" w:color="auto" w:sz="4" w:space="0"/>
            </w:tcBorders>
            <w:noWrap w:val="0"/>
            <w:vAlign w:val="center"/>
          </w:tcPr>
          <w:p w14:paraId="31E1A1DC">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(8)车辆统一喷涂，保持标识清晰、齐全、车体无破损、无锈蚀、无污物、无灰垢；</w:t>
            </w:r>
          </w:p>
        </w:tc>
        <w:tc>
          <w:tcPr>
            <w:tcW w:w="4645" w:type="dxa"/>
            <w:tcBorders>
              <w:top w:val="nil"/>
              <w:left w:val="nil"/>
              <w:bottom w:val="single" w:color="auto" w:sz="4" w:space="0"/>
              <w:right w:val="single" w:color="auto" w:sz="4" w:space="0"/>
            </w:tcBorders>
            <w:noWrap w:val="0"/>
            <w:vAlign w:val="center"/>
          </w:tcPr>
          <w:p w14:paraId="2D3BDF40">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标识不清或车辆车容不洁的扣5分/辆。</w:t>
            </w:r>
          </w:p>
        </w:tc>
      </w:tr>
      <w:tr w14:paraId="63A23A13">
        <w:tblPrEx>
          <w:tblCellMar>
            <w:top w:w="0" w:type="dxa"/>
            <w:left w:w="108" w:type="dxa"/>
            <w:bottom w:w="0" w:type="dxa"/>
            <w:right w:w="108" w:type="dxa"/>
          </w:tblCellMar>
        </w:tblPrEx>
        <w:trPr>
          <w:trHeight w:val="600" w:hRule="atLeast"/>
        </w:trPr>
        <w:tc>
          <w:tcPr>
            <w:tcW w:w="936" w:type="dxa"/>
            <w:vMerge w:val="continue"/>
            <w:tcBorders>
              <w:top w:val="single" w:color="auto" w:sz="4" w:space="0"/>
              <w:left w:val="single" w:color="auto" w:sz="4" w:space="0"/>
              <w:bottom w:val="nil"/>
              <w:right w:val="nil"/>
            </w:tcBorders>
            <w:noWrap w:val="0"/>
            <w:vAlign w:val="center"/>
          </w:tcPr>
          <w:p w14:paraId="2C8E3945">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816" w:type="dxa"/>
            <w:vMerge w:val="continue"/>
            <w:tcBorders>
              <w:top w:val="nil"/>
              <w:left w:val="single" w:color="auto" w:sz="4" w:space="0"/>
              <w:bottom w:val="single" w:color="auto" w:sz="4" w:space="0"/>
              <w:right w:val="single" w:color="auto" w:sz="4" w:space="0"/>
            </w:tcBorders>
            <w:noWrap w:val="0"/>
            <w:vAlign w:val="center"/>
          </w:tcPr>
          <w:p w14:paraId="7400AF2F">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3315" w:type="dxa"/>
            <w:tcBorders>
              <w:top w:val="nil"/>
              <w:left w:val="nil"/>
              <w:bottom w:val="single" w:color="auto" w:sz="4" w:space="0"/>
              <w:right w:val="single" w:color="auto" w:sz="4" w:space="0"/>
            </w:tcBorders>
            <w:noWrap w:val="0"/>
            <w:vAlign w:val="center"/>
          </w:tcPr>
          <w:p w14:paraId="5ED59101">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（9）所有车辆必须有专人负责，确保24小时调度；</w:t>
            </w:r>
          </w:p>
        </w:tc>
        <w:tc>
          <w:tcPr>
            <w:tcW w:w="4645" w:type="dxa"/>
            <w:tcBorders>
              <w:top w:val="nil"/>
              <w:left w:val="nil"/>
              <w:bottom w:val="single" w:color="auto" w:sz="4" w:space="0"/>
              <w:right w:val="single" w:color="auto" w:sz="4" w:space="0"/>
            </w:tcBorders>
            <w:noWrap w:val="0"/>
            <w:vAlign w:val="center"/>
          </w:tcPr>
          <w:p w14:paraId="0EA4E850">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调度不力或不及时的扣5分/辆。</w:t>
            </w:r>
          </w:p>
        </w:tc>
      </w:tr>
      <w:tr w14:paraId="4289D647">
        <w:tblPrEx>
          <w:tblCellMar>
            <w:top w:w="0" w:type="dxa"/>
            <w:left w:w="108" w:type="dxa"/>
            <w:bottom w:w="0" w:type="dxa"/>
            <w:right w:w="108" w:type="dxa"/>
          </w:tblCellMar>
        </w:tblPrEx>
        <w:trPr>
          <w:trHeight w:val="799" w:hRule="atLeast"/>
        </w:trPr>
        <w:tc>
          <w:tcPr>
            <w:tcW w:w="936" w:type="dxa"/>
            <w:vMerge w:val="continue"/>
            <w:tcBorders>
              <w:top w:val="single" w:color="auto" w:sz="4" w:space="0"/>
              <w:left w:val="single" w:color="auto" w:sz="4" w:space="0"/>
              <w:bottom w:val="nil"/>
              <w:right w:val="nil"/>
            </w:tcBorders>
            <w:noWrap w:val="0"/>
            <w:vAlign w:val="center"/>
          </w:tcPr>
          <w:p w14:paraId="76F7C94C">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816" w:type="dxa"/>
            <w:vMerge w:val="continue"/>
            <w:tcBorders>
              <w:top w:val="nil"/>
              <w:left w:val="single" w:color="auto" w:sz="4" w:space="0"/>
              <w:bottom w:val="single" w:color="auto" w:sz="4" w:space="0"/>
              <w:right w:val="single" w:color="auto" w:sz="4" w:space="0"/>
            </w:tcBorders>
            <w:noWrap w:val="0"/>
            <w:vAlign w:val="center"/>
          </w:tcPr>
          <w:p w14:paraId="38DC5662">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3315" w:type="dxa"/>
            <w:tcBorders>
              <w:top w:val="nil"/>
              <w:left w:val="nil"/>
              <w:bottom w:val="single" w:color="auto" w:sz="4" w:space="0"/>
              <w:right w:val="single" w:color="auto" w:sz="4" w:space="0"/>
            </w:tcBorders>
            <w:noWrap w:val="0"/>
            <w:vAlign w:val="center"/>
          </w:tcPr>
          <w:p w14:paraId="6BBD7695">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(10)施工车辆抛洒导致的路面污染，应及时清除，需进行道路冲洗的应及时联系相关部门，做到路面见本色。</w:t>
            </w:r>
          </w:p>
        </w:tc>
        <w:tc>
          <w:tcPr>
            <w:tcW w:w="4645" w:type="dxa"/>
            <w:tcBorders>
              <w:top w:val="nil"/>
              <w:left w:val="nil"/>
              <w:bottom w:val="single" w:color="auto" w:sz="4" w:space="0"/>
              <w:right w:val="single" w:color="auto" w:sz="4" w:space="0"/>
            </w:tcBorders>
            <w:noWrap w:val="0"/>
            <w:vAlign w:val="center"/>
          </w:tcPr>
          <w:p w14:paraId="5CA4D58F">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不联系相关部门的扣5分/次，清除不及时的扣10分/处。</w:t>
            </w:r>
          </w:p>
        </w:tc>
      </w:tr>
      <w:tr w14:paraId="0D52C9C0">
        <w:tblPrEx>
          <w:tblCellMar>
            <w:top w:w="0" w:type="dxa"/>
            <w:left w:w="108" w:type="dxa"/>
            <w:bottom w:w="0" w:type="dxa"/>
            <w:right w:w="108" w:type="dxa"/>
          </w:tblCellMar>
        </w:tblPrEx>
        <w:trPr>
          <w:trHeight w:val="799" w:hRule="atLeast"/>
        </w:trPr>
        <w:tc>
          <w:tcPr>
            <w:tcW w:w="936" w:type="dxa"/>
            <w:vMerge w:val="continue"/>
            <w:tcBorders>
              <w:top w:val="single" w:color="auto" w:sz="4" w:space="0"/>
              <w:left w:val="single" w:color="auto" w:sz="4" w:space="0"/>
              <w:bottom w:val="nil"/>
              <w:right w:val="nil"/>
            </w:tcBorders>
            <w:noWrap w:val="0"/>
            <w:vAlign w:val="center"/>
          </w:tcPr>
          <w:p w14:paraId="56964EA3">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816" w:type="dxa"/>
            <w:vMerge w:val="continue"/>
            <w:tcBorders>
              <w:top w:val="nil"/>
              <w:left w:val="single" w:color="auto" w:sz="4" w:space="0"/>
              <w:bottom w:val="single" w:color="auto" w:sz="4" w:space="0"/>
              <w:right w:val="single" w:color="auto" w:sz="4" w:space="0"/>
            </w:tcBorders>
            <w:noWrap w:val="0"/>
            <w:vAlign w:val="center"/>
          </w:tcPr>
          <w:p w14:paraId="6A510F2B">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3315" w:type="dxa"/>
            <w:tcBorders>
              <w:top w:val="nil"/>
              <w:left w:val="nil"/>
              <w:bottom w:val="single" w:color="auto" w:sz="4" w:space="0"/>
              <w:right w:val="single" w:color="auto" w:sz="4" w:space="0"/>
            </w:tcBorders>
            <w:noWrap w:val="0"/>
            <w:vAlign w:val="center"/>
          </w:tcPr>
          <w:p w14:paraId="5230A867">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(11)环卫作业车辆应干净整洁、车辆零部件损坏及时修理，车身编号（字迹）、车牌清楚，不得使用报废车辆或其他非专用车辆；</w:t>
            </w:r>
          </w:p>
        </w:tc>
        <w:tc>
          <w:tcPr>
            <w:tcW w:w="4645" w:type="dxa"/>
            <w:tcBorders>
              <w:top w:val="nil"/>
              <w:left w:val="nil"/>
              <w:bottom w:val="single" w:color="auto" w:sz="4" w:space="0"/>
              <w:right w:val="single" w:color="auto" w:sz="4" w:space="0"/>
            </w:tcBorders>
            <w:noWrap w:val="0"/>
            <w:vAlign w:val="center"/>
          </w:tcPr>
          <w:p w14:paraId="66AEBAB6">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作业车辆脏、车身编号（字迹）不清、故意不清洗车牌的，每车次扣2分；车身破旧、车辆部件损坏未及时修复的，每车次扣2～5分；使用报废车辆或其他非专用车辆的，每车次扣5分。</w:t>
            </w:r>
          </w:p>
        </w:tc>
      </w:tr>
      <w:tr w14:paraId="27743943">
        <w:tblPrEx>
          <w:tblCellMar>
            <w:top w:w="0" w:type="dxa"/>
            <w:left w:w="108" w:type="dxa"/>
            <w:bottom w:w="0" w:type="dxa"/>
            <w:right w:w="108" w:type="dxa"/>
          </w:tblCellMar>
        </w:tblPrEx>
        <w:trPr>
          <w:trHeight w:val="799" w:hRule="atLeast"/>
        </w:trPr>
        <w:tc>
          <w:tcPr>
            <w:tcW w:w="936" w:type="dxa"/>
            <w:vMerge w:val="continue"/>
            <w:tcBorders>
              <w:top w:val="single" w:color="auto" w:sz="4" w:space="0"/>
              <w:left w:val="single" w:color="auto" w:sz="4" w:space="0"/>
              <w:bottom w:val="nil"/>
              <w:right w:val="nil"/>
            </w:tcBorders>
            <w:noWrap w:val="0"/>
            <w:vAlign w:val="center"/>
          </w:tcPr>
          <w:p w14:paraId="082172B4">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816" w:type="dxa"/>
            <w:vMerge w:val="continue"/>
            <w:tcBorders>
              <w:top w:val="nil"/>
              <w:left w:val="single" w:color="auto" w:sz="4" w:space="0"/>
              <w:bottom w:val="single" w:color="auto" w:sz="4" w:space="0"/>
              <w:right w:val="single" w:color="auto" w:sz="4" w:space="0"/>
            </w:tcBorders>
            <w:noWrap w:val="0"/>
            <w:vAlign w:val="center"/>
          </w:tcPr>
          <w:p w14:paraId="6EB93DDD">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3315" w:type="dxa"/>
            <w:tcBorders>
              <w:top w:val="nil"/>
              <w:left w:val="nil"/>
              <w:bottom w:val="single" w:color="auto" w:sz="4" w:space="0"/>
              <w:right w:val="single" w:color="auto" w:sz="4" w:space="0"/>
            </w:tcBorders>
            <w:noWrap w:val="0"/>
            <w:vAlign w:val="center"/>
          </w:tcPr>
          <w:p w14:paraId="633C48C8">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(12)机械化作业时应避开高峰时段,作业过程中应开启警示灯作业，遵守交通法规行驶；按照交通信号灯通行，服从交通警察及交通协管员指挥，不得逆向行驶，不得驶入高架道路；</w:t>
            </w:r>
          </w:p>
        </w:tc>
        <w:tc>
          <w:tcPr>
            <w:tcW w:w="4645" w:type="dxa"/>
            <w:tcBorders>
              <w:top w:val="nil"/>
              <w:left w:val="nil"/>
              <w:bottom w:val="single" w:color="auto" w:sz="4" w:space="0"/>
              <w:right w:val="single" w:color="auto" w:sz="4" w:space="0"/>
            </w:tcBorders>
            <w:noWrap w:val="0"/>
            <w:vAlign w:val="center"/>
          </w:tcPr>
          <w:p w14:paraId="11FED76B">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作业过程中未开启警示灯作业的、未遵守交通法规行驶的，每项每次扣2分；不按照交通信号灯行驶、不服从交通警察及交通协管员指挥、逆向行驶、驶入高架道路的，发现违规每车次扣5分。</w:t>
            </w:r>
          </w:p>
        </w:tc>
      </w:tr>
      <w:tr w14:paraId="31631052">
        <w:tblPrEx>
          <w:tblCellMar>
            <w:top w:w="0" w:type="dxa"/>
            <w:left w:w="108" w:type="dxa"/>
            <w:bottom w:w="0" w:type="dxa"/>
            <w:right w:w="108" w:type="dxa"/>
          </w:tblCellMar>
        </w:tblPrEx>
        <w:trPr>
          <w:trHeight w:val="600" w:hRule="atLeast"/>
        </w:trPr>
        <w:tc>
          <w:tcPr>
            <w:tcW w:w="936" w:type="dxa"/>
            <w:vMerge w:val="continue"/>
            <w:tcBorders>
              <w:top w:val="single" w:color="auto" w:sz="4" w:space="0"/>
              <w:left w:val="single" w:color="auto" w:sz="4" w:space="0"/>
              <w:bottom w:val="nil"/>
              <w:right w:val="nil"/>
            </w:tcBorders>
            <w:noWrap w:val="0"/>
            <w:vAlign w:val="center"/>
          </w:tcPr>
          <w:p w14:paraId="35203FE6">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816" w:type="dxa"/>
            <w:vMerge w:val="continue"/>
            <w:tcBorders>
              <w:top w:val="nil"/>
              <w:left w:val="single" w:color="auto" w:sz="4" w:space="0"/>
              <w:bottom w:val="single" w:color="auto" w:sz="4" w:space="0"/>
              <w:right w:val="single" w:color="auto" w:sz="4" w:space="0"/>
            </w:tcBorders>
            <w:noWrap w:val="0"/>
            <w:vAlign w:val="center"/>
          </w:tcPr>
          <w:p w14:paraId="69D6EA0D">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3315" w:type="dxa"/>
            <w:tcBorders>
              <w:top w:val="nil"/>
              <w:left w:val="nil"/>
              <w:bottom w:val="single" w:color="auto" w:sz="4" w:space="0"/>
              <w:right w:val="single" w:color="auto" w:sz="4" w:space="0"/>
            </w:tcBorders>
            <w:noWrap w:val="0"/>
            <w:vAlign w:val="center"/>
          </w:tcPr>
          <w:p w14:paraId="61A6C6AC">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(13)车辆停靠路边（加水、排水）时，按要求放置警示桶（其他警示标志），并确保周边环境整洁；</w:t>
            </w:r>
          </w:p>
        </w:tc>
        <w:tc>
          <w:tcPr>
            <w:tcW w:w="4645" w:type="dxa"/>
            <w:tcBorders>
              <w:top w:val="nil"/>
              <w:left w:val="nil"/>
              <w:bottom w:val="single" w:color="auto" w:sz="4" w:space="0"/>
              <w:right w:val="single" w:color="auto" w:sz="4" w:space="0"/>
            </w:tcBorders>
            <w:noWrap w:val="0"/>
            <w:vAlign w:val="center"/>
          </w:tcPr>
          <w:p w14:paraId="6CBD8E4F">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未按要求放置警示桶及其他警示标志的，发现每车次扣2分；周边环境不洁的扣2分/次。</w:t>
            </w:r>
          </w:p>
        </w:tc>
      </w:tr>
      <w:tr w14:paraId="29E0697E">
        <w:tblPrEx>
          <w:tblCellMar>
            <w:top w:w="0" w:type="dxa"/>
            <w:left w:w="108" w:type="dxa"/>
            <w:bottom w:w="0" w:type="dxa"/>
            <w:right w:w="108" w:type="dxa"/>
          </w:tblCellMar>
        </w:tblPrEx>
        <w:trPr>
          <w:trHeight w:val="600" w:hRule="atLeast"/>
        </w:trPr>
        <w:tc>
          <w:tcPr>
            <w:tcW w:w="936" w:type="dxa"/>
            <w:vMerge w:val="continue"/>
            <w:tcBorders>
              <w:top w:val="single" w:color="auto" w:sz="4" w:space="0"/>
              <w:left w:val="single" w:color="auto" w:sz="4" w:space="0"/>
              <w:bottom w:val="nil"/>
              <w:right w:val="nil"/>
            </w:tcBorders>
            <w:noWrap w:val="0"/>
            <w:vAlign w:val="center"/>
          </w:tcPr>
          <w:p w14:paraId="17AD8E9B">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816" w:type="dxa"/>
            <w:vMerge w:val="continue"/>
            <w:tcBorders>
              <w:top w:val="nil"/>
              <w:left w:val="single" w:color="auto" w:sz="4" w:space="0"/>
              <w:bottom w:val="single" w:color="auto" w:sz="4" w:space="0"/>
              <w:right w:val="single" w:color="auto" w:sz="4" w:space="0"/>
            </w:tcBorders>
            <w:noWrap w:val="0"/>
            <w:vAlign w:val="center"/>
          </w:tcPr>
          <w:p w14:paraId="567B90E4">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3315" w:type="dxa"/>
            <w:tcBorders>
              <w:top w:val="nil"/>
              <w:left w:val="nil"/>
              <w:bottom w:val="single" w:color="auto" w:sz="4" w:space="0"/>
              <w:right w:val="single" w:color="auto" w:sz="4" w:space="0"/>
            </w:tcBorders>
            <w:noWrap w:val="0"/>
            <w:vAlign w:val="center"/>
          </w:tcPr>
          <w:p w14:paraId="02C83B55">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(14)作业车辆作业时禁止有吊挂杂物、抛洒，滴漏等现象发生；</w:t>
            </w:r>
          </w:p>
        </w:tc>
        <w:tc>
          <w:tcPr>
            <w:tcW w:w="4645" w:type="dxa"/>
            <w:tcBorders>
              <w:top w:val="nil"/>
              <w:left w:val="nil"/>
              <w:bottom w:val="single" w:color="auto" w:sz="4" w:space="0"/>
              <w:right w:val="single" w:color="auto" w:sz="4" w:space="0"/>
            </w:tcBorders>
            <w:noWrap w:val="0"/>
            <w:vAlign w:val="center"/>
          </w:tcPr>
          <w:p w14:paraId="0B8594B0">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发现每项每次扣2分。</w:t>
            </w:r>
          </w:p>
        </w:tc>
      </w:tr>
      <w:tr w14:paraId="21EDFB7C">
        <w:tblPrEx>
          <w:tblCellMar>
            <w:top w:w="0" w:type="dxa"/>
            <w:left w:w="108" w:type="dxa"/>
            <w:bottom w:w="0" w:type="dxa"/>
            <w:right w:w="108" w:type="dxa"/>
          </w:tblCellMar>
        </w:tblPrEx>
        <w:trPr>
          <w:trHeight w:val="600" w:hRule="atLeast"/>
        </w:trPr>
        <w:tc>
          <w:tcPr>
            <w:tcW w:w="936" w:type="dxa"/>
            <w:vMerge w:val="continue"/>
            <w:tcBorders>
              <w:top w:val="single" w:color="auto" w:sz="4" w:space="0"/>
              <w:left w:val="single" w:color="auto" w:sz="4" w:space="0"/>
              <w:bottom w:val="nil"/>
              <w:right w:val="nil"/>
            </w:tcBorders>
            <w:noWrap w:val="0"/>
            <w:vAlign w:val="center"/>
          </w:tcPr>
          <w:p w14:paraId="6E605C43">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816" w:type="dxa"/>
            <w:vMerge w:val="continue"/>
            <w:tcBorders>
              <w:top w:val="nil"/>
              <w:left w:val="single" w:color="auto" w:sz="4" w:space="0"/>
              <w:bottom w:val="single" w:color="auto" w:sz="4" w:space="0"/>
              <w:right w:val="single" w:color="auto" w:sz="4" w:space="0"/>
            </w:tcBorders>
            <w:noWrap w:val="0"/>
            <w:vAlign w:val="center"/>
          </w:tcPr>
          <w:p w14:paraId="47FF675C">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3315" w:type="dxa"/>
            <w:tcBorders>
              <w:top w:val="nil"/>
              <w:left w:val="nil"/>
              <w:bottom w:val="single" w:color="auto" w:sz="4" w:space="0"/>
              <w:right w:val="single" w:color="auto" w:sz="4" w:space="0"/>
            </w:tcBorders>
            <w:noWrap w:val="0"/>
            <w:vAlign w:val="center"/>
          </w:tcPr>
          <w:p w14:paraId="249B396C">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(15)扫刷未按规定要求（长度不得低于10公分）要及时更换；</w:t>
            </w:r>
          </w:p>
        </w:tc>
        <w:tc>
          <w:tcPr>
            <w:tcW w:w="4645" w:type="dxa"/>
            <w:tcBorders>
              <w:top w:val="nil"/>
              <w:left w:val="nil"/>
              <w:bottom w:val="single" w:color="auto" w:sz="4" w:space="0"/>
              <w:right w:val="single" w:color="auto" w:sz="4" w:space="0"/>
            </w:tcBorders>
            <w:noWrap w:val="0"/>
            <w:vAlign w:val="center"/>
          </w:tcPr>
          <w:p w14:paraId="167CDD12">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未按要求及时更换每车次扣2分；作业时，作业车辆如出现扫刷、吸嘴不落地等现象的，每项每次扣2分。</w:t>
            </w:r>
          </w:p>
        </w:tc>
      </w:tr>
      <w:tr w14:paraId="373C3268">
        <w:tblPrEx>
          <w:tblCellMar>
            <w:top w:w="0" w:type="dxa"/>
            <w:left w:w="108" w:type="dxa"/>
            <w:bottom w:w="0" w:type="dxa"/>
            <w:right w:w="108" w:type="dxa"/>
          </w:tblCellMar>
        </w:tblPrEx>
        <w:trPr>
          <w:trHeight w:val="600" w:hRule="atLeast"/>
        </w:trPr>
        <w:tc>
          <w:tcPr>
            <w:tcW w:w="936" w:type="dxa"/>
            <w:vMerge w:val="continue"/>
            <w:tcBorders>
              <w:top w:val="single" w:color="auto" w:sz="4" w:space="0"/>
              <w:left w:val="single" w:color="auto" w:sz="4" w:space="0"/>
              <w:bottom w:val="nil"/>
              <w:right w:val="nil"/>
            </w:tcBorders>
            <w:noWrap w:val="0"/>
            <w:vAlign w:val="center"/>
          </w:tcPr>
          <w:p w14:paraId="2B878C34">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816" w:type="dxa"/>
            <w:vMerge w:val="continue"/>
            <w:tcBorders>
              <w:top w:val="nil"/>
              <w:left w:val="single" w:color="auto" w:sz="4" w:space="0"/>
              <w:bottom w:val="single" w:color="auto" w:sz="4" w:space="0"/>
              <w:right w:val="single" w:color="auto" w:sz="4" w:space="0"/>
            </w:tcBorders>
            <w:noWrap w:val="0"/>
            <w:vAlign w:val="center"/>
          </w:tcPr>
          <w:p w14:paraId="3165739C">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3315" w:type="dxa"/>
            <w:tcBorders>
              <w:top w:val="nil"/>
              <w:left w:val="nil"/>
              <w:bottom w:val="single" w:color="auto" w:sz="4" w:space="0"/>
              <w:right w:val="single" w:color="auto" w:sz="4" w:space="0"/>
            </w:tcBorders>
            <w:noWrap w:val="0"/>
            <w:vAlign w:val="center"/>
          </w:tcPr>
          <w:p w14:paraId="57F594E1">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(16)非特殊气候情况下（日均温度高于6摄氏度），不得出现“干扫”现象；</w:t>
            </w:r>
          </w:p>
        </w:tc>
        <w:tc>
          <w:tcPr>
            <w:tcW w:w="4645" w:type="dxa"/>
            <w:tcBorders>
              <w:top w:val="nil"/>
              <w:left w:val="nil"/>
              <w:bottom w:val="single" w:color="auto" w:sz="4" w:space="0"/>
              <w:right w:val="single" w:color="auto" w:sz="4" w:space="0"/>
            </w:tcBorders>
            <w:noWrap w:val="0"/>
            <w:vAlign w:val="center"/>
          </w:tcPr>
          <w:p w14:paraId="03F5804E">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非特殊气候情况下，出现“干扫”现象的，每项每次扣2分。</w:t>
            </w:r>
          </w:p>
        </w:tc>
      </w:tr>
      <w:tr w14:paraId="1DE740EF">
        <w:tblPrEx>
          <w:tblCellMar>
            <w:top w:w="0" w:type="dxa"/>
            <w:left w:w="108" w:type="dxa"/>
            <w:bottom w:w="0" w:type="dxa"/>
            <w:right w:w="108" w:type="dxa"/>
          </w:tblCellMar>
        </w:tblPrEx>
        <w:trPr>
          <w:trHeight w:val="600" w:hRule="atLeast"/>
        </w:trPr>
        <w:tc>
          <w:tcPr>
            <w:tcW w:w="936" w:type="dxa"/>
            <w:vMerge w:val="continue"/>
            <w:tcBorders>
              <w:top w:val="single" w:color="auto" w:sz="4" w:space="0"/>
              <w:left w:val="single" w:color="auto" w:sz="4" w:space="0"/>
              <w:bottom w:val="nil"/>
              <w:right w:val="nil"/>
            </w:tcBorders>
            <w:noWrap w:val="0"/>
            <w:vAlign w:val="center"/>
          </w:tcPr>
          <w:p w14:paraId="1C45CB44">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816" w:type="dxa"/>
            <w:vMerge w:val="restart"/>
            <w:tcBorders>
              <w:top w:val="nil"/>
              <w:left w:val="single" w:color="auto" w:sz="4" w:space="0"/>
              <w:bottom w:val="nil"/>
              <w:right w:val="single" w:color="auto" w:sz="4" w:space="0"/>
            </w:tcBorders>
            <w:noWrap w:val="0"/>
            <w:vAlign w:val="center"/>
          </w:tcPr>
          <w:p w14:paraId="12664B20">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(D)</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果</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壳</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箱</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垃</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圾</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桶</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保</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洁</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管</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理</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指</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标</w:t>
            </w:r>
          </w:p>
        </w:tc>
        <w:tc>
          <w:tcPr>
            <w:tcW w:w="3315" w:type="dxa"/>
            <w:tcBorders>
              <w:top w:val="nil"/>
              <w:left w:val="nil"/>
              <w:bottom w:val="single" w:color="auto" w:sz="4" w:space="0"/>
              <w:right w:val="single" w:color="auto" w:sz="4" w:space="0"/>
            </w:tcBorders>
            <w:noWrap w:val="0"/>
            <w:vAlign w:val="center"/>
          </w:tcPr>
          <w:p w14:paraId="549D1B2B">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（1）果壳箱、垃圾桶（房）实行一日至少两清，无溢满现象；</w:t>
            </w:r>
          </w:p>
        </w:tc>
        <w:tc>
          <w:tcPr>
            <w:tcW w:w="4645" w:type="dxa"/>
            <w:tcBorders>
              <w:top w:val="nil"/>
              <w:left w:val="nil"/>
              <w:bottom w:val="single" w:color="auto" w:sz="4" w:space="0"/>
              <w:right w:val="single" w:color="auto" w:sz="4" w:space="0"/>
            </w:tcBorders>
            <w:noWrap w:val="0"/>
            <w:vAlign w:val="center"/>
          </w:tcPr>
          <w:p w14:paraId="7F846415">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未一日两清，有溢满现象，每个扣2分。</w:t>
            </w:r>
          </w:p>
        </w:tc>
      </w:tr>
      <w:tr w14:paraId="36EDB872">
        <w:tblPrEx>
          <w:tblCellMar>
            <w:top w:w="0" w:type="dxa"/>
            <w:left w:w="108" w:type="dxa"/>
            <w:bottom w:w="0" w:type="dxa"/>
            <w:right w:w="108" w:type="dxa"/>
          </w:tblCellMar>
        </w:tblPrEx>
        <w:trPr>
          <w:trHeight w:val="600" w:hRule="atLeast"/>
        </w:trPr>
        <w:tc>
          <w:tcPr>
            <w:tcW w:w="936" w:type="dxa"/>
            <w:vMerge w:val="continue"/>
            <w:tcBorders>
              <w:top w:val="single" w:color="auto" w:sz="4" w:space="0"/>
              <w:left w:val="single" w:color="auto" w:sz="4" w:space="0"/>
              <w:bottom w:val="nil"/>
              <w:right w:val="nil"/>
            </w:tcBorders>
            <w:noWrap w:val="0"/>
            <w:vAlign w:val="center"/>
          </w:tcPr>
          <w:p w14:paraId="7972A256">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816" w:type="dxa"/>
            <w:vMerge w:val="continue"/>
            <w:tcBorders>
              <w:top w:val="nil"/>
              <w:left w:val="single" w:color="auto" w:sz="4" w:space="0"/>
              <w:bottom w:val="nil"/>
              <w:right w:val="single" w:color="auto" w:sz="4" w:space="0"/>
            </w:tcBorders>
            <w:noWrap w:val="0"/>
            <w:vAlign w:val="center"/>
          </w:tcPr>
          <w:p w14:paraId="7C7488B5">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3315" w:type="dxa"/>
            <w:tcBorders>
              <w:top w:val="nil"/>
              <w:left w:val="nil"/>
              <w:bottom w:val="single" w:color="auto" w:sz="4" w:space="0"/>
              <w:right w:val="single" w:color="auto" w:sz="4" w:space="0"/>
            </w:tcBorders>
            <w:noWrap w:val="0"/>
            <w:vAlign w:val="center"/>
          </w:tcPr>
          <w:p w14:paraId="60E5055C">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（2）果壳箱、垃圾桶（房）周边无污水、污迹、无散落零散、袋装垃圾；</w:t>
            </w:r>
          </w:p>
        </w:tc>
        <w:tc>
          <w:tcPr>
            <w:tcW w:w="4645" w:type="dxa"/>
            <w:tcBorders>
              <w:top w:val="nil"/>
              <w:left w:val="nil"/>
              <w:bottom w:val="single" w:color="auto" w:sz="4" w:space="0"/>
              <w:right w:val="single" w:color="auto" w:sz="4" w:space="0"/>
            </w:tcBorders>
            <w:noWrap w:val="0"/>
            <w:vAlign w:val="center"/>
          </w:tcPr>
          <w:p w14:paraId="72D3B81D">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发现每个扣1分。</w:t>
            </w:r>
          </w:p>
        </w:tc>
      </w:tr>
      <w:tr w14:paraId="55116026">
        <w:tblPrEx>
          <w:tblCellMar>
            <w:top w:w="0" w:type="dxa"/>
            <w:left w:w="108" w:type="dxa"/>
            <w:bottom w:w="0" w:type="dxa"/>
            <w:right w:w="108" w:type="dxa"/>
          </w:tblCellMar>
        </w:tblPrEx>
        <w:trPr>
          <w:trHeight w:val="600" w:hRule="atLeast"/>
        </w:trPr>
        <w:tc>
          <w:tcPr>
            <w:tcW w:w="936" w:type="dxa"/>
            <w:vMerge w:val="continue"/>
            <w:tcBorders>
              <w:top w:val="single" w:color="auto" w:sz="4" w:space="0"/>
              <w:left w:val="single" w:color="auto" w:sz="4" w:space="0"/>
              <w:bottom w:val="nil"/>
              <w:right w:val="nil"/>
            </w:tcBorders>
            <w:noWrap w:val="0"/>
            <w:vAlign w:val="center"/>
          </w:tcPr>
          <w:p w14:paraId="5C9786E9">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816" w:type="dxa"/>
            <w:vMerge w:val="continue"/>
            <w:tcBorders>
              <w:top w:val="nil"/>
              <w:left w:val="single" w:color="auto" w:sz="4" w:space="0"/>
              <w:bottom w:val="nil"/>
              <w:right w:val="single" w:color="auto" w:sz="4" w:space="0"/>
            </w:tcBorders>
            <w:noWrap w:val="0"/>
            <w:vAlign w:val="center"/>
          </w:tcPr>
          <w:p w14:paraId="6CAA5ADC">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3315" w:type="dxa"/>
            <w:tcBorders>
              <w:top w:val="nil"/>
              <w:left w:val="nil"/>
              <w:bottom w:val="nil"/>
              <w:right w:val="nil"/>
            </w:tcBorders>
            <w:noWrap/>
            <w:vAlign w:val="center"/>
          </w:tcPr>
          <w:p w14:paraId="3140F95E">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（3）果壳箱、垃圾桶（房）周边无堆状或面状垃圾；</w:t>
            </w:r>
          </w:p>
        </w:tc>
        <w:tc>
          <w:tcPr>
            <w:tcW w:w="4645" w:type="dxa"/>
            <w:tcBorders>
              <w:top w:val="nil"/>
              <w:left w:val="single" w:color="auto" w:sz="4" w:space="0"/>
              <w:bottom w:val="single" w:color="auto" w:sz="4" w:space="0"/>
              <w:right w:val="single" w:color="auto" w:sz="4" w:space="0"/>
            </w:tcBorders>
            <w:noWrap w:val="0"/>
            <w:vAlign w:val="center"/>
          </w:tcPr>
          <w:p w14:paraId="320683DA">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发现每个扣2～5分。</w:t>
            </w:r>
          </w:p>
        </w:tc>
      </w:tr>
      <w:tr w14:paraId="5354C27B">
        <w:tblPrEx>
          <w:tblCellMar>
            <w:top w:w="0" w:type="dxa"/>
            <w:left w:w="108" w:type="dxa"/>
            <w:bottom w:w="0" w:type="dxa"/>
            <w:right w:w="108" w:type="dxa"/>
          </w:tblCellMar>
        </w:tblPrEx>
        <w:trPr>
          <w:trHeight w:val="660" w:hRule="atLeast"/>
        </w:trPr>
        <w:tc>
          <w:tcPr>
            <w:tcW w:w="936" w:type="dxa"/>
            <w:vMerge w:val="continue"/>
            <w:tcBorders>
              <w:top w:val="single" w:color="auto" w:sz="4" w:space="0"/>
              <w:left w:val="single" w:color="auto" w:sz="4" w:space="0"/>
              <w:bottom w:val="nil"/>
              <w:right w:val="nil"/>
            </w:tcBorders>
            <w:noWrap w:val="0"/>
            <w:vAlign w:val="center"/>
          </w:tcPr>
          <w:p w14:paraId="1C05C2F7">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816" w:type="dxa"/>
            <w:vMerge w:val="continue"/>
            <w:tcBorders>
              <w:top w:val="nil"/>
              <w:left w:val="single" w:color="auto" w:sz="4" w:space="0"/>
              <w:bottom w:val="nil"/>
              <w:right w:val="single" w:color="auto" w:sz="4" w:space="0"/>
            </w:tcBorders>
            <w:noWrap w:val="0"/>
            <w:vAlign w:val="center"/>
          </w:tcPr>
          <w:p w14:paraId="39F47813">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3315" w:type="dxa"/>
            <w:tcBorders>
              <w:top w:val="single" w:color="auto" w:sz="4" w:space="0"/>
              <w:left w:val="nil"/>
              <w:bottom w:val="single" w:color="auto" w:sz="4" w:space="0"/>
              <w:right w:val="single" w:color="auto" w:sz="4" w:space="0"/>
            </w:tcBorders>
            <w:noWrap w:val="0"/>
            <w:vAlign w:val="center"/>
          </w:tcPr>
          <w:p w14:paraId="27CE3845">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（4）果壳箱、垃圾桶（房）需每日擦洗，体表无积灰、无污迹（含涂贴），垃圾桶桶盖无缺失；</w:t>
            </w:r>
          </w:p>
        </w:tc>
        <w:tc>
          <w:tcPr>
            <w:tcW w:w="4645" w:type="dxa"/>
            <w:tcBorders>
              <w:top w:val="nil"/>
              <w:left w:val="nil"/>
              <w:bottom w:val="single" w:color="auto" w:sz="4" w:space="0"/>
              <w:right w:val="single" w:color="auto" w:sz="4" w:space="0"/>
            </w:tcBorders>
            <w:noWrap w:val="0"/>
            <w:vAlign w:val="center"/>
          </w:tcPr>
          <w:p w14:paraId="73C8ED06">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有明显积灰、污迹（含涂贴）的每个扣1分；垃圾桶桶盖缺失，每个扣1分。</w:t>
            </w:r>
          </w:p>
        </w:tc>
      </w:tr>
      <w:tr w14:paraId="444343DE">
        <w:tblPrEx>
          <w:tblCellMar>
            <w:top w:w="0" w:type="dxa"/>
            <w:left w:w="108" w:type="dxa"/>
            <w:bottom w:w="0" w:type="dxa"/>
            <w:right w:w="108" w:type="dxa"/>
          </w:tblCellMar>
        </w:tblPrEx>
        <w:trPr>
          <w:trHeight w:val="600" w:hRule="atLeast"/>
        </w:trPr>
        <w:tc>
          <w:tcPr>
            <w:tcW w:w="936" w:type="dxa"/>
            <w:vMerge w:val="continue"/>
            <w:tcBorders>
              <w:top w:val="single" w:color="auto" w:sz="4" w:space="0"/>
              <w:left w:val="single" w:color="auto" w:sz="4" w:space="0"/>
              <w:bottom w:val="nil"/>
              <w:right w:val="nil"/>
            </w:tcBorders>
            <w:noWrap w:val="0"/>
            <w:vAlign w:val="center"/>
          </w:tcPr>
          <w:p w14:paraId="070C6F2F">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816" w:type="dxa"/>
            <w:vMerge w:val="continue"/>
            <w:tcBorders>
              <w:top w:val="nil"/>
              <w:left w:val="single" w:color="auto" w:sz="4" w:space="0"/>
              <w:bottom w:val="nil"/>
              <w:right w:val="single" w:color="auto" w:sz="4" w:space="0"/>
            </w:tcBorders>
            <w:noWrap w:val="0"/>
            <w:vAlign w:val="center"/>
          </w:tcPr>
          <w:p w14:paraId="2AE8C5A5">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3315" w:type="dxa"/>
            <w:tcBorders>
              <w:top w:val="nil"/>
              <w:left w:val="nil"/>
              <w:bottom w:val="single" w:color="auto" w:sz="4" w:space="0"/>
              <w:right w:val="single" w:color="auto" w:sz="4" w:space="0"/>
            </w:tcBorders>
            <w:noWrap w:val="0"/>
            <w:vAlign w:val="center"/>
          </w:tcPr>
          <w:p w14:paraId="5BB20B8B">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（5）果壳箱、垃圾桶（房）摆放整齐、规范；</w:t>
            </w:r>
          </w:p>
        </w:tc>
        <w:tc>
          <w:tcPr>
            <w:tcW w:w="4645" w:type="dxa"/>
            <w:tcBorders>
              <w:top w:val="nil"/>
              <w:left w:val="nil"/>
              <w:bottom w:val="single" w:color="auto" w:sz="4" w:space="0"/>
              <w:right w:val="single" w:color="auto" w:sz="4" w:space="0"/>
            </w:tcBorders>
            <w:noWrap w:val="0"/>
            <w:vAlign w:val="center"/>
          </w:tcPr>
          <w:p w14:paraId="0609D8A6">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摆放不整齐、不规范，每组扣2分。</w:t>
            </w:r>
          </w:p>
        </w:tc>
      </w:tr>
      <w:tr w14:paraId="1ABD9AB4">
        <w:tblPrEx>
          <w:tblCellMar>
            <w:top w:w="0" w:type="dxa"/>
            <w:left w:w="108" w:type="dxa"/>
            <w:bottom w:w="0" w:type="dxa"/>
            <w:right w:w="108" w:type="dxa"/>
          </w:tblCellMar>
        </w:tblPrEx>
        <w:trPr>
          <w:trHeight w:val="600" w:hRule="atLeast"/>
        </w:trPr>
        <w:tc>
          <w:tcPr>
            <w:tcW w:w="936" w:type="dxa"/>
            <w:vMerge w:val="continue"/>
            <w:tcBorders>
              <w:top w:val="single" w:color="auto" w:sz="4" w:space="0"/>
              <w:left w:val="single" w:color="auto" w:sz="4" w:space="0"/>
              <w:bottom w:val="nil"/>
              <w:right w:val="nil"/>
            </w:tcBorders>
            <w:noWrap w:val="0"/>
            <w:vAlign w:val="center"/>
          </w:tcPr>
          <w:p w14:paraId="10C83FD8">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816" w:type="dxa"/>
            <w:vMerge w:val="continue"/>
            <w:tcBorders>
              <w:top w:val="nil"/>
              <w:left w:val="single" w:color="auto" w:sz="4" w:space="0"/>
              <w:bottom w:val="nil"/>
              <w:right w:val="single" w:color="auto" w:sz="4" w:space="0"/>
            </w:tcBorders>
            <w:noWrap w:val="0"/>
            <w:vAlign w:val="center"/>
          </w:tcPr>
          <w:p w14:paraId="722F1D99">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3315" w:type="dxa"/>
            <w:tcBorders>
              <w:top w:val="nil"/>
              <w:left w:val="nil"/>
              <w:bottom w:val="single" w:color="auto" w:sz="4" w:space="0"/>
              <w:right w:val="single" w:color="auto" w:sz="4" w:space="0"/>
            </w:tcBorders>
            <w:noWrap w:val="0"/>
            <w:vAlign w:val="center"/>
          </w:tcPr>
          <w:p w14:paraId="1D091D42">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（6）果壳箱、垃圾桶（房）消杀要到位、无明显异味；</w:t>
            </w:r>
          </w:p>
        </w:tc>
        <w:tc>
          <w:tcPr>
            <w:tcW w:w="4645" w:type="dxa"/>
            <w:tcBorders>
              <w:top w:val="nil"/>
              <w:left w:val="nil"/>
              <w:bottom w:val="single" w:color="auto" w:sz="4" w:space="0"/>
              <w:right w:val="single" w:color="auto" w:sz="4" w:space="0"/>
            </w:tcBorders>
            <w:noWrap w:val="0"/>
            <w:vAlign w:val="center"/>
          </w:tcPr>
          <w:p w14:paraId="1C815B59">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消杀不到位，苍蝇数量超过三只（可见范围）、有明显异味，每处扣1分。</w:t>
            </w:r>
          </w:p>
        </w:tc>
      </w:tr>
      <w:tr w14:paraId="5DBA4006">
        <w:tblPrEx>
          <w:tblCellMar>
            <w:top w:w="0" w:type="dxa"/>
            <w:left w:w="108" w:type="dxa"/>
            <w:bottom w:w="0" w:type="dxa"/>
            <w:right w:w="108" w:type="dxa"/>
          </w:tblCellMar>
        </w:tblPrEx>
        <w:trPr>
          <w:trHeight w:val="600" w:hRule="atLeast"/>
        </w:trPr>
        <w:tc>
          <w:tcPr>
            <w:tcW w:w="936" w:type="dxa"/>
            <w:vMerge w:val="continue"/>
            <w:tcBorders>
              <w:top w:val="single" w:color="auto" w:sz="4" w:space="0"/>
              <w:left w:val="single" w:color="auto" w:sz="4" w:space="0"/>
              <w:bottom w:val="nil"/>
              <w:right w:val="nil"/>
            </w:tcBorders>
            <w:noWrap w:val="0"/>
            <w:vAlign w:val="center"/>
          </w:tcPr>
          <w:p w14:paraId="62DF1C19">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816" w:type="dxa"/>
            <w:vMerge w:val="continue"/>
            <w:tcBorders>
              <w:top w:val="nil"/>
              <w:left w:val="single" w:color="auto" w:sz="4" w:space="0"/>
              <w:bottom w:val="nil"/>
              <w:right w:val="single" w:color="auto" w:sz="4" w:space="0"/>
            </w:tcBorders>
            <w:noWrap w:val="0"/>
            <w:vAlign w:val="center"/>
          </w:tcPr>
          <w:p w14:paraId="2D524539">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3315" w:type="dxa"/>
            <w:tcBorders>
              <w:top w:val="nil"/>
              <w:left w:val="nil"/>
              <w:bottom w:val="single" w:color="auto" w:sz="4" w:space="0"/>
              <w:right w:val="single" w:color="auto" w:sz="4" w:space="0"/>
            </w:tcBorders>
            <w:noWrap w:val="0"/>
            <w:vAlign w:val="center"/>
          </w:tcPr>
          <w:p w14:paraId="0E405D82">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（7）果壳箱、垃圾桶（房）底部积存垃圾应及时清理；</w:t>
            </w:r>
          </w:p>
        </w:tc>
        <w:tc>
          <w:tcPr>
            <w:tcW w:w="4645" w:type="dxa"/>
            <w:tcBorders>
              <w:top w:val="nil"/>
              <w:left w:val="nil"/>
              <w:bottom w:val="single" w:color="auto" w:sz="4" w:space="0"/>
              <w:right w:val="single" w:color="auto" w:sz="4" w:space="0"/>
            </w:tcBorders>
            <w:noWrap/>
            <w:vAlign w:val="center"/>
          </w:tcPr>
          <w:p w14:paraId="3D1876AC">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未清理，每个扣2分。</w:t>
            </w:r>
          </w:p>
        </w:tc>
      </w:tr>
      <w:tr w14:paraId="21CA72DC">
        <w:tblPrEx>
          <w:tblCellMar>
            <w:top w:w="0" w:type="dxa"/>
            <w:left w:w="108" w:type="dxa"/>
            <w:bottom w:w="0" w:type="dxa"/>
            <w:right w:w="108" w:type="dxa"/>
          </w:tblCellMar>
        </w:tblPrEx>
        <w:trPr>
          <w:trHeight w:val="600" w:hRule="atLeast"/>
        </w:trPr>
        <w:tc>
          <w:tcPr>
            <w:tcW w:w="936" w:type="dxa"/>
            <w:vMerge w:val="continue"/>
            <w:tcBorders>
              <w:top w:val="single" w:color="auto" w:sz="4" w:space="0"/>
              <w:left w:val="single" w:color="auto" w:sz="4" w:space="0"/>
              <w:bottom w:val="nil"/>
              <w:right w:val="nil"/>
            </w:tcBorders>
            <w:noWrap w:val="0"/>
            <w:vAlign w:val="center"/>
          </w:tcPr>
          <w:p w14:paraId="5352FBDA">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816" w:type="dxa"/>
            <w:vMerge w:val="continue"/>
            <w:tcBorders>
              <w:top w:val="nil"/>
              <w:left w:val="single" w:color="auto" w:sz="4" w:space="0"/>
              <w:bottom w:val="nil"/>
              <w:right w:val="single" w:color="auto" w:sz="4" w:space="0"/>
            </w:tcBorders>
            <w:noWrap w:val="0"/>
            <w:vAlign w:val="center"/>
          </w:tcPr>
          <w:p w14:paraId="6FD0BE4A">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3315" w:type="dxa"/>
            <w:tcBorders>
              <w:top w:val="nil"/>
              <w:left w:val="nil"/>
              <w:bottom w:val="single" w:color="auto" w:sz="4" w:space="0"/>
              <w:right w:val="single" w:color="auto" w:sz="4" w:space="0"/>
            </w:tcBorders>
            <w:noWrap w:val="0"/>
            <w:vAlign w:val="center"/>
          </w:tcPr>
          <w:p w14:paraId="746F5A06">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（8）果壳箱按标准配备；未经允许，不得擅自封闭或随意移动果壳箱的位置;</w:t>
            </w:r>
          </w:p>
        </w:tc>
        <w:tc>
          <w:tcPr>
            <w:tcW w:w="4645" w:type="dxa"/>
            <w:tcBorders>
              <w:top w:val="nil"/>
              <w:left w:val="nil"/>
              <w:bottom w:val="single" w:color="auto" w:sz="4" w:space="0"/>
              <w:right w:val="single" w:color="auto" w:sz="4" w:space="0"/>
            </w:tcBorders>
            <w:noWrap w:val="0"/>
            <w:vAlign w:val="center"/>
          </w:tcPr>
          <w:p w14:paraId="0E14178A">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未按标准配备，每个扣1分；擅自移动果壳箱的一经发现扣3分/次。</w:t>
            </w:r>
          </w:p>
        </w:tc>
      </w:tr>
      <w:tr w14:paraId="5CD6C9A8">
        <w:tblPrEx>
          <w:tblCellMar>
            <w:top w:w="0" w:type="dxa"/>
            <w:left w:w="108" w:type="dxa"/>
            <w:bottom w:w="0" w:type="dxa"/>
            <w:right w:w="108" w:type="dxa"/>
          </w:tblCellMar>
        </w:tblPrEx>
        <w:trPr>
          <w:trHeight w:val="600" w:hRule="atLeast"/>
        </w:trPr>
        <w:tc>
          <w:tcPr>
            <w:tcW w:w="936" w:type="dxa"/>
            <w:vMerge w:val="continue"/>
            <w:tcBorders>
              <w:top w:val="single" w:color="auto" w:sz="4" w:space="0"/>
              <w:left w:val="single" w:color="auto" w:sz="4" w:space="0"/>
              <w:bottom w:val="nil"/>
              <w:right w:val="nil"/>
            </w:tcBorders>
            <w:noWrap w:val="0"/>
            <w:vAlign w:val="center"/>
          </w:tcPr>
          <w:p w14:paraId="3300F539">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816" w:type="dxa"/>
            <w:vMerge w:val="continue"/>
            <w:tcBorders>
              <w:top w:val="nil"/>
              <w:left w:val="single" w:color="auto" w:sz="4" w:space="0"/>
              <w:bottom w:val="nil"/>
              <w:right w:val="single" w:color="auto" w:sz="4" w:space="0"/>
            </w:tcBorders>
            <w:noWrap w:val="0"/>
            <w:vAlign w:val="center"/>
          </w:tcPr>
          <w:p w14:paraId="167D4544">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3315" w:type="dxa"/>
            <w:tcBorders>
              <w:top w:val="nil"/>
              <w:left w:val="nil"/>
              <w:bottom w:val="single" w:color="auto" w:sz="4" w:space="0"/>
              <w:right w:val="single" w:color="auto" w:sz="4" w:space="0"/>
            </w:tcBorders>
            <w:noWrap w:val="0"/>
            <w:vAlign w:val="center"/>
          </w:tcPr>
          <w:p w14:paraId="30824409">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（9）设置分类收集桶（果壳箱）的，要按垃圾分类收集要求进行收集；</w:t>
            </w:r>
          </w:p>
        </w:tc>
        <w:tc>
          <w:tcPr>
            <w:tcW w:w="4645" w:type="dxa"/>
            <w:tcBorders>
              <w:top w:val="nil"/>
              <w:left w:val="nil"/>
              <w:bottom w:val="single" w:color="auto" w:sz="4" w:space="0"/>
              <w:right w:val="single" w:color="auto" w:sz="4" w:space="0"/>
            </w:tcBorders>
            <w:noWrap w:val="0"/>
            <w:vAlign w:val="center"/>
          </w:tcPr>
          <w:p w14:paraId="16CCB471">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未按垃圾分类收集要求收集的，扣2分。</w:t>
            </w:r>
          </w:p>
        </w:tc>
      </w:tr>
      <w:tr w14:paraId="4475F799">
        <w:tblPrEx>
          <w:tblCellMar>
            <w:top w:w="0" w:type="dxa"/>
            <w:left w:w="108" w:type="dxa"/>
            <w:bottom w:w="0" w:type="dxa"/>
            <w:right w:w="108" w:type="dxa"/>
          </w:tblCellMar>
        </w:tblPrEx>
        <w:trPr>
          <w:trHeight w:val="600" w:hRule="atLeast"/>
        </w:trPr>
        <w:tc>
          <w:tcPr>
            <w:tcW w:w="936" w:type="dxa"/>
            <w:vMerge w:val="continue"/>
            <w:tcBorders>
              <w:top w:val="single" w:color="auto" w:sz="4" w:space="0"/>
              <w:left w:val="single" w:color="auto" w:sz="4" w:space="0"/>
              <w:bottom w:val="nil"/>
              <w:right w:val="nil"/>
            </w:tcBorders>
            <w:noWrap w:val="0"/>
            <w:vAlign w:val="center"/>
          </w:tcPr>
          <w:p w14:paraId="6B8B61A9">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816" w:type="dxa"/>
            <w:vMerge w:val="restart"/>
            <w:tcBorders>
              <w:top w:val="single" w:color="auto" w:sz="4" w:space="0"/>
              <w:left w:val="single" w:color="auto" w:sz="4" w:space="0"/>
              <w:bottom w:val="single" w:color="000000" w:sz="4" w:space="0"/>
              <w:right w:val="single" w:color="auto" w:sz="4" w:space="0"/>
            </w:tcBorders>
            <w:noWrap w:val="0"/>
            <w:vAlign w:val="center"/>
          </w:tcPr>
          <w:p w14:paraId="7E25D3FE">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(E)</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垃</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圾</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分</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类</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收</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集</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清</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 xml:space="preserve">运                                                                              </w:t>
            </w:r>
          </w:p>
        </w:tc>
        <w:tc>
          <w:tcPr>
            <w:tcW w:w="3315" w:type="dxa"/>
            <w:tcBorders>
              <w:top w:val="nil"/>
              <w:left w:val="nil"/>
              <w:bottom w:val="single" w:color="auto" w:sz="4" w:space="0"/>
              <w:right w:val="single" w:color="auto" w:sz="4" w:space="0"/>
            </w:tcBorders>
            <w:noWrap w:val="0"/>
            <w:vAlign w:val="center"/>
          </w:tcPr>
          <w:p w14:paraId="0A2BCCA4">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(1).各型垃圾运输车辆应车容整洁，分类标识清晰，保持车况良好；</w:t>
            </w:r>
          </w:p>
        </w:tc>
        <w:tc>
          <w:tcPr>
            <w:tcW w:w="4645" w:type="dxa"/>
            <w:tcBorders>
              <w:top w:val="nil"/>
              <w:left w:val="nil"/>
              <w:bottom w:val="single" w:color="auto" w:sz="4" w:space="0"/>
              <w:right w:val="single" w:color="auto" w:sz="4" w:space="0"/>
            </w:tcBorders>
            <w:noWrap w:val="0"/>
            <w:vAlign w:val="center"/>
          </w:tcPr>
          <w:p w14:paraId="282F2638">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发现不符合要求的扣5分/辆。</w:t>
            </w:r>
          </w:p>
        </w:tc>
      </w:tr>
      <w:tr w14:paraId="5613D29C">
        <w:tblPrEx>
          <w:tblCellMar>
            <w:top w:w="0" w:type="dxa"/>
            <w:left w:w="108" w:type="dxa"/>
            <w:bottom w:w="0" w:type="dxa"/>
            <w:right w:w="108" w:type="dxa"/>
          </w:tblCellMar>
        </w:tblPrEx>
        <w:trPr>
          <w:trHeight w:val="799" w:hRule="atLeast"/>
        </w:trPr>
        <w:tc>
          <w:tcPr>
            <w:tcW w:w="936" w:type="dxa"/>
            <w:vMerge w:val="continue"/>
            <w:tcBorders>
              <w:top w:val="single" w:color="auto" w:sz="4" w:space="0"/>
              <w:left w:val="single" w:color="auto" w:sz="4" w:space="0"/>
              <w:bottom w:val="nil"/>
              <w:right w:val="nil"/>
            </w:tcBorders>
            <w:noWrap w:val="0"/>
            <w:vAlign w:val="center"/>
          </w:tcPr>
          <w:p w14:paraId="4232B5BF">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816" w:type="dxa"/>
            <w:vMerge w:val="continue"/>
            <w:tcBorders>
              <w:top w:val="single" w:color="auto" w:sz="4" w:space="0"/>
              <w:left w:val="single" w:color="auto" w:sz="4" w:space="0"/>
              <w:bottom w:val="single" w:color="000000" w:sz="4" w:space="0"/>
              <w:right w:val="single" w:color="auto" w:sz="4" w:space="0"/>
            </w:tcBorders>
            <w:noWrap w:val="0"/>
            <w:vAlign w:val="center"/>
          </w:tcPr>
          <w:p w14:paraId="20F53703">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3315" w:type="dxa"/>
            <w:tcBorders>
              <w:top w:val="nil"/>
              <w:left w:val="nil"/>
              <w:bottom w:val="single" w:color="auto" w:sz="4" w:space="0"/>
              <w:right w:val="single" w:color="auto" w:sz="4" w:space="0"/>
            </w:tcBorders>
            <w:noWrap w:val="0"/>
            <w:vAlign w:val="center"/>
          </w:tcPr>
          <w:p w14:paraId="36F1A7EC">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生活垃圾收集做到日产日清。道路、广场、公园每日不少于二次收集，第一次收集必须在上午7点前完成、第二遍收集在下午16点前完成（可根据季节等原因进行调整）。所有路段需确保垃圾及时收集，确保垃圾容器不满溢；</w:t>
            </w:r>
          </w:p>
        </w:tc>
        <w:tc>
          <w:tcPr>
            <w:tcW w:w="4645" w:type="dxa"/>
            <w:tcBorders>
              <w:top w:val="nil"/>
              <w:left w:val="nil"/>
              <w:bottom w:val="single" w:color="auto" w:sz="4" w:space="0"/>
              <w:right w:val="single" w:color="auto" w:sz="4" w:space="0"/>
            </w:tcBorders>
            <w:noWrap w:val="0"/>
            <w:vAlign w:val="center"/>
          </w:tcPr>
          <w:p w14:paraId="1E7D71B2">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垃圾漏清扣1分/处、延时完成扣1分/处、垃圾满溢扣1分/处。</w:t>
            </w:r>
          </w:p>
        </w:tc>
      </w:tr>
      <w:tr w14:paraId="22E7C511">
        <w:tblPrEx>
          <w:tblCellMar>
            <w:top w:w="0" w:type="dxa"/>
            <w:left w:w="108" w:type="dxa"/>
            <w:bottom w:w="0" w:type="dxa"/>
            <w:right w:w="108" w:type="dxa"/>
          </w:tblCellMar>
        </w:tblPrEx>
        <w:trPr>
          <w:trHeight w:val="600" w:hRule="atLeast"/>
        </w:trPr>
        <w:tc>
          <w:tcPr>
            <w:tcW w:w="936" w:type="dxa"/>
            <w:vMerge w:val="continue"/>
            <w:tcBorders>
              <w:top w:val="single" w:color="auto" w:sz="4" w:space="0"/>
              <w:left w:val="single" w:color="auto" w:sz="4" w:space="0"/>
              <w:bottom w:val="nil"/>
              <w:right w:val="nil"/>
            </w:tcBorders>
            <w:noWrap w:val="0"/>
            <w:vAlign w:val="center"/>
          </w:tcPr>
          <w:p w14:paraId="55C023AE">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816" w:type="dxa"/>
            <w:vMerge w:val="continue"/>
            <w:tcBorders>
              <w:top w:val="single" w:color="auto" w:sz="4" w:space="0"/>
              <w:left w:val="single" w:color="auto" w:sz="4" w:space="0"/>
              <w:bottom w:val="single" w:color="000000" w:sz="4" w:space="0"/>
              <w:right w:val="single" w:color="auto" w:sz="4" w:space="0"/>
            </w:tcBorders>
            <w:noWrap w:val="0"/>
            <w:vAlign w:val="center"/>
          </w:tcPr>
          <w:p w14:paraId="7226D418">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3315" w:type="dxa"/>
            <w:tcBorders>
              <w:top w:val="nil"/>
              <w:left w:val="nil"/>
              <w:bottom w:val="single" w:color="auto" w:sz="4" w:space="0"/>
              <w:right w:val="single" w:color="auto" w:sz="4" w:space="0"/>
            </w:tcBorders>
            <w:noWrap w:val="0"/>
            <w:vAlign w:val="center"/>
          </w:tcPr>
          <w:p w14:paraId="33A814C2">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(3).收集结束后垃圾容器及时复位、摆放整齐。垃圾桶（箱或房），门盖及时关闭；</w:t>
            </w:r>
          </w:p>
        </w:tc>
        <w:tc>
          <w:tcPr>
            <w:tcW w:w="4645" w:type="dxa"/>
            <w:tcBorders>
              <w:top w:val="nil"/>
              <w:left w:val="nil"/>
              <w:bottom w:val="single" w:color="auto" w:sz="4" w:space="0"/>
              <w:right w:val="single" w:color="auto" w:sz="4" w:space="0"/>
            </w:tcBorders>
            <w:noWrap w:val="0"/>
            <w:vAlign w:val="center"/>
          </w:tcPr>
          <w:p w14:paraId="7138510B">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垃圾桶（箱）未及时复位扣1分/处，摆放不整齐、门（盖）未关扣1分/处。</w:t>
            </w:r>
          </w:p>
        </w:tc>
      </w:tr>
      <w:tr w14:paraId="1844761D">
        <w:tblPrEx>
          <w:tblCellMar>
            <w:top w:w="0" w:type="dxa"/>
            <w:left w:w="108" w:type="dxa"/>
            <w:bottom w:w="0" w:type="dxa"/>
            <w:right w:w="108" w:type="dxa"/>
          </w:tblCellMar>
        </w:tblPrEx>
        <w:trPr>
          <w:trHeight w:val="600" w:hRule="atLeast"/>
        </w:trPr>
        <w:tc>
          <w:tcPr>
            <w:tcW w:w="936" w:type="dxa"/>
            <w:vMerge w:val="continue"/>
            <w:tcBorders>
              <w:top w:val="single" w:color="auto" w:sz="4" w:space="0"/>
              <w:left w:val="single" w:color="auto" w:sz="4" w:space="0"/>
              <w:bottom w:val="nil"/>
              <w:right w:val="nil"/>
            </w:tcBorders>
            <w:noWrap w:val="0"/>
            <w:vAlign w:val="center"/>
          </w:tcPr>
          <w:p w14:paraId="6455C8CE">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816" w:type="dxa"/>
            <w:vMerge w:val="continue"/>
            <w:tcBorders>
              <w:top w:val="single" w:color="auto" w:sz="4" w:space="0"/>
              <w:left w:val="single" w:color="auto" w:sz="4" w:space="0"/>
              <w:bottom w:val="single" w:color="000000" w:sz="4" w:space="0"/>
              <w:right w:val="single" w:color="auto" w:sz="4" w:space="0"/>
            </w:tcBorders>
            <w:noWrap w:val="0"/>
            <w:vAlign w:val="center"/>
          </w:tcPr>
          <w:p w14:paraId="38742402">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3315" w:type="dxa"/>
            <w:tcBorders>
              <w:top w:val="nil"/>
              <w:left w:val="nil"/>
              <w:bottom w:val="single" w:color="auto" w:sz="4" w:space="0"/>
              <w:right w:val="single" w:color="auto" w:sz="4" w:space="0"/>
            </w:tcBorders>
            <w:noWrap w:val="0"/>
            <w:vAlign w:val="center"/>
          </w:tcPr>
          <w:p w14:paraId="6C402864">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(4).垃圾运输车辆在运输途中应做到密闭运输，杜绝吊挂，或有污水抛洒滴漏；</w:t>
            </w:r>
          </w:p>
        </w:tc>
        <w:tc>
          <w:tcPr>
            <w:tcW w:w="4645" w:type="dxa"/>
            <w:tcBorders>
              <w:top w:val="nil"/>
              <w:left w:val="nil"/>
              <w:bottom w:val="single" w:color="auto" w:sz="4" w:space="0"/>
              <w:right w:val="single" w:color="auto" w:sz="4" w:space="0"/>
            </w:tcBorders>
            <w:noWrap w:val="0"/>
            <w:vAlign w:val="center"/>
          </w:tcPr>
          <w:p w14:paraId="6B14A775">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未密闭运输、吊挂或沿途有抛洒滴漏的扣1分/次、情节严重的扣2分/次。</w:t>
            </w:r>
          </w:p>
        </w:tc>
      </w:tr>
      <w:tr w14:paraId="3D9AA15D">
        <w:tblPrEx>
          <w:tblCellMar>
            <w:top w:w="0" w:type="dxa"/>
            <w:left w:w="108" w:type="dxa"/>
            <w:bottom w:w="0" w:type="dxa"/>
            <w:right w:w="108" w:type="dxa"/>
          </w:tblCellMar>
        </w:tblPrEx>
        <w:trPr>
          <w:trHeight w:val="600" w:hRule="atLeast"/>
        </w:trPr>
        <w:tc>
          <w:tcPr>
            <w:tcW w:w="936" w:type="dxa"/>
            <w:vMerge w:val="continue"/>
            <w:tcBorders>
              <w:top w:val="single" w:color="auto" w:sz="4" w:space="0"/>
              <w:left w:val="single" w:color="auto" w:sz="4" w:space="0"/>
              <w:bottom w:val="nil"/>
              <w:right w:val="nil"/>
            </w:tcBorders>
            <w:noWrap w:val="0"/>
            <w:vAlign w:val="center"/>
          </w:tcPr>
          <w:p w14:paraId="3FB8A2B1">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816" w:type="dxa"/>
            <w:vMerge w:val="continue"/>
            <w:tcBorders>
              <w:top w:val="single" w:color="auto" w:sz="4" w:space="0"/>
              <w:left w:val="single" w:color="auto" w:sz="4" w:space="0"/>
              <w:bottom w:val="single" w:color="000000" w:sz="4" w:space="0"/>
              <w:right w:val="single" w:color="auto" w:sz="4" w:space="0"/>
            </w:tcBorders>
            <w:noWrap w:val="0"/>
            <w:vAlign w:val="center"/>
          </w:tcPr>
          <w:p w14:paraId="2B6F8938">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3315" w:type="dxa"/>
            <w:tcBorders>
              <w:top w:val="nil"/>
              <w:left w:val="nil"/>
              <w:bottom w:val="single" w:color="auto" w:sz="4" w:space="0"/>
              <w:right w:val="single" w:color="auto" w:sz="4" w:space="0"/>
            </w:tcBorders>
            <w:noWrap w:val="0"/>
            <w:vAlign w:val="center"/>
          </w:tcPr>
          <w:p w14:paraId="3D9B0618">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(5).垃圾装运量应以车辆的额定荷载和有效容积为限，不得超重、超高运输；</w:t>
            </w:r>
          </w:p>
        </w:tc>
        <w:tc>
          <w:tcPr>
            <w:tcW w:w="4645" w:type="dxa"/>
            <w:tcBorders>
              <w:top w:val="nil"/>
              <w:left w:val="nil"/>
              <w:bottom w:val="single" w:color="auto" w:sz="4" w:space="0"/>
              <w:right w:val="single" w:color="auto" w:sz="4" w:space="0"/>
            </w:tcBorders>
            <w:noWrap w:val="0"/>
            <w:vAlign w:val="center"/>
          </w:tcPr>
          <w:p w14:paraId="52C6ADEF">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发现与上述情况不符的扣1分/辆。</w:t>
            </w:r>
          </w:p>
        </w:tc>
      </w:tr>
      <w:tr w14:paraId="36D48472">
        <w:tblPrEx>
          <w:tblCellMar>
            <w:top w:w="0" w:type="dxa"/>
            <w:left w:w="108" w:type="dxa"/>
            <w:bottom w:w="0" w:type="dxa"/>
            <w:right w:w="108" w:type="dxa"/>
          </w:tblCellMar>
        </w:tblPrEx>
        <w:trPr>
          <w:trHeight w:val="600" w:hRule="atLeast"/>
        </w:trPr>
        <w:tc>
          <w:tcPr>
            <w:tcW w:w="936" w:type="dxa"/>
            <w:vMerge w:val="continue"/>
            <w:tcBorders>
              <w:top w:val="single" w:color="auto" w:sz="4" w:space="0"/>
              <w:left w:val="single" w:color="auto" w:sz="4" w:space="0"/>
              <w:bottom w:val="nil"/>
              <w:right w:val="nil"/>
            </w:tcBorders>
            <w:noWrap w:val="0"/>
            <w:vAlign w:val="center"/>
          </w:tcPr>
          <w:p w14:paraId="52E61EB9">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816" w:type="dxa"/>
            <w:vMerge w:val="continue"/>
            <w:tcBorders>
              <w:top w:val="single" w:color="auto" w:sz="4" w:space="0"/>
              <w:left w:val="single" w:color="auto" w:sz="4" w:space="0"/>
              <w:bottom w:val="single" w:color="000000" w:sz="4" w:space="0"/>
              <w:right w:val="single" w:color="auto" w:sz="4" w:space="0"/>
            </w:tcBorders>
            <w:noWrap w:val="0"/>
            <w:vAlign w:val="center"/>
          </w:tcPr>
          <w:p w14:paraId="3B0F07A5">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3315" w:type="dxa"/>
            <w:tcBorders>
              <w:top w:val="nil"/>
              <w:left w:val="nil"/>
              <w:bottom w:val="single" w:color="auto" w:sz="4" w:space="0"/>
              <w:right w:val="single" w:color="auto" w:sz="4" w:space="0"/>
            </w:tcBorders>
            <w:noWrap w:val="0"/>
            <w:vAlign w:val="center"/>
          </w:tcPr>
          <w:p w14:paraId="6F3C3F87">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(6).装卸垃圾应符合作业要求，不得乱倒、乱卸、乱抛垃圾,作业结束应将车辆冲洗干净停于指定停车场；</w:t>
            </w:r>
          </w:p>
        </w:tc>
        <w:tc>
          <w:tcPr>
            <w:tcW w:w="4645" w:type="dxa"/>
            <w:tcBorders>
              <w:top w:val="nil"/>
              <w:left w:val="nil"/>
              <w:bottom w:val="single" w:color="auto" w:sz="4" w:space="0"/>
              <w:right w:val="single" w:color="auto" w:sz="4" w:space="0"/>
            </w:tcBorders>
            <w:noWrap w:val="0"/>
            <w:vAlign w:val="center"/>
          </w:tcPr>
          <w:p w14:paraId="58407BED">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不按要求作业或未按规定要求停放的扣1分/辆。</w:t>
            </w:r>
          </w:p>
        </w:tc>
      </w:tr>
      <w:tr w14:paraId="207CEFED">
        <w:tblPrEx>
          <w:tblCellMar>
            <w:top w:w="0" w:type="dxa"/>
            <w:left w:w="108" w:type="dxa"/>
            <w:bottom w:w="0" w:type="dxa"/>
            <w:right w:w="108" w:type="dxa"/>
          </w:tblCellMar>
        </w:tblPrEx>
        <w:trPr>
          <w:trHeight w:val="600" w:hRule="atLeast"/>
        </w:trPr>
        <w:tc>
          <w:tcPr>
            <w:tcW w:w="936" w:type="dxa"/>
            <w:vMerge w:val="continue"/>
            <w:tcBorders>
              <w:top w:val="single" w:color="auto" w:sz="4" w:space="0"/>
              <w:left w:val="single" w:color="auto" w:sz="4" w:space="0"/>
              <w:bottom w:val="nil"/>
              <w:right w:val="nil"/>
            </w:tcBorders>
            <w:noWrap w:val="0"/>
            <w:vAlign w:val="center"/>
          </w:tcPr>
          <w:p w14:paraId="14A4E1E6">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816" w:type="dxa"/>
            <w:vMerge w:val="continue"/>
            <w:tcBorders>
              <w:top w:val="single" w:color="auto" w:sz="4" w:space="0"/>
              <w:left w:val="single" w:color="auto" w:sz="4" w:space="0"/>
              <w:bottom w:val="single" w:color="000000" w:sz="4" w:space="0"/>
              <w:right w:val="single" w:color="auto" w:sz="4" w:space="0"/>
            </w:tcBorders>
            <w:noWrap w:val="0"/>
            <w:vAlign w:val="center"/>
          </w:tcPr>
          <w:p w14:paraId="6BE5A60F">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3315" w:type="dxa"/>
            <w:tcBorders>
              <w:top w:val="nil"/>
              <w:left w:val="nil"/>
              <w:bottom w:val="single" w:color="auto" w:sz="4" w:space="0"/>
              <w:right w:val="single" w:color="auto" w:sz="4" w:space="0"/>
            </w:tcBorders>
            <w:noWrap w:val="0"/>
            <w:vAlign w:val="center"/>
          </w:tcPr>
          <w:p w14:paraId="6113ADCF">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(7).生活垃圾需运至指定中转站点，在进入中转站点后的排水、卸料等作业应严格遵守相关管理规定，并服从相关人员指挥；</w:t>
            </w:r>
          </w:p>
        </w:tc>
        <w:tc>
          <w:tcPr>
            <w:tcW w:w="4645" w:type="dxa"/>
            <w:tcBorders>
              <w:top w:val="nil"/>
              <w:left w:val="nil"/>
              <w:bottom w:val="single" w:color="auto" w:sz="4" w:space="0"/>
              <w:right w:val="single" w:color="auto" w:sz="4" w:space="0"/>
            </w:tcBorders>
            <w:noWrap w:val="0"/>
            <w:vAlign w:val="center"/>
          </w:tcPr>
          <w:p w14:paraId="08223AF0">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垃圾未经同意运至非指定中转站点的，扣2分/次；不遵守中转站点管理规定的，扣1分/次。</w:t>
            </w:r>
          </w:p>
        </w:tc>
      </w:tr>
      <w:tr w14:paraId="0649D3E4">
        <w:tblPrEx>
          <w:tblCellMar>
            <w:top w:w="0" w:type="dxa"/>
            <w:left w:w="108" w:type="dxa"/>
            <w:bottom w:w="0" w:type="dxa"/>
            <w:right w:w="108" w:type="dxa"/>
          </w:tblCellMar>
        </w:tblPrEx>
        <w:trPr>
          <w:trHeight w:val="600" w:hRule="atLeast"/>
        </w:trPr>
        <w:tc>
          <w:tcPr>
            <w:tcW w:w="936" w:type="dxa"/>
            <w:vMerge w:val="continue"/>
            <w:tcBorders>
              <w:top w:val="single" w:color="auto" w:sz="4" w:space="0"/>
              <w:left w:val="single" w:color="auto" w:sz="4" w:space="0"/>
              <w:bottom w:val="nil"/>
              <w:right w:val="nil"/>
            </w:tcBorders>
            <w:noWrap w:val="0"/>
            <w:vAlign w:val="center"/>
          </w:tcPr>
          <w:p w14:paraId="3F98EA6D">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816" w:type="dxa"/>
            <w:vMerge w:val="continue"/>
            <w:tcBorders>
              <w:top w:val="single" w:color="auto" w:sz="4" w:space="0"/>
              <w:left w:val="single" w:color="auto" w:sz="4" w:space="0"/>
              <w:bottom w:val="single" w:color="000000" w:sz="4" w:space="0"/>
              <w:right w:val="single" w:color="auto" w:sz="4" w:space="0"/>
            </w:tcBorders>
            <w:noWrap w:val="0"/>
            <w:vAlign w:val="center"/>
          </w:tcPr>
          <w:p w14:paraId="15AE8D87">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3315" w:type="dxa"/>
            <w:tcBorders>
              <w:top w:val="nil"/>
              <w:left w:val="nil"/>
              <w:bottom w:val="single" w:color="auto" w:sz="4" w:space="0"/>
              <w:right w:val="single" w:color="auto" w:sz="4" w:space="0"/>
            </w:tcBorders>
            <w:noWrap w:val="0"/>
            <w:vAlign w:val="center"/>
          </w:tcPr>
          <w:p w14:paraId="0299FE9B">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(8).建筑装潢垃圾及时分类清理，统一按照要求清运至建筑装潢垃圾处理场；</w:t>
            </w:r>
          </w:p>
        </w:tc>
        <w:tc>
          <w:tcPr>
            <w:tcW w:w="4645" w:type="dxa"/>
            <w:tcBorders>
              <w:top w:val="nil"/>
              <w:left w:val="nil"/>
              <w:bottom w:val="single" w:color="auto" w:sz="4" w:space="0"/>
              <w:right w:val="single" w:color="auto" w:sz="4" w:space="0"/>
            </w:tcBorders>
            <w:noWrap w:val="0"/>
            <w:vAlign w:val="center"/>
          </w:tcPr>
          <w:p w14:paraId="09D06B54">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清理不及时的扣2分/次，形成脏点死角的扣1分/处,建筑垃圾与生活垃圾混装的扣5分/次。</w:t>
            </w:r>
          </w:p>
        </w:tc>
      </w:tr>
      <w:tr w14:paraId="714E205C">
        <w:tblPrEx>
          <w:tblCellMar>
            <w:top w:w="0" w:type="dxa"/>
            <w:left w:w="108" w:type="dxa"/>
            <w:bottom w:w="0" w:type="dxa"/>
            <w:right w:w="108" w:type="dxa"/>
          </w:tblCellMar>
        </w:tblPrEx>
        <w:trPr>
          <w:trHeight w:val="600" w:hRule="atLeast"/>
        </w:trPr>
        <w:tc>
          <w:tcPr>
            <w:tcW w:w="936" w:type="dxa"/>
            <w:vMerge w:val="continue"/>
            <w:tcBorders>
              <w:top w:val="single" w:color="auto" w:sz="4" w:space="0"/>
              <w:left w:val="single" w:color="auto" w:sz="4" w:space="0"/>
              <w:bottom w:val="nil"/>
              <w:right w:val="nil"/>
            </w:tcBorders>
            <w:noWrap w:val="0"/>
            <w:vAlign w:val="center"/>
          </w:tcPr>
          <w:p w14:paraId="4612A004">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816" w:type="dxa"/>
            <w:vMerge w:val="continue"/>
            <w:tcBorders>
              <w:top w:val="single" w:color="auto" w:sz="4" w:space="0"/>
              <w:left w:val="single" w:color="auto" w:sz="4" w:space="0"/>
              <w:bottom w:val="single" w:color="000000" w:sz="4" w:space="0"/>
              <w:right w:val="single" w:color="auto" w:sz="4" w:space="0"/>
            </w:tcBorders>
            <w:noWrap w:val="0"/>
            <w:vAlign w:val="center"/>
          </w:tcPr>
          <w:p w14:paraId="092A08E9">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3315" w:type="dxa"/>
            <w:tcBorders>
              <w:top w:val="nil"/>
              <w:left w:val="nil"/>
              <w:bottom w:val="single" w:color="auto" w:sz="4" w:space="0"/>
              <w:right w:val="single" w:color="auto" w:sz="4" w:space="0"/>
            </w:tcBorders>
            <w:noWrap w:val="0"/>
            <w:vAlign w:val="center"/>
          </w:tcPr>
          <w:p w14:paraId="418D881E">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(9).蚊蝇孽生季节及时消杀（消杀时间为：6月-10月），做到基本无蝇；</w:t>
            </w:r>
          </w:p>
        </w:tc>
        <w:tc>
          <w:tcPr>
            <w:tcW w:w="4645" w:type="dxa"/>
            <w:tcBorders>
              <w:top w:val="nil"/>
              <w:left w:val="nil"/>
              <w:bottom w:val="single" w:color="auto" w:sz="4" w:space="0"/>
              <w:right w:val="single" w:color="auto" w:sz="4" w:space="0"/>
            </w:tcBorders>
            <w:noWrap w:val="0"/>
            <w:vAlign w:val="center"/>
          </w:tcPr>
          <w:p w14:paraId="00991A3F">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消杀不到位的，视情况扣1分/处；规定时间未消杀的，扣2分/日。</w:t>
            </w:r>
          </w:p>
        </w:tc>
      </w:tr>
      <w:tr w14:paraId="0793BED3">
        <w:tblPrEx>
          <w:tblCellMar>
            <w:top w:w="0" w:type="dxa"/>
            <w:left w:w="108" w:type="dxa"/>
            <w:bottom w:w="0" w:type="dxa"/>
            <w:right w:w="108" w:type="dxa"/>
          </w:tblCellMar>
        </w:tblPrEx>
        <w:trPr>
          <w:trHeight w:val="799" w:hRule="atLeast"/>
        </w:trPr>
        <w:tc>
          <w:tcPr>
            <w:tcW w:w="936" w:type="dxa"/>
            <w:vMerge w:val="continue"/>
            <w:tcBorders>
              <w:top w:val="single" w:color="auto" w:sz="4" w:space="0"/>
              <w:left w:val="single" w:color="auto" w:sz="4" w:space="0"/>
              <w:bottom w:val="nil"/>
              <w:right w:val="nil"/>
            </w:tcBorders>
            <w:noWrap w:val="0"/>
            <w:vAlign w:val="center"/>
          </w:tcPr>
          <w:p w14:paraId="2139C29F">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816" w:type="dxa"/>
            <w:vMerge w:val="continue"/>
            <w:tcBorders>
              <w:top w:val="single" w:color="auto" w:sz="4" w:space="0"/>
              <w:left w:val="single" w:color="auto" w:sz="4" w:space="0"/>
              <w:bottom w:val="single" w:color="000000" w:sz="4" w:space="0"/>
              <w:right w:val="single" w:color="auto" w:sz="4" w:space="0"/>
            </w:tcBorders>
            <w:noWrap w:val="0"/>
            <w:vAlign w:val="center"/>
          </w:tcPr>
          <w:p w14:paraId="2625B0F3">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3315" w:type="dxa"/>
            <w:tcBorders>
              <w:top w:val="nil"/>
              <w:left w:val="nil"/>
              <w:bottom w:val="single" w:color="auto" w:sz="4" w:space="0"/>
              <w:right w:val="single" w:color="auto" w:sz="4" w:space="0"/>
            </w:tcBorders>
            <w:noWrap w:val="0"/>
            <w:vAlign w:val="center"/>
          </w:tcPr>
          <w:p w14:paraId="204CC57B">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(10).企事业单位和商铺的厨余垃圾分类收集清运车辆需符合要求，企事业单位每日不少于一次收集，商铺每日不少于二次收集。在规定的时间内上门收集清运，按照要求到指定地点卸载作业，不得乱倒乱排放；</w:t>
            </w:r>
          </w:p>
        </w:tc>
        <w:tc>
          <w:tcPr>
            <w:tcW w:w="4645" w:type="dxa"/>
            <w:tcBorders>
              <w:top w:val="nil"/>
              <w:left w:val="nil"/>
              <w:bottom w:val="single" w:color="auto" w:sz="4" w:space="0"/>
              <w:right w:val="single" w:color="auto" w:sz="4" w:space="0"/>
            </w:tcBorders>
            <w:noWrap w:val="0"/>
            <w:vAlign w:val="center"/>
          </w:tcPr>
          <w:p w14:paraId="46567A08">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垃圾分类车辆不符合要求的，未按规定要求作业的，根据实际情况扣1~3分/次。</w:t>
            </w:r>
          </w:p>
        </w:tc>
      </w:tr>
      <w:tr w14:paraId="3AD03873">
        <w:tblPrEx>
          <w:tblCellMar>
            <w:top w:w="0" w:type="dxa"/>
            <w:left w:w="108" w:type="dxa"/>
            <w:bottom w:w="0" w:type="dxa"/>
            <w:right w:w="108" w:type="dxa"/>
          </w:tblCellMar>
        </w:tblPrEx>
        <w:trPr>
          <w:trHeight w:val="600" w:hRule="atLeast"/>
        </w:trPr>
        <w:tc>
          <w:tcPr>
            <w:tcW w:w="936" w:type="dxa"/>
            <w:vMerge w:val="continue"/>
            <w:tcBorders>
              <w:top w:val="single" w:color="auto" w:sz="4" w:space="0"/>
              <w:left w:val="single" w:color="auto" w:sz="4" w:space="0"/>
              <w:bottom w:val="nil"/>
              <w:right w:val="nil"/>
            </w:tcBorders>
            <w:noWrap w:val="0"/>
            <w:vAlign w:val="center"/>
          </w:tcPr>
          <w:p w14:paraId="403EE07A">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816" w:type="dxa"/>
            <w:vMerge w:val="continue"/>
            <w:tcBorders>
              <w:top w:val="single" w:color="auto" w:sz="4" w:space="0"/>
              <w:left w:val="single" w:color="auto" w:sz="4" w:space="0"/>
              <w:bottom w:val="single" w:color="000000" w:sz="4" w:space="0"/>
              <w:right w:val="single" w:color="auto" w:sz="4" w:space="0"/>
            </w:tcBorders>
            <w:noWrap w:val="0"/>
            <w:vAlign w:val="center"/>
          </w:tcPr>
          <w:p w14:paraId="5CE8B6F3">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3315" w:type="dxa"/>
            <w:tcBorders>
              <w:top w:val="nil"/>
              <w:left w:val="nil"/>
              <w:bottom w:val="single" w:color="auto" w:sz="4" w:space="0"/>
              <w:right w:val="single" w:color="auto" w:sz="4" w:space="0"/>
            </w:tcBorders>
            <w:noWrap w:val="0"/>
            <w:vAlign w:val="center"/>
          </w:tcPr>
          <w:p w14:paraId="2EFA84C4">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(11).环卫垃圾运输车辆的渗滤液须按照规定收集，不得乱排乱放；</w:t>
            </w:r>
          </w:p>
        </w:tc>
        <w:tc>
          <w:tcPr>
            <w:tcW w:w="4645" w:type="dxa"/>
            <w:tcBorders>
              <w:top w:val="nil"/>
              <w:left w:val="nil"/>
              <w:bottom w:val="single" w:color="auto" w:sz="4" w:space="0"/>
              <w:right w:val="single" w:color="auto" w:sz="4" w:space="0"/>
            </w:tcBorders>
            <w:noWrap w:val="0"/>
            <w:vAlign w:val="center"/>
          </w:tcPr>
          <w:p w14:paraId="1B24607E">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未按要求的，存在乱排放的一经查实，扣30分/辆.次。</w:t>
            </w:r>
          </w:p>
        </w:tc>
      </w:tr>
      <w:tr w14:paraId="6F721893">
        <w:tblPrEx>
          <w:tblCellMar>
            <w:top w:w="0" w:type="dxa"/>
            <w:left w:w="108" w:type="dxa"/>
            <w:bottom w:w="0" w:type="dxa"/>
            <w:right w:w="108" w:type="dxa"/>
          </w:tblCellMar>
        </w:tblPrEx>
        <w:trPr>
          <w:trHeight w:val="600" w:hRule="atLeast"/>
        </w:trPr>
        <w:tc>
          <w:tcPr>
            <w:tcW w:w="936" w:type="dxa"/>
            <w:vMerge w:val="continue"/>
            <w:tcBorders>
              <w:top w:val="single" w:color="auto" w:sz="4" w:space="0"/>
              <w:left w:val="single" w:color="auto" w:sz="4" w:space="0"/>
              <w:bottom w:val="nil"/>
              <w:right w:val="nil"/>
            </w:tcBorders>
            <w:noWrap w:val="0"/>
            <w:vAlign w:val="center"/>
          </w:tcPr>
          <w:p w14:paraId="00136D8C">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816" w:type="dxa"/>
            <w:vMerge w:val="continue"/>
            <w:tcBorders>
              <w:top w:val="single" w:color="auto" w:sz="4" w:space="0"/>
              <w:left w:val="single" w:color="auto" w:sz="4" w:space="0"/>
              <w:bottom w:val="single" w:color="000000" w:sz="4" w:space="0"/>
              <w:right w:val="single" w:color="auto" w:sz="4" w:space="0"/>
            </w:tcBorders>
            <w:noWrap w:val="0"/>
            <w:vAlign w:val="center"/>
          </w:tcPr>
          <w:p w14:paraId="7648112F">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3315" w:type="dxa"/>
            <w:tcBorders>
              <w:top w:val="nil"/>
              <w:left w:val="nil"/>
              <w:bottom w:val="single" w:color="auto" w:sz="4" w:space="0"/>
              <w:right w:val="single" w:color="auto" w:sz="4" w:space="0"/>
            </w:tcBorders>
            <w:noWrap w:val="0"/>
            <w:vAlign w:val="center"/>
          </w:tcPr>
          <w:p w14:paraId="0E8BD90E">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(12).私自承接其他垃圾清运工作并倒入甲方垃圾中转站的；或非标段清运车辆进入甲方垃圾中转站的；</w:t>
            </w:r>
          </w:p>
        </w:tc>
        <w:tc>
          <w:tcPr>
            <w:tcW w:w="4645" w:type="dxa"/>
            <w:tcBorders>
              <w:top w:val="nil"/>
              <w:left w:val="nil"/>
              <w:bottom w:val="single" w:color="auto" w:sz="4" w:space="0"/>
              <w:right w:val="single" w:color="auto" w:sz="4" w:space="0"/>
            </w:tcBorders>
            <w:noWrap w:val="0"/>
            <w:vAlign w:val="center"/>
          </w:tcPr>
          <w:p w14:paraId="4B369E31">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发现一次扣10分/次；第二次发现移交执法部门立案处理。</w:t>
            </w:r>
          </w:p>
        </w:tc>
      </w:tr>
      <w:tr w14:paraId="12A0E7F0">
        <w:tblPrEx>
          <w:tblCellMar>
            <w:top w:w="0" w:type="dxa"/>
            <w:left w:w="108" w:type="dxa"/>
            <w:bottom w:w="0" w:type="dxa"/>
            <w:right w:w="108" w:type="dxa"/>
          </w:tblCellMar>
        </w:tblPrEx>
        <w:trPr>
          <w:trHeight w:val="600" w:hRule="atLeast"/>
        </w:trPr>
        <w:tc>
          <w:tcPr>
            <w:tcW w:w="936" w:type="dxa"/>
            <w:vMerge w:val="continue"/>
            <w:tcBorders>
              <w:top w:val="single" w:color="auto" w:sz="4" w:space="0"/>
              <w:left w:val="single" w:color="auto" w:sz="4" w:space="0"/>
              <w:bottom w:val="nil"/>
              <w:right w:val="nil"/>
            </w:tcBorders>
            <w:noWrap w:val="0"/>
            <w:vAlign w:val="center"/>
          </w:tcPr>
          <w:p w14:paraId="7411BB8A">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816" w:type="dxa"/>
            <w:vMerge w:val="restart"/>
            <w:tcBorders>
              <w:top w:val="nil"/>
              <w:left w:val="single" w:color="auto" w:sz="4" w:space="0"/>
              <w:bottom w:val="single" w:color="000000" w:sz="4" w:space="0"/>
              <w:right w:val="single" w:color="auto" w:sz="4" w:space="0"/>
            </w:tcBorders>
            <w:noWrap w:val="0"/>
            <w:vAlign w:val="center"/>
          </w:tcPr>
          <w:p w14:paraId="6AE85DCB">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（F)</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粪</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便</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清</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运</w:t>
            </w:r>
          </w:p>
        </w:tc>
        <w:tc>
          <w:tcPr>
            <w:tcW w:w="3315" w:type="dxa"/>
            <w:tcBorders>
              <w:top w:val="nil"/>
              <w:left w:val="nil"/>
              <w:bottom w:val="single" w:color="auto" w:sz="4" w:space="0"/>
              <w:right w:val="single" w:color="auto" w:sz="4" w:space="0"/>
            </w:tcBorders>
            <w:noWrap w:val="0"/>
            <w:vAlign w:val="center"/>
          </w:tcPr>
          <w:p w14:paraId="5CD65C75">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(1)、企事业单位和区域内公厕的粪便抽运需实行定岗、定人、定车，按照要求及时清运，按照规定地点卸粪；</w:t>
            </w:r>
          </w:p>
        </w:tc>
        <w:tc>
          <w:tcPr>
            <w:tcW w:w="4645" w:type="dxa"/>
            <w:tcBorders>
              <w:top w:val="nil"/>
              <w:left w:val="nil"/>
              <w:bottom w:val="single" w:color="auto" w:sz="4" w:space="0"/>
              <w:right w:val="single" w:color="auto" w:sz="4" w:space="0"/>
            </w:tcBorders>
            <w:noWrap w:val="0"/>
            <w:vAlign w:val="center"/>
          </w:tcPr>
          <w:p w14:paraId="2A425C6D">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未按照规定抽粪的，作业不符合要求的，根据实际情况扣1~3分/次。</w:t>
            </w:r>
          </w:p>
        </w:tc>
      </w:tr>
      <w:tr w14:paraId="63159F13">
        <w:tblPrEx>
          <w:tblCellMar>
            <w:top w:w="0" w:type="dxa"/>
            <w:left w:w="108" w:type="dxa"/>
            <w:bottom w:w="0" w:type="dxa"/>
            <w:right w:w="108" w:type="dxa"/>
          </w:tblCellMar>
        </w:tblPrEx>
        <w:trPr>
          <w:trHeight w:val="600" w:hRule="atLeast"/>
        </w:trPr>
        <w:tc>
          <w:tcPr>
            <w:tcW w:w="936" w:type="dxa"/>
            <w:vMerge w:val="continue"/>
            <w:tcBorders>
              <w:top w:val="single" w:color="auto" w:sz="4" w:space="0"/>
              <w:left w:val="single" w:color="auto" w:sz="4" w:space="0"/>
              <w:bottom w:val="nil"/>
              <w:right w:val="nil"/>
            </w:tcBorders>
            <w:noWrap w:val="0"/>
            <w:vAlign w:val="center"/>
          </w:tcPr>
          <w:p w14:paraId="59AC8187">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816" w:type="dxa"/>
            <w:vMerge w:val="continue"/>
            <w:tcBorders>
              <w:top w:val="nil"/>
              <w:left w:val="single" w:color="auto" w:sz="4" w:space="0"/>
              <w:bottom w:val="single" w:color="000000" w:sz="4" w:space="0"/>
              <w:right w:val="single" w:color="auto" w:sz="4" w:space="0"/>
            </w:tcBorders>
            <w:noWrap w:val="0"/>
            <w:vAlign w:val="center"/>
          </w:tcPr>
          <w:p w14:paraId="6097A42B">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3315" w:type="dxa"/>
            <w:tcBorders>
              <w:top w:val="nil"/>
              <w:left w:val="nil"/>
              <w:bottom w:val="single" w:color="auto" w:sz="4" w:space="0"/>
              <w:right w:val="single" w:color="auto" w:sz="4" w:space="0"/>
            </w:tcBorders>
            <w:noWrap w:val="0"/>
            <w:vAlign w:val="center"/>
          </w:tcPr>
          <w:p w14:paraId="0858F5A3">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(2).严禁承接、包揽企事业单位和公厕签订的合同之外的粪便清运；</w:t>
            </w:r>
          </w:p>
        </w:tc>
        <w:tc>
          <w:tcPr>
            <w:tcW w:w="4645" w:type="dxa"/>
            <w:tcBorders>
              <w:top w:val="nil"/>
              <w:left w:val="nil"/>
              <w:bottom w:val="single" w:color="auto" w:sz="4" w:space="0"/>
              <w:right w:val="single" w:color="auto" w:sz="4" w:space="0"/>
            </w:tcBorders>
            <w:noWrap w:val="0"/>
            <w:vAlign w:val="center"/>
          </w:tcPr>
          <w:p w14:paraId="06DC1326">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发现一起5分/次。</w:t>
            </w:r>
          </w:p>
        </w:tc>
      </w:tr>
      <w:tr w14:paraId="0F8F78FE">
        <w:tblPrEx>
          <w:tblCellMar>
            <w:top w:w="0" w:type="dxa"/>
            <w:left w:w="108" w:type="dxa"/>
            <w:bottom w:w="0" w:type="dxa"/>
            <w:right w:w="108" w:type="dxa"/>
          </w:tblCellMar>
        </w:tblPrEx>
        <w:trPr>
          <w:trHeight w:val="600" w:hRule="atLeast"/>
        </w:trPr>
        <w:tc>
          <w:tcPr>
            <w:tcW w:w="936" w:type="dxa"/>
            <w:vMerge w:val="continue"/>
            <w:tcBorders>
              <w:top w:val="single" w:color="auto" w:sz="4" w:space="0"/>
              <w:left w:val="single" w:color="auto" w:sz="4" w:space="0"/>
              <w:bottom w:val="nil"/>
              <w:right w:val="nil"/>
            </w:tcBorders>
            <w:noWrap w:val="0"/>
            <w:vAlign w:val="center"/>
          </w:tcPr>
          <w:p w14:paraId="71E5375D">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816" w:type="dxa"/>
            <w:vMerge w:val="continue"/>
            <w:tcBorders>
              <w:top w:val="nil"/>
              <w:left w:val="single" w:color="auto" w:sz="4" w:space="0"/>
              <w:bottom w:val="single" w:color="000000" w:sz="4" w:space="0"/>
              <w:right w:val="single" w:color="auto" w:sz="4" w:space="0"/>
            </w:tcBorders>
            <w:noWrap w:val="0"/>
            <w:vAlign w:val="center"/>
          </w:tcPr>
          <w:p w14:paraId="0A8AB35A">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3315" w:type="dxa"/>
            <w:tcBorders>
              <w:top w:val="nil"/>
              <w:left w:val="nil"/>
              <w:bottom w:val="single" w:color="auto" w:sz="4" w:space="0"/>
              <w:right w:val="single" w:color="auto" w:sz="4" w:space="0"/>
            </w:tcBorders>
            <w:noWrap w:val="0"/>
            <w:vAlign w:val="center"/>
          </w:tcPr>
          <w:p w14:paraId="062247C7">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(3).按照清单上的企业和公厕数量，合理安排，不得漏清；</w:t>
            </w:r>
          </w:p>
        </w:tc>
        <w:tc>
          <w:tcPr>
            <w:tcW w:w="4645" w:type="dxa"/>
            <w:tcBorders>
              <w:top w:val="nil"/>
              <w:left w:val="nil"/>
              <w:bottom w:val="single" w:color="auto" w:sz="4" w:space="0"/>
              <w:right w:val="single" w:color="auto" w:sz="4" w:space="0"/>
            </w:tcBorders>
            <w:noWrap w:val="0"/>
            <w:vAlign w:val="center"/>
          </w:tcPr>
          <w:p w14:paraId="67DFF3CD">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漏清扣2分/处。</w:t>
            </w:r>
          </w:p>
        </w:tc>
      </w:tr>
      <w:tr w14:paraId="16E49459">
        <w:tblPrEx>
          <w:tblCellMar>
            <w:top w:w="0" w:type="dxa"/>
            <w:left w:w="108" w:type="dxa"/>
            <w:bottom w:w="0" w:type="dxa"/>
            <w:right w:w="108" w:type="dxa"/>
          </w:tblCellMar>
        </w:tblPrEx>
        <w:trPr>
          <w:trHeight w:val="600" w:hRule="atLeast"/>
        </w:trPr>
        <w:tc>
          <w:tcPr>
            <w:tcW w:w="936" w:type="dxa"/>
            <w:vMerge w:val="continue"/>
            <w:tcBorders>
              <w:top w:val="single" w:color="auto" w:sz="4" w:space="0"/>
              <w:left w:val="single" w:color="auto" w:sz="4" w:space="0"/>
              <w:bottom w:val="nil"/>
              <w:right w:val="nil"/>
            </w:tcBorders>
            <w:noWrap w:val="0"/>
            <w:vAlign w:val="center"/>
          </w:tcPr>
          <w:p w14:paraId="16BAA108">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816" w:type="dxa"/>
            <w:vMerge w:val="continue"/>
            <w:tcBorders>
              <w:top w:val="nil"/>
              <w:left w:val="single" w:color="auto" w:sz="4" w:space="0"/>
              <w:bottom w:val="single" w:color="000000" w:sz="4" w:space="0"/>
              <w:right w:val="single" w:color="auto" w:sz="4" w:space="0"/>
            </w:tcBorders>
            <w:noWrap w:val="0"/>
            <w:vAlign w:val="center"/>
          </w:tcPr>
          <w:p w14:paraId="4F6D58C0">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3315" w:type="dxa"/>
            <w:tcBorders>
              <w:top w:val="nil"/>
              <w:left w:val="nil"/>
              <w:bottom w:val="single" w:color="auto" w:sz="4" w:space="0"/>
              <w:right w:val="single" w:color="auto" w:sz="4" w:space="0"/>
            </w:tcBorders>
            <w:noWrap w:val="0"/>
            <w:vAlign w:val="center"/>
          </w:tcPr>
          <w:p w14:paraId="7B86662C">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(4).及时清运，严禁满井、冒井、造成粪便外溢状况；</w:t>
            </w:r>
          </w:p>
        </w:tc>
        <w:tc>
          <w:tcPr>
            <w:tcW w:w="4645" w:type="dxa"/>
            <w:tcBorders>
              <w:top w:val="nil"/>
              <w:left w:val="nil"/>
              <w:bottom w:val="single" w:color="auto" w:sz="4" w:space="0"/>
              <w:right w:val="single" w:color="auto" w:sz="4" w:space="0"/>
            </w:tcBorders>
            <w:noWrap w:val="0"/>
            <w:vAlign w:val="center"/>
          </w:tcPr>
          <w:p w14:paraId="6AA1B426">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未及时清运，造成满溢扣3分/次。</w:t>
            </w:r>
          </w:p>
        </w:tc>
      </w:tr>
      <w:tr w14:paraId="4B1AD7AC">
        <w:tblPrEx>
          <w:tblCellMar>
            <w:top w:w="0" w:type="dxa"/>
            <w:left w:w="108" w:type="dxa"/>
            <w:bottom w:w="0" w:type="dxa"/>
            <w:right w:w="108" w:type="dxa"/>
          </w:tblCellMar>
        </w:tblPrEx>
        <w:trPr>
          <w:trHeight w:val="600" w:hRule="atLeast"/>
        </w:trPr>
        <w:tc>
          <w:tcPr>
            <w:tcW w:w="936" w:type="dxa"/>
            <w:vMerge w:val="continue"/>
            <w:tcBorders>
              <w:top w:val="single" w:color="auto" w:sz="4" w:space="0"/>
              <w:left w:val="single" w:color="auto" w:sz="4" w:space="0"/>
              <w:bottom w:val="nil"/>
              <w:right w:val="nil"/>
            </w:tcBorders>
            <w:noWrap w:val="0"/>
            <w:vAlign w:val="center"/>
          </w:tcPr>
          <w:p w14:paraId="503FA8B0">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816" w:type="dxa"/>
            <w:vMerge w:val="continue"/>
            <w:tcBorders>
              <w:top w:val="nil"/>
              <w:left w:val="single" w:color="auto" w:sz="4" w:space="0"/>
              <w:bottom w:val="single" w:color="000000" w:sz="4" w:space="0"/>
              <w:right w:val="single" w:color="auto" w:sz="4" w:space="0"/>
            </w:tcBorders>
            <w:noWrap w:val="0"/>
            <w:vAlign w:val="center"/>
          </w:tcPr>
          <w:p w14:paraId="086E3973">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3315" w:type="dxa"/>
            <w:tcBorders>
              <w:top w:val="nil"/>
              <w:left w:val="nil"/>
              <w:bottom w:val="single" w:color="auto" w:sz="4" w:space="0"/>
              <w:right w:val="single" w:color="auto" w:sz="4" w:space="0"/>
            </w:tcBorders>
            <w:noWrap w:val="0"/>
            <w:vAlign w:val="center"/>
          </w:tcPr>
          <w:p w14:paraId="2C0DC8BB">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(5).按规定容量装载，保持车容整洁无污物，杜绝抛洒滴漏现象；</w:t>
            </w:r>
          </w:p>
        </w:tc>
        <w:tc>
          <w:tcPr>
            <w:tcW w:w="4645" w:type="dxa"/>
            <w:tcBorders>
              <w:top w:val="nil"/>
              <w:left w:val="nil"/>
              <w:bottom w:val="single" w:color="auto" w:sz="4" w:space="0"/>
              <w:right w:val="single" w:color="auto" w:sz="4" w:space="0"/>
            </w:tcBorders>
            <w:noWrap w:val="0"/>
            <w:vAlign w:val="center"/>
          </w:tcPr>
          <w:p w14:paraId="266FB452">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车辆超载或车身不洁的扣2分/次。</w:t>
            </w:r>
          </w:p>
        </w:tc>
      </w:tr>
      <w:tr w14:paraId="31D6D1FB">
        <w:tblPrEx>
          <w:tblCellMar>
            <w:top w:w="0" w:type="dxa"/>
            <w:left w:w="108" w:type="dxa"/>
            <w:bottom w:w="0" w:type="dxa"/>
            <w:right w:w="108" w:type="dxa"/>
          </w:tblCellMar>
        </w:tblPrEx>
        <w:trPr>
          <w:trHeight w:val="600" w:hRule="atLeast"/>
        </w:trPr>
        <w:tc>
          <w:tcPr>
            <w:tcW w:w="936" w:type="dxa"/>
            <w:vMerge w:val="continue"/>
            <w:tcBorders>
              <w:top w:val="single" w:color="auto" w:sz="4" w:space="0"/>
              <w:left w:val="single" w:color="auto" w:sz="4" w:space="0"/>
              <w:bottom w:val="nil"/>
              <w:right w:val="nil"/>
            </w:tcBorders>
            <w:noWrap w:val="0"/>
            <w:vAlign w:val="center"/>
          </w:tcPr>
          <w:p w14:paraId="10CF67CA">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816" w:type="dxa"/>
            <w:vMerge w:val="continue"/>
            <w:tcBorders>
              <w:top w:val="nil"/>
              <w:left w:val="single" w:color="auto" w:sz="4" w:space="0"/>
              <w:bottom w:val="single" w:color="000000" w:sz="4" w:space="0"/>
              <w:right w:val="single" w:color="auto" w:sz="4" w:space="0"/>
            </w:tcBorders>
            <w:noWrap w:val="0"/>
            <w:vAlign w:val="center"/>
          </w:tcPr>
          <w:p w14:paraId="3454C141">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3315" w:type="dxa"/>
            <w:tcBorders>
              <w:top w:val="nil"/>
              <w:left w:val="nil"/>
              <w:bottom w:val="single" w:color="auto" w:sz="4" w:space="0"/>
              <w:right w:val="single" w:color="auto" w:sz="4" w:space="0"/>
            </w:tcBorders>
            <w:noWrap w:val="0"/>
            <w:vAlign w:val="center"/>
          </w:tcPr>
          <w:p w14:paraId="6FE7645C">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(6).按指定线路运输，严禁乱排乱卸；</w:t>
            </w:r>
          </w:p>
        </w:tc>
        <w:tc>
          <w:tcPr>
            <w:tcW w:w="4645" w:type="dxa"/>
            <w:tcBorders>
              <w:top w:val="nil"/>
              <w:left w:val="nil"/>
              <w:bottom w:val="single" w:color="auto" w:sz="4" w:space="0"/>
              <w:right w:val="single" w:color="auto" w:sz="4" w:space="0"/>
            </w:tcBorders>
            <w:noWrap w:val="0"/>
            <w:vAlign w:val="center"/>
          </w:tcPr>
          <w:p w14:paraId="5B3512CF">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未按规定地点卸粪的扣3分/次。</w:t>
            </w:r>
          </w:p>
        </w:tc>
      </w:tr>
      <w:tr w14:paraId="6A07CC80">
        <w:tblPrEx>
          <w:tblCellMar>
            <w:top w:w="0" w:type="dxa"/>
            <w:left w:w="108" w:type="dxa"/>
            <w:bottom w:w="0" w:type="dxa"/>
            <w:right w:w="108" w:type="dxa"/>
          </w:tblCellMar>
        </w:tblPrEx>
        <w:trPr>
          <w:trHeight w:val="600" w:hRule="atLeast"/>
        </w:trPr>
        <w:tc>
          <w:tcPr>
            <w:tcW w:w="936" w:type="dxa"/>
            <w:vMerge w:val="continue"/>
            <w:tcBorders>
              <w:top w:val="single" w:color="auto" w:sz="4" w:space="0"/>
              <w:left w:val="single" w:color="auto" w:sz="4" w:space="0"/>
              <w:bottom w:val="nil"/>
              <w:right w:val="nil"/>
            </w:tcBorders>
            <w:noWrap w:val="0"/>
            <w:vAlign w:val="center"/>
          </w:tcPr>
          <w:p w14:paraId="4E048984">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816" w:type="dxa"/>
            <w:vMerge w:val="continue"/>
            <w:tcBorders>
              <w:top w:val="nil"/>
              <w:left w:val="single" w:color="auto" w:sz="4" w:space="0"/>
              <w:bottom w:val="single" w:color="000000" w:sz="4" w:space="0"/>
              <w:right w:val="single" w:color="auto" w:sz="4" w:space="0"/>
            </w:tcBorders>
            <w:noWrap w:val="0"/>
            <w:vAlign w:val="center"/>
          </w:tcPr>
          <w:p w14:paraId="3547DF85">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3315" w:type="dxa"/>
            <w:tcBorders>
              <w:top w:val="nil"/>
              <w:left w:val="nil"/>
              <w:bottom w:val="single" w:color="auto" w:sz="4" w:space="0"/>
              <w:right w:val="single" w:color="auto" w:sz="4" w:space="0"/>
            </w:tcBorders>
            <w:noWrap w:val="0"/>
            <w:vAlign w:val="center"/>
          </w:tcPr>
          <w:p w14:paraId="70013D93">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(7).记录清运台账，按时递交环卫</w:t>
            </w:r>
            <w:r>
              <w:rPr>
                <w:rFonts w:hint="eastAsia" w:ascii="宋体" w:hAnsi="宋体" w:cs="宋体"/>
                <w:color w:val="auto"/>
                <w:kern w:val="0"/>
                <w:sz w:val="21"/>
                <w:szCs w:val="21"/>
                <w:highlight w:val="none"/>
                <w:lang w:eastAsia="zh-CN"/>
              </w:rPr>
              <w:t>部门</w:t>
            </w:r>
            <w:r>
              <w:rPr>
                <w:rFonts w:hint="eastAsia" w:ascii="宋体" w:hAnsi="宋体" w:eastAsia="宋体" w:cs="宋体"/>
                <w:color w:val="auto"/>
                <w:kern w:val="0"/>
                <w:sz w:val="21"/>
                <w:szCs w:val="21"/>
                <w:highlight w:val="none"/>
              </w:rPr>
              <w:t>便于核对；</w:t>
            </w:r>
          </w:p>
        </w:tc>
        <w:tc>
          <w:tcPr>
            <w:tcW w:w="4645" w:type="dxa"/>
            <w:tcBorders>
              <w:top w:val="nil"/>
              <w:left w:val="nil"/>
              <w:bottom w:val="single" w:color="auto" w:sz="4" w:space="0"/>
              <w:right w:val="single" w:color="auto" w:sz="4" w:space="0"/>
            </w:tcBorders>
            <w:noWrap w:val="0"/>
            <w:vAlign w:val="center"/>
          </w:tcPr>
          <w:p w14:paraId="094D389C">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未按照规定的扣3分/次。</w:t>
            </w:r>
          </w:p>
        </w:tc>
      </w:tr>
      <w:tr w14:paraId="71A2FC42">
        <w:tblPrEx>
          <w:tblCellMar>
            <w:top w:w="0" w:type="dxa"/>
            <w:left w:w="108" w:type="dxa"/>
            <w:bottom w:w="0" w:type="dxa"/>
            <w:right w:w="108" w:type="dxa"/>
          </w:tblCellMar>
        </w:tblPrEx>
        <w:trPr>
          <w:trHeight w:val="600" w:hRule="atLeast"/>
        </w:trPr>
        <w:tc>
          <w:tcPr>
            <w:tcW w:w="936" w:type="dxa"/>
            <w:vMerge w:val="continue"/>
            <w:tcBorders>
              <w:top w:val="single" w:color="auto" w:sz="4" w:space="0"/>
              <w:left w:val="single" w:color="auto" w:sz="4" w:space="0"/>
              <w:bottom w:val="nil"/>
              <w:right w:val="nil"/>
            </w:tcBorders>
            <w:noWrap w:val="0"/>
            <w:vAlign w:val="center"/>
          </w:tcPr>
          <w:p w14:paraId="37C70378">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816" w:type="dxa"/>
            <w:vMerge w:val="restart"/>
            <w:tcBorders>
              <w:top w:val="nil"/>
              <w:left w:val="single" w:color="auto" w:sz="4" w:space="0"/>
              <w:bottom w:val="single" w:color="auto" w:sz="4" w:space="0"/>
              <w:right w:val="single" w:color="auto" w:sz="4" w:space="0"/>
            </w:tcBorders>
            <w:noWrap w:val="0"/>
            <w:vAlign w:val="center"/>
          </w:tcPr>
          <w:p w14:paraId="4EA9EF2B">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(G)           黑             色           广         告            清             理</w:t>
            </w:r>
          </w:p>
        </w:tc>
        <w:tc>
          <w:tcPr>
            <w:tcW w:w="3315" w:type="dxa"/>
            <w:tcBorders>
              <w:top w:val="nil"/>
              <w:left w:val="nil"/>
              <w:bottom w:val="single" w:color="auto" w:sz="4" w:space="0"/>
              <w:right w:val="single" w:color="auto" w:sz="4" w:space="0"/>
            </w:tcBorders>
            <w:noWrap w:val="0"/>
            <w:vAlign w:val="center"/>
          </w:tcPr>
          <w:p w14:paraId="2F462BB4">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(1).一级道路乱涂乱贴出现后的20分钟内未清理完毕；</w:t>
            </w:r>
          </w:p>
        </w:tc>
        <w:tc>
          <w:tcPr>
            <w:tcW w:w="4645" w:type="dxa"/>
            <w:tcBorders>
              <w:top w:val="nil"/>
              <w:left w:val="nil"/>
              <w:bottom w:val="single" w:color="auto" w:sz="4" w:space="0"/>
              <w:right w:val="single" w:color="auto" w:sz="4" w:space="0"/>
            </w:tcBorders>
            <w:noWrap w:val="0"/>
            <w:vAlign w:val="center"/>
          </w:tcPr>
          <w:p w14:paraId="4F8D3D95">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未及时清理的扣1分/处，对于已清理但质量达不到标准要求的扣1分/处。</w:t>
            </w:r>
          </w:p>
        </w:tc>
      </w:tr>
      <w:tr w14:paraId="008EF33E">
        <w:tblPrEx>
          <w:tblCellMar>
            <w:top w:w="0" w:type="dxa"/>
            <w:left w:w="108" w:type="dxa"/>
            <w:bottom w:w="0" w:type="dxa"/>
            <w:right w:w="108" w:type="dxa"/>
          </w:tblCellMar>
        </w:tblPrEx>
        <w:trPr>
          <w:trHeight w:val="600" w:hRule="atLeast"/>
        </w:trPr>
        <w:tc>
          <w:tcPr>
            <w:tcW w:w="936" w:type="dxa"/>
            <w:vMerge w:val="continue"/>
            <w:tcBorders>
              <w:top w:val="single" w:color="auto" w:sz="4" w:space="0"/>
              <w:left w:val="single" w:color="auto" w:sz="4" w:space="0"/>
              <w:bottom w:val="nil"/>
              <w:right w:val="nil"/>
            </w:tcBorders>
            <w:noWrap w:val="0"/>
            <w:vAlign w:val="center"/>
          </w:tcPr>
          <w:p w14:paraId="000B0F8F">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816" w:type="dxa"/>
            <w:vMerge w:val="continue"/>
            <w:tcBorders>
              <w:top w:val="nil"/>
              <w:left w:val="single" w:color="auto" w:sz="4" w:space="0"/>
              <w:bottom w:val="single" w:color="auto" w:sz="4" w:space="0"/>
              <w:right w:val="single" w:color="auto" w:sz="4" w:space="0"/>
            </w:tcBorders>
            <w:noWrap w:val="0"/>
            <w:vAlign w:val="center"/>
          </w:tcPr>
          <w:p w14:paraId="10E908AB">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3315" w:type="dxa"/>
            <w:tcBorders>
              <w:top w:val="nil"/>
              <w:left w:val="nil"/>
              <w:bottom w:val="single" w:color="auto" w:sz="4" w:space="0"/>
              <w:right w:val="single" w:color="auto" w:sz="4" w:space="0"/>
            </w:tcBorders>
            <w:noWrap w:val="0"/>
            <w:vAlign w:val="center"/>
          </w:tcPr>
          <w:p w14:paraId="4A0B5524">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(2).清除不规范或涂鸦出现返工的；</w:t>
            </w:r>
          </w:p>
        </w:tc>
        <w:tc>
          <w:tcPr>
            <w:tcW w:w="4645" w:type="dxa"/>
            <w:tcBorders>
              <w:top w:val="nil"/>
              <w:left w:val="nil"/>
              <w:bottom w:val="single" w:color="auto" w:sz="4" w:space="0"/>
              <w:right w:val="single" w:color="auto" w:sz="4" w:space="0"/>
            </w:tcBorders>
            <w:noWrap w:val="0"/>
            <w:vAlign w:val="center"/>
          </w:tcPr>
          <w:p w14:paraId="261F9693">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加倍扣分；每处每起2分/处。</w:t>
            </w:r>
          </w:p>
        </w:tc>
      </w:tr>
      <w:tr w14:paraId="3ABBF6C1">
        <w:tblPrEx>
          <w:tblCellMar>
            <w:top w:w="0" w:type="dxa"/>
            <w:left w:w="108" w:type="dxa"/>
            <w:bottom w:w="0" w:type="dxa"/>
            <w:right w:w="108" w:type="dxa"/>
          </w:tblCellMar>
        </w:tblPrEx>
        <w:trPr>
          <w:trHeight w:val="600" w:hRule="atLeast"/>
        </w:trPr>
        <w:tc>
          <w:tcPr>
            <w:tcW w:w="936" w:type="dxa"/>
            <w:vMerge w:val="continue"/>
            <w:tcBorders>
              <w:top w:val="single" w:color="auto" w:sz="4" w:space="0"/>
              <w:left w:val="single" w:color="auto" w:sz="4" w:space="0"/>
              <w:bottom w:val="nil"/>
              <w:right w:val="nil"/>
            </w:tcBorders>
            <w:noWrap w:val="0"/>
            <w:vAlign w:val="center"/>
          </w:tcPr>
          <w:p w14:paraId="06F25C16">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816" w:type="dxa"/>
            <w:vMerge w:val="continue"/>
            <w:tcBorders>
              <w:top w:val="nil"/>
              <w:left w:val="single" w:color="auto" w:sz="4" w:space="0"/>
              <w:bottom w:val="single" w:color="auto" w:sz="4" w:space="0"/>
              <w:right w:val="single" w:color="auto" w:sz="4" w:space="0"/>
            </w:tcBorders>
            <w:noWrap w:val="0"/>
            <w:vAlign w:val="center"/>
          </w:tcPr>
          <w:p w14:paraId="140D9BF5">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3315" w:type="dxa"/>
            <w:tcBorders>
              <w:top w:val="nil"/>
              <w:left w:val="nil"/>
              <w:bottom w:val="single" w:color="auto" w:sz="4" w:space="0"/>
              <w:right w:val="single" w:color="auto" w:sz="4" w:space="0"/>
            </w:tcBorders>
            <w:noWrap w:val="0"/>
            <w:vAlign w:val="center"/>
          </w:tcPr>
          <w:p w14:paraId="3D30D28C">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(3).加强作业管理，无投诉现象；</w:t>
            </w:r>
          </w:p>
        </w:tc>
        <w:tc>
          <w:tcPr>
            <w:tcW w:w="4645" w:type="dxa"/>
            <w:tcBorders>
              <w:top w:val="nil"/>
              <w:left w:val="nil"/>
              <w:bottom w:val="single" w:color="auto" w:sz="4" w:space="0"/>
              <w:right w:val="single" w:color="auto" w:sz="4" w:space="0"/>
            </w:tcBorders>
            <w:noWrap w:val="0"/>
            <w:vAlign w:val="center"/>
          </w:tcPr>
          <w:p w14:paraId="723DFE89">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市领导指出或媒体曝光（包括电子城管及市民投诉）扣5分/起；接待活动中受到批评，影响我市声誉的扣200分/起。</w:t>
            </w:r>
          </w:p>
        </w:tc>
      </w:tr>
      <w:tr w14:paraId="3C0264E4">
        <w:tblPrEx>
          <w:tblCellMar>
            <w:top w:w="0" w:type="dxa"/>
            <w:left w:w="108" w:type="dxa"/>
            <w:bottom w:w="0" w:type="dxa"/>
            <w:right w:w="108" w:type="dxa"/>
          </w:tblCellMar>
        </w:tblPrEx>
        <w:trPr>
          <w:trHeight w:val="600" w:hRule="atLeast"/>
        </w:trPr>
        <w:tc>
          <w:tcPr>
            <w:tcW w:w="936" w:type="dxa"/>
            <w:vMerge w:val="restart"/>
            <w:tcBorders>
              <w:top w:val="single" w:color="auto" w:sz="4" w:space="0"/>
              <w:left w:val="single" w:color="auto" w:sz="4" w:space="0"/>
              <w:right w:val="nil"/>
            </w:tcBorders>
            <w:noWrap w:val="0"/>
            <w:vAlign w:val="center"/>
          </w:tcPr>
          <w:p w14:paraId="371DA767">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816" w:type="dxa"/>
            <w:vMerge w:val="restart"/>
            <w:tcBorders>
              <w:top w:val="nil"/>
              <w:left w:val="single" w:color="auto" w:sz="4" w:space="0"/>
              <w:right w:val="single" w:color="auto" w:sz="4" w:space="0"/>
            </w:tcBorders>
            <w:noWrap w:val="0"/>
            <w:vAlign w:val="center"/>
          </w:tcPr>
          <w:p w14:paraId="01A034B8">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（H）公共卫生间保洁管理</w:t>
            </w:r>
          </w:p>
        </w:tc>
        <w:tc>
          <w:tcPr>
            <w:tcW w:w="3315" w:type="dxa"/>
            <w:tcBorders>
              <w:top w:val="nil"/>
              <w:left w:val="nil"/>
              <w:bottom w:val="single" w:color="auto" w:sz="4" w:space="0"/>
              <w:right w:val="single" w:color="auto" w:sz="4" w:space="0"/>
            </w:tcBorders>
            <w:noWrap w:val="0"/>
            <w:vAlign w:val="top"/>
          </w:tcPr>
          <w:p w14:paraId="5DB7D25B">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（1）公共卫生间保洁应专人专职，严格按照招标文件承诺人数配置保洁员，且不得兼职。</w:t>
            </w:r>
          </w:p>
        </w:tc>
        <w:tc>
          <w:tcPr>
            <w:tcW w:w="4645" w:type="dxa"/>
            <w:tcBorders>
              <w:top w:val="nil"/>
              <w:left w:val="nil"/>
              <w:bottom w:val="single" w:color="auto" w:sz="4" w:space="0"/>
              <w:right w:val="single" w:color="auto" w:sz="4" w:space="0"/>
            </w:tcBorders>
            <w:noWrap w:val="0"/>
            <w:vAlign w:val="top"/>
          </w:tcPr>
          <w:p w14:paraId="4F00387A">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未按承诺要求配置保洁员的，每少1人扣1分；发现兼职的扣1分/人。</w:t>
            </w:r>
          </w:p>
        </w:tc>
      </w:tr>
      <w:tr w14:paraId="0F83E78A">
        <w:tblPrEx>
          <w:tblCellMar>
            <w:top w:w="0" w:type="dxa"/>
            <w:left w:w="108" w:type="dxa"/>
            <w:bottom w:w="0" w:type="dxa"/>
            <w:right w:w="108" w:type="dxa"/>
          </w:tblCellMar>
        </w:tblPrEx>
        <w:trPr>
          <w:trHeight w:val="600" w:hRule="atLeast"/>
        </w:trPr>
        <w:tc>
          <w:tcPr>
            <w:tcW w:w="936" w:type="dxa"/>
            <w:vMerge w:val="continue"/>
            <w:tcBorders>
              <w:left w:val="single" w:color="auto" w:sz="4" w:space="0"/>
              <w:right w:val="nil"/>
            </w:tcBorders>
            <w:noWrap w:val="0"/>
            <w:vAlign w:val="center"/>
          </w:tcPr>
          <w:p w14:paraId="5F396F27">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816" w:type="dxa"/>
            <w:vMerge w:val="continue"/>
            <w:tcBorders>
              <w:left w:val="single" w:color="auto" w:sz="4" w:space="0"/>
              <w:right w:val="single" w:color="auto" w:sz="4" w:space="0"/>
            </w:tcBorders>
            <w:noWrap w:val="0"/>
            <w:vAlign w:val="center"/>
          </w:tcPr>
          <w:p w14:paraId="4918241E">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3315" w:type="dxa"/>
            <w:tcBorders>
              <w:top w:val="nil"/>
              <w:left w:val="nil"/>
              <w:bottom w:val="single" w:color="auto" w:sz="4" w:space="0"/>
              <w:right w:val="single" w:color="auto" w:sz="4" w:space="0"/>
            </w:tcBorders>
            <w:noWrap w:val="0"/>
            <w:vAlign w:val="top"/>
          </w:tcPr>
          <w:p w14:paraId="19F6C802">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（2）公共卫生间24小时免费开放，作业时间为6:00-21:00。作业期间不间断循环保洁，确保无异味。</w:t>
            </w:r>
          </w:p>
        </w:tc>
        <w:tc>
          <w:tcPr>
            <w:tcW w:w="4645" w:type="dxa"/>
            <w:tcBorders>
              <w:top w:val="nil"/>
              <w:left w:val="nil"/>
              <w:bottom w:val="single" w:color="auto" w:sz="4" w:space="0"/>
              <w:right w:val="single" w:color="auto" w:sz="4" w:space="0"/>
            </w:tcBorders>
            <w:noWrap w:val="0"/>
            <w:vAlign w:val="top"/>
          </w:tcPr>
          <w:p w14:paraId="1A84E238">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未按规定时间作业的扣1分/次；作业期间不循环保洁或有异味的扣1分/次。</w:t>
            </w:r>
          </w:p>
        </w:tc>
      </w:tr>
      <w:tr w14:paraId="555169B9">
        <w:tblPrEx>
          <w:tblCellMar>
            <w:top w:w="0" w:type="dxa"/>
            <w:left w:w="108" w:type="dxa"/>
            <w:bottom w:w="0" w:type="dxa"/>
            <w:right w:w="108" w:type="dxa"/>
          </w:tblCellMar>
        </w:tblPrEx>
        <w:trPr>
          <w:trHeight w:val="600" w:hRule="atLeast"/>
        </w:trPr>
        <w:tc>
          <w:tcPr>
            <w:tcW w:w="936" w:type="dxa"/>
            <w:vMerge w:val="continue"/>
            <w:tcBorders>
              <w:left w:val="single" w:color="auto" w:sz="4" w:space="0"/>
              <w:right w:val="nil"/>
            </w:tcBorders>
            <w:noWrap w:val="0"/>
            <w:vAlign w:val="center"/>
          </w:tcPr>
          <w:p w14:paraId="732D3BA6">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816" w:type="dxa"/>
            <w:vMerge w:val="continue"/>
            <w:tcBorders>
              <w:left w:val="single" w:color="auto" w:sz="4" w:space="0"/>
              <w:right w:val="single" w:color="auto" w:sz="4" w:space="0"/>
            </w:tcBorders>
            <w:noWrap w:val="0"/>
            <w:vAlign w:val="center"/>
          </w:tcPr>
          <w:p w14:paraId="12D292AE">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3315" w:type="dxa"/>
            <w:tcBorders>
              <w:top w:val="nil"/>
              <w:left w:val="nil"/>
              <w:bottom w:val="single" w:color="auto" w:sz="4" w:space="0"/>
              <w:right w:val="single" w:color="auto" w:sz="4" w:space="0"/>
            </w:tcBorders>
            <w:noWrap w:val="0"/>
            <w:vAlign w:val="top"/>
          </w:tcPr>
          <w:p w14:paraId="1832D017">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（3）公共卫生间内设施设备整洁完好，做到无垃圾、无粪迹、无积尘、无积垢、无积水、无蛛网、无乱涂乱贴乱刻现象。</w:t>
            </w:r>
          </w:p>
        </w:tc>
        <w:tc>
          <w:tcPr>
            <w:tcW w:w="4645" w:type="dxa"/>
            <w:tcBorders>
              <w:top w:val="nil"/>
              <w:left w:val="nil"/>
              <w:bottom w:val="single" w:color="auto" w:sz="4" w:space="0"/>
              <w:right w:val="single" w:color="auto" w:sz="4" w:space="0"/>
            </w:tcBorders>
            <w:noWrap w:val="0"/>
            <w:vAlign w:val="top"/>
          </w:tcPr>
          <w:p w14:paraId="00CBE1DD">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发现有积尘、积水、蛛网、乱张贴等情况的扣1分/处。</w:t>
            </w:r>
          </w:p>
        </w:tc>
      </w:tr>
      <w:tr w14:paraId="75B3EED8">
        <w:tblPrEx>
          <w:tblCellMar>
            <w:top w:w="0" w:type="dxa"/>
            <w:left w:w="108" w:type="dxa"/>
            <w:bottom w:w="0" w:type="dxa"/>
            <w:right w:w="108" w:type="dxa"/>
          </w:tblCellMar>
        </w:tblPrEx>
        <w:trPr>
          <w:trHeight w:val="600" w:hRule="atLeast"/>
        </w:trPr>
        <w:tc>
          <w:tcPr>
            <w:tcW w:w="936" w:type="dxa"/>
            <w:vMerge w:val="continue"/>
            <w:tcBorders>
              <w:left w:val="single" w:color="auto" w:sz="4" w:space="0"/>
              <w:right w:val="nil"/>
            </w:tcBorders>
            <w:noWrap w:val="0"/>
            <w:vAlign w:val="center"/>
          </w:tcPr>
          <w:p w14:paraId="7B1E5994">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816" w:type="dxa"/>
            <w:vMerge w:val="continue"/>
            <w:tcBorders>
              <w:left w:val="single" w:color="auto" w:sz="4" w:space="0"/>
              <w:right w:val="single" w:color="auto" w:sz="4" w:space="0"/>
            </w:tcBorders>
            <w:noWrap w:val="0"/>
            <w:vAlign w:val="center"/>
          </w:tcPr>
          <w:p w14:paraId="08F64C4A">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3315" w:type="dxa"/>
            <w:tcBorders>
              <w:top w:val="nil"/>
              <w:left w:val="nil"/>
              <w:bottom w:val="single" w:color="auto" w:sz="4" w:space="0"/>
              <w:right w:val="single" w:color="auto" w:sz="4" w:space="0"/>
            </w:tcBorders>
            <w:noWrap w:val="0"/>
            <w:vAlign w:val="top"/>
          </w:tcPr>
          <w:p w14:paraId="27882322">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（4）地面无积水、无污渍、泥迹、痰迹、烟蒂、烟灰。</w:t>
            </w:r>
          </w:p>
        </w:tc>
        <w:tc>
          <w:tcPr>
            <w:tcW w:w="4645" w:type="dxa"/>
            <w:tcBorders>
              <w:top w:val="nil"/>
              <w:left w:val="nil"/>
              <w:bottom w:val="single" w:color="auto" w:sz="4" w:space="0"/>
              <w:right w:val="single" w:color="auto" w:sz="4" w:space="0"/>
            </w:tcBorders>
            <w:noWrap w:val="0"/>
            <w:vAlign w:val="top"/>
          </w:tcPr>
          <w:p w14:paraId="4F534FA3">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发现上述情况的扣0.5分/次。</w:t>
            </w:r>
          </w:p>
        </w:tc>
      </w:tr>
      <w:tr w14:paraId="21959633">
        <w:tblPrEx>
          <w:tblCellMar>
            <w:top w:w="0" w:type="dxa"/>
            <w:left w:w="108" w:type="dxa"/>
            <w:bottom w:w="0" w:type="dxa"/>
            <w:right w:w="108" w:type="dxa"/>
          </w:tblCellMar>
        </w:tblPrEx>
        <w:trPr>
          <w:trHeight w:val="600" w:hRule="atLeast"/>
        </w:trPr>
        <w:tc>
          <w:tcPr>
            <w:tcW w:w="936" w:type="dxa"/>
            <w:vMerge w:val="continue"/>
            <w:tcBorders>
              <w:left w:val="single" w:color="auto" w:sz="4" w:space="0"/>
              <w:right w:val="nil"/>
            </w:tcBorders>
            <w:noWrap w:val="0"/>
            <w:vAlign w:val="center"/>
          </w:tcPr>
          <w:p w14:paraId="3CA4A26C">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816" w:type="dxa"/>
            <w:vMerge w:val="continue"/>
            <w:tcBorders>
              <w:left w:val="single" w:color="auto" w:sz="4" w:space="0"/>
              <w:right w:val="single" w:color="auto" w:sz="4" w:space="0"/>
            </w:tcBorders>
            <w:noWrap w:val="0"/>
            <w:vAlign w:val="center"/>
          </w:tcPr>
          <w:p w14:paraId="0550A6D8">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3315" w:type="dxa"/>
            <w:tcBorders>
              <w:top w:val="nil"/>
              <w:left w:val="nil"/>
              <w:bottom w:val="single" w:color="auto" w:sz="4" w:space="0"/>
              <w:right w:val="single" w:color="auto" w:sz="4" w:space="0"/>
            </w:tcBorders>
            <w:noWrap w:val="0"/>
            <w:vAlign w:val="top"/>
          </w:tcPr>
          <w:p w14:paraId="45F81DC0">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（5）灯罩内蚊虫尸体及时清理，保持灯罩外表面清洁。</w:t>
            </w:r>
          </w:p>
        </w:tc>
        <w:tc>
          <w:tcPr>
            <w:tcW w:w="4645" w:type="dxa"/>
            <w:tcBorders>
              <w:top w:val="nil"/>
              <w:left w:val="nil"/>
              <w:bottom w:val="single" w:color="auto" w:sz="4" w:space="0"/>
              <w:right w:val="single" w:color="auto" w:sz="4" w:space="0"/>
            </w:tcBorders>
            <w:noWrap w:val="0"/>
            <w:vAlign w:val="top"/>
          </w:tcPr>
          <w:p w14:paraId="20BBAF77">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灯罩不清洁的扣0.1分/次。</w:t>
            </w:r>
          </w:p>
        </w:tc>
      </w:tr>
      <w:tr w14:paraId="723631B0">
        <w:tblPrEx>
          <w:tblCellMar>
            <w:top w:w="0" w:type="dxa"/>
            <w:left w:w="108" w:type="dxa"/>
            <w:bottom w:w="0" w:type="dxa"/>
            <w:right w:w="108" w:type="dxa"/>
          </w:tblCellMar>
        </w:tblPrEx>
        <w:trPr>
          <w:trHeight w:val="600" w:hRule="atLeast"/>
        </w:trPr>
        <w:tc>
          <w:tcPr>
            <w:tcW w:w="936" w:type="dxa"/>
            <w:vMerge w:val="continue"/>
            <w:tcBorders>
              <w:left w:val="single" w:color="auto" w:sz="4" w:space="0"/>
              <w:right w:val="nil"/>
            </w:tcBorders>
            <w:noWrap w:val="0"/>
            <w:vAlign w:val="center"/>
          </w:tcPr>
          <w:p w14:paraId="7BEC1AA5">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816" w:type="dxa"/>
            <w:vMerge w:val="continue"/>
            <w:tcBorders>
              <w:left w:val="single" w:color="auto" w:sz="4" w:space="0"/>
              <w:right w:val="single" w:color="auto" w:sz="4" w:space="0"/>
            </w:tcBorders>
            <w:noWrap w:val="0"/>
            <w:vAlign w:val="center"/>
          </w:tcPr>
          <w:p w14:paraId="153E70D5">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3315" w:type="dxa"/>
            <w:tcBorders>
              <w:top w:val="nil"/>
              <w:left w:val="nil"/>
              <w:bottom w:val="single" w:color="auto" w:sz="4" w:space="0"/>
              <w:right w:val="single" w:color="auto" w:sz="4" w:space="0"/>
            </w:tcBorders>
            <w:noWrap w:val="0"/>
            <w:vAlign w:val="top"/>
          </w:tcPr>
          <w:p w14:paraId="296CDED5">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（6）纸篓及时清理、不满溢。</w:t>
            </w:r>
          </w:p>
        </w:tc>
        <w:tc>
          <w:tcPr>
            <w:tcW w:w="4645" w:type="dxa"/>
            <w:tcBorders>
              <w:top w:val="nil"/>
              <w:left w:val="nil"/>
              <w:bottom w:val="single" w:color="auto" w:sz="4" w:space="0"/>
              <w:right w:val="single" w:color="auto" w:sz="4" w:space="0"/>
            </w:tcBorders>
            <w:noWrap w:val="0"/>
            <w:vAlign w:val="top"/>
          </w:tcPr>
          <w:p w14:paraId="75D10B84">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纸篓满溢的扣0.5分/处。</w:t>
            </w:r>
          </w:p>
        </w:tc>
      </w:tr>
      <w:tr w14:paraId="3C4B7BC5">
        <w:tblPrEx>
          <w:tblCellMar>
            <w:top w:w="0" w:type="dxa"/>
            <w:left w:w="108" w:type="dxa"/>
            <w:bottom w:w="0" w:type="dxa"/>
            <w:right w:w="108" w:type="dxa"/>
          </w:tblCellMar>
        </w:tblPrEx>
        <w:trPr>
          <w:trHeight w:val="600" w:hRule="atLeast"/>
        </w:trPr>
        <w:tc>
          <w:tcPr>
            <w:tcW w:w="936" w:type="dxa"/>
            <w:vMerge w:val="continue"/>
            <w:tcBorders>
              <w:left w:val="single" w:color="auto" w:sz="4" w:space="0"/>
              <w:right w:val="nil"/>
            </w:tcBorders>
            <w:noWrap w:val="0"/>
            <w:vAlign w:val="center"/>
          </w:tcPr>
          <w:p w14:paraId="1A837E6B">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816" w:type="dxa"/>
            <w:vMerge w:val="continue"/>
            <w:tcBorders>
              <w:left w:val="single" w:color="auto" w:sz="4" w:space="0"/>
              <w:right w:val="single" w:color="auto" w:sz="4" w:space="0"/>
            </w:tcBorders>
            <w:noWrap w:val="0"/>
            <w:vAlign w:val="center"/>
          </w:tcPr>
          <w:p w14:paraId="466DD415">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3315" w:type="dxa"/>
            <w:tcBorders>
              <w:top w:val="nil"/>
              <w:left w:val="nil"/>
              <w:bottom w:val="single" w:color="auto" w:sz="4" w:space="0"/>
              <w:right w:val="single" w:color="auto" w:sz="4" w:space="0"/>
            </w:tcBorders>
            <w:noWrap w:val="0"/>
            <w:vAlign w:val="top"/>
          </w:tcPr>
          <w:p w14:paraId="3A702F91">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（7）发现设施被盗、破损、管道堵塞等问题及时维修或报修。</w:t>
            </w:r>
          </w:p>
        </w:tc>
        <w:tc>
          <w:tcPr>
            <w:tcW w:w="4645" w:type="dxa"/>
            <w:tcBorders>
              <w:top w:val="nil"/>
              <w:left w:val="nil"/>
              <w:bottom w:val="single" w:color="auto" w:sz="4" w:space="0"/>
              <w:right w:val="single" w:color="auto" w:sz="4" w:space="0"/>
            </w:tcBorders>
            <w:noWrap w:val="0"/>
            <w:vAlign w:val="top"/>
          </w:tcPr>
          <w:p w14:paraId="2E5BC0F3">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维修或报修不及时扣1分/座，未报修的扣2分/座。</w:t>
            </w:r>
          </w:p>
        </w:tc>
      </w:tr>
      <w:tr w14:paraId="323B6278">
        <w:tblPrEx>
          <w:tblCellMar>
            <w:top w:w="0" w:type="dxa"/>
            <w:left w:w="108" w:type="dxa"/>
            <w:bottom w:w="0" w:type="dxa"/>
            <w:right w:w="108" w:type="dxa"/>
          </w:tblCellMar>
        </w:tblPrEx>
        <w:trPr>
          <w:trHeight w:val="600" w:hRule="atLeast"/>
        </w:trPr>
        <w:tc>
          <w:tcPr>
            <w:tcW w:w="936" w:type="dxa"/>
            <w:vMerge w:val="continue"/>
            <w:tcBorders>
              <w:left w:val="single" w:color="auto" w:sz="4" w:space="0"/>
              <w:right w:val="nil"/>
            </w:tcBorders>
            <w:noWrap w:val="0"/>
            <w:vAlign w:val="center"/>
          </w:tcPr>
          <w:p w14:paraId="5800AB1C">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816" w:type="dxa"/>
            <w:vMerge w:val="continue"/>
            <w:tcBorders>
              <w:left w:val="single" w:color="auto" w:sz="4" w:space="0"/>
              <w:right w:val="single" w:color="auto" w:sz="4" w:space="0"/>
            </w:tcBorders>
            <w:noWrap w:val="0"/>
            <w:vAlign w:val="center"/>
          </w:tcPr>
          <w:p w14:paraId="0526C17A">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3315" w:type="dxa"/>
            <w:tcBorders>
              <w:top w:val="nil"/>
              <w:left w:val="nil"/>
              <w:bottom w:val="single" w:color="auto" w:sz="4" w:space="0"/>
              <w:right w:val="single" w:color="auto" w:sz="4" w:space="0"/>
            </w:tcBorders>
            <w:noWrap w:val="0"/>
            <w:vAlign w:val="top"/>
          </w:tcPr>
          <w:p w14:paraId="6000FC33">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（8）公共卫生间内作业用具应摆放整齐，禁止堆放杂物。管理间内不得堆放、储藏与公共卫生间管理无关的物品。</w:t>
            </w:r>
          </w:p>
        </w:tc>
        <w:tc>
          <w:tcPr>
            <w:tcW w:w="4645" w:type="dxa"/>
            <w:tcBorders>
              <w:top w:val="nil"/>
              <w:left w:val="nil"/>
              <w:bottom w:val="single" w:color="auto" w:sz="4" w:space="0"/>
              <w:right w:val="single" w:color="auto" w:sz="4" w:space="0"/>
            </w:tcBorders>
            <w:noWrap w:val="0"/>
            <w:vAlign w:val="top"/>
          </w:tcPr>
          <w:p w14:paraId="5F5D7BD8">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堆放无关杂物的，扣1分/次。</w:t>
            </w:r>
          </w:p>
        </w:tc>
      </w:tr>
      <w:tr w14:paraId="791C1EFA">
        <w:tblPrEx>
          <w:tblCellMar>
            <w:top w:w="0" w:type="dxa"/>
            <w:left w:w="108" w:type="dxa"/>
            <w:bottom w:w="0" w:type="dxa"/>
            <w:right w:w="108" w:type="dxa"/>
          </w:tblCellMar>
        </w:tblPrEx>
        <w:trPr>
          <w:trHeight w:val="600" w:hRule="atLeast"/>
        </w:trPr>
        <w:tc>
          <w:tcPr>
            <w:tcW w:w="936" w:type="dxa"/>
            <w:vMerge w:val="continue"/>
            <w:tcBorders>
              <w:left w:val="single" w:color="auto" w:sz="4" w:space="0"/>
              <w:right w:val="nil"/>
            </w:tcBorders>
            <w:noWrap w:val="0"/>
            <w:vAlign w:val="center"/>
          </w:tcPr>
          <w:p w14:paraId="7F434387">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816" w:type="dxa"/>
            <w:vMerge w:val="continue"/>
            <w:tcBorders>
              <w:left w:val="single" w:color="auto" w:sz="4" w:space="0"/>
              <w:right w:val="single" w:color="auto" w:sz="4" w:space="0"/>
            </w:tcBorders>
            <w:noWrap w:val="0"/>
            <w:vAlign w:val="center"/>
          </w:tcPr>
          <w:p w14:paraId="04529F10">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3315" w:type="dxa"/>
            <w:tcBorders>
              <w:top w:val="nil"/>
              <w:left w:val="nil"/>
              <w:bottom w:val="single" w:color="auto" w:sz="4" w:space="0"/>
              <w:right w:val="single" w:color="auto" w:sz="4" w:space="0"/>
            </w:tcBorders>
            <w:noWrap w:val="0"/>
            <w:vAlign w:val="top"/>
          </w:tcPr>
          <w:p w14:paraId="62AECE06">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（9）禁止使用明火或电炉等大功率电器，禁止擅自拉、埋、铺设电线路。</w:t>
            </w:r>
          </w:p>
        </w:tc>
        <w:tc>
          <w:tcPr>
            <w:tcW w:w="4645" w:type="dxa"/>
            <w:tcBorders>
              <w:top w:val="nil"/>
              <w:left w:val="nil"/>
              <w:bottom w:val="single" w:color="auto" w:sz="4" w:space="0"/>
              <w:right w:val="single" w:color="auto" w:sz="4" w:space="0"/>
            </w:tcBorders>
            <w:noWrap w:val="0"/>
            <w:vAlign w:val="top"/>
          </w:tcPr>
          <w:p w14:paraId="7CDEA975">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发现上述情况的，扣1分/次。</w:t>
            </w:r>
          </w:p>
        </w:tc>
      </w:tr>
      <w:tr w14:paraId="489F23DA">
        <w:tblPrEx>
          <w:tblCellMar>
            <w:top w:w="0" w:type="dxa"/>
            <w:left w:w="108" w:type="dxa"/>
            <w:bottom w:w="0" w:type="dxa"/>
            <w:right w:w="108" w:type="dxa"/>
          </w:tblCellMar>
        </w:tblPrEx>
        <w:trPr>
          <w:trHeight w:val="600" w:hRule="atLeast"/>
        </w:trPr>
        <w:tc>
          <w:tcPr>
            <w:tcW w:w="936" w:type="dxa"/>
            <w:vMerge w:val="continue"/>
            <w:tcBorders>
              <w:left w:val="single" w:color="auto" w:sz="4" w:space="0"/>
              <w:right w:val="nil"/>
            </w:tcBorders>
            <w:noWrap w:val="0"/>
            <w:vAlign w:val="center"/>
          </w:tcPr>
          <w:p w14:paraId="2EB3B10C">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816" w:type="dxa"/>
            <w:vMerge w:val="continue"/>
            <w:tcBorders>
              <w:left w:val="single" w:color="auto" w:sz="4" w:space="0"/>
              <w:right w:val="single" w:color="auto" w:sz="4" w:space="0"/>
            </w:tcBorders>
            <w:noWrap w:val="0"/>
            <w:vAlign w:val="center"/>
          </w:tcPr>
          <w:p w14:paraId="52886BA7">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3315" w:type="dxa"/>
            <w:tcBorders>
              <w:top w:val="nil"/>
              <w:left w:val="nil"/>
              <w:bottom w:val="single" w:color="auto" w:sz="4" w:space="0"/>
              <w:right w:val="single" w:color="auto" w:sz="4" w:space="0"/>
            </w:tcBorders>
            <w:noWrap w:val="0"/>
            <w:vAlign w:val="top"/>
          </w:tcPr>
          <w:p w14:paraId="19A2AE95">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（10）公共卫生间内需按照规定放置及使用樟脑球、熏香、警示牌、警示条等。</w:t>
            </w:r>
          </w:p>
        </w:tc>
        <w:tc>
          <w:tcPr>
            <w:tcW w:w="4645" w:type="dxa"/>
            <w:tcBorders>
              <w:top w:val="nil"/>
              <w:left w:val="nil"/>
              <w:bottom w:val="single" w:color="auto" w:sz="4" w:space="0"/>
              <w:right w:val="single" w:color="auto" w:sz="4" w:space="0"/>
            </w:tcBorders>
            <w:noWrap w:val="0"/>
            <w:vAlign w:val="top"/>
          </w:tcPr>
          <w:p w14:paraId="67AB6581">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未按放置及使用的扣0.1分/次。</w:t>
            </w:r>
          </w:p>
        </w:tc>
      </w:tr>
      <w:tr w14:paraId="4320654B">
        <w:tblPrEx>
          <w:tblCellMar>
            <w:top w:w="0" w:type="dxa"/>
            <w:left w:w="108" w:type="dxa"/>
            <w:bottom w:w="0" w:type="dxa"/>
            <w:right w:w="108" w:type="dxa"/>
          </w:tblCellMar>
        </w:tblPrEx>
        <w:trPr>
          <w:trHeight w:val="600" w:hRule="atLeast"/>
        </w:trPr>
        <w:tc>
          <w:tcPr>
            <w:tcW w:w="936" w:type="dxa"/>
            <w:vMerge w:val="continue"/>
            <w:tcBorders>
              <w:left w:val="single" w:color="auto" w:sz="4" w:space="0"/>
              <w:right w:val="nil"/>
            </w:tcBorders>
            <w:noWrap w:val="0"/>
            <w:vAlign w:val="center"/>
          </w:tcPr>
          <w:p w14:paraId="7C30A157">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816" w:type="dxa"/>
            <w:vMerge w:val="continue"/>
            <w:tcBorders>
              <w:left w:val="single" w:color="auto" w:sz="4" w:space="0"/>
              <w:right w:val="single" w:color="auto" w:sz="4" w:space="0"/>
            </w:tcBorders>
            <w:noWrap w:val="0"/>
            <w:vAlign w:val="center"/>
          </w:tcPr>
          <w:p w14:paraId="102154F9">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3315" w:type="dxa"/>
            <w:tcBorders>
              <w:top w:val="nil"/>
              <w:left w:val="nil"/>
              <w:bottom w:val="single" w:color="auto" w:sz="4" w:space="0"/>
              <w:right w:val="single" w:color="auto" w:sz="4" w:space="0"/>
            </w:tcBorders>
            <w:noWrap w:val="0"/>
            <w:vAlign w:val="top"/>
          </w:tcPr>
          <w:p w14:paraId="02147CCE">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（11）蝇虫滋生季节每天进行消杀（消杀时间为：6月-10月），做到室内外无蝇、无虫。</w:t>
            </w:r>
          </w:p>
        </w:tc>
        <w:tc>
          <w:tcPr>
            <w:tcW w:w="4645" w:type="dxa"/>
            <w:tcBorders>
              <w:top w:val="nil"/>
              <w:left w:val="nil"/>
              <w:bottom w:val="single" w:color="auto" w:sz="4" w:space="0"/>
              <w:right w:val="single" w:color="auto" w:sz="4" w:space="0"/>
            </w:tcBorders>
            <w:noWrap w:val="0"/>
            <w:vAlign w:val="top"/>
          </w:tcPr>
          <w:p w14:paraId="286B6012">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消杀不到位的扣0.5分，未及时消杀扣1分/座。</w:t>
            </w:r>
          </w:p>
        </w:tc>
      </w:tr>
      <w:tr w14:paraId="7EA35127">
        <w:tblPrEx>
          <w:tblCellMar>
            <w:top w:w="0" w:type="dxa"/>
            <w:left w:w="108" w:type="dxa"/>
            <w:bottom w:w="0" w:type="dxa"/>
            <w:right w:w="108" w:type="dxa"/>
          </w:tblCellMar>
        </w:tblPrEx>
        <w:trPr>
          <w:trHeight w:val="600" w:hRule="atLeast"/>
        </w:trPr>
        <w:tc>
          <w:tcPr>
            <w:tcW w:w="936" w:type="dxa"/>
            <w:vMerge w:val="continue"/>
            <w:tcBorders>
              <w:left w:val="single" w:color="auto" w:sz="4" w:space="0"/>
              <w:right w:val="nil"/>
            </w:tcBorders>
            <w:noWrap w:val="0"/>
            <w:vAlign w:val="center"/>
          </w:tcPr>
          <w:p w14:paraId="2A02B9F2">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816" w:type="dxa"/>
            <w:vMerge w:val="continue"/>
            <w:tcBorders>
              <w:left w:val="single" w:color="auto" w:sz="4" w:space="0"/>
              <w:right w:val="single" w:color="auto" w:sz="4" w:space="0"/>
            </w:tcBorders>
            <w:noWrap w:val="0"/>
            <w:vAlign w:val="center"/>
          </w:tcPr>
          <w:p w14:paraId="66E78672">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3315" w:type="dxa"/>
            <w:tcBorders>
              <w:top w:val="nil"/>
              <w:left w:val="nil"/>
              <w:bottom w:val="single" w:color="auto" w:sz="4" w:space="0"/>
              <w:right w:val="single" w:color="auto" w:sz="4" w:space="0"/>
            </w:tcBorders>
            <w:noWrap w:val="0"/>
            <w:vAlign w:val="top"/>
          </w:tcPr>
          <w:p w14:paraId="5DF06973">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（12）周边5米内环境整洁，绿化内无散落垃圾、杂物。</w:t>
            </w:r>
          </w:p>
        </w:tc>
        <w:tc>
          <w:tcPr>
            <w:tcW w:w="4645" w:type="dxa"/>
            <w:tcBorders>
              <w:top w:val="nil"/>
              <w:left w:val="nil"/>
              <w:bottom w:val="single" w:color="auto" w:sz="4" w:space="0"/>
              <w:right w:val="single" w:color="auto" w:sz="4" w:space="0"/>
            </w:tcBorders>
            <w:noWrap w:val="0"/>
            <w:vAlign w:val="top"/>
          </w:tcPr>
          <w:p w14:paraId="0056197E">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周边环境不洁的，扣1分/座。</w:t>
            </w:r>
          </w:p>
        </w:tc>
      </w:tr>
      <w:tr w14:paraId="5E90E92D">
        <w:tblPrEx>
          <w:tblCellMar>
            <w:top w:w="0" w:type="dxa"/>
            <w:left w:w="108" w:type="dxa"/>
            <w:bottom w:w="0" w:type="dxa"/>
            <w:right w:w="108" w:type="dxa"/>
          </w:tblCellMar>
        </w:tblPrEx>
        <w:trPr>
          <w:trHeight w:val="600" w:hRule="atLeast"/>
        </w:trPr>
        <w:tc>
          <w:tcPr>
            <w:tcW w:w="936" w:type="dxa"/>
            <w:vMerge w:val="continue"/>
            <w:tcBorders>
              <w:left w:val="single" w:color="auto" w:sz="4" w:space="0"/>
              <w:right w:val="nil"/>
            </w:tcBorders>
            <w:noWrap w:val="0"/>
            <w:vAlign w:val="center"/>
          </w:tcPr>
          <w:p w14:paraId="6C615828">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816" w:type="dxa"/>
            <w:vMerge w:val="continue"/>
            <w:tcBorders>
              <w:left w:val="single" w:color="auto" w:sz="4" w:space="0"/>
              <w:right w:val="single" w:color="auto" w:sz="4" w:space="0"/>
            </w:tcBorders>
            <w:noWrap w:val="0"/>
            <w:vAlign w:val="center"/>
          </w:tcPr>
          <w:p w14:paraId="1844C5FB">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3315" w:type="dxa"/>
            <w:tcBorders>
              <w:top w:val="nil"/>
              <w:left w:val="nil"/>
              <w:bottom w:val="single" w:color="auto" w:sz="4" w:space="0"/>
              <w:right w:val="single" w:color="auto" w:sz="4" w:space="0"/>
            </w:tcBorders>
            <w:noWrap w:val="0"/>
            <w:vAlign w:val="top"/>
          </w:tcPr>
          <w:p w14:paraId="1FE0CC35">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（13）公共卫生间内外墙面无乱张贴、乱涂写。</w:t>
            </w:r>
          </w:p>
        </w:tc>
        <w:tc>
          <w:tcPr>
            <w:tcW w:w="4645" w:type="dxa"/>
            <w:tcBorders>
              <w:top w:val="nil"/>
              <w:left w:val="nil"/>
              <w:bottom w:val="single" w:color="auto" w:sz="4" w:space="0"/>
              <w:right w:val="single" w:color="auto" w:sz="4" w:space="0"/>
            </w:tcBorders>
            <w:noWrap w:val="0"/>
            <w:vAlign w:val="top"/>
          </w:tcPr>
          <w:p w14:paraId="55827D65">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乱涂贴刻清理不及时的，扣1分/座</w:t>
            </w:r>
          </w:p>
        </w:tc>
      </w:tr>
      <w:tr w14:paraId="35E209FA">
        <w:tblPrEx>
          <w:tblCellMar>
            <w:top w:w="0" w:type="dxa"/>
            <w:left w:w="108" w:type="dxa"/>
            <w:bottom w:w="0" w:type="dxa"/>
            <w:right w:w="108" w:type="dxa"/>
          </w:tblCellMar>
        </w:tblPrEx>
        <w:trPr>
          <w:trHeight w:val="600" w:hRule="atLeast"/>
        </w:trPr>
        <w:tc>
          <w:tcPr>
            <w:tcW w:w="936" w:type="dxa"/>
            <w:vMerge w:val="continue"/>
            <w:tcBorders>
              <w:left w:val="single" w:color="auto" w:sz="4" w:space="0"/>
              <w:right w:val="nil"/>
            </w:tcBorders>
            <w:noWrap w:val="0"/>
            <w:vAlign w:val="center"/>
          </w:tcPr>
          <w:p w14:paraId="0242B425">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816" w:type="dxa"/>
            <w:vMerge w:val="continue"/>
            <w:tcBorders>
              <w:left w:val="single" w:color="auto" w:sz="4" w:space="0"/>
              <w:bottom w:val="single" w:color="auto" w:sz="4" w:space="0"/>
              <w:right w:val="single" w:color="auto" w:sz="4" w:space="0"/>
            </w:tcBorders>
            <w:noWrap w:val="0"/>
            <w:vAlign w:val="center"/>
          </w:tcPr>
          <w:p w14:paraId="2D9897AD">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3315" w:type="dxa"/>
            <w:tcBorders>
              <w:top w:val="nil"/>
              <w:left w:val="nil"/>
              <w:bottom w:val="single" w:color="auto" w:sz="4" w:space="0"/>
              <w:right w:val="single" w:color="auto" w:sz="4" w:space="0"/>
            </w:tcBorders>
            <w:noWrap w:val="0"/>
            <w:vAlign w:val="top"/>
          </w:tcPr>
          <w:p w14:paraId="3C93F658">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（14）不得以任何形式进行收费。</w:t>
            </w:r>
          </w:p>
        </w:tc>
        <w:tc>
          <w:tcPr>
            <w:tcW w:w="4645" w:type="dxa"/>
            <w:tcBorders>
              <w:top w:val="nil"/>
              <w:left w:val="nil"/>
              <w:bottom w:val="single" w:color="auto" w:sz="4" w:space="0"/>
              <w:right w:val="single" w:color="auto" w:sz="4" w:space="0"/>
            </w:tcBorders>
            <w:noWrap w:val="0"/>
            <w:vAlign w:val="top"/>
          </w:tcPr>
          <w:p w14:paraId="473A029A">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发现有收费现象，扣1分/次。</w:t>
            </w:r>
          </w:p>
        </w:tc>
      </w:tr>
      <w:tr w14:paraId="203DCCB8">
        <w:tblPrEx>
          <w:tblCellMar>
            <w:top w:w="0" w:type="dxa"/>
            <w:left w:w="108" w:type="dxa"/>
            <w:bottom w:w="0" w:type="dxa"/>
            <w:right w:w="108" w:type="dxa"/>
          </w:tblCellMar>
        </w:tblPrEx>
        <w:trPr>
          <w:trHeight w:val="600" w:hRule="atLeast"/>
        </w:trPr>
        <w:tc>
          <w:tcPr>
            <w:tcW w:w="936" w:type="dxa"/>
            <w:vMerge w:val="continue"/>
            <w:tcBorders>
              <w:left w:val="single" w:color="auto" w:sz="4" w:space="0"/>
              <w:right w:val="nil"/>
            </w:tcBorders>
            <w:noWrap w:val="0"/>
            <w:vAlign w:val="center"/>
          </w:tcPr>
          <w:p w14:paraId="7FCA0C3A">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816" w:type="dxa"/>
            <w:vMerge w:val="restart"/>
            <w:tcBorders>
              <w:left w:val="single" w:color="auto" w:sz="4" w:space="0"/>
              <w:right w:val="single" w:color="auto" w:sz="4" w:space="0"/>
            </w:tcBorders>
            <w:noWrap w:val="0"/>
            <w:vAlign w:val="center"/>
          </w:tcPr>
          <w:p w14:paraId="67A66056">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（I）中转站压缩站管理</w:t>
            </w:r>
          </w:p>
        </w:tc>
        <w:tc>
          <w:tcPr>
            <w:tcW w:w="3315" w:type="dxa"/>
            <w:tcBorders>
              <w:top w:val="nil"/>
              <w:left w:val="nil"/>
              <w:bottom w:val="single" w:color="auto" w:sz="4" w:space="0"/>
              <w:right w:val="single" w:color="auto" w:sz="4" w:space="0"/>
            </w:tcBorders>
            <w:noWrap w:val="0"/>
            <w:vAlign w:val="top"/>
          </w:tcPr>
          <w:p w14:paraId="5177ACCD">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（1）垃圾及时清运，做到日产日清，禁止非生活垃圾进入中转站。</w:t>
            </w:r>
          </w:p>
        </w:tc>
        <w:tc>
          <w:tcPr>
            <w:tcW w:w="4645" w:type="dxa"/>
            <w:tcBorders>
              <w:top w:val="nil"/>
              <w:left w:val="nil"/>
              <w:bottom w:val="single" w:color="auto" w:sz="4" w:space="0"/>
              <w:right w:val="single" w:color="auto" w:sz="4" w:space="0"/>
            </w:tcBorders>
            <w:noWrap w:val="0"/>
            <w:vAlign w:val="top"/>
          </w:tcPr>
          <w:p w14:paraId="6C86A708">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垃圾满溢未及时通知车队清运的扣1分/次，发现有非生活垃圾进入中转站的扣5分/次。</w:t>
            </w:r>
          </w:p>
        </w:tc>
      </w:tr>
      <w:tr w14:paraId="3ACF8CD9">
        <w:tblPrEx>
          <w:tblCellMar>
            <w:top w:w="0" w:type="dxa"/>
            <w:left w:w="108" w:type="dxa"/>
            <w:bottom w:w="0" w:type="dxa"/>
            <w:right w:w="108" w:type="dxa"/>
          </w:tblCellMar>
        </w:tblPrEx>
        <w:trPr>
          <w:trHeight w:val="600" w:hRule="atLeast"/>
        </w:trPr>
        <w:tc>
          <w:tcPr>
            <w:tcW w:w="936" w:type="dxa"/>
            <w:vMerge w:val="continue"/>
            <w:tcBorders>
              <w:left w:val="single" w:color="auto" w:sz="4" w:space="0"/>
              <w:right w:val="nil"/>
            </w:tcBorders>
            <w:noWrap w:val="0"/>
            <w:vAlign w:val="center"/>
          </w:tcPr>
          <w:p w14:paraId="5063A9B6">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816" w:type="dxa"/>
            <w:vMerge w:val="continue"/>
            <w:tcBorders>
              <w:left w:val="single" w:color="auto" w:sz="4" w:space="0"/>
              <w:right w:val="single" w:color="auto" w:sz="4" w:space="0"/>
            </w:tcBorders>
            <w:noWrap w:val="0"/>
            <w:vAlign w:val="center"/>
          </w:tcPr>
          <w:p w14:paraId="7571ACF5">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3315" w:type="dxa"/>
            <w:tcBorders>
              <w:top w:val="nil"/>
              <w:left w:val="nil"/>
              <w:bottom w:val="single" w:color="auto" w:sz="4" w:space="0"/>
              <w:right w:val="single" w:color="auto" w:sz="4" w:space="0"/>
            </w:tcBorders>
            <w:noWrap w:val="0"/>
            <w:vAlign w:val="top"/>
          </w:tcPr>
          <w:p w14:paraId="158F7338">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（2）中转站内外无乱张贴、刻画，无杂物堆放，工具摆放整齐，站周围五米内保持清洁。</w:t>
            </w:r>
          </w:p>
        </w:tc>
        <w:tc>
          <w:tcPr>
            <w:tcW w:w="4645" w:type="dxa"/>
            <w:tcBorders>
              <w:top w:val="nil"/>
              <w:left w:val="nil"/>
              <w:bottom w:val="single" w:color="auto" w:sz="4" w:space="0"/>
              <w:right w:val="single" w:color="auto" w:sz="4" w:space="0"/>
            </w:tcBorders>
            <w:noWrap w:val="0"/>
            <w:vAlign w:val="top"/>
          </w:tcPr>
          <w:p w14:paraId="383E67B3">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发现上述情况每次扣1分。</w:t>
            </w:r>
          </w:p>
        </w:tc>
      </w:tr>
      <w:tr w14:paraId="1D36837E">
        <w:tblPrEx>
          <w:tblCellMar>
            <w:top w:w="0" w:type="dxa"/>
            <w:left w:w="108" w:type="dxa"/>
            <w:bottom w:w="0" w:type="dxa"/>
            <w:right w:w="108" w:type="dxa"/>
          </w:tblCellMar>
        </w:tblPrEx>
        <w:trPr>
          <w:trHeight w:val="600" w:hRule="atLeast"/>
        </w:trPr>
        <w:tc>
          <w:tcPr>
            <w:tcW w:w="936" w:type="dxa"/>
            <w:vMerge w:val="continue"/>
            <w:tcBorders>
              <w:left w:val="single" w:color="auto" w:sz="4" w:space="0"/>
              <w:right w:val="nil"/>
            </w:tcBorders>
            <w:noWrap w:val="0"/>
            <w:vAlign w:val="center"/>
          </w:tcPr>
          <w:p w14:paraId="594A4C59">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816" w:type="dxa"/>
            <w:vMerge w:val="continue"/>
            <w:tcBorders>
              <w:left w:val="single" w:color="auto" w:sz="4" w:space="0"/>
              <w:right w:val="single" w:color="auto" w:sz="4" w:space="0"/>
            </w:tcBorders>
            <w:noWrap w:val="0"/>
            <w:vAlign w:val="center"/>
          </w:tcPr>
          <w:p w14:paraId="4B4FDDCC">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3315" w:type="dxa"/>
            <w:tcBorders>
              <w:top w:val="nil"/>
              <w:left w:val="nil"/>
              <w:bottom w:val="single" w:color="auto" w:sz="4" w:space="0"/>
              <w:right w:val="single" w:color="auto" w:sz="4" w:space="0"/>
            </w:tcBorders>
            <w:noWrap w:val="0"/>
            <w:vAlign w:val="top"/>
          </w:tcPr>
          <w:p w14:paraId="271BF326">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（3）室内无灰尘、蛛网、污迹；地面、地坑无积水，地面无污物；箱体干净无异味。</w:t>
            </w:r>
          </w:p>
        </w:tc>
        <w:tc>
          <w:tcPr>
            <w:tcW w:w="4645" w:type="dxa"/>
            <w:tcBorders>
              <w:top w:val="nil"/>
              <w:left w:val="nil"/>
              <w:bottom w:val="single" w:color="auto" w:sz="4" w:space="0"/>
              <w:right w:val="single" w:color="auto" w:sz="4" w:space="0"/>
            </w:tcBorders>
            <w:noWrap w:val="0"/>
            <w:vAlign w:val="top"/>
          </w:tcPr>
          <w:p w14:paraId="68D5F3BF">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发现上述情况每次扣1分。</w:t>
            </w:r>
          </w:p>
        </w:tc>
      </w:tr>
      <w:tr w14:paraId="1FD8E2F0">
        <w:tblPrEx>
          <w:tblCellMar>
            <w:top w:w="0" w:type="dxa"/>
            <w:left w:w="108" w:type="dxa"/>
            <w:bottom w:w="0" w:type="dxa"/>
            <w:right w:w="108" w:type="dxa"/>
          </w:tblCellMar>
        </w:tblPrEx>
        <w:trPr>
          <w:trHeight w:val="600" w:hRule="atLeast"/>
        </w:trPr>
        <w:tc>
          <w:tcPr>
            <w:tcW w:w="936" w:type="dxa"/>
            <w:vMerge w:val="continue"/>
            <w:tcBorders>
              <w:left w:val="single" w:color="auto" w:sz="4" w:space="0"/>
              <w:right w:val="nil"/>
            </w:tcBorders>
            <w:noWrap w:val="0"/>
            <w:vAlign w:val="center"/>
          </w:tcPr>
          <w:p w14:paraId="01866951">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816" w:type="dxa"/>
            <w:vMerge w:val="continue"/>
            <w:tcBorders>
              <w:left w:val="single" w:color="auto" w:sz="4" w:space="0"/>
              <w:right w:val="single" w:color="auto" w:sz="4" w:space="0"/>
            </w:tcBorders>
            <w:noWrap w:val="0"/>
            <w:vAlign w:val="center"/>
          </w:tcPr>
          <w:p w14:paraId="77F47FBB">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3315" w:type="dxa"/>
            <w:tcBorders>
              <w:top w:val="nil"/>
              <w:left w:val="nil"/>
              <w:bottom w:val="single" w:color="auto" w:sz="4" w:space="0"/>
              <w:right w:val="single" w:color="auto" w:sz="4" w:space="0"/>
            </w:tcBorders>
            <w:noWrap w:val="0"/>
            <w:vAlign w:val="top"/>
          </w:tcPr>
          <w:p w14:paraId="470FFD53">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（4）蚊蝇孳生季节，加强消杀，可视范围内，无蚊蝇。</w:t>
            </w:r>
          </w:p>
        </w:tc>
        <w:tc>
          <w:tcPr>
            <w:tcW w:w="4645" w:type="dxa"/>
            <w:tcBorders>
              <w:top w:val="nil"/>
              <w:left w:val="nil"/>
              <w:bottom w:val="single" w:color="auto" w:sz="4" w:space="0"/>
              <w:right w:val="single" w:color="auto" w:sz="4" w:space="0"/>
            </w:tcBorders>
            <w:noWrap w:val="0"/>
            <w:vAlign w:val="top"/>
          </w:tcPr>
          <w:p w14:paraId="3681A925">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未消杀的扣1分/次，消杀不到位的或可视范围内有蚊蝇的扣0.5分/次。</w:t>
            </w:r>
          </w:p>
        </w:tc>
      </w:tr>
      <w:tr w14:paraId="40F46596">
        <w:tblPrEx>
          <w:tblCellMar>
            <w:top w:w="0" w:type="dxa"/>
            <w:left w:w="108" w:type="dxa"/>
            <w:bottom w:w="0" w:type="dxa"/>
            <w:right w:w="108" w:type="dxa"/>
          </w:tblCellMar>
        </w:tblPrEx>
        <w:trPr>
          <w:trHeight w:val="600" w:hRule="atLeast"/>
        </w:trPr>
        <w:tc>
          <w:tcPr>
            <w:tcW w:w="936" w:type="dxa"/>
            <w:vMerge w:val="continue"/>
            <w:tcBorders>
              <w:left w:val="single" w:color="auto" w:sz="4" w:space="0"/>
              <w:right w:val="nil"/>
            </w:tcBorders>
            <w:noWrap w:val="0"/>
            <w:vAlign w:val="center"/>
          </w:tcPr>
          <w:p w14:paraId="4719F3CE">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816" w:type="dxa"/>
            <w:vMerge w:val="continue"/>
            <w:tcBorders>
              <w:left w:val="single" w:color="auto" w:sz="4" w:space="0"/>
              <w:right w:val="single" w:color="auto" w:sz="4" w:space="0"/>
            </w:tcBorders>
            <w:noWrap w:val="0"/>
            <w:vAlign w:val="center"/>
          </w:tcPr>
          <w:p w14:paraId="1BACD131">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3315" w:type="dxa"/>
            <w:tcBorders>
              <w:top w:val="nil"/>
              <w:left w:val="nil"/>
              <w:bottom w:val="single" w:color="auto" w:sz="4" w:space="0"/>
              <w:right w:val="single" w:color="auto" w:sz="4" w:space="0"/>
            </w:tcBorders>
            <w:noWrap w:val="0"/>
            <w:vAlign w:val="top"/>
          </w:tcPr>
          <w:p w14:paraId="3345066A">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（5）按时保养、维护，确保设备正常运行。</w:t>
            </w:r>
          </w:p>
        </w:tc>
        <w:tc>
          <w:tcPr>
            <w:tcW w:w="4645" w:type="dxa"/>
            <w:tcBorders>
              <w:top w:val="nil"/>
              <w:left w:val="nil"/>
              <w:bottom w:val="single" w:color="auto" w:sz="4" w:space="0"/>
              <w:right w:val="single" w:color="auto" w:sz="4" w:space="0"/>
            </w:tcBorders>
            <w:noWrap w:val="0"/>
            <w:vAlign w:val="top"/>
          </w:tcPr>
          <w:p w14:paraId="53D2B131">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未保养或维护的扣1分/次。</w:t>
            </w:r>
          </w:p>
        </w:tc>
      </w:tr>
      <w:tr w14:paraId="154B721D">
        <w:tblPrEx>
          <w:tblCellMar>
            <w:top w:w="0" w:type="dxa"/>
            <w:left w:w="108" w:type="dxa"/>
            <w:bottom w:w="0" w:type="dxa"/>
            <w:right w:w="108" w:type="dxa"/>
          </w:tblCellMar>
        </w:tblPrEx>
        <w:trPr>
          <w:trHeight w:val="600" w:hRule="atLeast"/>
        </w:trPr>
        <w:tc>
          <w:tcPr>
            <w:tcW w:w="936" w:type="dxa"/>
            <w:vMerge w:val="continue"/>
            <w:tcBorders>
              <w:left w:val="single" w:color="auto" w:sz="4" w:space="0"/>
              <w:right w:val="nil"/>
            </w:tcBorders>
            <w:noWrap w:val="0"/>
            <w:vAlign w:val="center"/>
          </w:tcPr>
          <w:p w14:paraId="1EC8558F">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816" w:type="dxa"/>
            <w:vMerge w:val="continue"/>
            <w:tcBorders>
              <w:left w:val="single" w:color="auto" w:sz="4" w:space="0"/>
              <w:right w:val="single" w:color="auto" w:sz="4" w:space="0"/>
            </w:tcBorders>
            <w:noWrap w:val="0"/>
            <w:vAlign w:val="center"/>
          </w:tcPr>
          <w:p w14:paraId="1E347D59">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3315" w:type="dxa"/>
            <w:tcBorders>
              <w:top w:val="nil"/>
              <w:left w:val="nil"/>
              <w:bottom w:val="single" w:color="auto" w:sz="4" w:space="0"/>
              <w:right w:val="single" w:color="auto" w:sz="4" w:space="0"/>
            </w:tcBorders>
            <w:noWrap w:val="0"/>
            <w:vAlign w:val="top"/>
          </w:tcPr>
          <w:p w14:paraId="2BABA46B">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（6）按规程操作，严禁非工作人员操作机械，杜绝事故发生。</w:t>
            </w:r>
          </w:p>
        </w:tc>
        <w:tc>
          <w:tcPr>
            <w:tcW w:w="4645" w:type="dxa"/>
            <w:tcBorders>
              <w:top w:val="nil"/>
              <w:left w:val="nil"/>
              <w:bottom w:val="single" w:color="auto" w:sz="4" w:space="0"/>
              <w:right w:val="single" w:color="auto" w:sz="4" w:space="0"/>
            </w:tcBorders>
            <w:noWrap w:val="0"/>
            <w:vAlign w:val="top"/>
          </w:tcPr>
          <w:p w14:paraId="0961CF8F">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未按规程操作的扣2分/次，造成严重后果的扣10分/次，并赔偿所产生的损失费用。</w:t>
            </w:r>
          </w:p>
        </w:tc>
      </w:tr>
      <w:tr w14:paraId="51B98869">
        <w:tblPrEx>
          <w:tblCellMar>
            <w:top w:w="0" w:type="dxa"/>
            <w:left w:w="108" w:type="dxa"/>
            <w:bottom w:w="0" w:type="dxa"/>
            <w:right w:w="108" w:type="dxa"/>
          </w:tblCellMar>
        </w:tblPrEx>
        <w:trPr>
          <w:trHeight w:val="600" w:hRule="atLeast"/>
        </w:trPr>
        <w:tc>
          <w:tcPr>
            <w:tcW w:w="936" w:type="dxa"/>
            <w:vMerge w:val="continue"/>
            <w:tcBorders>
              <w:left w:val="single" w:color="auto" w:sz="4" w:space="0"/>
              <w:right w:val="nil"/>
            </w:tcBorders>
            <w:noWrap w:val="0"/>
            <w:vAlign w:val="center"/>
          </w:tcPr>
          <w:p w14:paraId="2C6D8C57">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816" w:type="dxa"/>
            <w:vMerge w:val="continue"/>
            <w:tcBorders>
              <w:left w:val="single" w:color="auto" w:sz="4" w:space="0"/>
              <w:right w:val="single" w:color="auto" w:sz="4" w:space="0"/>
            </w:tcBorders>
            <w:noWrap w:val="0"/>
            <w:vAlign w:val="center"/>
          </w:tcPr>
          <w:p w14:paraId="03212EF3">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3315" w:type="dxa"/>
            <w:tcBorders>
              <w:top w:val="nil"/>
              <w:left w:val="nil"/>
              <w:bottom w:val="single" w:color="auto" w:sz="4" w:space="0"/>
              <w:right w:val="single" w:color="auto" w:sz="4" w:space="0"/>
            </w:tcBorders>
            <w:noWrap w:val="0"/>
            <w:vAlign w:val="top"/>
          </w:tcPr>
          <w:p w14:paraId="699D12D4">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（7）中转站范围内禁止捡泔脚、收废品。</w:t>
            </w:r>
          </w:p>
        </w:tc>
        <w:tc>
          <w:tcPr>
            <w:tcW w:w="4645" w:type="dxa"/>
            <w:tcBorders>
              <w:top w:val="nil"/>
              <w:left w:val="nil"/>
              <w:bottom w:val="single" w:color="auto" w:sz="4" w:space="0"/>
              <w:right w:val="single" w:color="auto" w:sz="4" w:space="0"/>
            </w:tcBorders>
            <w:noWrap w:val="0"/>
            <w:vAlign w:val="top"/>
          </w:tcPr>
          <w:p w14:paraId="27AC560C">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发现上述情况的每次扣1分。</w:t>
            </w:r>
          </w:p>
        </w:tc>
      </w:tr>
      <w:tr w14:paraId="1B85CC6E">
        <w:tblPrEx>
          <w:tblCellMar>
            <w:top w:w="0" w:type="dxa"/>
            <w:left w:w="108" w:type="dxa"/>
            <w:bottom w:w="0" w:type="dxa"/>
            <w:right w:w="108" w:type="dxa"/>
          </w:tblCellMar>
        </w:tblPrEx>
        <w:trPr>
          <w:trHeight w:val="600" w:hRule="atLeast"/>
        </w:trPr>
        <w:tc>
          <w:tcPr>
            <w:tcW w:w="936" w:type="dxa"/>
            <w:vMerge w:val="continue"/>
            <w:tcBorders>
              <w:left w:val="single" w:color="auto" w:sz="4" w:space="0"/>
              <w:right w:val="nil"/>
            </w:tcBorders>
            <w:noWrap w:val="0"/>
            <w:vAlign w:val="center"/>
          </w:tcPr>
          <w:p w14:paraId="040A193C">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816" w:type="dxa"/>
            <w:vMerge w:val="continue"/>
            <w:tcBorders>
              <w:left w:val="single" w:color="auto" w:sz="4" w:space="0"/>
              <w:right w:val="single" w:color="auto" w:sz="4" w:space="0"/>
            </w:tcBorders>
            <w:noWrap w:val="0"/>
            <w:vAlign w:val="center"/>
          </w:tcPr>
          <w:p w14:paraId="44A2DEB7">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3315" w:type="dxa"/>
            <w:tcBorders>
              <w:top w:val="nil"/>
              <w:left w:val="nil"/>
              <w:bottom w:val="single" w:color="auto" w:sz="4" w:space="0"/>
              <w:right w:val="single" w:color="auto" w:sz="4" w:space="0"/>
            </w:tcBorders>
            <w:noWrap w:val="0"/>
            <w:vAlign w:val="top"/>
          </w:tcPr>
          <w:p w14:paraId="32E08EE4">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（8）做好中转站日运行记录和月报表。</w:t>
            </w:r>
          </w:p>
        </w:tc>
        <w:tc>
          <w:tcPr>
            <w:tcW w:w="4645" w:type="dxa"/>
            <w:tcBorders>
              <w:top w:val="nil"/>
              <w:left w:val="nil"/>
              <w:bottom w:val="single" w:color="auto" w:sz="4" w:space="0"/>
              <w:right w:val="single" w:color="auto" w:sz="4" w:space="0"/>
            </w:tcBorders>
            <w:noWrap w:val="0"/>
            <w:vAlign w:val="top"/>
          </w:tcPr>
          <w:p w14:paraId="73084C28">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未按规定做台账记录的扣1分/次</w:t>
            </w:r>
          </w:p>
        </w:tc>
      </w:tr>
      <w:tr w14:paraId="08E01F7D">
        <w:tblPrEx>
          <w:tblCellMar>
            <w:top w:w="0" w:type="dxa"/>
            <w:left w:w="108" w:type="dxa"/>
            <w:bottom w:w="0" w:type="dxa"/>
            <w:right w:w="108" w:type="dxa"/>
          </w:tblCellMar>
        </w:tblPrEx>
        <w:trPr>
          <w:trHeight w:val="600" w:hRule="atLeast"/>
        </w:trPr>
        <w:tc>
          <w:tcPr>
            <w:tcW w:w="936" w:type="dxa"/>
            <w:vMerge w:val="continue"/>
            <w:tcBorders>
              <w:left w:val="single" w:color="auto" w:sz="4" w:space="0"/>
              <w:right w:val="nil"/>
            </w:tcBorders>
            <w:noWrap w:val="0"/>
            <w:vAlign w:val="center"/>
          </w:tcPr>
          <w:p w14:paraId="2630D366">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816" w:type="dxa"/>
            <w:vMerge w:val="continue"/>
            <w:tcBorders>
              <w:left w:val="single" w:color="auto" w:sz="4" w:space="0"/>
              <w:right w:val="single" w:color="auto" w:sz="4" w:space="0"/>
            </w:tcBorders>
            <w:noWrap w:val="0"/>
            <w:vAlign w:val="center"/>
          </w:tcPr>
          <w:p w14:paraId="0B6260AF">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3315" w:type="dxa"/>
            <w:tcBorders>
              <w:top w:val="nil"/>
              <w:left w:val="nil"/>
              <w:bottom w:val="single" w:color="auto" w:sz="4" w:space="0"/>
              <w:right w:val="single" w:color="auto" w:sz="4" w:space="0"/>
            </w:tcBorders>
            <w:noWrap w:val="0"/>
            <w:vAlign w:val="top"/>
          </w:tcPr>
          <w:p w14:paraId="25F090DB">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（9）上班时间不得随意关闭中转站。</w:t>
            </w:r>
          </w:p>
        </w:tc>
        <w:tc>
          <w:tcPr>
            <w:tcW w:w="4645" w:type="dxa"/>
            <w:tcBorders>
              <w:top w:val="nil"/>
              <w:left w:val="nil"/>
              <w:bottom w:val="single" w:color="auto" w:sz="4" w:space="0"/>
              <w:right w:val="single" w:color="auto" w:sz="4" w:space="0"/>
            </w:tcBorders>
            <w:noWrap w:val="0"/>
            <w:vAlign w:val="top"/>
          </w:tcPr>
          <w:p w14:paraId="70C087A7">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发现一次扣1分。</w:t>
            </w:r>
          </w:p>
        </w:tc>
      </w:tr>
      <w:tr w14:paraId="31FB69C6">
        <w:tblPrEx>
          <w:tblCellMar>
            <w:top w:w="0" w:type="dxa"/>
            <w:left w:w="108" w:type="dxa"/>
            <w:bottom w:w="0" w:type="dxa"/>
            <w:right w:w="108" w:type="dxa"/>
          </w:tblCellMar>
        </w:tblPrEx>
        <w:trPr>
          <w:trHeight w:val="600" w:hRule="atLeast"/>
        </w:trPr>
        <w:tc>
          <w:tcPr>
            <w:tcW w:w="936" w:type="dxa"/>
            <w:vMerge w:val="continue"/>
            <w:tcBorders>
              <w:left w:val="single" w:color="auto" w:sz="4" w:space="0"/>
              <w:right w:val="nil"/>
            </w:tcBorders>
            <w:noWrap w:val="0"/>
            <w:vAlign w:val="center"/>
          </w:tcPr>
          <w:p w14:paraId="4B73C991">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816" w:type="dxa"/>
            <w:vMerge w:val="continue"/>
            <w:tcBorders>
              <w:left w:val="single" w:color="auto" w:sz="4" w:space="0"/>
              <w:right w:val="single" w:color="auto" w:sz="4" w:space="0"/>
            </w:tcBorders>
            <w:noWrap w:val="0"/>
            <w:vAlign w:val="center"/>
          </w:tcPr>
          <w:p w14:paraId="4FE6BA68">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3315" w:type="dxa"/>
            <w:tcBorders>
              <w:top w:val="nil"/>
              <w:left w:val="nil"/>
              <w:bottom w:val="single" w:color="auto" w:sz="4" w:space="0"/>
              <w:right w:val="single" w:color="auto" w:sz="4" w:space="0"/>
            </w:tcBorders>
            <w:noWrap w:val="0"/>
            <w:vAlign w:val="top"/>
          </w:tcPr>
          <w:p w14:paraId="00C4C22F">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（10）禁止使用明火或电炉等大功率电器，禁止擅自拉、埋、铺设电线路。</w:t>
            </w:r>
          </w:p>
        </w:tc>
        <w:tc>
          <w:tcPr>
            <w:tcW w:w="4645" w:type="dxa"/>
            <w:tcBorders>
              <w:top w:val="nil"/>
              <w:left w:val="nil"/>
              <w:bottom w:val="single" w:color="auto" w:sz="4" w:space="0"/>
              <w:right w:val="single" w:color="auto" w:sz="4" w:space="0"/>
            </w:tcBorders>
            <w:noWrap w:val="0"/>
            <w:vAlign w:val="top"/>
          </w:tcPr>
          <w:p w14:paraId="7700E219">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发现上述情况的，扣1分/次。</w:t>
            </w:r>
          </w:p>
        </w:tc>
      </w:tr>
      <w:tr w14:paraId="582330D9">
        <w:tblPrEx>
          <w:tblCellMar>
            <w:top w:w="0" w:type="dxa"/>
            <w:left w:w="108" w:type="dxa"/>
            <w:bottom w:w="0" w:type="dxa"/>
            <w:right w:w="108" w:type="dxa"/>
          </w:tblCellMar>
        </w:tblPrEx>
        <w:trPr>
          <w:trHeight w:val="600" w:hRule="atLeast"/>
        </w:trPr>
        <w:tc>
          <w:tcPr>
            <w:tcW w:w="936" w:type="dxa"/>
            <w:vMerge w:val="continue"/>
            <w:tcBorders>
              <w:left w:val="single" w:color="auto" w:sz="4" w:space="0"/>
              <w:bottom w:val="nil"/>
              <w:right w:val="nil"/>
            </w:tcBorders>
            <w:noWrap w:val="0"/>
            <w:vAlign w:val="center"/>
          </w:tcPr>
          <w:p w14:paraId="136A8311">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816" w:type="dxa"/>
            <w:vMerge w:val="continue"/>
            <w:tcBorders>
              <w:left w:val="single" w:color="auto" w:sz="4" w:space="0"/>
              <w:bottom w:val="single" w:color="auto" w:sz="4" w:space="0"/>
              <w:right w:val="single" w:color="auto" w:sz="4" w:space="0"/>
            </w:tcBorders>
            <w:noWrap w:val="0"/>
            <w:vAlign w:val="center"/>
          </w:tcPr>
          <w:p w14:paraId="307783EA">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3315" w:type="dxa"/>
            <w:tcBorders>
              <w:top w:val="nil"/>
              <w:left w:val="nil"/>
              <w:bottom w:val="single" w:color="auto" w:sz="4" w:space="0"/>
              <w:right w:val="single" w:color="auto" w:sz="4" w:space="0"/>
            </w:tcBorders>
            <w:noWrap w:val="0"/>
            <w:vAlign w:val="top"/>
          </w:tcPr>
          <w:p w14:paraId="6A407977">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（11）发现设备故障及时报修。</w:t>
            </w:r>
          </w:p>
        </w:tc>
        <w:tc>
          <w:tcPr>
            <w:tcW w:w="4645" w:type="dxa"/>
            <w:tcBorders>
              <w:top w:val="nil"/>
              <w:left w:val="nil"/>
              <w:bottom w:val="single" w:color="auto" w:sz="4" w:space="0"/>
              <w:right w:val="single" w:color="auto" w:sz="4" w:space="0"/>
            </w:tcBorders>
            <w:noWrap w:val="0"/>
            <w:vAlign w:val="top"/>
          </w:tcPr>
          <w:p w14:paraId="48B04EAF">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报修不及时扣1分/座，未报修的扣2分/座。</w:t>
            </w:r>
          </w:p>
        </w:tc>
      </w:tr>
      <w:tr w14:paraId="1A95922A">
        <w:tblPrEx>
          <w:tblCellMar>
            <w:top w:w="0" w:type="dxa"/>
            <w:left w:w="108" w:type="dxa"/>
            <w:bottom w:w="0" w:type="dxa"/>
            <w:right w:w="108" w:type="dxa"/>
          </w:tblCellMar>
        </w:tblPrEx>
        <w:trPr>
          <w:trHeight w:val="600" w:hRule="atLeast"/>
        </w:trPr>
        <w:tc>
          <w:tcPr>
            <w:tcW w:w="1752" w:type="dxa"/>
            <w:gridSpan w:val="2"/>
            <w:vMerge w:val="restart"/>
            <w:tcBorders>
              <w:top w:val="single" w:color="auto" w:sz="4" w:space="0"/>
              <w:left w:val="single" w:color="auto" w:sz="4" w:space="0"/>
              <w:bottom w:val="nil"/>
              <w:right w:val="single" w:color="000000" w:sz="4" w:space="0"/>
            </w:tcBorders>
            <w:noWrap w:val="0"/>
            <w:vAlign w:val="center"/>
          </w:tcPr>
          <w:p w14:paraId="3BB047DB">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（三）                安                                 </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全</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作</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业</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指</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 xml:space="preserve">标                                                                           </w:t>
            </w:r>
          </w:p>
        </w:tc>
        <w:tc>
          <w:tcPr>
            <w:tcW w:w="3315" w:type="dxa"/>
            <w:tcBorders>
              <w:top w:val="nil"/>
              <w:left w:val="nil"/>
              <w:bottom w:val="single" w:color="auto" w:sz="4" w:space="0"/>
              <w:right w:val="single" w:color="auto" w:sz="4" w:space="0"/>
            </w:tcBorders>
            <w:noWrap w:val="0"/>
            <w:vAlign w:val="center"/>
          </w:tcPr>
          <w:p w14:paraId="5CFC199D">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（1）发生环卫作业安全生产事故或者环卫从业人员意外伤害伤亡的，应主动在24小时内上报，不得有虚报和瞒报；</w:t>
            </w:r>
          </w:p>
        </w:tc>
        <w:tc>
          <w:tcPr>
            <w:tcW w:w="4645" w:type="dxa"/>
            <w:tcBorders>
              <w:top w:val="nil"/>
              <w:left w:val="nil"/>
              <w:bottom w:val="single" w:color="auto" w:sz="4" w:space="0"/>
              <w:right w:val="single" w:color="auto" w:sz="4" w:space="0"/>
            </w:tcBorders>
            <w:noWrap w:val="0"/>
            <w:vAlign w:val="center"/>
          </w:tcPr>
          <w:p w14:paraId="4A6C3C34">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未主动在24小时内上报的，扣20分/次；上报情况不属实，有虚报和瞒报的，扣10分/次。</w:t>
            </w:r>
          </w:p>
        </w:tc>
      </w:tr>
      <w:tr w14:paraId="370CB044">
        <w:tblPrEx>
          <w:tblCellMar>
            <w:top w:w="0" w:type="dxa"/>
            <w:left w:w="108" w:type="dxa"/>
            <w:bottom w:w="0" w:type="dxa"/>
            <w:right w:w="108" w:type="dxa"/>
          </w:tblCellMar>
        </w:tblPrEx>
        <w:trPr>
          <w:trHeight w:val="600" w:hRule="atLeast"/>
        </w:trPr>
        <w:tc>
          <w:tcPr>
            <w:tcW w:w="1752" w:type="dxa"/>
            <w:gridSpan w:val="2"/>
            <w:vMerge w:val="continue"/>
            <w:tcBorders>
              <w:top w:val="single" w:color="auto" w:sz="4" w:space="0"/>
              <w:left w:val="single" w:color="auto" w:sz="4" w:space="0"/>
              <w:bottom w:val="nil"/>
              <w:right w:val="single" w:color="000000" w:sz="4" w:space="0"/>
            </w:tcBorders>
            <w:noWrap w:val="0"/>
            <w:vAlign w:val="center"/>
          </w:tcPr>
          <w:p w14:paraId="1A9338C5">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3315" w:type="dxa"/>
            <w:tcBorders>
              <w:top w:val="nil"/>
              <w:left w:val="nil"/>
              <w:bottom w:val="single" w:color="auto" w:sz="4" w:space="0"/>
              <w:right w:val="single" w:color="auto" w:sz="4" w:space="0"/>
            </w:tcBorders>
            <w:noWrap w:val="0"/>
            <w:vAlign w:val="center"/>
          </w:tcPr>
          <w:p w14:paraId="55507540">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（2）驾驶环卫作业车辆的人员应主动参加单位或环卫管理部门组织的安全培训；</w:t>
            </w:r>
          </w:p>
        </w:tc>
        <w:tc>
          <w:tcPr>
            <w:tcW w:w="4645" w:type="dxa"/>
            <w:tcBorders>
              <w:top w:val="nil"/>
              <w:left w:val="nil"/>
              <w:bottom w:val="single" w:color="auto" w:sz="4" w:space="0"/>
              <w:right w:val="single" w:color="auto" w:sz="4" w:space="0"/>
            </w:tcBorders>
            <w:noWrap w:val="0"/>
            <w:vAlign w:val="center"/>
          </w:tcPr>
          <w:p w14:paraId="02E88F64">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未参加安全培训的，扣5分/次。</w:t>
            </w:r>
          </w:p>
        </w:tc>
      </w:tr>
      <w:tr w14:paraId="0FF08FDF">
        <w:tblPrEx>
          <w:tblCellMar>
            <w:top w:w="0" w:type="dxa"/>
            <w:left w:w="108" w:type="dxa"/>
            <w:bottom w:w="0" w:type="dxa"/>
            <w:right w:w="108" w:type="dxa"/>
          </w:tblCellMar>
        </w:tblPrEx>
        <w:trPr>
          <w:trHeight w:val="600" w:hRule="atLeast"/>
        </w:trPr>
        <w:tc>
          <w:tcPr>
            <w:tcW w:w="1752" w:type="dxa"/>
            <w:gridSpan w:val="2"/>
            <w:vMerge w:val="continue"/>
            <w:tcBorders>
              <w:top w:val="single" w:color="auto" w:sz="4" w:space="0"/>
              <w:left w:val="single" w:color="auto" w:sz="4" w:space="0"/>
              <w:bottom w:val="nil"/>
              <w:right w:val="single" w:color="000000" w:sz="4" w:space="0"/>
            </w:tcBorders>
            <w:noWrap w:val="0"/>
            <w:vAlign w:val="center"/>
          </w:tcPr>
          <w:p w14:paraId="2196925A">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3315" w:type="dxa"/>
            <w:tcBorders>
              <w:top w:val="nil"/>
              <w:left w:val="nil"/>
              <w:bottom w:val="single" w:color="auto" w:sz="4" w:space="0"/>
              <w:right w:val="single" w:color="auto" w:sz="4" w:space="0"/>
            </w:tcBorders>
            <w:noWrap w:val="0"/>
            <w:vAlign w:val="center"/>
          </w:tcPr>
          <w:p w14:paraId="2940EBF2">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（3）环卫电动车辆未按照交通信号灯通行，不服从交通警察及交通协管员指挥，逆向行驶，驶入高架道路的；</w:t>
            </w:r>
          </w:p>
        </w:tc>
        <w:tc>
          <w:tcPr>
            <w:tcW w:w="4645" w:type="dxa"/>
            <w:tcBorders>
              <w:top w:val="nil"/>
              <w:left w:val="nil"/>
              <w:bottom w:val="single" w:color="auto" w:sz="4" w:space="0"/>
              <w:right w:val="single" w:color="auto" w:sz="4" w:space="0"/>
            </w:tcBorders>
            <w:noWrap w:val="0"/>
            <w:vAlign w:val="center"/>
          </w:tcPr>
          <w:p w14:paraId="166303CD">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未按规定要求行驶的扣5分/辆。</w:t>
            </w:r>
          </w:p>
        </w:tc>
      </w:tr>
      <w:tr w14:paraId="794E6AA8">
        <w:tblPrEx>
          <w:tblCellMar>
            <w:top w:w="0" w:type="dxa"/>
            <w:left w:w="108" w:type="dxa"/>
            <w:bottom w:w="0" w:type="dxa"/>
            <w:right w:w="108" w:type="dxa"/>
          </w:tblCellMar>
        </w:tblPrEx>
        <w:trPr>
          <w:trHeight w:val="600" w:hRule="atLeast"/>
        </w:trPr>
        <w:tc>
          <w:tcPr>
            <w:tcW w:w="1752" w:type="dxa"/>
            <w:gridSpan w:val="2"/>
            <w:vMerge w:val="continue"/>
            <w:tcBorders>
              <w:top w:val="single" w:color="auto" w:sz="4" w:space="0"/>
              <w:left w:val="single" w:color="auto" w:sz="4" w:space="0"/>
              <w:bottom w:val="nil"/>
              <w:right w:val="single" w:color="000000" w:sz="4" w:space="0"/>
            </w:tcBorders>
            <w:noWrap w:val="0"/>
            <w:vAlign w:val="center"/>
          </w:tcPr>
          <w:p w14:paraId="12C39429">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3315" w:type="dxa"/>
            <w:tcBorders>
              <w:top w:val="nil"/>
              <w:left w:val="nil"/>
              <w:bottom w:val="single" w:color="auto" w:sz="4" w:space="0"/>
              <w:right w:val="single" w:color="auto" w:sz="4" w:space="0"/>
            </w:tcBorders>
            <w:noWrap w:val="0"/>
            <w:vAlign w:val="center"/>
          </w:tcPr>
          <w:p w14:paraId="530A951F">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（4）环卫电动车辆在机动车道通行，在未划分机动车道与非机动车道的道路上，未在道路两侧四分之一路面通行的；</w:t>
            </w:r>
          </w:p>
        </w:tc>
        <w:tc>
          <w:tcPr>
            <w:tcW w:w="4645" w:type="dxa"/>
            <w:tcBorders>
              <w:top w:val="nil"/>
              <w:left w:val="nil"/>
              <w:bottom w:val="single" w:color="auto" w:sz="4" w:space="0"/>
              <w:right w:val="single" w:color="auto" w:sz="4" w:space="0"/>
            </w:tcBorders>
            <w:noWrap w:val="0"/>
            <w:vAlign w:val="center"/>
          </w:tcPr>
          <w:p w14:paraId="6BEB4548">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发现每车次扣2分/次。</w:t>
            </w:r>
          </w:p>
        </w:tc>
      </w:tr>
      <w:tr w14:paraId="3B97AC2A">
        <w:tblPrEx>
          <w:tblCellMar>
            <w:top w:w="0" w:type="dxa"/>
            <w:left w:w="108" w:type="dxa"/>
            <w:bottom w:w="0" w:type="dxa"/>
            <w:right w:w="108" w:type="dxa"/>
          </w:tblCellMar>
        </w:tblPrEx>
        <w:trPr>
          <w:trHeight w:val="600" w:hRule="atLeast"/>
        </w:trPr>
        <w:tc>
          <w:tcPr>
            <w:tcW w:w="1752" w:type="dxa"/>
            <w:gridSpan w:val="2"/>
            <w:vMerge w:val="continue"/>
            <w:tcBorders>
              <w:top w:val="single" w:color="auto" w:sz="4" w:space="0"/>
              <w:left w:val="single" w:color="auto" w:sz="4" w:space="0"/>
              <w:bottom w:val="nil"/>
              <w:right w:val="single" w:color="000000" w:sz="4" w:space="0"/>
            </w:tcBorders>
            <w:noWrap w:val="0"/>
            <w:vAlign w:val="center"/>
          </w:tcPr>
          <w:p w14:paraId="17646F5F">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3315" w:type="dxa"/>
            <w:tcBorders>
              <w:top w:val="nil"/>
              <w:left w:val="nil"/>
              <w:bottom w:val="single" w:color="auto" w:sz="4" w:space="0"/>
              <w:right w:val="single" w:color="auto" w:sz="4" w:space="0"/>
            </w:tcBorders>
            <w:noWrap w:val="0"/>
            <w:vAlign w:val="center"/>
          </w:tcPr>
          <w:p w14:paraId="7A7ACAE0">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（5）小型多功能扫路车作业时，最高时速不得超过6公里/小时；</w:t>
            </w:r>
          </w:p>
        </w:tc>
        <w:tc>
          <w:tcPr>
            <w:tcW w:w="4645" w:type="dxa"/>
            <w:tcBorders>
              <w:top w:val="nil"/>
              <w:left w:val="nil"/>
              <w:bottom w:val="single" w:color="auto" w:sz="4" w:space="0"/>
              <w:right w:val="single" w:color="auto" w:sz="4" w:space="0"/>
            </w:tcBorders>
            <w:noWrap w:val="0"/>
            <w:vAlign w:val="center"/>
          </w:tcPr>
          <w:p w14:paraId="7A065D9B">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未按规定作业的扣2分/次。</w:t>
            </w:r>
          </w:p>
        </w:tc>
      </w:tr>
      <w:tr w14:paraId="1CC9B5AC">
        <w:tblPrEx>
          <w:tblCellMar>
            <w:top w:w="0" w:type="dxa"/>
            <w:left w:w="108" w:type="dxa"/>
            <w:bottom w:w="0" w:type="dxa"/>
            <w:right w:w="108" w:type="dxa"/>
          </w:tblCellMar>
        </w:tblPrEx>
        <w:trPr>
          <w:trHeight w:val="600" w:hRule="atLeast"/>
        </w:trPr>
        <w:tc>
          <w:tcPr>
            <w:tcW w:w="1752" w:type="dxa"/>
            <w:gridSpan w:val="2"/>
            <w:vMerge w:val="continue"/>
            <w:tcBorders>
              <w:top w:val="single" w:color="auto" w:sz="4" w:space="0"/>
              <w:left w:val="single" w:color="auto" w:sz="4" w:space="0"/>
              <w:bottom w:val="nil"/>
              <w:right w:val="single" w:color="000000" w:sz="4" w:space="0"/>
            </w:tcBorders>
            <w:noWrap w:val="0"/>
            <w:vAlign w:val="center"/>
          </w:tcPr>
          <w:p w14:paraId="15722CFA">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3315" w:type="dxa"/>
            <w:tcBorders>
              <w:top w:val="nil"/>
              <w:left w:val="nil"/>
              <w:bottom w:val="single" w:color="auto" w:sz="4" w:space="0"/>
              <w:right w:val="single" w:color="auto" w:sz="4" w:space="0"/>
            </w:tcBorders>
            <w:noWrap w:val="0"/>
            <w:vAlign w:val="center"/>
          </w:tcPr>
          <w:p w14:paraId="5D727391">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（6）环卫电动车辆在道路作业时，最高时速不得超过15公里/小时；</w:t>
            </w:r>
          </w:p>
        </w:tc>
        <w:tc>
          <w:tcPr>
            <w:tcW w:w="4645" w:type="dxa"/>
            <w:tcBorders>
              <w:top w:val="nil"/>
              <w:left w:val="nil"/>
              <w:bottom w:val="single" w:color="auto" w:sz="4" w:space="0"/>
              <w:right w:val="single" w:color="auto" w:sz="4" w:space="0"/>
            </w:tcBorders>
            <w:noWrap w:val="0"/>
            <w:vAlign w:val="center"/>
          </w:tcPr>
          <w:p w14:paraId="68E5149C">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发现超速作业行驶的扣2分/次。</w:t>
            </w:r>
          </w:p>
        </w:tc>
      </w:tr>
      <w:tr w14:paraId="03E8A891">
        <w:tblPrEx>
          <w:tblCellMar>
            <w:top w:w="0" w:type="dxa"/>
            <w:left w:w="108" w:type="dxa"/>
            <w:bottom w:w="0" w:type="dxa"/>
            <w:right w:w="108" w:type="dxa"/>
          </w:tblCellMar>
        </w:tblPrEx>
        <w:trPr>
          <w:trHeight w:val="600" w:hRule="atLeast"/>
        </w:trPr>
        <w:tc>
          <w:tcPr>
            <w:tcW w:w="1752" w:type="dxa"/>
            <w:gridSpan w:val="2"/>
            <w:vMerge w:val="continue"/>
            <w:tcBorders>
              <w:top w:val="single" w:color="auto" w:sz="4" w:space="0"/>
              <w:left w:val="single" w:color="auto" w:sz="4" w:space="0"/>
              <w:bottom w:val="nil"/>
              <w:right w:val="single" w:color="000000" w:sz="4" w:space="0"/>
            </w:tcBorders>
            <w:noWrap w:val="0"/>
            <w:vAlign w:val="center"/>
          </w:tcPr>
          <w:p w14:paraId="13E0AD41">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3315" w:type="dxa"/>
            <w:tcBorders>
              <w:top w:val="nil"/>
              <w:left w:val="nil"/>
              <w:bottom w:val="single" w:color="auto" w:sz="4" w:space="0"/>
              <w:right w:val="single" w:color="auto" w:sz="4" w:space="0"/>
            </w:tcBorders>
            <w:noWrap w:val="0"/>
            <w:vAlign w:val="center"/>
          </w:tcPr>
          <w:p w14:paraId="6BD6B65B">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（7）环卫部门应严格按照政府防疫要求落实到位，做好防疫物资的按时发放，对区域环卫人员疫情防控做好日常监管；</w:t>
            </w:r>
          </w:p>
        </w:tc>
        <w:tc>
          <w:tcPr>
            <w:tcW w:w="4645" w:type="dxa"/>
            <w:tcBorders>
              <w:top w:val="nil"/>
              <w:left w:val="nil"/>
              <w:bottom w:val="single" w:color="auto" w:sz="4" w:space="0"/>
              <w:right w:val="single" w:color="auto" w:sz="4" w:space="0"/>
            </w:tcBorders>
            <w:noWrap w:val="0"/>
            <w:vAlign w:val="center"/>
          </w:tcPr>
          <w:p w14:paraId="429CF855">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疫情防控督查中对市级防控政策落实不到位或被市级部门通报批评的扣20分/次。</w:t>
            </w:r>
          </w:p>
        </w:tc>
      </w:tr>
      <w:tr w14:paraId="4F28202D">
        <w:tblPrEx>
          <w:tblCellMar>
            <w:top w:w="0" w:type="dxa"/>
            <w:left w:w="108" w:type="dxa"/>
            <w:bottom w:w="0" w:type="dxa"/>
            <w:right w:w="108" w:type="dxa"/>
          </w:tblCellMar>
        </w:tblPrEx>
        <w:trPr>
          <w:trHeight w:val="600" w:hRule="atLeast"/>
        </w:trPr>
        <w:tc>
          <w:tcPr>
            <w:tcW w:w="1752" w:type="dxa"/>
            <w:gridSpan w:val="2"/>
            <w:vMerge w:val="continue"/>
            <w:tcBorders>
              <w:top w:val="single" w:color="auto" w:sz="4" w:space="0"/>
              <w:left w:val="single" w:color="auto" w:sz="4" w:space="0"/>
              <w:bottom w:val="nil"/>
              <w:right w:val="single" w:color="000000" w:sz="4" w:space="0"/>
            </w:tcBorders>
            <w:noWrap w:val="0"/>
            <w:vAlign w:val="center"/>
          </w:tcPr>
          <w:p w14:paraId="70916C3E">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3315" w:type="dxa"/>
            <w:tcBorders>
              <w:top w:val="nil"/>
              <w:left w:val="nil"/>
              <w:bottom w:val="single" w:color="auto" w:sz="4" w:space="0"/>
              <w:right w:val="single" w:color="auto" w:sz="4" w:space="0"/>
            </w:tcBorders>
            <w:noWrap w:val="0"/>
            <w:vAlign w:val="center"/>
          </w:tcPr>
          <w:p w14:paraId="43D6760D">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(8)配置专职安全管理员；</w:t>
            </w:r>
          </w:p>
        </w:tc>
        <w:tc>
          <w:tcPr>
            <w:tcW w:w="4645" w:type="dxa"/>
            <w:tcBorders>
              <w:top w:val="nil"/>
              <w:left w:val="nil"/>
              <w:bottom w:val="single" w:color="auto" w:sz="4" w:space="0"/>
              <w:right w:val="single" w:color="auto" w:sz="4" w:space="0"/>
            </w:tcBorders>
            <w:noWrap w:val="0"/>
            <w:vAlign w:val="center"/>
          </w:tcPr>
          <w:p w14:paraId="7BD802E6">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未配置专职安全管理员的50分。</w:t>
            </w:r>
          </w:p>
        </w:tc>
      </w:tr>
      <w:tr w14:paraId="4175E506">
        <w:tblPrEx>
          <w:tblCellMar>
            <w:top w:w="0" w:type="dxa"/>
            <w:left w:w="108" w:type="dxa"/>
            <w:bottom w:w="0" w:type="dxa"/>
            <w:right w:w="108" w:type="dxa"/>
          </w:tblCellMar>
        </w:tblPrEx>
        <w:trPr>
          <w:trHeight w:val="600" w:hRule="atLeast"/>
        </w:trPr>
        <w:tc>
          <w:tcPr>
            <w:tcW w:w="1752" w:type="dxa"/>
            <w:gridSpan w:val="2"/>
            <w:vMerge w:val="continue"/>
            <w:tcBorders>
              <w:top w:val="single" w:color="auto" w:sz="4" w:space="0"/>
              <w:left w:val="single" w:color="auto" w:sz="4" w:space="0"/>
              <w:bottom w:val="nil"/>
              <w:right w:val="single" w:color="000000" w:sz="4" w:space="0"/>
            </w:tcBorders>
            <w:noWrap w:val="0"/>
            <w:vAlign w:val="center"/>
          </w:tcPr>
          <w:p w14:paraId="0261F937">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3315" w:type="dxa"/>
            <w:tcBorders>
              <w:top w:val="nil"/>
              <w:left w:val="nil"/>
              <w:bottom w:val="single" w:color="auto" w:sz="4" w:space="0"/>
              <w:right w:val="single" w:color="auto" w:sz="4" w:space="0"/>
            </w:tcBorders>
            <w:noWrap w:val="0"/>
            <w:vAlign w:val="center"/>
          </w:tcPr>
          <w:p w14:paraId="7491EF89">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（9）办公及作业场所必须配备消防安全器材；</w:t>
            </w:r>
          </w:p>
        </w:tc>
        <w:tc>
          <w:tcPr>
            <w:tcW w:w="4645" w:type="dxa"/>
            <w:tcBorders>
              <w:top w:val="nil"/>
              <w:left w:val="nil"/>
              <w:bottom w:val="single" w:color="auto" w:sz="4" w:space="0"/>
              <w:right w:val="single" w:color="auto" w:sz="4" w:space="0"/>
            </w:tcBorders>
            <w:noWrap w:val="0"/>
            <w:vAlign w:val="center"/>
          </w:tcPr>
          <w:p w14:paraId="2CF8EE89">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未配置消防安全器材的扣20分/处,到期未及时更新的扣10分/处。</w:t>
            </w:r>
          </w:p>
        </w:tc>
      </w:tr>
      <w:tr w14:paraId="30E363B3">
        <w:tblPrEx>
          <w:tblCellMar>
            <w:top w:w="0" w:type="dxa"/>
            <w:left w:w="108" w:type="dxa"/>
            <w:bottom w:w="0" w:type="dxa"/>
            <w:right w:w="108" w:type="dxa"/>
          </w:tblCellMar>
        </w:tblPrEx>
        <w:trPr>
          <w:trHeight w:val="600" w:hRule="atLeast"/>
        </w:trPr>
        <w:tc>
          <w:tcPr>
            <w:tcW w:w="1752" w:type="dxa"/>
            <w:gridSpan w:val="2"/>
            <w:vMerge w:val="continue"/>
            <w:tcBorders>
              <w:top w:val="single" w:color="auto" w:sz="4" w:space="0"/>
              <w:left w:val="single" w:color="auto" w:sz="4" w:space="0"/>
              <w:bottom w:val="nil"/>
              <w:right w:val="single" w:color="000000" w:sz="4" w:space="0"/>
            </w:tcBorders>
            <w:noWrap w:val="0"/>
            <w:vAlign w:val="center"/>
          </w:tcPr>
          <w:p w14:paraId="5CFB1EEB">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3315" w:type="dxa"/>
            <w:tcBorders>
              <w:top w:val="nil"/>
              <w:left w:val="nil"/>
              <w:bottom w:val="single" w:color="auto" w:sz="4" w:space="0"/>
              <w:right w:val="single" w:color="auto" w:sz="4" w:space="0"/>
            </w:tcBorders>
            <w:noWrap w:val="0"/>
            <w:vAlign w:val="center"/>
          </w:tcPr>
          <w:p w14:paraId="2A742E0B">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（10）建立健全规范的安全生产及作业管理制度，制定科学合理的作业方案和计划；</w:t>
            </w:r>
          </w:p>
        </w:tc>
        <w:tc>
          <w:tcPr>
            <w:tcW w:w="4645" w:type="dxa"/>
            <w:tcBorders>
              <w:top w:val="nil"/>
              <w:left w:val="nil"/>
              <w:bottom w:val="single" w:color="auto" w:sz="4" w:space="0"/>
              <w:right w:val="single" w:color="auto" w:sz="4" w:space="0"/>
            </w:tcBorders>
            <w:noWrap w:val="0"/>
            <w:vAlign w:val="center"/>
          </w:tcPr>
          <w:p w14:paraId="39B32BA3">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无安全生产培训计划的50分/次；无管理制度和作业方案、或计划不全的扣5分/次。</w:t>
            </w:r>
          </w:p>
        </w:tc>
      </w:tr>
      <w:tr w14:paraId="740777ED">
        <w:tblPrEx>
          <w:tblCellMar>
            <w:top w:w="0" w:type="dxa"/>
            <w:left w:w="108" w:type="dxa"/>
            <w:bottom w:w="0" w:type="dxa"/>
            <w:right w:w="108" w:type="dxa"/>
          </w:tblCellMar>
        </w:tblPrEx>
        <w:trPr>
          <w:trHeight w:val="600" w:hRule="atLeast"/>
        </w:trPr>
        <w:tc>
          <w:tcPr>
            <w:tcW w:w="1752" w:type="dxa"/>
            <w:gridSpan w:val="2"/>
            <w:vMerge w:val="continue"/>
            <w:tcBorders>
              <w:top w:val="single" w:color="auto" w:sz="4" w:space="0"/>
              <w:left w:val="single" w:color="auto" w:sz="4" w:space="0"/>
              <w:bottom w:val="nil"/>
              <w:right w:val="single" w:color="000000" w:sz="4" w:space="0"/>
            </w:tcBorders>
            <w:noWrap w:val="0"/>
            <w:vAlign w:val="center"/>
          </w:tcPr>
          <w:p w14:paraId="727FE4FD">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3315" w:type="dxa"/>
            <w:tcBorders>
              <w:top w:val="nil"/>
              <w:left w:val="nil"/>
              <w:bottom w:val="single" w:color="auto" w:sz="4" w:space="0"/>
              <w:right w:val="single" w:color="auto" w:sz="4" w:space="0"/>
            </w:tcBorders>
            <w:noWrap w:val="0"/>
            <w:vAlign w:val="center"/>
          </w:tcPr>
          <w:p w14:paraId="466E4B3F">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(11)加强安全生产工作，确保人员、设备安全、稳定运行。</w:t>
            </w:r>
          </w:p>
        </w:tc>
        <w:tc>
          <w:tcPr>
            <w:tcW w:w="4645" w:type="dxa"/>
            <w:tcBorders>
              <w:top w:val="nil"/>
              <w:left w:val="nil"/>
              <w:bottom w:val="single" w:color="auto" w:sz="4" w:space="0"/>
              <w:right w:val="single" w:color="auto" w:sz="4" w:space="0"/>
            </w:tcBorders>
            <w:noWrap w:val="0"/>
            <w:vAlign w:val="center"/>
          </w:tcPr>
          <w:p w14:paraId="45458773">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发生重大安全生产事故造成重大社会影响的扣300分/次，在事故中出现人员死亡的加扣200分/人次。 </w:t>
            </w:r>
          </w:p>
        </w:tc>
      </w:tr>
      <w:tr w14:paraId="187DC2E0">
        <w:tblPrEx>
          <w:tblCellMar>
            <w:top w:w="0" w:type="dxa"/>
            <w:left w:w="108" w:type="dxa"/>
            <w:bottom w:w="0" w:type="dxa"/>
            <w:right w:w="108" w:type="dxa"/>
          </w:tblCellMar>
        </w:tblPrEx>
        <w:trPr>
          <w:trHeight w:val="600" w:hRule="atLeast"/>
        </w:trPr>
        <w:tc>
          <w:tcPr>
            <w:tcW w:w="1752"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65DAD162">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（四)</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内</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部</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管</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理</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指</w:t>
            </w:r>
            <w:r>
              <w:rPr>
                <w:rFonts w:hint="eastAsia" w:ascii="宋体" w:hAnsi="宋体" w:eastAsia="宋体" w:cs="宋体"/>
                <w:color w:val="auto"/>
                <w:kern w:val="0"/>
                <w:sz w:val="21"/>
                <w:szCs w:val="21"/>
                <w:highlight w:val="none"/>
              </w:rPr>
              <w:br w:type="textWrapping"/>
            </w:r>
            <w:r>
              <w:rPr>
                <w:rFonts w:hint="eastAsia" w:ascii="宋体" w:hAnsi="宋体" w:eastAsia="宋体" w:cs="宋体"/>
                <w:color w:val="auto"/>
                <w:kern w:val="0"/>
                <w:sz w:val="21"/>
                <w:szCs w:val="21"/>
                <w:highlight w:val="none"/>
              </w:rPr>
              <w:t>标</w:t>
            </w:r>
            <w:r>
              <w:rPr>
                <w:rFonts w:hint="eastAsia" w:ascii="宋体" w:hAnsi="宋体" w:eastAsia="宋体" w:cs="宋体"/>
                <w:color w:val="auto"/>
                <w:kern w:val="0"/>
                <w:sz w:val="21"/>
                <w:szCs w:val="21"/>
                <w:highlight w:val="none"/>
              </w:rPr>
              <w:br w:type="textWrapping"/>
            </w:r>
          </w:p>
        </w:tc>
        <w:tc>
          <w:tcPr>
            <w:tcW w:w="3315" w:type="dxa"/>
            <w:tcBorders>
              <w:top w:val="nil"/>
              <w:left w:val="nil"/>
              <w:bottom w:val="single" w:color="auto" w:sz="4" w:space="0"/>
              <w:right w:val="single" w:color="auto" w:sz="4" w:space="0"/>
            </w:tcBorders>
            <w:noWrap w:val="0"/>
            <w:vAlign w:val="center"/>
          </w:tcPr>
          <w:p w14:paraId="28B04786">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(1)内部规章制度齐全，作业方案完善。管理人员岗位职责明确，工作流程规范，台账齐全；</w:t>
            </w:r>
          </w:p>
        </w:tc>
        <w:tc>
          <w:tcPr>
            <w:tcW w:w="4645" w:type="dxa"/>
            <w:tcBorders>
              <w:top w:val="nil"/>
              <w:left w:val="nil"/>
              <w:bottom w:val="single" w:color="auto" w:sz="4" w:space="0"/>
              <w:right w:val="single" w:color="auto" w:sz="4" w:space="0"/>
            </w:tcBorders>
            <w:noWrap w:val="0"/>
            <w:vAlign w:val="center"/>
          </w:tcPr>
          <w:p w14:paraId="08D399A3">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规章制度不齐全的扣10分/次；管理人员岗位职责不明确明确、工作流程规范、台账不齐全的扣10分/次。</w:t>
            </w:r>
          </w:p>
        </w:tc>
      </w:tr>
      <w:tr w14:paraId="450EEFF3">
        <w:tblPrEx>
          <w:tblCellMar>
            <w:top w:w="0" w:type="dxa"/>
            <w:left w:w="108" w:type="dxa"/>
            <w:bottom w:w="0" w:type="dxa"/>
            <w:right w:w="108" w:type="dxa"/>
          </w:tblCellMar>
        </w:tblPrEx>
        <w:trPr>
          <w:trHeight w:val="600" w:hRule="atLeast"/>
        </w:trPr>
        <w:tc>
          <w:tcPr>
            <w:tcW w:w="1752"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219A12BE">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3315" w:type="dxa"/>
            <w:tcBorders>
              <w:top w:val="nil"/>
              <w:left w:val="nil"/>
              <w:bottom w:val="single" w:color="auto" w:sz="4" w:space="0"/>
              <w:right w:val="single" w:color="auto" w:sz="4" w:space="0"/>
            </w:tcBorders>
            <w:noWrap w:val="0"/>
            <w:vAlign w:val="center"/>
          </w:tcPr>
          <w:p w14:paraId="74D3B4BC">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(2)每月的20日前提供员工的工资发放清单、社保和公积金清单；</w:t>
            </w:r>
          </w:p>
        </w:tc>
        <w:tc>
          <w:tcPr>
            <w:tcW w:w="4645" w:type="dxa"/>
            <w:tcBorders>
              <w:top w:val="nil"/>
              <w:left w:val="nil"/>
              <w:bottom w:val="single" w:color="auto" w:sz="4" w:space="0"/>
              <w:right w:val="single" w:color="auto" w:sz="4" w:space="0"/>
            </w:tcBorders>
            <w:noWrap w:val="0"/>
            <w:vAlign w:val="center"/>
          </w:tcPr>
          <w:p w14:paraId="14D8826C">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不提供或提供不及时的扣20分/次；</w:t>
            </w:r>
          </w:p>
        </w:tc>
      </w:tr>
      <w:tr w14:paraId="567F712C">
        <w:tblPrEx>
          <w:tblCellMar>
            <w:top w:w="0" w:type="dxa"/>
            <w:left w:w="108" w:type="dxa"/>
            <w:bottom w:w="0" w:type="dxa"/>
            <w:right w:w="108" w:type="dxa"/>
          </w:tblCellMar>
        </w:tblPrEx>
        <w:trPr>
          <w:trHeight w:val="600" w:hRule="atLeast"/>
        </w:trPr>
        <w:tc>
          <w:tcPr>
            <w:tcW w:w="1752"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6E1487C4">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3315" w:type="dxa"/>
            <w:tcBorders>
              <w:top w:val="nil"/>
              <w:left w:val="nil"/>
              <w:bottom w:val="single" w:color="auto" w:sz="4" w:space="0"/>
              <w:right w:val="single" w:color="auto" w:sz="4" w:space="0"/>
            </w:tcBorders>
            <w:noWrap w:val="0"/>
            <w:vAlign w:val="center"/>
          </w:tcPr>
          <w:p w14:paraId="4895603D">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(3)加强对信息化装备的管理，落实专人负责，保证设备正常使用；</w:t>
            </w:r>
          </w:p>
        </w:tc>
        <w:tc>
          <w:tcPr>
            <w:tcW w:w="4645" w:type="dxa"/>
            <w:tcBorders>
              <w:top w:val="nil"/>
              <w:left w:val="nil"/>
              <w:bottom w:val="single" w:color="auto" w:sz="4" w:space="0"/>
              <w:right w:val="single" w:color="auto" w:sz="4" w:space="0"/>
            </w:tcBorders>
            <w:noWrap w:val="0"/>
            <w:vAlign w:val="center"/>
          </w:tcPr>
          <w:p w14:paraId="1C3E360E">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装备管理不到位的扣10分/次；非正常损坏的按使用年限作价赔偿。人为关闭或擅自修改信息化设备的10分/人.次</w:t>
            </w:r>
          </w:p>
        </w:tc>
      </w:tr>
      <w:tr w14:paraId="0348E4D9">
        <w:tblPrEx>
          <w:tblCellMar>
            <w:top w:w="0" w:type="dxa"/>
            <w:left w:w="108" w:type="dxa"/>
            <w:bottom w:w="0" w:type="dxa"/>
            <w:right w:w="108" w:type="dxa"/>
          </w:tblCellMar>
        </w:tblPrEx>
        <w:trPr>
          <w:trHeight w:val="600" w:hRule="atLeast"/>
        </w:trPr>
        <w:tc>
          <w:tcPr>
            <w:tcW w:w="1752"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6F3726DF">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3315" w:type="dxa"/>
            <w:tcBorders>
              <w:top w:val="nil"/>
              <w:left w:val="nil"/>
              <w:bottom w:val="single" w:color="auto" w:sz="4" w:space="0"/>
              <w:right w:val="single" w:color="auto" w:sz="4" w:space="0"/>
            </w:tcBorders>
            <w:noWrap w:val="0"/>
            <w:vAlign w:val="center"/>
          </w:tcPr>
          <w:p w14:paraId="477DF6A2">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(4)按照规定时间登录、退出工作系统；不得擅自关闭信息化系统；</w:t>
            </w:r>
          </w:p>
        </w:tc>
        <w:tc>
          <w:tcPr>
            <w:tcW w:w="4645" w:type="dxa"/>
            <w:tcBorders>
              <w:top w:val="nil"/>
              <w:left w:val="nil"/>
              <w:bottom w:val="single" w:color="auto" w:sz="4" w:space="0"/>
              <w:right w:val="single" w:color="auto" w:sz="4" w:space="0"/>
            </w:tcBorders>
            <w:noWrap w:val="0"/>
            <w:vAlign w:val="center"/>
          </w:tcPr>
          <w:p w14:paraId="14C6A67E">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每发生一起的扣1分/人。</w:t>
            </w:r>
          </w:p>
        </w:tc>
      </w:tr>
      <w:tr w14:paraId="4449DA80">
        <w:tblPrEx>
          <w:tblCellMar>
            <w:top w:w="0" w:type="dxa"/>
            <w:left w:w="108" w:type="dxa"/>
            <w:bottom w:w="0" w:type="dxa"/>
            <w:right w:w="108" w:type="dxa"/>
          </w:tblCellMar>
        </w:tblPrEx>
        <w:trPr>
          <w:trHeight w:val="600" w:hRule="atLeast"/>
        </w:trPr>
        <w:tc>
          <w:tcPr>
            <w:tcW w:w="1752"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47766299">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3315" w:type="dxa"/>
            <w:tcBorders>
              <w:top w:val="nil"/>
              <w:left w:val="nil"/>
              <w:bottom w:val="single" w:color="auto" w:sz="4" w:space="0"/>
              <w:right w:val="single" w:color="auto" w:sz="4" w:space="0"/>
            </w:tcBorders>
            <w:noWrap w:val="0"/>
            <w:vAlign w:val="center"/>
          </w:tcPr>
          <w:p w14:paraId="58A72044">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（5）按照规定时间进入和离开作业区域；</w:t>
            </w:r>
          </w:p>
        </w:tc>
        <w:tc>
          <w:tcPr>
            <w:tcW w:w="4645" w:type="dxa"/>
            <w:tcBorders>
              <w:top w:val="nil"/>
              <w:left w:val="nil"/>
              <w:bottom w:val="single" w:color="auto" w:sz="4" w:space="0"/>
              <w:right w:val="single" w:color="auto" w:sz="4" w:space="0"/>
            </w:tcBorders>
            <w:noWrap w:val="0"/>
            <w:vAlign w:val="center"/>
          </w:tcPr>
          <w:p w14:paraId="3D4823F8">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未按规定时间进入和离开作业区域1分/人。</w:t>
            </w:r>
          </w:p>
        </w:tc>
      </w:tr>
      <w:tr w14:paraId="645E73C6">
        <w:tblPrEx>
          <w:tblCellMar>
            <w:top w:w="0" w:type="dxa"/>
            <w:left w:w="108" w:type="dxa"/>
            <w:bottom w:w="0" w:type="dxa"/>
            <w:right w:w="108" w:type="dxa"/>
          </w:tblCellMar>
        </w:tblPrEx>
        <w:trPr>
          <w:trHeight w:val="600" w:hRule="atLeast"/>
        </w:trPr>
        <w:tc>
          <w:tcPr>
            <w:tcW w:w="1752"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3F5480B7">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3315" w:type="dxa"/>
            <w:tcBorders>
              <w:top w:val="nil"/>
              <w:left w:val="nil"/>
              <w:bottom w:val="single" w:color="auto" w:sz="4" w:space="0"/>
              <w:right w:val="single" w:color="auto" w:sz="4" w:space="0"/>
            </w:tcBorders>
            <w:noWrap w:val="0"/>
            <w:vAlign w:val="center"/>
          </w:tcPr>
          <w:p w14:paraId="7FDF68E5">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（6）工作期间不得从事和工作无关活动；不得进入非指定休息点休息；</w:t>
            </w:r>
          </w:p>
        </w:tc>
        <w:tc>
          <w:tcPr>
            <w:tcW w:w="4645" w:type="dxa"/>
            <w:tcBorders>
              <w:top w:val="nil"/>
              <w:left w:val="nil"/>
              <w:bottom w:val="single" w:color="auto" w:sz="4" w:space="0"/>
              <w:right w:val="single" w:color="auto" w:sz="4" w:space="0"/>
            </w:tcBorders>
            <w:noWrap w:val="0"/>
            <w:vAlign w:val="center"/>
          </w:tcPr>
          <w:p w14:paraId="289C084C">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工作期间从事和工作无关活动或进入非指定休息点休息5分/人。</w:t>
            </w:r>
          </w:p>
        </w:tc>
      </w:tr>
      <w:tr w14:paraId="397C777E">
        <w:tblPrEx>
          <w:tblCellMar>
            <w:top w:w="0" w:type="dxa"/>
            <w:left w:w="108" w:type="dxa"/>
            <w:bottom w:w="0" w:type="dxa"/>
            <w:right w:w="108" w:type="dxa"/>
          </w:tblCellMar>
        </w:tblPrEx>
        <w:trPr>
          <w:trHeight w:val="600" w:hRule="atLeast"/>
        </w:trPr>
        <w:tc>
          <w:tcPr>
            <w:tcW w:w="1752"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167EEF6C">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3315" w:type="dxa"/>
            <w:tcBorders>
              <w:top w:val="nil"/>
              <w:left w:val="nil"/>
              <w:bottom w:val="single" w:color="auto" w:sz="4" w:space="0"/>
              <w:right w:val="single" w:color="auto" w:sz="4" w:space="0"/>
            </w:tcBorders>
            <w:noWrap w:val="0"/>
            <w:vAlign w:val="center"/>
          </w:tcPr>
          <w:p w14:paraId="2544A6F6">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（7）必须准时参加环卫</w:t>
            </w:r>
            <w:r>
              <w:rPr>
                <w:rFonts w:hint="eastAsia" w:ascii="宋体" w:hAnsi="宋体" w:cs="宋体"/>
                <w:color w:val="auto"/>
                <w:kern w:val="0"/>
                <w:sz w:val="21"/>
                <w:szCs w:val="21"/>
                <w:highlight w:val="none"/>
                <w:lang w:eastAsia="zh-CN"/>
              </w:rPr>
              <w:t>部门</w:t>
            </w:r>
            <w:r>
              <w:rPr>
                <w:rFonts w:hint="eastAsia" w:ascii="宋体" w:hAnsi="宋体" w:eastAsia="宋体" w:cs="宋体"/>
                <w:color w:val="auto"/>
                <w:kern w:val="0"/>
                <w:sz w:val="21"/>
                <w:szCs w:val="21"/>
                <w:highlight w:val="none"/>
              </w:rPr>
              <w:t>召集的会议；必须服从、落实</w:t>
            </w:r>
            <w:r>
              <w:rPr>
                <w:rFonts w:hint="eastAsia" w:ascii="宋体" w:hAnsi="宋体" w:cs="宋体"/>
                <w:color w:val="auto"/>
                <w:kern w:val="0"/>
                <w:sz w:val="21"/>
                <w:szCs w:val="21"/>
                <w:highlight w:val="none"/>
                <w:lang w:eastAsia="zh-CN"/>
              </w:rPr>
              <w:t>环卫部门</w:t>
            </w:r>
            <w:r>
              <w:rPr>
                <w:rFonts w:hint="eastAsia" w:ascii="宋体" w:hAnsi="宋体" w:eastAsia="宋体" w:cs="宋体"/>
                <w:color w:val="auto"/>
                <w:kern w:val="0"/>
                <w:sz w:val="21"/>
                <w:szCs w:val="21"/>
                <w:highlight w:val="none"/>
              </w:rPr>
              <w:t>下达的工作指令和组织开展的活动；必须无条件接受</w:t>
            </w:r>
            <w:r>
              <w:rPr>
                <w:rFonts w:hint="eastAsia" w:ascii="宋体" w:hAnsi="宋体" w:cs="宋体"/>
                <w:color w:val="auto"/>
                <w:kern w:val="0"/>
                <w:sz w:val="21"/>
                <w:szCs w:val="21"/>
                <w:highlight w:val="none"/>
                <w:lang w:eastAsia="zh-CN"/>
              </w:rPr>
              <w:t>环卫部门</w:t>
            </w:r>
            <w:r>
              <w:rPr>
                <w:rFonts w:hint="eastAsia" w:ascii="宋体" w:hAnsi="宋体" w:eastAsia="宋体" w:cs="宋体"/>
                <w:color w:val="auto"/>
                <w:kern w:val="0"/>
                <w:sz w:val="21"/>
                <w:szCs w:val="21"/>
                <w:highlight w:val="none"/>
              </w:rPr>
              <w:t>的检查和指导；</w:t>
            </w:r>
          </w:p>
        </w:tc>
        <w:tc>
          <w:tcPr>
            <w:tcW w:w="4645" w:type="dxa"/>
            <w:tcBorders>
              <w:top w:val="nil"/>
              <w:left w:val="nil"/>
              <w:bottom w:val="single" w:color="auto" w:sz="4" w:space="0"/>
              <w:right w:val="single" w:color="auto" w:sz="4" w:space="0"/>
            </w:tcBorders>
            <w:noWrap w:val="0"/>
            <w:vAlign w:val="center"/>
          </w:tcPr>
          <w:p w14:paraId="05339838">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无正当理由不参加、不服从、不落实</w:t>
            </w:r>
            <w:r>
              <w:rPr>
                <w:rFonts w:hint="eastAsia" w:ascii="宋体" w:hAnsi="宋体" w:cs="宋体"/>
                <w:color w:val="auto"/>
                <w:kern w:val="0"/>
                <w:sz w:val="21"/>
                <w:szCs w:val="21"/>
                <w:highlight w:val="none"/>
                <w:lang w:eastAsia="zh-CN"/>
              </w:rPr>
              <w:t>环卫部门</w:t>
            </w:r>
            <w:r>
              <w:rPr>
                <w:rFonts w:hint="eastAsia" w:ascii="宋体" w:hAnsi="宋体" w:eastAsia="宋体" w:cs="宋体"/>
                <w:color w:val="auto"/>
                <w:kern w:val="0"/>
                <w:sz w:val="21"/>
                <w:szCs w:val="21"/>
                <w:highlight w:val="none"/>
              </w:rPr>
              <w:t>下达的会议和工作指令的，或者不参加</w:t>
            </w:r>
            <w:r>
              <w:rPr>
                <w:rFonts w:hint="eastAsia" w:ascii="宋体" w:hAnsi="宋体" w:cs="宋体"/>
                <w:color w:val="auto"/>
                <w:kern w:val="0"/>
                <w:sz w:val="21"/>
                <w:szCs w:val="21"/>
                <w:highlight w:val="none"/>
                <w:lang w:eastAsia="zh-CN"/>
              </w:rPr>
              <w:t>环卫部门</w:t>
            </w:r>
            <w:r>
              <w:rPr>
                <w:rFonts w:hint="eastAsia" w:ascii="宋体" w:hAnsi="宋体" w:eastAsia="宋体" w:cs="宋体"/>
                <w:color w:val="auto"/>
                <w:kern w:val="0"/>
                <w:sz w:val="21"/>
                <w:szCs w:val="21"/>
                <w:highlight w:val="none"/>
              </w:rPr>
              <w:t>组织开展的活动的扣20分。拒绝或回避</w:t>
            </w:r>
            <w:r>
              <w:rPr>
                <w:rFonts w:hint="eastAsia" w:ascii="宋体" w:hAnsi="宋体" w:cs="宋体"/>
                <w:color w:val="auto"/>
                <w:kern w:val="0"/>
                <w:sz w:val="21"/>
                <w:szCs w:val="21"/>
                <w:highlight w:val="none"/>
                <w:lang w:eastAsia="zh-CN"/>
              </w:rPr>
              <w:t>环卫部门</w:t>
            </w:r>
            <w:r>
              <w:rPr>
                <w:rFonts w:hint="eastAsia" w:ascii="宋体" w:hAnsi="宋体" w:eastAsia="宋体" w:cs="宋体"/>
                <w:color w:val="auto"/>
                <w:kern w:val="0"/>
                <w:sz w:val="21"/>
                <w:szCs w:val="21"/>
                <w:highlight w:val="none"/>
              </w:rPr>
              <w:t>检查指导的扣50分，严重的终止合同。</w:t>
            </w:r>
          </w:p>
        </w:tc>
      </w:tr>
      <w:tr w14:paraId="449CAEDA">
        <w:tblPrEx>
          <w:tblCellMar>
            <w:top w:w="0" w:type="dxa"/>
            <w:left w:w="108" w:type="dxa"/>
            <w:bottom w:w="0" w:type="dxa"/>
            <w:right w:w="108" w:type="dxa"/>
          </w:tblCellMar>
        </w:tblPrEx>
        <w:trPr>
          <w:trHeight w:val="600" w:hRule="atLeast"/>
        </w:trPr>
        <w:tc>
          <w:tcPr>
            <w:tcW w:w="1752"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69D9016C">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3315" w:type="dxa"/>
            <w:tcBorders>
              <w:top w:val="nil"/>
              <w:left w:val="nil"/>
              <w:bottom w:val="single" w:color="auto" w:sz="4" w:space="0"/>
              <w:right w:val="single" w:color="auto" w:sz="4" w:space="0"/>
            </w:tcBorders>
            <w:noWrap w:val="0"/>
            <w:vAlign w:val="center"/>
          </w:tcPr>
          <w:p w14:paraId="36F6DB85">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（8）要有各类应急响应机制和预案；要完成</w:t>
            </w:r>
            <w:r>
              <w:rPr>
                <w:rFonts w:hint="eastAsia" w:ascii="宋体" w:hAnsi="宋体" w:cs="宋体"/>
                <w:color w:val="auto"/>
                <w:kern w:val="0"/>
                <w:sz w:val="21"/>
                <w:szCs w:val="21"/>
                <w:highlight w:val="none"/>
                <w:lang w:eastAsia="zh-CN"/>
              </w:rPr>
              <w:t>环卫部门</w:t>
            </w:r>
            <w:r>
              <w:rPr>
                <w:rFonts w:hint="eastAsia" w:ascii="宋体" w:hAnsi="宋体" w:eastAsia="宋体" w:cs="宋体"/>
                <w:color w:val="auto"/>
                <w:kern w:val="0"/>
                <w:sz w:val="21"/>
                <w:szCs w:val="21"/>
                <w:highlight w:val="none"/>
              </w:rPr>
              <w:t>下达的应急任务；</w:t>
            </w:r>
          </w:p>
        </w:tc>
        <w:tc>
          <w:tcPr>
            <w:tcW w:w="4645" w:type="dxa"/>
            <w:tcBorders>
              <w:top w:val="nil"/>
              <w:left w:val="nil"/>
              <w:bottom w:val="single" w:color="auto" w:sz="4" w:space="0"/>
              <w:right w:val="single" w:color="auto" w:sz="4" w:space="0"/>
            </w:tcBorders>
            <w:noWrap w:val="0"/>
            <w:vAlign w:val="center"/>
          </w:tcPr>
          <w:p w14:paraId="2F0107BF">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没有指定各类应急响应机制和预案的扣20分/人；未完成</w:t>
            </w:r>
            <w:r>
              <w:rPr>
                <w:rFonts w:hint="eastAsia" w:ascii="宋体" w:hAnsi="宋体" w:cs="宋体"/>
                <w:color w:val="auto"/>
                <w:kern w:val="0"/>
                <w:sz w:val="21"/>
                <w:szCs w:val="21"/>
                <w:highlight w:val="none"/>
                <w:lang w:eastAsia="zh-CN"/>
              </w:rPr>
              <w:t>环卫部门</w:t>
            </w:r>
            <w:r>
              <w:rPr>
                <w:rFonts w:hint="eastAsia" w:ascii="宋体" w:hAnsi="宋体" w:eastAsia="宋体" w:cs="宋体"/>
                <w:color w:val="auto"/>
                <w:kern w:val="0"/>
                <w:sz w:val="21"/>
                <w:szCs w:val="21"/>
                <w:highlight w:val="none"/>
              </w:rPr>
              <w:t>下达的应急任务的扣20分/次。</w:t>
            </w:r>
          </w:p>
        </w:tc>
      </w:tr>
      <w:tr w14:paraId="7CC836AD">
        <w:tblPrEx>
          <w:tblCellMar>
            <w:top w:w="0" w:type="dxa"/>
            <w:left w:w="108" w:type="dxa"/>
            <w:bottom w:w="0" w:type="dxa"/>
            <w:right w:w="108" w:type="dxa"/>
          </w:tblCellMar>
        </w:tblPrEx>
        <w:trPr>
          <w:trHeight w:val="600" w:hRule="atLeast"/>
        </w:trPr>
        <w:tc>
          <w:tcPr>
            <w:tcW w:w="1752"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70943875">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3315" w:type="dxa"/>
            <w:tcBorders>
              <w:top w:val="nil"/>
              <w:left w:val="nil"/>
              <w:bottom w:val="single" w:color="auto" w:sz="4" w:space="0"/>
              <w:right w:val="single" w:color="auto" w:sz="4" w:space="0"/>
            </w:tcBorders>
            <w:noWrap w:val="0"/>
            <w:vAlign w:val="center"/>
          </w:tcPr>
          <w:p w14:paraId="11B4983D">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（9）上报的数据材料准确性与及时性；</w:t>
            </w:r>
          </w:p>
        </w:tc>
        <w:tc>
          <w:tcPr>
            <w:tcW w:w="4645" w:type="dxa"/>
            <w:tcBorders>
              <w:top w:val="nil"/>
              <w:left w:val="nil"/>
              <w:bottom w:val="single" w:color="auto" w:sz="4" w:space="0"/>
              <w:right w:val="single" w:color="auto" w:sz="4" w:space="0"/>
            </w:tcBorders>
            <w:noWrap w:val="0"/>
            <w:vAlign w:val="center"/>
          </w:tcPr>
          <w:p w14:paraId="06BD96C7">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上报不及时的扣5分/次，发现弄虚作假的扣10分/次。</w:t>
            </w:r>
          </w:p>
        </w:tc>
      </w:tr>
      <w:tr w14:paraId="6D9D53BD">
        <w:tblPrEx>
          <w:tblCellMar>
            <w:top w:w="0" w:type="dxa"/>
            <w:left w:w="108" w:type="dxa"/>
            <w:bottom w:w="0" w:type="dxa"/>
            <w:right w:w="108" w:type="dxa"/>
          </w:tblCellMar>
        </w:tblPrEx>
        <w:trPr>
          <w:trHeight w:val="600" w:hRule="atLeast"/>
        </w:trPr>
        <w:tc>
          <w:tcPr>
            <w:tcW w:w="1752"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15D2C289">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3315" w:type="dxa"/>
            <w:tcBorders>
              <w:top w:val="nil"/>
              <w:left w:val="nil"/>
              <w:bottom w:val="single" w:color="auto" w:sz="4" w:space="0"/>
              <w:right w:val="single" w:color="auto" w:sz="4" w:space="0"/>
            </w:tcBorders>
            <w:noWrap w:val="0"/>
            <w:vAlign w:val="center"/>
          </w:tcPr>
          <w:p w14:paraId="6E7E2332">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（10）要加强宣传力度，及时完成宣传任务；</w:t>
            </w:r>
          </w:p>
        </w:tc>
        <w:tc>
          <w:tcPr>
            <w:tcW w:w="4645" w:type="dxa"/>
            <w:tcBorders>
              <w:top w:val="nil"/>
              <w:left w:val="nil"/>
              <w:bottom w:val="single" w:color="auto" w:sz="4" w:space="0"/>
              <w:right w:val="single" w:color="auto" w:sz="4" w:space="0"/>
            </w:tcBorders>
            <w:noWrap w:val="0"/>
            <w:vAlign w:val="center"/>
          </w:tcPr>
          <w:p w14:paraId="0A9F444B">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未完成任务的扣20分/次。</w:t>
            </w:r>
          </w:p>
        </w:tc>
      </w:tr>
      <w:tr w14:paraId="1ADB0A10">
        <w:tblPrEx>
          <w:tblCellMar>
            <w:top w:w="0" w:type="dxa"/>
            <w:left w:w="108" w:type="dxa"/>
            <w:bottom w:w="0" w:type="dxa"/>
            <w:right w:w="108" w:type="dxa"/>
          </w:tblCellMar>
        </w:tblPrEx>
        <w:trPr>
          <w:trHeight w:val="600" w:hRule="atLeast"/>
        </w:trPr>
        <w:tc>
          <w:tcPr>
            <w:tcW w:w="1752"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1AF3A105">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3315" w:type="dxa"/>
            <w:tcBorders>
              <w:top w:val="nil"/>
              <w:left w:val="nil"/>
              <w:bottom w:val="single" w:color="auto" w:sz="4" w:space="0"/>
              <w:right w:val="single" w:color="auto" w:sz="4" w:space="0"/>
            </w:tcBorders>
            <w:noWrap w:val="0"/>
            <w:vAlign w:val="center"/>
          </w:tcPr>
          <w:p w14:paraId="45CD14E1">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（11）非超龄人员占比；</w:t>
            </w:r>
          </w:p>
        </w:tc>
        <w:tc>
          <w:tcPr>
            <w:tcW w:w="4645" w:type="dxa"/>
            <w:tcBorders>
              <w:top w:val="nil"/>
              <w:left w:val="nil"/>
              <w:bottom w:val="single" w:color="auto" w:sz="4" w:space="0"/>
              <w:right w:val="single" w:color="auto" w:sz="4" w:space="0"/>
            </w:tcBorders>
            <w:noWrap w:val="0"/>
            <w:vAlign w:val="center"/>
          </w:tcPr>
          <w:p w14:paraId="50B5DD28">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与招标文件不符，弄虚作假的扣5分/次。</w:t>
            </w:r>
          </w:p>
        </w:tc>
      </w:tr>
      <w:tr w14:paraId="0E24980A">
        <w:tblPrEx>
          <w:tblCellMar>
            <w:top w:w="0" w:type="dxa"/>
            <w:left w:w="108" w:type="dxa"/>
            <w:bottom w:w="0" w:type="dxa"/>
            <w:right w:w="108" w:type="dxa"/>
          </w:tblCellMar>
        </w:tblPrEx>
        <w:trPr>
          <w:trHeight w:val="600" w:hRule="atLeast"/>
        </w:trPr>
        <w:tc>
          <w:tcPr>
            <w:tcW w:w="1752"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397C4B56">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p>
        </w:tc>
        <w:tc>
          <w:tcPr>
            <w:tcW w:w="3315" w:type="dxa"/>
            <w:tcBorders>
              <w:top w:val="nil"/>
              <w:left w:val="nil"/>
              <w:bottom w:val="single" w:color="auto" w:sz="4" w:space="0"/>
              <w:right w:val="single" w:color="auto" w:sz="4" w:space="0"/>
            </w:tcBorders>
            <w:noWrap w:val="0"/>
            <w:vAlign w:val="center"/>
          </w:tcPr>
          <w:p w14:paraId="704F3DCE">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（12）作业人员的奖励与福利；</w:t>
            </w:r>
          </w:p>
        </w:tc>
        <w:tc>
          <w:tcPr>
            <w:tcW w:w="4645" w:type="dxa"/>
            <w:tcBorders>
              <w:top w:val="nil"/>
              <w:left w:val="nil"/>
              <w:bottom w:val="single" w:color="auto" w:sz="4" w:space="0"/>
              <w:right w:val="single" w:color="auto" w:sz="4" w:space="0"/>
            </w:tcBorders>
            <w:noWrap w:val="0"/>
            <w:vAlign w:val="center"/>
          </w:tcPr>
          <w:p w14:paraId="7081B00B">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与招标文件不符，弄虚作假的扣5分/次。</w:t>
            </w:r>
          </w:p>
        </w:tc>
      </w:tr>
    </w:tbl>
    <w:p w14:paraId="23151D83">
      <w:pPr>
        <w:pStyle w:val="3"/>
        <w:rPr>
          <w:color w:val="auto"/>
          <w:highlight w:val="none"/>
        </w:rPr>
      </w:pPr>
    </w:p>
    <w:p w14:paraId="603DC9FF">
      <w:pPr>
        <w:rPr>
          <w:color w:val="auto"/>
          <w:highlight w:val="none"/>
        </w:rPr>
      </w:pPr>
    </w:p>
    <w:p w14:paraId="4B00B026">
      <w:pPr>
        <w:rPr>
          <w:color w:val="auto"/>
          <w:highlight w:val="none"/>
        </w:rPr>
      </w:pPr>
    </w:p>
    <w:p w14:paraId="2999DEBF">
      <w:pPr>
        <w:rPr>
          <w:color w:val="auto"/>
          <w:highlight w:val="none"/>
        </w:rPr>
      </w:pPr>
    </w:p>
    <w:p w14:paraId="2488AD65">
      <w:pPr>
        <w:rPr>
          <w:color w:val="auto"/>
          <w:highlight w:val="none"/>
        </w:rPr>
      </w:pPr>
    </w:p>
    <w:p w14:paraId="535CA60D">
      <w:pPr>
        <w:jc w:val="left"/>
        <w:rPr>
          <w:color w:val="auto"/>
          <w:highlight w:val="none"/>
        </w:rPr>
      </w:pPr>
    </w:p>
    <w:p w14:paraId="3D4C16ED">
      <w:pPr>
        <w:rPr>
          <w:color w:val="auto"/>
          <w:highlight w:val="none"/>
        </w:rPr>
      </w:pPr>
    </w:p>
    <w:p w14:paraId="2D03C4A4">
      <w:pPr>
        <w:widowControl/>
        <w:jc w:val="left"/>
        <w:rPr>
          <w:rFonts w:ascii="黑体" w:hAnsi="宋体" w:eastAsia="黑体" w:cs="黑体"/>
          <w:color w:val="auto"/>
          <w:kern w:val="0"/>
          <w:sz w:val="31"/>
          <w:szCs w:val="31"/>
          <w:highlight w:val="none"/>
          <w:lang w:bidi="ar"/>
        </w:rPr>
      </w:pPr>
    </w:p>
    <w:p w14:paraId="0A231B86">
      <w:pPr>
        <w:widowControl/>
        <w:jc w:val="left"/>
        <w:rPr>
          <w:rFonts w:ascii="黑体" w:hAnsi="宋体" w:eastAsia="黑体" w:cs="黑体"/>
          <w:color w:val="auto"/>
          <w:kern w:val="0"/>
          <w:sz w:val="31"/>
          <w:szCs w:val="31"/>
          <w:highlight w:val="none"/>
          <w:lang w:bidi="ar"/>
        </w:rPr>
      </w:pPr>
    </w:p>
    <w:p w14:paraId="0EA30D41">
      <w:pPr>
        <w:spacing w:line="360" w:lineRule="auto"/>
        <w:rPr>
          <w:rFonts w:hint="eastAsia" w:ascii="宋体" w:hAnsi="宋体" w:eastAsia="宋体" w:cs="宋体"/>
          <w:b/>
          <w:bCs/>
          <w:color w:val="auto"/>
          <w:kern w:val="0"/>
          <w:sz w:val="21"/>
          <w:szCs w:val="21"/>
          <w:highlight w:val="none"/>
          <w:lang w:val="en-US" w:eastAsia="zh-CN" w:bidi="ar-SA"/>
        </w:rPr>
      </w:pPr>
      <w:r>
        <w:rPr>
          <w:rFonts w:ascii="黑体" w:hAnsi="宋体" w:eastAsia="黑体" w:cs="黑体"/>
          <w:color w:val="auto"/>
          <w:kern w:val="0"/>
          <w:sz w:val="31"/>
          <w:szCs w:val="31"/>
          <w:highlight w:val="none"/>
          <w:lang w:bidi="ar"/>
        </w:rPr>
        <w:br w:type="page"/>
      </w:r>
      <w:r>
        <w:rPr>
          <w:rFonts w:hint="eastAsia" w:ascii="宋体" w:hAnsi="宋体" w:eastAsia="宋体" w:cs="宋体"/>
          <w:b/>
          <w:bCs/>
          <w:color w:val="auto"/>
          <w:kern w:val="0"/>
          <w:sz w:val="21"/>
          <w:szCs w:val="21"/>
          <w:highlight w:val="none"/>
          <w:lang w:val="en-US" w:eastAsia="zh-CN" w:bidi="ar-SA"/>
        </w:rPr>
        <w:t>附件 2：各级考核考评标准</w:t>
      </w:r>
    </w:p>
    <w:tbl>
      <w:tblPr>
        <w:tblStyle w:val="7"/>
        <w:tblpPr w:leftFromText="180" w:rightFromText="180" w:vertAnchor="text" w:horzAnchor="page" w:tblpX="1150" w:tblpY="204"/>
        <w:tblOverlap w:val="never"/>
        <w:tblW w:w="5201" w:type="pct"/>
        <w:tblInd w:w="0" w:type="dxa"/>
        <w:tblLayout w:type="autofit"/>
        <w:tblCellMar>
          <w:top w:w="0" w:type="dxa"/>
          <w:left w:w="108" w:type="dxa"/>
          <w:bottom w:w="0" w:type="dxa"/>
          <w:right w:w="108" w:type="dxa"/>
        </w:tblCellMar>
      </w:tblPr>
      <w:tblGrid>
        <w:gridCol w:w="1612"/>
        <w:gridCol w:w="4008"/>
        <w:gridCol w:w="3245"/>
      </w:tblGrid>
      <w:tr w14:paraId="440B0AB3">
        <w:tblPrEx>
          <w:tblCellMar>
            <w:top w:w="0" w:type="dxa"/>
            <w:left w:w="108" w:type="dxa"/>
            <w:bottom w:w="0" w:type="dxa"/>
            <w:right w:w="108" w:type="dxa"/>
          </w:tblCellMar>
        </w:tblPrEx>
        <w:trPr>
          <w:trHeight w:val="485" w:hRule="atLeast"/>
        </w:trPr>
        <w:tc>
          <w:tcPr>
            <w:tcW w:w="909" w:type="pct"/>
            <w:tcBorders>
              <w:top w:val="single" w:color="auto" w:sz="4" w:space="0"/>
              <w:left w:val="single" w:color="auto" w:sz="4" w:space="0"/>
              <w:bottom w:val="single" w:color="auto" w:sz="4" w:space="0"/>
              <w:right w:val="single" w:color="auto" w:sz="4" w:space="0"/>
            </w:tcBorders>
            <w:noWrap w:val="0"/>
            <w:vAlign w:val="center"/>
          </w:tcPr>
          <w:p w14:paraId="71BE2B4D">
            <w:pPr>
              <w:keepNext w:val="0"/>
              <w:keepLines w:val="0"/>
              <w:pageBreakBefore w:val="0"/>
              <w:widowControl/>
              <w:kinsoku/>
              <w:wordWrap/>
              <w:overflowPunct/>
              <w:topLinePunct w:val="0"/>
              <w:autoSpaceDE/>
              <w:autoSpaceDN/>
              <w:bidi w:val="0"/>
              <w:adjustRightInd/>
              <w:snapToGrid w:val="0"/>
              <w:spacing w:line="360" w:lineRule="auto"/>
              <w:jc w:val="center"/>
              <w:textAlignment w:val="center"/>
              <w:rPr>
                <w:rFonts w:ascii="宋体" w:hAnsi="宋体" w:cs="宋体"/>
                <w:b/>
                <w:bCs/>
                <w:color w:val="auto"/>
                <w:kern w:val="0"/>
                <w:sz w:val="21"/>
                <w:szCs w:val="21"/>
                <w:highlight w:val="none"/>
                <w:lang w:bidi="ar"/>
              </w:rPr>
            </w:pPr>
            <w:r>
              <w:rPr>
                <w:rFonts w:hint="eastAsia" w:ascii="宋体" w:hAnsi="宋体" w:cs="宋体"/>
                <w:b/>
                <w:bCs/>
                <w:color w:val="auto"/>
                <w:kern w:val="0"/>
                <w:sz w:val="21"/>
                <w:szCs w:val="21"/>
                <w:highlight w:val="none"/>
                <w:lang w:bidi="ar"/>
              </w:rPr>
              <w:t>考评项目</w:t>
            </w:r>
          </w:p>
        </w:tc>
        <w:tc>
          <w:tcPr>
            <w:tcW w:w="2260" w:type="pct"/>
            <w:tcBorders>
              <w:top w:val="single" w:color="auto" w:sz="4" w:space="0"/>
              <w:left w:val="single" w:color="auto" w:sz="4" w:space="0"/>
              <w:bottom w:val="single" w:color="auto" w:sz="4" w:space="0"/>
              <w:right w:val="single" w:color="auto" w:sz="4" w:space="0"/>
            </w:tcBorders>
            <w:noWrap w:val="0"/>
            <w:vAlign w:val="center"/>
          </w:tcPr>
          <w:p w14:paraId="7D821867">
            <w:pPr>
              <w:keepNext w:val="0"/>
              <w:keepLines w:val="0"/>
              <w:pageBreakBefore w:val="0"/>
              <w:widowControl/>
              <w:kinsoku/>
              <w:wordWrap/>
              <w:overflowPunct/>
              <w:topLinePunct w:val="0"/>
              <w:autoSpaceDE/>
              <w:autoSpaceDN/>
              <w:bidi w:val="0"/>
              <w:adjustRightInd/>
              <w:snapToGrid w:val="0"/>
              <w:spacing w:line="360" w:lineRule="auto"/>
              <w:jc w:val="center"/>
              <w:textAlignment w:val="center"/>
              <w:rPr>
                <w:rFonts w:ascii="宋体" w:hAnsi="宋体" w:cs="宋体"/>
                <w:b/>
                <w:bCs/>
                <w:color w:val="auto"/>
                <w:kern w:val="0"/>
                <w:sz w:val="21"/>
                <w:szCs w:val="21"/>
                <w:highlight w:val="none"/>
                <w:lang w:bidi="ar"/>
              </w:rPr>
            </w:pPr>
            <w:r>
              <w:rPr>
                <w:rFonts w:hint="eastAsia" w:ascii="宋体" w:hAnsi="宋体" w:cs="宋体"/>
                <w:b/>
                <w:bCs/>
                <w:color w:val="auto"/>
                <w:kern w:val="0"/>
                <w:sz w:val="21"/>
                <w:szCs w:val="21"/>
                <w:highlight w:val="none"/>
                <w:lang w:bidi="ar"/>
              </w:rPr>
              <w:t>考评评分内容</w:t>
            </w:r>
          </w:p>
        </w:tc>
        <w:tc>
          <w:tcPr>
            <w:tcW w:w="1830" w:type="pct"/>
            <w:tcBorders>
              <w:top w:val="single" w:color="auto" w:sz="4" w:space="0"/>
              <w:left w:val="single" w:color="auto" w:sz="4" w:space="0"/>
              <w:bottom w:val="single" w:color="auto" w:sz="4" w:space="0"/>
              <w:right w:val="single" w:color="auto" w:sz="4" w:space="0"/>
            </w:tcBorders>
            <w:noWrap w:val="0"/>
            <w:vAlign w:val="center"/>
          </w:tcPr>
          <w:p w14:paraId="30A60B0B">
            <w:pPr>
              <w:keepNext w:val="0"/>
              <w:keepLines w:val="0"/>
              <w:pageBreakBefore w:val="0"/>
              <w:widowControl/>
              <w:kinsoku/>
              <w:wordWrap/>
              <w:overflowPunct/>
              <w:topLinePunct w:val="0"/>
              <w:autoSpaceDE/>
              <w:autoSpaceDN/>
              <w:bidi w:val="0"/>
              <w:adjustRightInd/>
              <w:snapToGrid w:val="0"/>
              <w:spacing w:line="360" w:lineRule="auto"/>
              <w:jc w:val="center"/>
              <w:textAlignment w:val="center"/>
              <w:rPr>
                <w:rFonts w:ascii="宋体" w:hAnsi="宋体" w:cs="宋体"/>
                <w:b/>
                <w:bCs/>
                <w:color w:val="auto"/>
                <w:kern w:val="0"/>
                <w:sz w:val="21"/>
                <w:szCs w:val="21"/>
                <w:highlight w:val="none"/>
                <w:lang w:bidi="ar"/>
              </w:rPr>
            </w:pPr>
            <w:r>
              <w:rPr>
                <w:rFonts w:hint="eastAsia" w:ascii="宋体" w:hAnsi="宋体" w:cs="宋体"/>
                <w:b/>
                <w:bCs/>
                <w:color w:val="auto"/>
                <w:kern w:val="0"/>
                <w:sz w:val="21"/>
                <w:szCs w:val="21"/>
                <w:highlight w:val="none"/>
                <w:lang w:bidi="ar"/>
              </w:rPr>
              <w:t>考核扣款标准</w:t>
            </w:r>
          </w:p>
        </w:tc>
      </w:tr>
      <w:tr w14:paraId="3120C13F">
        <w:tblPrEx>
          <w:tblCellMar>
            <w:top w:w="0" w:type="dxa"/>
            <w:left w:w="108" w:type="dxa"/>
            <w:bottom w:w="0" w:type="dxa"/>
            <w:right w:w="108" w:type="dxa"/>
          </w:tblCellMar>
        </w:tblPrEx>
        <w:trPr>
          <w:trHeight w:val="1446" w:hRule="atLeast"/>
        </w:trPr>
        <w:tc>
          <w:tcPr>
            <w:tcW w:w="909" w:type="pct"/>
            <w:tcBorders>
              <w:top w:val="single" w:color="auto" w:sz="4" w:space="0"/>
              <w:left w:val="single" w:color="auto" w:sz="4" w:space="0"/>
              <w:bottom w:val="single" w:color="auto" w:sz="4" w:space="0"/>
              <w:right w:val="single" w:color="auto" w:sz="4" w:space="0"/>
            </w:tcBorders>
            <w:noWrap w:val="0"/>
            <w:vAlign w:val="center"/>
          </w:tcPr>
          <w:p w14:paraId="49F77625">
            <w:pPr>
              <w:keepNext w:val="0"/>
              <w:keepLines w:val="0"/>
              <w:pageBreakBefore w:val="0"/>
              <w:kinsoku/>
              <w:wordWrap/>
              <w:overflowPunct/>
              <w:topLinePunct w:val="0"/>
              <w:autoSpaceDE/>
              <w:autoSpaceDN/>
              <w:bidi w:val="0"/>
              <w:adjustRightInd/>
              <w:snapToGrid w:val="0"/>
              <w:spacing w:line="360" w:lineRule="auto"/>
              <w:jc w:val="center"/>
              <w:rPr>
                <w:rFonts w:ascii="宋体" w:hAnsi="宋体" w:cs="宋体"/>
                <w:b/>
                <w:bCs/>
                <w:color w:val="auto"/>
                <w:sz w:val="21"/>
                <w:szCs w:val="21"/>
                <w:highlight w:val="none"/>
              </w:rPr>
            </w:pPr>
            <w:r>
              <w:rPr>
                <w:rFonts w:hint="eastAsia" w:ascii="宋体" w:hAnsi="宋体" w:cs="宋体"/>
                <w:b/>
                <w:bCs/>
                <w:color w:val="auto"/>
                <w:sz w:val="21"/>
                <w:szCs w:val="21"/>
                <w:highlight w:val="none"/>
              </w:rPr>
              <w:t xml:space="preserve">苏州级考核    </w:t>
            </w:r>
          </w:p>
        </w:tc>
        <w:tc>
          <w:tcPr>
            <w:tcW w:w="2260" w:type="pct"/>
            <w:tcBorders>
              <w:top w:val="single" w:color="auto" w:sz="4" w:space="0"/>
              <w:left w:val="single" w:color="auto" w:sz="4" w:space="0"/>
              <w:bottom w:val="single" w:color="auto" w:sz="4" w:space="0"/>
              <w:right w:val="single" w:color="auto" w:sz="4" w:space="0"/>
            </w:tcBorders>
            <w:noWrap w:val="0"/>
            <w:vAlign w:val="center"/>
          </w:tcPr>
          <w:p w14:paraId="592C7A49">
            <w:pPr>
              <w:keepNext w:val="0"/>
              <w:keepLines w:val="0"/>
              <w:pageBreakBefore w:val="0"/>
              <w:widowControl/>
              <w:kinsoku/>
              <w:wordWrap/>
              <w:overflowPunct/>
              <w:topLinePunct w:val="0"/>
              <w:autoSpaceDE/>
              <w:autoSpaceDN/>
              <w:bidi w:val="0"/>
              <w:adjustRightInd/>
              <w:snapToGrid w:val="0"/>
              <w:spacing w:line="360" w:lineRule="auto"/>
              <w:textAlignment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根据苏州市环卫处考核区镇扣分情况，归属各作业标段总分进行扣款</w:t>
            </w:r>
          </w:p>
        </w:tc>
        <w:tc>
          <w:tcPr>
            <w:tcW w:w="1830" w:type="pct"/>
            <w:tcBorders>
              <w:top w:val="single" w:color="auto" w:sz="4" w:space="0"/>
              <w:left w:val="single" w:color="auto" w:sz="4" w:space="0"/>
              <w:bottom w:val="single" w:color="auto" w:sz="4" w:space="0"/>
              <w:right w:val="single" w:color="auto" w:sz="4" w:space="0"/>
            </w:tcBorders>
            <w:noWrap w:val="0"/>
            <w:vAlign w:val="center"/>
          </w:tcPr>
          <w:p w14:paraId="2803736E">
            <w:pPr>
              <w:keepNext w:val="0"/>
              <w:keepLines w:val="0"/>
              <w:pageBreakBefore w:val="0"/>
              <w:widowControl/>
              <w:kinsoku/>
              <w:wordWrap/>
              <w:overflowPunct/>
              <w:topLinePunct w:val="0"/>
              <w:autoSpaceDE/>
              <w:autoSpaceDN/>
              <w:bidi w:val="0"/>
              <w:adjustRightInd/>
              <w:snapToGrid w:val="0"/>
              <w:spacing w:line="360" w:lineRule="auto"/>
              <w:textAlignment w:val="center"/>
              <w:rPr>
                <w:rFonts w:ascii="宋体" w:hAnsi="宋体" w:cs="宋体"/>
                <w:color w:val="auto"/>
                <w:sz w:val="21"/>
                <w:szCs w:val="21"/>
                <w:highlight w:val="none"/>
              </w:rPr>
            </w:pPr>
            <w:r>
              <w:rPr>
                <w:rFonts w:hint="eastAsia" w:ascii="宋体" w:hAnsi="宋体" w:cs="宋体"/>
                <w:color w:val="auto"/>
                <w:sz w:val="21"/>
                <w:szCs w:val="21"/>
                <w:highlight w:val="none"/>
              </w:rPr>
              <w:t>1-10分，300元/分；</w:t>
            </w:r>
          </w:p>
          <w:p w14:paraId="68F34B9E">
            <w:pPr>
              <w:keepNext w:val="0"/>
              <w:keepLines w:val="0"/>
              <w:pageBreakBefore w:val="0"/>
              <w:widowControl/>
              <w:kinsoku/>
              <w:wordWrap/>
              <w:overflowPunct/>
              <w:topLinePunct w:val="0"/>
              <w:autoSpaceDE/>
              <w:autoSpaceDN/>
              <w:bidi w:val="0"/>
              <w:adjustRightInd/>
              <w:snapToGrid w:val="0"/>
              <w:spacing w:line="360" w:lineRule="auto"/>
              <w:textAlignment w:val="center"/>
              <w:rPr>
                <w:rFonts w:ascii="宋体" w:hAnsi="宋体" w:cs="宋体"/>
                <w:color w:val="auto"/>
                <w:sz w:val="21"/>
                <w:szCs w:val="21"/>
                <w:highlight w:val="none"/>
              </w:rPr>
            </w:pPr>
            <w:r>
              <w:rPr>
                <w:rFonts w:hint="eastAsia" w:ascii="宋体" w:hAnsi="宋体" w:cs="宋体"/>
                <w:color w:val="auto"/>
                <w:sz w:val="21"/>
                <w:szCs w:val="21"/>
                <w:highlight w:val="none"/>
              </w:rPr>
              <w:t>11-20分，500元/分；</w:t>
            </w:r>
          </w:p>
          <w:p w14:paraId="7C91EA17">
            <w:pPr>
              <w:keepNext w:val="0"/>
              <w:keepLines w:val="0"/>
              <w:pageBreakBefore w:val="0"/>
              <w:widowControl/>
              <w:kinsoku/>
              <w:wordWrap/>
              <w:overflowPunct/>
              <w:topLinePunct w:val="0"/>
              <w:autoSpaceDE/>
              <w:autoSpaceDN/>
              <w:bidi w:val="0"/>
              <w:adjustRightInd/>
              <w:snapToGrid w:val="0"/>
              <w:spacing w:line="360" w:lineRule="auto"/>
              <w:textAlignment w:val="center"/>
              <w:rPr>
                <w:rFonts w:ascii="宋体" w:hAnsi="宋体" w:cs="宋体"/>
                <w:color w:val="auto"/>
                <w:sz w:val="21"/>
                <w:szCs w:val="21"/>
                <w:highlight w:val="none"/>
              </w:rPr>
            </w:pPr>
            <w:r>
              <w:rPr>
                <w:rFonts w:hint="eastAsia" w:ascii="宋体" w:hAnsi="宋体" w:cs="宋体"/>
                <w:color w:val="auto"/>
                <w:sz w:val="21"/>
                <w:szCs w:val="21"/>
                <w:highlight w:val="none"/>
              </w:rPr>
              <w:t>21分以上，1000元/分。</w:t>
            </w:r>
          </w:p>
        </w:tc>
      </w:tr>
      <w:tr w14:paraId="459514FB">
        <w:tblPrEx>
          <w:tblCellMar>
            <w:top w:w="0" w:type="dxa"/>
            <w:left w:w="108" w:type="dxa"/>
            <w:bottom w:w="0" w:type="dxa"/>
            <w:right w:w="108" w:type="dxa"/>
          </w:tblCellMar>
        </w:tblPrEx>
        <w:trPr>
          <w:trHeight w:val="1951" w:hRule="atLeast"/>
        </w:trPr>
        <w:tc>
          <w:tcPr>
            <w:tcW w:w="909" w:type="pct"/>
            <w:tcBorders>
              <w:top w:val="single" w:color="auto" w:sz="4" w:space="0"/>
              <w:left w:val="single" w:color="auto" w:sz="4" w:space="0"/>
              <w:bottom w:val="single" w:color="auto" w:sz="4" w:space="0"/>
              <w:right w:val="single" w:color="auto" w:sz="4" w:space="0"/>
            </w:tcBorders>
            <w:noWrap w:val="0"/>
            <w:vAlign w:val="center"/>
          </w:tcPr>
          <w:p w14:paraId="53A7A475">
            <w:pPr>
              <w:keepNext w:val="0"/>
              <w:keepLines w:val="0"/>
              <w:pageBreakBefore w:val="0"/>
              <w:kinsoku/>
              <w:wordWrap/>
              <w:overflowPunct/>
              <w:topLinePunct w:val="0"/>
              <w:autoSpaceDE/>
              <w:autoSpaceDN/>
              <w:bidi w:val="0"/>
              <w:adjustRightInd/>
              <w:snapToGrid w:val="0"/>
              <w:spacing w:line="360" w:lineRule="auto"/>
              <w:jc w:val="center"/>
              <w:rPr>
                <w:rFonts w:ascii="宋体" w:hAnsi="宋体" w:cs="宋体"/>
                <w:b/>
                <w:bCs/>
                <w:color w:val="auto"/>
                <w:sz w:val="21"/>
                <w:szCs w:val="21"/>
                <w:highlight w:val="none"/>
              </w:rPr>
            </w:pPr>
            <w:r>
              <w:rPr>
                <w:rFonts w:hint="eastAsia" w:ascii="宋体" w:hAnsi="宋体" w:cs="宋体"/>
                <w:b/>
                <w:bCs/>
                <w:color w:val="auto"/>
                <w:sz w:val="21"/>
                <w:szCs w:val="21"/>
                <w:highlight w:val="none"/>
              </w:rPr>
              <w:t>昆山级考核</w:t>
            </w:r>
          </w:p>
        </w:tc>
        <w:tc>
          <w:tcPr>
            <w:tcW w:w="2260" w:type="pct"/>
            <w:tcBorders>
              <w:top w:val="single" w:color="auto" w:sz="4" w:space="0"/>
              <w:left w:val="single" w:color="auto" w:sz="4" w:space="0"/>
              <w:bottom w:val="single" w:color="auto" w:sz="4" w:space="0"/>
              <w:right w:val="single" w:color="auto" w:sz="4" w:space="0"/>
            </w:tcBorders>
            <w:noWrap w:val="0"/>
            <w:vAlign w:val="center"/>
          </w:tcPr>
          <w:p w14:paraId="5799379D">
            <w:pPr>
              <w:keepNext w:val="0"/>
              <w:keepLines w:val="0"/>
              <w:pageBreakBefore w:val="0"/>
              <w:widowControl/>
              <w:kinsoku/>
              <w:wordWrap/>
              <w:overflowPunct/>
              <w:topLinePunct w:val="0"/>
              <w:autoSpaceDE/>
              <w:autoSpaceDN/>
              <w:bidi w:val="0"/>
              <w:adjustRightInd/>
              <w:snapToGrid w:val="0"/>
              <w:spacing w:line="360" w:lineRule="auto"/>
              <w:textAlignment w:val="center"/>
              <w:rPr>
                <w:rFonts w:ascii="宋体" w:hAnsi="宋体" w:cs="宋体"/>
                <w:color w:val="auto"/>
                <w:spacing w:val="14"/>
                <w:sz w:val="21"/>
                <w:szCs w:val="21"/>
                <w:highlight w:val="none"/>
              </w:rPr>
            </w:pPr>
            <w:r>
              <w:rPr>
                <w:rFonts w:hint="eastAsia" w:ascii="宋体" w:hAnsi="宋体" w:cs="宋体"/>
                <w:color w:val="auto"/>
                <w:kern w:val="0"/>
                <w:sz w:val="21"/>
                <w:szCs w:val="21"/>
                <w:highlight w:val="none"/>
                <w:lang w:bidi="ar"/>
              </w:rPr>
              <w:t>根据昆山市环卫处考核区镇扣分情况，归属各作业标段总分进行扣款</w:t>
            </w:r>
          </w:p>
        </w:tc>
        <w:tc>
          <w:tcPr>
            <w:tcW w:w="1830" w:type="pct"/>
            <w:tcBorders>
              <w:top w:val="single" w:color="auto" w:sz="4" w:space="0"/>
              <w:left w:val="single" w:color="auto" w:sz="4" w:space="0"/>
              <w:bottom w:val="single" w:color="auto" w:sz="4" w:space="0"/>
              <w:right w:val="single" w:color="auto" w:sz="4" w:space="0"/>
            </w:tcBorders>
            <w:noWrap w:val="0"/>
            <w:vAlign w:val="center"/>
          </w:tcPr>
          <w:p w14:paraId="671DEA8B">
            <w:pPr>
              <w:keepNext w:val="0"/>
              <w:keepLines w:val="0"/>
              <w:pageBreakBefore w:val="0"/>
              <w:widowControl/>
              <w:kinsoku/>
              <w:wordWrap/>
              <w:overflowPunct/>
              <w:topLinePunct w:val="0"/>
              <w:autoSpaceDE/>
              <w:autoSpaceDN/>
              <w:bidi w:val="0"/>
              <w:adjustRightInd/>
              <w:snapToGrid w:val="0"/>
              <w:spacing w:line="360" w:lineRule="auto"/>
              <w:textAlignment w:val="center"/>
              <w:rPr>
                <w:rFonts w:ascii="宋体" w:hAnsi="宋体" w:cs="宋体"/>
                <w:color w:val="auto"/>
                <w:sz w:val="21"/>
                <w:szCs w:val="21"/>
                <w:highlight w:val="none"/>
              </w:rPr>
            </w:pPr>
            <w:r>
              <w:rPr>
                <w:rFonts w:hint="eastAsia" w:ascii="宋体" w:hAnsi="宋体" w:cs="宋体"/>
                <w:color w:val="auto"/>
                <w:sz w:val="21"/>
                <w:szCs w:val="21"/>
                <w:highlight w:val="none"/>
              </w:rPr>
              <w:t>1-30分，100元/分；</w:t>
            </w:r>
          </w:p>
          <w:p w14:paraId="27B579B8">
            <w:pPr>
              <w:keepNext w:val="0"/>
              <w:keepLines w:val="0"/>
              <w:pageBreakBefore w:val="0"/>
              <w:widowControl/>
              <w:kinsoku/>
              <w:wordWrap/>
              <w:overflowPunct/>
              <w:topLinePunct w:val="0"/>
              <w:autoSpaceDE/>
              <w:autoSpaceDN/>
              <w:bidi w:val="0"/>
              <w:adjustRightInd/>
              <w:snapToGrid w:val="0"/>
              <w:spacing w:line="360" w:lineRule="auto"/>
              <w:textAlignment w:val="center"/>
              <w:rPr>
                <w:rFonts w:ascii="宋体" w:hAnsi="宋体" w:cs="宋体"/>
                <w:color w:val="auto"/>
                <w:sz w:val="21"/>
                <w:szCs w:val="21"/>
                <w:highlight w:val="none"/>
              </w:rPr>
            </w:pPr>
            <w:r>
              <w:rPr>
                <w:rFonts w:hint="eastAsia" w:ascii="宋体" w:hAnsi="宋体" w:cs="宋体"/>
                <w:color w:val="auto"/>
                <w:sz w:val="21"/>
                <w:szCs w:val="21"/>
                <w:highlight w:val="none"/>
              </w:rPr>
              <w:t>31-50分，200元/分；</w:t>
            </w:r>
          </w:p>
          <w:p w14:paraId="2EDBBAA0">
            <w:pPr>
              <w:keepNext w:val="0"/>
              <w:keepLines w:val="0"/>
              <w:pageBreakBefore w:val="0"/>
              <w:widowControl/>
              <w:kinsoku/>
              <w:wordWrap/>
              <w:overflowPunct/>
              <w:topLinePunct w:val="0"/>
              <w:autoSpaceDE/>
              <w:autoSpaceDN/>
              <w:bidi w:val="0"/>
              <w:adjustRightInd/>
              <w:snapToGrid w:val="0"/>
              <w:spacing w:line="360" w:lineRule="auto"/>
              <w:textAlignment w:val="center"/>
              <w:rPr>
                <w:rFonts w:ascii="宋体" w:hAnsi="宋体" w:cs="宋体"/>
                <w:color w:val="auto"/>
                <w:spacing w:val="26"/>
                <w:sz w:val="21"/>
                <w:szCs w:val="21"/>
                <w:highlight w:val="none"/>
              </w:rPr>
            </w:pPr>
            <w:r>
              <w:rPr>
                <w:rFonts w:hint="eastAsia" w:ascii="宋体" w:hAnsi="宋体" w:cs="宋体"/>
                <w:color w:val="auto"/>
                <w:sz w:val="21"/>
                <w:szCs w:val="21"/>
                <w:highlight w:val="none"/>
              </w:rPr>
              <w:t>51分以上，500元/分。</w:t>
            </w:r>
          </w:p>
        </w:tc>
      </w:tr>
      <w:tr w14:paraId="714D1E15">
        <w:tblPrEx>
          <w:tblCellMar>
            <w:top w:w="0" w:type="dxa"/>
            <w:left w:w="108" w:type="dxa"/>
            <w:bottom w:w="0" w:type="dxa"/>
            <w:right w:w="108" w:type="dxa"/>
          </w:tblCellMar>
        </w:tblPrEx>
        <w:trPr>
          <w:trHeight w:val="1291" w:hRule="atLeast"/>
        </w:trPr>
        <w:tc>
          <w:tcPr>
            <w:tcW w:w="909" w:type="pct"/>
            <w:tcBorders>
              <w:top w:val="single" w:color="auto" w:sz="4" w:space="0"/>
              <w:left w:val="single" w:color="auto" w:sz="4" w:space="0"/>
              <w:bottom w:val="single" w:color="auto" w:sz="4" w:space="0"/>
              <w:right w:val="single" w:color="auto" w:sz="4" w:space="0"/>
            </w:tcBorders>
            <w:noWrap w:val="0"/>
            <w:vAlign w:val="center"/>
          </w:tcPr>
          <w:p w14:paraId="3ECD386B">
            <w:pPr>
              <w:keepNext w:val="0"/>
              <w:keepLines w:val="0"/>
              <w:pageBreakBefore w:val="0"/>
              <w:kinsoku/>
              <w:wordWrap/>
              <w:overflowPunct/>
              <w:topLinePunct w:val="0"/>
              <w:autoSpaceDE/>
              <w:autoSpaceDN/>
              <w:bidi w:val="0"/>
              <w:adjustRightInd/>
              <w:snapToGrid w:val="0"/>
              <w:spacing w:line="360" w:lineRule="auto"/>
              <w:jc w:val="center"/>
              <w:rPr>
                <w:rFonts w:ascii="宋体" w:hAnsi="宋体" w:cs="宋体"/>
                <w:b/>
                <w:bCs/>
                <w:color w:val="auto"/>
                <w:sz w:val="21"/>
                <w:szCs w:val="21"/>
                <w:highlight w:val="none"/>
              </w:rPr>
            </w:pPr>
            <w:r>
              <w:rPr>
                <w:rFonts w:hint="eastAsia" w:ascii="宋体" w:hAnsi="宋体" w:cs="宋体"/>
                <w:b/>
                <w:bCs/>
                <w:color w:val="auto"/>
                <w:sz w:val="21"/>
                <w:szCs w:val="21"/>
                <w:highlight w:val="none"/>
              </w:rPr>
              <w:t>本级考核</w:t>
            </w:r>
          </w:p>
        </w:tc>
        <w:tc>
          <w:tcPr>
            <w:tcW w:w="2260" w:type="pct"/>
            <w:tcBorders>
              <w:top w:val="single" w:color="auto" w:sz="4" w:space="0"/>
              <w:left w:val="single" w:color="auto" w:sz="4" w:space="0"/>
              <w:bottom w:val="single" w:color="auto" w:sz="4" w:space="0"/>
              <w:right w:val="single" w:color="auto" w:sz="4" w:space="0"/>
            </w:tcBorders>
            <w:noWrap w:val="0"/>
            <w:vAlign w:val="center"/>
          </w:tcPr>
          <w:p w14:paraId="072E10CD">
            <w:pPr>
              <w:keepNext w:val="0"/>
              <w:keepLines w:val="0"/>
              <w:pageBreakBefore w:val="0"/>
              <w:widowControl/>
              <w:kinsoku/>
              <w:wordWrap/>
              <w:overflowPunct/>
              <w:topLinePunct w:val="0"/>
              <w:autoSpaceDE/>
              <w:autoSpaceDN/>
              <w:bidi w:val="0"/>
              <w:adjustRightInd/>
              <w:snapToGrid w:val="0"/>
              <w:spacing w:line="360" w:lineRule="auto"/>
              <w:textAlignment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每月不定期开展督查，对督查情况进行扣分</w:t>
            </w:r>
          </w:p>
        </w:tc>
        <w:tc>
          <w:tcPr>
            <w:tcW w:w="1830" w:type="pct"/>
            <w:tcBorders>
              <w:top w:val="single" w:color="auto" w:sz="4" w:space="0"/>
              <w:left w:val="single" w:color="auto" w:sz="4" w:space="0"/>
              <w:bottom w:val="single" w:color="auto" w:sz="4" w:space="0"/>
              <w:right w:val="single" w:color="auto" w:sz="4" w:space="0"/>
            </w:tcBorders>
            <w:noWrap w:val="0"/>
            <w:vAlign w:val="center"/>
          </w:tcPr>
          <w:p w14:paraId="4B21D149">
            <w:pPr>
              <w:keepNext w:val="0"/>
              <w:keepLines w:val="0"/>
              <w:pageBreakBefore w:val="0"/>
              <w:widowControl/>
              <w:kinsoku/>
              <w:wordWrap/>
              <w:overflowPunct/>
              <w:topLinePunct w:val="0"/>
              <w:autoSpaceDE/>
              <w:autoSpaceDN/>
              <w:bidi w:val="0"/>
              <w:adjustRightInd/>
              <w:snapToGrid w:val="0"/>
              <w:spacing w:line="360" w:lineRule="auto"/>
              <w:textAlignment w:val="center"/>
              <w:rPr>
                <w:rFonts w:ascii="宋体" w:hAnsi="宋体" w:cs="宋体"/>
                <w:color w:val="auto"/>
                <w:sz w:val="21"/>
                <w:szCs w:val="21"/>
                <w:highlight w:val="none"/>
              </w:rPr>
            </w:pPr>
            <w:r>
              <w:rPr>
                <w:rFonts w:hint="eastAsia" w:ascii="宋体" w:hAnsi="宋体" w:cs="宋体"/>
                <w:color w:val="auto"/>
                <w:sz w:val="21"/>
                <w:szCs w:val="21"/>
                <w:highlight w:val="none"/>
              </w:rPr>
              <w:t>100元/分</w:t>
            </w:r>
          </w:p>
        </w:tc>
      </w:tr>
      <w:tr w14:paraId="080319CE">
        <w:tblPrEx>
          <w:tblCellMar>
            <w:top w:w="0" w:type="dxa"/>
            <w:left w:w="108" w:type="dxa"/>
            <w:bottom w:w="0" w:type="dxa"/>
            <w:right w:w="108" w:type="dxa"/>
          </w:tblCellMar>
        </w:tblPrEx>
        <w:trPr>
          <w:trHeight w:val="1291" w:hRule="atLeast"/>
        </w:trPr>
        <w:tc>
          <w:tcPr>
            <w:tcW w:w="909" w:type="pct"/>
            <w:tcBorders>
              <w:top w:val="single" w:color="auto" w:sz="4" w:space="0"/>
              <w:left w:val="single" w:color="auto" w:sz="4" w:space="0"/>
              <w:bottom w:val="single" w:color="auto" w:sz="4" w:space="0"/>
              <w:right w:val="single" w:color="auto" w:sz="4" w:space="0"/>
            </w:tcBorders>
            <w:noWrap w:val="0"/>
            <w:vAlign w:val="center"/>
          </w:tcPr>
          <w:p w14:paraId="0ED758AA">
            <w:pPr>
              <w:keepNext w:val="0"/>
              <w:keepLines w:val="0"/>
              <w:pageBreakBefore w:val="0"/>
              <w:kinsoku/>
              <w:wordWrap/>
              <w:overflowPunct/>
              <w:topLinePunct w:val="0"/>
              <w:autoSpaceDE/>
              <w:autoSpaceDN/>
              <w:bidi w:val="0"/>
              <w:adjustRightInd/>
              <w:snapToGrid w:val="0"/>
              <w:spacing w:line="360" w:lineRule="auto"/>
              <w:jc w:val="center"/>
              <w:rPr>
                <w:rFonts w:ascii="宋体" w:hAnsi="宋体" w:cs="宋体"/>
                <w:b/>
                <w:bCs/>
                <w:color w:val="auto"/>
                <w:sz w:val="21"/>
                <w:szCs w:val="21"/>
                <w:highlight w:val="none"/>
              </w:rPr>
            </w:pPr>
            <w:r>
              <w:rPr>
                <w:rFonts w:hint="eastAsia" w:ascii="宋体" w:hAnsi="宋体" w:cs="宋体"/>
                <w:b/>
                <w:bCs/>
                <w:color w:val="auto"/>
                <w:sz w:val="21"/>
                <w:szCs w:val="21"/>
                <w:highlight w:val="none"/>
              </w:rPr>
              <w:t>社会监督考核</w:t>
            </w:r>
          </w:p>
        </w:tc>
        <w:tc>
          <w:tcPr>
            <w:tcW w:w="2260" w:type="pct"/>
            <w:tcBorders>
              <w:top w:val="single" w:color="auto" w:sz="4" w:space="0"/>
              <w:left w:val="single" w:color="auto" w:sz="4" w:space="0"/>
              <w:bottom w:val="single" w:color="auto" w:sz="4" w:space="0"/>
              <w:right w:val="single" w:color="auto" w:sz="4" w:space="0"/>
            </w:tcBorders>
            <w:noWrap w:val="0"/>
            <w:vAlign w:val="center"/>
          </w:tcPr>
          <w:p w14:paraId="3DEF5F10">
            <w:pPr>
              <w:keepNext w:val="0"/>
              <w:keepLines w:val="0"/>
              <w:pageBreakBefore w:val="0"/>
              <w:widowControl/>
              <w:kinsoku/>
              <w:wordWrap/>
              <w:overflowPunct/>
              <w:topLinePunct w:val="0"/>
              <w:autoSpaceDE/>
              <w:autoSpaceDN/>
              <w:bidi w:val="0"/>
              <w:adjustRightInd/>
              <w:snapToGrid w:val="0"/>
              <w:spacing w:line="360" w:lineRule="auto"/>
              <w:textAlignment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根据来电、来信、来访、便民服务平台进行考核。</w:t>
            </w:r>
          </w:p>
          <w:p w14:paraId="7E7D79FE">
            <w:pPr>
              <w:keepNext w:val="0"/>
              <w:keepLines w:val="0"/>
              <w:pageBreakBefore w:val="0"/>
              <w:widowControl/>
              <w:kinsoku/>
              <w:wordWrap/>
              <w:overflowPunct/>
              <w:topLinePunct w:val="0"/>
              <w:autoSpaceDE/>
              <w:autoSpaceDN/>
              <w:bidi w:val="0"/>
              <w:adjustRightInd/>
              <w:snapToGrid w:val="0"/>
              <w:spacing w:line="360" w:lineRule="auto"/>
              <w:textAlignment w:val="center"/>
              <w:rPr>
                <w:rFonts w:ascii="宋体" w:hAnsi="宋体" w:cs="宋体"/>
                <w:color w:val="auto"/>
                <w:kern w:val="0"/>
                <w:sz w:val="21"/>
                <w:szCs w:val="21"/>
                <w:highlight w:val="none"/>
                <w:lang w:bidi="ar"/>
              </w:rPr>
            </w:pPr>
          </w:p>
        </w:tc>
        <w:tc>
          <w:tcPr>
            <w:tcW w:w="1830" w:type="pct"/>
            <w:tcBorders>
              <w:top w:val="single" w:color="auto" w:sz="4" w:space="0"/>
              <w:left w:val="single" w:color="auto" w:sz="4" w:space="0"/>
              <w:bottom w:val="single" w:color="auto" w:sz="4" w:space="0"/>
              <w:right w:val="single" w:color="auto" w:sz="4" w:space="0"/>
            </w:tcBorders>
            <w:noWrap w:val="0"/>
            <w:vAlign w:val="center"/>
          </w:tcPr>
          <w:p w14:paraId="67550243">
            <w:pPr>
              <w:keepNext w:val="0"/>
              <w:keepLines w:val="0"/>
              <w:pageBreakBefore w:val="0"/>
              <w:widowControl/>
              <w:kinsoku/>
              <w:wordWrap/>
              <w:overflowPunct/>
              <w:topLinePunct w:val="0"/>
              <w:autoSpaceDE/>
              <w:autoSpaceDN/>
              <w:bidi w:val="0"/>
              <w:adjustRightInd/>
              <w:snapToGrid w:val="0"/>
              <w:spacing w:line="360" w:lineRule="auto"/>
              <w:textAlignment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根据反映情况核实后列入考核。</w:t>
            </w:r>
          </w:p>
          <w:p w14:paraId="65672617">
            <w:pPr>
              <w:keepNext w:val="0"/>
              <w:keepLines w:val="0"/>
              <w:pageBreakBefore w:val="0"/>
              <w:widowControl/>
              <w:kinsoku/>
              <w:wordWrap/>
              <w:overflowPunct/>
              <w:topLinePunct w:val="0"/>
              <w:autoSpaceDE/>
              <w:autoSpaceDN/>
              <w:bidi w:val="0"/>
              <w:adjustRightInd/>
              <w:snapToGrid w:val="0"/>
              <w:spacing w:line="360" w:lineRule="auto"/>
              <w:textAlignment w:val="center"/>
              <w:rPr>
                <w:rFonts w:ascii="宋体" w:hAnsi="宋体" w:cs="宋体"/>
                <w:color w:val="auto"/>
                <w:sz w:val="21"/>
                <w:szCs w:val="21"/>
                <w:highlight w:val="none"/>
              </w:rPr>
            </w:pPr>
          </w:p>
        </w:tc>
      </w:tr>
    </w:tbl>
    <w:p w14:paraId="21AD6D27">
      <w:pPr>
        <w:rPr>
          <w:color w:val="auto"/>
          <w:highlight w:val="none"/>
        </w:rPr>
      </w:pPr>
    </w:p>
    <w:p w14:paraId="26E6F09C">
      <w:r>
        <w:br w:type="page"/>
      </w:r>
    </w:p>
    <w:p w14:paraId="154A7093">
      <w:pPr>
        <w:keepNext w:val="0"/>
        <w:keepLines w:val="0"/>
        <w:pageBreakBefore w:val="0"/>
        <w:widowControl w:val="0"/>
        <w:kinsoku/>
        <w:wordWrap/>
        <w:overflowPunct/>
        <w:topLinePunct w:val="0"/>
        <w:autoSpaceDE/>
        <w:autoSpaceDN/>
        <w:bidi w:val="0"/>
        <w:adjustRightInd/>
        <w:snapToGrid w:val="0"/>
        <w:spacing w:line="360" w:lineRule="auto"/>
        <w:ind w:firstLine="484" w:firstLineChars="201"/>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陆家镇河道长效管理考核细则</w:t>
      </w:r>
    </w:p>
    <w:p w14:paraId="4E532735">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宋体" w:hAnsi="宋体" w:eastAsia="宋体" w:cs="宋体"/>
          <w:b/>
          <w:bCs/>
          <w:sz w:val="24"/>
          <w:szCs w:val="24"/>
        </w:rPr>
      </w:pPr>
    </w:p>
    <w:p w14:paraId="25A3EC40">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rPr>
        <w:t xml:space="preserve">1. </w:t>
      </w:r>
      <w:r>
        <w:rPr>
          <w:rFonts w:hint="eastAsia" w:ascii="宋体" w:hAnsi="宋体" w:eastAsia="宋体" w:cs="宋体"/>
          <w:b/>
          <w:bCs/>
          <w:sz w:val="24"/>
          <w:szCs w:val="24"/>
          <w:lang w:val="en-US" w:eastAsia="zh-CN"/>
        </w:rPr>
        <w:t>服务费结算方式</w:t>
      </w:r>
    </w:p>
    <w:p w14:paraId="355C4CB1">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rPr>
        <w:t>1.1</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月服务经费支付与考核单位考核成绩挂钩，每月考核一次。按照实际得分实行梯度处罚，分值为100分，全额拨付当月承包经费：分值在90分到99分之间(含90分)，每扣1分扣合同金额0.1%:分值在80分到89分之间(含80分)，每扣1分扣合同金额0.5%:分值在70分到80分之间（含70分），每扣1分扣合同金额2%:分值在70分以下的，扣除当月承包经费的50%</w:t>
      </w:r>
      <w:r>
        <w:rPr>
          <w:rFonts w:hint="eastAsia" w:ascii="宋体" w:hAnsi="宋体" w:eastAsia="宋体" w:cs="宋体"/>
          <w:sz w:val="24"/>
          <w:szCs w:val="24"/>
          <w:lang w:eastAsia="zh-CN"/>
        </w:rPr>
        <w:t>。</w:t>
      </w:r>
      <w:r>
        <w:rPr>
          <w:rFonts w:hint="eastAsia" w:ascii="宋体" w:hAnsi="宋体" w:eastAsia="宋体" w:cs="宋体"/>
          <w:sz w:val="24"/>
          <w:szCs w:val="24"/>
        </w:rPr>
        <w:t>情况特别严重的，可终止合同。</w:t>
      </w:r>
    </w:p>
    <w:p w14:paraId="5831975B">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 因承包单位管理不善，造成保洁范围内的设施、设备、景观等损坏的，由承包单位负责赔偿。</w:t>
      </w:r>
    </w:p>
    <w:p w14:paraId="304C8E87">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 若承包单位在保洁服务管理期间，违反下列规定将被解除保洁服务合同：</w:t>
      </w:r>
    </w:p>
    <w:p w14:paraId="4F0CA15A">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rPr>
        <w:t>(1)本方案的有关规定。</w:t>
      </w:r>
    </w:p>
    <w:p w14:paraId="094642A5">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rPr>
        <w:t>(2)出现重大问题。</w:t>
      </w:r>
    </w:p>
    <w:p w14:paraId="5A171FE2">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 退出机制。连续两次月考核低于</w:t>
      </w:r>
      <w:r>
        <w:rPr>
          <w:rFonts w:hint="eastAsia" w:ascii="宋体" w:hAnsi="宋体" w:eastAsia="宋体" w:cs="宋体"/>
          <w:sz w:val="24"/>
          <w:szCs w:val="24"/>
          <w:lang w:val="en-US" w:eastAsia="zh-CN"/>
        </w:rPr>
        <w:t>70</w:t>
      </w:r>
      <w:r>
        <w:rPr>
          <w:rFonts w:hint="eastAsia" w:ascii="宋体" w:hAnsi="宋体" w:eastAsia="宋体" w:cs="宋体"/>
          <w:sz w:val="24"/>
          <w:szCs w:val="24"/>
        </w:rPr>
        <w:t>分、媒体连续二次曝光，拖欠保洁员工资、发生重大安全作业事故等违规现象之一的承包者，中止承包合同。承包单位响应招标文件要求，予以退出，并列入陆家镇河道保洁服务承包单位黑名单。</w:t>
      </w:r>
    </w:p>
    <w:p w14:paraId="4CD3B412">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5</w:t>
      </w:r>
      <w:r>
        <w:rPr>
          <w:rFonts w:hint="eastAsia" w:ascii="宋体" w:hAnsi="宋体" w:eastAsia="宋体" w:cs="宋体"/>
          <w:sz w:val="24"/>
          <w:szCs w:val="24"/>
        </w:rPr>
        <w:t>.安全事故：</w:t>
      </w:r>
    </w:p>
    <w:p w14:paraId="797DC804">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宋体" w:hAnsi="宋体" w:eastAsia="宋体" w:cs="宋体"/>
          <w:sz w:val="24"/>
          <w:szCs w:val="24"/>
          <w:lang w:eastAsia="zh-CN"/>
        </w:rPr>
      </w:pPr>
      <w:r>
        <w:rPr>
          <w:rFonts w:hint="eastAsia" w:ascii="宋体" w:hAnsi="宋体" w:eastAsia="宋体" w:cs="宋体"/>
          <w:sz w:val="24"/>
          <w:szCs w:val="24"/>
        </w:rPr>
        <w:t>①发生一般安全作业事故，仅人员轻伤的，每发生一次在考核结果基础上再扣除当月作业经费的 5%</w:t>
      </w:r>
      <w:r>
        <w:rPr>
          <w:rFonts w:hint="eastAsia" w:ascii="宋体" w:hAnsi="宋体" w:eastAsia="宋体" w:cs="宋体"/>
          <w:sz w:val="24"/>
          <w:szCs w:val="24"/>
          <w:lang w:eastAsia="zh-CN"/>
        </w:rPr>
        <w:t>；</w:t>
      </w:r>
    </w:p>
    <w:p w14:paraId="48E33133">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rPr>
        <w:t>②发生重大安全作业事故，出现人员重伤或死亡的，每发生一次在考核结果基础上再扣除当月作业经费的20%，且甲方有权终止合同。</w:t>
      </w:r>
    </w:p>
    <w:p w14:paraId="32412888">
      <w:pPr>
        <w:keepNext w:val="0"/>
        <w:keepLines w:val="0"/>
        <w:pageBreakBefore w:val="0"/>
        <w:widowControl w:val="0"/>
        <w:numPr>
          <w:ilvl w:val="0"/>
          <w:numId w:val="1"/>
        </w:numPr>
        <w:kinsoku/>
        <w:wordWrap/>
        <w:overflowPunct/>
        <w:topLinePunct w:val="0"/>
        <w:autoSpaceDE/>
        <w:autoSpaceDN/>
        <w:bidi w:val="0"/>
        <w:adjustRightInd/>
        <w:snapToGrid w:val="0"/>
        <w:spacing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rPr>
        <w:t>人员缺席：人员配置不符合采购文件最低人员配置数量要求的，每发现一次，扣5000元/人。</w:t>
      </w:r>
    </w:p>
    <w:p w14:paraId="45B7762A">
      <w:pPr>
        <w:keepNext w:val="0"/>
        <w:keepLines w:val="0"/>
        <w:pageBreakBefore w:val="0"/>
        <w:widowControl w:val="0"/>
        <w:numPr>
          <w:ilvl w:val="0"/>
          <w:numId w:val="1"/>
        </w:numPr>
        <w:kinsoku/>
        <w:wordWrap/>
        <w:overflowPunct/>
        <w:topLinePunct w:val="0"/>
        <w:autoSpaceDE/>
        <w:autoSpaceDN/>
        <w:bidi w:val="0"/>
        <w:adjustRightInd/>
        <w:snapToGrid w:val="0"/>
        <w:spacing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rPr>
        <w:t>防汛、防台风应急响应生效期间，河道保洁项目负责人（项目经理</w:t>
      </w:r>
      <w:r>
        <w:rPr>
          <w:rFonts w:hint="eastAsia" w:ascii="宋体" w:hAnsi="宋体" w:eastAsia="宋体" w:cs="宋体"/>
          <w:sz w:val="24"/>
          <w:szCs w:val="24"/>
          <w:lang w:val="en-US" w:eastAsia="zh-CN"/>
        </w:rPr>
        <w:t>或</w:t>
      </w:r>
      <w:r>
        <w:rPr>
          <w:rFonts w:hint="eastAsia" w:ascii="宋体" w:hAnsi="宋体" w:eastAsia="宋体" w:cs="宋体"/>
          <w:sz w:val="24"/>
          <w:szCs w:val="24"/>
        </w:rPr>
        <w:t>现场负责人）必须到昆山市水事综合管理中心陆家管理站在岗值班值守，落实应急值班职责</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做好河道垃圾水生植物等清理工作，确保河道行洪畅通。</w:t>
      </w:r>
    </w:p>
    <w:p w14:paraId="3C7ED679">
      <w:pPr>
        <w:pStyle w:val="6"/>
        <w:ind w:left="0" w:leftChars="0" w:firstLine="0" w:firstLineChars="0"/>
        <w:rPr>
          <w:rFonts w:hint="eastAsia" w:ascii="宋体" w:hAnsi="宋体" w:eastAsia="宋体" w:cs="Times New Roman"/>
          <w:b/>
          <w:bCs/>
          <w:color w:val="auto"/>
          <w:kern w:val="2"/>
          <w:sz w:val="21"/>
          <w:szCs w:val="21"/>
          <w:highlight w:val="none"/>
          <w:lang w:val="en-US" w:eastAsia="zh-CN" w:bidi="ar-SA"/>
        </w:rPr>
      </w:pPr>
      <w:r>
        <w:rPr>
          <w:rFonts w:hint="eastAsia" w:ascii="宋体" w:hAnsi="宋体" w:eastAsia="宋体" w:cs="宋体"/>
          <w:b/>
          <w:bCs/>
          <w:sz w:val="24"/>
          <w:szCs w:val="24"/>
        </w:rPr>
        <w:br w:type="page"/>
      </w:r>
      <w:r>
        <w:rPr>
          <w:rFonts w:hint="eastAsia" w:ascii="宋体" w:hAnsi="宋体" w:eastAsia="宋体" w:cs="Times New Roman"/>
          <w:b/>
          <w:bCs/>
          <w:color w:val="auto"/>
          <w:kern w:val="2"/>
          <w:sz w:val="21"/>
          <w:szCs w:val="21"/>
          <w:highlight w:val="none"/>
          <w:lang w:val="en-US" w:eastAsia="zh-CN" w:bidi="ar-SA"/>
        </w:rPr>
        <w:t>2.河道保洁服务考核表</w:t>
      </w:r>
    </w:p>
    <w:tbl>
      <w:tblPr>
        <w:tblStyle w:val="7"/>
        <w:tblpPr w:leftFromText="180" w:rightFromText="180" w:vertAnchor="text" w:horzAnchor="page" w:tblpX="1134" w:tblpY="293"/>
        <w:tblOverlap w:val="never"/>
        <w:tblW w:w="10095" w:type="dxa"/>
        <w:tblInd w:w="0" w:type="dxa"/>
        <w:tblLayout w:type="autofit"/>
        <w:tblCellMar>
          <w:top w:w="0" w:type="dxa"/>
          <w:left w:w="108" w:type="dxa"/>
          <w:bottom w:w="0" w:type="dxa"/>
          <w:right w:w="108" w:type="dxa"/>
        </w:tblCellMar>
      </w:tblPr>
      <w:tblGrid>
        <w:gridCol w:w="10510"/>
      </w:tblGrid>
      <w:tr w14:paraId="56B0BB4C">
        <w:tblPrEx>
          <w:tblCellMar>
            <w:top w:w="0" w:type="dxa"/>
            <w:left w:w="108" w:type="dxa"/>
            <w:bottom w:w="0" w:type="dxa"/>
            <w:right w:w="108" w:type="dxa"/>
          </w:tblCellMar>
        </w:tblPrEx>
        <w:trPr>
          <w:trHeight w:val="11482" w:hRule="atLeast"/>
        </w:trPr>
        <w:tc>
          <w:tcPr>
            <w:tcW w:w="10095" w:type="dxa"/>
            <w:tcBorders>
              <w:top w:val="nil"/>
              <w:left w:val="nil"/>
              <w:bottom w:val="nil"/>
              <w:right w:val="nil"/>
            </w:tcBorders>
            <w:noWrap w:val="0"/>
            <w:vAlign w:val="center"/>
          </w:tcPr>
          <w:p w14:paraId="2BC97C42">
            <w:pPr>
              <w:snapToGrid w:val="0"/>
              <w:jc w:val="center"/>
              <w:rPr>
                <w:rFonts w:hint="eastAsia" w:ascii="宋体" w:hAnsi="宋体" w:eastAsia="宋体" w:cs="宋体"/>
                <w:sz w:val="24"/>
                <w:szCs w:val="24"/>
              </w:rPr>
            </w:pPr>
            <w:r>
              <w:rPr>
                <w:rFonts w:hint="eastAsia" w:ascii="宋体" w:hAnsi="宋体" w:eastAsia="宋体" w:cs="宋体"/>
                <w:b/>
                <w:bCs/>
                <w:sz w:val="24"/>
                <w:szCs w:val="24"/>
                <w:lang w:val="en-US" w:eastAsia="zh-CN"/>
              </w:rPr>
              <w:t>河道保洁服务</w:t>
            </w:r>
            <w:r>
              <w:rPr>
                <w:rFonts w:hint="eastAsia" w:ascii="宋体" w:hAnsi="宋体" w:eastAsia="宋体" w:cs="宋体"/>
                <w:b/>
                <w:bCs/>
                <w:sz w:val="24"/>
                <w:szCs w:val="24"/>
              </w:rPr>
              <w:t>考核表</w:t>
            </w:r>
          </w:p>
          <w:p w14:paraId="5BB99FC9">
            <w:pPr>
              <w:snapToGrid w:val="0"/>
              <w:jc w:val="left"/>
              <w:rPr>
                <w:rFonts w:hint="eastAsia" w:ascii="宋体" w:hAnsi="宋体" w:eastAsia="宋体" w:cs="宋体"/>
                <w:sz w:val="24"/>
                <w:szCs w:val="24"/>
                <w:lang w:val="en-US" w:eastAsia="zh-CN"/>
              </w:rPr>
            </w:pPr>
            <w:r>
              <w:rPr>
                <w:rFonts w:hint="eastAsia" w:ascii="宋体" w:hAnsi="宋体" w:eastAsia="宋体" w:cs="宋体"/>
                <w:sz w:val="24"/>
                <w:szCs w:val="24"/>
              </w:rPr>
              <w:t>考核时间：</w:t>
            </w:r>
            <w:r>
              <w:rPr>
                <w:rFonts w:hint="eastAsia" w:ascii="宋体" w:hAnsi="宋体" w:eastAsia="宋体" w:cs="宋体"/>
                <w:sz w:val="24"/>
                <w:szCs w:val="24"/>
                <w:lang w:val="en-US" w:eastAsia="zh-CN"/>
              </w:rPr>
              <w:t xml:space="preserve">    年     月      日</w:t>
            </w:r>
          </w:p>
          <w:tbl>
            <w:tblPr>
              <w:tblStyle w:val="7"/>
              <w:tblW w:w="102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07"/>
              <w:gridCol w:w="1751"/>
              <w:gridCol w:w="4006"/>
              <w:gridCol w:w="955"/>
              <w:gridCol w:w="1410"/>
              <w:gridCol w:w="855"/>
            </w:tblGrid>
            <w:tr w14:paraId="3166F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7" w:type="dxa"/>
                  <w:noWrap w:val="0"/>
                  <w:vAlign w:val="center"/>
                </w:tcPr>
                <w:p w14:paraId="6D926BA1">
                  <w:pPr>
                    <w:snapToGrid w:val="0"/>
                    <w:jc w:val="center"/>
                    <w:rPr>
                      <w:rFonts w:hint="eastAsia" w:ascii="宋体" w:hAnsi="宋体" w:eastAsia="宋体" w:cs="宋体"/>
                      <w:sz w:val="24"/>
                      <w:szCs w:val="24"/>
                    </w:rPr>
                  </w:pPr>
                  <w:r>
                    <w:rPr>
                      <w:rFonts w:hint="eastAsia" w:ascii="宋体" w:hAnsi="宋体" w:eastAsia="宋体" w:cs="宋体"/>
                      <w:sz w:val="24"/>
                      <w:szCs w:val="24"/>
                    </w:rPr>
                    <w:t>考核项目</w:t>
                  </w:r>
                </w:p>
              </w:tc>
              <w:tc>
                <w:tcPr>
                  <w:tcW w:w="1751" w:type="dxa"/>
                  <w:noWrap w:val="0"/>
                  <w:vAlign w:val="center"/>
                </w:tcPr>
                <w:p w14:paraId="2A8AAA9E">
                  <w:pPr>
                    <w:snapToGrid w:val="0"/>
                    <w:jc w:val="center"/>
                    <w:rPr>
                      <w:rFonts w:hint="eastAsia" w:ascii="宋体" w:hAnsi="宋体" w:eastAsia="宋体" w:cs="宋体"/>
                      <w:sz w:val="24"/>
                      <w:szCs w:val="24"/>
                    </w:rPr>
                  </w:pPr>
                  <w:r>
                    <w:rPr>
                      <w:rFonts w:hint="eastAsia" w:ascii="宋体" w:hAnsi="宋体" w:eastAsia="宋体" w:cs="宋体"/>
                      <w:sz w:val="24"/>
                      <w:szCs w:val="24"/>
                    </w:rPr>
                    <w:t>标准要求</w:t>
                  </w:r>
                </w:p>
              </w:tc>
              <w:tc>
                <w:tcPr>
                  <w:tcW w:w="4006" w:type="dxa"/>
                  <w:noWrap w:val="0"/>
                  <w:vAlign w:val="center"/>
                </w:tcPr>
                <w:p w14:paraId="18716492">
                  <w:pPr>
                    <w:snapToGrid w:val="0"/>
                    <w:jc w:val="center"/>
                    <w:rPr>
                      <w:rFonts w:hint="eastAsia" w:ascii="宋体" w:hAnsi="宋体" w:eastAsia="宋体" w:cs="宋体"/>
                      <w:sz w:val="24"/>
                      <w:szCs w:val="24"/>
                    </w:rPr>
                  </w:pPr>
                  <w:r>
                    <w:rPr>
                      <w:rFonts w:hint="eastAsia" w:ascii="宋体" w:hAnsi="宋体" w:eastAsia="宋体" w:cs="宋体"/>
                      <w:sz w:val="24"/>
                      <w:szCs w:val="24"/>
                    </w:rPr>
                    <w:t>扣分细则</w:t>
                  </w:r>
                </w:p>
              </w:tc>
              <w:tc>
                <w:tcPr>
                  <w:tcW w:w="955" w:type="dxa"/>
                  <w:noWrap w:val="0"/>
                  <w:vAlign w:val="center"/>
                </w:tcPr>
                <w:p w14:paraId="6AFD4E24">
                  <w:pPr>
                    <w:snapToGrid w:val="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分值</w:t>
                  </w:r>
                </w:p>
              </w:tc>
              <w:tc>
                <w:tcPr>
                  <w:tcW w:w="1410" w:type="dxa"/>
                  <w:noWrap w:val="0"/>
                  <w:vAlign w:val="center"/>
                </w:tcPr>
                <w:p w14:paraId="77FA15C4">
                  <w:pPr>
                    <w:snapToGrid w:val="0"/>
                    <w:jc w:val="center"/>
                    <w:rPr>
                      <w:rFonts w:hint="eastAsia" w:ascii="宋体" w:hAnsi="宋体" w:eastAsia="宋体" w:cs="宋体"/>
                      <w:sz w:val="24"/>
                      <w:szCs w:val="24"/>
                    </w:rPr>
                  </w:pPr>
                  <w:r>
                    <w:rPr>
                      <w:rFonts w:hint="eastAsia" w:ascii="宋体" w:hAnsi="宋体" w:eastAsia="宋体" w:cs="宋体"/>
                      <w:sz w:val="24"/>
                      <w:szCs w:val="24"/>
                    </w:rPr>
                    <w:t>考核</w:t>
                  </w:r>
                  <w:r>
                    <w:rPr>
                      <w:rFonts w:hint="eastAsia" w:ascii="宋体" w:hAnsi="宋体" w:eastAsia="宋体" w:cs="宋体"/>
                      <w:sz w:val="24"/>
                      <w:szCs w:val="24"/>
                      <w:lang w:val="en-US" w:eastAsia="zh-CN"/>
                    </w:rPr>
                    <w:t>得</w:t>
                  </w:r>
                  <w:r>
                    <w:rPr>
                      <w:rFonts w:hint="eastAsia" w:ascii="宋体" w:hAnsi="宋体" w:eastAsia="宋体" w:cs="宋体"/>
                      <w:sz w:val="24"/>
                      <w:szCs w:val="24"/>
                    </w:rPr>
                    <w:t>分</w:t>
                  </w:r>
                </w:p>
              </w:tc>
              <w:tc>
                <w:tcPr>
                  <w:tcW w:w="855" w:type="dxa"/>
                  <w:noWrap w:val="0"/>
                  <w:vAlign w:val="center"/>
                </w:tcPr>
                <w:p w14:paraId="2FECF0BD">
                  <w:pPr>
                    <w:snapToGrid w:val="0"/>
                    <w:jc w:val="center"/>
                    <w:rPr>
                      <w:rFonts w:hint="eastAsia" w:ascii="宋体" w:hAnsi="宋体" w:eastAsia="宋体" w:cs="宋体"/>
                      <w:sz w:val="24"/>
                      <w:szCs w:val="24"/>
                    </w:rPr>
                  </w:pPr>
                  <w:r>
                    <w:rPr>
                      <w:rFonts w:hint="eastAsia" w:ascii="宋体" w:hAnsi="宋体" w:eastAsia="宋体" w:cs="宋体"/>
                      <w:sz w:val="24"/>
                      <w:szCs w:val="24"/>
                    </w:rPr>
                    <w:t>备注</w:t>
                  </w:r>
                </w:p>
              </w:tc>
            </w:tr>
            <w:tr w14:paraId="37156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7" w:type="dxa"/>
                  <w:noWrap w:val="0"/>
                  <w:vAlign w:val="center"/>
                </w:tcPr>
                <w:p w14:paraId="61209984">
                  <w:pPr>
                    <w:snapToGrid w:val="0"/>
                    <w:jc w:val="center"/>
                    <w:rPr>
                      <w:rFonts w:hint="eastAsia" w:ascii="宋体" w:hAnsi="宋体" w:eastAsia="宋体" w:cs="宋体"/>
                      <w:sz w:val="24"/>
                      <w:szCs w:val="24"/>
                    </w:rPr>
                  </w:pPr>
                  <w:r>
                    <w:rPr>
                      <w:rFonts w:hint="eastAsia" w:ascii="宋体" w:hAnsi="宋体" w:eastAsia="宋体" w:cs="宋体"/>
                      <w:sz w:val="24"/>
                      <w:szCs w:val="24"/>
                    </w:rPr>
                    <w:t>管理水平</w:t>
                  </w:r>
                </w:p>
              </w:tc>
              <w:tc>
                <w:tcPr>
                  <w:tcW w:w="1751" w:type="dxa"/>
                  <w:noWrap w:val="0"/>
                  <w:vAlign w:val="center"/>
                </w:tcPr>
                <w:p w14:paraId="3D9B40E2">
                  <w:pPr>
                    <w:snapToGrid w:val="0"/>
                    <w:jc w:val="center"/>
                    <w:rPr>
                      <w:rFonts w:hint="eastAsia" w:ascii="宋体" w:hAnsi="宋体" w:eastAsia="宋体" w:cs="宋体"/>
                      <w:sz w:val="24"/>
                      <w:szCs w:val="24"/>
                    </w:rPr>
                  </w:pPr>
                  <w:r>
                    <w:rPr>
                      <w:rFonts w:hint="eastAsia" w:ascii="宋体" w:hAnsi="宋体" w:eastAsia="宋体" w:cs="宋体"/>
                      <w:sz w:val="24"/>
                      <w:szCs w:val="24"/>
                    </w:rPr>
                    <w:t>1.保洁员信息更新及时；按时召开会议；及时提供台账和各类数据</w:t>
                  </w:r>
                </w:p>
              </w:tc>
              <w:tc>
                <w:tcPr>
                  <w:tcW w:w="4006" w:type="dxa"/>
                  <w:noWrap w:val="0"/>
                  <w:vAlign w:val="center"/>
                </w:tcPr>
                <w:p w14:paraId="5A3A2500">
                  <w:pPr>
                    <w:snapToGrid w:val="0"/>
                    <w:jc w:val="left"/>
                    <w:rPr>
                      <w:rFonts w:hint="eastAsia" w:ascii="宋体" w:hAnsi="宋体" w:eastAsia="宋体" w:cs="宋体"/>
                      <w:sz w:val="24"/>
                      <w:szCs w:val="24"/>
                    </w:rPr>
                  </w:pPr>
                  <w:r>
                    <w:rPr>
                      <w:rFonts w:hint="eastAsia" w:ascii="宋体" w:hAnsi="宋体" w:eastAsia="宋体" w:cs="宋体"/>
                      <w:sz w:val="24"/>
                      <w:szCs w:val="24"/>
                    </w:rPr>
                    <w:t>保洁员信息、保险及时更新，</w:t>
                  </w:r>
                  <w:r>
                    <w:rPr>
                      <w:rFonts w:hint="eastAsia" w:ascii="宋体" w:hAnsi="宋体" w:eastAsia="宋体" w:cs="宋体"/>
                      <w:sz w:val="24"/>
                      <w:szCs w:val="24"/>
                      <w:lang w:val="en-US" w:eastAsia="zh-CN"/>
                    </w:rPr>
                    <w:t>人员</w:t>
                  </w:r>
                  <w:r>
                    <w:rPr>
                      <w:rFonts w:hint="eastAsia" w:ascii="宋体" w:hAnsi="宋体" w:eastAsia="宋体" w:cs="宋体"/>
                      <w:sz w:val="24"/>
                      <w:szCs w:val="24"/>
                    </w:rPr>
                    <w:t>不到位每</w:t>
                  </w:r>
                  <w:r>
                    <w:rPr>
                      <w:rFonts w:hint="eastAsia" w:ascii="宋体" w:hAnsi="宋体" w:eastAsia="宋体" w:cs="宋体"/>
                      <w:sz w:val="24"/>
                      <w:szCs w:val="24"/>
                      <w:lang w:val="en-US" w:eastAsia="zh-CN"/>
                    </w:rPr>
                    <w:t>人</w:t>
                  </w:r>
                  <w:r>
                    <w:rPr>
                      <w:rFonts w:hint="eastAsia" w:ascii="宋体" w:hAnsi="宋体" w:eastAsia="宋体" w:cs="宋体"/>
                      <w:sz w:val="24"/>
                      <w:szCs w:val="24"/>
                    </w:rPr>
                    <w:t>次扣5分</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应急防汛不到位，每次扣5分</w:t>
                  </w:r>
                  <w:r>
                    <w:rPr>
                      <w:rFonts w:hint="eastAsia" w:ascii="宋体" w:hAnsi="宋体" w:eastAsia="宋体" w:cs="宋体"/>
                      <w:sz w:val="24"/>
                      <w:szCs w:val="24"/>
                    </w:rPr>
                    <w:t>；每月未召开会议的1次扣5分；未及时提供台账的每次扣5分；提供台账有缺失的每项扣2分。</w:t>
                  </w:r>
                </w:p>
              </w:tc>
              <w:tc>
                <w:tcPr>
                  <w:tcW w:w="955" w:type="dxa"/>
                  <w:noWrap w:val="0"/>
                  <w:vAlign w:val="center"/>
                </w:tcPr>
                <w:p w14:paraId="0057262E">
                  <w:pPr>
                    <w:snapToGrid w:val="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w:t>
                  </w:r>
                </w:p>
              </w:tc>
              <w:tc>
                <w:tcPr>
                  <w:tcW w:w="1410" w:type="dxa"/>
                  <w:noWrap w:val="0"/>
                  <w:vAlign w:val="center"/>
                </w:tcPr>
                <w:p w14:paraId="449BE3A0">
                  <w:pPr>
                    <w:snapToGrid w:val="0"/>
                    <w:jc w:val="center"/>
                    <w:rPr>
                      <w:rFonts w:hint="eastAsia" w:ascii="宋体" w:hAnsi="宋体" w:eastAsia="宋体" w:cs="宋体"/>
                      <w:sz w:val="24"/>
                      <w:szCs w:val="24"/>
                      <w:lang w:val="en-US" w:eastAsia="zh-CN"/>
                    </w:rPr>
                  </w:pPr>
                </w:p>
              </w:tc>
              <w:tc>
                <w:tcPr>
                  <w:tcW w:w="855" w:type="dxa"/>
                  <w:noWrap w:val="0"/>
                  <w:vAlign w:val="top"/>
                </w:tcPr>
                <w:p w14:paraId="43FD961D">
                  <w:pPr>
                    <w:snapToGrid w:val="0"/>
                    <w:jc w:val="center"/>
                    <w:rPr>
                      <w:rFonts w:hint="eastAsia" w:ascii="宋体" w:hAnsi="宋体" w:eastAsia="宋体" w:cs="宋体"/>
                      <w:sz w:val="24"/>
                      <w:szCs w:val="24"/>
                    </w:rPr>
                  </w:pPr>
                </w:p>
              </w:tc>
            </w:tr>
            <w:tr w14:paraId="651E6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7" w:type="dxa"/>
                  <w:vMerge w:val="restart"/>
                  <w:noWrap w:val="0"/>
                  <w:vAlign w:val="center"/>
                </w:tcPr>
                <w:p w14:paraId="3585D485">
                  <w:pPr>
                    <w:snapToGrid w:val="0"/>
                    <w:jc w:val="center"/>
                    <w:rPr>
                      <w:rFonts w:hint="eastAsia" w:ascii="宋体" w:hAnsi="宋体" w:eastAsia="宋体" w:cs="宋体"/>
                      <w:sz w:val="24"/>
                      <w:szCs w:val="24"/>
                    </w:rPr>
                  </w:pPr>
                  <w:r>
                    <w:rPr>
                      <w:rFonts w:hint="eastAsia" w:ascii="宋体" w:hAnsi="宋体" w:eastAsia="宋体" w:cs="宋体"/>
                      <w:sz w:val="24"/>
                      <w:szCs w:val="24"/>
                    </w:rPr>
                    <w:t>保洁质量</w:t>
                  </w:r>
                </w:p>
              </w:tc>
              <w:tc>
                <w:tcPr>
                  <w:tcW w:w="1751" w:type="dxa"/>
                  <w:noWrap w:val="0"/>
                  <w:vAlign w:val="center"/>
                </w:tcPr>
                <w:p w14:paraId="7EA5ACF4">
                  <w:pPr>
                    <w:snapToGrid w:val="0"/>
                    <w:jc w:val="center"/>
                    <w:rPr>
                      <w:rFonts w:hint="eastAsia" w:ascii="宋体" w:hAnsi="宋体" w:eastAsia="宋体" w:cs="宋体"/>
                      <w:sz w:val="24"/>
                      <w:szCs w:val="24"/>
                    </w:rPr>
                  </w:pPr>
                  <w:r>
                    <w:rPr>
                      <w:rFonts w:hint="eastAsia" w:ascii="宋体" w:hAnsi="宋体" w:eastAsia="宋体" w:cs="宋体"/>
                      <w:sz w:val="24"/>
                      <w:szCs w:val="24"/>
                    </w:rPr>
                    <w:t>2.水面干净整洁，无漂浮垃圾集聚</w:t>
                  </w:r>
                </w:p>
              </w:tc>
              <w:tc>
                <w:tcPr>
                  <w:tcW w:w="4006" w:type="dxa"/>
                  <w:noWrap w:val="0"/>
                  <w:vAlign w:val="center"/>
                </w:tcPr>
                <w:p w14:paraId="2C85FB33">
                  <w:pPr>
                    <w:snapToGrid w:val="0"/>
                    <w:jc w:val="left"/>
                    <w:rPr>
                      <w:rFonts w:hint="eastAsia" w:ascii="宋体" w:hAnsi="宋体" w:eastAsia="宋体" w:cs="宋体"/>
                      <w:sz w:val="24"/>
                      <w:szCs w:val="24"/>
                    </w:rPr>
                  </w:pPr>
                  <w:r>
                    <w:rPr>
                      <w:rFonts w:hint="eastAsia" w:ascii="宋体" w:hAnsi="宋体" w:eastAsia="宋体" w:cs="宋体"/>
                      <w:sz w:val="24"/>
                      <w:szCs w:val="24"/>
                    </w:rPr>
                    <w:t>存在白色垃圾的每个扣0.5分；白色垃圾集聚的每次扣1-2分；落叶集聚0.5 m²以上每次扣1-2分；昆山河湖系统巡查发现每次扣1分</w:t>
                  </w:r>
                  <w:bookmarkStart w:id="0" w:name="OLE_LINK4"/>
                  <w:r>
                    <w:rPr>
                      <w:rFonts w:hint="eastAsia" w:ascii="宋体" w:hAnsi="宋体" w:eastAsia="宋体" w:cs="宋体"/>
                      <w:sz w:val="24"/>
                      <w:szCs w:val="24"/>
                    </w:rPr>
                    <w:t>，未及时处理的加扣2分</w:t>
                  </w:r>
                  <w:bookmarkEnd w:id="0"/>
                  <w:r>
                    <w:rPr>
                      <w:rFonts w:hint="eastAsia" w:ascii="宋体" w:hAnsi="宋体" w:eastAsia="宋体" w:cs="宋体"/>
                      <w:sz w:val="24"/>
                      <w:szCs w:val="24"/>
                    </w:rPr>
                    <w:t>；民生110投诉核实的每次扣2分</w:t>
                  </w:r>
                  <w:bookmarkStart w:id="1" w:name="OLE_LINK5"/>
                  <w:r>
                    <w:rPr>
                      <w:rFonts w:hint="eastAsia" w:ascii="宋体" w:hAnsi="宋体" w:eastAsia="宋体" w:cs="宋体"/>
                      <w:sz w:val="24"/>
                      <w:szCs w:val="24"/>
                    </w:rPr>
                    <w:t>，未及时处理的加扣2分。</w:t>
                  </w:r>
                  <w:bookmarkEnd w:id="1"/>
                  <w:r>
                    <w:rPr>
                      <w:rFonts w:hint="eastAsia" w:ascii="宋体" w:hAnsi="宋体" w:eastAsia="宋体" w:cs="宋体"/>
                      <w:sz w:val="24"/>
                      <w:szCs w:val="24"/>
                    </w:rPr>
                    <w:t>被上级部门检查发现交办的河道保洁问题每个扣5分。</w:t>
                  </w:r>
                </w:p>
              </w:tc>
              <w:tc>
                <w:tcPr>
                  <w:tcW w:w="955" w:type="dxa"/>
                  <w:vMerge w:val="restart"/>
                  <w:noWrap w:val="0"/>
                  <w:vAlign w:val="center"/>
                </w:tcPr>
                <w:p w14:paraId="55733871">
                  <w:pPr>
                    <w:snapToGrid w:val="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45</w:t>
                  </w:r>
                </w:p>
              </w:tc>
              <w:tc>
                <w:tcPr>
                  <w:tcW w:w="1410" w:type="dxa"/>
                  <w:noWrap w:val="0"/>
                  <w:vAlign w:val="center"/>
                </w:tcPr>
                <w:p w14:paraId="36E31C8D">
                  <w:pPr>
                    <w:snapToGrid w:val="0"/>
                    <w:jc w:val="center"/>
                    <w:rPr>
                      <w:rFonts w:hint="eastAsia" w:ascii="宋体" w:hAnsi="宋体" w:eastAsia="宋体" w:cs="宋体"/>
                      <w:sz w:val="24"/>
                      <w:szCs w:val="24"/>
                      <w:lang w:val="en-US" w:eastAsia="zh-CN"/>
                    </w:rPr>
                  </w:pPr>
                </w:p>
              </w:tc>
              <w:tc>
                <w:tcPr>
                  <w:tcW w:w="855" w:type="dxa"/>
                  <w:noWrap w:val="0"/>
                  <w:vAlign w:val="top"/>
                </w:tcPr>
                <w:p w14:paraId="6CD04E9B">
                  <w:pPr>
                    <w:snapToGrid w:val="0"/>
                    <w:jc w:val="center"/>
                    <w:rPr>
                      <w:rFonts w:hint="eastAsia" w:ascii="宋体" w:hAnsi="宋体" w:eastAsia="宋体" w:cs="宋体"/>
                      <w:sz w:val="24"/>
                      <w:szCs w:val="24"/>
                    </w:rPr>
                  </w:pPr>
                </w:p>
              </w:tc>
            </w:tr>
            <w:tr w14:paraId="40DC4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7" w:type="dxa"/>
                  <w:vMerge w:val="continue"/>
                  <w:noWrap w:val="0"/>
                  <w:vAlign w:val="top"/>
                </w:tcPr>
                <w:p w14:paraId="1D3BB38C">
                  <w:pPr>
                    <w:snapToGrid w:val="0"/>
                    <w:jc w:val="center"/>
                    <w:rPr>
                      <w:rFonts w:hint="eastAsia" w:ascii="宋体" w:hAnsi="宋体" w:eastAsia="宋体" w:cs="宋体"/>
                      <w:sz w:val="24"/>
                      <w:szCs w:val="24"/>
                    </w:rPr>
                  </w:pPr>
                </w:p>
              </w:tc>
              <w:tc>
                <w:tcPr>
                  <w:tcW w:w="1751" w:type="dxa"/>
                  <w:noWrap w:val="0"/>
                  <w:vAlign w:val="center"/>
                </w:tcPr>
                <w:p w14:paraId="5B663351">
                  <w:pPr>
                    <w:snapToGrid w:val="0"/>
                    <w:jc w:val="center"/>
                    <w:rPr>
                      <w:rFonts w:hint="eastAsia" w:ascii="宋体" w:hAnsi="宋体" w:eastAsia="宋体" w:cs="宋体"/>
                      <w:sz w:val="24"/>
                      <w:szCs w:val="24"/>
                    </w:rPr>
                  </w:pPr>
                  <w:r>
                    <w:rPr>
                      <w:rFonts w:hint="eastAsia" w:ascii="宋体" w:hAnsi="宋体" w:eastAsia="宋体" w:cs="宋体"/>
                      <w:sz w:val="24"/>
                      <w:szCs w:val="24"/>
                    </w:rPr>
                    <w:t>3.河坡干净整洁，无杂物垃圾堆放</w:t>
                  </w:r>
                </w:p>
              </w:tc>
              <w:tc>
                <w:tcPr>
                  <w:tcW w:w="4006" w:type="dxa"/>
                  <w:noWrap w:val="0"/>
                  <w:vAlign w:val="center"/>
                </w:tcPr>
                <w:p w14:paraId="31DA8117">
                  <w:pPr>
                    <w:snapToGrid w:val="0"/>
                    <w:jc w:val="left"/>
                    <w:rPr>
                      <w:rFonts w:hint="eastAsia" w:ascii="宋体" w:hAnsi="宋体" w:eastAsia="宋体" w:cs="宋体"/>
                      <w:sz w:val="24"/>
                      <w:szCs w:val="24"/>
                    </w:rPr>
                  </w:pPr>
                  <w:r>
                    <w:rPr>
                      <w:rFonts w:hint="eastAsia" w:ascii="宋体" w:hAnsi="宋体" w:eastAsia="宋体" w:cs="宋体"/>
                      <w:sz w:val="24"/>
                      <w:szCs w:val="24"/>
                    </w:rPr>
                    <w:t>乱堆乱放的每次扣1分，每超过0.5m²加扣1分。未及时清理的每次扣1分。</w:t>
                  </w:r>
                </w:p>
              </w:tc>
              <w:tc>
                <w:tcPr>
                  <w:tcW w:w="955" w:type="dxa"/>
                  <w:vMerge w:val="continue"/>
                  <w:noWrap w:val="0"/>
                  <w:vAlign w:val="center"/>
                </w:tcPr>
                <w:p w14:paraId="53891617">
                  <w:pPr>
                    <w:snapToGrid w:val="0"/>
                    <w:jc w:val="center"/>
                    <w:rPr>
                      <w:rFonts w:hint="eastAsia" w:ascii="宋体" w:hAnsi="宋体" w:eastAsia="宋体" w:cs="宋体"/>
                      <w:sz w:val="24"/>
                      <w:szCs w:val="24"/>
                      <w:lang w:val="en-US" w:eastAsia="zh-CN"/>
                    </w:rPr>
                  </w:pPr>
                </w:p>
              </w:tc>
              <w:tc>
                <w:tcPr>
                  <w:tcW w:w="1410" w:type="dxa"/>
                  <w:noWrap w:val="0"/>
                  <w:vAlign w:val="center"/>
                </w:tcPr>
                <w:p w14:paraId="4A17C520">
                  <w:pPr>
                    <w:snapToGrid w:val="0"/>
                    <w:jc w:val="center"/>
                    <w:rPr>
                      <w:rFonts w:hint="eastAsia" w:ascii="宋体" w:hAnsi="宋体" w:eastAsia="宋体" w:cs="宋体"/>
                      <w:sz w:val="24"/>
                      <w:szCs w:val="24"/>
                      <w:lang w:val="en-US" w:eastAsia="zh-CN"/>
                    </w:rPr>
                  </w:pPr>
                </w:p>
              </w:tc>
              <w:tc>
                <w:tcPr>
                  <w:tcW w:w="855" w:type="dxa"/>
                  <w:noWrap w:val="0"/>
                  <w:vAlign w:val="top"/>
                </w:tcPr>
                <w:p w14:paraId="0946790E">
                  <w:pPr>
                    <w:snapToGrid w:val="0"/>
                    <w:jc w:val="center"/>
                    <w:rPr>
                      <w:rFonts w:hint="eastAsia" w:ascii="宋体" w:hAnsi="宋体" w:eastAsia="宋体" w:cs="宋体"/>
                      <w:sz w:val="24"/>
                      <w:szCs w:val="24"/>
                    </w:rPr>
                  </w:pPr>
                </w:p>
              </w:tc>
            </w:tr>
            <w:tr w14:paraId="322F5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7" w:type="dxa"/>
                  <w:vMerge w:val="continue"/>
                  <w:noWrap w:val="0"/>
                  <w:vAlign w:val="top"/>
                </w:tcPr>
                <w:p w14:paraId="31927A5B">
                  <w:pPr>
                    <w:snapToGrid w:val="0"/>
                    <w:jc w:val="center"/>
                    <w:rPr>
                      <w:rFonts w:hint="eastAsia" w:ascii="宋体" w:hAnsi="宋体" w:eastAsia="宋体" w:cs="宋体"/>
                      <w:sz w:val="24"/>
                      <w:szCs w:val="24"/>
                    </w:rPr>
                  </w:pPr>
                </w:p>
              </w:tc>
              <w:tc>
                <w:tcPr>
                  <w:tcW w:w="1751" w:type="dxa"/>
                  <w:noWrap w:val="0"/>
                  <w:vAlign w:val="center"/>
                </w:tcPr>
                <w:p w14:paraId="67F41EDD">
                  <w:pPr>
                    <w:snapToGrid w:val="0"/>
                    <w:jc w:val="center"/>
                    <w:rPr>
                      <w:rFonts w:hint="eastAsia" w:ascii="宋体" w:hAnsi="宋体" w:eastAsia="宋体" w:cs="宋体"/>
                      <w:sz w:val="24"/>
                      <w:szCs w:val="24"/>
                    </w:rPr>
                  </w:pPr>
                  <w:r>
                    <w:rPr>
                      <w:rFonts w:hint="eastAsia" w:ascii="宋体" w:hAnsi="宋体" w:eastAsia="宋体" w:cs="宋体"/>
                      <w:sz w:val="24"/>
                      <w:szCs w:val="24"/>
                    </w:rPr>
                    <w:t>4.河道管理范围内无乱垦乱种</w:t>
                  </w:r>
                </w:p>
              </w:tc>
              <w:tc>
                <w:tcPr>
                  <w:tcW w:w="4006" w:type="dxa"/>
                  <w:noWrap w:val="0"/>
                  <w:vAlign w:val="center"/>
                </w:tcPr>
                <w:p w14:paraId="693680DE">
                  <w:pPr>
                    <w:snapToGrid w:val="0"/>
                    <w:jc w:val="left"/>
                    <w:rPr>
                      <w:rFonts w:hint="eastAsia" w:ascii="宋体" w:hAnsi="宋体" w:eastAsia="宋体" w:cs="宋体"/>
                      <w:sz w:val="24"/>
                      <w:szCs w:val="24"/>
                    </w:rPr>
                  </w:pPr>
                  <w:r>
                    <w:rPr>
                      <w:rFonts w:hint="eastAsia" w:ascii="宋体" w:hAnsi="宋体" w:eastAsia="宋体" w:cs="宋体"/>
                      <w:sz w:val="24"/>
                      <w:szCs w:val="24"/>
                    </w:rPr>
                    <w:t>河道管理范围内存在乱垦种现象的扣5分；未按时处理的加扣5分。</w:t>
                  </w:r>
                </w:p>
              </w:tc>
              <w:tc>
                <w:tcPr>
                  <w:tcW w:w="955" w:type="dxa"/>
                  <w:vMerge w:val="continue"/>
                  <w:noWrap w:val="0"/>
                  <w:vAlign w:val="center"/>
                </w:tcPr>
                <w:p w14:paraId="36B68DCC">
                  <w:pPr>
                    <w:snapToGrid w:val="0"/>
                    <w:jc w:val="center"/>
                    <w:rPr>
                      <w:rFonts w:hint="eastAsia" w:ascii="宋体" w:hAnsi="宋体" w:eastAsia="宋体" w:cs="宋体"/>
                      <w:sz w:val="24"/>
                      <w:szCs w:val="24"/>
                      <w:lang w:val="en-US" w:eastAsia="zh-CN"/>
                    </w:rPr>
                  </w:pPr>
                </w:p>
              </w:tc>
              <w:tc>
                <w:tcPr>
                  <w:tcW w:w="1410" w:type="dxa"/>
                  <w:noWrap w:val="0"/>
                  <w:vAlign w:val="center"/>
                </w:tcPr>
                <w:p w14:paraId="0A0D71CC">
                  <w:pPr>
                    <w:snapToGrid w:val="0"/>
                    <w:jc w:val="center"/>
                    <w:rPr>
                      <w:rFonts w:hint="eastAsia" w:ascii="宋体" w:hAnsi="宋体" w:eastAsia="宋体" w:cs="宋体"/>
                      <w:sz w:val="24"/>
                      <w:szCs w:val="24"/>
                      <w:lang w:val="en-US" w:eastAsia="zh-CN"/>
                    </w:rPr>
                  </w:pPr>
                </w:p>
              </w:tc>
              <w:tc>
                <w:tcPr>
                  <w:tcW w:w="855" w:type="dxa"/>
                  <w:noWrap w:val="0"/>
                  <w:vAlign w:val="top"/>
                </w:tcPr>
                <w:p w14:paraId="18890FFD">
                  <w:pPr>
                    <w:snapToGrid w:val="0"/>
                    <w:jc w:val="center"/>
                    <w:rPr>
                      <w:rFonts w:hint="eastAsia" w:ascii="宋体" w:hAnsi="宋体" w:eastAsia="宋体" w:cs="宋体"/>
                      <w:sz w:val="24"/>
                      <w:szCs w:val="24"/>
                    </w:rPr>
                  </w:pPr>
                </w:p>
              </w:tc>
            </w:tr>
            <w:tr w14:paraId="5E584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7" w:type="dxa"/>
                  <w:vMerge w:val="continue"/>
                  <w:noWrap w:val="0"/>
                  <w:vAlign w:val="top"/>
                </w:tcPr>
                <w:p w14:paraId="72939765">
                  <w:pPr>
                    <w:snapToGrid w:val="0"/>
                    <w:jc w:val="center"/>
                    <w:rPr>
                      <w:rFonts w:hint="eastAsia" w:ascii="宋体" w:hAnsi="宋体" w:eastAsia="宋体" w:cs="宋体"/>
                      <w:sz w:val="24"/>
                      <w:szCs w:val="24"/>
                    </w:rPr>
                  </w:pPr>
                </w:p>
              </w:tc>
              <w:tc>
                <w:tcPr>
                  <w:tcW w:w="1751" w:type="dxa"/>
                  <w:noWrap w:val="0"/>
                  <w:vAlign w:val="center"/>
                </w:tcPr>
                <w:p w14:paraId="1C2540F4">
                  <w:pPr>
                    <w:snapToGrid w:val="0"/>
                    <w:jc w:val="center"/>
                    <w:rPr>
                      <w:rFonts w:hint="eastAsia" w:ascii="宋体" w:hAnsi="宋体" w:eastAsia="宋体" w:cs="宋体"/>
                      <w:sz w:val="24"/>
                      <w:szCs w:val="24"/>
                    </w:rPr>
                  </w:pPr>
                  <w:r>
                    <w:rPr>
                      <w:rFonts w:hint="eastAsia" w:ascii="宋体" w:hAnsi="宋体" w:eastAsia="宋体" w:cs="宋体"/>
                      <w:sz w:val="24"/>
                      <w:szCs w:val="24"/>
                    </w:rPr>
                    <w:t>5.</w:t>
                  </w:r>
                  <w:r>
                    <w:rPr>
                      <w:rFonts w:hint="eastAsia" w:ascii="宋体" w:hAnsi="宋体" w:eastAsia="宋体" w:cs="宋体"/>
                      <w:sz w:val="24"/>
                      <w:szCs w:val="24"/>
                      <w:lang w:val="en-US" w:eastAsia="zh-CN"/>
                    </w:rPr>
                    <w:t>巡查</w:t>
                  </w:r>
                  <w:r>
                    <w:rPr>
                      <w:rFonts w:hint="eastAsia" w:ascii="宋体" w:hAnsi="宋体" w:eastAsia="宋体" w:cs="宋体"/>
                      <w:sz w:val="24"/>
                      <w:szCs w:val="24"/>
                    </w:rPr>
                    <w:t>到位</w:t>
                  </w:r>
                </w:p>
              </w:tc>
              <w:tc>
                <w:tcPr>
                  <w:tcW w:w="4006" w:type="dxa"/>
                  <w:noWrap w:val="0"/>
                  <w:vAlign w:val="center"/>
                </w:tcPr>
                <w:p w14:paraId="05777FD4">
                  <w:pPr>
                    <w:snapToGrid w:val="0"/>
                    <w:jc w:val="left"/>
                    <w:rPr>
                      <w:rFonts w:hint="eastAsia" w:ascii="宋体" w:hAnsi="宋体" w:eastAsia="宋体" w:cs="宋体"/>
                      <w:sz w:val="24"/>
                      <w:szCs w:val="24"/>
                      <w:lang w:eastAsia="zh-CN"/>
                    </w:rPr>
                  </w:pPr>
                  <w:r>
                    <w:rPr>
                      <w:rFonts w:hint="eastAsia" w:ascii="宋体" w:hAnsi="宋体" w:eastAsia="宋体" w:cs="宋体"/>
                      <w:sz w:val="24"/>
                      <w:szCs w:val="24"/>
                    </w:rPr>
                    <w:t>上传信息数据每月不得少于</w:t>
                  </w:r>
                  <w:r>
                    <w:rPr>
                      <w:rFonts w:hint="eastAsia" w:ascii="宋体" w:hAnsi="宋体" w:eastAsia="宋体" w:cs="宋体"/>
                      <w:sz w:val="24"/>
                      <w:szCs w:val="24"/>
                      <w:lang w:val="en-US" w:eastAsia="zh-CN"/>
                    </w:rPr>
                    <w:t>2</w:t>
                  </w:r>
                  <w:r>
                    <w:rPr>
                      <w:rFonts w:hint="eastAsia" w:ascii="宋体" w:hAnsi="宋体" w:eastAsia="宋体" w:cs="宋体"/>
                      <w:sz w:val="24"/>
                      <w:szCs w:val="24"/>
                    </w:rPr>
                    <w:t>00条次，每少一条扣1分</w:t>
                  </w:r>
                  <w:r>
                    <w:rPr>
                      <w:rFonts w:hint="eastAsia" w:ascii="宋体" w:hAnsi="宋体" w:eastAsia="宋体" w:cs="宋体"/>
                      <w:sz w:val="24"/>
                      <w:szCs w:val="24"/>
                      <w:lang w:eastAsia="zh-CN"/>
                    </w:rPr>
                    <w:t>。</w:t>
                  </w:r>
                </w:p>
              </w:tc>
              <w:tc>
                <w:tcPr>
                  <w:tcW w:w="955" w:type="dxa"/>
                  <w:vMerge w:val="continue"/>
                  <w:noWrap w:val="0"/>
                  <w:vAlign w:val="center"/>
                </w:tcPr>
                <w:p w14:paraId="6B8AC67C">
                  <w:pPr>
                    <w:snapToGrid w:val="0"/>
                    <w:jc w:val="center"/>
                    <w:rPr>
                      <w:rFonts w:hint="eastAsia" w:ascii="宋体" w:hAnsi="宋体" w:eastAsia="宋体" w:cs="宋体"/>
                      <w:sz w:val="24"/>
                      <w:szCs w:val="24"/>
                      <w:lang w:val="en-US" w:eastAsia="zh-CN"/>
                    </w:rPr>
                  </w:pPr>
                </w:p>
              </w:tc>
              <w:tc>
                <w:tcPr>
                  <w:tcW w:w="1410" w:type="dxa"/>
                  <w:noWrap w:val="0"/>
                  <w:vAlign w:val="center"/>
                </w:tcPr>
                <w:p w14:paraId="38FE906E">
                  <w:pPr>
                    <w:snapToGrid w:val="0"/>
                    <w:jc w:val="center"/>
                    <w:rPr>
                      <w:rFonts w:hint="eastAsia" w:ascii="宋体" w:hAnsi="宋体" w:eastAsia="宋体" w:cs="宋体"/>
                      <w:sz w:val="24"/>
                      <w:szCs w:val="24"/>
                      <w:lang w:val="en-US" w:eastAsia="zh-CN"/>
                    </w:rPr>
                  </w:pPr>
                </w:p>
              </w:tc>
              <w:tc>
                <w:tcPr>
                  <w:tcW w:w="855" w:type="dxa"/>
                  <w:noWrap w:val="0"/>
                  <w:vAlign w:val="top"/>
                </w:tcPr>
                <w:p w14:paraId="06BA9A2F">
                  <w:pPr>
                    <w:snapToGrid w:val="0"/>
                    <w:jc w:val="center"/>
                    <w:rPr>
                      <w:rFonts w:hint="eastAsia" w:ascii="宋体" w:hAnsi="宋体" w:eastAsia="宋体" w:cs="宋体"/>
                      <w:sz w:val="24"/>
                      <w:szCs w:val="24"/>
                    </w:rPr>
                  </w:pPr>
                </w:p>
              </w:tc>
            </w:tr>
            <w:tr w14:paraId="37792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7" w:type="dxa"/>
                  <w:vMerge w:val="restart"/>
                  <w:noWrap w:val="0"/>
                  <w:vAlign w:val="center"/>
                </w:tcPr>
                <w:p w14:paraId="39473ED8">
                  <w:pPr>
                    <w:snapToGrid w:val="0"/>
                    <w:jc w:val="center"/>
                    <w:rPr>
                      <w:rFonts w:hint="eastAsia" w:ascii="宋体" w:hAnsi="宋体" w:eastAsia="宋体" w:cs="宋体"/>
                      <w:sz w:val="24"/>
                      <w:szCs w:val="24"/>
                    </w:rPr>
                  </w:pPr>
                  <w:r>
                    <w:rPr>
                      <w:rFonts w:hint="eastAsia" w:ascii="宋体" w:hAnsi="宋体" w:eastAsia="宋体" w:cs="宋体"/>
                      <w:sz w:val="24"/>
                      <w:szCs w:val="24"/>
                    </w:rPr>
                    <w:t>安全生产</w:t>
                  </w:r>
                </w:p>
              </w:tc>
              <w:tc>
                <w:tcPr>
                  <w:tcW w:w="1751" w:type="dxa"/>
                  <w:noWrap w:val="0"/>
                  <w:vAlign w:val="center"/>
                </w:tcPr>
                <w:p w14:paraId="64D37157">
                  <w:pPr>
                    <w:snapToGrid w:val="0"/>
                    <w:jc w:val="center"/>
                    <w:rPr>
                      <w:rFonts w:hint="eastAsia" w:ascii="宋体" w:hAnsi="宋体" w:eastAsia="宋体" w:cs="宋体"/>
                      <w:sz w:val="24"/>
                      <w:szCs w:val="24"/>
                    </w:rPr>
                  </w:pPr>
                  <w:r>
                    <w:rPr>
                      <w:rFonts w:hint="eastAsia" w:ascii="宋体" w:hAnsi="宋体" w:eastAsia="宋体" w:cs="宋体"/>
                      <w:sz w:val="24"/>
                      <w:szCs w:val="24"/>
                    </w:rPr>
                    <w:t>6.及时报告乱占河道、堤防现象，及时报告水质异常问题</w:t>
                  </w:r>
                </w:p>
              </w:tc>
              <w:tc>
                <w:tcPr>
                  <w:tcW w:w="4006" w:type="dxa"/>
                  <w:noWrap w:val="0"/>
                  <w:vAlign w:val="center"/>
                </w:tcPr>
                <w:p w14:paraId="20C1C18A">
                  <w:pPr>
                    <w:snapToGrid w:val="0"/>
                    <w:jc w:val="left"/>
                    <w:rPr>
                      <w:rFonts w:hint="eastAsia" w:ascii="宋体" w:hAnsi="宋体" w:eastAsia="宋体" w:cs="宋体"/>
                      <w:sz w:val="24"/>
                      <w:szCs w:val="24"/>
                    </w:rPr>
                  </w:pPr>
                  <w:r>
                    <w:rPr>
                      <w:rFonts w:hint="eastAsia" w:ascii="宋体" w:hAnsi="宋体" w:eastAsia="宋体" w:cs="宋体"/>
                      <w:sz w:val="24"/>
                      <w:szCs w:val="24"/>
                    </w:rPr>
                    <w:t>未及时发现并报告占、填、堵河道行为的每次扣5分；未及时报告水质异常的每次扣</w:t>
                  </w:r>
                  <w:r>
                    <w:rPr>
                      <w:rFonts w:hint="eastAsia" w:ascii="宋体" w:hAnsi="宋体" w:eastAsia="宋体" w:cs="宋体"/>
                      <w:sz w:val="24"/>
                      <w:szCs w:val="24"/>
                      <w:lang w:val="en-US" w:eastAsia="zh-CN"/>
                    </w:rPr>
                    <w:t>2</w:t>
                  </w:r>
                  <w:r>
                    <w:rPr>
                      <w:rFonts w:hint="eastAsia" w:ascii="宋体" w:hAnsi="宋体" w:eastAsia="宋体" w:cs="宋体"/>
                      <w:sz w:val="24"/>
                      <w:szCs w:val="24"/>
                    </w:rPr>
                    <w:t>分。未及时上报各类河道公示牌损坏而被检查发现的每次扣</w:t>
                  </w:r>
                  <w:r>
                    <w:rPr>
                      <w:rFonts w:hint="eastAsia" w:ascii="宋体" w:hAnsi="宋体" w:eastAsia="宋体" w:cs="宋体"/>
                      <w:sz w:val="24"/>
                      <w:szCs w:val="24"/>
                      <w:lang w:val="en-US" w:eastAsia="zh-CN"/>
                    </w:rPr>
                    <w:t>2</w:t>
                  </w:r>
                  <w:r>
                    <w:rPr>
                      <w:rFonts w:hint="eastAsia" w:ascii="宋体" w:hAnsi="宋体" w:eastAsia="宋体" w:cs="宋体"/>
                      <w:sz w:val="24"/>
                      <w:szCs w:val="24"/>
                    </w:rPr>
                    <w:t>分。</w:t>
                  </w:r>
                </w:p>
              </w:tc>
              <w:tc>
                <w:tcPr>
                  <w:tcW w:w="955" w:type="dxa"/>
                  <w:vMerge w:val="restart"/>
                  <w:noWrap w:val="0"/>
                  <w:vAlign w:val="center"/>
                </w:tcPr>
                <w:p w14:paraId="0F4D000C">
                  <w:pPr>
                    <w:snapToGrid w:val="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30</w:t>
                  </w:r>
                </w:p>
              </w:tc>
              <w:tc>
                <w:tcPr>
                  <w:tcW w:w="1410" w:type="dxa"/>
                  <w:noWrap w:val="0"/>
                  <w:vAlign w:val="center"/>
                </w:tcPr>
                <w:p w14:paraId="7CC142E4">
                  <w:pPr>
                    <w:snapToGrid w:val="0"/>
                    <w:jc w:val="center"/>
                    <w:rPr>
                      <w:rFonts w:hint="eastAsia" w:ascii="宋体" w:hAnsi="宋体" w:eastAsia="宋体" w:cs="宋体"/>
                      <w:sz w:val="24"/>
                      <w:szCs w:val="24"/>
                      <w:lang w:val="en-US" w:eastAsia="zh-CN"/>
                    </w:rPr>
                  </w:pPr>
                </w:p>
              </w:tc>
              <w:tc>
                <w:tcPr>
                  <w:tcW w:w="855" w:type="dxa"/>
                  <w:noWrap w:val="0"/>
                  <w:vAlign w:val="top"/>
                </w:tcPr>
                <w:p w14:paraId="56137BB2">
                  <w:pPr>
                    <w:snapToGrid w:val="0"/>
                    <w:jc w:val="center"/>
                    <w:rPr>
                      <w:rFonts w:hint="eastAsia" w:ascii="宋体" w:hAnsi="宋体" w:eastAsia="宋体" w:cs="宋体"/>
                      <w:sz w:val="24"/>
                      <w:szCs w:val="24"/>
                    </w:rPr>
                  </w:pPr>
                </w:p>
              </w:tc>
            </w:tr>
            <w:tr w14:paraId="5B745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7" w:type="dxa"/>
                  <w:vMerge w:val="continue"/>
                  <w:noWrap w:val="0"/>
                  <w:vAlign w:val="top"/>
                </w:tcPr>
                <w:p w14:paraId="06F6F0F4">
                  <w:pPr>
                    <w:snapToGrid w:val="0"/>
                    <w:jc w:val="center"/>
                    <w:rPr>
                      <w:rFonts w:hint="eastAsia" w:ascii="宋体" w:hAnsi="宋体" w:eastAsia="宋体" w:cs="宋体"/>
                      <w:sz w:val="24"/>
                      <w:szCs w:val="24"/>
                    </w:rPr>
                  </w:pPr>
                </w:p>
              </w:tc>
              <w:tc>
                <w:tcPr>
                  <w:tcW w:w="1751" w:type="dxa"/>
                  <w:noWrap w:val="0"/>
                  <w:vAlign w:val="center"/>
                </w:tcPr>
                <w:p w14:paraId="53E6F6D2">
                  <w:pPr>
                    <w:snapToGrid w:val="0"/>
                    <w:jc w:val="center"/>
                    <w:rPr>
                      <w:rFonts w:hint="eastAsia" w:ascii="宋体" w:hAnsi="宋体" w:eastAsia="宋体" w:cs="宋体"/>
                      <w:sz w:val="24"/>
                      <w:szCs w:val="24"/>
                    </w:rPr>
                  </w:pPr>
                  <w:r>
                    <w:rPr>
                      <w:rFonts w:hint="eastAsia" w:ascii="宋体" w:hAnsi="宋体" w:eastAsia="宋体" w:cs="宋体"/>
                      <w:sz w:val="24"/>
                      <w:szCs w:val="24"/>
                    </w:rPr>
                    <w:t>7.作业人员规范管理</w:t>
                  </w:r>
                </w:p>
              </w:tc>
              <w:tc>
                <w:tcPr>
                  <w:tcW w:w="4006" w:type="dxa"/>
                  <w:noWrap w:val="0"/>
                  <w:vAlign w:val="center"/>
                </w:tcPr>
                <w:p w14:paraId="7EA77ECA">
                  <w:pPr>
                    <w:snapToGrid w:val="0"/>
                    <w:jc w:val="center"/>
                    <w:rPr>
                      <w:rFonts w:hint="eastAsia" w:ascii="宋体" w:hAnsi="宋体" w:eastAsia="宋体" w:cs="宋体"/>
                      <w:sz w:val="24"/>
                      <w:szCs w:val="24"/>
                    </w:rPr>
                  </w:pPr>
                  <w:r>
                    <w:rPr>
                      <w:rFonts w:hint="eastAsia" w:ascii="宋体" w:hAnsi="宋体" w:eastAsia="宋体" w:cs="宋体"/>
                      <w:sz w:val="24"/>
                      <w:szCs w:val="24"/>
                    </w:rPr>
                    <w:t>未着救生衣作业每</w:t>
                  </w:r>
                  <w:r>
                    <w:rPr>
                      <w:rFonts w:hint="eastAsia" w:ascii="宋体" w:hAnsi="宋体" w:eastAsia="宋体" w:cs="宋体"/>
                      <w:sz w:val="24"/>
                      <w:szCs w:val="24"/>
                      <w:lang w:val="en-US" w:eastAsia="zh-CN"/>
                    </w:rPr>
                    <w:t>人</w:t>
                  </w:r>
                  <w:r>
                    <w:rPr>
                      <w:rFonts w:hint="eastAsia" w:ascii="宋体" w:hAnsi="宋体" w:eastAsia="宋体" w:cs="宋体"/>
                      <w:sz w:val="24"/>
                      <w:szCs w:val="24"/>
                    </w:rPr>
                    <w:t>次扣</w:t>
                  </w:r>
                  <w:r>
                    <w:rPr>
                      <w:rFonts w:hint="eastAsia" w:ascii="宋体" w:hAnsi="宋体" w:eastAsia="宋体" w:cs="宋体"/>
                      <w:sz w:val="24"/>
                      <w:szCs w:val="24"/>
                      <w:lang w:val="en-US" w:eastAsia="zh-CN"/>
                    </w:rPr>
                    <w:t>10</w:t>
                  </w:r>
                  <w:r>
                    <w:rPr>
                      <w:rFonts w:hint="eastAsia" w:ascii="宋体" w:hAnsi="宋体" w:eastAsia="宋体" w:cs="宋体"/>
                      <w:sz w:val="24"/>
                      <w:szCs w:val="24"/>
                    </w:rPr>
                    <w:t>分，未2人一组开展工作的每次扣5分</w:t>
                  </w:r>
                </w:p>
              </w:tc>
              <w:tc>
                <w:tcPr>
                  <w:tcW w:w="955" w:type="dxa"/>
                  <w:vMerge w:val="continue"/>
                  <w:noWrap w:val="0"/>
                  <w:vAlign w:val="top"/>
                </w:tcPr>
                <w:p w14:paraId="38324EC3">
                  <w:pPr>
                    <w:snapToGrid w:val="0"/>
                    <w:jc w:val="center"/>
                    <w:rPr>
                      <w:rFonts w:hint="eastAsia" w:ascii="宋体" w:hAnsi="宋体" w:eastAsia="宋体" w:cs="宋体"/>
                      <w:sz w:val="24"/>
                      <w:szCs w:val="24"/>
                      <w:lang w:val="en-US" w:eastAsia="zh-CN"/>
                    </w:rPr>
                  </w:pPr>
                </w:p>
              </w:tc>
              <w:tc>
                <w:tcPr>
                  <w:tcW w:w="1410" w:type="dxa"/>
                  <w:noWrap w:val="0"/>
                  <w:vAlign w:val="top"/>
                </w:tcPr>
                <w:p w14:paraId="29EAF646">
                  <w:pPr>
                    <w:snapToGrid w:val="0"/>
                    <w:jc w:val="both"/>
                    <w:rPr>
                      <w:rFonts w:hint="eastAsia" w:ascii="宋体" w:hAnsi="宋体" w:eastAsia="宋体" w:cs="宋体"/>
                      <w:sz w:val="24"/>
                      <w:szCs w:val="24"/>
                      <w:lang w:val="en-US" w:eastAsia="zh-CN"/>
                    </w:rPr>
                  </w:pPr>
                </w:p>
                <w:p w14:paraId="0C75C351">
                  <w:pPr>
                    <w:snapToGrid w:val="0"/>
                    <w:jc w:val="both"/>
                    <w:rPr>
                      <w:rFonts w:hint="eastAsia" w:ascii="宋体" w:hAnsi="宋体" w:eastAsia="宋体" w:cs="宋体"/>
                      <w:sz w:val="24"/>
                      <w:szCs w:val="24"/>
                      <w:lang w:val="en-US" w:eastAsia="zh-CN"/>
                    </w:rPr>
                  </w:pPr>
                </w:p>
              </w:tc>
              <w:tc>
                <w:tcPr>
                  <w:tcW w:w="855" w:type="dxa"/>
                  <w:noWrap w:val="0"/>
                  <w:vAlign w:val="top"/>
                </w:tcPr>
                <w:p w14:paraId="634CB3EF">
                  <w:pPr>
                    <w:snapToGrid w:val="0"/>
                    <w:jc w:val="center"/>
                    <w:rPr>
                      <w:rFonts w:hint="eastAsia" w:ascii="宋体" w:hAnsi="宋体" w:eastAsia="宋体" w:cs="宋体"/>
                      <w:sz w:val="24"/>
                      <w:szCs w:val="24"/>
                    </w:rPr>
                  </w:pPr>
                </w:p>
              </w:tc>
            </w:tr>
            <w:tr w14:paraId="7DB25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7" w:type="dxa"/>
                  <w:vMerge w:val="continue"/>
                  <w:noWrap w:val="0"/>
                  <w:vAlign w:val="top"/>
                </w:tcPr>
                <w:p w14:paraId="0B3F4B6E">
                  <w:pPr>
                    <w:snapToGrid w:val="0"/>
                    <w:jc w:val="center"/>
                    <w:rPr>
                      <w:rFonts w:hint="eastAsia" w:ascii="宋体" w:hAnsi="宋体" w:eastAsia="宋体" w:cs="宋体"/>
                      <w:sz w:val="24"/>
                      <w:szCs w:val="24"/>
                    </w:rPr>
                  </w:pPr>
                </w:p>
              </w:tc>
              <w:tc>
                <w:tcPr>
                  <w:tcW w:w="1751" w:type="dxa"/>
                  <w:noWrap w:val="0"/>
                  <w:vAlign w:val="center"/>
                </w:tcPr>
                <w:p w14:paraId="736E76F8">
                  <w:pPr>
                    <w:snapToGrid w:val="0"/>
                    <w:jc w:val="center"/>
                    <w:rPr>
                      <w:rFonts w:hint="eastAsia" w:ascii="宋体" w:hAnsi="宋体" w:eastAsia="宋体" w:cs="宋体"/>
                      <w:sz w:val="24"/>
                      <w:szCs w:val="24"/>
                    </w:rPr>
                  </w:pPr>
                  <w:r>
                    <w:rPr>
                      <w:rFonts w:hint="eastAsia" w:ascii="宋体" w:hAnsi="宋体" w:eastAsia="宋体" w:cs="宋体"/>
                      <w:sz w:val="24"/>
                      <w:szCs w:val="24"/>
                    </w:rPr>
                    <w:t>8.作业船只规范管理</w:t>
                  </w:r>
                </w:p>
              </w:tc>
              <w:tc>
                <w:tcPr>
                  <w:tcW w:w="4006" w:type="dxa"/>
                  <w:noWrap w:val="0"/>
                  <w:vAlign w:val="center"/>
                </w:tcPr>
                <w:p w14:paraId="37F8D481">
                  <w:pPr>
                    <w:snapToGrid w:val="0"/>
                    <w:jc w:val="center"/>
                    <w:rPr>
                      <w:rFonts w:hint="eastAsia" w:ascii="宋体" w:hAnsi="宋体" w:eastAsia="宋体" w:cs="宋体"/>
                      <w:sz w:val="24"/>
                      <w:szCs w:val="24"/>
                    </w:rPr>
                  </w:pPr>
                  <w:r>
                    <w:rPr>
                      <w:rFonts w:hint="eastAsia" w:ascii="宋体" w:hAnsi="宋体" w:eastAsia="宋体" w:cs="宋体"/>
                      <w:sz w:val="24"/>
                      <w:szCs w:val="24"/>
                    </w:rPr>
                    <w:t>未定点停放每次扣5分；未停放加锁的每次扣</w:t>
                  </w:r>
                  <w:r>
                    <w:rPr>
                      <w:rFonts w:hint="eastAsia" w:ascii="宋体" w:hAnsi="宋体" w:eastAsia="宋体" w:cs="宋体"/>
                      <w:sz w:val="24"/>
                      <w:szCs w:val="24"/>
                      <w:lang w:val="en-US" w:eastAsia="zh-CN"/>
                    </w:rPr>
                    <w:t>5</w:t>
                  </w:r>
                  <w:r>
                    <w:rPr>
                      <w:rFonts w:hint="eastAsia" w:ascii="宋体" w:hAnsi="宋体" w:eastAsia="宋体" w:cs="宋体"/>
                      <w:sz w:val="24"/>
                      <w:szCs w:val="24"/>
                    </w:rPr>
                    <w:t>分；未按要求开展清洁保养的每次3分。</w:t>
                  </w:r>
                </w:p>
              </w:tc>
              <w:tc>
                <w:tcPr>
                  <w:tcW w:w="955" w:type="dxa"/>
                  <w:vMerge w:val="continue"/>
                  <w:noWrap w:val="0"/>
                  <w:vAlign w:val="top"/>
                </w:tcPr>
                <w:p w14:paraId="395795D3">
                  <w:pPr>
                    <w:snapToGrid w:val="0"/>
                    <w:jc w:val="center"/>
                    <w:rPr>
                      <w:rFonts w:hint="eastAsia" w:ascii="宋体" w:hAnsi="宋体" w:eastAsia="宋体" w:cs="宋体"/>
                      <w:sz w:val="24"/>
                      <w:szCs w:val="24"/>
                      <w:lang w:val="en-US" w:eastAsia="zh-CN"/>
                    </w:rPr>
                  </w:pPr>
                </w:p>
              </w:tc>
              <w:tc>
                <w:tcPr>
                  <w:tcW w:w="1410" w:type="dxa"/>
                  <w:noWrap w:val="0"/>
                  <w:vAlign w:val="top"/>
                </w:tcPr>
                <w:p w14:paraId="716C8F1D">
                  <w:pPr>
                    <w:snapToGrid w:val="0"/>
                    <w:jc w:val="center"/>
                    <w:rPr>
                      <w:rFonts w:hint="eastAsia" w:ascii="宋体" w:hAnsi="宋体" w:eastAsia="宋体" w:cs="宋体"/>
                      <w:sz w:val="24"/>
                      <w:szCs w:val="24"/>
                      <w:lang w:val="en-US" w:eastAsia="zh-CN"/>
                    </w:rPr>
                  </w:pPr>
                </w:p>
                <w:p w14:paraId="4A8FECB2">
                  <w:pPr>
                    <w:snapToGrid w:val="0"/>
                    <w:jc w:val="center"/>
                    <w:rPr>
                      <w:rFonts w:hint="eastAsia" w:ascii="宋体" w:hAnsi="宋体" w:eastAsia="宋体" w:cs="宋体"/>
                      <w:sz w:val="24"/>
                      <w:szCs w:val="24"/>
                      <w:lang w:val="en-US" w:eastAsia="zh-CN"/>
                    </w:rPr>
                  </w:pPr>
                </w:p>
              </w:tc>
              <w:tc>
                <w:tcPr>
                  <w:tcW w:w="855" w:type="dxa"/>
                  <w:noWrap w:val="0"/>
                  <w:vAlign w:val="top"/>
                </w:tcPr>
                <w:p w14:paraId="2A3D8B0D">
                  <w:pPr>
                    <w:snapToGrid w:val="0"/>
                    <w:jc w:val="center"/>
                    <w:rPr>
                      <w:rFonts w:hint="eastAsia" w:ascii="宋体" w:hAnsi="宋体" w:eastAsia="宋体" w:cs="宋体"/>
                      <w:sz w:val="24"/>
                      <w:szCs w:val="24"/>
                    </w:rPr>
                  </w:pPr>
                </w:p>
              </w:tc>
            </w:tr>
            <w:tr w14:paraId="2D12E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7" w:type="dxa"/>
                  <w:noWrap w:val="0"/>
                  <w:vAlign w:val="center"/>
                </w:tcPr>
                <w:p w14:paraId="4F88CBD4">
                  <w:pPr>
                    <w:snapToGrid w:val="0"/>
                    <w:jc w:val="center"/>
                    <w:rPr>
                      <w:rFonts w:hint="eastAsia" w:ascii="宋体" w:hAnsi="宋体" w:eastAsia="宋体" w:cs="宋体"/>
                      <w:sz w:val="24"/>
                      <w:szCs w:val="24"/>
                    </w:rPr>
                  </w:pPr>
                  <w:r>
                    <w:rPr>
                      <w:rFonts w:hint="eastAsia" w:ascii="宋体" w:hAnsi="宋体" w:eastAsia="宋体" w:cs="宋体"/>
                      <w:sz w:val="24"/>
                      <w:szCs w:val="24"/>
                    </w:rPr>
                    <w:t>服务响应</w:t>
                  </w:r>
                </w:p>
              </w:tc>
              <w:tc>
                <w:tcPr>
                  <w:tcW w:w="1751" w:type="dxa"/>
                  <w:noWrap w:val="0"/>
                  <w:vAlign w:val="center"/>
                </w:tcPr>
                <w:p w14:paraId="2F6B4B65">
                  <w:pPr>
                    <w:snapToGrid w:val="0"/>
                    <w:jc w:val="center"/>
                    <w:rPr>
                      <w:rFonts w:hint="eastAsia" w:ascii="宋体" w:hAnsi="宋体" w:eastAsia="宋体" w:cs="宋体"/>
                      <w:sz w:val="24"/>
                      <w:szCs w:val="24"/>
                    </w:rPr>
                  </w:pPr>
                  <w:r>
                    <w:rPr>
                      <w:rFonts w:hint="eastAsia" w:ascii="宋体" w:hAnsi="宋体" w:eastAsia="宋体" w:cs="宋体"/>
                      <w:sz w:val="24"/>
                      <w:szCs w:val="24"/>
                    </w:rPr>
                    <w:t>9.服务响应速度快、积极、主动</w:t>
                  </w:r>
                </w:p>
              </w:tc>
              <w:tc>
                <w:tcPr>
                  <w:tcW w:w="4006" w:type="dxa"/>
                  <w:noWrap w:val="0"/>
                  <w:vAlign w:val="center"/>
                </w:tcPr>
                <w:p w14:paraId="7BAAF08F">
                  <w:pPr>
                    <w:snapToGrid w:val="0"/>
                    <w:jc w:val="center"/>
                    <w:rPr>
                      <w:rFonts w:hint="eastAsia" w:ascii="宋体" w:hAnsi="宋体" w:eastAsia="宋体" w:cs="宋体"/>
                      <w:sz w:val="24"/>
                      <w:szCs w:val="24"/>
                    </w:rPr>
                  </w:pPr>
                  <w:r>
                    <w:rPr>
                      <w:rFonts w:hint="eastAsia" w:ascii="宋体" w:hAnsi="宋体" w:eastAsia="宋体" w:cs="宋体"/>
                      <w:sz w:val="24"/>
                      <w:szCs w:val="24"/>
                    </w:rPr>
                    <w:t>未按要求回复</w:t>
                  </w:r>
                  <w:r>
                    <w:rPr>
                      <w:rFonts w:hint="eastAsia" w:ascii="宋体" w:hAnsi="宋体" w:eastAsia="宋体" w:cs="宋体"/>
                      <w:sz w:val="24"/>
                      <w:szCs w:val="24"/>
                      <w:lang w:val="en-US" w:eastAsia="zh-CN"/>
                    </w:rPr>
                    <w:t>并及时处理</w:t>
                  </w:r>
                  <w:r>
                    <w:rPr>
                      <w:rFonts w:hint="eastAsia" w:ascii="宋体" w:hAnsi="宋体" w:eastAsia="宋体" w:cs="宋体"/>
                      <w:sz w:val="24"/>
                      <w:szCs w:val="24"/>
                    </w:rPr>
                    <w:t>的每次扣</w:t>
                  </w:r>
                  <w:r>
                    <w:rPr>
                      <w:rFonts w:hint="eastAsia" w:ascii="宋体" w:hAnsi="宋体" w:eastAsia="宋体" w:cs="宋体"/>
                      <w:sz w:val="24"/>
                      <w:szCs w:val="24"/>
                      <w:lang w:val="en-US" w:eastAsia="zh-CN"/>
                    </w:rPr>
                    <w:t>3</w:t>
                  </w:r>
                  <w:r>
                    <w:rPr>
                      <w:rFonts w:hint="eastAsia" w:ascii="宋体" w:hAnsi="宋体" w:eastAsia="宋体" w:cs="宋体"/>
                      <w:sz w:val="24"/>
                      <w:szCs w:val="24"/>
                    </w:rPr>
                    <w:t>分。</w:t>
                  </w:r>
                </w:p>
              </w:tc>
              <w:tc>
                <w:tcPr>
                  <w:tcW w:w="955" w:type="dxa"/>
                  <w:noWrap w:val="0"/>
                  <w:vAlign w:val="top"/>
                </w:tcPr>
                <w:p w14:paraId="32B53282">
                  <w:pPr>
                    <w:snapToGrid w:val="0"/>
                    <w:jc w:val="center"/>
                    <w:rPr>
                      <w:rFonts w:hint="eastAsia" w:ascii="宋体" w:hAnsi="宋体" w:eastAsia="宋体" w:cs="宋体"/>
                      <w:sz w:val="24"/>
                      <w:szCs w:val="24"/>
                      <w:lang w:val="en-US" w:eastAsia="zh-CN"/>
                    </w:rPr>
                  </w:pPr>
                </w:p>
                <w:p w14:paraId="770DB587">
                  <w:pPr>
                    <w:snapToGrid w:val="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15</w:t>
                  </w:r>
                </w:p>
              </w:tc>
              <w:tc>
                <w:tcPr>
                  <w:tcW w:w="1410" w:type="dxa"/>
                  <w:noWrap w:val="0"/>
                  <w:vAlign w:val="top"/>
                </w:tcPr>
                <w:p w14:paraId="592B2EBC">
                  <w:pPr>
                    <w:snapToGrid w:val="0"/>
                    <w:jc w:val="center"/>
                    <w:rPr>
                      <w:rFonts w:hint="eastAsia" w:ascii="宋体" w:hAnsi="宋体" w:eastAsia="宋体" w:cs="宋体"/>
                      <w:sz w:val="24"/>
                      <w:szCs w:val="24"/>
                      <w:lang w:val="en-US" w:eastAsia="zh-CN"/>
                    </w:rPr>
                  </w:pPr>
                </w:p>
                <w:p w14:paraId="0E109D66">
                  <w:pPr>
                    <w:snapToGrid w:val="0"/>
                    <w:jc w:val="center"/>
                    <w:rPr>
                      <w:rFonts w:hint="eastAsia" w:ascii="宋体" w:hAnsi="宋体" w:eastAsia="宋体" w:cs="宋体"/>
                      <w:sz w:val="24"/>
                      <w:szCs w:val="24"/>
                      <w:lang w:val="en-US" w:eastAsia="zh-CN"/>
                    </w:rPr>
                  </w:pPr>
                </w:p>
              </w:tc>
              <w:tc>
                <w:tcPr>
                  <w:tcW w:w="855" w:type="dxa"/>
                  <w:noWrap w:val="0"/>
                  <w:vAlign w:val="top"/>
                </w:tcPr>
                <w:p w14:paraId="6CE46AE5">
                  <w:pPr>
                    <w:snapToGrid w:val="0"/>
                    <w:jc w:val="center"/>
                    <w:rPr>
                      <w:rFonts w:hint="eastAsia" w:ascii="宋体" w:hAnsi="宋体" w:eastAsia="宋体" w:cs="宋体"/>
                      <w:sz w:val="24"/>
                      <w:szCs w:val="24"/>
                    </w:rPr>
                  </w:pPr>
                </w:p>
              </w:tc>
            </w:tr>
            <w:tr w14:paraId="396BE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7" w:type="dxa"/>
                  <w:noWrap w:val="0"/>
                  <w:vAlign w:val="center"/>
                </w:tcPr>
                <w:p w14:paraId="6AA29A79">
                  <w:pPr>
                    <w:snapToGrid w:val="0"/>
                    <w:jc w:val="center"/>
                    <w:rPr>
                      <w:rFonts w:hint="eastAsia" w:ascii="宋体" w:hAnsi="宋体" w:eastAsia="宋体" w:cs="宋体"/>
                      <w:sz w:val="24"/>
                      <w:szCs w:val="24"/>
                    </w:rPr>
                  </w:pPr>
                  <w:r>
                    <w:rPr>
                      <w:rFonts w:hint="eastAsia" w:ascii="宋体" w:hAnsi="宋体" w:eastAsia="宋体" w:cs="宋体"/>
                      <w:sz w:val="24"/>
                      <w:szCs w:val="24"/>
                    </w:rPr>
                    <w:t>总得分</w:t>
                  </w:r>
                </w:p>
              </w:tc>
              <w:tc>
                <w:tcPr>
                  <w:tcW w:w="1751" w:type="dxa"/>
                  <w:noWrap w:val="0"/>
                  <w:vAlign w:val="center"/>
                </w:tcPr>
                <w:p w14:paraId="1B694B74">
                  <w:pPr>
                    <w:snapToGrid w:val="0"/>
                    <w:jc w:val="center"/>
                    <w:rPr>
                      <w:rFonts w:hint="eastAsia" w:ascii="宋体" w:hAnsi="宋体" w:eastAsia="宋体" w:cs="宋体"/>
                      <w:sz w:val="24"/>
                      <w:szCs w:val="24"/>
                    </w:rPr>
                  </w:pPr>
                </w:p>
              </w:tc>
              <w:tc>
                <w:tcPr>
                  <w:tcW w:w="4006" w:type="dxa"/>
                  <w:noWrap w:val="0"/>
                  <w:vAlign w:val="center"/>
                </w:tcPr>
                <w:p w14:paraId="6484D667">
                  <w:pPr>
                    <w:snapToGrid w:val="0"/>
                    <w:jc w:val="center"/>
                    <w:rPr>
                      <w:rFonts w:hint="eastAsia" w:ascii="宋体" w:hAnsi="宋体" w:eastAsia="宋体" w:cs="宋体"/>
                      <w:sz w:val="24"/>
                      <w:szCs w:val="24"/>
                    </w:rPr>
                  </w:pPr>
                </w:p>
              </w:tc>
              <w:tc>
                <w:tcPr>
                  <w:tcW w:w="955" w:type="dxa"/>
                  <w:noWrap w:val="0"/>
                  <w:vAlign w:val="top"/>
                </w:tcPr>
                <w:p w14:paraId="43D85F26">
                  <w:pPr>
                    <w:snapToGrid w:val="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100</w:t>
                  </w:r>
                </w:p>
              </w:tc>
              <w:tc>
                <w:tcPr>
                  <w:tcW w:w="1410" w:type="dxa"/>
                  <w:noWrap w:val="0"/>
                  <w:vAlign w:val="top"/>
                </w:tcPr>
                <w:p w14:paraId="5D9536C9">
                  <w:pPr>
                    <w:snapToGrid w:val="0"/>
                    <w:jc w:val="center"/>
                    <w:rPr>
                      <w:rFonts w:hint="eastAsia" w:ascii="宋体" w:hAnsi="宋体" w:eastAsia="宋体" w:cs="宋体"/>
                      <w:sz w:val="24"/>
                      <w:szCs w:val="24"/>
                      <w:lang w:val="en-US" w:eastAsia="zh-CN"/>
                    </w:rPr>
                  </w:pPr>
                </w:p>
              </w:tc>
              <w:tc>
                <w:tcPr>
                  <w:tcW w:w="855" w:type="dxa"/>
                  <w:noWrap w:val="0"/>
                  <w:vAlign w:val="top"/>
                </w:tcPr>
                <w:p w14:paraId="5DB1B614">
                  <w:pPr>
                    <w:snapToGrid w:val="0"/>
                    <w:jc w:val="center"/>
                    <w:rPr>
                      <w:rFonts w:hint="eastAsia" w:ascii="宋体" w:hAnsi="宋体" w:eastAsia="宋体" w:cs="宋体"/>
                      <w:sz w:val="24"/>
                      <w:szCs w:val="24"/>
                    </w:rPr>
                  </w:pPr>
                </w:p>
              </w:tc>
            </w:tr>
          </w:tbl>
          <w:p w14:paraId="06421F61">
            <w:pPr>
              <w:snapToGrid w:val="0"/>
              <w:jc w:val="center"/>
              <w:rPr>
                <w:rFonts w:hint="eastAsia" w:ascii="宋体" w:hAnsi="宋体" w:eastAsia="宋体" w:cs="宋体"/>
                <w:sz w:val="24"/>
                <w:szCs w:val="24"/>
              </w:rPr>
            </w:pPr>
          </w:p>
        </w:tc>
      </w:tr>
    </w:tbl>
    <w:p w14:paraId="29DD3FF7">
      <w:pPr>
        <w:spacing w:before="120" w:after="120" w:line="288" w:lineRule="auto"/>
        <w:jc w:val="left"/>
        <w:rPr>
          <w:rFonts w:hint="eastAsia" w:ascii="宋体" w:hAnsi="宋体" w:eastAsia="宋体" w:cs="宋体"/>
          <w:sz w:val="24"/>
          <w:szCs w:val="24"/>
        </w:rPr>
      </w:pPr>
      <w:r>
        <w:rPr>
          <w:rFonts w:hint="eastAsia" w:ascii="宋体" w:hAnsi="宋体" w:eastAsia="宋体" w:cs="宋体"/>
          <w:sz w:val="24"/>
          <w:szCs w:val="24"/>
        </w:rPr>
        <w:t xml:space="preserve">  考核人：                      被考核人：</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w:t>
      </w:r>
    </w:p>
    <w:p w14:paraId="131D6FE7">
      <w:r>
        <w:br w:type="page"/>
      </w:r>
    </w:p>
    <w:p w14:paraId="7DC510E3">
      <w:pPr>
        <w:pStyle w:val="2"/>
        <w:spacing w:before="120" w:after="120"/>
        <w:jc w:val="center"/>
        <w:rPr>
          <w:rFonts w:hint="eastAsia" w:eastAsia="宋体"/>
          <w:b/>
          <w:bCs/>
          <w:color w:val="auto"/>
          <w:sz w:val="24"/>
          <w:szCs w:val="24"/>
          <w:highlight w:val="none"/>
          <w:u w:val="none"/>
          <w:lang w:eastAsia="zh-CN"/>
        </w:rPr>
      </w:pPr>
      <w:r>
        <w:rPr>
          <w:rFonts w:hint="eastAsia"/>
          <w:b/>
          <w:bCs/>
          <w:color w:val="auto"/>
          <w:sz w:val="24"/>
          <w:szCs w:val="24"/>
          <w:highlight w:val="none"/>
          <w:u w:val="none"/>
        </w:rPr>
        <w:t>道路养护考核</w:t>
      </w:r>
      <w:r>
        <w:rPr>
          <w:rFonts w:hint="eastAsia"/>
          <w:b/>
          <w:bCs/>
          <w:color w:val="auto"/>
          <w:sz w:val="24"/>
          <w:szCs w:val="24"/>
          <w:highlight w:val="none"/>
          <w:u w:val="none"/>
          <w:lang w:eastAsia="zh-CN"/>
        </w:rPr>
        <w:t>办法</w:t>
      </w:r>
    </w:p>
    <w:p w14:paraId="5CF8D87C">
      <w:pPr>
        <w:pStyle w:val="9"/>
        <w:numPr>
          <w:ilvl w:val="0"/>
          <w:numId w:val="2"/>
        </w:numPr>
        <w:spacing w:line="465" w:lineRule="exact"/>
        <w:ind w:firstLine="442" w:firstLineChars="200"/>
        <w:rPr>
          <w:rFonts w:hint="eastAsia"/>
          <w:b/>
          <w:bCs/>
          <w:color w:val="auto"/>
          <w:highlight w:val="none"/>
          <w:lang w:val="en-US" w:eastAsia="zh-CN"/>
        </w:rPr>
      </w:pPr>
      <w:r>
        <w:rPr>
          <w:rFonts w:hint="eastAsia"/>
          <w:b/>
          <w:bCs/>
          <w:color w:val="auto"/>
          <w:highlight w:val="none"/>
          <w:lang w:val="en-US" w:eastAsia="zh-CN"/>
        </w:rPr>
        <w:t>考核扣款</w:t>
      </w:r>
    </w:p>
    <w:p w14:paraId="233FC0DD">
      <w:pPr>
        <w:spacing w:line="360" w:lineRule="auto"/>
        <w:ind w:firstLine="420"/>
        <w:rPr>
          <w:rFonts w:ascii="宋体" w:hAnsi="宋体"/>
          <w:color w:val="auto"/>
          <w:sz w:val="21"/>
          <w:szCs w:val="21"/>
          <w:highlight w:val="none"/>
        </w:rPr>
      </w:pPr>
      <w:r>
        <w:rPr>
          <w:rFonts w:hint="eastAsia" w:ascii="宋体" w:hAnsi="宋体"/>
          <w:color w:val="auto"/>
          <w:sz w:val="21"/>
          <w:szCs w:val="21"/>
          <w:highlight w:val="none"/>
        </w:rPr>
        <w:t>月服务经费支付与考核单位月考核成绩挂钩，每月考核一次，按月支付。月考核成绩分5个等级，95分以上（含95分）按100%支付，94-90分（含90分）按99%支付，89分-85分（含85分）按97%支付，84分-80分（含80分）按95%支付，80分以下的按90%支付，出现连续两次月考核成绩低于80分暂停支付服务费用。情况特别严重的，可终止合同。</w:t>
      </w:r>
    </w:p>
    <w:p w14:paraId="18ACB06D">
      <w:pPr>
        <w:pStyle w:val="9"/>
        <w:numPr>
          <w:ilvl w:val="0"/>
          <w:numId w:val="0"/>
        </w:numPr>
        <w:spacing w:line="465" w:lineRule="exact"/>
        <w:ind w:firstLine="442" w:firstLineChars="200"/>
        <w:rPr>
          <w:rFonts w:hint="eastAsia"/>
          <w:b/>
          <w:bCs/>
          <w:color w:val="auto"/>
          <w:highlight w:val="none"/>
          <w:lang w:val="en-US" w:eastAsia="zh-CN"/>
        </w:rPr>
      </w:pPr>
      <w:r>
        <w:rPr>
          <w:rFonts w:hint="eastAsia"/>
          <w:b/>
          <w:bCs/>
          <w:color w:val="auto"/>
          <w:highlight w:val="none"/>
          <w:lang w:val="en-US" w:eastAsia="zh-CN"/>
        </w:rPr>
        <w:t>2、考核细则</w:t>
      </w:r>
    </w:p>
    <w:p w14:paraId="70ECADF0">
      <w:pPr>
        <w:pBdr>
          <w:top w:val="none" w:color="000000" w:sz="0" w:space="0"/>
          <w:left w:val="none" w:color="000000" w:sz="0" w:space="0"/>
          <w:bottom w:val="none" w:color="000000" w:sz="0" w:space="0"/>
          <w:right w:val="none" w:color="000000" w:sz="0" w:space="0"/>
        </w:pBdr>
        <w:spacing w:line="85" w:lineRule="atLeast"/>
        <w:ind w:firstLine="480"/>
        <w:jc w:val="center"/>
        <w:rPr>
          <w:rFonts w:ascii="宋体" w:hAnsi="宋体" w:cs="宋体"/>
          <w:color w:val="auto"/>
          <w:sz w:val="21"/>
          <w:szCs w:val="21"/>
          <w:highlight w:val="none"/>
        </w:rPr>
      </w:pPr>
    </w:p>
    <w:p w14:paraId="0DA06A8B">
      <w:pPr>
        <w:pBdr>
          <w:top w:val="none" w:color="000000" w:sz="0" w:space="0"/>
          <w:left w:val="none" w:color="000000" w:sz="0" w:space="0"/>
          <w:bottom w:val="none" w:color="000000" w:sz="0" w:space="0"/>
          <w:right w:val="none" w:color="000000" w:sz="0" w:space="0"/>
        </w:pBdr>
        <w:spacing w:line="85" w:lineRule="atLeast"/>
        <w:ind w:firstLine="480"/>
        <w:jc w:val="center"/>
        <w:rPr>
          <w:b/>
          <w:bCs/>
          <w:color w:val="auto"/>
          <w:sz w:val="21"/>
          <w:szCs w:val="21"/>
          <w:highlight w:val="none"/>
        </w:rPr>
      </w:pPr>
      <w:r>
        <w:rPr>
          <w:rFonts w:hint="eastAsia" w:ascii="宋体" w:hAnsi="宋体" w:cs="宋体"/>
          <w:b/>
          <w:bCs/>
          <w:color w:val="auto"/>
          <w:sz w:val="21"/>
          <w:szCs w:val="21"/>
          <w:highlight w:val="none"/>
          <w:lang w:eastAsia="zh-CN"/>
        </w:rPr>
        <w:t>表</w:t>
      </w:r>
      <w:r>
        <w:rPr>
          <w:rFonts w:hint="eastAsia" w:ascii="宋体" w:hAnsi="宋体" w:cs="宋体"/>
          <w:b/>
          <w:bCs/>
          <w:color w:val="auto"/>
          <w:sz w:val="21"/>
          <w:szCs w:val="21"/>
          <w:highlight w:val="none"/>
          <w:lang w:val="en-US" w:eastAsia="zh-CN"/>
        </w:rPr>
        <w:t xml:space="preserve">1 </w:t>
      </w:r>
      <w:r>
        <w:rPr>
          <w:rFonts w:ascii="宋体" w:hAnsi="宋体" w:cs="宋体"/>
          <w:b/>
          <w:bCs/>
          <w:color w:val="auto"/>
          <w:sz w:val="21"/>
          <w:szCs w:val="21"/>
          <w:highlight w:val="none"/>
        </w:rPr>
        <w:t>道路桥梁日常</w:t>
      </w:r>
      <w:r>
        <w:rPr>
          <w:rFonts w:hint="eastAsia" w:ascii="宋体" w:hAnsi="宋体" w:cs="宋体"/>
          <w:b/>
          <w:bCs/>
          <w:color w:val="auto"/>
          <w:sz w:val="21"/>
          <w:szCs w:val="21"/>
          <w:highlight w:val="none"/>
        </w:rPr>
        <w:t>（月）</w:t>
      </w:r>
      <w:r>
        <w:rPr>
          <w:rFonts w:ascii="宋体" w:hAnsi="宋体" w:cs="宋体"/>
          <w:b/>
          <w:bCs/>
          <w:color w:val="auto"/>
          <w:sz w:val="21"/>
          <w:szCs w:val="21"/>
          <w:highlight w:val="none"/>
        </w:rPr>
        <w:t>考核汇总表（日常）</w:t>
      </w:r>
    </w:p>
    <w:p w14:paraId="0734C710">
      <w:pPr>
        <w:pBdr>
          <w:top w:val="none" w:color="000000" w:sz="0" w:space="0"/>
          <w:left w:val="none" w:color="000000" w:sz="0" w:space="0"/>
          <w:bottom w:val="none" w:color="000000" w:sz="0" w:space="0"/>
          <w:right w:val="none" w:color="000000" w:sz="0" w:space="0"/>
        </w:pBdr>
        <w:spacing w:line="85" w:lineRule="atLeast"/>
        <w:ind w:firstLine="480"/>
        <w:jc w:val="center"/>
        <w:rPr>
          <w:rFonts w:ascii="宋体" w:hAnsi="宋体" w:cs="宋体"/>
          <w:color w:val="auto"/>
          <w:sz w:val="21"/>
          <w:szCs w:val="21"/>
          <w:highlight w:val="none"/>
        </w:rPr>
      </w:pPr>
    </w:p>
    <w:p w14:paraId="62A38474">
      <w:pPr>
        <w:pBdr>
          <w:top w:val="none" w:color="000000" w:sz="0" w:space="0"/>
          <w:left w:val="none" w:color="000000" w:sz="0" w:space="0"/>
          <w:bottom w:val="none" w:color="000000" w:sz="0" w:space="0"/>
          <w:right w:val="none" w:color="000000" w:sz="0" w:space="0"/>
        </w:pBdr>
        <w:spacing w:line="85" w:lineRule="atLeast"/>
        <w:ind w:firstLine="480"/>
        <w:jc w:val="right"/>
        <w:rPr>
          <w:color w:val="auto"/>
          <w:sz w:val="21"/>
          <w:szCs w:val="21"/>
          <w:highlight w:val="none"/>
        </w:rPr>
      </w:pPr>
      <w:r>
        <w:rPr>
          <w:rFonts w:ascii="宋体" w:hAnsi="宋体" w:cs="宋体"/>
          <w:color w:val="auto"/>
          <w:sz w:val="21"/>
          <w:szCs w:val="21"/>
          <w:highlight w:val="none"/>
        </w:rPr>
        <w:t>（20   年   月）</w:t>
      </w:r>
    </w:p>
    <w:tbl>
      <w:tblPr>
        <w:tblStyle w:val="7"/>
        <w:tblpPr w:leftFromText="180" w:rightFromText="180" w:vertAnchor="text" w:horzAnchor="page" w:tblpX="2069" w:tblpY="234"/>
        <w:tblOverlap w:val="never"/>
        <w:tblW w:w="0" w:type="auto"/>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CellMar>
          <w:top w:w="0" w:type="dxa"/>
          <w:left w:w="0" w:type="dxa"/>
          <w:bottom w:w="0" w:type="dxa"/>
          <w:right w:w="0" w:type="dxa"/>
        </w:tblCellMar>
      </w:tblPr>
      <w:tblGrid>
        <w:gridCol w:w="814"/>
        <w:gridCol w:w="1788"/>
        <w:gridCol w:w="1553"/>
        <w:gridCol w:w="1175"/>
        <w:gridCol w:w="1213"/>
        <w:gridCol w:w="1304"/>
      </w:tblGrid>
      <w:tr w14:paraId="77C1D69F">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0" w:type="dxa"/>
            <w:bottom w:w="0" w:type="dxa"/>
            <w:right w:w="0" w:type="dxa"/>
          </w:tblCellMar>
        </w:tblPrEx>
        <w:trPr>
          <w:trHeight w:val="313" w:hRule="atLeast"/>
        </w:trPr>
        <w:tc>
          <w:tcPr>
            <w:tcW w:w="814" w:type="dxa"/>
            <w:tcBorders>
              <w:top w:val="single" w:color="000000" w:sz="8" w:space="0"/>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79E170F2">
            <w:pPr>
              <w:pBdr>
                <w:top w:val="none" w:color="000000" w:sz="0" w:space="0"/>
                <w:left w:val="none" w:color="000000" w:sz="0" w:space="0"/>
                <w:bottom w:val="none" w:color="000000" w:sz="0" w:space="0"/>
                <w:right w:val="none" w:color="000000" w:sz="0" w:space="0"/>
              </w:pBdr>
              <w:spacing w:line="85" w:lineRule="atLeast"/>
              <w:rPr>
                <w:color w:val="auto"/>
                <w:sz w:val="21"/>
                <w:szCs w:val="21"/>
                <w:highlight w:val="none"/>
              </w:rPr>
            </w:pPr>
            <w:r>
              <w:rPr>
                <w:rFonts w:ascii="宋体" w:hAnsi="宋体" w:cs="宋体"/>
                <w:color w:val="auto"/>
                <w:sz w:val="21"/>
                <w:szCs w:val="21"/>
                <w:highlight w:val="none"/>
              </w:rPr>
              <w:t>序号</w:t>
            </w:r>
          </w:p>
        </w:tc>
        <w:tc>
          <w:tcPr>
            <w:tcW w:w="1788" w:type="dxa"/>
            <w:tcBorders>
              <w:top w:val="single" w:color="000000" w:sz="8" w:space="0"/>
              <w:bottom w:val="single" w:color="000000" w:sz="8" w:space="0"/>
              <w:right w:val="single" w:color="000000" w:sz="8" w:space="0"/>
            </w:tcBorders>
            <w:noWrap/>
            <w:tcMar>
              <w:top w:w="0" w:type="dxa"/>
              <w:left w:w="108" w:type="dxa"/>
              <w:bottom w:w="0" w:type="dxa"/>
              <w:right w:w="108" w:type="dxa"/>
            </w:tcMar>
            <w:vAlign w:val="center"/>
          </w:tcPr>
          <w:p w14:paraId="281E9B67">
            <w:pPr>
              <w:pBdr>
                <w:top w:val="none" w:color="000000" w:sz="0" w:space="0"/>
                <w:left w:val="none" w:color="000000" w:sz="0" w:space="0"/>
                <w:bottom w:val="none" w:color="000000" w:sz="0" w:space="0"/>
                <w:right w:val="none" w:color="000000" w:sz="0" w:space="0"/>
              </w:pBdr>
              <w:spacing w:line="85" w:lineRule="atLeast"/>
              <w:rPr>
                <w:color w:val="auto"/>
                <w:sz w:val="21"/>
                <w:szCs w:val="21"/>
                <w:highlight w:val="none"/>
              </w:rPr>
            </w:pPr>
            <w:r>
              <w:rPr>
                <w:rFonts w:ascii="宋体" w:hAnsi="宋体" w:cs="宋体"/>
                <w:color w:val="auto"/>
                <w:sz w:val="21"/>
                <w:szCs w:val="21"/>
                <w:highlight w:val="none"/>
              </w:rPr>
              <w:t>考核项目</w:t>
            </w:r>
          </w:p>
        </w:tc>
        <w:tc>
          <w:tcPr>
            <w:tcW w:w="1553" w:type="dxa"/>
            <w:tcBorders>
              <w:top w:val="single" w:color="000000" w:sz="8" w:space="0"/>
              <w:bottom w:val="single" w:color="000000" w:sz="8" w:space="0"/>
              <w:right w:val="single" w:color="000000" w:sz="8" w:space="0"/>
            </w:tcBorders>
            <w:noWrap/>
            <w:tcMar>
              <w:top w:w="0" w:type="dxa"/>
              <w:left w:w="108" w:type="dxa"/>
              <w:bottom w:w="0" w:type="dxa"/>
              <w:right w:w="108" w:type="dxa"/>
            </w:tcMar>
            <w:vAlign w:val="center"/>
          </w:tcPr>
          <w:p w14:paraId="73861980">
            <w:pPr>
              <w:pBdr>
                <w:top w:val="none" w:color="000000" w:sz="0" w:space="0"/>
                <w:left w:val="none" w:color="000000" w:sz="0" w:space="0"/>
                <w:bottom w:val="none" w:color="000000" w:sz="0" w:space="0"/>
                <w:right w:val="none" w:color="000000" w:sz="0" w:space="0"/>
              </w:pBdr>
              <w:spacing w:line="85" w:lineRule="atLeast"/>
              <w:rPr>
                <w:color w:val="auto"/>
                <w:sz w:val="21"/>
                <w:szCs w:val="21"/>
                <w:highlight w:val="none"/>
              </w:rPr>
            </w:pPr>
            <w:r>
              <w:rPr>
                <w:rFonts w:ascii="宋体" w:hAnsi="宋体" w:cs="宋体"/>
                <w:color w:val="auto"/>
                <w:sz w:val="21"/>
                <w:szCs w:val="21"/>
                <w:highlight w:val="none"/>
              </w:rPr>
              <w:t>单项得分</w:t>
            </w:r>
          </w:p>
        </w:tc>
        <w:tc>
          <w:tcPr>
            <w:tcW w:w="1175" w:type="dxa"/>
            <w:tcBorders>
              <w:top w:val="single" w:color="000000" w:sz="8" w:space="0"/>
              <w:bottom w:val="single" w:color="000000" w:sz="8" w:space="0"/>
              <w:right w:val="single" w:color="000000" w:sz="8" w:space="0"/>
            </w:tcBorders>
            <w:noWrap/>
            <w:tcMar>
              <w:top w:w="0" w:type="dxa"/>
              <w:left w:w="108" w:type="dxa"/>
              <w:bottom w:w="0" w:type="dxa"/>
              <w:right w:w="108" w:type="dxa"/>
            </w:tcMar>
            <w:vAlign w:val="center"/>
          </w:tcPr>
          <w:p w14:paraId="257DA69A">
            <w:pPr>
              <w:pBdr>
                <w:top w:val="none" w:color="000000" w:sz="0" w:space="0"/>
                <w:left w:val="none" w:color="000000" w:sz="0" w:space="0"/>
                <w:bottom w:val="none" w:color="000000" w:sz="0" w:space="0"/>
                <w:right w:val="none" w:color="000000" w:sz="0" w:space="0"/>
              </w:pBdr>
              <w:spacing w:line="85" w:lineRule="atLeast"/>
              <w:rPr>
                <w:color w:val="auto"/>
                <w:sz w:val="21"/>
                <w:szCs w:val="21"/>
                <w:highlight w:val="none"/>
              </w:rPr>
            </w:pPr>
            <w:r>
              <w:rPr>
                <w:rFonts w:ascii="宋体" w:hAnsi="宋体" w:cs="宋体"/>
                <w:color w:val="auto"/>
                <w:sz w:val="21"/>
                <w:szCs w:val="21"/>
                <w:highlight w:val="none"/>
              </w:rPr>
              <w:t>权重</w:t>
            </w:r>
          </w:p>
        </w:tc>
        <w:tc>
          <w:tcPr>
            <w:tcW w:w="1213" w:type="dxa"/>
            <w:tcBorders>
              <w:top w:val="single" w:color="000000" w:sz="8" w:space="0"/>
              <w:bottom w:val="single" w:color="000000" w:sz="8" w:space="0"/>
              <w:right w:val="single" w:color="000000" w:sz="8" w:space="0"/>
            </w:tcBorders>
            <w:noWrap/>
            <w:tcMar>
              <w:top w:w="0" w:type="dxa"/>
              <w:left w:w="108" w:type="dxa"/>
              <w:bottom w:w="0" w:type="dxa"/>
              <w:right w:w="108" w:type="dxa"/>
            </w:tcMar>
            <w:vAlign w:val="center"/>
          </w:tcPr>
          <w:p w14:paraId="04E4A758">
            <w:pPr>
              <w:pBdr>
                <w:top w:val="none" w:color="000000" w:sz="0" w:space="0"/>
                <w:left w:val="none" w:color="000000" w:sz="0" w:space="0"/>
                <w:bottom w:val="none" w:color="000000" w:sz="0" w:space="0"/>
                <w:right w:val="none" w:color="000000" w:sz="0" w:space="0"/>
              </w:pBdr>
              <w:spacing w:line="85" w:lineRule="atLeast"/>
              <w:rPr>
                <w:color w:val="auto"/>
                <w:sz w:val="21"/>
                <w:szCs w:val="21"/>
                <w:highlight w:val="none"/>
              </w:rPr>
            </w:pPr>
            <w:r>
              <w:rPr>
                <w:rFonts w:ascii="宋体" w:hAnsi="宋体" w:cs="宋体"/>
                <w:color w:val="auto"/>
                <w:sz w:val="21"/>
                <w:szCs w:val="21"/>
                <w:highlight w:val="none"/>
              </w:rPr>
              <w:t>得分</w:t>
            </w:r>
          </w:p>
        </w:tc>
        <w:tc>
          <w:tcPr>
            <w:tcW w:w="1304" w:type="dxa"/>
            <w:tcBorders>
              <w:top w:val="single" w:color="000000" w:sz="8" w:space="0"/>
              <w:bottom w:val="single" w:color="000000" w:sz="8" w:space="0"/>
              <w:right w:val="single" w:color="000000" w:sz="8" w:space="0"/>
            </w:tcBorders>
            <w:noWrap/>
            <w:tcMar>
              <w:top w:w="0" w:type="dxa"/>
              <w:left w:w="108" w:type="dxa"/>
              <w:bottom w:w="0" w:type="dxa"/>
              <w:right w:w="108" w:type="dxa"/>
            </w:tcMar>
            <w:vAlign w:val="center"/>
          </w:tcPr>
          <w:p w14:paraId="32D527D6">
            <w:pPr>
              <w:pBdr>
                <w:top w:val="none" w:color="000000" w:sz="0" w:space="0"/>
                <w:left w:val="none" w:color="000000" w:sz="0" w:space="0"/>
                <w:bottom w:val="none" w:color="000000" w:sz="0" w:space="0"/>
                <w:right w:val="none" w:color="000000" w:sz="0" w:space="0"/>
              </w:pBdr>
              <w:spacing w:line="85" w:lineRule="atLeast"/>
              <w:rPr>
                <w:color w:val="auto"/>
                <w:sz w:val="21"/>
                <w:szCs w:val="21"/>
                <w:highlight w:val="none"/>
              </w:rPr>
            </w:pPr>
            <w:r>
              <w:rPr>
                <w:rFonts w:ascii="宋体" w:hAnsi="宋体" w:cs="宋体"/>
                <w:color w:val="auto"/>
                <w:sz w:val="21"/>
                <w:szCs w:val="21"/>
                <w:highlight w:val="none"/>
              </w:rPr>
              <w:t>备注</w:t>
            </w:r>
          </w:p>
        </w:tc>
      </w:tr>
      <w:tr w14:paraId="0E3DFEB1">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0" w:type="dxa"/>
            <w:bottom w:w="0" w:type="dxa"/>
            <w:right w:w="0" w:type="dxa"/>
          </w:tblCellMar>
        </w:tblPrEx>
        <w:trPr>
          <w:trHeight w:val="301" w:hRule="atLeast"/>
        </w:trPr>
        <w:tc>
          <w:tcPr>
            <w:tcW w:w="814" w:type="dxa"/>
            <w:tcBorders>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23511CD1">
            <w:pPr>
              <w:pBdr>
                <w:top w:val="none" w:color="000000" w:sz="0" w:space="0"/>
                <w:left w:val="none" w:color="000000" w:sz="0" w:space="0"/>
                <w:bottom w:val="none" w:color="000000" w:sz="0" w:space="0"/>
                <w:right w:val="none" w:color="000000" w:sz="0" w:space="0"/>
              </w:pBdr>
              <w:spacing w:line="85" w:lineRule="atLeast"/>
              <w:rPr>
                <w:color w:val="auto"/>
                <w:sz w:val="21"/>
                <w:szCs w:val="21"/>
                <w:highlight w:val="none"/>
              </w:rPr>
            </w:pPr>
            <w:r>
              <w:rPr>
                <w:rFonts w:ascii="宋体" w:hAnsi="宋体" w:cs="宋体"/>
                <w:color w:val="auto"/>
                <w:sz w:val="21"/>
                <w:szCs w:val="21"/>
                <w:highlight w:val="none"/>
              </w:rPr>
              <w:t>1</w:t>
            </w:r>
          </w:p>
        </w:tc>
        <w:tc>
          <w:tcPr>
            <w:tcW w:w="1788" w:type="dxa"/>
            <w:tcBorders>
              <w:bottom w:val="single" w:color="000000" w:sz="8" w:space="0"/>
              <w:right w:val="single" w:color="000000" w:sz="8" w:space="0"/>
            </w:tcBorders>
            <w:noWrap/>
            <w:tcMar>
              <w:top w:w="0" w:type="dxa"/>
              <w:left w:w="108" w:type="dxa"/>
              <w:bottom w:w="0" w:type="dxa"/>
              <w:right w:w="108" w:type="dxa"/>
            </w:tcMar>
            <w:vAlign w:val="center"/>
          </w:tcPr>
          <w:p w14:paraId="34565B7A">
            <w:pPr>
              <w:pBdr>
                <w:top w:val="none" w:color="000000" w:sz="0" w:space="0"/>
                <w:left w:val="none" w:color="000000" w:sz="0" w:space="0"/>
                <w:bottom w:val="none" w:color="000000" w:sz="0" w:space="0"/>
                <w:right w:val="none" w:color="000000" w:sz="0" w:space="0"/>
              </w:pBdr>
              <w:spacing w:line="85" w:lineRule="atLeast"/>
              <w:rPr>
                <w:color w:val="auto"/>
                <w:sz w:val="21"/>
                <w:szCs w:val="21"/>
                <w:highlight w:val="none"/>
              </w:rPr>
            </w:pPr>
            <w:r>
              <w:rPr>
                <w:rFonts w:ascii="宋体" w:hAnsi="宋体" w:cs="宋体"/>
                <w:color w:val="auto"/>
                <w:sz w:val="21"/>
                <w:szCs w:val="21"/>
                <w:highlight w:val="none"/>
              </w:rPr>
              <w:t>设施巡查</w:t>
            </w:r>
          </w:p>
        </w:tc>
        <w:tc>
          <w:tcPr>
            <w:tcW w:w="1553" w:type="dxa"/>
            <w:tcBorders>
              <w:bottom w:val="single" w:color="000000" w:sz="8" w:space="0"/>
              <w:right w:val="single" w:color="000000" w:sz="8" w:space="0"/>
            </w:tcBorders>
            <w:noWrap/>
            <w:tcMar>
              <w:top w:w="0" w:type="dxa"/>
              <w:left w:w="108" w:type="dxa"/>
              <w:bottom w:w="0" w:type="dxa"/>
              <w:right w:w="108" w:type="dxa"/>
            </w:tcMar>
            <w:vAlign w:val="center"/>
          </w:tcPr>
          <w:p w14:paraId="177A8343">
            <w:pPr>
              <w:pBdr>
                <w:top w:val="none" w:color="000000" w:sz="0" w:space="0"/>
                <w:left w:val="none" w:color="000000" w:sz="0" w:space="0"/>
                <w:bottom w:val="none" w:color="000000" w:sz="0" w:space="0"/>
                <w:right w:val="none" w:color="000000" w:sz="0" w:space="0"/>
              </w:pBdr>
              <w:spacing w:line="85" w:lineRule="atLeast"/>
              <w:rPr>
                <w:color w:val="auto"/>
                <w:sz w:val="21"/>
                <w:szCs w:val="21"/>
                <w:highlight w:val="none"/>
              </w:rPr>
            </w:pPr>
          </w:p>
        </w:tc>
        <w:tc>
          <w:tcPr>
            <w:tcW w:w="1175" w:type="dxa"/>
            <w:tcBorders>
              <w:bottom w:val="single" w:color="000000" w:sz="8" w:space="0"/>
              <w:right w:val="single" w:color="000000" w:sz="8" w:space="0"/>
            </w:tcBorders>
            <w:noWrap/>
            <w:tcMar>
              <w:top w:w="0" w:type="dxa"/>
              <w:left w:w="108" w:type="dxa"/>
              <w:bottom w:w="0" w:type="dxa"/>
              <w:right w:w="108" w:type="dxa"/>
            </w:tcMar>
            <w:vAlign w:val="center"/>
          </w:tcPr>
          <w:p w14:paraId="52B5520C">
            <w:pPr>
              <w:pBdr>
                <w:top w:val="none" w:color="000000" w:sz="0" w:space="0"/>
                <w:left w:val="none" w:color="000000" w:sz="0" w:space="0"/>
                <w:bottom w:val="none" w:color="000000" w:sz="0" w:space="0"/>
                <w:right w:val="none" w:color="000000" w:sz="0" w:space="0"/>
              </w:pBdr>
              <w:spacing w:line="85" w:lineRule="atLeast"/>
              <w:rPr>
                <w:color w:val="auto"/>
                <w:sz w:val="21"/>
                <w:szCs w:val="21"/>
                <w:highlight w:val="none"/>
              </w:rPr>
            </w:pPr>
            <w:r>
              <w:rPr>
                <w:rFonts w:ascii="宋体" w:hAnsi="宋体" w:cs="宋体"/>
                <w:color w:val="auto"/>
                <w:sz w:val="21"/>
                <w:szCs w:val="21"/>
                <w:highlight w:val="none"/>
              </w:rPr>
              <w:t>20%</w:t>
            </w:r>
          </w:p>
        </w:tc>
        <w:tc>
          <w:tcPr>
            <w:tcW w:w="1213" w:type="dxa"/>
            <w:tcBorders>
              <w:bottom w:val="single" w:color="000000" w:sz="8" w:space="0"/>
              <w:right w:val="single" w:color="000000" w:sz="8" w:space="0"/>
            </w:tcBorders>
            <w:noWrap/>
            <w:tcMar>
              <w:top w:w="0" w:type="dxa"/>
              <w:left w:w="108" w:type="dxa"/>
              <w:bottom w:w="0" w:type="dxa"/>
              <w:right w:w="108" w:type="dxa"/>
            </w:tcMar>
            <w:vAlign w:val="center"/>
          </w:tcPr>
          <w:p w14:paraId="40416A1D">
            <w:pPr>
              <w:pBdr>
                <w:top w:val="none" w:color="000000" w:sz="0" w:space="0"/>
                <w:left w:val="none" w:color="000000" w:sz="0" w:space="0"/>
                <w:bottom w:val="none" w:color="000000" w:sz="0" w:space="0"/>
                <w:right w:val="none" w:color="000000" w:sz="0" w:space="0"/>
              </w:pBdr>
              <w:spacing w:line="85" w:lineRule="atLeast"/>
              <w:rPr>
                <w:color w:val="auto"/>
                <w:sz w:val="21"/>
                <w:szCs w:val="21"/>
                <w:highlight w:val="none"/>
              </w:rPr>
            </w:pPr>
          </w:p>
        </w:tc>
        <w:tc>
          <w:tcPr>
            <w:tcW w:w="1304" w:type="dxa"/>
            <w:tcBorders>
              <w:bottom w:val="single" w:color="000000" w:sz="8" w:space="0"/>
              <w:right w:val="single" w:color="000000" w:sz="8" w:space="0"/>
            </w:tcBorders>
            <w:noWrap/>
            <w:tcMar>
              <w:top w:w="0" w:type="dxa"/>
              <w:left w:w="108" w:type="dxa"/>
              <w:bottom w:w="0" w:type="dxa"/>
              <w:right w:w="108" w:type="dxa"/>
            </w:tcMar>
            <w:vAlign w:val="center"/>
          </w:tcPr>
          <w:p w14:paraId="798CC0AF">
            <w:pPr>
              <w:pBdr>
                <w:top w:val="none" w:color="000000" w:sz="0" w:space="0"/>
                <w:left w:val="none" w:color="000000" w:sz="0" w:space="0"/>
                <w:bottom w:val="none" w:color="000000" w:sz="0" w:space="0"/>
                <w:right w:val="none" w:color="000000" w:sz="0" w:space="0"/>
              </w:pBdr>
              <w:spacing w:line="85" w:lineRule="atLeast"/>
              <w:rPr>
                <w:color w:val="auto"/>
                <w:sz w:val="21"/>
                <w:szCs w:val="21"/>
                <w:highlight w:val="none"/>
              </w:rPr>
            </w:pPr>
          </w:p>
        </w:tc>
      </w:tr>
      <w:tr w14:paraId="637F94BF">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0" w:type="dxa"/>
            <w:bottom w:w="0" w:type="dxa"/>
            <w:right w:w="0" w:type="dxa"/>
          </w:tblCellMar>
        </w:tblPrEx>
        <w:trPr>
          <w:trHeight w:val="313" w:hRule="atLeast"/>
        </w:trPr>
        <w:tc>
          <w:tcPr>
            <w:tcW w:w="814" w:type="dxa"/>
            <w:tcBorders>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038DF6CA">
            <w:pPr>
              <w:pBdr>
                <w:top w:val="none" w:color="000000" w:sz="0" w:space="0"/>
                <w:left w:val="none" w:color="000000" w:sz="0" w:space="0"/>
                <w:bottom w:val="none" w:color="000000" w:sz="0" w:space="0"/>
                <w:right w:val="none" w:color="000000" w:sz="0" w:space="0"/>
              </w:pBdr>
              <w:spacing w:line="85" w:lineRule="atLeast"/>
              <w:rPr>
                <w:color w:val="auto"/>
                <w:sz w:val="21"/>
                <w:szCs w:val="21"/>
                <w:highlight w:val="none"/>
              </w:rPr>
            </w:pPr>
            <w:r>
              <w:rPr>
                <w:rFonts w:ascii="宋体" w:hAnsi="宋体" w:cs="宋体"/>
                <w:color w:val="auto"/>
                <w:sz w:val="21"/>
                <w:szCs w:val="21"/>
                <w:highlight w:val="none"/>
              </w:rPr>
              <w:t>2</w:t>
            </w:r>
          </w:p>
        </w:tc>
        <w:tc>
          <w:tcPr>
            <w:tcW w:w="1788" w:type="dxa"/>
            <w:tcBorders>
              <w:bottom w:val="single" w:color="000000" w:sz="8" w:space="0"/>
              <w:right w:val="single" w:color="000000" w:sz="8" w:space="0"/>
            </w:tcBorders>
            <w:noWrap/>
            <w:tcMar>
              <w:top w:w="0" w:type="dxa"/>
              <w:left w:w="108" w:type="dxa"/>
              <w:bottom w:w="0" w:type="dxa"/>
              <w:right w:w="108" w:type="dxa"/>
            </w:tcMar>
            <w:vAlign w:val="center"/>
          </w:tcPr>
          <w:p w14:paraId="19F18CD3">
            <w:pPr>
              <w:pBdr>
                <w:top w:val="none" w:color="000000" w:sz="0" w:space="0"/>
                <w:left w:val="none" w:color="000000" w:sz="0" w:space="0"/>
                <w:bottom w:val="none" w:color="000000" w:sz="0" w:space="0"/>
                <w:right w:val="none" w:color="000000" w:sz="0" w:space="0"/>
              </w:pBdr>
              <w:spacing w:line="85" w:lineRule="atLeast"/>
              <w:rPr>
                <w:color w:val="auto"/>
                <w:sz w:val="21"/>
                <w:szCs w:val="21"/>
                <w:highlight w:val="none"/>
              </w:rPr>
            </w:pPr>
            <w:r>
              <w:rPr>
                <w:rFonts w:ascii="宋体" w:hAnsi="宋体" w:cs="宋体"/>
                <w:color w:val="auto"/>
                <w:sz w:val="21"/>
                <w:szCs w:val="21"/>
                <w:highlight w:val="none"/>
              </w:rPr>
              <w:t>设施维护</w:t>
            </w:r>
          </w:p>
        </w:tc>
        <w:tc>
          <w:tcPr>
            <w:tcW w:w="1553" w:type="dxa"/>
            <w:tcBorders>
              <w:bottom w:val="single" w:color="000000" w:sz="8" w:space="0"/>
              <w:right w:val="single" w:color="000000" w:sz="8" w:space="0"/>
            </w:tcBorders>
            <w:noWrap/>
            <w:tcMar>
              <w:top w:w="0" w:type="dxa"/>
              <w:left w:w="108" w:type="dxa"/>
              <w:bottom w:w="0" w:type="dxa"/>
              <w:right w:w="108" w:type="dxa"/>
            </w:tcMar>
            <w:vAlign w:val="center"/>
          </w:tcPr>
          <w:p w14:paraId="37F5D943">
            <w:pPr>
              <w:pBdr>
                <w:top w:val="none" w:color="000000" w:sz="0" w:space="0"/>
                <w:left w:val="none" w:color="000000" w:sz="0" w:space="0"/>
                <w:bottom w:val="none" w:color="000000" w:sz="0" w:space="0"/>
                <w:right w:val="none" w:color="000000" w:sz="0" w:space="0"/>
              </w:pBdr>
              <w:spacing w:line="85" w:lineRule="atLeast"/>
              <w:rPr>
                <w:color w:val="auto"/>
                <w:sz w:val="21"/>
                <w:szCs w:val="21"/>
                <w:highlight w:val="none"/>
              </w:rPr>
            </w:pPr>
          </w:p>
        </w:tc>
        <w:tc>
          <w:tcPr>
            <w:tcW w:w="1175" w:type="dxa"/>
            <w:tcBorders>
              <w:bottom w:val="single" w:color="000000" w:sz="8" w:space="0"/>
              <w:right w:val="single" w:color="000000" w:sz="8" w:space="0"/>
            </w:tcBorders>
            <w:noWrap/>
            <w:tcMar>
              <w:top w:w="0" w:type="dxa"/>
              <w:left w:w="108" w:type="dxa"/>
              <w:bottom w:w="0" w:type="dxa"/>
              <w:right w:w="108" w:type="dxa"/>
            </w:tcMar>
            <w:vAlign w:val="center"/>
          </w:tcPr>
          <w:p w14:paraId="539AAEB4">
            <w:pPr>
              <w:pBdr>
                <w:top w:val="none" w:color="000000" w:sz="0" w:space="0"/>
                <w:left w:val="none" w:color="000000" w:sz="0" w:space="0"/>
                <w:bottom w:val="none" w:color="000000" w:sz="0" w:space="0"/>
                <w:right w:val="none" w:color="000000" w:sz="0" w:space="0"/>
              </w:pBdr>
              <w:spacing w:line="85" w:lineRule="atLeast"/>
              <w:rPr>
                <w:color w:val="auto"/>
                <w:sz w:val="21"/>
                <w:szCs w:val="21"/>
                <w:highlight w:val="none"/>
              </w:rPr>
            </w:pPr>
            <w:r>
              <w:rPr>
                <w:rFonts w:ascii="宋体" w:hAnsi="宋体" w:cs="宋体"/>
                <w:color w:val="auto"/>
                <w:sz w:val="21"/>
                <w:szCs w:val="21"/>
                <w:highlight w:val="none"/>
              </w:rPr>
              <w:t>20%</w:t>
            </w:r>
          </w:p>
        </w:tc>
        <w:tc>
          <w:tcPr>
            <w:tcW w:w="1213" w:type="dxa"/>
            <w:tcBorders>
              <w:bottom w:val="single" w:color="000000" w:sz="8" w:space="0"/>
              <w:right w:val="single" w:color="000000" w:sz="8" w:space="0"/>
            </w:tcBorders>
            <w:noWrap/>
            <w:tcMar>
              <w:top w:w="0" w:type="dxa"/>
              <w:left w:w="108" w:type="dxa"/>
              <w:bottom w:w="0" w:type="dxa"/>
              <w:right w:w="108" w:type="dxa"/>
            </w:tcMar>
            <w:vAlign w:val="center"/>
          </w:tcPr>
          <w:p w14:paraId="24802720">
            <w:pPr>
              <w:pBdr>
                <w:top w:val="none" w:color="000000" w:sz="0" w:space="0"/>
                <w:left w:val="none" w:color="000000" w:sz="0" w:space="0"/>
                <w:bottom w:val="none" w:color="000000" w:sz="0" w:space="0"/>
                <w:right w:val="none" w:color="000000" w:sz="0" w:space="0"/>
              </w:pBdr>
              <w:spacing w:line="85" w:lineRule="atLeast"/>
              <w:rPr>
                <w:color w:val="auto"/>
                <w:sz w:val="21"/>
                <w:szCs w:val="21"/>
                <w:highlight w:val="none"/>
              </w:rPr>
            </w:pPr>
          </w:p>
        </w:tc>
        <w:tc>
          <w:tcPr>
            <w:tcW w:w="1304" w:type="dxa"/>
            <w:tcBorders>
              <w:bottom w:val="single" w:color="000000" w:sz="8" w:space="0"/>
              <w:right w:val="single" w:color="000000" w:sz="8" w:space="0"/>
            </w:tcBorders>
            <w:noWrap/>
            <w:tcMar>
              <w:top w:w="0" w:type="dxa"/>
              <w:left w:w="108" w:type="dxa"/>
              <w:bottom w:w="0" w:type="dxa"/>
              <w:right w:w="108" w:type="dxa"/>
            </w:tcMar>
            <w:vAlign w:val="center"/>
          </w:tcPr>
          <w:p w14:paraId="13C8F8A3">
            <w:pPr>
              <w:pBdr>
                <w:top w:val="none" w:color="000000" w:sz="0" w:space="0"/>
                <w:left w:val="none" w:color="000000" w:sz="0" w:space="0"/>
                <w:bottom w:val="none" w:color="000000" w:sz="0" w:space="0"/>
                <w:right w:val="none" w:color="000000" w:sz="0" w:space="0"/>
              </w:pBdr>
              <w:spacing w:line="85" w:lineRule="atLeast"/>
              <w:rPr>
                <w:color w:val="auto"/>
                <w:sz w:val="21"/>
                <w:szCs w:val="21"/>
                <w:highlight w:val="none"/>
              </w:rPr>
            </w:pPr>
          </w:p>
        </w:tc>
      </w:tr>
      <w:tr w14:paraId="0201B9EC">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0" w:type="dxa"/>
            <w:bottom w:w="0" w:type="dxa"/>
            <w:right w:w="0" w:type="dxa"/>
          </w:tblCellMar>
        </w:tblPrEx>
        <w:trPr>
          <w:trHeight w:val="301" w:hRule="atLeast"/>
        </w:trPr>
        <w:tc>
          <w:tcPr>
            <w:tcW w:w="814" w:type="dxa"/>
            <w:tcBorders>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5F05A468">
            <w:pPr>
              <w:pBdr>
                <w:top w:val="none" w:color="000000" w:sz="0" w:space="0"/>
                <w:left w:val="none" w:color="000000" w:sz="0" w:space="0"/>
                <w:bottom w:val="none" w:color="000000" w:sz="0" w:space="0"/>
                <w:right w:val="none" w:color="000000" w:sz="0" w:space="0"/>
              </w:pBdr>
              <w:spacing w:line="85" w:lineRule="atLeast"/>
              <w:rPr>
                <w:color w:val="auto"/>
                <w:sz w:val="21"/>
                <w:szCs w:val="21"/>
                <w:highlight w:val="none"/>
              </w:rPr>
            </w:pPr>
            <w:r>
              <w:rPr>
                <w:rFonts w:ascii="宋体" w:hAnsi="宋体" w:cs="宋体"/>
                <w:color w:val="auto"/>
                <w:sz w:val="21"/>
                <w:szCs w:val="21"/>
                <w:highlight w:val="none"/>
              </w:rPr>
              <w:t>3</w:t>
            </w:r>
          </w:p>
        </w:tc>
        <w:tc>
          <w:tcPr>
            <w:tcW w:w="1788" w:type="dxa"/>
            <w:tcBorders>
              <w:bottom w:val="single" w:color="000000" w:sz="8" w:space="0"/>
              <w:right w:val="single" w:color="000000" w:sz="8" w:space="0"/>
            </w:tcBorders>
            <w:noWrap/>
            <w:tcMar>
              <w:top w:w="0" w:type="dxa"/>
              <w:left w:w="108" w:type="dxa"/>
              <w:bottom w:w="0" w:type="dxa"/>
              <w:right w:w="108" w:type="dxa"/>
            </w:tcMar>
            <w:vAlign w:val="center"/>
          </w:tcPr>
          <w:p w14:paraId="02668EE7">
            <w:pPr>
              <w:pBdr>
                <w:top w:val="none" w:color="000000" w:sz="0" w:space="0"/>
                <w:left w:val="none" w:color="000000" w:sz="0" w:space="0"/>
                <w:bottom w:val="none" w:color="000000" w:sz="0" w:space="0"/>
                <w:right w:val="none" w:color="000000" w:sz="0" w:space="0"/>
              </w:pBdr>
              <w:spacing w:line="85" w:lineRule="atLeast"/>
              <w:rPr>
                <w:color w:val="auto"/>
                <w:sz w:val="21"/>
                <w:szCs w:val="21"/>
                <w:highlight w:val="none"/>
              </w:rPr>
            </w:pPr>
            <w:r>
              <w:rPr>
                <w:rFonts w:ascii="宋体" w:hAnsi="宋体" w:cs="宋体"/>
                <w:color w:val="auto"/>
                <w:sz w:val="21"/>
                <w:szCs w:val="21"/>
                <w:highlight w:val="none"/>
              </w:rPr>
              <w:t>设施完好率</w:t>
            </w:r>
          </w:p>
        </w:tc>
        <w:tc>
          <w:tcPr>
            <w:tcW w:w="1553" w:type="dxa"/>
            <w:tcBorders>
              <w:bottom w:val="single" w:color="000000" w:sz="8" w:space="0"/>
              <w:right w:val="single" w:color="000000" w:sz="8" w:space="0"/>
            </w:tcBorders>
            <w:noWrap/>
            <w:tcMar>
              <w:top w:w="0" w:type="dxa"/>
              <w:left w:w="108" w:type="dxa"/>
              <w:bottom w:w="0" w:type="dxa"/>
              <w:right w:w="108" w:type="dxa"/>
            </w:tcMar>
            <w:vAlign w:val="center"/>
          </w:tcPr>
          <w:p w14:paraId="673CEAD2">
            <w:pPr>
              <w:pBdr>
                <w:top w:val="none" w:color="000000" w:sz="0" w:space="0"/>
                <w:left w:val="none" w:color="000000" w:sz="0" w:space="0"/>
                <w:bottom w:val="none" w:color="000000" w:sz="0" w:space="0"/>
                <w:right w:val="none" w:color="000000" w:sz="0" w:space="0"/>
              </w:pBdr>
              <w:spacing w:line="85" w:lineRule="atLeast"/>
              <w:rPr>
                <w:color w:val="auto"/>
                <w:sz w:val="21"/>
                <w:szCs w:val="21"/>
                <w:highlight w:val="none"/>
              </w:rPr>
            </w:pPr>
          </w:p>
        </w:tc>
        <w:tc>
          <w:tcPr>
            <w:tcW w:w="1175" w:type="dxa"/>
            <w:tcBorders>
              <w:bottom w:val="single" w:color="000000" w:sz="8" w:space="0"/>
              <w:right w:val="single" w:color="000000" w:sz="8" w:space="0"/>
            </w:tcBorders>
            <w:noWrap/>
            <w:tcMar>
              <w:top w:w="0" w:type="dxa"/>
              <w:left w:w="108" w:type="dxa"/>
              <w:bottom w:w="0" w:type="dxa"/>
              <w:right w:w="108" w:type="dxa"/>
            </w:tcMar>
            <w:vAlign w:val="center"/>
          </w:tcPr>
          <w:p w14:paraId="0DA988A5">
            <w:pPr>
              <w:pBdr>
                <w:top w:val="none" w:color="000000" w:sz="0" w:space="0"/>
                <w:left w:val="none" w:color="000000" w:sz="0" w:space="0"/>
                <w:bottom w:val="none" w:color="000000" w:sz="0" w:space="0"/>
                <w:right w:val="none" w:color="000000" w:sz="0" w:space="0"/>
              </w:pBdr>
              <w:spacing w:line="85" w:lineRule="atLeast"/>
              <w:rPr>
                <w:color w:val="auto"/>
                <w:sz w:val="21"/>
                <w:szCs w:val="21"/>
                <w:highlight w:val="none"/>
              </w:rPr>
            </w:pPr>
            <w:r>
              <w:rPr>
                <w:rFonts w:ascii="宋体" w:hAnsi="宋体" w:cs="宋体"/>
                <w:color w:val="auto"/>
                <w:sz w:val="21"/>
                <w:szCs w:val="21"/>
                <w:highlight w:val="none"/>
              </w:rPr>
              <w:t>60%</w:t>
            </w:r>
          </w:p>
        </w:tc>
        <w:tc>
          <w:tcPr>
            <w:tcW w:w="1213" w:type="dxa"/>
            <w:tcBorders>
              <w:bottom w:val="single" w:color="000000" w:sz="8" w:space="0"/>
              <w:right w:val="single" w:color="000000" w:sz="8" w:space="0"/>
            </w:tcBorders>
            <w:noWrap/>
            <w:tcMar>
              <w:top w:w="0" w:type="dxa"/>
              <w:left w:w="108" w:type="dxa"/>
              <w:bottom w:w="0" w:type="dxa"/>
              <w:right w:w="108" w:type="dxa"/>
            </w:tcMar>
            <w:vAlign w:val="center"/>
          </w:tcPr>
          <w:p w14:paraId="770BC42C">
            <w:pPr>
              <w:pBdr>
                <w:top w:val="none" w:color="000000" w:sz="0" w:space="0"/>
                <w:left w:val="none" w:color="000000" w:sz="0" w:space="0"/>
                <w:bottom w:val="none" w:color="000000" w:sz="0" w:space="0"/>
                <w:right w:val="none" w:color="000000" w:sz="0" w:space="0"/>
              </w:pBdr>
              <w:spacing w:line="85" w:lineRule="atLeast"/>
              <w:rPr>
                <w:color w:val="auto"/>
                <w:sz w:val="21"/>
                <w:szCs w:val="21"/>
                <w:highlight w:val="none"/>
              </w:rPr>
            </w:pPr>
          </w:p>
        </w:tc>
        <w:tc>
          <w:tcPr>
            <w:tcW w:w="1304" w:type="dxa"/>
            <w:tcBorders>
              <w:bottom w:val="single" w:color="000000" w:sz="8" w:space="0"/>
              <w:right w:val="single" w:color="000000" w:sz="8" w:space="0"/>
            </w:tcBorders>
            <w:noWrap/>
            <w:tcMar>
              <w:top w:w="0" w:type="dxa"/>
              <w:left w:w="108" w:type="dxa"/>
              <w:bottom w:w="0" w:type="dxa"/>
              <w:right w:w="108" w:type="dxa"/>
            </w:tcMar>
            <w:vAlign w:val="center"/>
          </w:tcPr>
          <w:p w14:paraId="50DC8918">
            <w:pPr>
              <w:pBdr>
                <w:top w:val="none" w:color="000000" w:sz="0" w:space="0"/>
                <w:left w:val="none" w:color="000000" w:sz="0" w:space="0"/>
                <w:bottom w:val="none" w:color="000000" w:sz="0" w:space="0"/>
                <w:right w:val="none" w:color="000000" w:sz="0" w:space="0"/>
              </w:pBdr>
              <w:spacing w:line="85" w:lineRule="atLeast"/>
              <w:rPr>
                <w:color w:val="auto"/>
                <w:sz w:val="21"/>
                <w:szCs w:val="21"/>
                <w:highlight w:val="none"/>
              </w:rPr>
            </w:pPr>
          </w:p>
        </w:tc>
      </w:tr>
      <w:tr w14:paraId="440BD9C9">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0" w:type="dxa"/>
            <w:bottom w:w="0" w:type="dxa"/>
            <w:right w:w="0" w:type="dxa"/>
          </w:tblCellMar>
        </w:tblPrEx>
        <w:trPr>
          <w:trHeight w:val="313" w:hRule="atLeast"/>
        </w:trPr>
        <w:tc>
          <w:tcPr>
            <w:tcW w:w="814" w:type="dxa"/>
            <w:tcBorders>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29BD58C6">
            <w:pPr>
              <w:pBdr>
                <w:top w:val="none" w:color="000000" w:sz="0" w:space="0"/>
                <w:left w:val="none" w:color="000000" w:sz="0" w:space="0"/>
                <w:bottom w:val="none" w:color="000000" w:sz="0" w:space="0"/>
                <w:right w:val="none" w:color="000000" w:sz="0" w:space="0"/>
              </w:pBdr>
              <w:spacing w:line="85" w:lineRule="atLeast"/>
              <w:rPr>
                <w:color w:val="auto"/>
                <w:sz w:val="21"/>
                <w:szCs w:val="21"/>
                <w:highlight w:val="none"/>
              </w:rPr>
            </w:pPr>
            <w:r>
              <w:rPr>
                <w:rFonts w:ascii="宋体" w:hAnsi="宋体" w:cs="宋体"/>
                <w:color w:val="auto"/>
                <w:sz w:val="21"/>
                <w:szCs w:val="21"/>
                <w:highlight w:val="none"/>
              </w:rPr>
              <w:t>4</w:t>
            </w:r>
          </w:p>
        </w:tc>
        <w:tc>
          <w:tcPr>
            <w:tcW w:w="1788" w:type="dxa"/>
            <w:tcBorders>
              <w:bottom w:val="single" w:color="000000" w:sz="8" w:space="0"/>
              <w:right w:val="single" w:color="000000" w:sz="8" w:space="0"/>
            </w:tcBorders>
            <w:noWrap/>
            <w:tcMar>
              <w:top w:w="0" w:type="dxa"/>
              <w:left w:w="108" w:type="dxa"/>
              <w:bottom w:w="0" w:type="dxa"/>
              <w:right w:w="108" w:type="dxa"/>
            </w:tcMar>
            <w:vAlign w:val="center"/>
          </w:tcPr>
          <w:p w14:paraId="45F8EA51">
            <w:pPr>
              <w:pBdr>
                <w:top w:val="none" w:color="000000" w:sz="0" w:space="0"/>
                <w:left w:val="none" w:color="000000" w:sz="0" w:space="0"/>
                <w:bottom w:val="none" w:color="000000" w:sz="0" w:space="0"/>
                <w:right w:val="none" w:color="000000" w:sz="0" w:space="0"/>
              </w:pBdr>
              <w:spacing w:line="85" w:lineRule="atLeast"/>
              <w:rPr>
                <w:color w:val="auto"/>
                <w:sz w:val="21"/>
                <w:szCs w:val="21"/>
                <w:highlight w:val="none"/>
              </w:rPr>
            </w:pPr>
            <w:r>
              <w:rPr>
                <w:rFonts w:ascii="宋体" w:hAnsi="宋体" w:cs="宋体"/>
                <w:color w:val="auto"/>
                <w:sz w:val="21"/>
                <w:szCs w:val="21"/>
                <w:highlight w:val="none"/>
              </w:rPr>
              <w:t>月得分合计</w:t>
            </w:r>
          </w:p>
        </w:tc>
        <w:tc>
          <w:tcPr>
            <w:tcW w:w="3941" w:type="dxa"/>
            <w:gridSpan w:val="3"/>
            <w:tcBorders>
              <w:bottom w:val="single" w:color="000000" w:sz="8" w:space="0"/>
              <w:right w:val="single" w:color="000000" w:sz="8" w:space="0"/>
            </w:tcBorders>
            <w:noWrap/>
            <w:tcMar>
              <w:top w:w="0" w:type="dxa"/>
              <w:left w:w="108" w:type="dxa"/>
              <w:bottom w:w="0" w:type="dxa"/>
              <w:right w:w="108" w:type="dxa"/>
            </w:tcMar>
            <w:vAlign w:val="center"/>
          </w:tcPr>
          <w:p w14:paraId="3ED04BF4">
            <w:pPr>
              <w:pBdr>
                <w:top w:val="none" w:color="000000" w:sz="0" w:space="0"/>
                <w:left w:val="none" w:color="000000" w:sz="0" w:space="0"/>
                <w:bottom w:val="none" w:color="000000" w:sz="0" w:space="0"/>
                <w:right w:val="none" w:color="000000" w:sz="0" w:space="0"/>
              </w:pBdr>
              <w:spacing w:line="85" w:lineRule="atLeast"/>
              <w:rPr>
                <w:color w:val="auto"/>
                <w:sz w:val="21"/>
                <w:szCs w:val="21"/>
                <w:highlight w:val="none"/>
              </w:rPr>
            </w:pPr>
          </w:p>
        </w:tc>
        <w:tc>
          <w:tcPr>
            <w:tcW w:w="1304" w:type="dxa"/>
            <w:tcBorders>
              <w:bottom w:val="single" w:color="000000" w:sz="8" w:space="0"/>
              <w:right w:val="single" w:color="000000" w:sz="8" w:space="0"/>
            </w:tcBorders>
            <w:noWrap/>
            <w:tcMar>
              <w:top w:w="0" w:type="dxa"/>
              <w:left w:w="108" w:type="dxa"/>
              <w:bottom w:w="0" w:type="dxa"/>
              <w:right w:w="108" w:type="dxa"/>
            </w:tcMar>
            <w:vAlign w:val="center"/>
          </w:tcPr>
          <w:p w14:paraId="0F481F17">
            <w:pPr>
              <w:pBdr>
                <w:top w:val="none" w:color="000000" w:sz="0" w:space="0"/>
                <w:left w:val="none" w:color="000000" w:sz="0" w:space="0"/>
                <w:bottom w:val="none" w:color="000000" w:sz="0" w:space="0"/>
                <w:right w:val="none" w:color="000000" w:sz="0" w:space="0"/>
              </w:pBdr>
              <w:spacing w:line="85" w:lineRule="atLeast"/>
              <w:rPr>
                <w:color w:val="auto"/>
                <w:sz w:val="21"/>
                <w:szCs w:val="21"/>
                <w:highlight w:val="none"/>
              </w:rPr>
            </w:pPr>
          </w:p>
        </w:tc>
      </w:tr>
    </w:tbl>
    <w:p w14:paraId="3E0324FB">
      <w:pPr>
        <w:pBdr>
          <w:top w:val="none" w:color="000000" w:sz="0" w:space="0"/>
          <w:left w:val="none" w:color="000000" w:sz="0" w:space="0"/>
          <w:bottom w:val="none" w:color="000000" w:sz="0" w:space="0"/>
          <w:right w:val="none" w:color="000000" w:sz="0" w:space="0"/>
        </w:pBdr>
        <w:spacing w:line="85" w:lineRule="atLeast"/>
        <w:ind w:firstLine="480"/>
        <w:rPr>
          <w:color w:val="auto"/>
          <w:sz w:val="21"/>
          <w:szCs w:val="21"/>
          <w:highlight w:val="none"/>
        </w:rPr>
      </w:pPr>
      <w:r>
        <w:rPr>
          <w:rFonts w:ascii="宋体" w:hAnsi="宋体" w:cs="宋体"/>
          <w:color w:val="auto"/>
          <w:sz w:val="21"/>
          <w:szCs w:val="21"/>
          <w:highlight w:val="none"/>
        </w:rPr>
        <w:t>养护单位：</w:t>
      </w:r>
    </w:p>
    <w:p w14:paraId="6877D22D">
      <w:pPr>
        <w:pBdr>
          <w:top w:val="none" w:color="000000" w:sz="0" w:space="0"/>
          <w:left w:val="none" w:color="000000" w:sz="0" w:space="0"/>
          <w:bottom w:val="none" w:color="000000" w:sz="0" w:space="0"/>
          <w:right w:val="none" w:color="000000" w:sz="0" w:space="0"/>
        </w:pBdr>
        <w:spacing w:line="85" w:lineRule="atLeast"/>
        <w:ind w:firstLine="480"/>
        <w:jc w:val="left"/>
        <w:rPr>
          <w:rFonts w:hint="eastAsia" w:ascii="宋体" w:hAnsi="宋体" w:cs="宋体"/>
          <w:color w:val="auto"/>
          <w:sz w:val="21"/>
          <w:szCs w:val="21"/>
          <w:highlight w:val="none"/>
        </w:rPr>
      </w:pPr>
      <w:r>
        <w:rPr>
          <w:rFonts w:ascii="宋体" w:hAnsi="宋体" w:cs="宋体"/>
          <w:color w:val="auto"/>
          <w:sz w:val="21"/>
          <w:szCs w:val="21"/>
          <w:highlight w:val="none"/>
        </w:rPr>
        <w:t>汇总人员：</w:t>
      </w:r>
    </w:p>
    <w:p w14:paraId="6D967A64">
      <w:pPr>
        <w:pBdr>
          <w:top w:val="none" w:color="000000" w:sz="0" w:space="0"/>
          <w:left w:val="none" w:color="000000" w:sz="0" w:space="0"/>
          <w:bottom w:val="none" w:color="000000" w:sz="0" w:space="0"/>
          <w:right w:val="none" w:color="000000" w:sz="0" w:space="0"/>
        </w:pBdr>
        <w:spacing w:line="85" w:lineRule="atLeast"/>
        <w:ind w:firstLine="480"/>
        <w:jc w:val="left"/>
        <w:rPr>
          <w:color w:val="auto"/>
          <w:sz w:val="21"/>
          <w:szCs w:val="21"/>
          <w:highlight w:val="none"/>
        </w:rPr>
      </w:pPr>
      <w:r>
        <w:rPr>
          <w:rFonts w:ascii="宋体" w:hAnsi="宋体" w:cs="宋体"/>
          <w:color w:val="auto"/>
          <w:sz w:val="21"/>
          <w:szCs w:val="21"/>
          <w:highlight w:val="none"/>
        </w:rPr>
        <w:t>汇总日期：20   年   月   日</w:t>
      </w:r>
    </w:p>
    <w:p w14:paraId="3B29FF03">
      <w:pPr>
        <w:pBdr>
          <w:top w:val="none" w:color="000000" w:sz="0" w:space="0"/>
          <w:left w:val="none" w:color="000000" w:sz="0" w:space="0"/>
          <w:bottom w:val="none" w:color="000000" w:sz="0" w:space="0"/>
          <w:right w:val="none" w:color="000000" w:sz="0" w:space="0"/>
        </w:pBdr>
        <w:spacing w:line="85" w:lineRule="atLeast"/>
        <w:ind w:firstLine="480"/>
        <w:rPr>
          <w:color w:val="auto"/>
          <w:sz w:val="21"/>
          <w:szCs w:val="21"/>
          <w:highlight w:val="none"/>
        </w:rPr>
      </w:pPr>
      <w:r>
        <w:rPr>
          <w:rFonts w:ascii="宋体" w:hAnsi="宋体" w:cs="宋体"/>
          <w:color w:val="auto"/>
          <w:sz w:val="21"/>
          <w:szCs w:val="21"/>
          <w:highlight w:val="none"/>
        </w:rPr>
        <w:t>复核人员：</w:t>
      </w:r>
    </w:p>
    <w:p w14:paraId="6DA1A821">
      <w:pPr>
        <w:spacing w:line="360" w:lineRule="auto"/>
        <w:ind w:firstLine="420"/>
        <w:rPr>
          <w:rFonts w:hint="eastAsia" w:ascii="宋体" w:hAnsi="宋体"/>
          <w:color w:val="auto"/>
          <w:sz w:val="21"/>
          <w:szCs w:val="21"/>
          <w:highlight w:val="none"/>
        </w:rPr>
      </w:pPr>
    </w:p>
    <w:p w14:paraId="16D62F54">
      <w:pPr>
        <w:pBdr>
          <w:top w:val="none" w:color="000000" w:sz="0" w:space="0"/>
          <w:left w:val="none" w:color="000000" w:sz="0" w:space="0"/>
          <w:bottom w:val="none" w:color="000000" w:sz="0" w:space="0"/>
          <w:right w:val="none" w:color="000000" w:sz="0" w:space="0"/>
        </w:pBdr>
        <w:spacing w:line="85" w:lineRule="atLeast"/>
        <w:ind w:firstLine="480"/>
        <w:rPr>
          <w:rFonts w:ascii="等线" w:hAnsi="等线" w:eastAsia="等线" w:cs="等线"/>
          <w:color w:val="auto"/>
          <w:sz w:val="21"/>
          <w:szCs w:val="21"/>
          <w:highlight w:val="none"/>
        </w:rPr>
      </w:pPr>
      <w:r>
        <w:rPr>
          <w:rFonts w:ascii="等线" w:hAnsi="等线" w:eastAsia="等线" w:cs="等线"/>
          <w:color w:val="auto"/>
          <w:sz w:val="21"/>
          <w:szCs w:val="21"/>
          <w:highlight w:val="none"/>
        </w:rPr>
        <w:br w:type="page"/>
      </w:r>
    </w:p>
    <w:p w14:paraId="454471B5">
      <w:pPr>
        <w:pBdr>
          <w:top w:val="none" w:color="000000" w:sz="0" w:space="0"/>
          <w:left w:val="none" w:color="000000" w:sz="0" w:space="0"/>
          <w:bottom w:val="none" w:color="000000" w:sz="0" w:space="0"/>
          <w:right w:val="none" w:color="000000" w:sz="0" w:space="0"/>
        </w:pBdr>
        <w:spacing w:line="85" w:lineRule="atLeast"/>
        <w:ind w:firstLine="480"/>
        <w:rPr>
          <w:rFonts w:ascii="等线" w:hAnsi="等线" w:eastAsia="等线" w:cs="等线"/>
          <w:color w:val="auto"/>
          <w:sz w:val="21"/>
          <w:szCs w:val="21"/>
          <w:highlight w:val="none"/>
        </w:rPr>
      </w:pPr>
    </w:p>
    <w:p w14:paraId="5D97C29F">
      <w:pPr>
        <w:pBdr>
          <w:top w:val="none" w:color="000000" w:sz="0" w:space="0"/>
          <w:left w:val="none" w:color="000000" w:sz="0" w:space="0"/>
          <w:bottom w:val="none" w:color="000000" w:sz="0" w:space="0"/>
          <w:right w:val="none" w:color="000000" w:sz="0" w:space="0"/>
        </w:pBdr>
        <w:spacing w:line="85" w:lineRule="atLeast"/>
        <w:ind w:firstLine="480"/>
        <w:jc w:val="center"/>
        <w:rPr>
          <w:rFonts w:hint="eastAsia"/>
          <w:b/>
          <w:bCs/>
          <w:color w:val="auto"/>
          <w:sz w:val="24"/>
          <w:szCs w:val="24"/>
          <w:highlight w:val="none"/>
          <w:lang w:val="en-US" w:eastAsia="zh-CN"/>
        </w:rPr>
      </w:pPr>
      <w:r>
        <w:rPr>
          <w:rFonts w:eastAsia="Times New Roman"/>
          <w:b/>
          <w:bCs/>
          <w:color w:val="auto"/>
          <w:sz w:val="24"/>
          <w:szCs w:val="24"/>
          <w:highlight w:val="none"/>
        </w:rPr>
        <w:t>表1-1 设施巡查考核表（日常）</w:t>
      </w:r>
    </w:p>
    <w:p w14:paraId="0A832C7D">
      <w:pPr>
        <w:pBdr>
          <w:top w:val="none" w:color="000000" w:sz="0" w:space="0"/>
          <w:left w:val="none" w:color="000000" w:sz="0" w:space="0"/>
          <w:bottom w:val="none" w:color="000000" w:sz="0" w:space="0"/>
          <w:right w:val="none" w:color="000000" w:sz="0" w:space="0"/>
        </w:pBdr>
        <w:spacing w:line="85" w:lineRule="atLeast"/>
        <w:ind w:firstLine="480"/>
        <w:rPr>
          <w:rFonts w:eastAsia="Times New Roman"/>
          <w:color w:val="auto"/>
          <w:sz w:val="21"/>
          <w:szCs w:val="21"/>
          <w:highlight w:val="none"/>
        </w:rPr>
      </w:pPr>
    </w:p>
    <w:p w14:paraId="7170749A">
      <w:pPr>
        <w:pBdr>
          <w:top w:val="none" w:color="000000" w:sz="0" w:space="0"/>
          <w:left w:val="none" w:color="000000" w:sz="0" w:space="0"/>
          <w:bottom w:val="none" w:color="000000" w:sz="0" w:space="0"/>
          <w:right w:val="none" w:color="000000" w:sz="0" w:space="0"/>
        </w:pBdr>
        <w:spacing w:line="85" w:lineRule="atLeast"/>
        <w:ind w:firstLine="480"/>
        <w:rPr>
          <w:color w:val="auto"/>
          <w:sz w:val="21"/>
          <w:szCs w:val="21"/>
          <w:highlight w:val="none"/>
        </w:rPr>
      </w:pPr>
      <w:r>
        <w:rPr>
          <w:rFonts w:eastAsia="Times New Roman"/>
          <w:color w:val="auto"/>
          <w:sz w:val="21"/>
          <w:szCs w:val="21"/>
          <w:highlight w:val="none"/>
        </w:rPr>
        <w:t>（</w:t>
      </w:r>
      <w:r>
        <w:rPr>
          <w:rFonts w:ascii="宋体" w:hAnsi="宋体" w:cs="宋体"/>
          <w:color w:val="auto"/>
          <w:sz w:val="21"/>
          <w:szCs w:val="21"/>
          <w:highlight w:val="none"/>
        </w:rPr>
        <w:t>202</w:t>
      </w:r>
      <w:r>
        <w:rPr>
          <w:rFonts w:hint="eastAsia" w:ascii="宋体" w:hAnsi="宋体" w:cs="宋体"/>
          <w:color w:val="auto"/>
          <w:sz w:val="21"/>
          <w:szCs w:val="21"/>
          <w:highlight w:val="none"/>
          <w:lang w:val="en-US" w:eastAsia="zh-CN"/>
        </w:rPr>
        <w:t xml:space="preserve"> </w:t>
      </w:r>
      <w:r>
        <w:rPr>
          <w:rFonts w:ascii="宋体" w:hAnsi="宋体" w:cs="宋体"/>
          <w:color w:val="auto"/>
          <w:sz w:val="21"/>
          <w:szCs w:val="21"/>
          <w:highlight w:val="none"/>
        </w:rPr>
        <w:t xml:space="preserve"> </w:t>
      </w:r>
      <w:r>
        <w:rPr>
          <w:rFonts w:eastAsia="Times New Roman"/>
          <w:color w:val="auto"/>
          <w:sz w:val="21"/>
          <w:szCs w:val="21"/>
          <w:highlight w:val="none"/>
        </w:rPr>
        <w:t>年</w:t>
      </w:r>
      <w:r>
        <w:rPr>
          <w:rFonts w:ascii="宋体" w:hAnsi="宋体" w:cs="宋体"/>
          <w:color w:val="auto"/>
          <w:sz w:val="21"/>
          <w:szCs w:val="21"/>
          <w:highlight w:val="none"/>
        </w:rPr>
        <w:t> </w:t>
      </w:r>
      <w:r>
        <w:rPr>
          <w:rFonts w:eastAsia="Times New Roman"/>
          <w:color w:val="auto"/>
          <w:sz w:val="21"/>
          <w:szCs w:val="21"/>
          <w:highlight w:val="none"/>
        </w:rPr>
        <w:t>月）</w:t>
      </w:r>
    </w:p>
    <w:tbl>
      <w:tblPr>
        <w:tblStyle w:val="7"/>
        <w:tblW w:w="9757" w:type="dxa"/>
        <w:tblInd w:w="-356"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CellMar>
          <w:top w:w="0" w:type="dxa"/>
          <w:left w:w="0" w:type="dxa"/>
          <w:bottom w:w="0" w:type="dxa"/>
          <w:right w:w="0" w:type="dxa"/>
        </w:tblCellMar>
      </w:tblPr>
      <w:tblGrid>
        <w:gridCol w:w="426"/>
        <w:gridCol w:w="679"/>
        <w:gridCol w:w="4390"/>
        <w:gridCol w:w="1548"/>
        <w:gridCol w:w="690"/>
        <w:gridCol w:w="676"/>
        <w:gridCol w:w="662"/>
        <w:gridCol w:w="686"/>
      </w:tblGrid>
      <w:tr w14:paraId="2E7BE882">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0" w:type="dxa"/>
            <w:bottom w:w="0" w:type="dxa"/>
            <w:right w:w="0" w:type="dxa"/>
          </w:tblCellMar>
        </w:tblPrEx>
        <w:tc>
          <w:tcPr>
            <w:tcW w:w="426" w:type="dxa"/>
            <w:tcBorders>
              <w:top w:val="single" w:color="000000" w:sz="8" w:space="0"/>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4A1049A8">
            <w:pPr>
              <w:pBdr>
                <w:top w:val="none" w:color="000000" w:sz="0" w:space="0"/>
                <w:left w:val="none" w:color="000000" w:sz="0" w:space="0"/>
                <w:bottom w:val="none" w:color="000000" w:sz="0" w:space="0"/>
                <w:right w:val="none" w:color="000000" w:sz="0" w:space="0"/>
              </w:pBdr>
              <w:spacing w:line="85" w:lineRule="atLeast"/>
              <w:jc w:val="center"/>
              <w:rPr>
                <w:color w:val="auto"/>
                <w:sz w:val="21"/>
                <w:szCs w:val="21"/>
                <w:highlight w:val="none"/>
              </w:rPr>
            </w:pPr>
            <w:r>
              <w:rPr>
                <w:rFonts w:ascii="宋体" w:hAnsi="宋体" w:cs="宋体"/>
                <w:color w:val="auto"/>
                <w:sz w:val="21"/>
                <w:szCs w:val="21"/>
                <w:highlight w:val="none"/>
              </w:rPr>
              <w:t>序号</w:t>
            </w:r>
          </w:p>
        </w:tc>
        <w:tc>
          <w:tcPr>
            <w:tcW w:w="679" w:type="dxa"/>
            <w:tcBorders>
              <w:top w:val="single" w:color="000000" w:sz="8" w:space="0"/>
              <w:bottom w:val="single" w:color="000000" w:sz="8" w:space="0"/>
              <w:right w:val="single" w:color="000000" w:sz="8" w:space="0"/>
            </w:tcBorders>
            <w:noWrap/>
            <w:tcMar>
              <w:top w:w="0" w:type="dxa"/>
              <w:left w:w="108" w:type="dxa"/>
              <w:bottom w:w="0" w:type="dxa"/>
              <w:right w:w="108" w:type="dxa"/>
            </w:tcMar>
            <w:vAlign w:val="center"/>
          </w:tcPr>
          <w:p w14:paraId="7CEE8D65">
            <w:pPr>
              <w:pBdr>
                <w:top w:val="none" w:color="000000" w:sz="0" w:space="0"/>
                <w:left w:val="none" w:color="000000" w:sz="0" w:space="0"/>
                <w:bottom w:val="none" w:color="000000" w:sz="0" w:space="0"/>
                <w:right w:val="none" w:color="000000" w:sz="0" w:space="0"/>
              </w:pBdr>
              <w:spacing w:line="85" w:lineRule="atLeast"/>
              <w:jc w:val="center"/>
              <w:rPr>
                <w:color w:val="auto"/>
                <w:sz w:val="21"/>
                <w:szCs w:val="21"/>
                <w:highlight w:val="none"/>
              </w:rPr>
            </w:pPr>
            <w:r>
              <w:rPr>
                <w:rFonts w:ascii="宋体" w:hAnsi="宋体" w:cs="宋体"/>
                <w:color w:val="auto"/>
                <w:sz w:val="21"/>
                <w:szCs w:val="21"/>
                <w:highlight w:val="none"/>
              </w:rPr>
              <w:t>考核项目</w:t>
            </w:r>
          </w:p>
        </w:tc>
        <w:tc>
          <w:tcPr>
            <w:tcW w:w="4390" w:type="dxa"/>
            <w:tcBorders>
              <w:top w:val="single" w:color="000000" w:sz="8" w:space="0"/>
              <w:bottom w:val="single" w:color="000000" w:sz="8" w:space="0"/>
              <w:right w:val="single" w:color="000000" w:sz="8" w:space="0"/>
            </w:tcBorders>
            <w:noWrap/>
            <w:tcMar>
              <w:top w:w="0" w:type="dxa"/>
              <w:left w:w="108" w:type="dxa"/>
              <w:bottom w:w="0" w:type="dxa"/>
              <w:right w:w="108" w:type="dxa"/>
            </w:tcMar>
            <w:vAlign w:val="center"/>
          </w:tcPr>
          <w:p w14:paraId="36FAB04D">
            <w:pPr>
              <w:pBdr>
                <w:top w:val="none" w:color="000000" w:sz="0" w:space="0"/>
                <w:left w:val="none" w:color="000000" w:sz="0" w:space="0"/>
                <w:bottom w:val="none" w:color="000000" w:sz="0" w:space="0"/>
                <w:right w:val="none" w:color="000000" w:sz="0" w:space="0"/>
              </w:pBdr>
              <w:spacing w:line="85" w:lineRule="atLeast"/>
              <w:jc w:val="center"/>
              <w:rPr>
                <w:color w:val="auto"/>
                <w:sz w:val="21"/>
                <w:szCs w:val="21"/>
                <w:highlight w:val="none"/>
              </w:rPr>
            </w:pPr>
            <w:r>
              <w:rPr>
                <w:rFonts w:ascii="宋体" w:hAnsi="宋体" w:cs="宋体"/>
                <w:color w:val="auto"/>
                <w:sz w:val="21"/>
                <w:szCs w:val="21"/>
                <w:highlight w:val="none"/>
              </w:rPr>
              <w:t>考核内容</w:t>
            </w:r>
          </w:p>
        </w:tc>
        <w:tc>
          <w:tcPr>
            <w:tcW w:w="1548" w:type="dxa"/>
            <w:tcBorders>
              <w:top w:val="single" w:color="000000" w:sz="8" w:space="0"/>
              <w:bottom w:val="single" w:color="000000" w:sz="8" w:space="0"/>
              <w:right w:val="single" w:color="000000" w:sz="8" w:space="0"/>
            </w:tcBorders>
            <w:noWrap/>
            <w:tcMar>
              <w:top w:w="0" w:type="dxa"/>
              <w:left w:w="108" w:type="dxa"/>
              <w:bottom w:w="0" w:type="dxa"/>
              <w:right w:w="108" w:type="dxa"/>
            </w:tcMar>
            <w:vAlign w:val="center"/>
          </w:tcPr>
          <w:p w14:paraId="52B13975">
            <w:pPr>
              <w:pBdr>
                <w:top w:val="none" w:color="000000" w:sz="0" w:space="0"/>
                <w:left w:val="none" w:color="000000" w:sz="0" w:space="0"/>
                <w:bottom w:val="none" w:color="000000" w:sz="0" w:space="0"/>
                <w:right w:val="none" w:color="000000" w:sz="0" w:space="0"/>
              </w:pBdr>
              <w:spacing w:line="85" w:lineRule="atLeast"/>
              <w:jc w:val="center"/>
              <w:rPr>
                <w:color w:val="auto"/>
                <w:sz w:val="21"/>
                <w:szCs w:val="21"/>
                <w:highlight w:val="none"/>
              </w:rPr>
            </w:pPr>
            <w:r>
              <w:rPr>
                <w:rFonts w:ascii="宋体" w:hAnsi="宋体" w:cs="宋体"/>
                <w:color w:val="auto"/>
                <w:sz w:val="21"/>
                <w:szCs w:val="21"/>
                <w:highlight w:val="none"/>
              </w:rPr>
              <w:t>扣分标准</w:t>
            </w:r>
          </w:p>
        </w:tc>
        <w:tc>
          <w:tcPr>
            <w:tcW w:w="690" w:type="dxa"/>
            <w:tcBorders>
              <w:top w:val="single" w:color="000000" w:sz="8" w:space="0"/>
              <w:bottom w:val="single" w:color="000000" w:sz="8" w:space="0"/>
              <w:right w:val="single" w:color="000000" w:sz="8" w:space="0"/>
            </w:tcBorders>
            <w:noWrap/>
            <w:tcMar>
              <w:top w:w="0" w:type="dxa"/>
              <w:left w:w="108" w:type="dxa"/>
              <w:bottom w:w="0" w:type="dxa"/>
              <w:right w:w="108" w:type="dxa"/>
            </w:tcMar>
            <w:vAlign w:val="center"/>
          </w:tcPr>
          <w:p w14:paraId="4D01A282">
            <w:pPr>
              <w:pBdr>
                <w:top w:val="none" w:color="000000" w:sz="0" w:space="0"/>
                <w:left w:val="none" w:color="000000" w:sz="0" w:space="0"/>
                <w:bottom w:val="none" w:color="000000" w:sz="0" w:space="0"/>
                <w:right w:val="none" w:color="000000" w:sz="0" w:space="0"/>
              </w:pBdr>
              <w:spacing w:line="85" w:lineRule="atLeast"/>
              <w:jc w:val="center"/>
              <w:rPr>
                <w:color w:val="auto"/>
                <w:sz w:val="21"/>
                <w:szCs w:val="21"/>
                <w:highlight w:val="none"/>
              </w:rPr>
            </w:pPr>
            <w:r>
              <w:rPr>
                <w:rFonts w:ascii="宋体" w:hAnsi="宋体" w:cs="宋体"/>
                <w:color w:val="auto"/>
                <w:sz w:val="21"/>
                <w:szCs w:val="21"/>
                <w:highlight w:val="none"/>
              </w:rPr>
              <w:t>满分</w:t>
            </w:r>
          </w:p>
        </w:tc>
        <w:tc>
          <w:tcPr>
            <w:tcW w:w="676" w:type="dxa"/>
            <w:tcBorders>
              <w:top w:val="single" w:color="000000" w:sz="8" w:space="0"/>
              <w:bottom w:val="single" w:color="000000" w:sz="8" w:space="0"/>
              <w:right w:val="single" w:color="000000" w:sz="8" w:space="0"/>
            </w:tcBorders>
            <w:noWrap/>
            <w:tcMar>
              <w:top w:w="0" w:type="dxa"/>
              <w:left w:w="108" w:type="dxa"/>
              <w:bottom w:w="0" w:type="dxa"/>
              <w:right w:w="108" w:type="dxa"/>
            </w:tcMar>
            <w:vAlign w:val="center"/>
          </w:tcPr>
          <w:p w14:paraId="093BFAB2">
            <w:pPr>
              <w:pBdr>
                <w:top w:val="none" w:color="000000" w:sz="0" w:space="0"/>
                <w:left w:val="none" w:color="000000" w:sz="0" w:space="0"/>
                <w:bottom w:val="none" w:color="000000" w:sz="0" w:space="0"/>
                <w:right w:val="none" w:color="000000" w:sz="0" w:space="0"/>
              </w:pBdr>
              <w:spacing w:line="85" w:lineRule="atLeast"/>
              <w:jc w:val="center"/>
              <w:rPr>
                <w:color w:val="auto"/>
                <w:sz w:val="21"/>
                <w:szCs w:val="21"/>
                <w:highlight w:val="none"/>
              </w:rPr>
            </w:pPr>
            <w:r>
              <w:rPr>
                <w:rFonts w:ascii="宋体" w:hAnsi="宋体" w:cs="宋体"/>
                <w:color w:val="auto"/>
                <w:sz w:val="21"/>
                <w:szCs w:val="21"/>
                <w:highlight w:val="none"/>
              </w:rPr>
              <w:t>扣分</w:t>
            </w:r>
          </w:p>
        </w:tc>
        <w:tc>
          <w:tcPr>
            <w:tcW w:w="662" w:type="dxa"/>
            <w:tcBorders>
              <w:top w:val="single" w:color="000000" w:sz="8" w:space="0"/>
              <w:bottom w:val="single" w:color="000000" w:sz="8" w:space="0"/>
              <w:right w:val="single" w:color="000000" w:sz="8" w:space="0"/>
            </w:tcBorders>
            <w:noWrap/>
            <w:tcMar>
              <w:top w:w="0" w:type="dxa"/>
              <w:left w:w="108" w:type="dxa"/>
              <w:bottom w:w="0" w:type="dxa"/>
              <w:right w:w="108" w:type="dxa"/>
            </w:tcMar>
            <w:vAlign w:val="center"/>
          </w:tcPr>
          <w:p w14:paraId="6097B2CB">
            <w:pPr>
              <w:pBdr>
                <w:top w:val="none" w:color="000000" w:sz="0" w:space="0"/>
                <w:left w:val="none" w:color="000000" w:sz="0" w:space="0"/>
                <w:bottom w:val="none" w:color="000000" w:sz="0" w:space="0"/>
                <w:right w:val="none" w:color="000000" w:sz="0" w:space="0"/>
              </w:pBdr>
              <w:spacing w:line="85" w:lineRule="atLeast"/>
              <w:jc w:val="center"/>
              <w:rPr>
                <w:color w:val="auto"/>
                <w:sz w:val="21"/>
                <w:szCs w:val="21"/>
                <w:highlight w:val="none"/>
              </w:rPr>
            </w:pPr>
            <w:r>
              <w:rPr>
                <w:rFonts w:ascii="宋体" w:hAnsi="宋体" w:cs="宋体"/>
                <w:color w:val="auto"/>
                <w:sz w:val="21"/>
                <w:szCs w:val="21"/>
                <w:highlight w:val="none"/>
              </w:rPr>
              <w:t>得分</w:t>
            </w:r>
          </w:p>
        </w:tc>
        <w:tc>
          <w:tcPr>
            <w:tcW w:w="686" w:type="dxa"/>
            <w:tcBorders>
              <w:top w:val="single" w:color="000000" w:sz="8" w:space="0"/>
              <w:bottom w:val="single" w:color="000000" w:sz="8" w:space="0"/>
              <w:right w:val="single" w:color="000000" w:sz="8" w:space="0"/>
            </w:tcBorders>
            <w:noWrap/>
            <w:tcMar>
              <w:top w:w="0" w:type="dxa"/>
              <w:left w:w="108" w:type="dxa"/>
              <w:bottom w:w="0" w:type="dxa"/>
              <w:right w:w="108" w:type="dxa"/>
            </w:tcMar>
            <w:vAlign w:val="center"/>
          </w:tcPr>
          <w:p w14:paraId="3C274DB4">
            <w:pPr>
              <w:pBdr>
                <w:top w:val="none" w:color="000000" w:sz="0" w:space="0"/>
                <w:left w:val="none" w:color="000000" w:sz="0" w:space="0"/>
                <w:bottom w:val="none" w:color="000000" w:sz="0" w:space="0"/>
                <w:right w:val="none" w:color="000000" w:sz="0" w:space="0"/>
              </w:pBdr>
              <w:spacing w:line="85" w:lineRule="atLeast"/>
              <w:jc w:val="center"/>
              <w:rPr>
                <w:color w:val="auto"/>
                <w:sz w:val="21"/>
                <w:szCs w:val="21"/>
                <w:highlight w:val="none"/>
              </w:rPr>
            </w:pPr>
            <w:r>
              <w:rPr>
                <w:rFonts w:ascii="宋体" w:hAnsi="宋体" w:cs="宋体"/>
                <w:color w:val="auto"/>
                <w:sz w:val="21"/>
                <w:szCs w:val="21"/>
                <w:highlight w:val="none"/>
              </w:rPr>
              <w:t>备注</w:t>
            </w:r>
          </w:p>
        </w:tc>
      </w:tr>
      <w:tr w14:paraId="56101C46">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0" w:type="dxa"/>
            <w:bottom w:w="0" w:type="dxa"/>
            <w:right w:w="0" w:type="dxa"/>
          </w:tblCellMar>
        </w:tblPrEx>
        <w:tc>
          <w:tcPr>
            <w:tcW w:w="426" w:type="dxa"/>
            <w:tcBorders>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199B4907">
            <w:pPr>
              <w:pBdr>
                <w:top w:val="none" w:color="000000" w:sz="0" w:space="0"/>
                <w:left w:val="none" w:color="000000" w:sz="0" w:space="0"/>
                <w:bottom w:val="none" w:color="000000" w:sz="0" w:space="0"/>
                <w:right w:val="none" w:color="000000" w:sz="0" w:space="0"/>
              </w:pBdr>
              <w:spacing w:line="85" w:lineRule="atLeast"/>
              <w:jc w:val="center"/>
              <w:rPr>
                <w:color w:val="auto"/>
                <w:sz w:val="21"/>
                <w:szCs w:val="21"/>
                <w:highlight w:val="none"/>
              </w:rPr>
            </w:pPr>
            <w:r>
              <w:rPr>
                <w:rFonts w:ascii="宋体" w:hAnsi="宋体" w:cs="宋体"/>
                <w:color w:val="auto"/>
                <w:sz w:val="21"/>
                <w:szCs w:val="21"/>
                <w:highlight w:val="none"/>
              </w:rPr>
              <w:t>1</w:t>
            </w:r>
          </w:p>
        </w:tc>
        <w:tc>
          <w:tcPr>
            <w:tcW w:w="679" w:type="dxa"/>
            <w:tcBorders>
              <w:bottom w:val="single" w:color="000000" w:sz="8" w:space="0"/>
              <w:right w:val="single" w:color="000000" w:sz="8" w:space="0"/>
            </w:tcBorders>
            <w:noWrap/>
            <w:tcMar>
              <w:top w:w="0" w:type="dxa"/>
              <w:left w:w="108" w:type="dxa"/>
              <w:bottom w:w="0" w:type="dxa"/>
              <w:right w:w="108" w:type="dxa"/>
            </w:tcMar>
            <w:vAlign w:val="center"/>
          </w:tcPr>
          <w:p w14:paraId="633B026B">
            <w:pPr>
              <w:pBdr>
                <w:top w:val="none" w:color="000000" w:sz="0" w:space="0"/>
                <w:left w:val="none" w:color="000000" w:sz="0" w:space="0"/>
                <w:bottom w:val="none" w:color="000000" w:sz="0" w:space="0"/>
                <w:right w:val="none" w:color="000000" w:sz="0" w:space="0"/>
              </w:pBdr>
              <w:spacing w:line="85" w:lineRule="atLeast"/>
              <w:jc w:val="center"/>
              <w:rPr>
                <w:color w:val="auto"/>
                <w:sz w:val="21"/>
                <w:szCs w:val="21"/>
                <w:highlight w:val="none"/>
              </w:rPr>
            </w:pPr>
            <w:r>
              <w:rPr>
                <w:rFonts w:ascii="宋体" w:hAnsi="宋体" w:cs="宋体"/>
                <w:color w:val="auto"/>
                <w:sz w:val="21"/>
                <w:szCs w:val="21"/>
                <w:highlight w:val="none"/>
              </w:rPr>
              <w:t>巡查人员配置</w:t>
            </w:r>
          </w:p>
        </w:tc>
        <w:tc>
          <w:tcPr>
            <w:tcW w:w="4390" w:type="dxa"/>
            <w:tcBorders>
              <w:bottom w:val="single" w:color="000000" w:sz="8" w:space="0"/>
              <w:right w:val="single" w:color="000000" w:sz="8" w:space="0"/>
            </w:tcBorders>
            <w:noWrap/>
            <w:tcMar>
              <w:top w:w="0" w:type="dxa"/>
              <w:left w:w="108" w:type="dxa"/>
              <w:bottom w:w="0" w:type="dxa"/>
              <w:right w:w="108" w:type="dxa"/>
            </w:tcMar>
            <w:vAlign w:val="center"/>
          </w:tcPr>
          <w:p w14:paraId="0DCFF634">
            <w:pPr>
              <w:pBdr>
                <w:top w:val="none" w:color="000000" w:sz="0" w:space="0"/>
                <w:left w:val="none" w:color="000000" w:sz="0" w:space="0"/>
                <w:bottom w:val="none" w:color="000000" w:sz="0" w:space="0"/>
                <w:right w:val="none" w:color="000000" w:sz="0" w:space="0"/>
              </w:pBdr>
              <w:spacing w:line="85" w:lineRule="atLeast"/>
              <w:rPr>
                <w:color w:val="auto"/>
                <w:sz w:val="21"/>
                <w:szCs w:val="21"/>
                <w:highlight w:val="none"/>
              </w:rPr>
            </w:pPr>
            <w:r>
              <w:rPr>
                <w:rFonts w:ascii="宋体" w:hAnsi="宋体" w:cs="宋体"/>
                <w:color w:val="auto"/>
                <w:sz w:val="21"/>
                <w:szCs w:val="21"/>
                <w:highlight w:val="none"/>
              </w:rPr>
              <w:t>按每5平方公里配一名巡查人员的要求，配足巡查人员。</w:t>
            </w:r>
          </w:p>
        </w:tc>
        <w:tc>
          <w:tcPr>
            <w:tcW w:w="1548" w:type="dxa"/>
            <w:tcBorders>
              <w:bottom w:val="single" w:color="000000" w:sz="8" w:space="0"/>
              <w:right w:val="single" w:color="000000" w:sz="8" w:space="0"/>
            </w:tcBorders>
            <w:noWrap/>
            <w:tcMar>
              <w:top w:w="0" w:type="dxa"/>
              <w:left w:w="108" w:type="dxa"/>
              <w:bottom w:w="0" w:type="dxa"/>
              <w:right w:w="108" w:type="dxa"/>
            </w:tcMar>
            <w:vAlign w:val="center"/>
          </w:tcPr>
          <w:p w14:paraId="3ECED854">
            <w:pPr>
              <w:pBdr>
                <w:top w:val="none" w:color="000000" w:sz="0" w:space="0"/>
                <w:left w:val="none" w:color="000000" w:sz="0" w:space="0"/>
                <w:bottom w:val="none" w:color="000000" w:sz="0" w:space="0"/>
                <w:right w:val="none" w:color="000000" w:sz="0" w:space="0"/>
              </w:pBdr>
              <w:spacing w:line="85" w:lineRule="atLeast"/>
              <w:rPr>
                <w:color w:val="auto"/>
                <w:sz w:val="21"/>
                <w:szCs w:val="21"/>
                <w:highlight w:val="none"/>
              </w:rPr>
            </w:pPr>
            <w:r>
              <w:rPr>
                <w:rFonts w:ascii="宋体" w:hAnsi="宋体" w:cs="宋体"/>
                <w:color w:val="auto"/>
                <w:sz w:val="21"/>
                <w:szCs w:val="21"/>
                <w:highlight w:val="none"/>
              </w:rPr>
              <w:t>未按要求配足人员，每缺1人扣5分。</w:t>
            </w:r>
          </w:p>
        </w:tc>
        <w:tc>
          <w:tcPr>
            <w:tcW w:w="690" w:type="dxa"/>
            <w:tcBorders>
              <w:bottom w:val="single" w:color="000000" w:sz="8" w:space="0"/>
              <w:right w:val="single" w:color="000000" w:sz="8" w:space="0"/>
            </w:tcBorders>
            <w:noWrap/>
            <w:tcMar>
              <w:top w:w="0" w:type="dxa"/>
              <w:left w:w="108" w:type="dxa"/>
              <w:bottom w:w="0" w:type="dxa"/>
              <w:right w:w="108" w:type="dxa"/>
            </w:tcMar>
            <w:vAlign w:val="center"/>
          </w:tcPr>
          <w:p w14:paraId="25B0AA9D">
            <w:pPr>
              <w:pBdr>
                <w:top w:val="none" w:color="000000" w:sz="0" w:space="0"/>
                <w:left w:val="none" w:color="000000" w:sz="0" w:space="0"/>
                <w:bottom w:val="none" w:color="000000" w:sz="0" w:space="0"/>
                <w:right w:val="none" w:color="000000" w:sz="0" w:space="0"/>
              </w:pBdr>
              <w:spacing w:line="85" w:lineRule="atLeast"/>
              <w:jc w:val="center"/>
              <w:rPr>
                <w:color w:val="auto"/>
                <w:sz w:val="21"/>
                <w:szCs w:val="21"/>
                <w:highlight w:val="none"/>
              </w:rPr>
            </w:pPr>
            <w:r>
              <w:rPr>
                <w:rFonts w:ascii="宋体" w:hAnsi="宋体" w:cs="宋体"/>
                <w:color w:val="auto"/>
                <w:sz w:val="21"/>
                <w:szCs w:val="21"/>
                <w:highlight w:val="none"/>
              </w:rPr>
              <w:t>20</w:t>
            </w:r>
          </w:p>
        </w:tc>
        <w:tc>
          <w:tcPr>
            <w:tcW w:w="676" w:type="dxa"/>
            <w:tcBorders>
              <w:bottom w:val="single" w:color="000000" w:sz="8" w:space="0"/>
              <w:right w:val="single" w:color="000000" w:sz="8" w:space="0"/>
            </w:tcBorders>
            <w:noWrap/>
            <w:tcMar>
              <w:top w:w="0" w:type="dxa"/>
              <w:left w:w="108" w:type="dxa"/>
              <w:bottom w:w="0" w:type="dxa"/>
              <w:right w:w="108" w:type="dxa"/>
            </w:tcMar>
            <w:vAlign w:val="center"/>
          </w:tcPr>
          <w:p w14:paraId="57400678">
            <w:pPr>
              <w:pBdr>
                <w:top w:val="none" w:color="000000" w:sz="0" w:space="0"/>
                <w:left w:val="none" w:color="000000" w:sz="0" w:space="0"/>
                <w:bottom w:val="none" w:color="000000" w:sz="0" w:space="0"/>
                <w:right w:val="none" w:color="000000" w:sz="0" w:space="0"/>
              </w:pBdr>
              <w:spacing w:line="85" w:lineRule="atLeast"/>
              <w:jc w:val="center"/>
              <w:rPr>
                <w:color w:val="auto"/>
                <w:sz w:val="21"/>
                <w:szCs w:val="21"/>
                <w:highlight w:val="none"/>
              </w:rPr>
            </w:pPr>
          </w:p>
        </w:tc>
        <w:tc>
          <w:tcPr>
            <w:tcW w:w="662" w:type="dxa"/>
            <w:tcBorders>
              <w:bottom w:val="single" w:color="000000" w:sz="8" w:space="0"/>
              <w:right w:val="single" w:color="000000" w:sz="8" w:space="0"/>
            </w:tcBorders>
            <w:noWrap/>
            <w:tcMar>
              <w:top w:w="0" w:type="dxa"/>
              <w:left w:w="108" w:type="dxa"/>
              <w:bottom w:w="0" w:type="dxa"/>
              <w:right w:w="108" w:type="dxa"/>
            </w:tcMar>
            <w:vAlign w:val="center"/>
          </w:tcPr>
          <w:p w14:paraId="09A1AADD">
            <w:pPr>
              <w:pBdr>
                <w:top w:val="none" w:color="000000" w:sz="0" w:space="0"/>
                <w:left w:val="none" w:color="000000" w:sz="0" w:space="0"/>
                <w:bottom w:val="none" w:color="000000" w:sz="0" w:space="0"/>
                <w:right w:val="none" w:color="000000" w:sz="0" w:space="0"/>
              </w:pBdr>
              <w:spacing w:line="85" w:lineRule="atLeast"/>
              <w:jc w:val="center"/>
              <w:rPr>
                <w:color w:val="auto"/>
                <w:sz w:val="21"/>
                <w:szCs w:val="21"/>
                <w:highlight w:val="none"/>
              </w:rPr>
            </w:pPr>
          </w:p>
        </w:tc>
        <w:tc>
          <w:tcPr>
            <w:tcW w:w="686" w:type="dxa"/>
            <w:tcBorders>
              <w:bottom w:val="single" w:color="000000" w:sz="8" w:space="0"/>
              <w:right w:val="single" w:color="000000" w:sz="8" w:space="0"/>
            </w:tcBorders>
            <w:noWrap/>
            <w:tcMar>
              <w:top w:w="0" w:type="dxa"/>
              <w:left w:w="108" w:type="dxa"/>
              <w:bottom w:w="0" w:type="dxa"/>
              <w:right w:w="108" w:type="dxa"/>
            </w:tcMar>
            <w:vAlign w:val="center"/>
          </w:tcPr>
          <w:p w14:paraId="77C1EE53">
            <w:pPr>
              <w:pBdr>
                <w:top w:val="none" w:color="000000" w:sz="0" w:space="0"/>
                <w:left w:val="none" w:color="000000" w:sz="0" w:space="0"/>
                <w:bottom w:val="none" w:color="000000" w:sz="0" w:space="0"/>
                <w:right w:val="none" w:color="000000" w:sz="0" w:space="0"/>
              </w:pBdr>
              <w:spacing w:line="85" w:lineRule="atLeast"/>
              <w:jc w:val="center"/>
              <w:rPr>
                <w:color w:val="auto"/>
                <w:sz w:val="21"/>
                <w:szCs w:val="21"/>
                <w:highlight w:val="none"/>
              </w:rPr>
            </w:pPr>
          </w:p>
        </w:tc>
      </w:tr>
      <w:tr w14:paraId="1EE9EC12">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0" w:type="dxa"/>
            <w:bottom w:w="0" w:type="dxa"/>
            <w:right w:w="0" w:type="dxa"/>
          </w:tblCellMar>
        </w:tblPrEx>
        <w:tc>
          <w:tcPr>
            <w:tcW w:w="426" w:type="dxa"/>
            <w:tcBorders>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151E071A">
            <w:pPr>
              <w:pBdr>
                <w:top w:val="none" w:color="000000" w:sz="0" w:space="0"/>
                <w:left w:val="none" w:color="000000" w:sz="0" w:space="0"/>
                <w:bottom w:val="none" w:color="000000" w:sz="0" w:space="0"/>
                <w:right w:val="none" w:color="000000" w:sz="0" w:space="0"/>
              </w:pBdr>
              <w:spacing w:line="85" w:lineRule="atLeast"/>
              <w:jc w:val="center"/>
              <w:rPr>
                <w:color w:val="auto"/>
                <w:sz w:val="21"/>
                <w:szCs w:val="21"/>
                <w:highlight w:val="none"/>
              </w:rPr>
            </w:pPr>
            <w:r>
              <w:rPr>
                <w:rFonts w:ascii="宋体" w:hAnsi="宋体" w:cs="宋体"/>
                <w:color w:val="auto"/>
                <w:sz w:val="21"/>
                <w:szCs w:val="21"/>
                <w:highlight w:val="none"/>
              </w:rPr>
              <w:t>2</w:t>
            </w:r>
          </w:p>
        </w:tc>
        <w:tc>
          <w:tcPr>
            <w:tcW w:w="679" w:type="dxa"/>
            <w:tcBorders>
              <w:bottom w:val="single" w:color="000000" w:sz="8" w:space="0"/>
              <w:right w:val="single" w:color="000000" w:sz="8" w:space="0"/>
            </w:tcBorders>
            <w:noWrap/>
            <w:tcMar>
              <w:top w:w="0" w:type="dxa"/>
              <w:left w:w="108" w:type="dxa"/>
              <w:bottom w:w="0" w:type="dxa"/>
              <w:right w:w="108" w:type="dxa"/>
            </w:tcMar>
            <w:vAlign w:val="center"/>
          </w:tcPr>
          <w:p w14:paraId="1BFCCA78">
            <w:pPr>
              <w:pBdr>
                <w:top w:val="none" w:color="000000" w:sz="0" w:space="0"/>
                <w:left w:val="none" w:color="000000" w:sz="0" w:space="0"/>
                <w:bottom w:val="none" w:color="000000" w:sz="0" w:space="0"/>
                <w:right w:val="none" w:color="000000" w:sz="0" w:space="0"/>
              </w:pBdr>
              <w:spacing w:line="85" w:lineRule="atLeast"/>
              <w:jc w:val="center"/>
              <w:rPr>
                <w:color w:val="auto"/>
                <w:sz w:val="21"/>
                <w:szCs w:val="21"/>
                <w:highlight w:val="none"/>
              </w:rPr>
            </w:pPr>
            <w:r>
              <w:rPr>
                <w:rFonts w:ascii="宋体" w:hAnsi="宋体" w:cs="宋体"/>
                <w:color w:val="auto"/>
                <w:sz w:val="21"/>
                <w:szCs w:val="21"/>
                <w:highlight w:val="none"/>
              </w:rPr>
              <w:t>计划</w:t>
            </w:r>
          </w:p>
        </w:tc>
        <w:tc>
          <w:tcPr>
            <w:tcW w:w="4390" w:type="dxa"/>
            <w:tcBorders>
              <w:bottom w:val="single" w:color="000000" w:sz="8" w:space="0"/>
              <w:right w:val="single" w:color="000000" w:sz="8" w:space="0"/>
            </w:tcBorders>
            <w:noWrap/>
            <w:tcMar>
              <w:top w:w="0" w:type="dxa"/>
              <w:left w:w="108" w:type="dxa"/>
              <w:bottom w:w="0" w:type="dxa"/>
              <w:right w:w="108" w:type="dxa"/>
            </w:tcMar>
            <w:vAlign w:val="center"/>
          </w:tcPr>
          <w:p w14:paraId="21A81546">
            <w:pPr>
              <w:pBdr>
                <w:top w:val="none" w:color="000000" w:sz="0" w:space="0"/>
                <w:left w:val="none" w:color="000000" w:sz="0" w:space="0"/>
                <w:bottom w:val="none" w:color="000000" w:sz="0" w:space="0"/>
                <w:right w:val="none" w:color="000000" w:sz="0" w:space="0"/>
              </w:pBdr>
              <w:spacing w:line="85" w:lineRule="atLeast"/>
              <w:rPr>
                <w:color w:val="auto"/>
                <w:sz w:val="21"/>
                <w:szCs w:val="21"/>
                <w:highlight w:val="none"/>
              </w:rPr>
            </w:pPr>
            <w:r>
              <w:rPr>
                <w:rFonts w:ascii="宋体" w:hAnsi="宋体" w:cs="宋体"/>
                <w:color w:val="auto"/>
                <w:sz w:val="21"/>
                <w:szCs w:val="21"/>
                <w:highlight w:val="none"/>
              </w:rPr>
              <w:t>中标后15天内报全年巡查计划；细化到月；落实到人。</w:t>
            </w:r>
          </w:p>
        </w:tc>
        <w:tc>
          <w:tcPr>
            <w:tcW w:w="1548" w:type="dxa"/>
            <w:tcBorders>
              <w:bottom w:val="single" w:color="000000" w:sz="8" w:space="0"/>
              <w:right w:val="single" w:color="000000" w:sz="8" w:space="0"/>
            </w:tcBorders>
            <w:noWrap/>
            <w:tcMar>
              <w:top w:w="0" w:type="dxa"/>
              <w:left w:w="108" w:type="dxa"/>
              <w:bottom w:w="0" w:type="dxa"/>
              <w:right w:w="108" w:type="dxa"/>
            </w:tcMar>
            <w:vAlign w:val="center"/>
          </w:tcPr>
          <w:p w14:paraId="0EF4AA39">
            <w:pPr>
              <w:pBdr>
                <w:top w:val="none" w:color="000000" w:sz="0" w:space="0"/>
                <w:left w:val="none" w:color="000000" w:sz="0" w:space="0"/>
                <w:bottom w:val="none" w:color="000000" w:sz="0" w:space="0"/>
                <w:right w:val="none" w:color="000000" w:sz="0" w:space="0"/>
              </w:pBdr>
              <w:spacing w:line="85" w:lineRule="atLeast"/>
              <w:rPr>
                <w:color w:val="auto"/>
                <w:sz w:val="21"/>
                <w:szCs w:val="21"/>
                <w:highlight w:val="none"/>
              </w:rPr>
            </w:pPr>
            <w:r>
              <w:rPr>
                <w:rFonts w:ascii="宋体" w:hAnsi="宋体" w:cs="宋体"/>
                <w:color w:val="auto"/>
                <w:sz w:val="21"/>
                <w:szCs w:val="21"/>
                <w:highlight w:val="none"/>
              </w:rPr>
              <w:t>未达要求每处扣5分，未上报扣10分。</w:t>
            </w:r>
          </w:p>
        </w:tc>
        <w:tc>
          <w:tcPr>
            <w:tcW w:w="690" w:type="dxa"/>
            <w:tcBorders>
              <w:bottom w:val="single" w:color="000000" w:sz="8" w:space="0"/>
              <w:right w:val="single" w:color="000000" w:sz="8" w:space="0"/>
            </w:tcBorders>
            <w:noWrap/>
            <w:tcMar>
              <w:top w:w="0" w:type="dxa"/>
              <w:left w:w="108" w:type="dxa"/>
              <w:bottom w:w="0" w:type="dxa"/>
              <w:right w:w="108" w:type="dxa"/>
            </w:tcMar>
            <w:vAlign w:val="center"/>
          </w:tcPr>
          <w:p w14:paraId="41CCF6DA">
            <w:pPr>
              <w:pBdr>
                <w:top w:val="none" w:color="000000" w:sz="0" w:space="0"/>
                <w:left w:val="none" w:color="000000" w:sz="0" w:space="0"/>
                <w:bottom w:val="none" w:color="000000" w:sz="0" w:space="0"/>
                <w:right w:val="none" w:color="000000" w:sz="0" w:space="0"/>
              </w:pBdr>
              <w:spacing w:line="85" w:lineRule="atLeast"/>
              <w:jc w:val="center"/>
              <w:rPr>
                <w:color w:val="auto"/>
                <w:sz w:val="21"/>
                <w:szCs w:val="21"/>
                <w:highlight w:val="none"/>
              </w:rPr>
            </w:pPr>
            <w:r>
              <w:rPr>
                <w:rFonts w:ascii="宋体" w:hAnsi="宋体" w:cs="宋体"/>
                <w:color w:val="auto"/>
                <w:sz w:val="21"/>
                <w:szCs w:val="21"/>
                <w:highlight w:val="none"/>
              </w:rPr>
              <w:t>10</w:t>
            </w:r>
          </w:p>
        </w:tc>
        <w:tc>
          <w:tcPr>
            <w:tcW w:w="676" w:type="dxa"/>
            <w:tcBorders>
              <w:bottom w:val="single" w:color="000000" w:sz="8" w:space="0"/>
              <w:right w:val="single" w:color="000000" w:sz="8" w:space="0"/>
            </w:tcBorders>
            <w:noWrap/>
            <w:tcMar>
              <w:top w:w="0" w:type="dxa"/>
              <w:left w:w="108" w:type="dxa"/>
              <w:bottom w:w="0" w:type="dxa"/>
              <w:right w:w="108" w:type="dxa"/>
            </w:tcMar>
            <w:vAlign w:val="center"/>
          </w:tcPr>
          <w:p w14:paraId="13A5C95C">
            <w:pPr>
              <w:pBdr>
                <w:top w:val="none" w:color="000000" w:sz="0" w:space="0"/>
                <w:left w:val="none" w:color="000000" w:sz="0" w:space="0"/>
                <w:bottom w:val="none" w:color="000000" w:sz="0" w:space="0"/>
                <w:right w:val="none" w:color="000000" w:sz="0" w:space="0"/>
              </w:pBdr>
              <w:spacing w:line="85" w:lineRule="atLeast"/>
              <w:jc w:val="center"/>
              <w:rPr>
                <w:color w:val="auto"/>
                <w:sz w:val="21"/>
                <w:szCs w:val="21"/>
                <w:highlight w:val="none"/>
              </w:rPr>
            </w:pPr>
          </w:p>
        </w:tc>
        <w:tc>
          <w:tcPr>
            <w:tcW w:w="662" w:type="dxa"/>
            <w:tcBorders>
              <w:bottom w:val="single" w:color="000000" w:sz="8" w:space="0"/>
              <w:right w:val="single" w:color="000000" w:sz="8" w:space="0"/>
            </w:tcBorders>
            <w:noWrap/>
            <w:tcMar>
              <w:top w:w="0" w:type="dxa"/>
              <w:left w:w="108" w:type="dxa"/>
              <w:bottom w:w="0" w:type="dxa"/>
              <w:right w:w="108" w:type="dxa"/>
            </w:tcMar>
            <w:vAlign w:val="center"/>
          </w:tcPr>
          <w:p w14:paraId="00744BEB">
            <w:pPr>
              <w:pBdr>
                <w:top w:val="none" w:color="000000" w:sz="0" w:space="0"/>
                <w:left w:val="none" w:color="000000" w:sz="0" w:space="0"/>
                <w:bottom w:val="none" w:color="000000" w:sz="0" w:space="0"/>
                <w:right w:val="none" w:color="000000" w:sz="0" w:space="0"/>
              </w:pBdr>
              <w:spacing w:line="85" w:lineRule="atLeast"/>
              <w:jc w:val="center"/>
              <w:rPr>
                <w:color w:val="auto"/>
                <w:sz w:val="21"/>
                <w:szCs w:val="21"/>
                <w:highlight w:val="none"/>
              </w:rPr>
            </w:pPr>
          </w:p>
        </w:tc>
        <w:tc>
          <w:tcPr>
            <w:tcW w:w="686" w:type="dxa"/>
            <w:tcBorders>
              <w:bottom w:val="single" w:color="000000" w:sz="8" w:space="0"/>
              <w:right w:val="single" w:color="000000" w:sz="8" w:space="0"/>
            </w:tcBorders>
            <w:noWrap/>
            <w:tcMar>
              <w:top w:w="0" w:type="dxa"/>
              <w:left w:w="108" w:type="dxa"/>
              <w:bottom w:w="0" w:type="dxa"/>
              <w:right w:w="108" w:type="dxa"/>
            </w:tcMar>
            <w:vAlign w:val="center"/>
          </w:tcPr>
          <w:p w14:paraId="33FEA72C">
            <w:pPr>
              <w:pBdr>
                <w:top w:val="none" w:color="000000" w:sz="0" w:space="0"/>
                <w:left w:val="none" w:color="000000" w:sz="0" w:space="0"/>
                <w:bottom w:val="none" w:color="000000" w:sz="0" w:space="0"/>
                <w:right w:val="none" w:color="000000" w:sz="0" w:space="0"/>
              </w:pBdr>
              <w:spacing w:line="85" w:lineRule="atLeast"/>
              <w:jc w:val="center"/>
              <w:rPr>
                <w:color w:val="auto"/>
                <w:sz w:val="21"/>
                <w:szCs w:val="21"/>
                <w:highlight w:val="none"/>
              </w:rPr>
            </w:pPr>
          </w:p>
        </w:tc>
      </w:tr>
      <w:tr w14:paraId="1C1931E7">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0" w:type="dxa"/>
            <w:bottom w:w="0" w:type="dxa"/>
            <w:right w:w="0" w:type="dxa"/>
          </w:tblCellMar>
        </w:tblPrEx>
        <w:tc>
          <w:tcPr>
            <w:tcW w:w="426" w:type="dxa"/>
            <w:tcBorders>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2B8847FC">
            <w:pPr>
              <w:pBdr>
                <w:top w:val="none" w:color="000000" w:sz="0" w:space="0"/>
                <w:left w:val="none" w:color="000000" w:sz="0" w:space="0"/>
                <w:bottom w:val="none" w:color="000000" w:sz="0" w:space="0"/>
                <w:right w:val="none" w:color="000000" w:sz="0" w:space="0"/>
              </w:pBdr>
              <w:spacing w:line="85" w:lineRule="atLeast"/>
              <w:jc w:val="center"/>
              <w:rPr>
                <w:color w:val="auto"/>
                <w:sz w:val="21"/>
                <w:szCs w:val="21"/>
                <w:highlight w:val="none"/>
              </w:rPr>
            </w:pPr>
            <w:r>
              <w:rPr>
                <w:rFonts w:ascii="宋体" w:hAnsi="宋体" w:cs="宋体"/>
                <w:color w:val="auto"/>
                <w:sz w:val="21"/>
                <w:szCs w:val="21"/>
                <w:highlight w:val="none"/>
              </w:rPr>
              <w:t>3</w:t>
            </w:r>
          </w:p>
        </w:tc>
        <w:tc>
          <w:tcPr>
            <w:tcW w:w="679" w:type="dxa"/>
            <w:tcBorders>
              <w:bottom w:val="single" w:color="000000" w:sz="8" w:space="0"/>
              <w:right w:val="single" w:color="000000" w:sz="8" w:space="0"/>
            </w:tcBorders>
            <w:noWrap/>
            <w:tcMar>
              <w:top w:w="0" w:type="dxa"/>
              <w:left w:w="108" w:type="dxa"/>
              <w:bottom w:w="0" w:type="dxa"/>
              <w:right w:w="108" w:type="dxa"/>
            </w:tcMar>
            <w:vAlign w:val="center"/>
          </w:tcPr>
          <w:p w14:paraId="292EE7CC">
            <w:pPr>
              <w:pBdr>
                <w:top w:val="none" w:color="000000" w:sz="0" w:space="0"/>
                <w:left w:val="none" w:color="000000" w:sz="0" w:space="0"/>
                <w:bottom w:val="none" w:color="000000" w:sz="0" w:space="0"/>
                <w:right w:val="none" w:color="000000" w:sz="0" w:space="0"/>
              </w:pBdr>
              <w:spacing w:line="85" w:lineRule="atLeast"/>
              <w:jc w:val="center"/>
              <w:rPr>
                <w:color w:val="auto"/>
                <w:sz w:val="21"/>
                <w:szCs w:val="21"/>
                <w:highlight w:val="none"/>
              </w:rPr>
            </w:pPr>
            <w:r>
              <w:rPr>
                <w:rFonts w:ascii="宋体" w:hAnsi="宋体" w:cs="宋体"/>
                <w:color w:val="auto"/>
                <w:sz w:val="21"/>
                <w:szCs w:val="21"/>
                <w:highlight w:val="none"/>
              </w:rPr>
              <w:t>巡查责任落实</w:t>
            </w:r>
          </w:p>
        </w:tc>
        <w:tc>
          <w:tcPr>
            <w:tcW w:w="4390" w:type="dxa"/>
            <w:tcBorders>
              <w:bottom w:val="single" w:color="000000" w:sz="8" w:space="0"/>
              <w:right w:val="single" w:color="000000" w:sz="8" w:space="0"/>
            </w:tcBorders>
            <w:noWrap/>
            <w:tcMar>
              <w:top w:w="0" w:type="dxa"/>
              <w:left w:w="108" w:type="dxa"/>
              <w:bottom w:w="0" w:type="dxa"/>
              <w:right w:w="108" w:type="dxa"/>
            </w:tcMar>
            <w:vAlign w:val="center"/>
          </w:tcPr>
          <w:p w14:paraId="3CF6D3C4">
            <w:pPr>
              <w:pBdr>
                <w:top w:val="none" w:color="000000" w:sz="0" w:space="0"/>
                <w:left w:val="none" w:color="000000" w:sz="0" w:space="0"/>
                <w:bottom w:val="none" w:color="000000" w:sz="0" w:space="0"/>
                <w:right w:val="none" w:color="000000" w:sz="0" w:space="0"/>
              </w:pBdr>
              <w:spacing w:line="85" w:lineRule="atLeast"/>
              <w:rPr>
                <w:color w:val="auto"/>
                <w:sz w:val="21"/>
                <w:szCs w:val="21"/>
                <w:highlight w:val="none"/>
              </w:rPr>
            </w:pPr>
            <w:r>
              <w:rPr>
                <w:rFonts w:ascii="宋体" w:hAnsi="宋体" w:cs="宋体"/>
                <w:color w:val="auto"/>
                <w:sz w:val="21"/>
                <w:szCs w:val="21"/>
                <w:highlight w:val="none"/>
              </w:rPr>
              <w:t>中心城区及重要路段（观前、石路、南门及市区政府周边）必须进行步行巡查，要求做到每天定人、定路段、定时间进行巡查；其余路段每月巡查一次。</w:t>
            </w:r>
          </w:p>
        </w:tc>
        <w:tc>
          <w:tcPr>
            <w:tcW w:w="1548" w:type="dxa"/>
            <w:tcBorders>
              <w:bottom w:val="single" w:color="000000" w:sz="8" w:space="0"/>
              <w:right w:val="single" w:color="000000" w:sz="8" w:space="0"/>
            </w:tcBorders>
            <w:noWrap/>
            <w:tcMar>
              <w:top w:w="0" w:type="dxa"/>
              <w:left w:w="108" w:type="dxa"/>
              <w:bottom w:w="0" w:type="dxa"/>
              <w:right w:w="108" w:type="dxa"/>
            </w:tcMar>
            <w:vAlign w:val="center"/>
          </w:tcPr>
          <w:p w14:paraId="4E36AA8D">
            <w:pPr>
              <w:pBdr>
                <w:top w:val="none" w:color="000000" w:sz="0" w:space="0"/>
                <w:left w:val="none" w:color="000000" w:sz="0" w:space="0"/>
                <w:bottom w:val="none" w:color="000000" w:sz="0" w:space="0"/>
                <w:right w:val="none" w:color="000000" w:sz="0" w:space="0"/>
              </w:pBdr>
              <w:spacing w:line="85" w:lineRule="atLeast"/>
              <w:rPr>
                <w:color w:val="auto"/>
                <w:sz w:val="21"/>
                <w:szCs w:val="21"/>
                <w:highlight w:val="none"/>
              </w:rPr>
            </w:pPr>
            <w:r>
              <w:rPr>
                <w:rFonts w:ascii="宋体" w:hAnsi="宋体" w:cs="宋体"/>
                <w:color w:val="auto"/>
                <w:sz w:val="21"/>
                <w:szCs w:val="21"/>
                <w:highlight w:val="none"/>
              </w:rPr>
              <w:t>未达到本条要求者，每处扣5分。</w:t>
            </w:r>
          </w:p>
        </w:tc>
        <w:tc>
          <w:tcPr>
            <w:tcW w:w="690" w:type="dxa"/>
            <w:tcBorders>
              <w:bottom w:val="single" w:color="000000" w:sz="8" w:space="0"/>
              <w:right w:val="single" w:color="000000" w:sz="8" w:space="0"/>
            </w:tcBorders>
            <w:noWrap/>
            <w:tcMar>
              <w:top w:w="0" w:type="dxa"/>
              <w:left w:w="108" w:type="dxa"/>
              <w:bottom w:w="0" w:type="dxa"/>
              <w:right w:w="108" w:type="dxa"/>
            </w:tcMar>
            <w:vAlign w:val="center"/>
          </w:tcPr>
          <w:p w14:paraId="579314E4">
            <w:pPr>
              <w:pBdr>
                <w:top w:val="none" w:color="000000" w:sz="0" w:space="0"/>
                <w:left w:val="none" w:color="000000" w:sz="0" w:space="0"/>
                <w:bottom w:val="none" w:color="000000" w:sz="0" w:space="0"/>
                <w:right w:val="none" w:color="000000" w:sz="0" w:space="0"/>
              </w:pBdr>
              <w:spacing w:line="85" w:lineRule="atLeast"/>
              <w:jc w:val="center"/>
              <w:rPr>
                <w:color w:val="auto"/>
                <w:sz w:val="21"/>
                <w:szCs w:val="21"/>
                <w:highlight w:val="none"/>
              </w:rPr>
            </w:pPr>
            <w:r>
              <w:rPr>
                <w:rFonts w:ascii="宋体" w:hAnsi="宋体" w:cs="宋体"/>
                <w:color w:val="auto"/>
                <w:sz w:val="21"/>
                <w:szCs w:val="21"/>
                <w:highlight w:val="none"/>
              </w:rPr>
              <w:t>20</w:t>
            </w:r>
          </w:p>
        </w:tc>
        <w:tc>
          <w:tcPr>
            <w:tcW w:w="676" w:type="dxa"/>
            <w:tcBorders>
              <w:bottom w:val="single" w:color="000000" w:sz="8" w:space="0"/>
              <w:right w:val="single" w:color="000000" w:sz="8" w:space="0"/>
            </w:tcBorders>
            <w:noWrap/>
            <w:tcMar>
              <w:top w:w="0" w:type="dxa"/>
              <w:left w:w="108" w:type="dxa"/>
              <w:bottom w:w="0" w:type="dxa"/>
              <w:right w:w="108" w:type="dxa"/>
            </w:tcMar>
            <w:vAlign w:val="center"/>
          </w:tcPr>
          <w:p w14:paraId="449342C2">
            <w:pPr>
              <w:pBdr>
                <w:top w:val="none" w:color="000000" w:sz="0" w:space="0"/>
                <w:left w:val="none" w:color="000000" w:sz="0" w:space="0"/>
                <w:bottom w:val="none" w:color="000000" w:sz="0" w:space="0"/>
                <w:right w:val="none" w:color="000000" w:sz="0" w:space="0"/>
              </w:pBdr>
              <w:spacing w:line="85" w:lineRule="atLeast"/>
              <w:jc w:val="center"/>
              <w:rPr>
                <w:color w:val="auto"/>
                <w:sz w:val="21"/>
                <w:szCs w:val="21"/>
                <w:highlight w:val="none"/>
              </w:rPr>
            </w:pPr>
          </w:p>
        </w:tc>
        <w:tc>
          <w:tcPr>
            <w:tcW w:w="662" w:type="dxa"/>
            <w:tcBorders>
              <w:bottom w:val="single" w:color="000000" w:sz="8" w:space="0"/>
              <w:right w:val="single" w:color="000000" w:sz="8" w:space="0"/>
            </w:tcBorders>
            <w:noWrap/>
            <w:tcMar>
              <w:top w:w="0" w:type="dxa"/>
              <w:left w:w="108" w:type="dxa"/>
              <w:bottom w:w="0" w:type="dxa"/>
              <w:right w:w="108" w:type="dxa"/>
            </w:tcMar>
            <w:vAlign w:val="center"/>
          </w:tcPr>
          <w:p w14:paraId="145B49E9">
            <w:pPr>
              <w:pBdr>
                <w:top w:val="none" w:color="000000" w:sz="0" w:space="0"/>
                <w:left w:val="none" w:color="000000" w:sz="0" w:space="0"/>
                <w:bottom w:val="none" w:color="000000" w:sz="0" w:space="0"/>
                <w:right w:val="none" w:color="000000" w:sz="0" w:space="0"/>
              </w:pBdr>
              <w:spacing w:line="85" w:lineRule="atLeast"/>
              <w:jc w:val="center"/>
              <w:rPr>
                <w:color w:val="auto"/>
                <w:sz w:val="21"/>
                <w:szCs w:val="21"/>
                <w:highlight w:val="none"/>
              </w:rPr>
            </w:pPr>
          </w:p>
        </w:tc>
        <w:tc>
          <w:tcPr>
            <w:tcW w:w="686" w:type="dxa"/>
            <w:tcBorders>
              <w:bottom w:val="single" w:color="000000" w:sz="8" w:space="0"/>
              <w:right w:val="single" w:color="000000" w:sz="8" w:space="0"/>
            </w:tcBorders>
            <w:noWrap/>
            <w:tcMar>
              <w:top w:w="0" w:type="dxa"/>
              <w:left w:w="108" w:type="dxa"/>
              <w:bottom w:w="0" w:type="dxa"/>
              <w:right w:w="108" w:type="dxa"/>
            </w:tcMar>
            <w:vAlign w:val="center"/>
          </w:tcPr>
          <w:p w14:paraId="77F488F1">
            <w:pPr>
              <w:pBdr>
                <w:top w:val="none" w:color="000000" w:sz="0" w:space="0"/>
                <w:left w:val="none" w:color="000000" w:sz="0" w:space="0"/>
                <w:bottom w:val="none" w:color="000000" w:sz="0" w:space="0"/>
                <w:right w:val="none" w:color="000000" w:sz="0" w:space="0"/>
              </w:pBdr>
              <w:spacing w:line="85" w:lineRule="atLeast"/>
              <w:jc w:val="center"/>
              <w:rPr>
                <w:color w:val="auto"/>
                <w:sz w:val="21"/>
                <w:szCs w:val="21"/>
                <w:highlight w:val="none"/>
              </w:rPr>
            </w:pPr>
          </w:p>
        </w:tc>
      </w:tr>
      <w:tr w14:paraId="6C00311C">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0" w:type="dxa"/>
            <w:bottom w:w="0" w:type="dxa"/>
            <w:right w:w="0" w:type="dxa"/>
          </w:tblCellMar>
        </w:tblPrEx>
        <w:tc>
          <w:tcPr>
            <w:tcW w:w="426" w:type="dxa"/>
            <w:tcBorders>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6FAF37FA">
            <w:pPr>
              <w:pBdr>
                <w:top w:val="none" w:color="000000" w:sz="0" w:space="0"/>
                <w:left w:val="none" w:color="000000" w:sz="0" w:space="0"/>
                <w:bottom w:val="none" w:color="000000" w:sz="0" w:space="0"/>
                <w:right w:val="none" w:color="000000" w:sz="0" w:space="0"/>
              </w:pBdr>
              <w:spacing w:line="85" w:lineRule="atLeast"/>
              <w:jc w:val="center"/>
              <w:rPr>
                <w:color w:val="auto"/>
                <w:sz w:val="21"/>
                <w:szCs w:val="21"/>
                <w:highlight w:val="none"/>
              </w:rPr>
            </w:pPr>
            <w:r>
              <w:rPr>
                <w:rFonts w:ascii="宋体" w:hAnsi="宋体" w:cs="宋体"/>
                <w:color w:val="auto"/>
                <w:sz w:val="21"/>
                <w:szCs w:val="21"/>
                <w:highlight w:val="none"/>
              </w:rPr>
              <w:t>4</w:t>
            </w:r>
          </w:p>
        </w:tc>
        <w:tc>
          <w:tcPr>
            <w:tcW w:w="679" w:type="dxa"/>
            <w:tcBorders>
              <w:bottom w:val="single" w:color="000000" w:sz="8" w:space="0"/>
              <w:right w:val="single" w:color="000000" w:sz="8" w:space="0"/>
            </w:tcBorders>
            <w:noWrap/>
            <w:tcMar>
              <w:top w:w="0" w:type="dxa"/>
              <w:left w:w="108" w:type="dxa"/>
              <w:bottom w:w="0" w:type="dxa"/>
              <w:right w:w="108" w:type="dxa"/>
            </w:tcMar>
            <w:vAlign w:val="center"/>
          </w:tcPr>
          <w:p w14:paraId="5D89B6D2">
            <w:pPr>
              <w:pBdr>
                <w:top w:val="none" w:color="000000" w:sz="0" w:space="0"/>
                <w:left w:val="none" w:color="000000" w:sz="0" w:space="0"/>
                <w:bottom w:val="none" w:color="000000" w:sz="0" w:space="0"/>
                <w:right w:val="none" w:color="000000" w:sz="0" w:space="0"/>
              </w:pBdr>
              <w:spacing w:line="85" w:lineRule="atLeast"/>
              <w:jc w:val="center"/>
              <w:rPr>
                <w:color w:val="auto"/>
                <w:sz w:val="21"/>
                <w:szCs w:val="21"/>
                <w:highlight w:val="none"/>
              </w:rPr>
            </w:pPr>
            <w:r>
              <w:rPr>
                <w:rFonts w:ascii="宋体" w:hAnsi="宋体" w:cs="宋体"/>
                <w:color w:val="auto"/>
                <w:sz w:val="21"/>
                <w:szCs w:val="21"/>
                <w:highlight w:val="none"/>
              </w:rPr>
              <w:t>巡查记录</w:t>
            </w:r>
          </w:p>
        </w:tc>
        <w:tc>
          <w:tcPr>
            <w:tcW w:w="4390" w:type="dxa"/>
            <w:tcBorders>
              <w:bottom w:val="single" w:color="000000" w:sz="8" w:space="0"/>
              <w:right w:val="single" w:color="000000" w:sz="8" w:space="0"/>
            </w:tcBorders>
            <w:noWrap/>
            <w:tcMar>
              <w:top w:w="0" w:type="dxa"/>
              <w:left w:w="108" w:type="dxa"/>
              <w:bottom w:w="0" w:type="dxa"/>
              <w:right w:w="108" w:type="dxa"/>
            </w:tcMar>
            <w:vAlign w:val="center"/>
          </w:tcPr>
          <w:p w14:paraId="2E38F0D0">
            <w:pPr>
              <w:pBdr>
                <w:top w:val="none" w:color="000000" w:sz="0" w:space="0"/>
                <w:left w:val="none" w:color="000000" w:sz="0" w:space="0"/>
                <w:bottom w:val="none" w:color="000000" w:sz="0" w:space="0"/>
                <w:right w:val="none" w:color="000000" w:sz="0" w:space="0"/>
              </w:pBdr>
              <w:spacing w:line="85" w:lineRule="atLeast"/>
              <w:rPr>
                <w:color w:val="auto"/>
                <w:sz w:val="21"/>
                <w:szCs w:val="21"/>
                <w:highlight w:val="none"/>
              </w:rPr>
            </w:pPr>
            <w:r>
              <w:rPr>
                <w:rFonts w:ascii="宋体" w:hAnsi="宋体" w:cs="宋体"/>
                <w:color w:val="auto"/>
                <w:sz w:val="21"/>
                <w:szCs w:val="21"/>
                <w:highlight w:val="none"/>
              </w:rPr>
              <w:t>巡查工作每日有记载，内容准确，应做到项目、位置、数量准确无误，并有社区签字。发现问题要及时上报，并有记录。处理完毕后，记录处理结果，由相关负责人审核签字。</w:t>
            </w:r>
          </w:p>
        </w:tc>
        <w:tc>
          <w:tcPr>
            <w:tcW w:w="1548" w:type="dxa"/>
            <w:tcBorders>
              <w:bottom w:val="single" w:color="000000" w:sz="8" w:space="0"/>
              <w:right w:val="single" w:color="000000" w:sz="8" w:space="0"/>
            </w:tcBorders>
            <w:noWrap/>
            <w:tcMar>
              <w:top w:w="0" w:type="dxa"/>
              <w:left w:w="108" w:type="dxa"/>
              <w:bottom w:w="0" w:type="dxa"/>
              <w:right w:w="108" w:type="dxa"/>
            </w:tcMar>
            <w:vAlign w:val="center"/>
          </w:tcPr>
          <w:p w14:paraId="66D26408">
            <w:pPr>
              <w:pBdr>
                <w:top w:val="none" w:color="000000" w:sz="0" w:space="0"/>
                <w:left w:val="none" w:color="000000" w:sz="0" w:space="0"/>
                <w:bottom w:val="none" w:color="000000" w:sz="0" w:space="0"/>
                <w:right w:val="none" w:color="000000" w:sz="0" w:space="0"/>
              </w:pBdr>
              <w:spacing w:line="85" w:lineRule="atLeast"/>
              <w:rPr>
                <w:color w:val="auto"/>
                <w:sz w:val="21"/>
                <w:szCs w:val="21"/>
                <w:highlight w:val="none"/>
              </w:rPr>
            </w:pPr>
            <w:r>
              <w:rPr>
                <w:rFonts w:ascii="宋体" w:hAnsi="宋体" w:cs="宋体"/>
                <w:color w:val="auto"/>
                <w:sz w:val="21"/>
                <w:szCs w:val="21"/>
                <w:highlight w:val="none"/>
              </w:rPr>
              <w:t>未达到本条要求者，每次扣3分。</w:t>
            </w:r>
          </w:p>
        </w:tc>
        <w:tc>
          <w:tcPr>
            <w:tcW w:w="690" w:type="dxa"/>
            <w:tcBorders>
              <w:bottom w:val="single" w:color="000000" w:sz="8" w:space="0"/>
              <w:right w:val="single" w:color="000000" w:sz="8" w:space="0"/>
            </w:tcBorders>
            <w:noWrap/>
            <w:tcMar>
              <w:top w:w="0" w:type="dxa"/>
              <w:left w:w="108" w:type="dxa"/>
              <w:bottom w:w="0" w:type="dxa"/>
              <w:right w:w="108" w:type="dxa"/>
            </w:tcMar>
            <w:vAlign w:val="center"/>
          </w:tcPr>
          <w:p w14:paraId="07E7D6E1">
            <w:pPr>
              <w:pBdr>
                <w:top w:val="none" w:color="000000" w:sz="0" w:space="0"/>
                <w:left w:val="none" w:color="000000" w:sz="0" w:space="0"/>
                <w:bottom w:val="none" w:color="000000" w:sz="0" w:space="0"/>
                <w:right w:val="none" w:color="000000" w:sz="0" w:space="0"/>
              </w:pBdr>
              <w:spacing w:line="85" w:lineRule="atLeast"/>
              <w:jc w:val="center"/>
              <w:rPr>
                <w:color w:val="auto"/>
                <w:sz w:val="21"/>
                <w:szCs w:val="21"/>
                <w:highlight w:val="none"/>
              </w:rPr>
            </w:pPr>
            <w:r>
              <w:rPr>
                <w:rFonts w:ascii="宋体" w:hAnsi="宋体" w:cs="宋体"/>
                <w:color w:val="auto"/>
                <w:sz w:val="21"/>
                <w:szCs w:val="21"/>
                <w:highlight w:val="none"/>
              </w:rPr>
              <w:t>25</w:t>
            </w:r>
          </w:p>
        </w:tc>
        <w:tc>
          <w:tcPr>
            <w:tcW w:w="676" w:type="dxa"/>
            <w:tcBorders>
              <w:bottom w:val="single" w:color="000000" w:sz="8" w:space="0"/>
              <w:right w:val="single" w:color="000000" w:sz="8" w:space="0"/>
            </w:tcBorders>
            <w:noWrap/>
            <w:tcMar>
              <w:top w:w="0" w:type="dxa"/>
              <w:left w:w="108" w:type="dxa"/>
              <w:bottom w:w="0" w:type="dxa"/>
              <w:right w:w="108" w:type="dxa"/>
            </w:tcMar>
            <w:vAlign w:val="center"/>
          </w:tcPr>
          <w:p w14:paraId="4136B1A7">
            <w:pPr>
              <w:pBdr>
                <w:top w:val="none" w:color="000000" w:sz="0" w:space="0"/>
                <w:left w:val="none" w:color="000000" w:sz="0" w:space="0"/>
                <w:bottom w:val="none" w:color="000000" w:sz="0" w:space="0"/>
                <w:right w:val="none" w:color="000000" w:sz="0" w:space="0"/>
              </w:pBdr>
              <w:spacing w:line="85" w:lineRule="atLeast"/>
              <w:jc w:val="center"/>
              <w:rPr>
                <w:color w:val="auto"/>
                <w:sz w:val="21"/>
                <w:szCs w:val="21"/>
                <w:highlight w:val="none"/>
              </w:rPr>
            </w:pPr>
          </w:p>
        </w:tc>
        <w:tc>
          <w:tcPr>
            <w:tcW w:w="662" w:type="dxa"/>
            <w:tcBorders>
              <w:bottom w:val="single" w:color="000000" w:sz="8" w:space="0"/>
              <w:right w:val="single" w:color="000000" w:sz="8" w:space="0"/>
            </w:tcBorders>
            <w:noWrap/>
            <w:tcMar>
              <w:top w:w="0" w:type="dxa"/>
              <w:left w:w="108" w:type="dxa"/>
              <w:bottom w:w="0" w:type="dxa"/>
              <w:right w:w="108" w:type="dxa"/>
            </w:tcMar>
            <w:vAlign w:val="center"/>
          </w:tcPr>
          <w:p w14:paraId="67BCD17E">
            <w:pPr>
              <w:pBdr>
                <w:top w:val="none" w:color="000000" w:sz="0" w:space="0"/>
                <w:left w:val="none" w:color="000000" w:sz="0" w:space="0"/>
                <w:bottom w:val="none" w:color="000000" w:sz="0" w:space="0"/>
                <w:right w:val="none" w:color="000000" w:sz="0" w:space="0"/>
              </w:pBdr>
              <w:spacing w:line="85" w:lineRule="atLeast"/>
              <w:jc w:val="center"/>
              <w:rPr>
                <w:color w:val="auto"/>
                <w:sz w:val="21"/>
                <w:szCs w:val="21"/>
                <w:highlight w:val="none"/>
              </w:rPr>
            </w:pPr>
          </w:p>
        </w:tc>
        <w:tc>
          <w:tcPr>
            <w:tcW w:w="686" w:type="dxa"/>
            <w:tcBorders>
              <w:bottom w:val="single" w:color="000000" w:sz="8" w:space="0"/>
              <w:right w:val="single" w:color="000000" w:sz="8" w:space="0"/>
            </w:tcBorders>
            <w:noWrap/>
            <w:tcMar>
              <w:top w:w="0" w:type="dxa"/>
              <w:left w:w="108" w:type="dxa"/>
              <w:bottom w:w="0" w:type="dxa"/>
              <w:right w:w="108" w:type="dxa"/>
            </w:tcMar>
            <w:vAlign w:val="center"/>
          </w:tcPr>
          <w:p w14:paraId="21F48F10">
            <w:pPr>
              <w:pBdr>
                <w:top w:val="none" w:color="000000" w:sz="0" w:space="0"/>
                <w:left w:val="none" w:color="000000" w:sz="0" w:space="0"/>
                <w:bottom w:val="none" w:color="000000" w:sz="0" w:space="0"/>
                <w:right w:val="none" w:color="000000" w:sz="0" w:space="0"/>
              </w:pBdr>
              <w:spacing w:line="85" w:lineRule="atLeast"/>
              <w:jc w:val="center"/>
              <w:rPr>
                <w:color w:val="auto"/>
                <w:sz w:val="21"/>
                <w:szCs w:val="21"/>
                <w:highlight w:val="none"/>
              </w:rPr>
            </w:pPr>
          </w:p>
        </w:tc>
      </w:tr>
      <w:tr w14:paraId="079A7747">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0" w:type="dxa"/>
            <w:bottom w:w="0" w:type="dxa"/>
            <w:right w:w="0" w:type="dxa"/>
          </w:tblCellMar>
        </w:tblPrEx>
        <w:tc>
          <w:tcPr>
            <w:tcW w:w="426" w:type="dxa"/>
            <w:tcBorders>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0EB94C7D">
            <w:pPr>
              <w:pBdr>
                <w:top w:val="none" w:color="000000" w:sz="0" w:space="0"/>
                <w:left w:val="none" w:color="000000" w:sz="0" w:space="0"/>
                <w:bottom w:val="none" w:color="000000" w:sz="0" w:space="0"/>
                <w:right w:val="none" w:color="000000" w:sz="0" w:space="0"/>
              </w:pBdr>
              <w:spacing w:line="85" w:lineRule="atLeast"/>
              <w:jc w:val="center"/>
              <w:rPr>
                <w:color w:val="auto"/>
                <w:sz w:val="21"/>
                <w:szCs w:val="21"/>
                <w:highlight w:val="none"/>
              </w:rPr>
            </w:pPr>
            <w:r>
              <w:rPr>
                <w:rFonts w:ascii="宋体" w:hAnsi="宋体" w:cs="宋体"/>
                <w:color w:val="auto"/>
                <w:sz w:val="21"/>
                <w:szCs w:val="21"/>
                <w:highlight w:val="none"/>
              </w:rPr>
              <w:t>5</w:t>
            </w:r>
          </w:p>
        </w:tc>
        <w:tc>
          <w:tcPr>
            <w:tcW w:w="679" w:type="dxa"/>
            <w:tcBorders>
              <w:bottom w:val="single" w:color="000000" w:sz="8" w:space="0"/>
              <w:right w:val="single" w:color="000000" w:sz="8" w:space="0"/>
            </w:tcBorders>
            <w:noWrap/>
            <w:tcMar>
              <w:top w:w="0" w:type="dxa"/>
              <w:left w:w="108" w:type="dxa"/>
              <w:bottom w:w="0" w:type="dxa"/>
              <w:right w:w="108" w:type="dxa"/>
            </w:tcMar>
            <w:vAlign w:val="center"/>
          </w:tcPr>
          <w:p w14:paraId="6CD96021">
            <w:pPr>
              <w:pBdr>
                <w:top w:val="none" w:color="000000" w:sz="0" w:space="0"/>
                <w:left w:val="none" w:color="000000" w:sz="0" w:space="0"/>
                <w:bottom w:val="none" w:color="000000" w:sz="0" w:space="0"/>
                <w:right w:val="none" w:color="000000" w:sz="0" w:space="0"/>
              </w:pBdr>
              <w:spacing w:line="85" w:lineRule="atLeast"/>
              <w:jc w:val="center"/>
              <w:rPr>
                <w:color w:val="auto"/>
                <w:sz w:val="21"/>
                <w:szCs w:val="21"/>
                <w:highlight w:val="none"/>
              </w:rPr>
            </w:pPr>
            <w:r>
              <w:rPr>
                <w:rFonts w:ascii="宋体" w:hAnsi="宋体" w:cs="宋体"/>
                <w:color w:val="auto"/>
                <w:sz w:val="21"/>
                <w:szCs w:val="21"/>
                <w:highlight w:val="none"/>
              </w:rPr>
              <w:t>巡查问题处置</w:t>
            </w:r>
          </w:p>
        </w:tc>
        <w:tc>
          <w:tcPr>
            <w:tcW w:w="4390" w:type="dxa"/>
            <w:tcBorders>
              <w:bottom w:val="single" w:color="000000" w:sz="8" w:space="0"/>
              <w:right w:val="single" w:color="000000" w:sz="8" w:space="0"/>
            </w:tcBorders>
            <w:noWrap/>
            <w:tcMar>
              <w:top w:w="0" w:type="dxa"/>
              <w:left w:w="108" w:type="dxa"/>
              <w:bottom w:w="0" w:type="dxa"/>
              <w:right w:w="108" w:type="dxa"/>
            </w:tcMar>
            <w:vAlign w:val="center"/>
          </w:tcPr>
          <w:p w14:paraId="5AA68245">
            <w:pPr>
              <w:pBdr>
                <w:top w:val="none" w:color="000000" w:sz="0" w:space="0"/>
                <w:left w:val="none" w:color="000000" w:sz="0" w:space="0"/>
                <w:bottom w:val="none" w:color="000000" w:sz="0" w:space="0"/>
                <w:right w:val="none" w:color="000000" w:sz="0" w:space="0"/>
              </w:pBdr>
              <w:spacing w:line="85" w:lineRule="atLeast"/>
              <w:rPr>
                <w:color w:val="auto"/>
                <w:sz w:val="21"/>
                <w:szCs w:val="21"/>
                <w:highlight w:val="none"/>
              </w:rPr>
            </w:pPr>
            <w:r>
              <w:rPr>
                <w:rFonts w:ascii="宋体" w:hAnsi="宋体" w:cs="宋体"/>
                <w:color w:val="auto"/>
                <w:sz w:val="21"/>
                <w:szCs w:val="21"/>
                <w:highlight w:val="none"/>
              </w:rPr>
              <w:t>养护维修范围内的城市道路，在巡查过程中发现设施明显损坏，影响车辆和行人安全等安全隐患、危急情况，及时采取相应的维护措施，并做好记录。</w:t>
            </w:r>
          </w:p>
        </w:tc>
        <w:tc>
          <w:tcPr>
            <w:tcW w:w="1548" w:type="dxa"/>
            <w:tcBorders>
              <w:bottom w:val="single" w:color="000000" w:sz="8" w:space="0"/>
              <w:right w:val="single" w:color="000000" w:sz="8" w:space="0"/>
            </w:tcBorders>
            <w:noWrap/>
            <w:tcMar>
              <w:top w:w="0" w:type="dxa"/>
              <w:left w:w="108" w:type="dxa"/>
              <w:bottom w:w="0" w:type="dxa"/>
              <w:right w:w="108" w:type="dxa"/>
            </w:tcMar>
            <w:vAlign w:val="center"/>
          </w:tcPr>
          <w:p w14:paraId="33AD340E">
            <w:pPr>
              <w:pBdr>
                <w:top w:val="none" w:color="000000" w:sz="0" w:space="0"/>
                <w:left w:val="none" w:color="000000" w:sz="0" w:space="0"/>
                <w:bottom w:val="none" w:color="000000" w:sz="0" w:space="0"/>
                <w:right w:val="none" w:color="000000" w:sz="0" w:space="0"/>
              </w:pBdr>
              <w:spacing w:line="85" w:lineRule="atLeast"/>
              <w:rPr>
                <w:color w:val="auto"/>
                <w:sz w:val="21"/>
                <w:szCs w:val="21"/>
                <w:highlight w:val="none"/>
              </w:rPr>
            </w:pPr>
            <w:r>
              <w:rPr>
                <w:rFonts w:ascii="宋体" w:hAnsi="宋体" w:cs="宋体"/>
                <w:color w:val="auto"/>
                <w:sz w:val="21"/>
                <w:szCs w:val="21"/>
                <w:highlight w:val="none"/>
              </w:rPr>
              <w:t>未达到本条要求者，每次扣5分</w:t>
            </w:r>
          </w:p>
        </w:tc>
        <w:tc>
          <w:tcPr>
            <w:tcW w:w="690" w:type="dxa"/>
            <w:tcBorders>
              <w:bottom w:val="single" w:color="000000" w:sz="8" w:space="0"/>
              <w:right w:val="single" w:color="000000" w:sz="8" w:space="0"/>
            </w:tcBorders>
            <w:noWrap/>
            <w:tcMar>
              <w:top w:w="0" w:type="dxa"/>
              <w:left w:w="108" w:type="dxa"/>
              <w:bottom w:w="0" w:type="dxa"/>
              <w:right w:w="108" w:type="dxa"/>
            </w:tcMar>
            <w:vAlign w:val="center"/>
          </w:tcPr>
          <w:p w14:paraId="6D1DA268">
            <w:pPr>
              <w:pBdr>
                <w:top w:val="none" w:color="000000" w:sz="0" w:space="0"/>
                <w:left w:val="none" w:color="000000" w:sz="0" w:space="0"/>
                <w:bottom w:val="none" w:color="000000" w:sz="0" w:space="0"/>
                <w:right w:val="none" w:color="000000" w:sz="0" w:space="0"/>
              </w:pBdr>
              <w:spacing w:line="85" w:lineRule="atLeast"/>
              <w:jc w:val="center"/>
              <w:rPr>
                <w:color w:val="auto"/>
                <w:sz w:val="21"/>
                <w:szCs w:val="21"/>
                <w:highlight w:val="none"/>
              </w:rPr>
            </w:pPr>
            <w:r>
              <w:rPr>
                <w:rFonts w:ascii="宋体" w:hAnsi="宋体" w:cs="宋体"/>
                <w:color w:val="auto"/>
                <w:sz w:val="21"/>
                <w:szCs w:val="21"/>
                <w:highlight w:val="none"/>
              </w:rPr>
              <w:t>25</w:t>
            </w:r>
          </w:p>
        </w:tc>
        <w:tc>
          <w:tcPr>
            <w:tcW w:w="676" w:type="dxa"/>
            <w:tcBorders>
              <w:bottom w:val="single" w:color="000000" w:sz="8" w:space="0"/>
              <w:right w:val="single" w:color="000000" w:sz="8" w:space="0"/>
            </w:tcBorders>
            <w:noWrap/>
            <w:tcMar>
              <w:top w:w="0" w:type="dxa"/>
              <w:left w:w="108" w:type="dxa"/>
              <w:bottom w:w="0" w:type="dxa"/>
              <w:right w:w="108" w:type="dxa"/>
            </w:tcMar>
            <w:vAlign w:val="center"/>
          </w:tcPr>
          <w:p w14:paraId="3D9CB40B">
            <w:pPr>
              <w:pBdr>
                <w:top w:val="none" w:color="000000" w:sz="0" w:space="0"/>
                <w:left w:val="none" w:color="000000" w:sz="0" w:space="0"/>
                <w:bottom w:val="none" w:color="000000" w:sz="0" w:space="0"/>
                <w:right w:val="none" w:color="000000" w:sz="0" w:space="0"/>
              </w:pBdr>
              <w:spacing w:line="85" w:lineRule="atLeast"/>
              <w:jc w:val="center"/>
              <w:rPr>
                <w:color w:val="auto"/>
                <w:sz w:val="21"/>
                <w:szCs w:val="21"/>
                <w:highlight w:val="none"/>
              </w:rPr>
            </w:pPr>
          </w:p>
        </w:tc>
        <w:tc>
          <w:tcPr>
            <w:tcW w:w="662" w:type="dxa"/>
            <w:tcBorders>
              <w:bottom w:val="single" w:color="000000" w:sz="8" w:space="0"/>
              <w:right w:val="single" w:color="000000" w:sz="8" w:space="0"/>
            </w:tcBorders>
            <w:noWrap/>
            <w:tcMar>
              <w:top w:w="0" w:type="dxa"/>
              <w:left w:w="108" w:type="dxa"/>
              <w:bottom w:w="0" w:type="dxa"/>
              <w:right w:w="108" w:type="dxa"/>
            </w:tcMar>
            <w:vAlign w:val="center"/>
          </w:tcPr>
          <w:p w14:paraId="2BDBDA10">
            <w:pPr>
              <w:pBdr>
                <w:top w:val="none" w:color="000000" w:sz="0" w:space="0"/>
                <w:left w:val="none" w:color="000000" w:sz="0" w:space="0"/>
                <w:bottom w:val="none" w:color="000000" w:sz="0" w:space="0"/>
                <w:right w:val="none" w:color="000000" w:sz="0" w:space="0"/>
              </w:pBdr>
              <w:spacing w:line="85" w:lineRule="atLeast"/>
              <w:jc w:val="center"/>
              <w:rPr>
                <w:color w:val="auto"/>
                <w:sz w:val="21"/>
                <w:szCs w:val="21"/>
                <w:highlight w:val="none"/>
              </w:rPr>
            </w:pPr>
          </w:p>
        </w:tc>
        <w:tc>
          <w:tcPr>
            <w:tcW w:w="686" w:type="dxa"/>
            <w:tcBorders>
              <w:bottom w:val="single" w:color="000000" w:sz="8" w:space="0"/>
              <w:right w:val="single" w:color="000000" w:sz="8" w:space="0"/>
            </w:tcBorders>
            <w:noWrap/>
            <w:tcMar>
              <w:top w:w="0" w:type="dxa"/>
              <w:left w:w="108" w:type="dxa"/>
              <w:bottom w:w="0" w:type="dxa"/>
              <w:right w:w="108" w:type="dxa"/>
            </w:tcMar>
            <w:vAlign w:val="center"/>
          </w:tcPr>
          <w:p w14:paraId="68EEEE10">
            <w:pPr>
              <w:pBdr>
                <w:top w:val="none" w:color="000000" w:sz="0" w:space="0"/>
                <w:left w:val="none" w:color="000000" w:sz="0" w:space="0"/>
                <w:bottom w:val="none" w:color="000000" w:sz="0" w:space="0"/>
                <w:right w:val="none" w:color="000000" w:sz="0" w:space="0"/>
              </w:pBdr>
              <w:spacing w:line="85" w:lineRule="atLeast"/>
              <w:jc w:val="center"/>
              <w:rPr>
                <w:color w:val="auto"/>
                <w:sz w:val="21"/>
                <w:szCs w:val="21"/>
                <w:highlight w:val="none"/>
              </w:rPr>
            </w:pPr>
          </w:p>
        </w:tc>
      </w:tr>
      <w:tr w14:paraId="3EC34D50">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0" w:type="dxa"/>
            <w:bottom w:w="0" w:type="dxa"/>
            <w:right w:w="0" w:type="dxa"/>
          </w:tblCellMar>
        </w:tblPrEx>
        <w:tc>
          <w:tcPr>
            <w:tcW w:w="7043" w:type="dxa"/>
            <w:gridSpan w:val="4"/>
            <w:tcBorders>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7C2D0F3A">
            <w:pPr>
              <w:pBdr>
                <w:top w:val="none" w:color="000000" w:sz="0" w:space="0"/>
                <w:left w:val="none" w:color="000000" w:sz="0" w:space="0"/>
                <w:bottom w:val="none" w:color="000000" w:sz="0" w:space="0"/>
                <w:right w:val="none" w:color="000000" w:sz="0" w:space="0"/>
              </w:pBdr>
              <w:spacing w:line="85" w:lineRule="atLeast"/>
              <w:jc w:val="center"/>
              <w:rPr>
                <w:color w:val="auto"/>
                <w:sz w:val="21"/>
                <w:szCs w:val="21"/>
                <w:highlight w:val="none"/>
              </w:rPr>
            </w:pPr>
            <w:r>
              <w:rPr>
                <w:rFonts w:ascii="宋体" w:hAnsi="宋体" w:cs="宋体"/>
                <w:color w:val="auto"/>
                <w:sz w:val="21"/>
                <w:szCs w:val="21"/>
                <w:highlight w:val="none"/>
              </w:rPr>
              <w:t>合计得分</w:t>
            </w:r>
          </w:p>
        </w:tc>
        <w:tc>
          <w:tcPr>
            <w:tcW w:w="2714" w:type="dxa"/>
            <w:gridSpan w:val="4"/>
            <w:tcBorders>
              <w:bottom w:val="single" w:color="000000" w:sz="8" w:space="0"/>
              <w:right w:val="single" w:color="000000" w:sz="8" w:space="0"/>
            </w:tcBorders>
            <w:noWrap/>
            <w:tcMar>
              <w:top w:w="0" w:type="dxa"/>
              <w:left w:w="108" w:type="dxa"/>
              <w:bottom w:w="0" w:type="dxa"/>
              <w:right w:w="108" w:type="dxa"/>
            </w:tcMar>
            <w:vAlign w:val="center"/>
          </w:tcPr>
          <w:p w14:paraId="0866F6F1">
            <w:pPr>
              <w:pBdr>
                <w:top w:val="none" w:color="000000" w:sz="0" w:space="0"/>
                <w:left w:val="none" w:color="000000" w:sz="0" w:space="0"/>
                <w:bottom w:val="none" w:color="000000" w:sz="0" w:space="0"/>
                <w:right w:val="none" w:color="000000" w:sz="0" w:space="0"/>
              </w:pBdr>
              <w:spacing w:line="85" w:lineRule="atLeast"/>
              <w:rPr>
                <w:color w:val="auto"/>
                <w:sz w:val="21"/>
                <w:szCs w:val="21"/>
                <w:highlight w:val="none"/>
              </w:rPr>
            </w:pPr>
            <w:r>
              <w:rPr>
                <w:rFonts w:ascii="宋体" w:hAnsi="宋体" w:cs="宋体"/>
                <w:color w:val="auto"/>
                <w:sz w:val="21"/>
                <w:szCs w:val="21"/>
                <w:highlight w:val="none"/>
              </w:rPr>
              <w:t> </w:t>
            </w:r>
          </w:p>
        </w:tc>
      </w:tr>
      <w:tr w14:paraId="6F6C7A3B">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0" w:type="dxa"/>
            <w:bottom w:w="0" w:type="dxa"/>
            <w:right w:w="0" w:type="dxa"/>
          </w:tblCellMar>
        </w:tblPrEx>
        <w:tc>
          <w:tcPr>
            <w:tcW w:w="9757" w:type="dxa"/>
            <w:gridSpan w:val="8"/>
            <w:noWrap/>
            <w:tcMar>
              <w:top w:w="0" w:type="dxa"/>
              <w:left w:w="108" w:type="dxa"/>
              <w:bottom w:w="0" w:type="dxa"/>
              <w:right w:w="108" w:type="dxa"/>
            </w:tcMar>
            <w:vAlign w:val="center"/>
          </w:tcPr>
          <w:p w14:paraId="5D541BEA">
            <w:pPr>
              <w:pBdr>
                <w:top w:val="none" w:color="000000" w:sz="0" w:space="0"/>
                <w:left w:val="none" w:color="000000" w:sz="0" w:space="0"/>
                <w:bottom w:val="none" w:color="000000" w:sz="0" w:space="0"/>
                <w:right w:val="none" w:color="000000" w:sz="0" w:space="0"/>
              </w:pBdr>
              <w:spacing w:line="85" w:lineRule="atLeast"/>
              <w:rPr>
                <w:color w:val="auto"/>
                <w:sz w:val="21"/>
                <w:szCs w:val="21"/>
                <w:highlight w:val="none"/>
              </w:rPr>
            </w:pPr>
            <w:r>
              <w:rPr>
                <w:rFonts w:ascii="宋体" w:hAnsi="宋体" w:cs="宋体"/>
                <w:color w:val="auto"/>
                <w:sz w:val="21"/>
                <w:szCs w:val="21"/>
                <w:highlight w:val="none"/>
              </w:rPr>
              <w:t>养护单位：</w:t>
            </w:r>
            <w:r>
              <w:rPr>
                <w:rFonts w:hint="eastAsia" w:ascii="宋体" w:hAnsi="宋体" w:cs="宋体"/>
                <w:color w:val="auto"/>
                <w:sz w:val="21"/>
                <w:szCs w:val="21"/>
                <w:highlight w:val="none"/>
                <w:lang w:val="en-US" w:eastAsia="zh-CN"/>
              </w:rPr>
              <w:t xml:space="preserve">                                                </w:t>
            </w:r>
            <w:r>
              <w:rPr>
                <w:rFonts w:ascii="宋体" w:hAnsi="宋体" w:cs="宋体"/>
                <w:color w:val="auto"/>
                <w:sz w:val="21"/>
                <w:szCs w:val="21"/>
                <w:highlight w:val="none"/>
              </w:rPr>
              <w:t>考核人员：</w:t>
            </w:r>
          </w:p>
          <w:p w14:paraId="5D39B1F6">
            <w:pPr>
              <w:pBdr>
                <w:top w:val="none" w:color="000000" w:sz="0" w:space="0"/>
                <w:left w:val="none" w:color="000000" w:sz="0" w:space="0"/>
                <w:bottom w:val="none" w:color="000000" w:sz="0" w:space="0"/>
                <w:right w:val="none" w:color="000000" w:sz="0" w:space="0"/>
              </w:pBdr>
              <w:spacing w:line="85" w:lineRule="atLeast"/>
              <w:rPr>
                <w:color w:val="auto"/>
                <w:sz w:val="21"/>
                <w:szCs w:val="21"/>
                <w:highlight w:val="none"/>
              </w:rPr>
            </w:pPr>
            <w:r>
              <w:rPr>
                <w:rFonts w:ascii="宋体" w:hAnsi="宋体" w:cs="宋体"/>
                <w:color w:val="auto"/>
                <w:sz w:val="21"/>
                <w:szCs w:val="21"/>
                <w:highlight w:val="none"/>
              </w:rPr>
              <w:t>检查时间：202  年   月   日～202  年   月   日</w:t>
            </w:r>
          </w:p>
        </w:tc>
      </w:tr>
      <w:tr w14:paraId="01099C28">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0" w:type="dxa"/>
            <w:bottom w:w="0" w:type="dxa"/>
            <w:right w:w="0" w:type="dxa"/>
          </w:tblCellMar>
        </w:tblPrEx>
        <w:trPr>
          <w:trHeight w:val="642" w:hRule="atLeast"/>
        </w:trPr>
        <w:tc>
          <w:tcPr>
            <w:tcW w:w="9757" w:type="dxa"/>
            <w:gridSpan w:val="8"/>
            <w:noWrap/>
            <w:tcMar>
              <w:top w:w="0" w:type="dxa"/>
              <w:left w:w="108" w:type="dxa"/>
              <w:bottom w:w="0" w:type="dxa"/>
              <w:right w:w="108" w:type="dxa"/>
            </w:tcMar>
            <w:vAlign w:val="center"/>
          </w:tcPr>
          <w:p w14:paraId="1936AB4F">
            <w:pPr>
              <w:pBdr>
                <w:top w:val="none" w:color="000000" w:sz="0" w:space="0"/>
                <w:left w:val="none" w:color="000000" w:sz="0" w:space="0"/>
                <w:bottom w:val="none" w:color="000000" w:sz="0" w:space="0"/>
                <w:right w:val="none" w:color="000000" w:sz="0" w:space="0"/>
              </w:pBdr>
              <w:spacing w:line="85" w:lineRule="atLeast"/>
              <w:rPr>
                <w:color w:val="auto"/>
                <w:sz w:val="21"/>
                <w:szCs w:val="21"/>
                <w:highlight w:val="none"/>
              </w:rPr>
            </w:pPr>
            <w:r>
              <w:rPr>
                <w:rFonts w:ascii="宋体" w:hAnsi="宋体" w:cs="宋体"/>
                <w:color w:val="auto"/>
                <w:sz w:val="21"/>
                <w:szCs w:val="21"/>
                <w:highlight w:val="none"/>
              </w:rPr>
              <w:t>注：日常考核时使用，在相应的词语上划“√”</w:t>
            </w:r>
          </w:p>
        </w:tc>
      </w:tr>
    </w:tbl>
    <w:p w14:paraId="72BF1955">
      <w:pPr>
        <w:pBdr>
          <w:top w:val="none" w:color="000000" w:sz="0" w:space="0"/>
          <w:left w:val="none" w:color="000000" w:sz="0" w:space="0"/>
          <w:bottom w:val="none" w:color="000000" w:sz="0" w:space="0"/>
          <w:right w:val="none" w:color="000000" w:sz="0" w:space="0"/>
        </w:pBdr>
        <w:ind w:firstLine="480"/>
        <w:jc w:val="center"/>
        <w:rPr>
          <w:rFonts w:eastAsia="Times New Roman"/>
          <w:color w:val="auto"/>
          <w:sz w:val="21"/>
          <w:szCs w:val="21"/>
          <w:highlight w:val="none"/>
        </w:rPr>
      </w:pPr>
    </w:p>
    <w:p w14:paraId="4A6CD2F1">
      <w:pPr>
        <w:pBdr>
          <w:top w:val="none" w:color="000000" w:sz="0" w:space="0"/>
          <w:left w:val="none" w:color="000000" w:sz="0" w:space="0"/>
          <w:bottom w:val="none" w:color="000000" w:sz="0" w:space="0"/>
          <w:right w:val="none" w:color="000000" w:sz="0" w:space="0"/>
        </w:pBdr>
        <w:spacing w:line="85" w:lineRule="atLeast"/>
        <w:ind w:firstLine="480"/>
        <w:jc w:val="center"/>
        <w:rPr>
          <w:rFonts w:eastAsia="Times New Roman"/>
          <w:b/>
          <w:bCs/>
          <w:color w:val="auto"/>
          <w:sz w:val="24"/>
          <w:szCs w:val="24"/>
          <w:highlight w:val="none"/>
        </w:rPr>
      </w:pPr>
      <w:r>
        <w:rPr>
          <w:color w:val="auto"/>
          <w:sz w:val="21"/>
          <w:szCs w:val="21"/>
          <w:highlight w:val="none"/>
        </w:rPr>
        <w:br w:type="page"/>
      </w:r>
      <w:r>
        <w:rPr>
          <w:rFonts w:eastAsia="Times New Roman"/>
          <w:b/>
          <w:bCs/>
          <w:color w:val="auto"/>
          <w:sz w:val="24"/>
          <w:szCs w:val="24"/>
          <w:highlight w:val="none"/>
        </w:rPr>
        <w:t>表1-2</w:t>
      </w:r>
      <w:r>
        <w:rPr>
          <w:rFonts w:hint="eastAsia" w:eastAsia="Times New Roman"/>
          <w:b/>
          <w:bCs/>
          <w:color w:val="auto"/>
          <w:sz w:val="24"/>
          <w:szCs w:val="24"/>
          <w:highlight w:val="none"/>
        </w:rPr>
        <w:t xml:space="preserve"> </w:t>
      </w:r>
      <w:r>
        <w:rPr>
          <w:rFonts w:eastAsia="Times New Roman"/>
          <w:b/>
          <w:bCs/>
          <w:color w:val="auto"/>
          <w:sz w:val="24"/>
          <w:szCs w:val="24"/>
          <w:highlight w:val="none"/>
        </w:rPr>
        <w:t>设施维护考核表（日常）</w:t>
      </w:r>
    </w:p>
    <w:p w14:paraId="7E39D334">
      <w:pPr>
        <w:pBdr>
          <w:top w:val="none" w:color="000000" w:sz="0" w:space="0"/>
          <w:left w:val="none" w:color="000000" w:sz="0" w:space="0"/>
          <w:bottom w:val="none" w:color="000000" w:sz="0" w:space="0"/>
          <w:right w:val="none" w:color="000000" w:sz="0" w:space="0"/>
        </w:pBdr>
        <w:ind w:firstLine="480"/>
        <w:jc w:val="center"/>
        <w:rPr>
          <w:rFonts w:eastAsia="Times New Roman"/>
          <w:color w:val="auto"/>
          <w:sz w:val="21"/>
          <w:szCs w:val="21"/>
          <w:highlight w:val="none"/>
        </w:rPr>
      </w:pPr>
    </w:p>
    <w:p w14:paraId="608FBD5A">
      <w:pPr>
        <w:pBdr>
          <w:top w:val="none" w:color="000000" w:sz="0" w:space="0"/>
          <w:left w:val="none" w:color="000000" w:sz="0" w:space="0"/>
          <w:bottom w:val="none" w:color="000000" w:sz="0" w:space="0"/>
          <w:right w:val="none" w:color="000000" w:sz="0" w:space="0"/>
        </w:pBdr>
        <w:ind w:firstLine="480"/>
        <w:jc w:val="right"/>
        <w:rPr>
          <w:color w:val="auto"/>
          <w:sz w:val="21"/>
          <w:szCs w:val="21"/>
          <w:highlight w:val="none"/>
        </w:rPr>
      </w:pPr>
      <w:r>
        <w:rPr>
          <w:rFonts w:hint="eastAsia"/>
          <w:color w:val="auto"/>
          <w:sz w:val="21"/>
          <w:szCs w:val="21"/>
          <w:highlight w:val="none"/>
          <w:lang w:val="en-US" w:eastAsia="zh-CN"/>
        </w:rPr>
        <w:t xml:space="preserve">     </w:t>
      </w:r>
      <w:r>
        <w:rPr>
          <w:rFonts w:eastAsia="Times New Roman"/>
          <w:color w:val="auto"/>
          <w:sz w:val="21"/>
          <w:szCs w:val="21"/>
          <w:highlight w:val="none"/>
        </w:rPr>
        <w:t>（</w:t>
      </w:r>
      <w:r>
        <w:rPr>
          <w:rFonts w:ascii="宋体" w:hAnsi="宋体" w:cs="宋体"/>
          <w:color w:val="auto"/>
          <w:sz w:val="21"/>
          <w:szCs w:val="21"/>
          <w:highlight w:val="none"/>
        </w:rPr>
        <w:t xml:space="preserve">20   </w:t>
      </w:r>
      <w:r>
        <w:rPr>
          <w:rFonts w:eastAsia="Times New Roman"/>
          <w:color w:val="auto"/>
          <w:sz w:val="21"/>
          <w:szCs w:val="21"/>
          <w:highlight w:val="none"/>
        </w:rPr>
        <w:t>年</w:t>
      </w:r>
      <w:r>
        <w:rPr>
          <w:rFonts w:hint="eastAsia"/>
          <w:color w:val="auto"/>
          <w:sz w:val="21"/>
          <w:szCs w:val="21"/>
          <w:highlight w:val="none"/>
          <w:lang w:val="en-US" w:eastAsia="zh-CN"/>
        </w:rPr>
        <w:t xml:space="preserve">  </w:t>
      </w:r>
      <w:r>
        <w:rPr>
          <w:rFonts w:hint="eastAsia"/>
          <w:color w:val="auto"/>
          <w:sz w:val="21"/>
          <w:szCs w:val="21"/>
          <w:highlight w:val="none"/>
        </w:rPr>
        <w:t xml:space="preserve">  </w:t>
      </w:r>
      <w:r>
        <w:rPr>
          <w:rFonts w:eastAsia="Times New Roman"/>
          <w:color w:val="auto"/>
          <w:sz w:val="21"/>
          <w:szCs w:val="21"/>
          <w:highlight w:val="none"/>
        </w:rPr>
        <w:t>月）</w:t>
      </w:r>
    </w:p>
    <w:tbl>
      <w:tblPr>
        <w:tblStyle w:val="7"/>
        <w:tblW w:w="10146" w:type="dxa"/>
        <w:tblInd w:w="-6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94"/>
        <w:gridCol w:w="1044"/>
        <w:gridCol w:w="5166"/>
        <w:gridCol w:w="1492"/>
        <w:gridCol w:w="534"/>
        <w:gridCol w:w="534"/>
        <w:gridCol w:w="498"/>
        <w:gridCol w:w="484"/>
      </w:tblGrid>
      <w:tr w14:paraId="7E0BE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94" w:type="dxa"/>
            <w:noWrap/>
            <w:tcMar>
              <w:top w:w="0" w:type="dxa"/>
              <w:left w:w="108" w:type="dxa"/>
              <w:bottom w:w="0" w:type="dxa"/>
              <w:right w:w="108" w:type="dxa"/>
            </w:tcMar>
            <w:vAlign w:val="center"/>
          </w:tcPr>
          <w:p w14:paraId="33433088">
            <w:pPr>
              <w:keepNext w:val="0"/>
              <w:keepLines w:val="0"/>
              <w:pageBreakBefore w:val="0"/>
              <w:widowControl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val="0"/>
              <w:spacing w:line="360" w:lineRule="auto"/>
              <w:jc w:val="center"/>
              <w:textAlignment w:val="auto"/>
              <w:rPr>
                <w:color w:val="auto"/>
                <w:sz w:val="21"/>
                <w:szCs w:val="21"/>
                <w:highlight w:val="none"/>
              </w:rPr>
            </w:pPr>
            <w:r>
              <w:rPr>
                <w:rFonts w:ascii="宋体" w:hAnsi="宋体" w:cs="宋体"/>
                <w:color w:val="auto"/>
                <w:sz w:val="21"/>
                <w:szCs w:val="21"/>
                <w:highlight w:val="none"/>
              </w:rPr>
              <w:t>序号</w:t>
            </w:r>
          </w:p>
        </w:tc>
        <w:tc>
          <w:tcPr>
            <w:tcW w:w="1044" w:type="dxa"/>
            <w:noWrap/>
            <w:tcMar>
              <w:top w:w="0" w:type="dxa"/>
              <w:left w:w="108" w:type="dxa"/>
              <w:bottom w:w="0" w:type="dxa"/>
              <w:right w:w="108" w:type="dxa"/>
            </w:tcMar>
            <w:vAlign w:val="center"/>
          </w:tcPr>
          <w:p w14:paraId="4562A4B7">
            <w:pPr>
              <w:keepNext w:val="0"/>
              <w:keepLines w:val="0"/>
              <w:pageBreakBefore w:val="0"/>
              <w:widowControl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val="0"/>
              <w:spacing w:line="360" w:lineRule="auto"/>
              <w:jc w:val="center"/>
              <w:textAlignment w:val="auto"/>
              <w:rPr>
                <w:color w:val="auto"/>
                <w:sz w:val="21"/>
                <w:szCs w:val="21"/>
                <w:highlight w:val="none"/>
              </w:rPr>
            </w:pPr>
            <w:r>
              <w:rPr>
                <w:rFonts w:ascii="宋体" w:hAnsi="宋体" w:cs="宋体"/>
                <w:color w:val="auto"/>
                <w:sz w:val="21"/>
                <w:szCs w:val="21"/>
                <w:highlight w:val="none"/>
              </w:rPr>
              <w:t>考核项目</w:t>
            </w:r>
          </w:p>
        </w:tc>
        <w:tc>
          <w:tcPr>
            <w:tcW w:w="5166" w:type="dxa"/>
            <w:noWrap/>
            <w:tcMar>
              <w:top w:w="0" w:type="dxa"/>
              <w:left w:w="108" w:type="dxa"/>
              <w:bottom w:w="0" w:type="dxa"/>
              <w:right w:w="108" w:type="dxa"/>
            </w:tcMar>
            <w:vAlign w:val="center"/>
          </w:tcPr>
          <w:p w14:paraId="2666B739">
            <w:pPr>
              <w:keepNext w:val="0"/>
              <w:keepLines w:val="0"/>
              <w:pageBreakBefore w:val="0"/>
              <w:widowControl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val="0"/>
              <w:spacing w:line="360" w:lineRule="auto"/>
              <w:jc w:val="center"/>
              <w:textAlignment w:val="auto"/>
              <w:rPr>
                <w:color w:val="auto"/>
                <w:sz w:val="21"/>
                <w:szCs w:val="21"/>
                <w:highlight w:val="none"/>
              </w:rPr>
            </w:pPr>
            <w:r>
              <w:rPr>
                <w:rFonts w:ascii="宋体" w:hAnsi="宋体" w:cs="宋体"/>
                <w:color w:val="auto"/>
                <w:sz w:val="21"/>
                <w:szCs w:val="21"/>
                <w:highlight w:val="none"/>
              </w:rPr>
              <w:t>考核内容</w:t>
            </w:r>
          </w:p>
        </w:tc>
        <w:tc>
          <w:tcPr>
            <w:tcW w:w="1492" w:type="dxa"/>
            <w:noWrap/>
            <w:tcMar>
              <w:top w:w="0" w:type="dxa"/>
              <w:left w:w="108" w:type="dxa"/>
              <w:bottom w:w="0" w:type="dxa"/>
              <w:right w:w="108" w:type="dxa"/>
            </w:tcMar>
            <w:vAlign w:val="center"/>
          </w:tcPr>
          <w:p w14:paraId="207AE78B">
            <w:pPr>
              <w:keepNext w:val="0"/>
              <w:keepLines w:val="0"/>
              <w:pageBreakBefore w:val="0"/>
              <w:widowControl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val="0"/>
              <w:spacing w:line="360" w:lineRule="auto"/>
              <w:jc w:val="center"/>
              <w:textAlignment w:val="auto"/>
              <w:rPr>
                <w:color w:val="auto"/>
                <w:sz w:val="21"/>
                <w:szCs w:val="21"/>
                <w:highlight w:val="none"/>
              </w:rPr>
            </w:pPr>
            <w:r>
              <w:rPr>
                <w:rFonts w:ascii="宋体" w:hAnsi="宋体" w:cs="宋体"/>
                <w:color w:val="auto"/>
                <w:sz w:val="21"/>
                <w:szCs w:val="21"/>
                <w:highlight w:val="none"/>
              </w:rPr>
              <w:t>扣分标准</w:t>
            </w:r>
          </w:p>
        </w:tc>
        <w:tc>
          <w:tcPr>
            <w:tcW w:w="534" w:type="dxa"/>
            <w:noWrap/>
            <w:tcMar>
              <w:top w:w="0" w:type="dxa"/>
              <w:left w:w="108" w:type="dxa"/>
              <w:bottom w:w="0" w:type="dxa"/>
              <w:right w:w="108" w:type="dxa"/>
            </w:tcMar>
            <w:vAlign w:val="center"/>
          </w:tcPr>
          <w:p w14:paraId="55797844">
            <w:pPr>
              <w:keepNext w:val="0"/>
              <w:keepLines w:val="0"/>
              <w:pageBreakBefore w:val="0"/>
              <w:widowControl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val="0"/>
              <w:spacing w:line="360" w:lineRule="auto"/>
              <w:jc w:val="center"/>
              <w:textAlignment w:val="auto"/>
              <w:rPr>
                <w:color w:val="auto"/>
                <w:sz w:val="21"/>
                <w:szCs w:val="21"/>
                <w:highlight w:val="none"/>
              </w:rPr>
            </w:pPr>
            <w:r>
              <w:rPr>
                <w:rFonts w:ascii="宋体" w:hAnsi="宋体" w:cs="宋体"/>
                <w:color w:val="auto"/>
                <w:sz w:val="21"/>
                <w:szCs w:val="21"/>
                <w:highlight w:val="none"/>
              </w:rPr>
              <w:t>满分</w:t>
            </w:r>
          </w:p>
        </w:tc>
        <w:tc>
          <w:tcPr>
            <w:tcW w:w="534" w:type="dxa"/>
            <w:noWrap/>
            <w:tcMar>
              <w:top w:w="0" w:type="dxa"/>
              <w:left w:w="108" w:type="dxa"/>
              <w:bottom w:w="0" w:type="dxa"/>
              <w:right w:w="108" w:type="dxa"/>
            </w:tcMar>
            <w:vAlign w:val="center"/>
          </w:tcPr>
          <w:p w14:paraId="76418D62">
            <w:pPr>
              <w:keepNext w:val="0"/>
              <w:keepLines w:val="0"/>
              <w:pageBreakBefore w:val="0"/>
              <w:widowControl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val="0"/>
              <w:spacing w:line="360" w:lineRule="auto"/>
              <w:jc w:val="center"/>
              <w:textAlignment w:val="auto"/>
              <w:rPr>
                <w:color w:val="auto"/>
                <w:sz w:val="21"/>
                <w:szCs w:val="21"/>
                <w:highlight w:val="none"/>
              </w:rPr>
            </w:pPr>
            <w:r>
              <w:rPr>
                <w:rFonts w:ascii="宋体" w:hAnsi="宋体" w:cs="宋体"/>
                <w:color w:val="auto"/>
                <w:sz w:val="21"/>
                <w:szCs w:val="21"/>
                <w:highlight w:val="none"/>
              </w:rPr>
              <w:t>扣分</w:t>
            </w:r>
          </w:p>
        </w:tc>
        <w:tc>
          <w:tcPr>
            <w:tcW w:w="498" w:type="dxa"/>
            <w:noWrap/>
            <w:tcMar>
              <w:top w:w="0" w:type="dxa"/>
              <w:left w:w="108" w:type="dxa"/>
              <w:bottom w:w="0" w:type="dxa"/>
              <w:right w:w="108" w:type="dxa"/>
            </w:tcMar>
            <w:vAlign w:val="center"/>
          </w:tcPr>
          <w:p w14:paraId="64302F99">
            <w:pPr>
              <w:keepNext w:val="0"/>
              <w:keepLines w:val="0"/>
              <w:pageBreakBefore w:val="0"/>
              <w:widowControl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val="0"/>
              <w:spacing w:line="360" w:lineRule="auto"/>
              <w:jc w:val="center"/>
              <w:textAlignment w:val="auto"/>
              <w:rPr>
                <w:color w:val="auto"/>
                <w:sz w:val="21"/>
                <w:szCs w:val="21"/>
                <w:highlight w:val="none"/>
              </w:rPr>
            </w:pPr>
            <w:r>
              <w:rPr>
                <w:rFonts w:ascii="宋体" w:hAnsi="宋体" w:cs="宋体"/>
                <w:color w:val="auto"/>
                <w:sz w:val="21"/>
                <w:szCs w:val="21"/>
                <w:highlight w:val="none"/>
              </w:rPr>
              <w:t>得分</w:t>
            </w:r>
          </w:p>
        </w:tc>
        <w:tc>
          <w:tcPr>
            <w:tcW w:w="484" w:type="dxa"/>
            <w:noWrap/>
            <w:tcMar>
              <w:top w:w="0" w:type="dxa"/>
              <w:left w:w="108" w:type="dxa"/>
              <w:bottom w:w="0" w:type="dxa"/>
              <w:right w:w="108" w:type="dxa"/>
            </w:tcMar>
            <w:vAlign w:val="center"/>
          </w:tcPr>
          <w:p w14:paraId="00D03577">
            <w:pPr>
              <w:keepNext w:val="0"/>
              <w:keepLines w:val="0"/>
              <w:pageBreakBefore w:val="0"/>
              <w:widowControl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val="0"/>
              <w:spacing w:line="360" w:lineRule="auto"/>
              <w:jc w:val="center"/>
              <w:textAlignment w:val="auto"/>
              <w:rPr>
                <w:color w:val="auto"/>
                <w:sz w:val="21"/>
                <w:szCs w:val="21"/>
                <w:highlight w:val="none"/>
              </w:rPr>
            </w:pPr>
            <w:r>
              <w:rPr>
                <w:rFonts w:ascii="宋体" w:hAnsi="宋体" w:cs="宋体"/>
                <w:color w:val="auto"/>
                <w:sz w:val="21"/>
                <w:szCs w:val="21"/>
                <w:highlight w:val="none"/>
              </w:rPr>
              <w:t>备注</w:t>
            </w:r>
          </w:p>
        </w:tc>
      </w:tr>
      <w:tr w14:paraId="63DC6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94" w:type="dxa"/>
            <w:noWrap/>
            <w:tcMar>
              <w:top w:w="0" w:type="dxa"/>
              <w:left w:w="108" w:type="dxa"/>
              <w:bottom w:w="0" w:type="dxa"/>
              <w:right w:w="108" w:type="dxa"/>
            </w:tcMar>
            <w:vAlign w:val="center"/>
          </w:tcPr>
          <w:p w14:paraId="7F3AF762">
            <w:pPr>
              <w:keepNext w:val="0"/>
              <w:keepLines w:val="0"/>
              <w:pageBreakBefore w:val="0"/>
              <w:widowControl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val="0"/>
              <w:spacing w:line="360" w:lineRule="auto"/>
              <w:jc w:val="center"/>
              <w:textAlignment w:val="auto"/>
              <w:rPr>
                <w:color w:val="auto"/>
                <w:sz w:val="21"/>
                <w:szCs w:val="21"/>
                <w:highlight w:val="none"/>
              </w:rPr>
            </w:pPr>
            <w:r>
              <w:rPr>
                <w:rFonts w:ascii="宋体" w:hAnsi="宋体" w:cs="宋体"/>
                <w:color w:val="auto"/>
                <w:sz w:val="21"/>
                <w:szCs w:val="21"/>
                <w:highlight w:val="none"/>
              </w:rPr>
              <w:t>1</w:t>
            </w:r>
          </w:p>
        </w:tc>
        <w:tc>
          <w:tcPr>
            <w:tcW w:w="1044" w:type="dxa"/>
            <w:noWrap/>
            <w:tcMar>
              <w:top w:w="0" w:type="dxa"/>
              <w:left w:w="108" w:type="dxa"/>
              <w:bottom w:w="0" w:type="dxa"/>
              <w:right w:w="108" w:type="dxa"/>
            </w:tcMar>
            <w:vAlign w:val="center"/>
          </w:tcPr>
          <w:p w14:paraId="244DCE1F">
            <w:pPr>
              <w:keepNext w:val="0"/>
              <w:keepLines w:val="0"/>
              <w:pageBreakBefore w:val="0"/>
              <w:widowControl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val="0"/>
              <w:spacing w:line="360" w:lineRule="auto"/>
              <w:jc w:val="center"/>
              <w:textAlignment w:val="auto"/>
              <w:rPr>
                <w:color w:val="auto"/>
                <w:sz w:val="21"/>
                <w:szCs w:val="21"/>
                <w:highlight w:val="none"/>
              </w:rPr>
            </w:pPr>
            <w:r>
              <w:rPr>
                <w:rFonts w:ascii="宋体" w:hAnsi="宋体" w:cs="宋体"/>
                <w:color w:val="auto"/>
                <w:sz w:val="21"/>
                <w:szCs w:val="21"/>
                <w:highlight w:val="none"/>
              </w:rPr>
              <w:t>车行道设施</w:t>
            </w:r>
          </w:p>
        </w:tc>
        <w:tc>
          <w:tcPr>
            <w:tcW w:w="5166" w:type="dxa"/>
            <w:noWrap/>
            <w:tcMar>
              <w:top w:w="0" w:type="dxa"/>
              <w:left w:w="108" w:type="dxa"/>
              <w:bottom w:w="0" w:type="dxa"/>
              <w:right w:w="108" w:type="dxa"/>
            </w:tcMar>
            <w:vAlign w:val="center"/>
          </w:tcPr>
          <w:p w14:paraId="38847DD3">
            <w:pPr>
              <w:keepNext w:val="0"/>
              <w:keepLines w:val="0"/>
              <w:pageBreakBefore w:val="0"/>
              <w:widowControl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val="0"/>
              <w:spacing w:line="360" w:lineRule="auto"/>
              <w:textAlignment w:val="auto"/>
              <w:rPr>
                <w:color w:val="auto"/>
                <w:sz w:val="21"/>
                <w:szCs w:val="21"/>
                <w:highlight w:val="none"/>
              </w:rPr>
            </w:pPr>
            <w:r>
              <w:rPr>
                <w:rFonts w:ascii="宋体" w:hAnsi="宋体" w:cs="宋体"/>
                <w:color w:val="auto"/>
                <w:sz w:val="21"/>
                <w:szCs w:val="21"/>
                <w:highlight w:val="none"/>
              </w:rPr>
              <w:t>坑凼面积在0.2㎡以上、明显沉陷、网裂、松散、裂缝、烂边、路况差、积泥、拥包、错台、缝料散失、砼板块松动的，发现或接到信息通知起，2日内修复完毕，并经社区签字确认。（若遇雨或沥青炒拌机停机可顺延但须在到期前上报；如遇道路塌陷等影响交通及安全的突发性特殊情况，均必须采取临时处理措施。）。</w:t>
            </w:r>
          </w:p>
        </w:tc>
        <w:tc>
          <w:tcPr>
            <w:tcW w:w="1492" w:type="dxa"/>
            <w:noWrap/>
            <w:tcMar>
              <w:top w:w="0" w:type="dxa"/>
              <w:left w:w="108" w:type="dxa"/>
              <w:bottom w:w="0" w:type="dxa"/>
              <w:right w:w="108" w:type="dxa"/>
            </w:tcMar>
            <w:vAlign w:val="center"/>
          </w:tcPr>
          <w:p w14:paraId="56654FD1">
            <w:pPr>
              <w:keepNext w:val="0"/>
              <w:keepLines w:val="0"/>
              <w:pageBreakBefore w:val="0"/>
              <w:widowControl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val="0"/>
              <w:spacing w:line="360" w:lineRule="auto"/>
              <w:textAlignment w:val="auto"/>
              <w:rPr>
                <w:color w:val="auto"/>
                <w:sz w:val="21"/>
                <w:szCs w:val="21"/>
                <w:highlight w:val="none"/>
              </w:rPr>
            </w:pPr>
            <w:r>
              <w:rPr>
                <w:rFonts w:ascii="宋体" w:hAnsi="宋体" w:cs="宋体"/>
                <w:color w:val="auto"/>
                <w:sz w:val="21"/>
                <w:szCs w:val="21"/>
                <w:highlight w:val="none"/>
              </w:rPr>
              <w:t>凡未达到本条要求，每处每超期1天（不足1天的按1天计，下同），扣3分。</w:t>
            </w:r>
          </w:p>
        </w:tc>
        <w:tc>
          <w:tcPr>
            <w:tcW w:w="534" w:type="dxa"/>
            <w:noWrap/>
            <w:tcMar>
              <w:top w:w="0" w:type="dxa"/>
              <w:left w:w="108" w:type="dxa"/>
              <w:bottom w:w="0" w:type="dxa"/>
              <w:right w:w="108" w:type="dxa"/>
            </w:tcMar>
            <w:vAlign w:val="center"/>
          </w:tcPr>
          <w:p w14:paraId="303D0788">
            <w:pPr>
              <w:keepNext w:val="0"/>
              <w:keepLines w:val="0"/>
              <w:pageBreakBefore w:val="0"/>
              <w:widowControl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val="0"/>
              <w:spacing w:line="360" w:lineRule="auto"/>
              <w:jc w:val="center"/>
              <w:textAlignment w:val="auto"/>
              <w:rPr>
                <w:color w:val="auto"/>
                <w:sz w:val="21"/>
                <w:szCs w:val="21"/>
                <w:highlight w:val="none"/>
              </w:rPr>
            </w:pPr>
            <w:r>
              <w:rPr>
                <w:rFonts w:ascii="宋体" w:hAnsi="宋体" w:cs="宋体"/>
                <w:color w:val="auto"/>
                <w:sz w:val="21"/>
                <w:szCs w:val="21"/>
                <w:highlight w:val="none"/>
              </w:rPr>
              <w:t>30</w:t>
            </w:r>
          </w:p>
        </w:tc>
        <w:tc>
          <w:tcPr>
            <w:tcW w:w="534" w:type="dxa"/>
            <w:noWrap/>
            <w:tcMar>
              <w:top w:w="0" w:type="dxa"/>
              <w:left w:w="108" w:type="dxa"/>
              <w:bottom w:w="0" w:type="dxa"/>
              <w:right w:w="108" w:type="dxa"/>
            </w:tcMar>
            <w:vAlign w:val="center"/>
          </w:tcPr>
          <w:p w14:paraId="73EF4A33">
            <w:pPr>
              <w:keepNext w:val="0"/>
              <w:keepLines w:val="0"/>
              <w:pageBreakBefore w:val="0"/>
              <w:widowControl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val="0"/>
              <w:spacing w:line="360" w:lineRule="auto"/>
              <w:jc w:val="center"/>
              <w:textAlignment w:val="auto"/>
              <w:rPr>
                <w:color w:val="auto"/>
                <w:sz w:val="21"/>
                <w:szCs w:val="21"/>
                <w:highlight w:val="none"/>
              </w:rPr>
            </w:pPr>
            <w:r>
              <w:rPr>
                <w:rFonts w:ascii="宋体" w:hAnsi="宋体" w:cs="宋体"/>
                <w:color w:val="auto"/>
                <w:sz w:val="21"/>
                <w:szCs w:val="21"/>
                <w:highlight w:val="none"/>
              </w:rPr>
              <w:t> </w:t>
            </w:r>
          </w:p>
        </w:tc>
        <w:tc>
          <w:tcPr>
            <w:tcW w:w="498" w:type="dxa"/>
            <w:noWrap/>
            <w:tcMar>
              <w:top w:w="0" w:type="dxa"/>
              <w:left w:w="108" w:type="dxa"/>
              <w:bottom w:w="0" w:type="dxa"/>
              <w:right w:w="108" w:type="dxa"/>
            </w:tcMar>
            <w:vAlign w:val="center"/>
          </w:tcPr>
          <w:p w14:paraId="46963DFD">
            <w:pPr>
              <w:keepNext w:val="0"/>
              <w:keepLines w:val="0"/>
              <w:pageBreakBefore w:val="0"/>
              <w:widowControl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val="0"/>
              <w:spacing w:line="360" w:lineRule="auto"/>
              <w:jc w:val="center"/>
              <w:textAlignment w:val="auto"/>
              <w:rPr>
                <w:color w:val="auto"/>
                <w:sz w:val="21"/>
                <w:szCs w:val="21"/>
                <w:highlight w:val="none"/>
              </w:rPr>
            </w:pPr>
            <w:r>
              <w:rPr>
                <w:rFonts w:ascii="宋体" w:hAnsi="宋体" w:cs="宋体"/>
                <w:color w:val="auto"/>
                <w:sz w:val="21"/>
                <w:szCs w:val="21"/>
                <w:highlight w:val="none"/>
              </w:rPr>
              <w:t> </w:t>
            </w:r>
          </w:p>
        </w:tc>
        <w:tc>
          <w:tcPr>
            <w:tcW w:w="484" w:type="dxa"/>
            <w:noWrap/>
            <w:tcMar>
              <w:top w:w="0" w:type="dxa"/>
              <w:left w:w="108" w:type="dxa"/>
              <w:bottom w:w="0" w:type="dxa"/>
              <w:right w:w="108" w:type="dxa"/>
            </w:tcMar>
            <w:vAlign w:val="center"/>
          </w:tcPr>
          <w:p w14:paraId="3932F011">
            <w:pPr>
              <w:keepNext w:val="0"/>
              <w:keepLines w:val="0"/>
              <w:pageBreakBefore w:val="0"/>
              <w:widowControl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val="0"/>
              <w:spacing w:line="360" w:lineRule="auto"/>
              <w:jc w:val="center"/>
              <w:textAlignment w:val="auto"/>
              <w:rPr>
                <w:color w:val="auto"/>
                <w:sz w:val="21"/>
                <w:szCs w:val="21"/>
                <w:highlight w:val="none"/>
              </w:rPr>
            </w:pPr>
            <w:r>
              <w:rPr>
                <w:rFonts w:ascii="宋体" w:hAnsi="宋体" w:cs="宋体"/>
                <w:color w:val="auto"/>
                <w:sz w:val="21"/>
                <w:szCs w:val="21"/>
                <w:highlight w:val="none"/>
              </w:rPr>
              <w:t> </w:t>
            </w:r>
          </w:p>
        </w:tc>
      </w:tr>
      <w:tr w14:paraId="0729D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94" w:type="dxa"/>
            <w:noWrap/>
            <w:tcMar>
              <w:top w:w="0" w:type="dxa"/>
              <w:left w:w="108" w:type="dxa"/>
              <w:bottom w:w="0" w:type="dxa"/>
              <w:right w:w="108" w:type="dxa"/>
            </w:tcMar>
            <w:vAlign w:val="center"/>
          </w:tcPr>
          <w:p w14:paraId="40609572">
            <w:pPr>
              <w:keepNext w:val="0"/>
              <w:keepLines w:val="0"/>
              <w:pageBreakBefore w:val="0"/>
              <w:widowControl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val="0"/>
              <w:spacing w:line="360" w:lineRule="auto"/>
              <w:jc w:val="center"/>
              <w:textAlignment w:val="auto"/>
              <w:rPr>
                <w:color w:val="auto"/>
                <w:sz w:val="21"/>
                <w:szCs w:val="21"/>
                <w:highlight w:val="none"/>
              </w:rPr>
            </w:pPr>
            <w:r>
              <w:rPr>
                <w:rFonts w:ascii="宋体" w:hAnsi="宋体" w:cs="宋体"/>
                <w:color w:val="auto"/>
                <w:sz w:val="21"/>
                <w:szCs w:val="21"/>
                <w:highlight w:val="none"/>
              </w:rPr>
              <w:t>2</w:t>
            </w:r>
          </w:p>
        </w:tc>
        <w:tc>
          <w:tcPr>
            <w:tcW w:w="1044" w:type="dxa"/>
            <w:noWrap/>
            <w:tcMar>
              <w:top w:w="0" w:type="dxa"/>
              <w:left w:w="108" w:type="dxa"/>
              <w:bottom w:w="0" w:type="dxa"/>
              <w:right w:w="108" w:type="dxa"/>
            </w:tcMar>
            <w:vAlign w:val="center"/>
          </w:tcPr>
          <w:p w14:paraId="71082826">
            <w:pPr>
              <w:keepNext w:val="0"/>
              <w:keepLines w:val="0"/>
              <w:pageBreakBefore w:val="0"/>
              <w:widowControl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val="0"/>
              <w:spacing w:line="360" w:lineRule="auto"/>
              <w:jc w:val="center"/>
              <w:textAlignment w:val="auto"/>
              <w:rPr>
                <w:color w:val="auto"/>
                <w:sz w:val="21"/>
                <w:szCs w:val="21"/>
                <w:highlight w:val="none"/>
              </w:rPr>
            </w:pPr>
            <w:r>
              <w:rPr>
                <w:rFonts w:ascii="宋体" w:hAnsi="宋体" w:cs="宋体"/>
                <w:color w:val="auto"/>
                <w:sz w:val="21"/>
                <w:szCs w:val="21"/>
                <w:highlight w:val="none"/>
              </w:rPr>
              <w:t>人行道设施</w:t>
            </w:r>
          </w:p>
        </w:tc>
        <w:tc>
          <w:tcPr>
            <w:tcW w:w="5166" w:type="dxa"/>
            <w:noWrap/>
            <w:tcMar>
              <w:top w:w="0" w:type="dxa"/>
              <w:left w:w="108" w:type="dxa"/>
              <w:bottom w:w="0" w:type="dxa"/>
              <w:right w:w="108" w:type="dxa"/>
            </w:tcMar>
            <w:vAlign w:val="center"/>
          </w:tcPr>
          <w:p w14:paraId="39210F0A">
            <w:pPr>
              <w:keepNext w:val="0"/>
              <w:keepLines w:val="0"/>
              <w:pageBreakBefore w:val="0"/>
              <w:widowControl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val="0"/>
              <w:spacing w:line="360" w:lineRule="auto"/>
              <w:textAlignment w:val="auto"/>
              <w:rPr>
                <w:color w:val="auto"/>
                <w:sz w:val="21"/>
                <w:szCs w:val="21"/>
                <w:highlight w:val="none"/>
              </w:rPr>
            </w:pPr>
            <w:r>
              <w:rPr>
                <w:rFonts w:ascii="宋体" w:hAnsi="宋体" w:cs="宋体"/>
                <w:color w:val="auto"/>
                <w:sz w:val="21"/>
                <w:szCs w:val="21"/>
                <w:highlight w:val="none"/>
              </w:rPr>
              <w:t>人行道道砖松动、缺块、烂边、路沿石或嵌边石缺失等问题。发现或接到信息通知起，必须在2日内修复，并经社区签字确认。</w:t>
            </w:r>
          </w:p>
        </w:tc>
        <w:tc>
          <w:tcPr>
            <w:tcW w:w="1492" w:type="dxa"/>
            <w:noWrap/>
            <w:tcMar>
              <w:top w:w="0" w:type="dxa"/>
              <w:left w:w="108" w:type="dxa"/>
              <w:bottom w:w="0" w:type="dxa"/>
              <w:right w:w="108" w:type="dxa"/>
            </w:tcMar>
            <w:vAlign w:val="center"/>
          </w:tcPr>
          <w:p w14:paraId="0F9D1944">
            <w:pPr>
              <w:keepNext w:val="0"/>
              <w:keepLines w:val="0"/>
              <w:pageBreakBefore w:val="0"/>
              <w:widowControl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val="0"/>
              <w:spacing w:line="360" w:lineRule="auto"/>
              <w:textAlignment w:val="auto"/>
              <w:rPr>
                <w:color w:val="auto"/>
                <w:sz w:val="21"/>
                <w:szCs w:val="21"/>
                <w:highlight w:val="none"/>
              </w:rPr>
            </w:pPr>
            <w:r>
              <w:rPr>
                <w:rFonts w:ascii="宋体" w:hAnsi="宋体" w:cs="宋体"/>
                <w:color w:val="auto"/>
                <w:sz w:val="21"/>
                <w:szCs w:val="21"/>
                <w:highlight w:val="none"/>
              </w:rPr>
              <w:t>凡未达到本条要求，每处每超期1天，扣3分。</w:t>
            </w:r>
          </w:p>
        </w:tc>
        <w:tc>
          <w:tcPr>
            <w:tcW w:w="534" w:type="dxa"/>
            <w:noWrap/>
            <w:tcMar>
              <w:top w:w="0" w:type="dxa"/>
              <w:left w:w="108" w:type="dxa"/>
              <w:bottom w:w="0" w:type="dxa"/>
              <w:right w:w="108" w:type="dxa"/>
            </w:tcMar>
            <w:vAlign w:val="center"/>
          </w:tcPr>
          <w:p w14:paraId="775814F3">
            <w:pPr>
              <w:keepNext w:val="0"/>
              <w:keepLines w:val="0"/>
              <w:pageBreakBefore w:val="0"/>
              <w:widowControl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val="0"/>
              <w:spacing w:line="360" w:lineRule="auto"/>
              <w:jc w:val="center"/>
              <w:textAlignment w:val="auto"/>
              <w:rPr>
                <w:color w:val="auto"/>
                <w:sz w:val="21"/>
                <w:szCs w:val="21"/>
                <w:highlight w:val="none"/>
              </w:rPr>
            </w:pPr>
            <w:r>
              <w:rPr>
                <w:rFonts w:ascii="宋体" w:hAnsi="宋体" w:cs="宋体"/>
                <w:color w:val="auto"/>
                <w:sz w:val="21"/>
                <w:szCs w:val="21"/>
                <w:highlight w:val="none"/>
              </w:rPr>
              <w:t>30</w:t>
            </w:r>
          </w:p>
        </w:tc>
        <w:tc>
          <w:tcPr>
            <w:tcW w:w="534" w:type="dxa"/>
            <w:noWrap/>
            <w:tcMar>
              <w:top w:w="0" w:type="dxa"/>
              <w:left w:w="108" w:type="dxa"/>
              <w:bottom w:w="0" w:type="dxa"/>
              <w:right w:w="108" w:type="dxa"/>
            </w:tcMar>
            <w:vAlign w:val="center"/>
          </w:tcPr>
          <w:p w14:paraId="560D1C6E">
            <w:pPr>
              <w:keepNext w:val="0"/>
              <w:keepLines w:val="0"/>
              <w:pageBreakBefore w:val="0"/>
              <w:widowControl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val="0"/>
              <w:spacing w:line="360" w:lineRule="auto"/>
              <w:jc w:val="center"/>
              <w:textAlignment w:val="auto"/>
              <w:rPr>
                <w:color w:val="auto"/>
                <w:sz w:val="21"/>
                <w:szCs w:val="21"/>
                <w:highlight w:val="none"/>
              </w:rPr>
            </w:pPr>
            <w:r>
              <w:rPr>
                <w:rFonts w:ascii="宋体" w:hAnsi="宋体" w:cs="宋体"/>
                <w:color w:val="auto"/>
                <w:sz w:val="21"/>
                <w:szCs w:val="21"/>
                <w:highlight w:val="none"/>
              </w:rPr>
              <w:t> </w:t>
            </w:r>
          </w:p>
        </w:tc>
        <w:tc>
          <w:tcPr>
            <w:tcW w:w="498" w:type="dxa"/>
            <w:noWrap/>
            <w:tcMar>
              <w:top w:w="0" w:type="dxa"/>
              <w:left w:w="108" w:type="dxa"/>
              <w:bottom w:w="0" w:type="dxa"/>
              <w:right w:w="108" w:type="dxa"/>
            </w:tcMar>
            <w:vAlign w:val="center"/>
          </w:tcPr>
          <w:p w14:paraId="34CA48FE">
            <w:pPr>
              <w:keepNext w:val="0"/>
              <w:keepLines w:val="0"/>
              <w:pageBreakBefore w:val="0"/>
              <w:widowControl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val="0"/>
              <w:spacing w:line="360" w:lineRule="auto"/>
              <w:jc w:val="center"/>
              <w:textAlignment w:val="auto"/>
              <w:rPr>
                <w:color w:val="auto"/>
                <w:sz w:val="21"/>
                <w:szCs w:val="21"/>
                <w:highlight w:val="none"/>
              </w:rPr>
            </w:pPr>
            <w:r>
              <w:rPr>
                <w:rFonts w:ascii="宋体" w:hAnsi="宋体" w:cs="宋体"/>
                <w:color w:val="auto"/>
                <w:sz w:val="21"/>
                <w:szCs w:val="21"/>
                <w:highlight w:val="none"/>
              </w:rPr>
              <w:t> </w:t>
            </w:r>
          </w:p>
        </w:tc>
        <w:tc>
          <w:tcPr>
            <w:tcW w:w="484" w:type="dxa"/>
            <w:noWrap/>
            <w:tcMar>
              <w:top w:w="0" w:type="dxa"/>
              <w:left w:w="108" w:type="dxa"/>
              <w:bottom w:w="0" w:type="dxa"/>
              <w:right w:w="108" w:type="dxa"/>
            </w:tcMar>
            <w:vAlign w:val="center"/>
          </w:tcPr>
          <w:p w14:paraId="758E08E3">
            <w:pPr>
              <w:keepNext w:val="0"/>
              <w:keepLines w:val="0"/>
              <w:pageBreakBefore w:val="0"/>
              <w:widowControl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val="0"/>
              <w:spacing w:line="360" w:lineRule="auto"/>
              <w:jc w:val="center"/>
              <w:textAlignment w:val="auto"/>
              <w:rPr>
                <w:color w:val="auto"/>
                <w:sz w:val="21"/>
                <w:szCs w:val="21"/>
                <w:highlight w:val="none"/>
              </w:rPr>
            </w:pPr>
            <w:r>
              <w:rPr>
                <w:rFonts w:ascii="宋体" w:hAnsi="宋体" w:cs="宋体"/>
                <w:color w:val="auto"/>
                <w:sz w:val="21"/>
                <w:szCs w:val="21"/>
                <w:highlight w:val="none"/>
              </w:rPr>
              <w:t> </w:t>
            </w:r>
          </w:p>
        </w:tc>
      </w:tr>
      <w:tr w14:paraId="43257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94" w:type="dxa"/>
            <w:vMerge w:val="restart"/>
            <w:noWrap/>
            <w:tcMar>
              <w:top w:w="0" w:type="dxa"/>
              <w:left w:w="108" w:type="dxa"/>
              <w:bottom w:w="0" w:type="dxa"/>
              <w:right w:w="108" w:type="dxa"/>
            </w:tcMar>
            <w:vAlign w:val="center"/>
          </w:tcPr>
          <w:p w14:paraId="3543CB72">
            <w:pPr>
              <w:keepNext w:val="0"/>
              <w:keepLines w:val="0"/>
              <w:pageBreakBefore w:val="0"/>
              <w:widowControl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val="0"/>
              <w:spacing w:line="360" w:lineRule="auto"/>
              <w:jc w:val="center"/>
              <w:textAlignment w:val="auto"/>
              <w:rPr>
                <w:color w:val="auto"/>
                <w:sz w:val="21"/>
                <w:szCs w:val="21"/>
                <w:highlight w:val="none"/>
              </w:rPr>
            </w:pPr>
            <w:r>
              <w:rPr>
                <w:rFonts w:ascii="宋体" w:hAnsi="宋体" w:cs="宋体"/>
                <w:color w:val="auto"/>
                <w:sz w:val="21"/>
                <w:szCs w:val="21"/>
                <w:highlight w:val="none"/>
              </w:rPr>
              <w:t>3</w:t>
            </w:r>
          </w:p>
        </w:tc>
        <w:tc>
          <w:tcPr>
            <w:tcW w:w="1044" w:type="dxa"/>
            <w:vMerge w:val="restart"/>
            <w:noWrap/>
            <w:tcMar>
              <w:top w:w="0" w:type="dxa"/>
              <w:left w:w="108" w:type="dxa"/>
              <w:bottom w:w="0" w:type="dxa"/>
              <w:right w:w="108" w:type="dxa"/>
            </w:tcMar>
            <w:vAlign w:val="center"/>
          </w:tcPr>
          <w:p w14:paraId="35EA96D7">
            <w:pPr>
              <w:keepNext w:val="0"/>
              <w:keepLines w:val="0"/>
              <w:pageBreakBefore w:val="0"/>
              <w:widowControl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val="0"/>
              <w:spacing w:line="360" w:lineRule="auto"/>
              <w:jc w:val="center"/>
              <w:textAlignment w:val="auto"/>
              <w:rPr>
                <w:rFonts w:ascii="宋体" w:hAnsi="宋体" w:cs="宋体"/>
                <w:color w:val="auto"/>
                <w:sz w:val="21"/>
                <w:szCs w:val="21"/>
                <w:highlight w:val="none"/>
              </w:rPr>
            </w:pPr>
            <w:r>
              <w:rPr>
                <w:rFonts w:ascii="宋体" w:hAnsi="宋体" w:cs="宋体"/>
                <w:color w:val="auto"/>
                <w:sz w:val="21"/>
                <w:szCs w:val="21"/>
                <w:highlight w:val="none"/>
              </w:rPr>
              <w:t>桥梁</w:t>
            </w:r>
          </w:p>
          <w:p w14:paraId="4D494E4E">
            <w:pPr>
              <w:keepNext w:val="0"/>
              <w:keepLines w:val="0"/>
              <w:pageBreakBefore w:val="0"/>
              <w:widowControl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val="0"/>
              <w:spacing w:line="360" w:lineRule="auto"/>
              <w:jc w:val="center"/>
              <w:textAlignment w:val="auto"/>
              <w:rPr>
                <w:color w:val="auto"/>
                <w:sz w:val="21"/>
                <w:szCs w:val="21"/>
                <w:highlight w:val="none"/>
              </w:rPr>
            </w:pPr>
            <w:r>
              <w:rPr>
                <w:rFonts w:ascii="宋体" w:hAnsi="宋体" w:cs="宋体"/>
                <w:color w:val="auto"/>
                <w:sz w:val="21"/>
                <w:szCs w:val="21"/>
                <w:highlight w:val="none"/>
              </w:rPr>
              <w:t>设施</w:t>
            </w:r>
          </w:p>
        </w:tc>
        <w:tc>
          <w:tcPr>
            <w:tcW w:w="5166" w:type="dxa"/>
            <w:noWrap/>
            <w:tcMar>
              <w:top w:w="0" w:type="dxa"/>
              <w:left w:w="108" w:type="dxa"/>
              <w:bottom w:w="0" w:type="dxa"/>
              <w:right w:w="108" w:type="dxa"/>
            </w:tcMar>
            <w:vAlign w:val="center"/>
          </w:tcPr>
          <w:p w14:paraId="46E3BC8E">
            <w:pPr>
              <w:keepNext w:val="0"/>
              <w:keepLines w:val="0"/>
              <w:pageBreakBefore w:val="0"/>
              <w:widowControl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val="0"/>
              <w:spacing w:line="360" w:lineRule="auto"/>
              <w:textAlignment w:val="auto"/>
              <w:rPr>
                <w:color w:val="auto"/>
                <w:sz w:val="21"/>
                <w:szCs w:val="21"/>
                <w:highlight w:val="none"/>
              </w:rPr>
            </w:pPr>
            <w:r>
              <w:rPr>
                <w:rFonts w:ascii="宋体" w:hAnsi="宋体" w:cs="宋体"/>
                <w:color w:val="auto"/>
                <w:sz w:val="21"/>
                <w:szCs w:val="21"/>
                <w:highlight w:val="none"/>
              </w:rPr>
              <w:t>桥面坑凼、拥包；人行道道砖松动、损坏；墩台混凝土剥落、露筋；防撞墩、防撞墙、搭板、挡墙、翼墙、护坡等损坏的，发现或接到信息通知起2日内完成，并经社区签字确认。</w:t>
            </w:r>
          </w:p>
        </w:tc>
        <w:tc>
          <w:tcPr>
            <w:tcW w:w="1492" w:type="dxa"/>
            <w:noWrap/>
            <w:tcMar>
              <w:top w:w="0" w:type="dxa"/>
              <w:left w:w="108" w:type="dxa"/>
              <w:bottom w:w="0" w:type="dxa"/>
              <w:right w:w="108" w:type="dxa"/>
            </w:tcMar>
            <w:vAlign w:val="center"/>
          </w:tcPr>
          <w:p w14:paraId="46BF49B4">
            <w:pPr>
              <w:keepNext w:val="0"/>
              <w:keepLines w:val="0"/>
              <w:pageBreakBefore w:val="0"/>
              <w:widowControl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val="0"/>
              <w:spacing w:line="360" w:lineRule="auto"/>
              <w:textAlignment w:val="auto"/>
              <w:rPr>
                <w:color w:val="auto"/>
                <w:sz w:val="21"/>
                <w:szCs w:val="21"/>
                <w:highlight w:val="none"/>
              </w:rPr>
            </w:pPr>
            <w:r>
              <w:rPr>
                <w:rFonts w:ascii="宋体" w:hAnsi="宋体" w:cs="宋体"/>
                <w:color w:val="auto"/>
                <w:sz w:val="21"/>
                <w:szCs w:val="21"/>
                <w:highlight w:val="none"/>
              </w:rPr>
              <w:t>凡未达到本条要求，每处每超期1天扣2分。</w:t>
            </w:r>
          </w:p>
        </w:tc>
        <w:tc>
          <w:tcPr>
            <w:tcW w:w="534" w:type="dxa"/>
            <w:vMerge w:val="restart"/>
            <w:noWrap/>
            <w:tcMar>
              <w:top w:w="0" w:type="dxa"/>
              <w:left w:w="108" w:type="dxa"/>
              <w:bottom w:w="0" w:type="dxa"/>
              <w:right w:w="108" w:type="dxa"/>
            </w:tcMar>
            <w:vAlign w:val="center"/>
          </w:tcPr>
          <w:p w14:paraId="763D02A6">
            <w:pPr>
              <w:keepNext w:val="0"/>
              <w:keepLines w:val="0"/>
              <w:pageBreakBefore w:val="0"/>
              <w:widowControl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val="0"/>
              <w:spacing w:line="360" w:lineRule="auto"/>
              <w:jc w:val="center"/>
              <w:textAlignment w:val="auto"/>
              <w:rPr>
                <w:color w:val="auto"/>
                <w:sz w:val="21"/>
                <w:szCs w:val="21"/>
                <w:highlight w:val="none"/>
              </w:rPr>
            </w:pPr>
            <w:r>
              <w:rPr>
                <w:rFonts w:ascii="宋体" w:hAnsi="宋体" w:cs="宋体"/>
                <w:color w:val="auto"/>
                <w:sz w:val="21"/>
                <w:szCs w:val="21"/>
                <w:highlight w:val="none"/>
              </w:rPr>
              <w:t>25</w:t>
            </w:r>
          </w:p>
        </w:tc>
        <w:tc>
          <w:tcPr>
            <w:tcW w:w="534" w:type="dxa"/>
            <w:noWrap/>
            <w:tcMar>
              <w:top w:w="0" w:type="dxa"/>
              <w:left w:w="108" w:type="dxa"/>
              <w:bottom w:w="0" w:type="dxa"/>
              <w:right w:w="108" w:type="dxa"/>
            </w:tcMar>
            <w:vAlign w:val="center"/>
          </w:tcPr>
          <w:p w14:paraId="7FAA5ADF">
            <w:pPr>
              <w:keepNext w:val="0"/>
              <w:keepLines w:val="0"/>
              <w:pageBreakBefore w:val="0"/>
              <w:widowControl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val="0"/>
              <w:spacing w:line="360" w:lineRule="auto"/>
              <w:jc w:val="center"/>
              <w:textAlignment w:val="auto"/>
              <w:rPr>
                <w:color w:val="auto"/>
                <w:sz w:val="21"/>
                <w:szCs w:val="21"/>
                <w:highlight w:val="none"/>
              </w:rPr>
            </w:pPr>
            <w:r>
              <w:rPr>
                <w:rFonts w:ascii="宋体" w:hAnsi="宋体" w:cs="宋体"/>
                <w:color w:val="auto"/>
                <w:sz w:val="21"/>
                <w:szCs w:val="21"/>
                <w:highlight w:val="none"/>
              </w:rPr>
              <w:t> </w:t>
            </w:r>
          </w:p>
        </w:tc>
        <w:tc>
          <w:tcPr>
            <w:tcW w:w="498" w:type="dxa"/>
            <w:vMerge w:val="restart"/>
            <w:noWrap/>
            <w:tcMar>
              <w:top w:w="0" w:type="dxa"/>
              <w:left w:w="108" w:type="dxa"/>
              <w:bottom w:w="0" w:type="dxa"/>
              <w:right w:w="108" w:type="dxa"/>
            </w:tcMar>
            <w:vAlign w:val="center"/>
          </w:tcPr>
          <w:p w14:paraId="7A8C08CE">
            <w:pPr>
              <w:keepNext w:val="0"/>
              <w:keepLines w:val="0"/>
              <w:pageBreakBefore w:val="0"/>
              <w:widowControl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val="0"/>
              <w:spacing w:line="360" w:lineRule="auto"/>
              <w:jc w:val="center"/>
              <w:textAlignment w:val="auto"/>
              <w:rPr>
                <w:color w:val="auto"/>
                <w:sz w:val="21"/>
                <w:szCs w:val="21"/>
                <w:highlight w:val="none"/>
              </w:rPr>
            </w:pPr>
            <w:r>
              <w:rPr>
                <w:rFonts w:ascii="宋体" w:hAnsi="宋体" w:cs="宋体"/>
                <w:color w:val="auto"/>
                <w:sz w:val="21"/>
                <w:szCs w:val="21"/>
                <w:highlight w:val="none"/>
              </w:rPr>
              <w:t> </w:t>
            </w:r>
          </w:p>
        </w:tc>
        <w:tc>
          <w:tcPr>
            <w:tcW w:w="484" w:type="dxa"/>
            <w:vMerge w:val="restart"/>
            <w:noWrap/>
            <w:tcMar>
              <w:top w:w="0" w:type="dxa"/>
              <w:left w:w="108" w:type="dxa"/>
              <w:bottom w:w="0" w:type="dxa"/>
              <w:right w:w="108" w:type="dxa"/>
            </w:tcMar>
            <w:vAlign w:val="center"/>
          </w:tcPr>
          <w:p w14:paraId="1F3F747D">
            <w:pPr>
              <w:keepNext w:val="0"/>
              <w:keepLines w:val="0"/>
              <w:pageBreakBefore w:val="0"/>
              <w:widowControl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val="0"/>
              <w:spacing w:line="360" w:lineRule="auto"/>
              <w:jc w:val="center"/>
              <w:textAlignment w:val="auto"/>
              <w:rPr>
                <w:color w:val="auto"/>
                <w:sz w:val="21"/>
                <w:szCs w:val="21"/>
                <w:highlight w:val="none"/>
              </w:rPr>
            </w:pPr>
            <w:r>
              <w:rPr>
                <w:rFonts w:ascii="宋体" w:hAnsi="宋体" w:cs="宋体"/>
                <w:color w:val="auto"/>
                <w:sz w:val="21"/>
                <w:szCs w:val="21"/>
                <w:highlight w:val="none"/>
              </w:rPr>
              <w:t> </w:t>
            </w:r>
          </w:p>
        </w:tc>
      </w:tr>
      <w:tr w14:paraId="02F0A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94" w:type="dxa"/>
            <w:vMerge w:val="continue"/>
            <w:noWrap w:val="0"/>
            <w:vAlign w:val="top"/>
          </w:tcPr>
          <w:p w14:paraId="01502A8B">
            <w:pPr>
              <w:keepNext w:val="0"/>
              <w:keepLines w:val="0"/>
              <w:pageBreakBefore w:val="0"/>
              <w:widowControl w:val="0"/>
              <w:kinsoku/>
              <w:wordWrap/>
              <w:overflowPunct/>
              <w:topLinePunct w:val="0"/>
              <w:autoSpaceDE/>
              <w:autoSpaceDN/>
              <w:bidi w:val="0"/>
              <w:adjustRightInd/>
              <w:snapToGrid w:val="0"/>
              <w:spacing w:line="360" w:lineRule="auto"/>
              <w:textAlignment w:val="auto"/>
              <w:rPr>
                <w:color w:val="auto"/>
                <w:sz w:val="21"/>
                <w:szCs w:val="21"/>
                <w:highlight w:val="none"/>
              </w:rPr>
            </w:pPr>
          </w:p>
        </w:tc>
        <w:tc>
          <w:tcPr>
            <w:tcW w:w="1044" w:type="dxa"/>
            <w:vMerge w:val="continue"/>
            <w:noWrap w:val="0"/>
            <w:vAlign w:val="top"/>
          </w:tcPr>
          <w:p w14:paraId="3E4B19B7">
            <w:pPr>
              <w:keepNext w:val="0"/>
              <w:keepLines w:val="0"/>
              <w:pageBreakBefore w:val="0"/>
              <w:widowControl w:val="0"/>
              <w:kinsoku/>
              <w:wordWrap/>
              <w:overflowPunct/>
              <w:topLinePunct w:val="0"/>
              <w:autoSpaceDE/>
              <w:autoSpaceDN/>
              <w:bidi w:val="0"/>
              <w:adjustRightInd/>
              <w:snapToGrid w:val="0"/>
              <w:spacing w:line="360" w:lineRule="auto"/>
              <w:textAlignment w:val="auto"/>
              <w:rPr>
                <w:color w:val="auto"/>
                <w:sz w:val="21"/>
                <w:szCs w:val="21"/>
                <w:highlight w:val="none"/>
              </w:rPr>
            </w:pPr>
          </w:p>
        </w:tc>
        <w:tc>
          <w:tcPr>
            <w:tcW w:w="5166" w:type="dxa"/>
            <w:noWrap/>
            <w:tcMar>
              <w:top w:w="0" w:type="dxa"/>
              <w:left w:w="108" w:type="dxa"/>
              <w:bottom w:w="0" w:type="dxa"/>
              <w:right w:w="108" w:type="dxa"/>
            </w:tcMar>
            <w:vAlign w:val="center"/>
          </w:tcPr>
          <w:p w14:paraId="74E61CF0">
            <w:pPr>
              <w:keepNext w:val="0"/>
              <w:keepLines w:val="0"/>
              <w:pageBreakBefore w:val="0"/>
              <w:widowControl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val="0"/>
              <w:spacing w:line="360" w:lineRule="auto"/>
              <w:textAlignment w:val="auto"/>
              <w:rPr>
                <w:color w:val="auto"/>
                <w:sz w:val="21"/>
                <w:szCs w:val="21"/>
                <w:highlight w:val="none"/>
              </w:rPr>
            </w:pPr>
            <w:r>
              <w:rPr>
                <w:rFonts w:ascii="宋体" w:hAnsi="宋体" w:cs="宋体"/>
                <w:color w:val="auto"/>
                <w:sz w:val="21"/>
                <w:szCs w:val="21"/>
                <w:highlight w:val="none"/>
              </w:rPr>
              <w:t>墩台编号损坏、限高、限载牌遗失等，发现或接到信息通知起5日内完成，并经社区签字确认。</w:t>
            </w:r>
          </w:p>
        </w:tc>
        <w:tc>
          <w:tcPr>
            <w:tcW w:w="1492" w:type="dxa"/>
            <w:noWrap/>
            <w:tcMar>
              <w:top w:w="0" w:type="dxa"/>
              <w:left w:w="108" w:type="dxa"/>
              <w:bottom w:w="0" w:type="dxa"/>
              <w:right w:w="108" w:type="dxa"/>
            </w:tcMar>
            <w:vAlign w:val="center"/>
          </w:tcPr>
          <w:p w14:paraId="6F97F08F">
            <w:pPr>
              <w:keepNext w:val="0"/>
              <w:keepLines w:val="0"/>
              <w:pageBreakBefore w:val="0"/>
              <w:widowControl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val="0"/>
              <w:spacing w:line="360" w:lineRule="auto"/>
              <w:textAlignment w:val="auto"/>
              <w:rPr>
                <w:color w:val="auto"/>
                <w:sz w:val="21"/>
                <w:szCs w:val="21"/>
                <w:highlight w:val="none"/>
              </w:rPr>
            </w:pPr>
            <w:r>
              <w:rPr>
                <w:rFonts w:ascii="宋体" w:hAnsi="宋体" w:cs="宋体"/>
                <w:color w:val="auto"/>
                <w:sz w:val="21"/>
                <w:szCs w:val="21"/>
                <w:highlight w:val="none"/>
              </w:rPr>
              <w:t>凡未达到本条要求，每处每超期1天扣1分。</w:t>
            </w:r>
          </w:p>
        </w:tc>
        <w:tc>
          <w:tcPr>
            <w:tcW w:w="534" w:type="dxa"/>
            <w:vMerge w:val="continue"/>
            <w:noWrap w:val="0"/>
            <w:vAlign w:val="top"/>
          </w:tcPr>
          <w:p w14:paraId="1210822E">
            <w:pPr>
              <w:keepNext w:val="0"/>
              <w:keepLines w:val="0"/>
              <w:pageBreakBefore w:val="0"/>
              <w:widowControl w:val="0"/>
              <w:kinsoku/>
              <w:wordWrap/>
              <w:overflowPunct/>
              <w:topLinePunct w:val="0"/>
              <w:autoSpaceDE/>
              <w:autoSpaceDN/>
              <w:bidi w:val="0"/>
              <w:adjustRightInd/>
              <w:snapToGrid w:val="0"/>
              <w:spacing w:line="360" w:lineRule="auto"/>
              <w:textAlignment w:val="auto"/>
              <w:rPr>
                <w:color w:val="auto"/>
                <w:sz w:val="21"/>
                <w:szCs w:val="21"/>
                <w:highlight w:val="none"/>
              </w:rPr>
            </w:pPr>
          </w:p>
        </w:tc>
        <w:tc>
          <w:tcPr>
            <w:tcW w:w="534" w:type="dxa"/>
            <w:noWrap/>
            <w:tcMar>
              <w:top w:w="0" w:type="dxa"/>
              <w:left w:w="108" w:type="dxa"/>
              <w:bottom w:w="0" w:type="dxa"/>
              <w:right w:w="108" w:type="dxa"/>
            </w:tcMar>
            <w:vAlign w:val="center"/>
          </w:tcPr>
          <w:p w14:paraId="293D64D2">
            <w:pPr>
              <w:keepNext w:val="0"/>
              <w:keepLines w:val="0"/>
              <w:pageBreakBefore w:val="0"/>
              <w:widowControl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val="0"/>
              <w:spacing w:line="360" w:lineRule="auto"/>
              <w:jc w:val="center"/>
              <w:textAlignment w:val="auto"/>
              <w:rPr>
                <w:color w:val="auto"/>
                <w:sz w:val="21"/>
                <w:szCs w:val="21"/>
                <w:highlight w:val="none"/>
              </w:rPr>
            </w:pPr>
            <w:r>
              <w:rPr>
                <w:rFonts w:ascii="宋体" w:hAnsi="宋体" w:cs="宋体"/>
                <w:color w:val="auto"/>
                <w:sz w:val="21"/>
                <w:szCs w:val="21"/>
                <w:highlight w:val="none"/>
              </w:rPr>
              <w:t> </w:t>
            </w:r>
          </w:p>
        </w:tc>
        <w:tc>
          <w:tcPr>
            <w:tcW w:w="498" w:type="dxa"/>
            <w:vMerge w:val="continue"/>
            <w:noWrap w:val="0"/>
            <w:vAlign w:val="top"/>
          </w:tcPr>
          <w:p w14:paraId="7006EB12">
            <w:pPr>
              <w:keepNext w:val="0"/>
              <w:keepLines w:val="0"/>
              <w:pageBreakBefore w:val="0"/>
              <w:widowControl w:val="0"/>
              <w:kinsoku/>
              <w:wordWrap/>
              <w:overflowPunct/>
              <w:topLinePunct w:val="0"/>
              <w:autoSpaceDE/>
              <w:autoSpaceDN/>
              <w:bidi w:val="0"/>
              <w:adjustRightInd/>
              <w:snapToGrid w:val="0"/>
              <w:spacing w:line="360" w:lineRule="auto"/>
              <w:textAlignment w:val="auto"/>
              <w:rPr>
                <w:color w:val="auto"/>
                <w:sz w:val="21"/>
                <w:szCs w:val="21"/>
                <w:highlight w:val="none"/>
              </w:rPr>
            </w:pPr>
          </w:p>
        </w:tc>
        <w:tc>
          <w:tcPr>
            <w:tcW w:w="484" w:type="dxa"/>
            <w:vMerge w:val="continue"/>
            <w:noWrap w:val="0"/>
            <w:vAlign w:val="top"/>
          </w:tcPr>
          <w:p w14:paraId="7344EDD7">
            <w:pPr>
              <w:keepNext w:val="0"/>
              <w:keepLines w:val="0"/>
              <w:pageBreakBefore w:val="0"/>
              <w:widowControl w:val="0"/>
              <w:kinsoku/>
              <w:wordWrap/>
              <w:overflowPunct/>
              <w:topLinePunct w:val="0"/>
              <w:autoSpaceDE/>
              <w:autoSpaceDN/>
              <w:bidi w:val="0"/>
              <w:adjustRightInd/>
              <w:snapToGrid w:val="0"/>
              <w:spacing w:line="360" w:lineRule="auto"/>
              <w:textAlignment w:val="auto"/>
              <w:rPr>
                <w:color w:val="auto"/>
                <w:sz w:val="21"/>
                <w:szCs w:val="21"/>
                <w:highlight w:val="none"/>
              </w:rPr>
            </w:pPr>
          </w:p>
        </w:tc>
      </w:tr>
      <w:tr w14:paraId="55955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94" w:type="dxa"/>
            <w:noWrap/>
            <w:tcMar>
              <w:top w:w="0" w:type="dxa"/>
              <w:left w:w="108" w:type="dxa"/>
              <w:bottom w:w="0" w:type="dxa"/>
              <w:right w:w="108" w:type="dxa"/>
            </w:tcMar>
            <w:vAlign w:val="center"/>
          </w:tcPr>
          <w:p w14:paraId="763B4E67">
            <w:pPr>
              <w:keepNext w:val="0"/>
              <w:keepLines w:val="0"/>
              <w:pageBreakBefore w:val="0"/>
              <w:widowControl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val="0"/>
              <w:spacing w:line="360" w:lineRule="auto"/>
              <w:jc w:val="center"/>
              <w:textAlignment w:val="auto"/>
              <w:rPr>
                <w:color w:val="auto"/>
                <w:sz w:val="21"/>
                <w:szCs w:val="21"/>
                <w:highlight w:val="none"/>
              </w:rPr>
            </w:pPr>
            <w:r>
              <w:rPr>
                <w:rFonts w:ascii="宋体" w:hAnsi="宋体" w:cs="宋体"/>
                <w:color w:val="auto"/>
                <w:sz w:val="21"/>
                <w:szCs w:val="21"/>
                <w:highlight w:val="none"/>
              </w:rPr>
              <w:t>4</w:t>
            </w:r>
          </w:p>
        </w:tc>
        <w:tc>
          <w:tcPr>
            <w:tcW w:w="1044" w:type="dxa"/>
            <w:noWrap/>
            <w:tcMar>
              <w:top w:w="0" w:type="dxa"/>
              <w:left w:w="108" w:type="dxa"/>
              <w:bottom w:w="0" w:type="dxa"/>
              <w:right w:w="108" w:type="dxa"/>
            </w:tcMar>
            <w:vAlign w:val="center"/>
          </w:tcPr>
          <w:p w14:paraId="3FD48C99">
            <w:pPr>
              <w:keepNext w:val="0"/>
              <w:keepLines w:val="0"/>
              <w:pageBreakBefore w:val="0"/>
              <w:widowControl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val="0"/>
              <w:spacing w:line="360" w:lineRule="auto"/>
              <w:jc w:val="center"/>
              <w:textAlignment w:val="auto"/>
              <w:rPr>
                <w:rFonts w:ascii="宋体" w:hAnsi="宋体" w:cs="宋体"/>
                <w:color w:val="auto"/>
                <w:sz w:val="21"/>
                <w:szCs w:val="21"/>
                <w:highlight w:val="none"/>
              </w:rPr>
            </w:pPr>
            <w:r>
              <w:rPr>
                <w:rFonts w:ascii="宋体" w:hAnsi="宋体" w:cs="宋体"/>
                <w:color w:val="auto"/>
                <w:sz w:val="21"/>
                <w:szCs w:val="21"/>
                <w:highlight w:val="none"/>
              </w:rPr>
              <w:t>开挖</w:t>
            </w:r>
          </w:p>
          <w:p w14:paraId="3A461234">
            <w:pPr>
              <w:keepNext w:val="0"/>
              <w:keepLines w:val="0"/>
              <w:pageBreakBefore w:val="0"/>
              <w:widowControl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val="0"/>
              <w:spacing w:line="360" w:lineRule="auto"/>
              <w:jc w:val="center"/>
              <w:textAlignment w:val="auto"/>
              <w:rPr>
                <w:color w:val="auto"/>
                <w:sz w:val="21"/>
                <w:szCs w:val="21"/>
                <w:highlight w:val="none"/>
              </w:rPr>
            </w:pPr>
            <w:r>
              <w:rPr>
                <w:rFonts w:ascii="宋体" w:hAnsi="宋体" w:cs="宋体"/>
                <w:color w:val="auto"/>
                <w:sz w:val="21"/>
                <w:szCs w:val="21"/>
                <w:highlight w:val="none"/>
              </w:rPr>
              <w:t>修复</w:t>
            </w:r>
          </w:p>
        </w:tc>
        <w:tc>
          <w:tcPr>
            <w:tcW w:w="5166" w:type="dxa"/>
            <w:noWrap/>
            <w:tcMar>
              <w:top w:w="0" w:type="dxa"/>
              <w:left w:w="108" w:type="dxa"/>
              <w:bottom w:w="0" w:type="dxa"/>
              <w:right w:w="108" w:type="dxa"/>
            </w:tcMar>
            <w:vAlign w:val="center"/>
          </w:tcPr>
          <w:p w14:paraId="4D05424D">
            <w:pPr>
              <w:keepNext w:val="0"/>
              <w:keepLines w:val="0"/>
              <w:pageBreakBefore w:val="0"/>
              <w:widowControl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val="0"/>
              <w:spacing w:line="360" w:lineRule="auto"/>
              <w:textAlignment w:val="auto"/>
              <w:rPr>
                <w:color w:val="auto"/>
                <w:sz w:val="21"/>
                <w:szCs w:val="21"/>
                <w:highlight w:val="none"/>
              </w:rPr>
            </w:pPr>
            <w:r>
              <w:rPr>
                <w:rFonts w:ascii="宋体" w:hAnsi="宋体" w:cs="宋体"/>
                <w:color w:val="auto"/>
                <w:sz w:val="21"/>
                <w:szCs w:val="21"/>
                <w:highlight w:val="none"/>
              </w:rPr>
              <w:t>开挖施工完成接到信息通知后当日应进场修复路面。</w:t>
            </w:r>
          </w:p>
        </w:tc>
        <w:tc>
          <w:tcPr>
            <w:tcW w:w="1492" w:type="dxa"/>
            <w:noWrap/>
            <w:tcMar>
              <w:top w:w="0" w:type="dxa"/>
              <w:left w:w="108" w:type="dxa"/>
              <w:bottom w:w="0" w:type="dxa"/>
              <w:right w:w="108" w:type="dxa"/>
            </w:tcMar>
            <w:vAlign w:val="center"/>
          </w:tcPr>
          <w:p w14:paraId="74A974EF">
            <w:pPr>
              <w:keepNext w:val="0"/>
              <w:keepLines w:val="0"/>
              <w:pageBreakBefore w:val="0"/>
              <w:widowControl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val="0"/>
              <w:spacing w:line="360" w:lineRule="auto"/>
              <w:textAlignment w:val="auto"/>
              <w:rPr>
                <w:color w:val="auto"/>
                <w:sz w:val="21"/>
                <w:szCs w:val="21"/>
                <w:highlight w:val="none"/>
              </w:rPr>
            </w:pPr>
            <w:r>
              <w:rPr>
                <w:rFonts w:ascii="宋体" w:hAnsi="宋体" w:cs="宋体"/>
                <w:color w:val="auto"/>
                <w:sz w:val="21"/>
                <w:szCs w:val="21"/>
                <w:highlight w:val="none"/>
              </w:rPr>
              <w:t>凡未达到本条要求，每次扣1分。</w:t>
            </w:r>
          </w:p>
        </w:tc>
        <w:tc>
          <w:tcPr>
            <w:tcW w:w="534" w:type="dxa"/>
            <w:noWrap/>
            <w:tcMar>
              <w:top w:w="0" w:type="dxa"/>
              <w:left w:w="108" w:type="dxa"/>
              <w:bottom w:w="0" w:type="dxa"/>
              <w:right w:w="108" w:type="dxa"/>
            </w:tcMar>
            <w:vAlign w:val="center"/>
          </w:tcPr>
          <w:p w14:paraId="333D8B21">
            <w:pPr>
              <w:keepNext w:val="0"/>
              <w:keepLines w:val="0"/>
              <w:pageBreakBefore w:val="0"/>
              <w:widowControl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val="0"/>
              <w:spacing w:line="360" w:lineRule="auto"/>
              <w:jc w:val="center"/>
              <w:textAlignment w:val="auto"/>
              <w:rPr>
                <w:color w:val="auto"/>
                <w:sz w:val="21"/>
                <w:szCs w:val="21"/>
                <w:highlight w:val="none"/>
              </w:rPr>
            </w:pPr>
            <w:r>
              <w:rPr>
                <w:rFonts w:ascii="宋体" w:hAnsi="宋体" w:cs="宋体"/>
                <w:color w:val="auto"/>
                <w:sz w:val="21"/>
                <w:szCs w:val="21"/>
                <w:highlight w:val="none"/>
              </w:rPr>
              <w:t>15</w:t>
            </w:r>
          </w:p>
        </w:tc>
        <w:tc>
          <w:tcPr>
            <w:tcW w:w="534" w:type="dxa"/>
            <w:noWrap/>
            <w:tcMar>
              <w:top w:w="0" w:type="dxa"/>
              <w:left w:w="108" w:type="dxa"/>
              <w:bottom w:w="0" w:type="dxa"/>
              <w:right w:w="108" w:type="dxa"/>
            </w:tcMar>
            <w:vAlign w:val="center"/>
          </w:tcPr>
          <w:p w14:paraId="49994AF3">
            <w:pPr>
              <w:keepNext w:val="0"/>
              <w:keepLines w:val="0"/>
              <w:pageBreakBefore w:val="0"/>
              <w:widowControl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val="0"/>
              <w:spacing w:line="360" w:lineRule="auto"/>
              <w:jc w:val="center"/>
              <w:textAlignment w:val="auto"/>
              <w:rPr>
                <w:color w:val="auto"/>
                <w:sz w:val="21"/>
                <w:szCs w:val="21"/>
                <w:highlight w:val="none"/>
              </w:rPr>
            </w:pPr>
            <w:r>
              <w:rPr>
                <w:rFonts w:ascii="宋体" w:hAnsi="宋体" w:cs="宋体"/>
                <w:color w:val="auto"/>
                <w:sz w:val="21"/>
                <w:szCs w:val="21"/>
                <w:highlight w:val="none"/>
              </w:rPr>
              <w:t> </w:t>
            </w:r>
          </w:p>
        </w:tc>
        <w:tc>
          <w:tcPr>
            <w:tcW w:w="498" w:type="dxa"/>
            <w:noWrap/>
            <w:tcMar>
              <w:top w:w="0" w:type="dxa"/>
              <w:left w:w="108" w:type="dxa"/>
              <w:bottom w:w="0" w:type="dxa"/>
              <w:right w:w="108" w:type="dxa"/>
            </w:tcMar>
            <w:vAlign w:val="center"/>
          </w:tcPr>
          <w:p w14:paraId="100D9469">
            <w:pPr>
              <w:keepNext w:val="0"/>
              <w:keepLines w:val="0"/>
              <w:pageBreakBefore w:val="0"/>
              <w:widowControl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val="0"/>
              <w:spacing w:line="360" w:lineRule="auto"/>
              <w:jc w:val="center"/>
              <w:textAlignment w:val="auto"/>
              <w:rPr>
                <w:color w:val="auto"/>
                <w:sz w:val="21"/>
                <w:szCs w:val="21"/>
                <w:highlight w:val="none"/>
              </w:rPr>
            </w:pPr>
            <w:r>
              <w:rPr>
                <w:rFonts w:ascii="宋体" w:hAnsi="宋体" w:cs="宋体"/>
                <w:color w:val="auto"/>
                <w:sz w:val="21"/>
                <w:szCs w:val="21"/>
                <w:highlight w:val="none"/>
              </w:rPr>
              <w:t> </w:t>
            </w:r>
          </w:p>
        </w:tc>
        <w:tc>
          <w:tcPr>
            <w:tcW w:w="484" w:type="dxa"/>
            <w:noWrap/>
            <w:tcMar>
              <w:top w:w="0" w:type="dxa"/>
              <w:left w:w="108" w:type="dxa"/>
              <w:bottom w:w="0" w:type="dxa"/>
              <w:right w:w="108" w:type="dxa"/>
            </w:tcMar>
            <w:vAlign w:val="center"/>
          </w:tcPr>
          <w:p w14:paraId="4F17AE30">
            <w:pPr>
              <w:keepNext w:val="0"/>
              <w:keepLines w:val="0"/>
              <w:pageBreakBefore w:val="0"/>
              <w:widowControl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val="0"/>
              <w:spacing w:line="360" w:lineRule="auto"/>
              <w:jc w:val="center"/>
              <w:textAlignment w:val="auto"/>
              <w:rPr>
                <w:color w:val="auto"/>
                <w:sz w:val="21"/>
                <w:szCs w:val="21"/>
                <w:highlight w:val="none"/>
              </w:rPr>
            </w:pPr>
            <w:r>
              <w:rPr>
                <w:rFonts w:ascii="宋体" w:hAnsi="宋体" w:cs="宋体"/>
                <w:color w:val="auto"/>
                <w:sz w:val="21"/>
                <w:szCs w:val="21"/>
                <w:highlight w:val="none"/>
              </w:rPr>
              <w:t> </w:t>
            </w:r>
          </w:p>
        </w:tc>
      </w:tr>
      <w:tr w14:paraId="75A8F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8096" w:type="dxa"/>
            <w:gridSpan w:val="4"/>
            <w:noWrap/>
            <w:tcMar>
              <w:top w:w="0" w:type="dxa"/>
              <w:left w:w="108" w:type="dxa"/>
              <w:bottom w:w="0" w:type="dxa"/>
              <w:right w:w="108" w:type="dxa"/>
            </w:tcMar>
            <w:vAlign w:val="center"/>
          </w:tcPr>
          <w:p w14:paraId="349CC1B7">
            <w:pPr>
              <w:keepNext w:val="0"/>
              <w:keepLines w:val="0"/>
              <w:pageBreakBefore w:val="0"/>
              <w:widowControl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val="0"/>
              <w:spacing w:line="360" w:lineRule="auto"/>
              <w:textAlignment w:val="auto"/>
              <w:rPr>
                <w:color w:val="auto"/>
                <w:sz w:val="21"/>
                <w:szCs w:val="21"/>
                <w:highlight w:val="none"/>
              </w:rPr>
            </w:pPr>
            <w:r>
              <w:rPr>
                <w:rFonts w:ascii="宋体" w:hAnsi="宋体" w:cs="宋体"/>
                <w:color w:val="auto"/>
                <w:sz w:val="21"/>
                <w:szCs w:val="21"/>
                <w:highlight w:val="none"/>
              </w:rPr>
              <w:t>合计得分</w:t>
            </w:r>
          </w:p>
        </w:tc>
        <w:tc>
          <w:tcPr>
            <w:tcW w:w="2050" w:type="dxa"/>
            <w:gridSpan w:val="4"/>
            <w:noWrap/>
            <w:tcMar>
              <w:top w:w="0" w:type="dxa"/>
              <w:left w:w="108" w:type="dxa"/>
              <w:bottom w:w="0" w:type="dxa"/>
              <w:right w:w="108" w:type="dxa"/>
            </w:tcMar>
            <w:vAlign w:val="center"/>
          </w:tcPr>
          <w:p w14:paraId="2DB6566D">
            <w:pPr>
              <w:keepNext w:val="0"/>
              <w:keepLines w:val="0"/>
              <w:pageBreakBefore w:val="0"/>
              <w:widowControl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val="0"/>
              <w:spacing w:line="360" w:lineRule="auto"/>
              <w:jc w:val="center"/>
              <w:textAlignment w:val="auto"/>
              <w:rPr>
                <w:color w:val="auto"/>
                <w:sz w:val="21"/>
                <w:szCs w:val="21"/>
                <w:highlight w:val="none"/>
              </w:rPr>
            </w:pPr>
            <w:r>
              <w:rPr>
                <w:rFonts w:ascii="宋体" w:hAnsi="宋体" w:cs="宋体"/>
                <w:color w:val="auto"/>
                <w:sz w:val="21"/>
                <w:szCs w:val="21"/>
                <w:highlight w:val="none"/>
              </w:rPr>
              <w:t> </w:t>
            </w:r>
          </w:p>
        </w:tc>
      </w:tr>
      <w:tr w14:paraId="55FEB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0146" w:type="dxa"/>
            <w:gridSpan w:val="8"/>
            <w:noWrap/>
            <w:tcMar>
              <w:top w:w="0" w:type="dxa"/>
              <w:left w:w="108" w:type="dxa"/>
              <w:bottom w:w="0" w:type="dxa"/>
              <w:right w:w="108" w:type="dxa"/>
            </w:tcMar>
            <w:vAlign w:val="center"/>
          </w:tcPr>
          <w:p w14:paraId="4DADAD9D">
            <w:pPr>
              <w:keepNext w:val="0"/>
              <w:keepLines w:val="0"/>
              <w:pageBreakBefore w:val="0"/>
              <w:widowControl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val="0"/>
              <w:spacing w:line="360" w:lineRule="auto"/>
              <w:ind w:firstLine="480"/>
              <w:textAlignment w:val="auto"/>
              <w:rPr>
                <w:color w:val="auto"/>
                <w:sz w:val="21"/>
                <w:szCs w:val="21"/>
                <w:highlight w:val="none"/>
              </w:rPr>
            </w:pPr>
          </w:p>
          <w:p w14:paraId="03613AB3">
            <w:pPr>
              <w:keepNext w:val="0"/>
              <w:keepLines w:val="0"/>
              <w:pageBreakBefore w:val="0"/>
              <w:widowControl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val="0"/>
              <w:spacing w:line="360" w:lineRule="auto"/>
              <w:textAlignment w:val="auto"/>
              <w:rPr>
                <w:color w:val="auto"/>
                <w:sz w:val="21"/>
                <w:szCs w:val="21"/>
                <w:highlight w:val="none"/>
              </w:rPr>
            </w:pPr>
            <w:r>
              <w:rPr>
                <w:rFonts w:ascii="宋体" w:hAnsi="宋体" w:cs="宋体"/>
                <w:color w:val="auto"/>
                <w:sz w:val="21"/>
                <w:szCs w:val="21"/>
                <w:highlight w:val="none"/>
              </w:rPr>
              <w:t>养护单位：</w:t>
            </w:r>
          </w:p>
          <w:p w14:paraId="1DB48112">
            <w:pPr>
              <w:keepNext w:val="0"/>
              <w:keepLines w:val="0"/>
              <w:pageBreakBefore w:val="0"/>
              <w:widowControl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val="0"/>
              <w:spacing w:line="360" w:lineRule="auto"/>
              <w:textAlignment w:val="auto"/>
              <w:rPr>
                <w:color w:val="auto"/>
                <w:sz w:val="21"/>
                <w:szCs w:val="21"/>
                <w:highlight w:val="none"/>
              </w:rPr>
            </w:pPr>
            <w:r>
              <w:rPr>
                <w:rFonts w:ascii="宋体" w:hAnsi="宋体" w:cs="宋体"/>
                <w:color w:val="auto"/>
                <w:sz w:val="21"/>
                <w:szCs w:val="21"/>
                <w:highlight w:val="none"/>
              </w:rPr>
              <w:t>考核人员：</w:t>
            </w:r>
          </w:p>
          <w:p w14:paraId="0FEBCBBC">
            <w:pPr>
              <w:keepNext w:val="0"/>
              <w:keepLines w:val="0"/>
              <w:pageBreakBefore w:val="0"/>
              <w:widowControl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val="0"/>
              <w:spacing w:line="360" w:lineRule="auto"/>
              <w:textAlignment w:val="auto"/>
              <w:rPr>
                <w:color w:val="auto"/>
                <w:sz w:val="21"/>
                <w:szCs w:val="21"/>
                <w:highlight w:val="none"/>
              </w:rPr>
            </w:pPr>
            <w:r>
              <w:rPr>
                <w:rFonts w:ascii="宋体" w:hAnsi="宋体" w:cs="宋体"/>
                <w:color w:val="auto"/>
                <w:sz w:val="21"/>
                <w:szCs w:val="21"/>
                <w:highlight w:val="none"/>
              </w:rPr>
              <w:t>检查时间：20   年   月   日～20   年   月   日</w:t>
            </w:r>
          </w:p>
        </w:tc>
      </w:tr>
    </w:tbl>
    <w:p w14:paraId="1799612F">
      <w:pPr>
        <w:pBdr>
          <w:top w:val="none" w:color="000000" w:sz="0" w:space="0"/>
          <w:left w:val="none" w:color="000000" w:sz="0" w:space="0"/>
          <w:bottom w:val="none" w:color="000000" w:sz="0" w:space="0"/>
          <w:right w:val="none" w:color="000000" w:sz="0" w:space="0"/>
        </w:pBdr>
        <w:ind w:firstLine="420"/>
        <w:jc w:val="center"/>
        <w:rPr>
          <w:rFonts w:eastAsia="Times New Roman"/>
          <w:color w:val="auto"/>
          <w:sz w:val="21"/>
          <w:szCs w:val="21"/>
          <w:highlight w:val="none"/>
        </w:rPr>
      </w:pPr>
    </w:p>
    <w:p w14:paraId="2D9A191B">
      <w:pPr>
        <w:pBdr>
          <w:top w:val="none" w:color="000000" w:sz="0" w:space="0"/>
          <w:left w:val="none" w:color="000000" w:sz="0" w:space="0"/>
          <w:bottom w:val="none" w:color="000000" w:sz="0" w:space="0"/>
          <w:right w:val="none" w:color="000000" w:sz="0" w:space="0"/>
        </w:pBdr>
        <w:spacing w:line="85" w:lineRule="atLeast"/>
        <w:ind w:firstLine="480"/>
        <w:jc w:val="center"/>
        <w:rPr>
          <w:rFonts w:eastAsia="Times New Roman"/>
          <w:b/>
          <w:bCs/>
          <w:color w:val="auto"/>
          <w:sz w:val="24"/>
          <w:szCs w:val="24"/>
          <w:highlight w:val="none"/>
        </w:rPr>
      </w:pPr>
      <w:r>
        <w:rPr>
          <w:color w:val="auto"/>
          <w:sz w:val="21"/>
          <w:szCs w:val="21"/>
          <w:highlight w:val="none"/>
        </w:rPr>
        <w:br w:type="page"/>
      </w:r>
      <w:r>
        <w:rPr>
          <w:rFonts w:eastAsia="Times New Roman"/>
          <w:b/>
          <w:bCs/>
          <w:color w:val="auto"/>
          <w:sz w:val="24"/>
          <w:szCs w:val="24"/>
          <w:highlight w:val="none"/>
        </w:rPr>
        <w:t>表1-3 设施完好率考核表（日常）</w:t>
      </w:r>
    </w:p>
    <w:p w14:paraId="0F2B46B7">
      <w:pPr>
        <w:pBdr>
          <w:top w:val="none" w:color="000000" w:sz="0" w:space="0"/>
          <w:left w:val="none" w:color="000000" w:sz="0" w:space="0"/>
          <w:bottom w:val="none" w:color="000000" w:sz="0" w:space="0"/>
          <w:right w:val="none" w:color="000000" w:sz="0" w:space="0"/>
        </w:pBdr>
        <w:spacing w:line="360" w:lineRule="auto"/>
        <w:ind w:firstLine="420"/>
        <w:jc w:val="righ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   年   月）</w:t>
      </w:r>
    </w:p>
    <w:p w14:paraId="5E3D66B0">
      <w:pPr>
        <w:pBdr>
          <w:top w:val="none" w:color="000000" w:sz="0" w:space="0"/>
          <w:left w:val="none" w:color="000000" w:sz="0" w:space="0"/>
          <w:bottom w:val="none" w:color="000000" w:sz="0" w:space="0"/>
          <w:right w:val="none" w:color="000000" w:sz="0" w:space="0"/>
        </w:pBdr>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考核道路：</w:t>
      </w:r>
    </w:p>
    <w:tbl>
      <w:tblPr>
        <w:tblStyle w:val="7"/>
        <w:tblW w:w="10467" w:type="dxa"/>
        <w:tblInd w:w="-821"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CellMar>
          <w:top w:w="0" w:type="dxa"/>
          <w:left w:w="0" w:type="dxa"/>
          <w:bottom w:w="0" w:type="dxa"/>
          <w:right w:w="0" w:type="dxa"/>
        </w:tblCellMar>
      </w:tblPr>
      <w:tblGrid>
        <w:gridCol w:w="720"/>
        <w:gridCol w:w="1200"/>
        <w:gridCol w:w="4545"/>
        <w:gridCol w:w="930"/>
        <w:gridCol w:w="915"/>
        <w:gridCol w:w="1140"/>
        <w:gridCol w:w="1017"/>
      </w:tblGrid>
      <w:tr w14:paraId="179F477A">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0" w:type="dxa"/>
            <w:bottom w:w="0" w:type="dxa"/>
            <w:right w:w="0" w:type="dxa"/>
          </w:tblCellMar>
        </w:tblPrEx>
        <w:tc>
          <w:tcPr>
            <w:tcW w:w="720" w:type="dxa"/>
            <w:tcBorders>
              <w:top w:val="single" w:color="000000" w:sz="8" w:space="0"/>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5306A551">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1200" w:type="dxa"/>
            <w:tcBorders>
              <w:top w:val="single" w:color="000000" w:sz="8" w:space="0"/>
              <w:bottom w:val="single" w:color="000000" w:sz="8" w:space="0"/>
              <w:right w:val="single" w:color="000000" w:sz="8" w:space="0"/>
            </w:tcBorders>
            <w:noWrap/>
            <w:tcMar>
              <w:top w:w="0" w:type="dxa"/>
              <w:left w:w="108" w:type="dxa"/>
              <w:bottom w:w="0" w:type="dxa"/>
              <w:right w:w="108" w:type="dxa"/>
            </w:tcMar>
            <w:vAlign w:val="center"/>
          </w:tcPr>
          <w:p w14:paraId="3F83C112">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考核项目</w:t>
            </w:r>
          </w:p>
        </w:tc>
        <w:tc>
          <w:tcPr>
            <w:tcW w:w="4545" w:type="dxa"/>
            <w:tcBorders>
              <w:top w:val="single" w:color="000000" w:sz="8" w:space="0"/>
              <w:bottom w:val="single" w:color="000000" w:sz="8" w:space="0"/>
              <w:right w:val="single" w:color="000000" w:sz="8" w:space="0"/>
            </w:tcBorders>
            <w:noWrap/>
            <w:tcMar>
              <w:top w:w="0" w:type="dxa"/>
              <w:left w:w="108" w:type="dxa"/>
              <w:bottom w:w="0" w:type="dxa"/>
              <w:right w:w="108" w:type="dxa"/>
            </w:tcMar>
            <w:vAlign w:val="center"/>
          </w:tcPr>
          <w:p w14:paraId="73548571">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考核内容和标准</w:t>
            </w:r>
          </w:p>
        </w:tc>
        <w:tc>
          <w:tcPr>
            <w:tcW w:w="930" w:type="dxa"/>
            <w:tcBorders>
              <w:top w:val="single" w:color="000000" w:sz="8" w:space="0"/>
              <w:bottom w:val="single" w:color="000000" w:sz="8" w:space="0"/>
              <w:right w:val="single" w:color="000000" w:sz="8" w:space="0"/>
            </w:tcBorders>
            <w:noWrap/>
            <w:tcMar>
              <w:top w:w="0" w:type="dxa"/>
              <w:left w:w="108" w:type="dxa"/>
              <w:bottom w:w="0" w:type="dxa"/>
              <w:right w:w="108" w:type="dxa"/>
            </w:tcMar>
            <w:vAlign w:val="center"/>
          </w:tcPr>
          <w:p w14:paraId="2D366FB6">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总分</w:t>
            </w:r>
          </w:p>
        </w:tc>
        <w:tc>
          <w:tcPr>
            <w:tcW w:w="915" w:type="dxa"/>
            <w:tcBorders>
              <w:top w:val="single" w:color="000000" w:sz="8" w:space="0"/>
              <w:bottom w:val="single" w:color="000000" w:sz="8" w:space="0"/>
              <w:right w:val="single" w:color="000000" w:sz="8" w:space="0"/>
            </w:tcBorders>
            <w:noWrap/>
            <w:tcMar>
              <w:top w:w="0" w:type="dxa"/>
              <w:left w:w="108" w:type="dxa"/>
              <w:bottom w:w="0" w:type="dxa"/>
              <w:right w:w="108" w:type="dxa"/>
            </w:tcMar>
            <w:vAlign w:val="center"/>
          </w:tcPr>
          <w:p w14:paraId="346F481C">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扣分</w:t>
            </w:r>
          </w:p>
        </w:tc>
        <w:tc>
          <w:tcPr>
            <w:tcW w:w="1140" w:type="dxa"/>
            <w:tcBorders>
              <w:top w:val="single" w:color="000000" w:sz="8" w:space="0"/>
              <w:bottom w:val="single" w:color="000000" w:sz="8" w:space="0"/>
              <w:right w:val="single" w:color="000000" w:sz="8" w:space="0"/>
            </w:tcBorders>
            <w:noWrap/>
            <w:tcMar>
              <w:top w:w="0" w:type="dxa"/>
              <w:left w:w="108" w:type="dxa"/>
              <w:bottom w:w="0" w:type="dxa"/>
              <w:right w:w="108" w:type="dxa"/>
            </w:tcMar>
            <w:vAlign w:val="center"/>
          </w:tcPr>
          <w:p w14:paraId="2202790F">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得分</w:t>
            </w:r>
          </w:p>
        </w:tc>
        <w:tc>
          <w:tcPr>
            <w:tcW w:w="1017" w:type="dxa"/>
            <w:tcBorders>
              <w:top w:val="single" w:color="000000" w:sz="8" w:space="0"/>
              <w:bottom w:val="single" w:color="000000" w:sz="8" w:space="0"/>
              <w:right w:val="single" w:color="000000" w:sz="8" w:space="0"/>
            </w:tcBorders>
            <w:noWrap/>
            <w:tcMar>
              <w:top w:w="0" w:type="dxa"/>
              <w:left w:w="108" w:type="dxa"/>
              <w:bottom w:w="0" w:type="dxa"/>
              <w:right w:w="108" w:type="dxa"/>
            </w:tcMar>
            <w:vAlign w:val="center"/>
          </w:tcPr>
          <w:p w14:paraId="0BD7C94D">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w:t>
            </w:r>
          </w:p>
        </w:tc>
      </w:tr>
      <w:tr w14:paraId="37EF4380">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0" w:type="dxa"/>
            <w:bottom w:w="0" w:type="dxa"/>
            <w:right w:w="0" w:type="dxa"/>
          </w:tblCellMar>
        </w:tblPrEx>
        <w:tc>
          <w:tcPr>
            <w:tcW w:w="720" w:type="dxa"/>
            <w:tcBorders>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56FADB14">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200" w:type="dxa"/>
            <w:tcBorders>
              <w:bottom w:val="single" w:color="000000" w:sz="8" w:space="0"/>
              <w:right w:val="single" w:color="000000" w:sz="8" w:space="0"/>
            </w:tcBorders>
            <w:noWrap/>
            <w:tcMar>
              <w:top w:w="0" w:type="dxa"/>
              <w:left w:w="108" w:type="dxa"/>
              <w:bottom w:w="0" w:type="dxa"/>
              <w:right w:w="108" w:type="dxa"/>
            </w:tcMar>
            <w:vAlign w:val="center"/>
          </w:tcPr>
          <w:p w14:paraId="66BEA64F">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车行道</w:t>
            </w:r>
          </w:p>
        </w:tc>
        <w:tc>
          <w:tcPr>
            <w:tcW w:w="4545" w:type="dxa"/>
            <w:tcBorders>
              <w:bottom w:val="single" w:color="000000" w:sz="8" w:space="0"/>
              <w:right w:val="single" w:color="000000" w:sz="8" w:space="0"/>
            </w:tcBorders>
            <w:noWrap/>
            <w:tcMar>
              <w:top w:w="0" w:type="dxa"/>
              <w:left w:w="108" w:type="dxa"/>
              <w:bottom w:w="0" w:type="dxa"/>
              <w:right w:w="108" w:type="dxa"/>
            </w:tcMar>
            <w:vAlign w:val="center"/>
          </w:tcPr>
          <w:p w14:paraId="2C67280F">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修补形状不规则，明显裂缝、松散、网裂、拥包、搓板等病害。每处扣1分。</w:t>
            </w:r>
          </w:p>
          <w:p w14:paraId="69826410">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井座沉陷，坑凼、沉陷、车辙、碎裂松动、错台等病害。每处扣2分。</w:t>
            </w:r>
          </w:p>
        </w:tc>
        <w:tc>
          <w:tcPr>
            <w:tcW w:w="930" w:type="dxa"/>
            <w:tcBorders>
              <w:bottom w:val="single" w:color="000000" w:sz="8" w:space="0"/>
              <w:right w:val="single" w:color="000000" w:sz="8" w:space="0"/>
            </w:tcBorders>
            <w:noWrap/>
            <w:tcMar>
              <w:top w:w="0" w:type="dxa"/>
              <w:left w:w="108" w:type="dxa"/>
              <w:bottom w:w="0" w:type="dxa"/>
              <w:right w:w="108" w:type="dxa"/>
            </w:tcMar>
            <w:vAlign w:val="center"/>
          </w:tcPr>
          <w:p w14:paraId="24A38DCE">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w:t>
            </w:r>
          </w:p>
        </w:tc>
        <w:tc>
          <w:tcPr>
            <w:tcW w:w="915" w:type="dxa"/>
            <w:tcBorders>
              <w:bottom w:val="single" w:color="000000" w:sz="8" w:space="0"/>
              <w:right w:val="single" w:color="000000" w:sz="8" w:space="0"/>
            </w:tcBorders>
            <w:noWrap/>
            <w:tcMar>
              <w:top w:w="0" w:type="dxa"/>
              <w:left w:w="108" w:type="dxa"/>
              <w:bottom w:w="0" w:type="dxa"/>
              <w:right w:w="108" w:type="dxa"/>
            </w:tcMar>
            <w:vAlign w:val="center"/>
          </w:tcPr>
          <w:p w14:paraId="6C4DA536">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w:t>
            </w:r>
          </w:p>
        </w:tc>
        <w:tc>
          <w:tcPr>
            <w:tcW w:w="1140" w:type="dxa"/>
            <w:tcBorders>
              <w:bottom w:val="single" w:color="000000" w:sz="8" w:space="0"/>
              <w:right w:val="single" w:color="000000" w:sz="8" w:space="0"/>
            </w:tcBorders>
            <w:noWrap/>
            <w:tcMar>
              <w:top w:w="0" w:type="dxa"/>
              <w:left w:w="108" w:type="dxa"/>
              <w:bottom w:w="0" w:type="dxa"/>
              <w:right w:w="108" w:type="dxa"/>
            </w:tcMar>
            <w:vAlign w:val="center"/>
          </w:tcPr>
          <w:p w14:paraId="1DE0A93A">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w:t>
            </w:r>
          </w:p>
        </w:tc>
        <w:tc>
          <w:tcPr>
            <w:tcW w:w="1017" w:type="dxa"/>
            <w:tcBorders>
              <w:bottom w:val="single" w:color="000000" w:sz="8" w:space="0"/>
              <w:right w:val="single" w:color="000000" w:sz="8" w:space="0"/>
            </w:tcBorders>
            <w:noWrap/>
            <w:tcMar>
              <w:top w:w="0" w:type="dxa"/>
              <w:left w:w="108" w:type="dxa"/>
              <w:bottom w:w="0" w:type="dxa"/>
              <w:right w:w="108" w:type="dxa"/>
            </w:tcMar>
            <w:vAlign w:val="center"/>
          </w:tcPr>
          <w:p w14:paraId="5E903374">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w:t>
            </w:r>
          </w:p>
        </w:tc>
      </w:tr>
      <w:tr w14:paraId="74985469">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0" w:type="dxa"/>
            <w:bottom w:w="0" w:type="dxa"/>
            <w:right w:w="0" w:type="dxa"/>
          </w:tblCellMar>
        </w:tblPrEx>
        <w:tc>
          <w:tcPr>
            <w:tcW w:w="720" w:type="dxa"/>
            <w:tcBorders>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57A2B448">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200" w:type="dxa"/>
            <w:tcBorders>
              <w:bottom w:val="single" w:color="000000" w:sz="8" w:space="0"/>
              <w:right w:val="single" w:color="000000" w:sz="8" w:space="0"/>
            </w:tcBorders>
            <w:noWrap/>
            <w:tcMar>
              <w:top w:w="0" w:type="dxa"/>
              <w:left w:w="108" w:type="dxa"/>
              <w:bottom w:w="0" w:type="dxa"/>
              <w:right w:w="108" w:type="dxa"/>
            </w:tcMar>
            <w:vAlign w:val="center"/>
          </w:tcPr>
          <w:p w14:paraId="299CAF8F">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人行道</w:t>
            </w:r>
          </w:p>
        </w:tc>
        <w:tc>
          <w:tcPr>
            <w:tcW w:w="4545" w:type="dxa"/>
            <w:tcBorders>
              <w:bottom w:val="single" w:color="000000" w:sz="8" w:space="0"/>
              <w:right w:val="single" w:color="000000" w:sz="8" w:space="0"/>
            </w:tcBorders>
            <w:noWrap/>
            <w:tcMar>
              <w:top w:w="0" w:type="dxa"/>
              <w:left w:w="108" w:type="dxa"/>
              <w:bottom w:w="0" w:type="dxa"/>
              <w:right w:w="108" w:type="dxa"/>
            </w:tcMar>
            <w:vAlign w:val="center"/>
          </w:tcPr>
          <w:p w14:paraId="603DF471">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沉陷、拱起、松动、缺损、错台等病害。每处扣1分。</w:t>
            </w:r>
          </w:p>
          <w:p w14:paraId="6DD0B54F">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残留物未及时清除，废弃或损坏的树池未处理、井座沉陷等病害。每处扣2分。</w:t>
            </w:r>
          </w:p>
        </w:tc>
        <w:tc>
          <w:tcPr>
            <w:tcW w:w="930" w:type="dxa"/>
            <w:tcBorders>
              <w:bottom w:val="single" w:color="000000" w:sz="8" w:space="0"/>
              <w:right w:val="single" w:color="000000" w:sz="8" w:space="0"/>
            </w:tcBorders>
            <w:noWrap/>
            <w:tcMar>
              <w:top w:w="0" w:type="dxa"/>
              <w:left w:w="108" w:type="dxa"/>
              <w:bottom w:w="0" w:type="dxa"/>
              <w:right w:w="108" w:type="dxa"/>
            </w:tcMar>
            <w:vAlign w:val="center"/>
          </w:tcPr>
          <w:p w14:paraId="4392C44E">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w:t>
            </w:r>
          </w:p>
        </w:tc>
        <w:tc>
          <w:tcPr>
            <w:tcW w:w="915" w:type="dxa"/>
            <w:tcBorders>
              <w:bottom w:val="single" w:color="000000" w:sz="8" w:space="0"/>
              <w:right w:val="single" w:color="000000" w:sz="8" w:space="0"/>
            </w:tcBorders>
            <w:noWrap/>
            <w:tcMar>
              <w:top w:w="0" w:type="dxa"/>
              <w:left w:w="108" w:type="dxa"/>
              <w:bottom w:w="0" w:type="dxa"/>
              <w:right w:w="108" w:type="dxa"/>
            </w:tcMar>
            <w:vAlign w:val="center"/>
          </w:tcPr>
          <w:p w14:paraId="2DF7847E">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w:t>
            </w:r>
          </w:p>
        </w:tc>
        <w:tc>
          <w:tcPr>
            <w:tcW w:w="1140" w:type="dxa"/>
            <w:tcBorders>
              <w:bottom w:val="single" w:color="000000" w:sz="8" w:space="0"/>
              <w:right w:val="single" w:color="000000" w:sz="8" w:space="0"/>
            </w:tcBorders>
            <w:noWrap/>
            <w:tcMar>
              <w:top w:w="0" w:type="dxa"/>
              <w:left w:w="108" w:type="dxa"/>
              <w:bottom w:w="0" w:type="dxa"/>
              <w:right w:w="108" w:type="dxa"/>
            </w:tcMar>
            <w:vAlign w:val="center"/>
          </w:tcPr>
          <w:p w14:paraId="0765DCB9">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w:t>
            </w:r>
          </w:p>
        </w:tc>
        <w:tc>
          <w:tcPr>
            <w:tcW w:w="1017" w:type="dxa"/>
            <w:tcBorders>
              <w:bottom w:val="single" w:color="000000" w:sz="8" w:space="0"/>
              <w:right w:val="single" w:color="000000" w:sz="8" w:space="0"/>
            </w:tcBorders>
            <w:noWrap/>
            <w:tcMar>
              <w:top w:w="0" w:type="dxa"/>
              <w:left w:w="108" w:type="dxa"/>
              <w:bottom w:w="0" w:type="dxa"/>
              <w:right w:w="108" w:type="dxa"/>
            </w:tcMar>
            <w:vAlign w:val="center"/>
          </w:tcPr>
          <w:p w14:paraId="0071F238">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w:t>
            </w:r>
          </w:p>
        </w:tc>
      </w:tr>
      <w:tr w14:paraId="1B5B9DE4">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0" w:type="dxa"/>
            <w:bottom w:w="0" w:type="dxa"/>
            <w:right w:w="0" w:type="dxa"/>
          </w:tblCellMar>
        </w:tblPrEx>
        <w:tc>
          <w:tcPr>
            <w:tcW w:w="720" w:type="dxa"/>
            <w:tcBorders>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6903B69C">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1200" w:type="dxa"/>
            <w:tcBorders>
              <w:bottom w:val="single" w:color="000000" w:sz="8" w:space="0"/>
              <w:right w:val="single" w:color="000000" w:sz="8" w:space="0"/>
            </w:tcBorders>
            <w:noWrap/>
            <w:tcMar>
              <w:top w:w="0" w:type="dxa"/>
              <w:left w:w="108" w:type="dxa"/>
              <w:bottom w:w="0" w:type="dxa"/>
              <w:right w:w="108" w:type="dxa"/>
            </w:tcMar>
            <w:vAlign w:val="center"/>
          </w:tcPr>
          <w:p w14:paraId="2EBF51CE">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侧石边石平石</w:t>
            </w:r>
          </w:p>
        </w:tc>
        <w:tc>
          <w:tcPr>
            <w:tcW w:w="4545" w:type="dxa"/>
            <w:tcBorders>
              <w:bottom w:val="single" w:color="000000" w:sz="8" w:space="0"/>
              <w:right w:val="single" w:color="000000" w:sz="8" w:space="0"/>
            </w:tcBorders>
            <w:noWrap/>
            <w:tcMar>
              <w:top w:w="0" w:type="dxa"/>
              <w:left w:w="108" w:type="dxa"/>
              <w:bottom w:w="0" w:type="dxa"/>
              <w:right w:w="108" w:type="dxa"/>
            </w:tcMar>
            <w:vAlign w:val="center"/>
          </w:tcPr>
          <w:p w14:paraId="31FB6FCC">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缺损病害每处扣2分。</w:t>
            </w:r>
          </w:p>
          <w:p w14:paraId="42155F5F">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倾斜、移位、松动、勾缝不饱满等病害。每处扣1分。</w:t>
            </w:r>
          </w:p>
        </w:tc>
        <w:tc>
          <w:tcPr>
            <w:tcW w:w="930" w:type="dxa"/>
            <w:tcBorders>
              <w:bottom w:val="single" w:color="000000" w:sz="8" w:space="0"/>
              <w:right w:val="single" w:color="000000" w:sz="8" w:space="0"/>
            </w:tcBorders>
            <w:noWrap/>
            <w:tcMar>
              <w:top w:w="0" w:type="dxa"/>
              <w:left w:w="108" w:type="dxa"/>
              <w:bottom w:w="0" w:type="dxa"/>
              <w:right w:w="108" w:type="dxa"/>
            </w:tcMar>
            <w:vAlign w:val="center"/>
          </w:tcPr>
          <w:p w14:paraId="3B0C2547">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w:t>
            </w:r>
          </w:p>
        </w:tc>
        <w:tc>
          <w:tcPr>
            <w:tcW w:w="915" w:type="dxa"/>
            <w:tcBorders>
              <w:bottom w:val="single" w:color="000000" w:sz="8" w:space="0"/>
              <w:right w:val="single" w:color="000000" w:sz="8" w:space="0"/>
            </w:tcBorders>
            <w:noWrap/>
            <w:tcMar>
              <w:top w:w="0" w:type="dxa"/>
              <w:left w:w="108" w:type="dxa"/>
              <w:bottom w:w="0" w:type="dxa"/>
              <w:right w:w="108" w:type="dxa"/>
            </w:tcMar>
            <w:vAlign w:val="center"/>
          </w:tcPr>
          <w:p w14:paraId="7CF1F50F">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w:t>
            </w:r>
          </w:p>
        </w:tc>
        <w:tc>
          <w:tcPr>
            <w:tcW w:w="1140" w:type="dxa"/>
            <w:tcBorders>
              <w:bottom w:val="single" w:color="000000" w:sz="8" w:space="0"/>
              <w:right w:val="single" w:color="000000" w:sz="8" w:space="0"/>
            </w:tcBorders>
            <w:noWrap/>
            <w:tcMar>
              <w:top w:w="0" w:type="dxa"/>
              <w:left w:w="108" w:type="dxa"/>
              <w:bottom w:w="0" w:type="dxa"/>
              <w:right w:w="108" w:type="dxa"/>
            </w:tcMar>
            <w:vAlign w:val="center"/>
          </w:tcPr>
          <w:p w14:paraId="4C4B0798">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w:t>
            </w:r>
          </w:p>
        </w:tc>
        <w:tc>
          <w:tcPr>
            <w:tcW w:w="1017" w:type="dxa"/>
            <w:tcBorders>
              <w:bottom w:val="single" w:color="000000" w:sz="8" w:space="0"/>
              <w:right w:val="single" w:color="000000" w:sz="8" w:space="0"/>
            </w:tcBorders>
            <w:noWrap/>
            <w:tcMar>
              <w:top w:w="0" w:type="dxa"/>
              <w:left w:w="108" w:type="dxa"/>
              <w:bottom w:w="0" w:type="dxa"/>
              <w:right w:w="108" w:type="dxa"/>
            </w:tcMar>
            <w:vAlign w:val="center"/>
          </w:tcPr>
          <w:p w14:paraId="749BC1B1">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w:t>
            </w:r>
          </w:p>
        </w:tc>
      </w:tr>
      <w:tr w14:paraId="50FBA151">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0" w:type="dxa"/>
            <w:bottom w:w="0" w:type="dxa"/>
            <w:right w:w="0" w:type="dxa"/>
          </w:tblCellMar>
        </w:tblPrEx>
        <w:tc>
          <w:tcPr>
            <w:tcW w:w="720" w:type="dxa"/>
            <w:tcBorders>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1D6723CF">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1200" w:type="dxa"/>
            <w:tcBorders>
              <w:bottom w:val="single" w:color="000000" w:sz="8" w:space="0"/>
              <w:right w:val="single" w:color="000000" w:sz="8" w:space="0"/>
            </w:tcBorders>
            <w:noWrap/>
            <w:tcMar>
              <w:top w:w="0" w:type="dxa"/>
              <w:left w:w="108" w:type="dxa"/>
              <w:bottom w:w="0" w:type="dxa"/>
              <w:right w:w="108" w:type="dxa"/>
            </w:tcMar>
            <w:vAlign w:val="center"/>
          </w:tcPr>
          <w:p w14:paraId="726A2DFE">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桥梁设施</w:t>
            </w:r>
          </w:p>
        </w:tc>
        <w:tc>
          <w:tcPr>
            <w:tcW w:w="4545" w:type="dxa"/>
            <w:tcBorders>
              <w:bottom w:val="single" w:color="000000" w:sz="8" w:space="0"/>
              <w:right w:val="single" w:color="000000" w:sz="8" w:space="0"/>
            </w:tcBorders>
            <w:noWrap/>
            <w:tcMar>
              <w:top w:w="0" w:type="dxa"/>
              <w:left w:w="108" w:type="dxa"/>
              <w:bottom w:w="0" w:type="dxa"/>
              <w:right w:w="108" w:type="dxa"/>
            </w:tcMar>
            <w:vAlign w:val="center"/>
          </w:tcPr>
          <w:p w14:paraId="359FFF62">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桥面平整完好，发现有破损、坑凼等病害每处扣2分。</w:t>
            </w:r>
          </w:p>
          <w:p w14:paraId="004E9BBE">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人行道完好，道砖无松动、遗失，铺装无破损，路沿石平顺，发现一处病害扣1分。</w:t>
            </w:r>
          </w:p>
          <w:p w14:paraId="77A2B11C">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墩台表面完好，无破损、露筋，无污秽、杂草杂树，发现一处病害扣1分</w:t>
            </w:r>
          </w:p>
          <w:p w14:paraId="728FDD63">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栏杆应完好无损、清洁，发现一处病害扣1分。</w:t>
            </w:r>
          </w:p>
          <w:p w14:paraId="1FE6C15A">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桥名、限载、限高等标志牌应完好，无变形、移位、缺损，发现一处扣2分。</w:t>
            </w:r>
          </w:p>
        </w:tc>
        <w:tc>
          <w:tcPr>
            <w:tcW w:w="930" w:type="dxa"/>
            <w:tcBorders>
              <w:bottom w:val="single" w:color="000000" w:sz="8" w:space="0"/>
              <w:right w:val="single" w:color="000000" w:sz="8" w:space="0"/>
            </w:tcBorders>
            <w:noWrap/>
            <w:tcMar>
              <w:top w:w="0" w:type="dxa"/>
              <w:left w:w="108" w:type="dxa"/>
              <w:bottom w:w="0" w:type="dxa"/>
              <w:right w:w="108" w:type="dxa"/>
            </w:tcMar>
            <w:vAlign w:val="center"/>
          </w:tcPr>
          <w:p w14:paraId="399584BC">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w:t>
            </w:r>
          </w:p>
        </w:tc>
        <w:tc>
          <w:tcPr>
            <w:tcW w:w="915" w:type="dxa"/>
            <w:tcBorders>
              <w:bottom w:val="single" w:color="000000" w:sz="8" w:space="0"/>
              <w:right w:val="single" w:color="000000" w:sz="8" w:space="0"/>
            </w:tcBorders>
            <w:noWrap/>
            <w:tcMar>
              <w:top w:w="0" w:type="dxa"/>
              <w:left w:w="108" w:type="dxa"/>
              <w:bottom w:w="0" w:type="dxa"/>
              <w:right w:w="108" w:type="dxa"/>
            </w:tcMar>
            <w:vAlign w:val="center"/>
          </w:tcPr>
          <w:p w14:paraId="7A3A1E0C">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w:t>
            </w:r>
          </w:p>
        </w:tc>
        <w:tc>
          <w:tcPr>
            <w:tcW w:w="1140" w:type="dxa"/>
            <w:tcBorders>
              <w:bottom w:val="single" w:color="000000" w:sz="8" w:space="0"/>
              <w:right w:val="single" w:color="000000" w:sz="8" w:space="0"/>
            </w:tcBorders>
            <w:noWrap/>
            <w:tcMar>
              <w:top w:w="0" w:type="dxa"/>
              <w:left w:w="108" w:type="dxa"/>
              <w:bottom w:w="0" w:type="dxa"/>
              <w:right w:w="108" w:type="dxa"/>
            </w:tcMar>
            <w:vAlign w:val="center"/>
          </w:tcPr>
          <w:p w14:paraId="2D2C9CBA">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w:t>
            </w:r>
          </w:p>
        </w:tc>
        <w:tc>
          <w:tcPr>
            <w:tcW w:w="1017" w:type="dxa"/>
            <w:tcBorders>
              <w:bottom w:val="single" w:color="000000" w:sz="8" w:space="0"/>
              <w:right w:val="single" w:color="000000" w:sz="8" w:space="0"/>
            </w:tcBorders>
            <w:noWrap/>
            <w:tcMar>
              <w:top w:w="0" w:type="dxa"/>
              <w:left w:w="108" w:type="dxa"/>
              <w:bottom w:w="0" w:type="dxa"/>
              <w:right w:w="108" w:type="dxa"/>
            </w:tcMar>
            <w:vAlign w:val="center"/>
          </w:tcPr>
          <w:p w14:paraId="3F6957B9">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w:t>
            </w:r>
          </w:p>
        </w:tc>
      </w:tr>
      <w:tr w14:paraId="036F170E">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0" w:type="dxa"/>
            <w:bottom w:w="0" w:type="dxa"/>
            <w:right w:w="0" w:type="dxa"/>
          </w:tblCellMar>
        </w:tblPrEx>
        <w:tc>
          <w:tcPr>
            <w:tcW w:w="6465" w:type="dxa"/>
            <w:gridSpan w:val="3"/>
            <w:tcBorders>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72E68755">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合计得分</w:t>
            </w:r>
          </w:p>
        </w:tc>
        <w:tc>
          <w:tcPr>
            <w:tcW w:w="4002" w:type="dxa"/>
            <w:gridSpan w:val="4"/>
            <w:tcBorders>
              <w:bottom w:val="single" w:color="000000" w:sz="8" w:space="0"/>
              <w:right w:val="single" w:color="000000" w:sz="8" w:space="0"/>
            </w:tcBorders>
            <w:noWrap/>
            <w:tcMar>
              <w:top w:w="0" w:type="dxa"/>
              <w:left w:w="108" w:type="dxa"/>
              <w:bottom w:w="0" w:type="dxa"/>
              <w:right w:w="108" w:type="dxa"/>
            </w:tcMar>
            <w:vAlign w:val="center"/>
          </w:tcPr>
          <w:p w14:paraId="6085B167">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w:t>
            </w:r>
          </w:p>
        </w:tc>
      </w:tr>
      <w:tr w14:paraId="00EF8869">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0" w:type="dxa"/>
            <w:bottom w:w="0" w:type="dxa"/>
            <w:right w:w="0" w:type="dxa"/>
          </w:tblCellMar>
        </w:tblPrEx>
        <w:tc>
          <w:tcPr>
            <w:tcW w:w="10467" w:type="dxa"/>
            <w:gridSpan w:val="7"/>
            <w:tcBorders>
              <w:left w:val="single" w:color="000000" w:sz="8" w:space="0"/>
              <w:bottom w:val="single" w:color="000000" w:sz="8" w:space="0"/>
              <w:right w:val="single" w:color="000000" w:sz="8" w:space="0"/>
            </w:tcBorders>
            <w:noWrap/>
            <w:tcMar>
              <w:top w:w="0" w:type="dxa"/>
              <w:left w:w="108" w:type="dxa"/>
              <w:bottom w:w="0" w:type="dxa"/>
              <w:right w:w="108" w:type="dxa"/>
            </w:tcMar>
            <w:vAlign w:val="center"/>
          </w:tcPr>
          <w:p w14:paraId="2B88BAC2">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养护单位：</w:t>
            </w:r>
          </w:p>
          <w:p w14:paraId="01EA7913">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考核人</w:t>
            </w:r>
            <w:r>
              <w:rPr>
                <w:rFonts w:hint="eastAsia" w:ascii="宋体" w:hAnsi="宋体" w:eastAsia="宋体" w:cs="宋体"/>
                <w:color w:val="auto"/>
                <w:sz w:val="21"/>
                <w:szCs w:val="21"/>
                <w:highlight w:val="none"/>
              </w:rPr>
              <w:t>：</w:t>
            </w:r>
          </w:p>
          <w:p w14:paraId="181A8C6A">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考核方式：明查/暗查</w:t>
            </w:r>
          </w:p>
          <w:p w14:paraId="5D1EFCFA">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考核时间：20   年   月   日</w:t>
            </w:r>
          </w:p>
        </w:tc>
      </w:tr>
    </w:tbl>
    <w:p w14:paraId="46A53E95">
      <w:pPr>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备注：考核路段中如果没有桥梁，则将桥梁设施分值平均分配给车行道和人行道设施。遇两路夹一河情况，河上桥梁列入考核。</w:t>
      </w:r>
    </w:p>
    <w:p w14:paraId="3913D7A8">
      <w:pPr>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1、无桥梁时，车行道分值为45分，人行道分值为45分；</w:t>
      </w:r>
    </w:p>
    <w:p w14:paraId="6931C747">
      <w:pPr>
        <w:pBdr>
          <w:top w:val="none" w:color="000000" w:sz="0" w:space="0"/>
          <w:left w:val="none" w:color="000000" w:sz="0" w:space="0"/>
          <w:bottom w:val="none" w:color="000000" w:sz="0" w:space="0"/>
          <w:right w:val="none" w:color="000000" w:sz="0" w:space="0"/>
        </w:pBdr>
        <w:spacing w:line="360" w:lineRule="auto"/>
        <w:ind w:firstLine="480"/>
        <w:rPr>
          <w:sz w:val="21"/>
          <w:szCs w:val="21"/>
        </w:rPr>
      </w:pPr>
      <w:r>
        <w:rPr>
          <w:rFonts w:hint="eastAsia" w:ascii="宋体" w:hAnsi="宋体" w:eastAsia="宋体" w:cs="宋体"/>
          <w:color w:val="auto"/>
          <w:sz w:val="21"/>
          <w:szCs w:val="21"/>
          <w:highlight w:val="none"/>
        </w:rPr>
        <w:t>2、日常考核使用时，在相应的词语上划“√”</w:t>
      </w:r>
    </w:p>
    <w:p w14:paraId="3029BD61">
      <w:pPr>
        <w:jc w:val="center"/>
        <w:rPr>
          <w:b/>
          <w:color w:val="auto"/>
          <w:sz w:val="24"/>
          <w:szCs w:val="32"/>
          <w:highlight w:val="none"/>
        </w:rPr>
      </w:pPr>
      <w:bookmarkStart w:id="4" w:name="_GoBack"/>
      <w:r>
        <w:rPr>
          <w:rFonts w:hint="eastAsia"/>
          <w:b/>
          <w:color w:val="auto"/>
          <w:sz w:val="24"/>
          <w:szCs w:val="32"/>
          <w:highlight w:val="none"/>
        </w:rPr>
        <w:t>小区及</w:t>
      </w:r>
      <w:r>
        <w:rPr>
          <w:b/>
          <w:color w:val="auto"/>
          <w:sz w:val="24"/>
          <w:szCs w:val="32"/>
          <w:highlight w:val="none"/>
        </w:rPr>
        <w:t>市政道路雨水管网养护考核办法</w:t>
      </w:r>
    </w:p>
    <w:bookmarkEnd w:id="4"/>
    <w:p w14:paraId="4C8E3562">
      <w:pPr>
        <w:pBdr>
          <w:top w:val="none" w:color="000000" w:sz="0" w:space="0"/>
          <w:left w:val="none" w:color="000000" w:sz="0" w:space="0"/>
          <w:bottom w:val="none" w:color="000000" w:sz="0" w:space="0"/>
          <w:right w:val="none" w:color="000000" w:sz="0" w:space="0"/>
        </w:pBdr>
        <w:spacing w:line="360" w:lineRule="auto"/>
        <w:ind w:firstLine="480"/>
        <w:rPr>
          <w:rFonts w:ascii="宋体" w:hAnsi="宋体" w:cs="宋体"/>
          <w:color w:val="auto"/>
          <w:szCs w:val="21"/>
          <w:highlight w:val="none"/>
        </w:rPr>
      </w:pPr>
    </w:p>
    <w:p w14:paraId="6D8A1DBA">
      <w:pPr>
        <w:pBdr>
          <w:top w:val="none" w:color="000000" w:sz="0" w:space="0"/>
          <w:left w:val="none" w:color="000000" w:sz="0" w:space="0"/>
          <w:bottom w:val="none" w:color="000000" w:sz="0" w:space="0"/>
          <w:right w:val="none" w:color="000000" w:sz="0" w:space="0"/>
        </w:pBdr>
        <w:spacing w:line="360" w:lineRule="auto"/>
        <w:ind w:firstLine="480"/>
        <w:rPr>
          <w:color w:val="auto"/>
          <w:szCs w:val="21"/>
          <w:highlight w:val="none"/>
        </w:rPr>
      </w:pPr>
      <w:r>
        <w:rPr>
          <w:rFonts w:ascii="宋体" w:hAnsi="宋体" w:cs="宋体"/>
          <w:color w:val="auto"/>
          <w:szCs w:val="21"/>
          <w:highlight w:val="none"/>
        </w:rPr>
        <w:t>为了充分发挥雨水管网在城市排涝工作中的基础性作用，保障雨水管网设施完好，进一步提高管网养护质量，改善城市水环境质量，促进生态文明，根据相关文件和技术标准，特制定本考核办法。</w:t>
      </w:r>
    </w:p>
    <w:p w14:paraId="002ACC7D">
      <w:pPr>
        <w:pBdr>
          <w:top w:val="none" w:color="000000" w:sz="0" w:space="0"/>
          <w:left w:val="none" w:color="000000" w:sz="0" w:space="0"/>
          <w:bottom w:val="none" w:color="000000" w:sz="0" w:space="0"/>
          <w:right w:val="none" w:color="000000" w:sz="0" w:space="0"/>
        </w:pBdr>
        <w:spacing w:line="360" w:lineRule="auto"/>
        <w:ind w:firstLine="480"/>
        <w:rPr>
          <w:color w:val="auto"/>
          <w:szCs w:val="21"/>
          <w:highlight w:val="none"/>
        </w:rPr>
      </w:pPr>
      <w:r>
        <w:rPr>
          <w:rFonts w:ascii="宋体" w:hAnsi="宋体" w:cs="宋体"/>
          <w:color w:val="auto"/>
          <w:szCs w:val="21"/>
          <w:highlight w:val="none"/>
        </w:rPr>
        <w:t>一、考核范围：</w:t>
      </w:r>
    </w:p>
    <w:p w14:paraId="606F8F4A">
      <w:pPr>
        <w:pBdr>
          <w:top w:val="none" w:color="000000" w:sz="0" w:space="0"/>
          <w:left w:val="none" w:color="000000" w:sz="0" w:space="0"/>
          <w:bottom w:val="none" w:color="000000" w:sz="0" w:space="0"/>
          <w:right w:val="none" w:color="000000" w:sz="0" w:space="0"/>
        </w:pBdr>
        <w:spacing w:line="360" w:lineRule="auto"/>
        <w:ind w:firstLine="480"/>
        <w:rPr>
          <w:color w:val="auto"/>
          <w:szCs w:val="21"/>
          <w:highlight w:val="none"/>
        </w:rPr>
      </w:pPr>
      <w:r>
        <w:rPr>
          <w:rFonts w:hint="eastAsia" w:ascii="宋体" w:hAnsi="宋体" w:cs="宋体"/>
          <w:color w:val="auto"/>
          <w:szCs w:val="21"/>
          <w:highlight w:val="none"/>
          <w:lang w:eastAsia="zh-CN"/>
        </w:rPr>
        <w:t>本项目区域</w:t>
      </w:r>
      <w:r>
        <w:rPr>
          <w:rFonts w:ascii="宋体" w:hAnsi="宋体" w:cs="宋体"/>
          <w:color w:val="auto"/>
          <w:szCs w:val="21"/>
          <w:highlight w:val="none"/>
        </w:rPr>
        <w:t xml:space="preserve">范围内的雨水管网 </w:t>
      </w:r>
    </w:p>
    <w:p w14:paraId="0FBF234E">
      <w:pPr>
        <w:pBdr>
          <w:top w:val="none" w:color="000000" w:sz="0" w:space="0"/>
          <w:left w:val="none" w:color="000000" w:sz="0" w:space="0"/>
          <w:bottom w:val="none" w:color="000000" w:sz="0" w:space="0"/>
          <w:right w:val="none" w:color="000000" w:sz="0" w:space="0"/>
        </w:pBdr>
        <w:spacing w:line="360" w:lineRule="auto"/>
        <w:ind w:firstLine="480"/>
        <w:rPr>
          <w:color w:val="auto"/>
          <w:szCs w:val="21"/>
          <w:highlight w:val="none"/>
        </w:rPr>
      </w:pPr>
      <w:r>
        <w:rPr>
          <w:rFonts w:ascii="宋体" w:hAnsi="宋体" w:cs="宋体"/>
          <w:color w:val="auto"/>
          <w:szCs w:val="21"/>
          <w:highlight w:val="none"/>
        </w:rPr>
        <w:t>二、考核对象</w:t>
      </w:r>
    </w:p>
    <w:p w14:paraId="1F41C9FF">
      <w:pPr>
        <w:pBdr>
          <w:top w:val="none" w:color="000000" w:sz="0" w:space="0"/>
          <w:left w:val="none" w:color="000000" w:sz="0" w:space="0"/>
          <w:bottom w:val="none" w:color="000000" w:sz="0" w:space="0"/>
          <w:right w:val="none" w:color="000000" w:sz="0" w:space="0"/>
        </w:pBdr>
        <w:spacing w:line="360" w:lineRule="auto"/>
        <w:ind w:firstLine="480"/>
        <w:rPr>
          <w:color w:val="auto"/>
          <w:szCs w:val="21"/>
          <w:highlight w:val="none"/>
        </w:rPr>
      </w:pPr>
      <w:r>
        <w:rPr>
          <w:rFonts w:ascii="宋体" w:hAnsi="宋体" w:cs="宋体"/>
          <w:color w:val="auto"/>
          <w:szCs w:val="21"/>
          <w:highlight w:val="none"/>
        </w:rPr>
        <w:t>以上范围内雨水管网养护单位均为考核对象。</w:t>
      </w:r>
    </w:p>
    <w:p w14:paraId="7AA6F741">
      <w:pPr>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cs="宋体"/>
          <w:color w:val="auto"/>
          <w:szCs w:val="21"/>
          <w:highlight w:val="none"/>
        </w:rPr>
      </w:pPr>
      <w:r>
        <w:rPr>
          <w:rFonts w:ascii="宋体" w:hAnsi="宋体" w:cs="宋体"/>
          <w:color w:val="auto"/>
          <w:szCs w:val="21"/>
          <w:highlight w:val="none"/>
        </w:rPr>
        <w:t>三、考核内容和标准</w:t>
      </w:r>
    </w:p>
    <w:p w14:paraId="5B62FE5C">
      <w:pPr>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cs="宋体"/>
          <w:color w:val="auto"/>
          <w:szCs w:val="21"/>
          <w:highlight w:val="none"/>
        </w:rPr>
      </w:pPr>
      <w:r>
        <w:rPr>
          <w:rFonts w:ascii="宋体" w:hAnsi="宋体" w:cs="宋体"/>
          <w:color w:val="auto"/>
          <w:szCs w:val="21"/>
          <w:highlight w:val="none"/>
        </w:rPr>
        <w:t>从项目管理、人员及设备管理、作业要求、工单及信访处置要求、服务态度等5个方面进行考核。</w:t>
      </w:r>
    </w:p>
    <w:p w14:paraId="0153D11D">
      <w:pPr>
        <w:pBdr>
          <w:top w:val="none" w:color="000000" w:sz="0" w:space="0"/>
          <w:left w:val="none" w:color="000000" w:sz="0" w:space="0"/>
          <w:bottom w:val="none" w:color="000000" w:sz="0" w:space="0"/>
          <w:right w:val="none" w:color="000000" w:sz="0" w:space="0"/>
        </w:pBdr>
        <w:spacing w:line="360" w:lineRule="auto"/>
        <w:ind w:firstLine="480"/>
        <w:rPr>
          <w:color w:val="auto"/>
          <w:szCs w:val="21"/>
          <w:highlight w:val="none"/>
        </w:rPr>
      </w:pPr>
      <w:r>
        <w:rPr>
          <w:rFonts w:ascii="宋体" w:hAnsi="宋体" w:cs="宋体"/>
          <w:color w:val="auto"/>
          <w:szCs w:val="21"/>
          <w:highlight w:val="none"/>
        </w:rPr>
        <w:t>1、考核标准</w:t>
      </w:r>
    </w:p>
    <w:p w14:paraId="11032313">
      <w:pPr>
        <w:pBdr>
          <w:top w:val="none" w:color="000000" w:sz="0" w:space="0"/>
          <w:left w:val="none" w:color="000000" w:sz="0" w:space="0"/>
          <w:bottom w:val="none" w:color="000000" w:sz="0" w:space="0"/>
          <w:right w:val="none" w:color="000000" w:sz="0" w:space="0"/>
        </w:pBdr>
        <w:spacing w:line="360" w:lineRule="auto"/>
        <w:ind w:left="480" w:right="56"/>
        <w:rPr>
          <w:color w:val="auto"/>
          <w:szCs w:val="21"/>
          <w:highlight w:val="none"/>
        </w:rPr>
      </w:pPr>
      <w:r>
        <w:rPr>
          <w:rFonts w:ascii="宋体" w:hAnsi="宋体" w:cs="宋体"/>
          <w:color w:val="auto"/>
          <w:szCs w:val="21"/>
          <w:highlight w:val="none"/>
        </w:rPr>
        <w:t>(1)疏挖考核结果判定</w:t>
      </w:r>
    </w:p>
    <w:p w14:paraId="76CC339E">
      <w:pPr>
        <w:pBdr>
          <w:top w:val="none" w:color="000000" w:sz="0" w:space="0"/>
          <w:left w:val="none" w:color="000000" w:sz="0" w:space="0"/>
          <w:bottom w:val="none" w:color="000000" w:sz="0" w:space="0"/>
          <w:right w:val="none" w:color="000000" w:sz="0" w:space="0"/>
        </w:pBdr>
        <w:spacing w:line="360" w:lineRule="auto"/>
        <w:ind w:left="480" w:right="56"/>
        <w:rPr>
          <w:color w:val="auto"/>
          <w:szCs w:val="21"/>
          <w:highlight w:val="none"/>
        </w:rPr>
      </w:pPr>
      <w:r>
        <w:rPr>
          <w:rFonts w:ascii="宋体" w:hAnsi="宋体" w:cs="宋体"/>
          <w:color w:val="auto"/>
          <w:szCs w:val="21"/>
          <w:highlight w:val="none"/>
        </w:rPr>
        <w:t>考核结果以疏挖完成后雨水井内残留淤泥厚度为基准进行评判，按照不同</w:t>
      </w:r>
    </w:p>
    <w:p w14:paraId="1C0C2E3C">
      <w:pPr>
        <w:pBdr>
          <w:top w:val="none" w:color="000000" w:sz="0" w:space="0"/>
          <w:left w:val="none" w:color="000000" w:sz="0" w:space="0"/>
          <w:bottom w:val="none" w:color="000000" w:sz="0" w:space="0"/>
          <w:right w:val="none" w:color="000000" w:sz="0" w:space="0"/>
        </w:pBdr>
        <w:spacing w:line="360" w:lineRule="auto"/>
        <w:ind w:right="56"/>
        <w:rPr>
          <w:color w:val="auto"/>
          <w:szCs w:val="21"/>
          <w:highlight w:val="none"/>
        </w:rPr>
      </w:pPr>
      <w:r>
        <w:rPr>
          <w:rFonts w:ascii="宋体" w:hAnsi="宋体" w:cs="宋体"/>
          <w:color w:val="auto"/>
          <w:szCs w:val="21"/>
          <w:highlight w:val="none"/>
        </w:rPr>
        <w:t>淤泥厚度分为合格、不合格与未挖（下述表格）。</w:t>
      </w:r>
    </w:p>
    <w:tbl>
      <w:tblPr>
        <w:tblStyle w:val="7"/>
        <w:tblW w:w="0" w:type="auto"/>
        <w:tblInd w:w="675"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CellMar>
          <w:top w:w="0" w:type="dxa"/>
          <w:left w:w="0" w:type="dxa"/>
          <w:bottom w:w="0" w:type="dxa"/>
          <w:right w:w="0" w:type="dxa"/>
        </w:tblCellMar>
      </w:tblPr>
      <w:tblGrid>
        <w:gridCol w:w="2008"/>
        <w:gridCol w:w="1635"/>
        <w:gridCol w:w="2700"/>
        <w:gridCol w:w="1504"/>
      </w:tblGrid>
      <w:tr w14:paraId="2BD84B66">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0" w:type="dxa"/>
            <w:bottom w:w="0" w:type="dxa"/>
            <w:right w:w="0" w:type="dxa"/>
          </w:tblCellMar>
        </w:tblPrEx>
        <w:tc>
          <w:tcPr>
            <w:tcW w:w="2127"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32F52BE2">
            <w:pPr>
              <w:pBdr>
                <w:top w:val="none" w:color="000000" w:sz="0" w:space="0"/>
                <w:left w:val="none" w:color="000000" w:sz="0" w:space="0"/>
                <w:bottom w:val="none" w:color="000000" w:sz="0" w:space="0"/>
                <w:right w:val="none" w:color="000000" w:sz="0" w:space="0"/>
              </w:pBdr>
              <w:spacing w:line="360" w:lineRule="auto"/>
              <w:ind w:right="56" w:firstLine="480"/>
              <w:jc w:val="center"/>
              <w:rPr>
                <w:color w:val="auto"/>
                <w:szCs w:val="21"/>
                <w:highlight w:val="none"/>
              </w:rPr>
            </w:pPr>
            <w:r>
              <w:rPr>
                <w:rFonts w:ascii="宋体" w:hAnsi="宋体" w:cs="宋体"/>
                <w:color w:val="auto"/>
                <w:szCs w:val="21"/>
                <w:highlight w:val="none"/>
              </w:rPr>
              <w:t>判定结果</w:t>
            </w:r>
          </w:p>
        </w:tc>
        <w:tc>
          <w:tcPr>
            <w:tcW w:w="1706" w:type="dxa"/>
            <w:tcBorders>
              <w:top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32F2EB02">
            <w:pPr>
              <w:pBdr>
                <w:top w:val="none" w:color="000000" w:sz="0" w:space="0"/>
                <w:left w:val="none" w:color="000000" w:sz="0" w:space="0"/>
                <w:bottom w:val="none" w:color="000000" w:sz="0" w:space="0"/>
                <w:right w:val="none" w:color="000000" w:sz="0" w:space="0"/>
              </w:pBdr>
              <w:spacing w:line="360" w:lineRule="auto"/>
              <w:ind w:right="56"/>
              <w:rPr>
                <w:color w:val="auto"/>
                <w:szCs w:val="21"/>
                <w:highlight w:val="none"/>
              </w:rPr>
            </w:pPr>
            <w:r>
              <w:rPr>
                <w:rFonts w:ascii="宋体" w:hAnsi="宋体" w:cs="宋体"/>
                <w:color w:val="auto"/>
                <w:szCs w:val="21"/>
                <w:highlight w:val="none"/>
              </w:rPr>
              <w:t>合格</w:t>
            </w:r>
          </w:p>
        </w:tc>
        <w:tc>
          <w:tcPr>
            <w:tcW w:w="2897" w:type="dxa"/>
            <w:tcBorders>
              <w:top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6A742465">
            <w:pPr>
              <w:pBdr>
                <w:top w:val="none" w:color="000000" w:sz="0" w:space="0"/>
                <w:left w:val="none" w:color="000000" w:sz="0" w:space="0"/>
                <w:bottom w:val="none" w:color="000000" w:sz="0" w:space="0"/>
                <w:right w:val="none" w:color="000000" w:sz="0" w:space="0"/>
              </w:pBdr>
              <w:spacing w:line="360" w:lineRule="auto"/>
              <w:ind w:right="56" w:firstLine="480"/>
              <w:rPr>
                <w:color w:val="auto"/>
                <w:szCs w:val="21"/>
                <w:highlight w:val="none"/>
              </w:rPr>
            </w:pPr>
            <w:r>
              <w:rPr>
                <w:rFonts w:ascii="宋体" w:hAnsi="宋体" w:cs="宋体"/>
                <w:color w:val="auto"/>
                <w:szCs w:val="21"/>
                <w:highlight w:val="none"/>
              </w:rPr>
              <w:t>不合格</w:t>
            </w:r>
          </w:p>
        </w:tc>
        <w:tc>
          <w:tcPr>
            <w:tcW w:w="1566" w:type="dxa"/>
            <w:tcBorders>
              <w:top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66B3E2CC">
            <w:pPr>
              <w:pBdr>
                <w:top w:val="none" w:color="000000" w:sz="0" w:space="0"/>
                <w:left w:val="none" w:color="000000" w:sz="0" w:space="0"/>
                <w:bottom w:val="none" w:color="000000" w:sz="0" w:space="0"/>
                <w:right w:val="none" w:color="000000" w:sz="0" w:space="0"/>
              </w:pBdr>
              <w:spacing w:line="360" w:lineRule="auto"/>
              <w:ind w:right="56" w:firstLine="480"/>
              <w:jc w:val="center"/>
              <w:rPr>
                <w:color w:val="auto"/>
                <w:szCs w:val="21"/>
                <w:highlight w:val="none"/>
              </w:rPr>
            </w:pPr>
            <w:r>
              <w:rPr>
                <w:rFonts w:ascii="宋体" w:hAnsi="宋体" w:cs="宋体"/>
                <w:color w:val="auto"/>
                <w:szCs w:val="21"/>
                <w:highlight w:val="none"/>
              </w:rPr>
              <w:t>未挖</w:t>
            </w:r>
          </w:p>
        </w:tc>
      </w:tr>
      <w:tr w14:paraId="4B63C29E">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0" w:type="dxa"/>
            <w:bottom w:w="0" w:type="dxa"/>
            <w:right w:w="0" w:type="dxa"/>
          </w:tblCellMar>
        </w:tblPrEx>
        <w:tc>
          <w:tcPr>
            <w:tcW w:w="2127" w:type="dxa"/>
            <w:tcBorders>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40D6A833">
            <w:pPr>
              <w:pBdr>
                <w:top w:val="none" w:color="000000" w:sz="0" w:space="0"/>
                <w:left w:val="none" w:color="000000" w:sz="0" w:space="0"/>
                <w:bottom w:val="none" w:color="000000" w:sz="0" w:space="0"/>
                <w:right w:val="none" w:color="000000" w:sz="0" w:space="0"/>
              </w:pBdr>
              <w:spacing w:line="360" w:lineRule="auto"/>
              <w:ind w:right="56" w:firstLine="480"/>
              <w:jc w:val="center"/>
              <w:rPr>
                <w:color w:val="auto"/>
                <w:szCs w:val="21"/>
                <w:highlight w:val="none"/>
              </w:rPr>
            </w:pPr>
            <w:r>
              <w:rPr>
                <w:rFonts w:ascii="宋体" w:hAnsi="宋体" w:cs="宋体"/>
                <w:color w:val="auto"/>
                <w:szCs w:val="21"/>
                <w:highlight w:val="none"/>
              </w:rPr>
              <w:t>淤泥厚度(cm)</w:t>
            </w:r>
          </w:p>
        </w:tc>
        <w:tc>
          <w:tcPr>
            <w:tcW w:w="1706" w:type="dxa"/>
            <w:tcBorders>
              <w:bottom w:val="single" w:color="000000" w:sz="8" w:space="0"/>
              <w:right w:val="single" w:color="000000" w:sz="8" w:space="0"/>
            </w:tcBorders>
            <w:noWrap w:val="0"/>
            <w:tcMar>
              <w:top w:w="0" w:type="dxa"/>
              <w:left w:w="108" w:type="dxa"/>
              <w:bottom w:w="0" w:type="dxa"/>
              <w:right w:w="108" w:type="dxa"/>
            </w:tcMar>
            <w:vAlign w:val="center"/>
          </w:tcPr>
          <w:p w14:paraId="1F075669">
            <w:pPr>
              <w:pBdr>
                <w:top w:val="none" w:color="000000" w:sz="0" w:space="0"/>
                <w:left w:val="none" w:color="000000" w:sz="0" w:space="0"/>
                <w:bottom w:val="none" w:color="000000" w:sz="0" w:space="0"/>
                <w:right w:val="none" w:color="000000" w:sz="0" w:space="0"/>
              </w:pBdr>
              <w:spacing w:line="360" w:lineRule="auto"/>
              <w:ind w:right="56"/>
              <w:rPr>
                <w:color w:val="auto"/>
                <w:szCs w:val="21"/>
                <w:highlight w:val="none"/>
              </w:rPr>
            </w:pPr>
            <w:r>
              <w:rPr>
                <w:rFonts w:ascii="宋体" w:hAnsi="宋体" w:cs="宋体"/>
                <w:color w:val="auto"/>
                <w:szCs w:val="21"/>
                <w:highlight w:val="none"/>
              </w:rPr>
              <w:t>0—8(含8)</w:t>
            </w:r>
          </w:p>
        </w:tc>
        <w:tc>
          <w:tcPr>
            <w:tcW w:w="2897" w:type="dxa"/>
            <w:tcBorders>
              <w:bottom w:val="single" w:color="000000" w:sz="8" w:space="0"/>
              <w:right w:val="single" w:color="000000" w:sz="8" w:space="0"/>
            </w:tcBorders>
            <w:noWrap w:val="0"/>
            <w:tcMar>
              <w:top w:w="0" w:type="dxa"/>
              <w:left w:w="108" w:type="dxa"/>
              <w:bottom w:w="0" w:type="dxa"/>
              <w:right w:w="108" w:type="dxa"/>
            </w:tcMar>
            <w:vAlign w:val="center"/>
          </w:tcPr>
          <w:p w14:paraId="2E93DD5B">
            <w:pPr>
              <w:pBdr>
                <w:top w:val="none" w:color="000000" w:sz="0" w:space="0"/>
                <w:left w:val="none" w:color="000000" w:sz="0" w:space="0"/>
                <w:bottom w:val="none" w:color="000000" w:sz="0" w:space="0"/>
                <w:right w:val="none" w:color="000000" w:sz="0" w:space="0"/>
              </w:pBdr>
              <w:spacing w:line="360" w:lineRule="auto"/>
              <w:ind w:right="56"/>
              <w:rPr>
                <w:color w:val="auto"/>
                <w:szCs w:val="21"/>
                <w:highlight w:val="none"/>
              </w:rPr>
            </w:pPr>
            <w:r>
              <w:rPr>
                <w:rFonts w:ascii="宋体" w:hAnsi="宋体" w:cs="宋体"/>
                <w:color w:val="auto"/>
                <w:szCs w:val="21"/>
                <w:highlight w:val="none"/>
              </w:rPr>
              <w:t>8(不含8)—20 (含20)</w:t>
            </w:r>
          </w:p>
        </w:tc>
        <w:tc>
          <w:tcPr>
            <w:tcW w:w="1566" w:type="dxa"/>
            <w:tcBorders>
              <w:bottom w:val="single" w:color="000000" w:sz="8" w:space="0"/>
              <w:right w:val="single" w:color="000000" w:sz="8" w:space="0"/>
            </w:tcBorders>
            <w:noWrap w:val="0"/>
            <w:tcMar>
              <w:top w:w="0" w:type="dxa"/>
              <w:left w:w="108" w:type="dxa"/>
              <w:bottom w:w="0" w:type="dxa"/>
              <w:right w:w="108" w:type="dxa"/>
            </w:tcMar>
            <w:vAlign w:val="center"/>
          </w:tcPr>
          <w:p w14:paraId="33C7A850">
            <w:pPr>
              <w:pBdr>
                <w:top w:val="none" w:color="000000" w:sz="0" w:space="0"/>
                <w:left w:val="none" w:color="000000" w:sz="0" w:space="0"/>
                <w:bottom w:val="none" w:color="000000" w:sz="0" w:space="0"/>
                <w:right w:val="none" w:color="000000" w:sz="0" w:space="0"/>
              </w:pBdr>
              <w:spacing w:line="360" w:lineRule="auto"/>
              <w:ind w:right="56" w:firstLine="480"/>
              <w:jc w:val="center"/>
              <w:rPr>
                <w:color w:val="auto"/>
                <w:szCs w:val="21"/>
                <w:highlight w:val="none"/>
              </w:rPr>
            </w:pPr>
            <w:r>
              <w:rPr>
                <w:rFonts w:ascii="宋体" w:hAnsi="宋体" w:cs="宋体"/>
                <w:color w:val="auto"/>
                <w:szCs w:val="21"/>
                <w:highlight w:val="none"/>
              </w:rPr>
              <w:t>超过20</w:t>
            </w:r>
          </w:p>
        </w:tc>
      </w:tr>
    </w:tbl>
    <w:p w14:paraId="5369482B">
      <w:pPr>
        <w:pBdr>
          <w:top w:val="none" w:color="000000" w:sz="0" w:space="0"/>
          <w:left w:val="none" w:color="000000" w:sz="0" w:space="0"/>
          <w:bottom w:val="none" w:color="000000" w:sz="0" w:space="0"/>
          <w:right w:val="none" w:color="000000" w:sz="0" w:space="0"/>
        </w:pBdr>
        <w:spacing w:line="360" w:lineRule="auto"/>
        <w:ind w:firstLine="480"/>
        <w:rPr>
          <w:color w:val="auto"/>
          <w:szCs w:val="21"/>
          <w:highlight w:val="none"/>
        </w:rPr>
      </w:pPr>
      <w:r>
        <w:rPr>
          <w:rFonts w:ascii="宋体" w:hAnsi="宋体" w:cs="宋体"/>
          <w:color w:val="auto"/>
          <w:szCs w:val="21"/>
          <w:highlight w:val="none"/>
        </w:rPr>
        <w:t>①单井不合格：1座雨水窨井（边井）不合格</w:t>
      </w:r>
    </w:p>
    <w:p w14:paraId="0E47A3F1">
      <w:pPr>
        <w:pBdr>
          <w:top w:val="none" w:color="000000" w:sz="0" w:space="0"/>
          <w:left w:val="none" w:color="000000" w:sz="0" w:space="0"/>
          <w:bottom w:val="none" w:color="000000" w:sz="0" w:space="0"/>
          <w:right w:val="none" w:color="000000" w:sz="0" w:space="0"/>
        </w:pBdr>
        <w:spacing w:line="360" w:lineRule="auto"/>
        <w:ind w:firstLine="480"/>
        <w:rPr>
          <w:color w:val="auto"/>
          <w:szCs w:val="21"/>
          <w:highlight w:val="none"/>
        </w:rPr>
      </w:pPr>
      <w:r>
        <w:rPr>
          <w:rFonts w:ascii="宋体" w:hAnsi="宋体" w:cs="宋体"/>
          <w:color w:val="auto"/>
          <w:szCs w:val="21"/>
          <w:highlight w:val="none"/>
        </w:rPr>
        <w:t>②局部路段不合格：发生以下情形，则认定该路段局部路段不合格</w:t>
      </w:r>
    </w:p>
    <w:p w14:paraId="4E8476F4">
      <w:pPr>
        <w:pBdr>
          <w:top w:val="none" w:color="000000" w:sz="0" w:space="0"/>
          <w:left w:val="none" w:color="000000" w:sz="0" w:space="0"/>
          <w:bottom w:val="none" w:color="000000" w:sz="0" w:space="0"/>
          <w:right w:val="none" w:color="000000" w:sz="0" w:space="0"/>
        </w:pBdr>
        <w:spacing w:line="360" w:lineRule="auto"/>
        <w:ind w:firstLine="480"/>
        <w:rPr>
          <w:color w:val="auto"/>
          <w:szCs w:val="21"/>
          <w:highlight w:val="none"/>
        </w:rPr>
      </w:pPr>
      <w:r>
        <w:rPr>
          <w:rFonts w:ascii="宋体" w:hAnsi="宋体" w:cs="宋体"/>
          <w:color w:val="auto"/>
          <w:szCs w:val="21"/>
          <w:highlight w:val="none"/>
        </w:rPr>
        <w:t>注：“局部路段”指全路段中，两条道路之间（路口归入本局部路段中）的部分。</w:t>
      </w:r>
    </w:p>
    <w:p w14:paraId="3A37310C">
      <w:pPr>
        <w:pBdr>
          <w:top w:val="none" w:color="000000" w:sz="0" w:space="0"/>
          <w:left w:val="none" w:color="000000" w:sz="0" w:space="0"/>
          <w:bottom w:val="none" w:color="000000" w:sz="0" w:space="0"/>
          <w:right w:val="none" w:color="000000" w:sz="0" w:space="0"/>
        </w:pBdr>
        <w:spacing w:line="360" w:lineRule="auto"/>
        <w:ind w:firstLine="480"/>
        <w:rPr>
          <w:color w:val="auto"/>
          <w:szCs w:val="21"/>
          <w:highlight w:val="none"/>
        </w:rPr>
      </w:pPr>
      <w:r>
        <w:rPr>
          <w:rFonts w:ascii="宋体" w:hAnsi="宋体" w:cs="宋体"/>
          <w:color w:val="auto"/>
          <w:szCs w:val="21"/>
          <w:highlight w:val="none"/>
        </w:rPr>
        <w:t>●3座及以上连续雨水窨井（边井）不合格；</w:t>
      </w:r>
    </w:p>
    <w:p w14:paraId="25A87472">
      <w:pPr>
        <w:pBdr>
          <w:top w:val="none" w:color="000000" w:sz="0" w:space="0"/>
          <w:left w:val="none" w:color="000000" w:sz="0" w:space="0"/>
          <w:bottom w:val="none" w:color="000000" w:sz="0" w:space="0"/>
          <w:right w:val="none" w:color="000000" w:sz="0" w:space="0"/>
        </w:pBdr>
        <w:spacing w:line="360" w:lineRule="auto"/>
        <w:ind w:firstLine="480"/>
        <w:rPr>
          <w:color w:val="auto"/>
          <w:szCs w:val="21"/>
          <w:highlight w:val="none"/>
        </w:rPr>
      </w:pPr>
      <w:r>
        <w:rPr>
          <w:rFonts w:ascii="宋体" w:hAnsi="宋体" w:cs="宋体"/>
          <w:color w:val="auto"/>
          <w:szCs w:val="21"/>
          <w:highlight w:val="none"/>
        </w:rPr>
        <w:t>●单井不合格数量累计5个及以上；</w:t>
      </w:r>
    </w:p>
    <w:p w14:paraId="28948FAE">
      <w:pPr>
        <w:pBdr>
          <w:top w:val="none" w:color="000000" w:sz="0" w:space="0"/>
          <w:left w:val="none" w:color="000000" w:sz="0" w:space="0"/>
          <w:bottom w:val="none" w:color="000000" w:sz="0" w:space="0"/>
          <w:right w:val="none" w:color="000000" w:sz="0" w:space="0"/>
        </w:pBdr>
        <w:spacing w:line="360" w:lineRule="auto"/>
        <w:ind w:firstLine="480"/>
        <w:rPr>
          <w:color w:val="auto"/>
          <w:szCs w:val="21"/>
          <w:highlight w:val="none"/>
        </w:rPr>
      </w:pPr>
      <w:r>
        <w:rPr>
          <w:rFonts w:ascii="宋体" w:hAnsi="宋体" w:cs="宋体"/>
          <w:color w:val="auto"/>
          <w:szCs w:val="21"/>
          <w:highlight w:val="none"/>
        </w:rPr>
        <w:t>③全路段不合格：两条及以上局部路段不合格</w:t>
      </w:r>
    </w:p>
    <w:p w14:paraId="2EDE590B">
      <w:pPr>
        <w:pBdr>
          <w:top w:val="none" w:color="000000" w:sz="0" w:space="0"/>
          <w:left w:val="none" w:color="000000" w:sz="0" w:space="0"/>
          <w:bottom w:val="none" w:color="000000" w:sz="0" w:space="0"/>
          <w:right w:val="none" w:color="000000" w:sz="0" w:space="0"/>
        </w:pBdr>
        <w:spacing w:line="360" w:lineRule="auto"/>
        <w:ind w:right="56" w:firstLine="480"/>
        <w:rPr>
          <w:color w:val="auto"/>
          <w:szCs w:val="21"/>
          <w:highlight w:val="none"/>
        </w:rPr>
      </w:pPr>
      <w:r>
        <w:rPr>
          <w:rFonts w:ascii="宋体" w:hAnsi="宋体" w:cs="宋体"/>
          <w:color w:val="auto"/>
          <w:szCs w:val="21"/>
          <w:highlight w:val="none"/>
        </w:rPr>
        <w:t>(2)疏通考核结果判定</w:t>
      </w:r>
    </w:p>
    <w:p w14:paraId="1EB33BBD">
      <w:pPr>
        <w:pBdr>
          <w:top w:val="none" w:color="000000" w:sz="0" w:space="0"/>
          <w:left w:val="none" w:color="000000" w:sz="0" w:space="0"/>
          <w:bottom w:val="none" w:color="000000" w:sz="0" w:space="0"/>
          <w:right w:val="none" w:color="000000" w:sz="0" w:space="0"/>
        </w:pBdr>
        <w:spacing w:line="360" w:lineRule="auto"/>
        <w:ind w:right="56" w:firstLine="480"/>
        <w:rPr>
          <w:color w:val="auto"/>
          <w:szCs w:val="21"/>
          <w:highlight w:val="none"/>
        </w:rPr>
      </w:pPr>
      <w:r>
        <w:rPr>
          <w:rFonts w:ascii="宋体" w:hAnsi="宋体" w:cs="宋体"/>
          <w:color w:val="auto"/>
          <w:szCs w:val="21"/>
          <w:highlight w:val="none"/>
        </w:rPr>
        <w:t>①单段不合格：</w:t>
      </w:r>
    </w:p>
    <w:tbl>
      <w:tblPr>
        <w:tblStyle w:val="7"/>
        <w:tblW w:w="0" w:type="auto"/>
        <w:tblInd w:w="675"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CellMar>
          <w:top w:w="0" w:type="dxa"/>
          <w:left w:w="0" w:type="dxa"/>
          <w:bottom w:w="0" w:type="dxa"/>
          <w:right w:w="0" w:type="dxa"/>
        </w:tblCellMar>
      </w:tblPr>
      <w:tblGrid>
        <w:gridCol w:w="4124"/>
        <w:gridCol w:w="3723"/>
      </w:tblGrid>
      <w:tr w14:paraId="33917D0D">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0" w:type="dxa"/>
            <w:bottom w:w="0" w:type="dxa"/>
            <w:right w:w="0" w:type="dxa"/>
          </w:tblCellMar>
        </w:tblPrEx>
        <w:tc>
          <w:tcPr>
            <w:tcW w:w="4395"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34840ECD">
            <w:pPr>
              <w:pBdr>
                <w:top w:val="none" w:color="000000" w:sz="0" w:space="0"/>
                <w:left w:val="none" w:color="000000" w:sz="0" w:space="0"/>
                <w:bottom w:val="none" w:color="000000" w:sz="0" w:space="0"/>
                <w:right w:val="none" w:color="000000" w:sz="0" w:space="0"/>
              </w:pBdr>
              <w:spacing w:line="360" w:lineRule="auto"/>
              <w:ind w:right="56" w:firstLine="480"/>
              <w:rPr>
                <w:color w:val="auto"/>
                <w:szCs w:val="21"/>
                <w:highlight w:val="none"/>
              </w:rPr>
            </w:pPr>
            <w:r>
              <w:rPr>
                <w:rFonts w:ascii="宋体" w:hAnsi="宋体" w:cs="宋体"/>
                <w:color w:val="auto"/>
                <w:szCs w:val="21"/>
                <w:highlight w:val="none"/>
              </w:rPr>
              <w:t>干管单段不合格</w:t>
            </w:r>
          </w:p>
        </w:tc>
        <w:tc>
          <w:tcPr>
            <w:tcW w:w="3969" w:type="dxa"/>
            <w:tcBorders>
              <w:top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3FF6FE3E">
            <w:pPr>
              <w:pBdr>
                <w:top w:val="none" w:color="000000" w:sz="0" w:space="0"/>
                <w:left w:val="none" w:color="000000" w:sz="0" w:space="0"/>
                <w:bottom w:val="none" w:color="000000" w:sz="0" w:space="0"/>
                <w:right w:val="none" w:color="000000" w:sz="0" w:space="0"/>
              </w:pBdr>
              <w:spacing w:line="360" w:lineRule="auto"/>
              <w:ind w:right="56" w:firstLine="480"/>
              <w:rPr>
                <w:color w:val="auto"/>
                <w:szCs w:val="21"/>
                <w:highlight w:val="none"/>
              </w:rPr>
            </w:pPr>
            <w:r>
              <w:rPr>
                <w:rFonts w:ascii="宋体" w:hAnsi="宋体" w:cs="宋体"/>
                <w:color w:val="auto"/>
                <w:szCs w:val="21"/>
                <w:highlight w:val="none"/>
              </w:rPr>
              <w:t>1段雨水干管不合格</w:t>
            </w:r>
          </w:p>
        </w:tc>
      </w:tr>
      <w:tr w14:paraId="6DB0E303">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0" w:type="dxa"/>
            <w:bottom w:w="0" w:type="dxa"/>
            <w:right w:w="0" w:type="dxa"/>
          </w:tblCellMar>
        </w:tblPrEx>
        <w:tc>
          <w:tcPr>
            <w:tcW w:w="4395" w:type="dxa"/>
            <w:tcBorders>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1DAC7762">
            <w:pPr>
              <w:pBdr>
                <w:top w:val="none" w:color="000000" w:sz="0" w:space="0"/>
                <w:left w:val="none" w:color="000000" w:sz="0" w:space="0"/>
                <w:bottom w:val="none" w:color="000000" w:sz="0" w:space="0"/>
                <w:right w:val="none" w:color="000000" w:sz="0" w:space="0"/>
              </w:pBdr>
              <w:spacing w:line="360" w:lineRule="auto"/>
              <w:ind w:right="56" w:firstLine="480"/>
              <w:rPr>
                <w:color w:val="auto"/>
                <w:szCs w:val="21"/>
                <w:highlight w:val="none"/>
              </w:rPr>
            </w:pPr>
            <w:r>
              <w:rPr>
                <w:rFonts w:ascii="宋体" w:hAnsi="宋体" w:cs="宋体"/>
                <w:color w:val="auto"/>
                <w:szCs w:val="21"/>
                <w:highlight w:val="none"/>
              </w:rPr>
              <w:t>管网单段不合格</w:t>
            </w:r>
          </w:p>
        </w:tc>
        <w:tc>
          <w:tcPr>
            <w:tcW w:w="3969" w:type="dxa"/>
            <w:tcBorders>
              <w:bottom w:val="single" w:color="000000" w:sz="8" w:space="0"/>
              <w:right w:val="single" w:color="000000" w:sz="8" w:space="0"/>
            </w:tcBorders>
            <w:noWrap w:val="0"/>
            <w:tcMar>
              <w:top w:w="0" w:type="dxa"/>
              <w:left w:w="108" w:type="dxa"/>
              <w:bottom w:w="0" w:type="dxa"/>
              <w:right w:w="108" w:type="dxa"/>
            </w:tcMar>
            <w:vAlign w:val="top"/>
          </w:tcPr>
          <w:p w14:paraId="00665E3F">
            <w:pPr>
              <w:pBdr>
                <w:top w:val="none" w:color="000000" w:sz="0" w:space="0"/>
                <w:left w:val="none" w:color="000000" w:sz="0" w:space="0"/>
                <w:bottom w:val="none" w:color="000000" w:sz="0" w:space="0"/>
                <w:right w:val="none" w:color="000000" w:sz="0" w:space="0"/>
              </w:pBdr>
              <w:spacing w:line="360" w:lineRule="auto"/>
              <w:ind w:right="56" w:firstLine="480"/>
              <w:rPr>
                <w:color w:val="auto"/>
                <w:szCs w:val="21"/>
                <w:highlight w:val="none"/>
              </w:rPr>
            </w:pPr>
            <w:r>
              <w:rPr>
                <w:rFonts w:ascii="宋体" w:hAnsi="宋体" w:cs="宋体"/>
                <w:color w:val="auto"/>
                <w:szCs w:val="21"/>
                <w:highlight w:val="none"/>
              </w:rPr>
              <w:t>1段雨水管网不合格</w:t>
            </w:r>
          </w:p>
        </w:tc>
      </w:tr>
    </w:tbl>
    <w:p w14:paraId="5CC5E989">
      <w:pPr>
        <w:pBdr>
          <w:top w:val="none" w:color="000000" w:sz="0" w:space="0"/>
          <w:left w:val="none" w:color="000000" w:sz="0" w:space="0"/>
          <w:bottom w:val="none" w:color="000000" w:sz="0" w:space="0"/>
          <w:right w:val="none" w:color="000000" w:sz="0" w:space="0"/>
        </w:pBdr>
        <w:spacing w:line="360" w:lineRule="auto"/>
        <w:ind w:right="56" w:firstLine="480"/>
        <w:rPr>
          <w:color w:val="auto"/>
          <w:szCs w:val="21"/>
          <w:highlight w:val="none"/>
        </w:rPr>
      </w:pPr>
      <w:r>
        <w:rPr>
          <w:rFonts w:ascii="宋体" w:hAnsi="宋体" w:cs="宋体"/>
          <w:color w:val="auto"/>
          <w:szCs w:val="21"/>
          <w:highlight w:val="none"/>
        </w:rPr>
        <w:t>注：两座连续雨水窨井之间的一段管道为“干管单段”，任意的一段雨水管网为“管网单段”</w:t>
      </w:r>
    </w:p>
    <w:p w14:paraId="7557B2A2">
      <w:pPr>
        <w:pBdr>
          <w:top w:val="none" w:color="000000" w:sz="0" w:space="0"/>
          <w:left w:val="none" w:color="000000" w:sz="0" w:space="0"/>
          <w:bottom w:val="none" w:color="000000" w:sz="0" w:space="0"/>
          <w:right w:val="none" w:color="000000" w:sz="0" w:space="0"/>
        </w:pBdr>
        <w:spacing w:line="360" w:lineRule="auto"/>
        <w:ind w:right="56" w:firstLine="480"/>
        <w:rPr>
          <w:color w:val="auto"/>
          <w:szCs w:val="21"/>
          <w:highlight w:val="none"/>
        </w:rPr>
      </w:pPr>
      <w:r>
        <w:rPr>
          <w:rFonts w:ascii="宋体" w:hAnsi="宋体" w:cs="宋体"/>
          <w:color w:val="auto"/>
          <w:szCs w:val="21"/>
          <w:highlight w:val="none"/>
        </w:rPr>
        <w:t>②局部路段不合格：发生以下情形，则认定该路段局部路段不合格：</w:t>
      </w:r>
    </w:p>
    <w:p w14:paraId="556E25A4">
      <w:pPr>
        <w:pBdr>
          <w:top w:val="none" w:color="000000" w:sz="0" w:space="0"/>
          <w:left w:val="none" w:color="000000" w:sz="0" w:space="0"/>
          <w:bottom w:val="none" w:color="000000" w:sz="0" w:space="0"/>
          <w:right w:val="none" w:color="000000" w:sz="0" w:space="0"/>
        </w:pBdr>
        <w:spacing w:line="360" w:lineRule="auto"/>
        <w:ind w:right="56" w:firstLine="480"/>
        <w:rPr>
          <w:color w:val="auto"/>
          <w:szCs w:val="21"/>
          <w:highlight w:val="none"/>
        </w:rPr>
      </w:pPr>
      <w:r>
        <w:rPr>
          <w:rFonts w:ascii="宋体" w:hAnsi="宋体" w:cs="宋体"/>
          <w:color w:val="auto"/>
          <w:szCs w:val="21"/>
          <w:highlight w:val="none"/>
        </w:rPr>
        <w:t>●干管连续3个单段及以上不合格；</w:t>
      </w:r>
    </w:p>
    <w:p w14:paraId="6439923E">
      <w:pPr>
        <w:pBdr>
          <w:top w:val="none" w:color="000000" w:sz="0" w:space="0"/>
          <w:left w:val="none" w:color="000000" w:sz="0" w:space="0"/>
          <w:bottom w:val="none" w:color="000000" w:sz="0" w:space="0"/>
          <w:right w:val="none" w:color="000000" w:sz="0" w:space="0"/>
        </w:pBdr>
        <w:spacing w:line="360" w:lineRule="auto"/>
        <w:ind w:right="56" w:firstLine="480"/>
        <w:rPr>
          <w:color w:val="auto"/>
          <w:szCs w:val="21"/>
          <w:highlight w:val="none"/>
        </w:rPr>
      </w:pPr>
      <w:r>
        <w:rPr>
          <w:rFonts w:ascii="宋体" w:hAnsi="宋体" w:cs="宋体"/>
          <w:color w:val="auto"/>
          <w:szCs w:val="21"/>
          <w:highlight w:val="none"/>
        </w:rPr>
        <w:t>●干管单段不合格数量累计5个以上；</w:t>
      </w:r>
    </w:p>
    <w:p w14:paraId="1E652459">
      <w:pPr>
        <w:pBdr>
          <w:top w:val="none" w:color="000000" w:sz="0" w:space="0"/>
          <w:left w:val="none" w:color="000000" w:sz="0" w:space="0"/>
          <w:bottom w:val="none" w:color="000000" w:sz="0" w:space="0"/>
          <w:right w:val="none" w:color="000000" w:sz="0" w:space="0"/>
        </w:pBdr>
        <w:spacing w:line="360" w:lineRule="auto"/>
        <w:ind w:right="56" w:firstLine="480"/>
        <w:rPr>
          <w:color w:val="auto"/>
          <w:szCs w:val="21"/>
          <w:highlight w:val="none"/>
        </w:rPr>
      </w:pPr>
      <w:r>
        <w:rPr>
          <w:rFonts w:ascii="宋体" w:hAnsi="宋体" w:cs="宋体"/>
          <w:color w:val="auto"/>
          <w:szCs w:val="21"/>
          <w:highlight w:val="none"/>
        </w:rPr>
        <w:t>●管网单段不合格数量累计5个以上以上。</w:t>
      </w:r>
    </w:p>
    <w:p w14:paraId="2A8185D9">
      <w:pPr>
        <w:pBdr>
          <w:top w:val="none" w:color="000000" w:sz="0" w:space="0"/>
          <w:left w:val="none" w:color="000000" w:sz="0" w:space="0"/>
          <w:bottom w:val="none" w:color="000000" w:sz="0" w:space="0"/>
          <w:right w:val="none" w:color="000000" w:sz="0" w:space="0"/>
        </w:pBdr>
        <w:spacing w:line="360" w:lineRule="auto"/>
        <w:ind w:right="56" w:firstLine="480"/>
        <w:rPr>
          <w:rFonts w:hint="eastAsia" w:ascii="宋体" w:hAnsi="宋体" w:cs="宋体"/>
          <w:color w:val="auto"/>
          <w:szCs w:val="21"/>
          <w:highlight w:val="none"/>
        </w:rPr>
      </w:pPr>
      <w:r>
        <w:rPr>
          <w:rFonts w:ascii="宋体" w:hAnsi="宋体" w:cs="宋体"/>
          <w:color w:val="auto"/>
          <w:szCs w:val="21"/>
          <w:highlight w:val="none"/>
        </w:rPr>
        <w:t>③全路段不合格：两条及以上局部路段不合格。</w:t>
      </w:r>
    </w:p>
    <w:p w14:paraId="24DB0E4D">
      <w:pPr>
        <w:pBdr>
          <w:top w:val="none" w:color="000000" w:sz="0" w:space="0"/>
          <w:left w:val="none" w:color="000000" w:sz="0" w:space="0"/>
          <w:bottom w:val="none" w:color="000000" w:sz="0" w:space="0"/>
          <w:right w:val="none" w:color="000000" w:sz="0" w:space="0"/>
        </w:pBdr>
        <w:spacing w:line="360" w:lineRule="auto"/>
        <w:ind w:right="56" w:firstLine="480"/>
        <w:rPr>
          <w:rFonts w:hint="eastAsia" w:ascii="宋体" w:hAnsi="宋体" w:cs="宋体"/>
          <w:color w:val="auto"/>
          <w:szCs w:val="21"/>
          <w:highlight w:val="none"/>
        </w:rPr>
      </w:pPr>
      <w:r>
        <w:rPr>
          <w:rFonts w:ascii="宋体" w:hAnsi="宋体" w:cs="宋体"/>
          <w:color w:val="auto"/>
          <w:szCs w:val="21"/>
          <w:highlight w:val="none"/>
        </w:rPr>
        <w:t>2、考核体系</w:t>
      </w:r>
    </w:p>
    <w:p w14:paraId="49C673A7">
      <w:pPr>
        <w:pBdr>
          <w:top w:val="none" w:color="000000" w:sz="0" w:space="0"/>
          <w:left w:val="none" w:color="000000" w:sz="0" w:space="0"/>
          <w:bottom w:val="none" w:color="000000" w:sz="0" w:space="0"/>
          <w:right w:val="none" w:color="000000" w:sz="0" w:space="0"/>
        </w:pBdr>
        <w:spacing w:line="360" w:lineRule="auto"/>
        <w:ind w:right="56" w:firstLine="480"/>
        <w:rPr>
          <w:rFonts w:hint="eastAsia" w:ascii="宋体" w:hAnsi="宋体" w:cs="宋体"/>
          <w:color w:val="auto"/>
          <w:szCs w:val="21"/>
          <w:highlight w:val="none"/>
        </w:rPr>
      </w:pPr>
      <w:r>
        <w:rPr>
          <w:rFonts w:ascii="宋体" w:hAnsi="宋体" w:cs="宋体"/>
          <w:color w:val="auto"/>
          <w:szCs w:val="21"/>
          <w:highlight w:val="none"/>
        </w:rPr>
        <w:t>首先由养护单位进行自查，确认自查完毕后由甲方组织的考核小组，对考核进度以及质量进行考核，并打分提交汇总，由复核小组对考核路段进行复核抽查，并进行汇总打分。</w:t>
      </w:r>
    </w:p>
    <w:p w14:paraId="307E6759">
      <w:pPr>
        <w:pBdr>
          <w:top w:val="none" w:color="000000" w:sz="0" w:space="0"/>
          <w:left w:val="none" w:color="000000" w:sz="0" w:space="0"/>
          <w:bottom w:val="none" w:color="000000" w:sz="0" w:space="0"/>
          <w:right w:val="none" w:color="000000" w:sz="0" w:space="0"/>
        </w:pBdr>
        <w:spacing w:line="360" w:lineRule="auto"/>
        <w:ind w:right="56" w:firstLine="480"/>
        <w:rPr>
          <w:color w:val="auto"/>
          <w:szCs w:val="21"/>
          <w:highlight w:val="none"/>
        </w:rPr>
      </w:pPr>
      <w:r>
        <w:rPr>
          <w:rFonts w:ascii="宋体" w:hAnsi="宋体" w:cs="宋体"/>
          <w:color w:val="auto"/>
          <w:szCs w:val="21"/>
          <w:highlight w:val="none"/>
        </w:rPr>
        <w:t>（1）、养护单位自查</w:t>
      </w:r>
    </w:p>
    <w:p w14:paraId="154547AB">
      <w:pPr>
        <w:pBdr>
          <w:top w:val="none" w:color="000000" w:sz="0" w:space="0"/>
          <w:left w:val="none" w:color="000000" w:sz="0" w:space="0"/>
          <w:bottom w:val="none" w:color="000000" w:sz="0" w:space="0"/>
          <w:right w:val="none" w:color="000000" w:sz="0" w:space="0"/>
        </w:pBdr>
        <w:spacing w:line="360" w:lineRule="auto"/>
        <w:ind w:right="56" w:firstLine="480"/>
        <w:rPr>
          <w:rFonts w:hint="eastAsia" w:ascii="宋体" w:hAnsi="宋体" w:cs="宋体"/>
          <w:color w:val="auto"/>
          <w:szCs w:val="21"/>
          <w:highlight w:val="none"/>
        </w:rPr>
      </w:pPr>
      <w:r>
        <w:rPr>
          <w:rFonts w:ascii="宋体" w:hAnsi="宋体" w:cs="宋体"/>
          <w:color w:val="auto"/>
          <w:szCs w:val="21"/>
          <w:highlight w:val="none"/>
        </w:rPr>
        <w:t>养护单位须有负责人每日对养护管道进行自查，以确保管道养护工作落实到位。未落实到位的养护工作，重新进行养护。无条件进行养护的管线，写明原因后，将当日自查后工作量在报表1中进行汇总统计并上报。</w:t>
      </w:r>
    </w:p>
    <w:p w14:paraId="4BC68E7B">
      <w:pPr>
        <w:pBdr>
          <w:top w:val="none" w:color="000000" w:sz="0" w:space="0"/>
          <w:left w:val="none" w:color="000000" w:sz="0" w:space="0"/>
          <w:bottom w:val="none" w:color="000000" w:sz="0" w:space="0"/>
          <w:right w:val="none" w:color="000000" w:sz="0" w:space="0"/>
        </w:pBdr>
        <w:spacing w:line="360" w:lineRule="auto"/>
        <w:ind w:right="56" w:firstLine="480"/>
        <w:rPr>
          <w:rFonts w:hint="eastAsia" w:ascii="宋体" w:hAnsi="宋体" w:cs="宋体"/>
          <w:color w:val="auto"/>
          <w:szCs w:val="21"/>
          <w:highlight w:val="none"/>
        </w:rPr>
      </w:pPr>
      <w:r>
        <w:rPr>
          <w:rFonts w:ascii="宋体" w:hAnsi="宋体" w:cs="宋体"/>
          <w:color w:val="auto"/>
          <w:szCs w:val="21"/>
          <w:highlight w:val="none"/>
        </w:rPr>
        <w:t>（2）、日常机动考核小组现场检查</w:t>
      </w:r>
    </w:p>
    <w:p w14:paraId="7723BA07">
      <w:pPr>
        <w:pBdr>
          <w:top w:val="none" w:color="000000" w:sz="0" w:space="0"/>
          <w:left w:val="none" w:color="000000" w:sz="0" w:space="0"/>
          <w:bottom w:val="none" w:color="000000" w:sz="0" w:space="0"/>
          <w:right w:val="none" w:color="000000" w:sz="0" w:space="0"/>
        </w:pBdr>
        <w:spacing w:line="360" w:lineRule="auto"/>
        <w:ind w:right="56" w:firstLine="480"/>
        <w:rPr>
          <w:rFonts w:hint="eastAsia" w:ascii="宋体" w:hAnsi="宋体" w:cs="宋体"/>
          <w:color w:val="auto"/>
          <w:szCs w:val="21"/>
          <w:highlight w:val="none"/>
        </w:rPr>
      </w:pPr>
      <w:r>
        <w:rPr>
          <w:rFonts w:ascii="宋体" w:hAnsi="宋体" w:cs="宋体"/>
          <w:color w:val="auto"/>
          <w:szCs w:val="21"/>
          <w:highlight w:val="none"/>
        </w:rPr>
        <w:t>科室以分片区、分工作组落实专人负责的方式加强对养护单位在作业中的考核，并落实片区交叉考核，进行交叉检查，以加强考核可靠性。主要考核是否按计划养护、人员出勤情况、安全作业情况、养护是否到位、现场是否解决养护疑难问题等。</w:t>
      </w:r>
    </w:p>
    <w:p w14:paraId="135779F1">
      <w:pPr>
        <w:pBdr>
          <w:top w:val="none" w:color="000000" w:sz="0" w:space="0"/>
          <w:left w:val="none" w:color="000000" w:sz="0" w:space="0"/>
          <w:bottom w:val="none" w:color="000000" w:sz="0" w:space="0"/>
          <w:right w:val="none" w:color="000000" w:sz="0" w:space="0"/>
        </w:pBdr>
        <w:spacing w:line="360" w:lineRule="auto"/>
        <w:ind w:right="56" w:firstLine="480"/>
        <w:rPr>
          <w:color w:val="auto"/>
          <w:szCs w:val="21"/>
          <w:highlight w:val="none"/>
        </w:rPr>
      </w:pPr>
      <w:r>
        <w:rPr>
          <w:rFonts w:ascii="宋体" w:hAnsi="宋体" w:cs="宋体"/>
          <w:color w:val="auto"/>
          <w:szCs w:val="21"/>
          <w:highlight w:val="none"/>
        </w:rPr>
        <w:t>（3）、复核小组抽查</w:t>
      </w:r>
    </w:p>
    <w:p w14:paraId="4F342A04">
      <w:pPr>
        <w:pBdr>
          <w:top w:val="none" w:color="000000" w:sz="0" w:space="0"/>
          <w:left w:val="none" w:color="000000" w:sz="0" w:space="0"/>
          <w:bottom w:val="none" w:color="000000" w:sz="0" w:space="0"/>
          <w:right w:val="none" w:color="000000" w:sz="0" w:space="0"/>
        </w:pBdr>
        <w:spacing w:line="360" w:lineRule="auto"/>
        <w:ind w:firstLine="480"/>
        <w:rPr>
          <w:color w:val="auto"/>
          <w:szCs w:val="21"/>
          <w:highlight w:val="none"/>
        </w:rPr>
      </w:pPr>
      <w:r>
        <w:rPr>
          <w:rFonts w:ascii="宋体" w:hAnsi="宋体" w:cs="宋体"/>
          <w:color w:val="auto"/>
          <w:szCs w:val="21"/>
          <w:highlight w:val="none"/>
        </w:rPr>
        <w:t>在三个小组的抽查汇总中排除掉交叉部分，管理人员带队进行随机考核，落实到对每个窨边井的检查、必须用潜望镜检查。</w:t>
      </w:r>
    </w:p>
    <w:p w14:paraId="4C577892">
      <w:pPr>
        <w:pBdr>
          <w:top w:val="none" w:color="000000" w:sz="0" w:space="0"/>
          <w:left w:val="none" w:color="000000" w:sz="0" w:space="0"/>
          <w:bottom w:val="none" w:color="000000" w:sz="0" w:space="0"/>
          <w:right w:val="none" w:color="000000" w:sz="0" w:space="0"/>
        </w:pBdr>
        <w:spacing w:line="360" w:lineRule="auto"/>
        <w:ind w:firstLine="420"/>
        <w:rPr>
          <w:color w:val="auto"/>
          <w:szCs w:val="21"/>
          <w:highlight w:val="none"/>
        </w:rPr>
      </w:pPr>
      <w:r>
        <w:rPr>
          <w:rFonts w:ascii="宋体" w:hAnsi="宋体" w:cs="宋体"/>
          <w:color w:val="auto"/>
          <w:szCs w:val="21"/>
          <w:highlight w:val="none"/>
        </w:rPr>
        <w:t>进行随机抽查后，如考核存在较大误差，则次日日常考核小组重新考核。 </w:t>
      </w:r>
    </w:p>
    <w:p w14:paraId="412B8CFA">
      <w:pPr>
        <w:pBdr>
          <w:top w:val="none" w:color="000000" w:sz="0" w:space="0"/>
          <w:left w:val="none" w:color="000000" w:sz="0" w:space="0"/>
          <w:bottom w:val="none" w:color="000000" w:sz="0" w:space="0"/>
          <w:right w:val="none" w:color="000000" w:sz="0" w:space="0"/>
        </w:pBd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四、评分形式</w:t>
      </w:r>
    </w:p>
    <w:p w14:paraId="07CB928A">
      <w:pPr>
        <w:pBdr>
          <w:top w:val="none" w:color="000000" w:sz="0" w:space="0"/>
          <w:left w:val="none" w:color="000000" w:sz="0" w:space="0"/>
          <w:bottom w:val="none" w:color="000000" w:sz="0" w:space="0"/>
          <w:right w:val="none" w:color="000000" w:sz="0" w:space="0"/>
        </w:pBdr>
        <w:spacing w:line="360" w:lineRule="auto"/>
        <w:ind w:firstLine="420"/>
        <w:rPr>
          <w:color w:val="auto"/>
          <w:szCs w:val="21"/>
          <w:highlight w:val="none"/>
        </w:rPr>
      </w:pPr>
      <w:r>
        <w:rPr>
          <w:rFonts w:ascii="宋体" w:hAnsi="宋体" w:cs="宋体"/>
          <w:color w:val="auto"/>
          <w:szCs w:val="21"/>
          <w:highlight w:val="none"/>
        </w:rPr>
        <w:t xml:space="preserve">月度综合得分=项目管理15%+人员及设备管理20%+作业要求35%+工单及信访处置要求10%+服务态度20%+奖励加分。  </w:t>
      </w:r>
    </w:p>
    <w:p w14:paraId="1E1E9344">
      <w:pPr>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cs="宋体"/>
          <w:color w:val="auto"/>
          <w:szCs w:val="21"/>
          <w:highlight w:val="none"/>
        </w:rPr>
      </w:pPr>
      <w:r>
        <w:rPr>
          <w:rFonts w:ascii="宋体" w:hAnsi="宋体" w:cs="宋体"/>
          <w:color w:val="auto"/>
          <w:szCs w:val="21"/>
          <w:highlight w:val="none"/>
        </w:rPr>
        <w:t>五、奖惩办法</w:t>
      </w:r>
    </w:p>
    <w:p w14:paraId="428808DE">
      <w:pPr>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cs="宋体"/>
          <w:color w:val="auto"/>
          <w:szCs w:val="21"/>
          <w:highlight w:val="none"/>
        </w:rPr>
      </w:pPr>
      <w:r>
        <w:rPr>
          <w:rFonts w:ascii="宋体" w:hAnsi="宋体" w:cs="宋体"/>
          <w:color w:val="auto"/>
          <w:szCs w:val="21"/>
          <w:highlight w:val="none"/>
        </w:rPr>
        <w:t>1、采购单位根据当月考核成绩，核算月度考核经费。当月服务经费次月支付，各标段月度考核成绩达到90分标准的，作业经费全额拨付。达到85-90分标准的，成绩每低于90分一分，扣减相应标段月服务经费的1%。达到80-85分标准的，在扣减相应标段月承包经费5%的基础上，成绩每低于85分一分，扣减相应月服务经费2%。低于80分的视为不合格，不再额外扣款，累计三次甲方有权无条件解除合同。</w:t>
      </w:r>
    </w:p>
    <w:p w14:paraId="3C73B9B3">
      <w:pPr>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cs="宋体"/>
          <w:color w:val="auto"/>
          <w:szCs w:val="21"/>
          <w:highlight w:val="none"/>
        </w:rPr>
      </w:pPr>
      <w:r>
        <w:rPr>
          <w:rFonts w:ascii="宋体" w:hAnsi="宋体" w:cs="宋体"/>
          <w:color w:val="auto"/>
          <w:szCs w:val="21"/>
          <w:highlight w:val="none"/>
        </w:rPr>
        <w:t>2、对合同周期内出现如下重大违规现象之一的养护单位将终止其合同，并进行通报，同时取消其下一轮雨水管道养护的投标权。</w:t>
      </w:r>
    </w:p>
    <w:p w14:paraId="5F11F093">
      <w:pPr>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cs="宋体"/>
          <w:color w:val="auto"/>
          <w:szCs w:val="21"/>
          <w:highlight w:val="none"/>
        </w:rPr>
      </w:pPr>
      <w:r>
        <w:rPr>
          <w:rFonts w:ascii="宋体" w:hAnsi="宋体" w:cs="宋体"/>
          <w:color w:val="auto"/>
          <w:szCs w:val="21"/>
          <w:highlight w:val="none"/>
        </w:rPr>
        <w:t>（1）被发现有转包行为的。</w:t>
      </w:r>
    </w:p>
    <w:p w14:paraId="4AD47BD1">
      <w:pPr>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cs="宋体"/>
          <w:color w:val="auto"/>
          <w:szCs w:val="21"/>
          <w:highlight w:val="none"/>
        </w:rPr>
      </w:pPr>
      <w:r>
        <w:rPr>
          <w:rFonts w:ascii="宋体" w:hAnsi="宋体" w:cs="宋体"/>
          <w:color w:val="auto"/>
          <w:szCs w:val="21"/>
          <w:highlight w:val="none"/>
        </w:rPr>
        <w:t>（2）媒体曝光核查或社会反响严重，情况属实且有责累计满3次的。</w:t>
      </w:r>
    </w:p>
    <w:p w14:paraId="0522A6DB">
      <w:pPr>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cs="宋体"/>
          <w:color w:val="auto"/>
          <w:szCs w:val="21"/>
          <w:highlight w:val="none"/>
        </w:rPr>
      </w:pPr>
      <w:r>
        <w:rPr>
          <w:rFonts w:ascii="宋体" w:hAnsi="宋体" w:cs="宋体"/>
          <w:color w:val="auto"/>
          <w:szCs w:val="21"/>
          <w:highlight w:val="none"/>
        </w:rPr>
        <w:t>（3）累计3次月考核低于80分或1次月考核低于60分。</w:t>
      </w:r>
    </w:p>
    <w:p w14:paraId="3EF7321D">
      <w:pPr>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cs="宋体"/>
          <w:color w:val="auto"/>
          <w:szCs w:val="21"/>
          <w:highlight w:val="none"/>
        </w:rPr>
      </w:pPr>
      <w:r>
        <w:rPr>
          <w:rFonts w:ascii="宋体" w:hAnsi="宋体" w:cs="宋体"/>
          <w:color w:val="auto"/>
          <w:szCs w:val="21"/>
          <w:highlight w:val="none"/>
        </w:rPr>
        <w:t>（4）拖欠养护员工资、发生重大安全作业事故等违规现象。</w:t>
      </w:r>
    </w:p>
    <w:p w14:paraId="266A6154">
      <w:pPr>
        <w:pBdr>
          <w:top w:val="none" w:color="000000" w:sz="0" w:space="0"/>
          <w:left w:val="none" w:color="000000" w:sz="0" w:space="0"/>
          <w:bottom w:val="none" w:color="000000" w:sz="0" w:space="0"/>
          <w:right w:val="none" w:color="000000" w:sz="0" w:space="0"/>
        </w:pBdr>
        <w:spacing w:line="360" w:lineRule="auto"/>
        <w:ind w:firstLine="480"/>
        <w:rPr>
          <w:color w:val="auto"/>
          <w:szCs w:val="21"/>
          <w:highlight w:val="none"/>
        </w:rPr>
      </w:pPr>
      <w:r>
        <w:rPr>
          <w:rFonts w:ascii="宋体" w:hAnsi="宋体" w:cs="宋体"/>
          <w:color w:val="auto"/>
          <w:szCs w:val="21"/>
          <w:highlight w:val="none"/>
        </w:rPr>
        <w:t>（5）其他重大违规现象的。</w:t>
      </w:r>
    </w:p>
    <w:p w14:paraId="7082BE30"/>
    <w:p w14:paraId="2ACEE21C">
      <w:r>
        <w:br w:type="page"/>
      </w:r>
    </w:p>
    <w:p w14:paraId="64A18A66">
      <w:pPr>
        <w:adjustRightInd w:val="0"/>
        <w:snapToGrid w:val="0"/>
        <w:spacing w:line="440" w:lineRule="exact"/>
        <w:jc w:val="center"/>
        <w:rPr>
          <w:rFonts w:hint="eastAsia" w:ascii="宋体" w:hAnsi="宋体" w:eastAsia="宋体" w:cs="宋体"/>
          <w:kern w:val="0"/>
          <w:sz w:val="28"/>
          <w:szCs w:val="28"/>
        </w:rPr>
      </w:pPr>
      <w:r>
        <w:rPr>
          <w:rFonts w:hint="eastAsia" w:ascii="宋体" w:hAnsi="宋体" w:eastAsia="宋体" w:cs="宋体"/>
          <w:b/>
          <w:kern w:val="0"/>
          <w:sz w:val="28"/>
          <w:szCs w:val="28"/>
        </w:rPr>
        <w:t>陆家镇绿地常规养护管理考核办法</w:t>
      </w:r>
    </w:p>
    <w:p w14:paraId="40135889">
      <w:pPr>
        <w:adjustRightInd w:val="0"/>
        <w:snapToGrid w:val="0"/>
        <w:spacing w:line="440" w:lineRule="exact"/>
        <w:ind w:firstLine="567"/>
        <w:rPr>
          <w:rFonts w:hint="eastAsia" w:ascii="宋体" w:hAnsi="宋体" w:eastAsia="宋体" w:cs="宋体"/>
          <w:kern w:val="0"/>
          <w:sz w:val="28"/>
          <w:szCs w:val="28"/>
        </w:rPr>
      </w:pPr>
    </w:p>
    <w:p w14:paraId="11C8FA6F">
      <w:pPr>
        <w:adjustRightInd w:val="0"/>
        <w:snapToGrid w:val="0"/>
        <w:spacing w:line="440" w:lineRule="exact"/>
        <w:ind w:firstLine="567"/>
        <w:rPr>
          <w:rFonts w:hint="eastAsia" w:ascii="宋体" w:hAnsi="宋体" w:eastAsia="宋体" w:cs="宋体"/>
          <w:kern w:val="0"/>
          <w:sz w:val="21"/>
          <w:szCs w:val="21"/>
        </w:rPr>
      </w:pPr>
      <w:r>
        <w:rPr>
          <w:rFonts w:hint="eastAsia" w:ascii="宋体" w:hAnsi="宋体" w:eastAsia="宋体" w:cs="宋体"/>
          <w:kern w:val="0"/>
          <w:sz w:val="21"/>
          <w:szCs w:val="21"/>
        </w:rPr>
        <w:t>为巩固绿化建设成果，全面提高绿地养护管理整体水平，努力促进陆家绿化管护工作再上新台阶，特制定本办法：</w:t>
      </w:r>
    </w:p>
    <w:p w14:paraId="063FD548">
      <w:pPr>
        <w:adjustRightInd w:val="0"/>
        <w:snapToGrid w:val="0"/>
        <w:spacing w:line="440" w:lineRule="exact"/>
        <w:ind w:firstLine="567"/>
        <w:rPr>
          <w:rFonts w:hint="eastAsia" w:ascii="宋体" w:hAnsi="宋体" w:eastAsia="宋体" w:cs="宋体"/>
          <w:kern w:val="0"/>
          <w:sz w:val="21"/>
          <w:szCs w:val="21"/>
        </w:rPr>
      </w:pPr>
      <w:r>
        <w:rPr>
          <w:rFonts w:hint="eastAsia" w:ascii="宋体" w:hAnsi="宋体" w:eastAsia="宋体" w:cs="宋体"/>
          <w:kern w:val="0"/>
          <w:sz w:val="21"/>
          <w:szCs w:val="21"/>
        </w:rPr>
        <w:t>一、考核依据</w:t>
      </w:r>
    </w:p>
    <w:p w14:paraId="50966837">
      <w:pPr>
        <w:adjustRightInd w:val="0"/>
        <w:snapToGrid w:val="0"/>
        <w:spacing w:line="440" w:lineRule="exact"/>
        <w:ind w:firstLine="567"/>
        <w:rPr>
          <w:rFonts w:hint="eastAsia" w:ascii="宋体" w:hAnsi="宋体" w:eastAsia="宋体" w:cs="宋体"/>
          <w:kern w:val="0"/>
          <w:sz w:val="21"/>
          <w:szCs w:val="21"/>
        </w:rPr>
      </w:pPr>
      <w:r>
        <w:rPr>
          <w:rFonts w:hint="eastAsia" w:ascii="宋体" w:hAnsi="宋体" w:eastAsia="宋体" w:cs="宋体"/>
          <w:kern w:val="0"/>
          <w:sz w:val="21"/>
          <w:szCs w:val="21"/>
        </w:rPr>
        <w:t>陆家绿地考核验收的依据上级部门有关规定及绿化管护合同中有关规定的条款。</w:t>
      </w:r>
    </w:p>
    <w:p w14:paraId="665EE62B">
      <w:pPr>
        <w:adjustRightInd w:val="0"/>
        <w:snapToGrid w:val="0"/>
        <w:spacing w:line="440" w:lineRule="exact"/>
        <w:ind w:firstLine="567"/>
        <w:rPr>
          <w:rFonts w:hint="eastAsia" w:ascii="宋体" w:hAnsi="宋体" w:eastAsia="宋体" w:cs="宋体"/>
          <w:kern w:val="0"/>
          <w:sz w:val="21"/>
          <w:szCs w:val="21"/>
        </w:rPr>
      </w:pPr>
      <w:r>
        <w:rPr>
          <w:rFonts w:hint="eastAsia" w:ascii="宋体" w:hAnsi="宋体" w:eastAsia="宋体" w:cs="宋体"/>
          <w:kern w:val="0"/>
          <w:sz w:val="21"/>
          <w:szCs w:val="21"/>
        </w:rPr>
        <w:t>二、考核内容</w:t>
      </w:r>
    </w:p>
    <w:p w14:paraId="7F94FD3C">
      <w:pPr>
        <w:adjustRightInd w:val="0"/>
        <w:snapToGrid w:val="0"/>
        <w:spacing w:line="440" w:lineRule="exact"/>
        <w:ind w:firstLine="567"/>
        <w:rPr>
          <w:rFonts w:hint="eastAsia" w:ascii="宋体" w:hAnsi="宋体" w:eastAsia="宋体" w:cs="宋体"/>
          <w:kern w:val="0"/>
          <w:sz w:val="21"/>
          <w:szCs w:val="21"/>
        </w:rPr>
      </w:pPr>
      <w:r>
        <w:rPr>
          <w:rFonts w:hint="eastAsia" w:ascii="宋体" w:hAnsi="宋体" w:eastAsia="宋体" w:cs="宋体"/>
          <w:kern w:val="0"/>
          <w:sz w:val="21"/>
          <w:szCs w:val="21"/>
        </w:rPr>
        <w:t>1、绿地中的行道树、各类绿地、草花、景观设施等的养护质量。2、各类绿地的环境卫生质量。3、养护队伍的管理和安全生产情况。4、其他相关规定的执行情况。</w:t>
      </w:r>
    </w:p>
    <w:p w14:paraId="781E9DAB">
      <w:pPr>
        <w:adjustRightInd w:val="0"/>
        <w:snapToGrid w:val="0"/>
        <w:spacing w:line="440" w:lineRule="exact"/>
        <w:ind w:firstLine="567"/>
        <w:rPr>
          <w:rFonts w:hint="eastAsia" w:ascii="宋体" w:hAnsi="宋体" w:eastAsia="宋体" w:cs="宋体"/>
          <w:kern w:val="0"/>
          <w:sz w:val="21"/>
          <w:szCs w:val="21"/>
        </w:rPr>
      </w:pPr>
      <w:r>
        <w:rPr>
          <w:rFonts w:hint="eastAsia" w:ascii="宋体" w:hAnsi="宋体" w:eastAsia="宋体" w:cs="宋体"/>
          <w:kern w:val="0"/>
          <w:sz w:val="21"/>
          <w:szCs w:val="21"/>
        </w:rPr>
        <w:t>三、养护单位管理要求</w:t>
      </w:r>
    </w:p>
    <w:p w14:paraId="3FC05D54">
      <w:pPr>
        <w:adjustRightInd w:val="0"/>
        <w:snapToGrid w:val="0"/>
        <w:spacing w:line="440" w:lineRule="exact"/>
        <w:ind w:firstLine="567"/>
        <w:rPr>
          <w:rFonts w:hint="eastAsia" w:ascii="宋体" w:hAnsi="宋体" w:eastAsia="宋体" w:cs="宋体"/>
          <w:kern w:val="0"/>
          <w:sz w:val="21"/>
          <w:szCs w:val="21"/>
        </w:rPr>
      </w:pPr>
      <w:r>
        <w:rPr>
          <w:rFonts w:hint="eastAsia" w:ascii="宋体" w:hAnsi="宋体" w:eastAsia="宋体" w:cs="宋体"/>
          <w:kern w:val="0"/>
          <w:sz w:val="21"/>
          <w:szCs w:val="21"/>
        </w:rPr>
        <w:t>1、养护单位须建立健全每日巡视制度。发现并处理养护区域内出现的问题，做好每日巡视记录。</w:t>
      </w:r>
    </w:p>
    <w:p w14:paraId="39CC7A43">
      <w:pPr>
        <w:adjustRightInd w:val="0"/>
        <w:snapToGrid w:val="0"/>
        <w:spacing w:line="440" w:lineRule="exact"/>
        <w:ind w:firstLine="567"/>
        <w:rPr>
          <w:rFonts w:hint="eastAsia" w:ascii="宋体" w:hAnsi="宋体" w:eastAsia="宋体" w:cs="宋体"/>
          <w:kern w:val="0"/>
          <w:sz w:val="21"/>
          <w:szCs w:val="21"/>
        </w:rPr>
      </w:pPr>
      <w:r>
        <w:rPr>
          <w:rFonts w:hint="eastAsia" w:ascii="宋体" w:hAnsi="宋体" w:eastAsia="宋体" w:cs="宋体"/>
          <w:kern w:val="0"/>
          <w:sz w:val="21"/>
          <w:szCs w:val="21"/>
        </w:rPr>
        <w:t>2、甲方和监理将定期或不定期的检查各养护单位出勤情况和每日巡视记录，养护期内无故停工的，第一次罚1000元，第二次罚2000元，第三次罚4000元，并在相应的养护考核中扣分；记录不完善，第一次罚500元，第二次罚1000元，第三次罚2000元，并在相应的养护考核中扣分。</w:t>
      </w:r>
    </w:p>
    <w:p w14:paraId="6D8B0615">
      <w:pPr>
        <w:adjustRightInd w:val="0"/>
        <w:snapToGrid w:val="0"/>
        <w:spacing w:line="440" w:lineRule="exact"/>
        <w:ind w:firstLine="567"/>
        <w:rPr>
          <w:rFonts w:hint="eastAsia" w:ascii="宋体" w:hAnsi="宋体" w:eastAsia="宋体" w:cs="宋体"/>
          <w:kern w:val="0"/>
          <w:sz w:val="21"/>
          <w:szCs w:val="21"/>
        </w:rPr>
      </w:pPr>
      <w:r>
        <w:rPr>
          <w:rFonts w:hint="eastAsia" w:ascii="宋体" w:hAnsi="宋体" w:eastAsia="宋体" w:cs="宋体"/>
          <w:kern w:val="0"/>
          <w:sz w:val="21"/>
          <w:szCs w:val="21"/>
        </w:rPr>
        <w:t>3、人员到位，统一着装。养护单位应自觉做好各项养护工作，养护人员及设备配足配齐。甲方和监理方有权视工作需要要求养护单位临时性增加养护人员；所有养护单位必须配备洒水车、割灌机、割草机、水泵等相关设备。如人员、机械设备不到位，按500-5000元/天处罚，处罚后两天时间及时整改，第三天对整改结果进行跟踪，若未整改到位，在原有处罚金额的基础上，每次加重500-5000元的处罚，并扣考评分。若养护人员、机械长期不到位导致养护工作不能有效开展，造成苗木缺损、景观被破坏等严重事故，甲方将终止其养护合同，所造成的损失由服务单位承担。</w:t>
      </w:r>
    </w:p>
    <w:p w14:paraId="4CE99CEE">
      <w:pPr>
        <w:adjustRightInd w:val="0"/>
        <w:snapToGrid w:val="0"/>
        <w:spacing w:line="440" w:lineRule="exact"/>
        <w:ind w:firstLine="567"/>
        <w:rPr>
          <w:rFonts w:hint="eastAsia" w:ascii="宋体" w:hAnsi="宋体" w:eastAsia="宋体" w:cs="宋体"/>
          <w:kern w:val="0"/>
          <w:sz w:val="21"/>
          <w:szCs w:val="21"/>
        </w:rPr>
      </w:pPr>
      <w:r>
        <w:rPr>
          <w:rFonts w:hint="eastAsia" w:ascii="宋体" w:hAnsi="宋体" w:eastAsia="宋体" w:cs="宋体"/>
          <w:kern w:val="0"/>
          <w:sz w:val="21"/>
          <w:szCs w:val="21"/>
        </w:rPr>
        <w:t>为便于管理，要求养护单位养护人员工作时须穿戴印有明显标识的统一制服，如日常检查中发现养护人员无故未按统一着装的养护人员作缺勤处理（500元/人）。</w:t>
      </w:r>
    </w:p>
    <w:p w14:paraId="7BB4ED07">
      <w:pPr>
        <w:adjustRightInd w:val="0"/>
        <w:snapToGrid w:val="0"/>
        <w:spacing w:line="440" w:lineRule="exact"/>
        <w:ind w:firstLine="567"/>
        <w:rPr>
          <w:rFonts w:hint="eastAsia" w:ascii="宋体" w:hAnsi="宋体" w:eastAsia="宋体" w:cs="宋体"/>
          <w:kern w:val="0"/>
          <w:sz w:val="21"/>
          <w:szCs w:val="21"/>
        </w:rPr>
      </w:pPr>
      <w:r>
        <w:rPr>
          <w:rFonts w:hint="eastAsia" w:ascii="宋体" w:hAnsi="宋体" w:eastAsia="宋体" w:cs="宋体"/>
          <w:kern w:val="0"/>
          <w:sz w:val="21"/>
          <w:szCs w:val="21"/>
        </w:rPr>
        <w:t>4、养护单位应积极配合甲方和监理方的工作，服从甲方和监理的管理要求。如养护单位不能积极配合甲方及监理方的工作，不服从整改要求，先予以书面警告，仍达不到要求的将进行处罚，第一次罚5000元，第二次罚10000元，第三次罚20000元，若仍不整改将终止其养护合同，所造成的损失由服务单位承担。工作中要发扬团结协作的作风，遇有重大活动、节日庆典、金秋经贸招商等特殊情况，甲方对所有管理人员进行调配，各养护单位应积极配合，如不配合的扣考评分。</w:t>
      </w:r>
    </w:p>
    <w:p w14:paraId="00B313DA">
      <w:pPr>
        <w:adjustRightInd w:val="0"/>
        <w:snapToGrid w:val="0"/>
        <w:spacing w:line="440" w:lineRule="exact"/>
        <w:ind w:firstLine="567"/>
        <w:rPr>
          <w:rFonts w:hint="eastAsia" w:ascii="宋体" w:hAnsi="宋体" w:eastAsia="宋体" w:cs="宋体"/>
          <w:kern w:val="0"/>
          <w:sz w:val="21"/>
          <w:szCs w:val="21"/>
        </w:rPr>
      </w:pPr>
      <w:r>
        <w:rPr>
          <w:rFonts w:hint="eastAsia" w:ascii="宋体" w:hAnsi="宋体" w:eastAsia="宋体" w:cs="宋体"/>
          <w:kern w:val="0"/>
          <w:sz w:val="21"/>
          <w:szCs w:val="21"/>
        </w:rPr>
        <w:t>承包方若不能及时或不能按标准完成承包范围内的养护工作则将进行处罚，第一次罚5000元，第二次罚10000元，第三次罚20000元，仍不能完成，甲方有权安排第三方进行养护，所发生的费用，从承包方的养护费中扣除。养护期树木花草如有养护不力造成的死亡，承包方必须按同规格的苗木及时补植，涉及到的一切费用由服务单位承担。承包方养护期间，如未按协议进行养护或未经甲方批准，进行项目违法分包、转包，甲方有权单方面终止协议，所有损失由承包方承担，并把此企业上报市局备案，并停止该企业3年内参与陆家相关投标活动的资格。</w:t>
      </w:r>
    </w:p>
    <w:p w14:paraId="12CB2A22">
      <w:pPr>
        <w:adjustRightInd w:val="0"/>
        <w:snapToGrid w:val="0"/>
        <w:spacing w:line="440" w:lineRule="exact"/>
        <w:ind w:firstLine="567"/>
        <w:rPr>
          <w:rFonts w:hint="eastAsia" w:ascii="宋体" w:hAnsi="宋体" w:eastAsia="宋体" w:cs="宋体"/>
          <w:kern w:val="0"/>
          <w:sz w:val="21"/>
          <w:szCs w:val="21"/>
        </w:rPr>
      </w:pPr>
      <w:r>
        <w:rPr>
          <w:rFonts w:hint="eastAsia" w:ascii="宋体" w:hAnsi="宋体" w:eastAsia="宋体" w:cs="宋体"/>
          <w:kern w:val="0"/>
          <w:sz w:val="21"/>
          <w:szCs w:val="21"/>
        </w:rPr>
        <w:t>5、因养护单位疏于管理，养护工作不力，造成养护标段内苗木、花草死亡、病虫害疫情暴发、景观被破坏等，甲方将视情况给予5000至10000元不等的罚款，情节严重的，处罚则加倍，同时将缩小其养护面积，直至终止养护合同，所造成的损失由养护单位承担。</w:t>
      </w:r>
    </w:p>
    <w:p w14:paraId="1F890599">
      <w:pPr>
        <w:adjustRightInd w:val="0"/>
        <w:snapToGrid w:val="0"/>
        <w:spacing w:line="440" w:lineRule="exact"/>
        <w:ind w:firstLine="567"/>
        <w:rPr>
          <w:rFonts w:hint="eastAsia" w:ascii="宋体" w:hAnsi="宋体" w:eastAsia="宋体" w:cs="宋体"/>
          <w:kern w:val="0"/>
          <w:sz w:val="21"/>
          <w:szCs w:val="21"/>
        </w:rPr>
      </w:pPr>
      <w:r>
        <w:rPr>
          <w:rFonts w:hint="eastAsia" w:ascii="宋体" w:hAnsi="宋体" w:eastAsia="宋体" w:cs="宋体"/>
          <w:kern w:val="0"/>
          <w:sz w:val="21"/>
          <w:szCs w:val="21"/>
        </w:rPr>
        <w:t>管护期间如发生重大责任事故的，经核查属实后按事故赔偿费用的100%进行处罚。管护单位应配合甲方及时处理自身养护标段内数字城管监督指挥中心派遣的案件，未能在案件处理时效内处理的（延期的除外），处罚1000元/张，甲方有权安排第三方处理，处理事件所发生的费用将根据案件处理实际发生的费用双倍从养护费中扣除。在接待上级领导参观考察期间，若承包方的管护区域发生无报备问题，处罚5000元，并考核扣分。</w:t>
      </w:r>
    </w:p>
    <w:p w14:paraId="50CDD0E3">
      <w:pPr>
        <w:adjustRightInd w:val="0"/>
        <w:snapToGrid w:val="0"/>
        <w:spacing w:line="440" w:lineRule="exact"/>
        <w:ind w:firstLine="567"/>
        <w:rPr>
          <w:rFonts w:hint="eastAsia" w:ascii="宋体" w:hAnsi="宋体" w:eastAsia="宋体" w:cs="宋体"/>
          <w:kern w:val="0"/>
          <w:sz w:val="21"/>
          <w:szCs w:val="21"/>
        </w:rPr>
      </w:pPr>
      <w:r>
        <w:rPr>
          <w:rFonts w:hint="eastAsia" w:ascii="宋体" w:hAnsi="宋体" w:eastAsia="宋体" w:cs="宋体"/>
          <w:kern w:val="0"/>
          <w:sz w:val="21"/>
          <w:szCs w:val="21"/>
        </w:rPr>
        <w:t>6、为加强常规养护的管理和协调工作，甲方定于每月定期或不定期组织现场考核打分。各养护单位须认真、准时参加每次养护会议，通知到的人员如有无故迟者,处罚1000元（一次）;无故缺席者，处罚2000元（一次），罚金在结算时直接扣除，重大会议必须由公司负责人参加。</w:t>
      </w:r>
    </w:p>
    <w:p w14:paraId="54F25E09">
      <w:pPr>
        <w:adjustRightInd w:val="0"/>
        <w:snapToGrid w:val="0"/>
        <w:spacing w:line="440" w:lineRule="exact"/>
        <w:ind w:firstLine="567"/>
        <w:rPr>
          <w:rFonts w:hint="eastAsia" w:ascii="宋体" w:hAnsi="宋体" w:eastAsia="宋体" w:cs="宋体"/>
          <w:kern w:val="0"/>
          <w:sz w:val="21"/>
          <w:szCs w:val="21"/>
        </w:rPr>
      </w:pPr>
      <w:r>
        <w:rPr>
          <w:rFonts w:hint="eastAsia" w:ascii="宋体" w:hAnsi="宋体" w:eastAsia="宋体" w:cs="宋体"/>
          <w:kern w:val="0"/>
          <w:sz w:val="21"/>
          <w:szCs w:val="21"/>
        </w:rPr>
        <w:t>7、养护单位须认真保护所承担养护区域的绿地及绿化材料。如遇第三方开挖，应主动检查其开挖证明，并跟踪其开挖活动，避免绿化材料缺损；如开挖方无法出具有效的开挖证明，养护单位应及时制止其开挖行为并及时通知甲方、城管、派出所等单位，否则按养护单位不作为处理，造成的苗木缺损、死亡等一切后果由养护单位承担，并扣当月考评分，将视情况处罚5000至10000元/处，同时将缩小其养护面积，直至终止其养护合同，所造成的一切损失由施工单位承担。禁止监守自盗行为，如若发生养护范围内私自苗木买卖现象或故意损坏现象，甲方一经核实将严格处罚，以苗木价值的5-10倍处罚，同时扣除当年全部养护费用，立即终止合约并移送执法部门处置，并把此企业上报市局，并停止该企业3年内参与陆家相关投标活动的资格。</w:t>
      </w:r>
    </w:p>
    <w:p w14:paraId="3F1B0DD9">
      <w:pPr>
        <w:adjustRightInd w:val="0"/>
        <w:snapToGrid w:val="0"/>
        <w:spacing w:line="440" w:lineRule="exact"/>
        <w:ind w:firstLine="567"/>
        <w:rPr>
          <w:rFonts w:hint="eastAsia" w:ascii="宋体" w:hAnsi="宋体" w:eastAsia="宋体" w:cs="宋体"/>
          <w:kern w:val="0"/>
          <w:sz w:val="21"/>
          <w:szCs w:val="21"/>
        </w:rPr>
      </w:pPr>
      <w:r>
        <w:rPr>
          <w:rFonts w:hint="eastAsia" w:ascii="宋体" w:hAnsi="宋体" w:eastAsia="宋体" w:cs="宋体"/>
          <w:kern w:val="0"/>
          <w:sz w:val="21"/>
          <w:szCs w:val="21"/>
        </w:rPr>
        <w:t>8、需要见证的事项必须提前一天通知甲方和监理，提交相关资料并建立相关的工作台帐，否则发生的工程量不予计量。若发生药害、肥害现象，则将视情节处罚，轻的5000元/处，重的10000元/处。</w:t>
      </w:r>
    </w:p>
    <w:p w14:paraId="0114A1BB">
      <w:pPr>
        <w:adjustRightInd w:val="0"/>
        <w:snapToGrid w:val="0"/>
        <w:spacing w:line="440" w:lineRule="exact"/>
        <w:ind w:firstLine="567"/>
        <w:rPr>
          <w:rFonts w:hint="eastAsia" w:ascii="宋体" w:hAnsi="宋体" w:eastAsia="宋体" w:cs="宋体"/>
          <w:kern w:val="0"/>
          <w:sz w:val="21"/>
          <w:szCs w:val="21"/>
        </w:rPr>
      </w:pPr>
      <w:r>
        <w:rPr>
          <w:rFonts w:hint="eastAsia" w:ascii="宋体" w:hAnsi="宋体" w:eastAsia="宋体" w:cs="宋体"/>
          <w:kern w:val="0"/>
          <w:sz w:val="21"/>
          <w:szCs w:val="21"/>
        </w:rPr>
        <w:t>9、承担养护的项目负责人在养护期内须常驻昆山，并保持通信畅通，有事外出（跨市）须请假。否则，第一次处罚1000元，第二次处罚2000元，第三次处罚4000元，三次以上甲方有权更换项目责任人并上报市局，并三年内不得参与陆家相关项目的招投标。甲方代表或是养护监理工程师下发的通知单，须在规定的日期内回复，否则，第一次处罚2000元，第二次处罚3000元，第三次处罚5000元。</w:t>
      </w:r>
    </w:p>
    <w:p w14:paraId="760B4330">
      <w:pPr>
        <w:adjustRightInd w:val="0"/>
        <w:snapToGrid w:val="0"/>
        <w:spacing w:line="440" w:lineRule="exact"/>
        <w:ind w:firstLine="567"/>
        <w:rPr>
          <w:rFonts w:hint="eastAsia" w:ascii="宋体" w:hAnsi="宋体" w:eastAsia="宋体" w:cs="宋体"/>
          <w:kern w:val="0"/>
          <w:sz w:val="21"/>
          <w:szCs w:val="21"/>
        </w:rPr>
      </w:pPr>
      <w:r>
        <w:rPr>
          <w:rFonts w:hint="eastAsia" w:ascii="宋体" w:hAnsi="宋体" w:eastAsia="宋体" w:cs="宋体"/>
          <w:kern w:val="0"/>
          <w:sz w:val="21"/>
          <w:szCs w:val="21"/>
        </w:rPr>
        <w:t>10、养护单位应确保养护绿地内无绿化废弃物等，联合环卫共同维护，因养护不力导致影响绿地景观，并整改无效的，视情况给予扣考核分，并处罚3000至5000元。</w:t>
      </w:r>
    </w:p>
    <w:p w14:paraId="4E99E89F">
      <w:pPr>
        <w:adjustRightInd w:val="0"/>
        <w:snapToGrid w:val="0"/>
        <w:spacing w:line="440" w:lineRule="exact"/>
        <w:ind w:firstLine="567"/>
        <w:rPr>
          <w:rFonts w:hint="eastAsia" w:ascii="宋体" w:hAnsi="宋体" w:eastAsia="宋体" w:cs="宋体"/>
          <w:kern w:val="0"/>
          <w:sz w:val="21"/>
          <w:szCs w:val="21"/>
        </w:rPr>
      </w:pPr>
      <w:r>
        <w:rPr>
          <w:rFonts w:hint="eastAsia" w:ascii="宋体" w:hAnsi="宋体" w:eastAsia="宋体" w:cs="宋体"/>
          <w:kern w:val="0"/>
          <w:sz w:val="21"/>
          <w:szCs w:val="21"/>
        </w:rPr>
        <w:t>11、养护单位应加强工作人员的安全生产教育，采取有效措施确保安全生产。如果在日常生产活动中发现养护单位存在安全隐患，甲方和监理方有权要求立即停止生产活动并进行整改。如有不服从整改要求的将依据第4条处理。</w:t>
      </w:r>
    </w:p>
    <w:p w14:paraId="7C23B6FF">
      <w:pPr>
        <w:adjustRightInd w:val="0"/>
        <w:snapToGrid w:val="0"/>
        <w:spacing w:line="440" w:lineRule="exact"/>
        <w:ind w:firstLine="567"/>
        <w:rPr>
          <w:rFonts w:hint="eastAsia" w:ascii="宋体" w:hAnsi="宋体" w:eastAsia="宋体" w:cs="宋体"/>
          <w:kern w:val="0"/>
          <w:sz w:val="21"/>
          <w:szCs w:val="21"/>
        </w:rPr>
      </w:pPr>
      <w:r>
        <w:rPr>
          <w:rFonts w:hint="eastAsia" w:ascii="宋体" w:hAnsi="宋体" w:eastAsia="宋体" w:cs="宋体"/>
          <w:kern w:val="0"/>
          <w:sz w:val="21"/>
          <w:szCs w:val="21"/>
        </w:rPr>
        <w:t>四、考核办法</w:t>
      </w:r>
    </w:p>
    <w:p w14:paraId="3F63119E">
      <w:pPr>
        <w:adjustRightInd w:val="0"/>
        <w:snapToGrid w:val="0"/>
        <w:spacing w:line="440" w:lineRule="exact"/>
        <w:ind w:firstLine="567"/>
        <w:rPr>
          <w:rFonts w:hint="eastAsia" w:ascii="宋体" w:hAnsi="宋体" w:eastAsia="宋体" w:cs="宋体"/>
          <w:kern w:val="0"/>
          <w:sz w:val="21"/>
          <w:szCs w:val="21"/>
        </w:rPr>
      </w:pPr>
      <w:r>
        <w:rPr>
          <w:rFonts w:hint="eastAsia" w:ascii="宋体" w:hAnsi="宋体" w:eastAsia="宋体" w:cs="宋体"/>
          <w:kern w:val="0"/>
          <w:sz w:val="21"/>
          <w:szCs w:val="21"/>
        </w:rPr>
        <w:t xml:space="preserve">考核检查由甲方组织，按考核评分表分项考核，考核采取百分制，每月考核汇总一次。考核结果作为承包经费发放及扣除的依据。主要采用以下方法考核： </w:t>
      </w:r>
    </w:p>
    <w:p w14:paraId="4F05BB31">
      <w:pPr>
        <w:adjustRightInd w:val="0"/>
        <w:snapToGrid w:val="0"/>
        <w:spacing w:line="440" w:lineRule="exact"/>
        <w:ind w:firstLine="567"/>
        <w:rPr>
          <w:rFonts w:hint="eastAsia" w:ascii="宋体" w:hAnsi="宋体" w:eastAsia="宋体" w:cs="宋体"/>
          <w:kern w:val="0"/>
          <w:sz w:val="21"/>
          <w:szCs w:val="21"/>
        </w:rPr>
      </w:pPr>
      <w:r>
        <w:rPr>
          <w:rFonts w:hint="eastAsia" w:ascii="宋体" w:hAnsi="宋体" w:eastAsia="宋体" w:cs="宋体"/>
          <w:kern w:val="0"/>
          <w:sz w:val="21"/>
          <w:szCs w:val="21"/>
        </w:rPr>
        <w:t>1、采用定期和不定期相结合的办法，平时每日由建设管理人员、监理人员到各承包绿地进行巡查，每月由建设单位、监理单位及养护单位相关人员按实际养护情况对照考核细则现场考核评分，与建设管理人员和监理人员日常巡查相结合。</w:t>
      </w:r>
    </w:p>
    <w:p w14:paraId="0BA4312A">
      <w:pPr>
        <w:adjustRightInd w:val="0"/>
        <w:snapToGrid w:val="0"/>
        <w:spacing w:line="440" w:lineRule="exact"/>
        <w:ind w:firstLine="567"/>
        <w:rPr>
          <w:rFonts w:hint="eastAsia" w:ascii="宋体" w:hAnsi="宋体" w:eastAsia="宋体" w:cs="宋体"/>
          <w:kern w:val="0"/>
          <w:sz w:val="21"/>
          <w:szCs w:val="21"/>
        </w:rPr>
      </w:pPr>
      <w:r>
        <w:rPr>
          <w:rFonts w:hint="eastAsia" w:ascii="宋体" w:hAnsi="宋体" w:eastAsia="宋体" w:cs="宋体"/>
          <w:kern w:val="0"/>
          <w:sz w:val="21"/>
          <w:szCs w:val="21"/>
        </w:rPr>
        <w:t>2、采取重点工作、重点地块必查和日常工作、一般地段抽查相结合的办法。既促进各责任人按质按量按时完成相关重点工作，又兼顾其他日常管护。</w:t>
      </w:r>
    </w:p>
    <w:p w14:paraId="543B2643">
      <w:pPr>
        <w:adjustRightInd w:val="0"/>
        <w:snapToGrid w:val="0"/>
        <w:spacing w:line="440" w:lineRule="exact"/>
        <w:ind w:firstLine="567"/>
        <w:rPr>
          <w:rFonts w:hint="eastAsia" w:ascii="宋体" w:hAnsi="宋体" w:eastAsia="宋体" w:cs="宋体"/>
          <w:kern w:val="0"/>
          <w:sz w:val="21"/>
          <w:szCs w:val="21"/>
        </w:rPr>
      </w:pPr>
      <w:r>
        <w:rPr>
          <w:rFonts w:hint="eastAsia" w:ascii="宋体" w:hAnsi="宋体" w:eastAsia="宋体" w:cs="宋体"/>
          <w:kern w:val="0"/>
          <w:sz w:val="21"/>
          <w:szCs w:val="21"/>
        </w:rPr>
        <w:t>3、对考核中发现的问题通过现场打分、现场照相、现场指正等方式及时记录、打分。监理形成书面材料，并落实监督整改。</w:t>
      </w:r>
    </w:p>
    <w:p w14:paraId="077D8323">
      <w:pPr>
        <w:adjustRightInd w:val="0"/>
        <w:snapToGrid w:val="0"/>
        <w:spacing w:line="440" w:lineRule="exact"/>
        <w:ind w:firstLine="567"/>
        <w:rPr>
          <w:rFonts w:hint="eastAsia" w:ascii="宋体" w:hAnsi="宋体" w:eastAsia="宋体" w:cs="宋体"/>
          <w:kern w:val="0"/>
          <w:sz w:val="21"/>
          <w:szCs w:val="21"/>
        </w:rPr>
      </w:pPr>
      <w:r>
        <w:rPr>
          <w:rFonts w:hint="eastAsia" w:ascii="宋体" w:hAnsi="宋体" w:eastAsia="宋体" w:cs="宋体"/>
          <w:kern w:val="0"/>
          <w:sz w:val="21"/>
          <w:szCs w:val="21"/>
        </w:rPr>
        <w:t>4、甲方根据日常台帐资料及现场检查进行综合考核。</w:t>
      </w:r>
    </w:p>
    <w:p w14:paraId="3E900673">
      <w:pPr>
        <w:adjustRightInd w:val="0"/>
        <w:snapToGrid w:val="0"/>
        <w:spacing w:line="440" w:lineRule="exact"/>
        <w:ind w:firstLine="567"/>
        <w:rPr>
          <w:rFonts w:hint="eastAsia" w:ascii="宋体" w:hAnsi="宋体" w:eastAsia="宋体" w:cs="宋体"/>
          <w:kern w:val="0"/>
          <w:sz w:val="21"/>
          <w:szCs w:val="21"/>
        </w:rPr>
      </w:pPr>
      <w:r>
        <w:rPr>
          <w:rFonts w:hint="eastAsia" w:ascii="宋体" w:hAnsi="宋体" w:eastAsia="宋体" w:cs="宋体"/>
          <w:kern w:val="0"/>
          <w:sz w:val="21"/>
          <w:szCs w:val="21"/>
        </w:rPr>
        <w:t>5、考核打分。每月得分90分及以上的，不奖不罚；低于90分，每低一分扣该季度固定养护费总额的1.5%。对连续三个月得分低于85分或连续两个月得分低于80分或单月得分低于75分，甲方有权终止合同。</w:t>
      </w:r>
    </w:p>
    <w:p w14:paraId="3455A0CC">
      <w:pPr>
        <w:adjustRightInd w:val="0"/>
        <w:snapToGrid w:val="0"/>
        <w:spacing w:line="440" w:lineRule="exact"/>
        <w:ind w:firstLine="567"/>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五、考核评分表</w:t>
      </w:r>
    </w:p>
    <w:p w14:paraId="14FCAD11">
      <w:pPr>
        <w:adjustRightInd w:val="0"/>
        <w:snapToGrid w:val="0"/>
        <w:spacing w:line="440" w:lineRule="exact"/>
        <w:rPr>
          <w:rFonts w:hint="eastAsia" w:ascii="宋体" w:hAnsi="宋体" w:eastAsia="宋体" w:cs="宋体"/>
          <w:b/>
          <w:kern w:val="0"/>
          <w:sz w:val="28"/>
          <w:szCs w:val="28"/>
        </w:rPr>
      </w:pPr>
    </w:p>
    <w:tbl>
      <w:tblPr>
        <w:tblStyle w:val="7"/>
        <w:tblW w:w="16810" w:type="dxa"/>
        <w:tblInd w:w="-91" w:type="dxa"/>
        <w:tblLayout w:type="fixed"/>
        <w:tblCellMar>
          <w:top w:w="0" w:type="dxa"/>
          <w:left w:w="108" w:type="dxa"/>
          <w:bottom w:w="0" w:type="dxa"/>
          <w:right w:w="108" w:type="dxa"/>
        </w:tblCellMar>
      </w:tblPr>
      <w:tblGrid>
        <w:gridCol w:w="441"/>
        <w:gridCol w:w="708"/>
        <w:gridCol w:w="426"/>
        <w:gridCol w:w="3144"/>
        <w:gridCol w:w="600"/>
        <w:gridCol w:w="2336"/>
        <w:gridCol w:w="354"/>
        <w:gridCol w:w="1001"/>
        <w:gridCol w:w="726"/>
        <w:gridCol w:w="64"/>
        <w:gridCol w:w="4860"/>
        <w:gridCol w:w="2150"/>
      </w:tblGrid>
      <w:tr w14:paraId="1300F173">
        <w:tblPrEx>
          <w:tblCellMar>
            <w:top w:w="0" w:type="dxa"/>
            <w:left w:w="108" w:type="dxa"/>
            <w:bottom w:w="0" w:type="dxa"/>
            <w:right w:w="108" w:type="dxa"/>
          </w:tblCellMar>
        </w:tblPrEx>
        <w:trPr>
          <w:gridAfter w:val="3"/>
          <w:wAfter w:w="7074" w:type="dxa"/>
          <w:trHeight w:val="598" w:hRule="atLeast"/>
        </w:trPr>
        <w:tc>
          <w:tcPr>
            <w:tcW w:w="9736" w:type="dxa"/>
            <w:gridSpan w:val="9"/>
            <w:tcBorders>
              <w:top w:val="nil"/>
              <w:left w:val="nil"/>
              <w:bottom w:val="nil"/>
              <w:right w:val="nil"/>
            </w:tcBorders>
            <w:noWrap/>
            <w:vAlign w:val="top"/>
          </w:tcPr>
          <w:p w14:paraId="1A4D21BB">
            <w:pPr>
              <w:widowControl/>
              <w:jc w:val="center"/>
              <w:textAlignment w:val="top"/>
              <w:rPr>
                <w:rFonts w:hint="eastAsia" w:ascii="宋体" w:hAnsi="宋体" w:eastAsia="宋体" w:cs="宋体"/>
                <w:color w:val="000000"/>
                <w:sz w:val="32"/>
                <w:szCs w:val="32"/>
              </w:rPr>
            </w:pPr>
            <w:r>
              <w:rPr>
                <w:rFonts w:hint="eastAsia" w:ascii="宋体" w:hAnsi="宋体" w:eastAsia="宋体" w:cs="宋体"/>
                <w:color w:val="000000"/>
                <w:kern w:val="0"/>
                <w:sz w:val="32"/>
                <w:szCs w:val="32"/>
                <w:lang w:bidi="ar"/>
              </w:rPr>
              <w:t>绿地养护管理现场质量考核评分表</w:t>
            </w:r>
          </w:p>
        </w:tc>
      </w:tr>
      <w:tr w14:paraId="63D35271">
        <w:tblPrEx>
          <w:tblCellMar>
            <w:top w:w="0" w:type="dxa"/>
            <w:left w:w="108" w:type="dxa"/>
            <w:bottom w:w="0" w:type="dxa"/>
            <w:right w:w="108" w:type="dxa"/>
          </w:tblCellMar>
        </w:tblPrEx>
        <w:trPr>
          <w:gridAfter w:val="3"/>
          <w:wAfter w:w="7074" w:type="dxa"/>
          <w:trHeight w:val="416" w:hRule="atLeast"/>
        </w:trPr>
        <w:tc>
          <w:tcPr>
            <w:tcW w:w="1575" w:type="dxa"/>
            <w:gridSpan w:val="3"/>
            <w:tcBorders>
              <w:top w:val="nil"/>
              <w:left w:val="nil"/>
              <w:bottom w:val="single" w:color="000000" w:sz="4" w:space="0"/>
              <w:right w:val="nil"/>
            </w:tcBorders>
            <w:noWrap/>
            <w:vAlign w:val="center"/>
          </w:tcPr>
          <w:p w14:paraId="22A14762">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lang w:bidi="ar"/>
              </w:rPr>
              <w:t>养护单位：</w:t>
            </w:r>
          </w:p>
        </w:tc>
        <w:tc>
          <w:tcPr>
            <w:tcW w:w="3744" w:type="dxa"/>
            <w:gridSpan w:val="2"/>
            <w:tcBorders>
              <w:top w:val="nil"/>
              <w:left w:val="nil"/>
              <w:bottom w:val="single" w:color="000000" w:sz="4" w:space="0"/>
              <w:right w:val="nil"/>
            </w:tcBorders>
            <w:noWrap/>
            <w:vAlign w:val="center"/>
          </w:tcPr>
          <w:p w14:paraId="220825A4">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lang w:bidi="ar"/>
              </w:rPr>
              <w:t xml:space="preserve">      </w:t>
            </w:r>
          </w:p>
        </w:tc>
        <w:tc>
          <w:tcPr>
            <w:tcW w:w="2336" w:type="dxa"/>
            <w:tcBorders>
              <w:top w:val="nil"/>
              <w:left w:val="nil"/>
              <w:bottom w:val="nil"/>
              <w:right w:val="nil"/>
            </w:tcBorders>
            <w:noWrap/>
            <w:vAlign w:val="center"/>
          </w:tcPr>
          <w:p w14:paraId="4B70E21E">
            <w:pPr>
              <w:widowControl/>
              <w:jc w:val="center"/>
              <w:textAlignment w:val="center"/>
              <w:rPr>
                <w:rFonts w:hint="eastAsia" w:ascii="宋体" w:hAnsi="宋体" w:eastAsia="宋体" w:cs="宋体"/>
                <w:b/>
                <w:bCs/>
                <w:color w:val="000000"/>
                <w:sz w:val="24"/>
              </w:rPr>
            </w:pPr>
          </w:p>
        </w:tc>
        <w:tc>
          <w:tcPr>
            <w:tcW w:w="2081" w:type="dxa"/>
            <w:gridSpan w:val="3"/>
            <w:tcBorders>
              <w:top w:val="nil"/>
              <w:left w:val="nil"/>
              <w:bottom w:val="single" w:color="000000" w:sz="4" w:space="0"/>
              <w:right w:val="nil"/>
            </w:tcBorders>
            <w:noWrap/>
            <w:vAlign w:val="center"/>
          </w:tcPr>
          <w:p w14:paraId="045D725A">
            <w:pPr>
              <w:widowControl/>
              <w:jc w:val="left"/>
              <w:textAlignment w:val="center"/>
              <w:rPr>
                <w:rFonts w:hint="eastAsia" w:ascii="宋体" w:hAnsi="宋体" w:eastAsia="宋体" w:cs="宋体"/>
                <w:color w:val="000000"/>
                <w:sz w:val="24"/>
              </w:rPr>
            </w:pPr>
            <w:r>
              <w:rPr>
                <w:rFonts w:hint="eastAsia" w:ascii="宋体" w:hAnsi="宋体" w:eastAsia="宋体" w:cs="宋体"/>
                <w:b/>
                <w:bCs/>
                <w:color w:val="000000"/>
                <w:kern w:val="0"/>
                <w:sz w:val="22"/>
                <w:szCs w:val="22"/>
                <w:lang w:bidi="ar"/>
              </w:rPr>
              <w:t>得分：</w:t>
            </w:r>
          </w:p>
        </w:tc>
      </w:tr>
      <w:tr w14:paraId="72B3300C">
        <w:tblPrEx>
          <w:tblCellMar>
            <w:top w:w="0" w:type="dxa"/>
            <w:left w:w="108" w:type="dxa"/>
            <w:bottom w:w="0" w:type="dxa"/>
            <w:right w:w="108" w:type="dxa"/>
          </w:tblCellMar>
        </w:tblPrEx>
        <w:trPr>
          <w:gridAfter w:val="2"/>
          <w:wAfter w:w="7010" w:type="dxa"/>
          <w:trHeight w:val="412" w:hRule="atLeast"/>
        </w:trPr>
        <w:tc>
          <w:tcPr>
            <w:tcW w:w="441" w:type="dxa"/>
            <w:tcBorders>
              <w:top w:val="single" w:color="000000" w:sz="4" w:space="0"/>
              <w:left w:val="single" w:color="000000" w:sz="4" w:space="0"/>
              <w:bottom w:val="single" w:color="000000" w:sz="4" w:space="0"/>
              <w:right w:val="single" w:color="000000" w:sz="4" w:space="0"/>
            </w:tcBorders>
            <w:noWrap/>
            <w:vAlign w:val="center"/>
          </w:tcPr>
          <w:p w14:paraId="22AA8A67">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序号</w:t>
            </w:r>
          </w:p>
        </w:tc>
        <w:tc>
          <w:tcPr>
            <w:tcW w:w="708" w:type="dxa"/>
            <w:tcBorders>
              <w:top w:val="single" w:color="000000" w:sz="4" w:space="0"/>
              <w:left w:val="single" w:color="000000" w:sz="4" w:space="0"/>
              <w:bottom w:val="single" w:color="000000" w:sz="4" w:space="0"/>
              <w:right w:val="single" w:color="000000" w:sz="4" w:space="0"/>
            </w:tcBorders>
            <w:noWrap/>
            <w:vAlign w:val="center"/>
          </w:tcPr>
          <w:p w14:paraId="7AB87DC5">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分项</w:t>
            </w:r>
          </w:p>
        </w:tc>
        <w:tc>
          <w:tcPr>
            <w:tcW w:w="426" w:type="dxa"/>
            <w:tcBorders>
              <w:top w:val="single" w:color="000000" w:sz="4" w:space="0"/>
              <w:left w:val="single" w:color="000000" w:sz="4" w:space="0"/>
              <w:bottom w:val="single" w:color="000000" w:sz="4" w:space="0"/>
              <w:right w:val="single" w:color="000000" w:sz="4" w:space="0"/>
            </w:tcBorders>
            <w:noWrap/>
            <w:vAlign w:val="center"/>
          </w:tcPr>
          <w:p w14:paraId="7C29C5D1">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条目</w:t>
            </w:r>
          </w:p>
        </w:tc>
        <w:tc>
          <w:tcPr>
            <w:tcW w:w="3144" w:type="dxa"/>
            <w:tcBorders>
              <w:top w:val="single" w:color="000000" w:sz="4" w:space="0"/>
              <w:left w:val="single" w:color="000000" w:sz="4" w:space="0"/>
              <w:bottom w:val="single" w:color="000000" w:sz="4" w:space="0"/>
              <w:right w:val="single" w:color="000000" w:sz="4" w:space="0"/>
            </w:tcBorders>
            <w:noWrap w:val="0"/>
            <w:vAlign w:val="center"/>
          </w:tcPr>
          <w:p w14:paraId="7426ED96">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考核内容及管护要求</w:t>
            </w:r>
          </w:p>
        </w:tc>
        <w:tc>
          <w:tcPr>
            <w:tcW w:w="3290" w:type="dxa"/>
            <w:gridSpan w:val="3"/>
            <w:tcBorders>
              <w:top w:val="single" w:color="000000" w:sz="4" w:space="0"/>
              <w:left w:val="single" w:color="000000" w:sz="4" w:space="0"/>
              <w:bottom w:val="single" w:color="000000" w:sz="4" w:space="0"/>
              <w:right w:val="single" w:color="000000" w:sz="4" w:space="0"/>
            </w:tcBorders>
            <w:noWrap/>
            <w:vAlign w:val="center"/>
          </w:tcPr>
          <w:p w14:paraId="24E79031">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扣分细则</w:t>
            </w:r>
          </w:p>
        </w:tc>
        <w:tc>
          <w:tcPr>
            <w:tcW w:w="1001" w:type="dxa"/>
            <w:tcBorders>
              <w:top w:val="single" w:color="000000" w:sz="4" w:space="0"/>
              <w:left w:val="single" w:color="000000" w:sz="4" w:space="0"/>
              <w:bottom w:val="single" w:color="000000" w:sz="4" w:space="0"/>
              <w:right w:val="single" w:color="000000" w:sz="4" w:space="0"/>
            </w:tcBorders>
            <w:noWrap/>
            <w:vAlign w:val="center"/>
          </w:tcPr>
          <w:p w14:paraId="578E564C">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扣分原因</w:t>
            </w:r>
          </w:p>
        </w:tc>
        <w:tc>
          <w:tcPr>
            <w:tcW w:w="790" w:type="dxa"/>
            <w:gridSpan w:val="2"/>
            <w:tcBorders>
              <w:top w:val="single" w:color="000000" w:sz="4" w:space="0"/>
              <w:left w:val="single" w:color="000000" w:sz="4" w:space="0"/>
              <w:bottom w:val="single" w:color="000000" w:sz="4" w:space="0"/>
              <w:right w:val="single" w:color="000000" w:sz="4" w:space="0"/>
            </w:tcBorders>
            <w:noWrap/>
            <w:vAlign w:val="center"/>
          </w:tcPr>
          <w:p w14:paraId="1856005E">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得分</w:t>
            </w:r>
          </w:p>
        </w:tc>
      </w:tr>
      <w:tr w14:paraId="78315213">
        <w:tblPrEx>
          <w:tblCellMar>
            <w:top w:w="0" w:type="dxa"/>
            <w:left w:w="108" w:type="dxa"/>
            <w:bottom w:w="0" w:type="dxa"/>
            <w:right w:w="108" w:type="dxa"/>
          </w:tblCellMar>
        </w:tblPrEx>
        <w:trPr>
          <w:gridAfter w:val="2"/>
          <w:wAfter w:w="7010" w:type="dxa"/>
          <w:trHeight w:val="458" w:hRule="atLeast"/>
        </w:trPr>
        <w:tc>
          <w:tcPr>
            <w:tcW w:w="441" w:type="dxa"/>
            <w:vMerge w:val="restart"/>
            <w:tcBorders>
              <w:top w:val="single" w:color="000000" w:sz="4" w:space="0"/>
              <w:left w:val="single" w:color="000000" w:sz="4" w:space="0"/>
              <w:bottom w:val="single" w:color="000000" w:sz="4" w:space="0"/>
              <w:right w:val="single" w:color="000000" w:sz="4" w:space="0"/>
            </w:tcBorders>
            <w:noWrap/>
            <w:vAlign w:val="center"/>
          </w:tcPr>
          <w:p w14:paraId="4AC42942">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1</w:t>
            </w:r>
          </w:p>
        </w:tc>
        <w:tc>
          <w:tcPr>
            <w:tcW w:w="708" w:type="dxa"/>
            <w:vMerge w:val="restart"/>
            <w:tcBorders>
              <w:top w:val="single" w:color="000000" w:sz="4" w:space="0"/>
              <w:left w:val="single" w:color="000000" w:sz="4" w:space="0"/>
              <w:bottom w:val="single" w:color="000000" w:sz="4" w:space="0"/>
              <w:right w:val="single" w:color="000000" w:sz="4" w:space="0"/>
            </w:tcBorders>
            <w:noWrap w:val="0"/>
            <w:vAlign w:val="center"/>
          </w:tcPr>
          <w:p w14:paraId="69FFA2CB">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绿地环境 10分</w:t>
            </w:r>
          </w:p>
        </w:tc>
        <w:tc>
          <w:tcPr>
            <w:tcW w:w="426" w:type="dxa"/>
            <w:tcBorders>
              <w:top w:val="single" w:color="000000" w:sz="4" w:space="0"/>
              <w:left w:val="single" w:color="000000" w:sz="4" w:space="0"/>
              <w:bottom w:val="single" w:color="000000" w:sz="4" w:space="0"/>
              <w:right w:val="single" w:color="000000" w:sz="4" w:space="0"/>
            </w:tcBorders>
            <w:noWrap/>
            <w:vAlign w:val="center"/>
          </w:tcPr>
          <w:p w14:paraId="409B0493">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1</w:t>
            </w:r>
          </w:p>
        </w:tc>
        <w:tc>
          <w:tcPr>
            <w:tcW w:w="3144" w:type="dxa"/>
            <w:tcBorders>
              <w:top w:val="single" w:color="000000" w:sz="4" w:space="0"/>
              <w:left w:val="single" w:color="000000" w:sz="4" w:space="0"/>
              <w:bottom w:val="single" w:color="000000" w:sz="4" w:space="0"/>
              <w:right w:val="single" w:color="000000" w:sz="4" w:space="0"/>
            </w:tcBorders>
            <w:noWrap w:val="0"/>
            <w:vAlign w:val="center"/>
          </w:tcPr>
          <w:p w14:paraId="7B0D8C87">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绿地整洁，无废弃物，植物叶面无陈旧积尘。</w:t>
            </w:r>
          </w:p>
        </w:tc>
        <w:tc>
          <w:tcPr>
            <w:tcW w:w="3290" w:type="dxa"/>
            <w:gridSpan w:val="3"/>
            <w:tcBorders>
              <w:top w:val="single" w:color="000000" w:sz="4" w:space="0"/>
              <w:left w:val="single" w:color="000000" w:sz="4" w:space="0"/>
              <w:bottom w:val="single" w:color="000000" w:sz="4" w:space="0"/>
              <w:right w:val="single" w:color="000000" w:sz="4" w:space="0"/>
            </w:tcBorders>
            <w:noWrap w:val="0"/>
            <w:vAlign w:val="center"/>
          </w:tcPr>
          <w:p w14:paraId="02D03139">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有一处扣1分，扣完为止。</w:t>
            </w:r>
          </w:p>
        </w:tc>
        <w:tc>
          <w:tcPr>
            <w:tcW w:w="1001" w:type="dxa"/>
            <w:tcBorders>
              <w:top w:val="single" w:color="000000" w:sz="4" w:space="0"/>
              <w:left w:val="single" w:color="000000" w:sz="4" w:space="0"/>
              <w:bottom w:val="single" w:color="000000" w:sz="4" w:space="0"/>
              <w:right w:val="single" w:color="000000" w:sz="4" w:space="0"/>
            </w:tcBorders>
            <w:noWrap/>
            <w:vAlign w:val="center"/>
          </w:tcPr>
          <w:p w14:paraId="5EA3D5EF">
            <w:pPr>
              <w:rPr>
                <w:rFonts w:hint="eastAsia" w:ascii="宋体" w:hAnsi="宋体" w:eastAsia="宋体" w:cs="宋体"/>
                <w:color w:val="000000"/>
                <w:sz w:val="20"/>
                <w:szCs w:val="20"/>
              </w:rPr>
            </w:pPr>
          </w:p>
        </w:tc>
        <w:tc>
          <w:tcPr>
            <w:tcW w:w="790" w:type="dxa"/>
            <w:gridSpan w:val="2"/>
            <w:tcBorders>
              <w:top w:val="single" w:color="000000" w:sz="4" w:space="0"/>
              <w:left w:val="single" w:color="000000" w:sz="4" w:space="0"/>
              <w:bottom w:val="single" w:color="000000" w:sz="4" w:space="0"/>
              <w:right w:val="single" w:color="000000" w:sz="4" w:space="0"/>
            </w:tcBorders>
            <w:noWrap/>
            <w:vAlign w:val="center"/>
          </w:tcPr>
          <w:p w14:paraId="055850A4">
            <w:pPr>
              <w:rPr>
                <w:rFonts w:hint="eastAsia" w:ascii="宋体" w:hAnsi="宋体" w:eastAsia="宋体" w:cs="宋体"/>
                <w:color w:val="000000"/>
                <w:sz w:val="20"/>
                <w:szCs w:val="20"/>
              </w:rPr>
            </w:pPr>
          </w:p>
        </w:tc>
      </w:tr>
      <w:tr w14:paraId="4F87163D">
        <w:tblPrEx>
          <w:tblCellMar>
            <w:top w:w="0" w:type="dxa"/>
            <w:left w:w="108" w:type="dxa"/>
            <w:bottom w:w="0" w:type="dxa"/>
            <w:right w:w="108" w:type="dxa"/>
          </w:tblCellMar>
        </w:tblPrEx>
        <w:trPr>
          <w:gridAfter w:val="2"/>
          <w:wAfter w:w="7010" w:type="dxa"/>
          <w:trHeight w:val="464" w:hRule="atLeast"/>
        </w:trPr>
        <w:tc>
          <w:tcPr>
            <w:tcW w:w="441" w:type="dxa"/>
            <w:vMerge w:val="continue"/>
            <w:tcBorders>
              <w:top w:val="single" w:color="000000" w:sz="4" w:space="0"/>
              <w:left w:val="single" w:color="000000" w:sz="4" w:space="0"/>
              <w:bottom w:val="single" w:color="000000" w:sz="4" w:space="0"/>
              <w:right w:val="single" w:color="000000" w:sz="4" w:space="0"/>
            </w:tcBorders>
            <w:noWrap/>
            <w:vAlign w:val="center"/>
          </w:tcPr>
          <w:p w14:paraId="0366E1FE">
            <w:pPr>
              <w:jc w:val="center"/>
              <w:rPr>
                <w:rFonts w:hint="eastAsia" w:ascii="宋体" w:hAnsi="宋体" w:eastAsia="宋体" w:cs="宋体"/>
                <w:color w:val="000000"/>
                <w:sz w:val="20"/>
                <w:szCs w:val="20"/>
              </w:rPr>
            </w:pPr>
          </w:p>
        </w:tc>
        <w:tc>
          <w:tcPr>
            <w:tcW w:w="70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4A361A2">
            <w:pPr>
              <w:jc w:val="center"/>
              <w:rPr>
                <w:rFonts w:hint="eastAsia" w:ascii="宋体" w:hAnsi="宋体" w:eastAsia="宋体" w:cs="宋体"/>
                <w:color w:val="000000"/>
                <w:sz w:val="20"/>
                <w:szCs w:val="20"/>
              </w:rPr>
            </w:pPr>
          </w:p>
        </w:tc>
        <w:tc>
          <w:tcPr>
            <w:tcW w:w="426" w:type="dxa"/>
            <w:tcBorders>
              <w:top w:val="single" w:color="000000" w:sz="4" w:space="0"/>
              <w:left w:val="single" w:color="000000" w:sz="4" w:space="0"/>
              <w:bottom w:val="single" w:color="000000" w:sz="4" w:space="0"/>
              <w:right w:val="single" w:color="000000" w:sz="4" w:space="0"/>
            </w:tcBorders>
            <w:noWrap/>
            <w:vAlign w:val="center"/>
          </w:tcPr>
          <w:p w14:paraId="51F52B52">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2</w:t>
            </w:r>
          </w:p>
        </w:tc>
        <w:tc>
          <w:tcPr>
            <w:tcW w:w="3144" w:type="dxa"/>
            <w:tcBorders>
              <w:top w:val="single" w:color="000000" w:sz="4" w:space="0"/>
              <w:left w:val="single" w:color="000000" w:sz="4" w:space="0"/>
              <w:bottom w:val="single" w:color="000000" w:sz="4" w:space="0"/>
              <w:right w:val="single" w:color="000000" w:sz="4" w:space="0"/>
            </w:tcBorders>
            <w:noWrap w:val="0"/>
            <w:vAlign w:val="center"/>
          </w:tcPr>
          <w:p w14:paraId="0254FCF7">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绿化生产垃圾（树枝、树叶、草屑等），日产日清。</w:t>
            </w:r>
          </w:p>
        </w:tc>
        <w:tc>
          <w:tcPr>
            <w:tcW w:w="3290" w:type="dxa"/>
            <w:gridSpan w:val="3"/>
            <w:tcBorders>
              <w:top w:val="single" w:color="000000" w:sz="4" w:space="0"/>
              <w:left w:val="single" w:color="000000" w:sz="4" w:space="0"/>
              <w:bottom w:val="single" w:color="000000" w:sz="4" w:space="0"/>
              <w:right w:val="single" w:color="000000" w:sz="4" w:space="0"/>
            </w:tcBorders>
            <w:noWrap w:val="0"/>
            <w:vAlign w:val="center"/>
          </w:tcPr>
          <w:p w14:paraId="6BC37BD3">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有一项扣1分，扣完为止。</w:t>
            </w:r>
          </w:p>
        </w:tc>
        <w:tc>
          <w:tcPr>
            <w:tcW w:w="1001" w:type="dxa"/>
            <w:tcBorders>
              <w:top w:val="single" w:color="000000" w:sz="4" w:space="0"/>
              <w:left w:val="single" w:color="000000" w:sz="4" w:space="0"/>
              <w:bottom w:val="single" w:color="000000" w:sz="4" w:space="0"/>
              <w:right w:val="single" w:color="000000" w:sz="4" w:space="0"/>
            </w:tcBorders>
            <w:noWrap/>
            <w:vAlign w:val="center"/>
          </w:tcPr>
          <w:p w14:paraId="2128009C">
            <w:pPr>
              <w:rPr>
                <w:rFonts w:hint="eastAsia" w:ascii="宋体" w:hAnsi="宋体" w:eastAsia="宋体" w:cs="宋体"/>
                <w:color w:val="000000"/>
                <w:sz w:val="20"/>
                <w:szCs w:val="20"/>
              </w:rPr>
            </w:pPr>
          </w:p>
        </w:tc>
        <w:tc>
          <w:tcPr>
            <w:tcW w:w="790" w:type="dxa"/>
            <w:gridSpan w:val="2"/>
            <w:tcBorders>
              <w:top w:val="single" w:color="000000" w:sz="4" w:space="0"/>
              <w:left w:val="single" w:color="000000" w:sz="4" w:space="0"/>
              <w:bottom w:val="single" w:color="000000" w:sz="4" w:space="0"/>
              <w:right w:val="single" w:color="000000" w:sz="4" w:space="0"/>
            </w:tcBorders>
            <w:noWrap/>
            <w:vAlign w:val="center"/>
          </w:tcPr>
          <w:p w14:paraId="027BC7AA">
            <w:pPr>
              <w:rPr>
                <w:rFonts w:hint="eastAsia" w:ascii="宋体" w:hAnsi="宋体" w:eastAsia="宋体" w:cs="宋体"/>
                <w:color w:val="000000"/>
                <w:sz w:val="20"/>
                <w:szCs w:val="20"/>
              </w:rPr>
            </w:pPr>
          </w:p>
        </w:tc>
      </w:tr>
      <w:tr w14:paraId="3CDE8CB3">
        <w:tblPrEx>
          <w:tblCellMar>
            <w:top w:w="0" w:type="dxa"/>
            <w:left w:w="108" w:type="dxa"/>
            <w:bottom w:w="0" w:type="dxa"/>
            <w:right w:w="108" w:type="dxa"/>
          </w:tblCellMar>
        </w:tblPrEx>
        <w:trPr>
          <w:gridAfter w:val="2"/>
          <w:wAfter w:w="7010" w:type="dxa"/>
          <w:trHeight w:val="683" w:hRule="atLeast"/>
        </w:trPr>
        <w:tc>
          <w:tcPr>
            <w:tcW w:w="441" w:type="dxa"/>
            <w:vMerge w:val="restart"/>
            <w:tcBorders>
              <w:top w:val="single" w:color="000000" w:sz="4" w:space="0"/>
              <w:left w:val="single" w:color="000000" w:sz="4" w:space="0"/>
              <w:bottom w:val="single" w:color="000000" w:sz="4" w:space="0"/>
              <w:right w:val="single" w:color="000000" w:sz="4" w:space="0"/>
            </w:tcBorders>
            <w:noWrap/>
            <w:vAlign w:val="center"/>
          </w:tcPr>
          <w:p w14:paraId="4E03D112">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2</w:t>
            </w:r>
          </w:p>
        </w:tc>
        <w:tc>
          <w:tcPr>
            <w:tcW w:w="708" w:type="dxa"/>
            <w:vMerge w:val="restart"/>
            <w:tcBorders>
              <w:top w:val="single" w:color="000000" w:sz="4" w:space="0"/>
              <w:left w:val="single" w:color="000000" w:sz="4" w:space="0"/>
              <w:bottom w:val="single" w:color="000000" w:sz="4" w:space="0"/>
              <w:right w:val="single" w:color="000000" w:sz="4" w:space="0"/>
            </w:tcBorders>
            <w:noWrap w:val="0"/>
            <w:vAlign w:val="center"/>
          </w:tcPr>
          <w:p w14:paraId="26DD23EC">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设施维护 4分</w:t>
            </w:r>
          </w:p>
        </w:tc>
        <w:tc>
          <w:tcPr>
            <w:tcW w:w="426" w:type="dxa"/>
            <w:tcBorders>
              <w:top w:val="single" w:color="000000" w:sz="4" w:space="0"/>
              <w:left w:val="single" w:color="000000" w:sz="4" w:space="0"/>
              <w:bottom w:val="single" w:color="000000" w:sz="4" w:space="0"/>
              <w:right w:val="single" w:color="000000" w:sz="4" w:space="0"/>
            </w:tcBorders>
            <w:noWrap/>
            <w:vAlign w:val="center"/>
          </w:tcPr>
          <w:p w14:paraId="521DD95D">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3</w:t>
            </w:r>
          </w:p>
        </w:tc>
        <w:tc>
          <w:tcPr>
            <w:tcW w:w="3144" w:type="dxa"/>
            <w:tcBorders>
              <w:top w:val="single" w:color="000000" w:sz="4" w:space="0"/>
              <w:left w:val="single" w:color="000000" w:sz="4" w:space="0"/>
              <w:bottom w:val="single" w:color="000000" w:sz="4" w:space="0"/>
              <w:right w:val="single" w:color="000000" w:sz="4" w:space="0"/>
            </w:tcBorders>
            <w:noWrap w:val="0"/>
            <w:vAlign w:val="center"/>
          </w:tcPr>
          <w:p w14:paraId="2965F410">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绿化景点标志指示牌、坐椅、灯箱、庭院灯、栏杆、垃圾箱及园林建筑小品等设施整洁完好，维护及时。</w:t>
            </w:r>
          </w:p>
        </w:tc>
        <w:tc>
          <w:tcPr>
            <w:tcW w:w="3290" w:type="dxa"/>
            <w:gridSpan w:val="3"/>
            <w:tcBorders>
              <w:top w:val="single" w:color="000000" w:sz="4" w:space="0"/>
              <w:left w:val="single" w:color="000000" w:sz="4" w:space="0"/>
              <w:bottom w:val="single" w:color="000000" w:sz="4" w:space="0"/>
              <w:right w:val="single" w:color="000000" w:sz="4" w:space="0"/>
            </w:tcBorders>
            <w:noWrap w:val="0"/>
            <w:vAlign w:val="center"/>
          </w:tcPr>
          <w:p w14:paraId="39D8FC3F">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发现一处扣1分，扣完为止。</w:t>
            </w:r>
          </w:p>
        </w:tc>
        <w:tc>
          <w:tcPr>
            <w:tcW w:w="1001" w:type="dxa"/>
            <w:tcBorders>
              <w:top w:val="single" w:color="000000" w:sz="4" w:space="0"/>
              <w:left w:val="single" w:color="000000" w:sz="4" w:space="0"/>
              <w:bottom w:val="single" w:color="000000" w:sz="4" w:space="0"/>
              <w:right w:val="single" w:color="000000" w:sz="4" w:space="0"/>
            </w:tcBorders>
            <w:noWrap/>
            <w:vAlign w:val="center"/>
          </w:tcPr>
          <w:p w14:paraId="568378FF">
            <w:pPr>
              <w:rPr>
                <w:rFonts w:hint="eastAsia" w:ascii="宋体" w:hAnsi="宋体" w:eastAsia="宋体" w:cs="宋体"/>
                <w:color w:val="000000"/>
                <w:sz w:val="20"/>
                <w:szCs w:val="20"/>
              </w:rPr>
            </w:pPr>
          </w:p>
        </w:tc>
        <w:tc>
          <w:tcPr>
            <w:tcW w:w="790" w:type="dxa"/>
            <w:gridSpan w:val="2"/>
            <w:tcBorders>
              <w:top w:val="single" w:color="000000" w:sz="4" w:space="0"/>
              <w:left w:val="single" w:color="000000" w:sz="4" w:space="0"/>
              <w:bottom w:val="single" w:color="000000" w:sz="4" w:space="0"/>
              <w:right w:val="single" w:color="000000" w:sz="4" w:space="0"/>
            </w:tcBorders>
            <w:noWrap/>
            <w:vAlign w:val="center"/>
          </w:tcPr>
          <w:p w14:paraId="21371962">
            <w:pPr>
              <w:rPr>
                <w:rFonts w:hint="eastAsia" w:ascii="宋体" w:hAnsi="宋体" w:eastAsia="宋体" w:cs="宋体"/>
                <w:color w:val="000000"/>
                <w:sz w:val="20"/>
                <w:szCs w:val="20"/>
              </w:rPr>
            </w:pPr>
          </w:p>
        </w:tc>
      </w:tr>
      <w:tr w14:paraId="39788249">
        <w:tblPrEx>
          <w:tblCellMar>
            <w:top w:w="0" w:type="dxa"/>
            <w:left w:w="108" w:type="dxa"/>
            <w:bottom w:w="0" w:type="dxa"/>
            <w:right w:w="108" w:type="dxa"/>
          </w:tblCellMar>
        </w:tblPrEx>
        <w:trPr>
          <w:gridAfter w:val="2"/>
          <w:wAfter w:w="7010" w:type="dxa"/>
          <w:trHeight w:val="321" w:hRule="atLeast"/>
        </w:trPr>
        <w:tc>
          <w:tcPr>
            <w:tcW w:w="441" w:type="dxa"/>
            <w:vMerge w:val="continue"/>
            <w:tcBorders>
              <w:top w:val="single" w:color="000000" w:sz="4" w:space="0"/>
              <w:left w:val="single" w:color="000000" w:sz="4" w:space="0"/>
              <w:bottom w:val="single" w:color="000000" w:sz="4" w:space="0"/>
              <w:right w:val="single" w:color="000000" w:sz="4" w:space="0"/>
            </w:tcBorders>
            <w:noWrap/>
            <w:vAlign w:val="center"/>
          </w:tcPr>
          <w:p w14:paraId="629B3589">
            <w:pPr>
              <w:jc w:val="center"/>
              <w:rPr>
                <w:rFonts w:hint="eastAsia" w:ascii="宋体" w:hAnsi="宋体" w:eastAsia="宋体" w:cs="宋体"/>
                <w:color w:val="000000"/>
                <w:sz w:val="20"/>
                <w:szCs w:val="20"/>
              </w:rPr>
            </w:pPr>
          </w:p>
        </w:tc>
        <w:tc>
          <w:tcPr>
            <w:tcW w:w="70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0272AF3">
            <w:pPr>
              <w:jc w:val="center"/>
              <w:rPr>
                <w:rFonts w:hint="eastAsia" w:ascii="宋体" w:hAnsi="宋体" w:eastAsia="宋体" w:cs="宋体"/>
                <w:color w:val="000000"/>
                <w:sz w:val="20"/>
                <w:szCs w:val="20"/>
              </w:rPr>
            </w:pPr>
          </w:p>
        </w:tc>
        <w:tc>
          <w:tcPr>
            <w:tcW w:w="426" w:type="dxa"/>
            <w:tcBorders>
              <w:top w:val="single" w:color="000000" w:sz="4" w:space="0"/>
              <w:left w:val="single" w:color="000000" w:sz="4" w:space="0"/>
              <w:bottom w:val="single" w:color="000000" w:sz="4" w:space="0"/>
              <w:right w:val="single" w:color="000000" w:sz="4" w:space="0"/>
            </w:tcBorders>
            <w:noWrap/>
            <w:vAlign w:val="center"/>
          </w:tcPr>
          <w:p w14:paraId="67B7527C">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4</w:t>
            </w:r>
          </w:p>
        </w:tc>
        <w:tc>
          <w:tcPr>
            <w:tcW w:w="3144" w:type="dxa"/>
            <w:tcBorders>
              <w:top w:val="single" w:color="000000" w:sz="4" w:space="0"/>
              <w:left w:val="single" w:color="000000" w:sz="4" w:space="0"/>
              <w:bottom w:val="single" w:color="000000" w:sz="4" w:space="0"/>
              <w:right w:val="single" w:color="000000" w:sz="4" w:space="0"/>
            </w:tcBorders>
            <w:noWrap w:val="0"/>
            <w:vAlign w:val="center"/>
          </w:tcPr>
          <w:p w14:paraId="394960DD">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水池定期清理换水，喷泉按要求开放。</w:t>
            </w:r>
          </w:p>
        </w:tc>
        <w:tc>
          <w:tcPr>
            <w:tcW w:w="3290" w:type="dxa"/>
            <w:gridSpan w:val="3"/>
            <w:tcBorders>
              <w:top w:val="single" w:color="000000" w:sz="4" w:space="0"/>
              <w:left w:val="single" w:color="000000" w:sz="4" w:space="0"/>
              <w:bottom w:val="single" w:color="000000" w:sz="4" w:space="0"/>
              <w:right w:val="single" w:color="000000" w:sz="4" w:space="0"/>
            </w:tcBorders>
            <w:noWrap w:val="0"/>
            <w:vAlign w:val="center"/>
          </w:tcPr>
          <w:p w14:paraId="351A88A6">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不符合要求扣1分。</w:t>
            </w:r>
          </w:p>
        </w:tc>
        <w:tc>
          <w:tcPr>
            <w:tcW w:w="1001" w:type="dxa"/>
            <w:tcBorders>
              <w:top w:val="single" w:color="000000" w:sz="4" w:space="0"/>
              <w:left w:val="single" w:color="000000" w:sz="4" w:space="0"/>
              <w:bottom w:val="single" w:color="000000" w:sz="4" w:space="0"/>
              <w:right w:val="single" w:color="000000" w:sz="4" w:space="0"/>
            </w:tcBorders>
            <w:noWrap/>
            <w:vAlign w:val="center"/>
          </w:tcPr>
          <w:p w14:paraId="6AF0D05E">
            <w:pPr>
              <w:rPr>
                <w:rFonts w:hint="eastAsia" w:ascii="宋体" w:hAnsi="宋体" w:eastAsia="宋体" w:cs="宋体"/>
                <w:color w:val="000000"/>
                <w:sz w:val="20"/>
                <w:szCs w:val="20"/>
              </w:rPr>
            </w:pPr>
          </w:p>
        </w:tc>
        <w:tc>
          <w:tcPr>
            <w:tcW w:w="790" w:type="dxa"/>
            <w:gridSpan w:val="2"/>
            <w:tcBorders>
              <w:top w:val="single" w:color="000000" w:sz="4" w:space="0"/>
              <w:left w:val="single" w:color="000000" w:sz="4" w:space="0"/>
              <w:bottom w:val="single" w:color="000000" w:sz="4" w:space="0"/>
              <w:right w:val="single" w:color="000000" w:sz="4" w:space="0"/>
            </w:tcBorders>
            <w:noWrap/>
            <w:vAlign w:val="center"/>
          </w:tcPr>
          <w:p w14:paraId="7881FBB6">
            <w:pPr>
              <w:rPr>
                <w:rFonts w:hint="eastAsia" w:ascii="宋体" w:hAnsi="宋体" w:eastAsia="宋体" w:cs="宋体"/>
                <w:color w:val="000000"/>
                <w:sz w:val="20"/>
                <w:szCs w:val="20"/>
              </w:rPr>
            </w:pPr>
          </w:p>
        </w:tc>
      </w:tr>
      <w:tr w14:paraId="05377595">
        <w:tblPrEx>
          <w:tblCellMar>
            <w:top w:w="0" w:type="dxa"/>
            <w:left w:w="108" w:type="dxa"/>
            <w:bottom w:w="0" w:type="dxa"/>
            <w:right w:w="108" w:type="dxa"/>
          </w:tblCellMar>
        </w:tblPrEx>
        <w:trPr>
          <w:gridAfter w:val="2"/>
          <w:wAfter w:w="7010" w:type="dxa"/>
          <w:trHeight w:val="321" w:hRule="atLeast"/>
        </w:trPr>
        <w:tc>
          <w:tcPr>
            <w:tcW w:w="441" w:type="dxa"/>
            <w:vMerge w:val="continue"/>
            <w:tcBorders>
              <w:top w:val="single" w:color="000000" w:sz="4" w:space="0"/>
              <w:left w:val="single" w:color="000000" w:sz="4" w:space="0"/>
              <w:bottom w:val="single" w:color="000000" w:sz="4" w:space="0"/>
              <w:right w:val="single" w:color="000000" w:sz="4" w:space="0"/>
            </w:tcBorders>
            <w:noWrap/>
            <w:vAlign w:val="center"/>
          </w:tcPr>
          <w:p w14:paraId="2E976D4A">
            <w:pPr>
              <w:jc w:val="center"/>
              <w:rPr>
                <w:rFonts w:hint="eastAsia" w:ascii="宋体" w:hAnsi="宋体" w:eastAsia="宋体" w:cs="宋体"/>
                <w:color w:val="000000"/>
                <w:sz w:val="20"/>
                <w:szCs w:val="20"/>
              </w:rPr>
            </w:pPr>
          </w:p>
        </w:tc>
        <w:tc>
          <w:tcPr>
            <w:tcW w:w="70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24F9604">
            <w:pPr>
              <w:jc w:val="center"/>
              <w:rPr>
                <w:rFonts w:hint="eastAsia" w:ascii="宋体" w:hAnsi="宋体" w:eastAsia="宋体" w:cs="宋体"/>
                <w:color w:val="000000"/>
                <w:sz w:val="20"/>
                <w:szCs w:val="20"/>
              </w:rPr>
            </w:pPr>
          </w:p>
        </w:tc>
        <w:tc>
          <w:tcPr>
            <w:tcW w:w="426" w:type="dxa"/>
            <w:tcBorders>
              <w:top w:val="single" w:color="000000" w:sz="4" w:space="0"/>
              <w:left w:val="single" w:color="000000" w:sz="4" w:space="0"/>
              <w:bottom w:val="single" w:color="000000" w:sz="4" w:space="0"/>
              <w:right w:val="single" w:color="000000" w:sz="4" w:space="0"/>
            </w:tcBorders>
            <w:noWrap/>
            <w:vAlign w:val="center"/>
          </w:tcPr>
          <w:p w14:paraId="79062CB4">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5</w:t>
            </w:r>
          </w:p>
        </w:tc>
        <w:tc>
          <w:tcPr>
            <w:tcW w:w="3144" w:type="dxa"/>
            <w:tcBorders>
              <w:top w:val="single" w:color="000000" w:sz="4" w:space="0"/>
              <w:left w:val="single" w:color="000000" w:sz="4" w:space="0"/>
              <w:bottom w:val="single" w:color="000000" w:sz="4" w:space="0"/>
              <w:right w:val="single" w:color="000000" w:sz="4" w:space="0"/>
            </w:tcBorders>
            <w:noWrap w:val="0"/>
            <w:vAlign w:val="center"/>
          </w:tcPr>
          <w:p w14:paraId="48A80993">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树木支撑规范，扎缚有效。</w:t>
            </w:r>
          </w:p>
        </w:tc>
        <w:tc>
          <w:tcPr>
            <w:tcW w:w="3290" w:type="dxa"/>
            <w:gridSpan w:val="3"/>
            <w:tcBorders>
              <w:top w:val="single" w:color="000000" w:sz="4" w:space="0"/>
              <w:left w:val="single" w:color="000000" w:sz="4" w:space="0"/>
              <w:bottom w:val="single" w:color="000000" w:sz="4" w:space="0"/>
              <w:right w:val="single" w:color="000000" w:sz="4" w:space="0"/>
            </w:tcBorders>
            <w:noWrap w:val="0"/>
            <w:vAlign w:val="center"/>
          </w:tcPr>
          <w:p w14:paraId="2957720E">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发现1株扣1分，扣完为止。</w:t>
            </w:r>
          </w:p>
        </w:tc>
        <w:tc>
          <w:tcPr>
            <w:tcW w:w="1001" w:type="dxa"/>
            <w:tcBorders>
              <w:top w:val="single" w:color="000000" w:sz="4" w:space="0"/>
              <w:left w:val="single" w:color="000000" w:sz="4" w:space="0"/>
              <w:bottom w:val="single" w:color="000000" w:sz="4" w:space="0"/>
              <w:right w:val="single" w:color="000000" w:sz="4" w:space="0"/>
            </w:tcBorders>
            <w:noWrap/>
            <w:vAlign w:val="center"/>
          </w:tcPr>
          <w:p w14:paraId="18F43A1B">
            <w:pPr>
              <w:rPr>
                <w:rFonts w:hint="eastAsia" w:ascii="宋体" w:hAnsi="宋体" w:eastAsia="宋体" w:cs="宋体"/>
                <w:color w:val="000000"/>
                <w:sz w:val="20"/>
                <w:szCs w:val="20"/>
              </w:rPr>
            </w:pPr>
          </w:p>
        </w:tc>
        <w:tc>
          <w:tcPr>
            <w:tcW w:w="790" w:type="dxa"/>
            <w:gridSpan w:val="2"/>
            <w:tcBorders>
              <w:top w:val="single" w:color="000000" w:sz="4" w:space="0"/>
              <w:left w:val="single" w:color="000000" w:sz="4" w:space="0"/>
              <w:bottom w:val="single" w:color="000000" w:sz="4" w:space="0"/>
              <w:right w:val="single" w:color="000000" w:sz="4" w:space="0"/>
            </w:tcBorders>
            <w:noWrap/>
            <w:vAlign w:val="center"/>
          </w:tcPr>
          <w:p w14:paraId="45C23BA8">
            <w:pPr>
              <w:rPr>
                <w:rFonts w:hint="eastAsia" w:ascii="宋体" w:hAnsi="宋体" w:eastAsia="宋体" w:cs="宋体"/>
                <w:color w:val="000000"/>
                <w:sz w:val="20"/>
                <w:szCs w:val="20"/>
              </w:rPr>
            </w:pPr>
          </w:p>
        </w:tc>
      </w:tr>
      <w:tr w14:paraId="7CB94B30">
        <w:tblPrEx>
          <w:tblCellMar>
            <w:top w:w="0" w:type="dxa"/>
            <w:left w:w="108" w:type="dxa"/>
            <w:bottom w:w="0" w:type="dxa"/>
            <w:right w:w="108" w:type="dxa"/>
          </w:tblCellMar>
        </w:tblPrEx>
        <w:trPr>
          <w:gridAfter w:val="2"/>
          <w:wAfter w:w="7010" w:type="dxa"/>
          <w:trHeight w:val="683" w:hRule="atLeast"/>
        </w:trPr>
        <w:tc>
          <w:tcPr>
            <w:tcW w:w="441" w:type="dxa"/>
            <w:vMerge w:val="restart"/>
            <w:tcBorders>
              <w:top w:val="single" w:color="000000" w:sz="4" w:space="0"/>
              <w:left w:val="single" w:color="000000" w:sz="4" w:space="0"/>
              <w:bottom w:val="single" w:color="000000" w:sz="4" w:space="0"/>
              <w:right w:val="single" w:color="000000" w:sz="4" w:space="0"/>
            </w:tcBorders>
            <w:noWrap/>
            <w:vAlign w:val="center"/>
          </w:tcPr>
          <w:p w14:paraId="1B8ABB0D">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3</w:t>
            </w:r>
          </w:p>
        </w:tc>
        <w:tc>
          <w:tcPr>
            <w:tcW w:w="708" w:type="dxa"/>
            <w:vMerge w:val="restart"/>
            <w:tcBorders>
              <w:top w:val="single" w:color="000000" w:sz="4" w:space="0"/>
              <w:left w:val="single" w:color="000000" w:sz="4" w:space="0"/>
              <w:bottom w:val="single" w:color="000000" w:sz="4" w:space="0"/>
              <w:right w:val="single" w:color="000000" w:sz="4" w:space="0"/>
            </w:tcBorders>
            <w:noWrap w:val="0"/>
            <w:vAlign w:val="center"/>
          </w:tcPr>
          <w:p w14:paraId="72DBF121">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松土除草12分</w:t>
            </w:r>
          </w:p>
        </w:tc>
        <w:tc>
          <w:tcPr>
            <w:tcW w:w="426" w:type="dxa"/>
            <w:tcBorders>
              <w:top w:val="single" w:color="000000" w:sz="4" w:space="0"/>
              <w:left w:val="single" w:color="000000" w:sz="4" w:space="0"/>
              <w:bottom w:val="single" w:color="000000" w:sz="4" w:space="0"/>
              <w:right w:val="single" w:color="000000" w:sz="4" w:space="0"/>
            </w:tcBorders>
            <w:noWrap/>
            <w:vAlign w:val="center"/>
          </w:tcPr>
          <w:p w14:paraId="06397FB0">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6</w:t>
            </w:r>
          </w:p>
        </w:tc>
        <w:tc>
          <w:tcPr>
            <w:tcW w:w="3144" w:type="dxa"/>
            <w:tcBorders>
              <w:top w:val="single" w:color="000000" w:sz="4" w:space="0"/>
              <w:left w:val="single" w:color="000000" w:sz="4" w:space="0"/>
              <w:bottom w:val="single" w:color="000000" w:sz="4" w:space="0"/>
              <w:right w:val="single" w:color="000000" w:sz="4" w:space="0"/>
            </w:tcBorders>
            <w:noWrap w:val="0"/>
            <w:vAlign w:val="center"/>
          </w:tcPr>
          <w:p w14:paraId="05D6A927">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绿地及时松土除草，保持土壤疏松，松土深度不伤根系。</w:t>
            </w:r>
          </w:p>
        </w:tc>
        <w:tc>
          <w:tcPr>
            <w:tcW w:w="3290" w:type="dxa"/>
            <w:gridSpan w:val="3"/>
            <w:tcBorders>
              <w:top w:val="single" w:color="000000" w:sz="4" w:space="0"/>
              <w:left w:val="single" w:color="000000" w:sz="4" w:space="0"/>
              <w:bottom w:val="single" w:color="000000" w:sz="4" w:space="0"/>
              <w:right w:val="single" w:color="000000" w:sz="4" w:space="0"/>
            </w:tcBorders>
            <w:noWrap w:val="0"/>
            <w:vAlign w:val="center"/>
          </w:tcPr>
          <w:p w14:paraId="243F41C3">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树穴、地被土壤板结，长期不疏松，扣1分/处。发现有杂草、杂树（高于地面10CM或影响景观）扣1分/处。</w:t>
            </w:r>
          </w:p>
        </w:tc>
        <w:tc>
          <w:tcPr>
            <w:tcW w:w="1001" w:type="dxa"/>
            <w:tcBorders>
              <w:top w:val="single" w:color="000000" w:sz="4" w:space="0"/>
              <w:left w:val="single" w:color="000000" w:sz="4" w:space="0"/>
              <w:bottom w:val="single" w:color="000000" w:sz="4" w:space="0"/>
              <w:right w:val="single" w:color="000000" w:sz="4" w:space="0"/>
            </w:tcBorders>
            <w:noWrap/>
            <w:vAlign w:val="center"/>
          </w:tcPr>
          <w:p w14:paraId="0EC6B970">
            <w:pPr>
              <w:rPr>
                <w:rFonts w:hint="eastAsia" w:ascii="宋体" w:hAnsi="宋体" w:eastAsia="宋体" w:cs="宋体"/>
                <w:color w:val="000000"/>
                <w:sz w:val="20"/>
                <w:szCs w:val="20"/>
              </w:rPr>
            </w:pPr>
          </w:p>
        </w:tc>
        <w:tc>
          <w:tcPr>
            <w:tcW w:w="790" w:type="dxa"/>
            <w:gridSpan w:val="2"/>
            <w:tcBorders>
              <w:top w:val="single" w:color="000000" w:sz="4" w:space="0"/>
              <w:left w:val="single" w:color="000000" w:sz="4" w:space="0"/>
              <w:bottom w:val="single" w:color="000000" w:sz="4" w:space="0"/>
              <w:right w:val="single" w:color="000000" w:sz="4" w:space="0"/>
            </w:tcBorders>
            <w:noWrap/>
            <w:vAlign w:val="center"/>
          </w:tcPr>
          <w:p w14:paraId="6F8E9479">
            <w:pPr>
              <w:rPr>
                <w:rFonts w:hint="eastAsia" w:ascii="宋体" w:hAnsi="宋体" w:eastAsia="宋体" w:cs="宋体"/>
                <w:color w:val="000000"/>
                <w:sz w:val="20"/>
                <w:szCs w:val="20"/>
              </w:rPr>
            </w:pPr>
          </w:p>
        </w:tc>
      </w:tr>
      <w:tr w14:paraId="2021CF35">
        <w:tblPrEx>
          <w:tblCellMar>
            <w:top w:w="0" w:type="dxa"/>
            <w:left w:w="108" w:type="dxa"/>
            <w:bottom w:w="0" w:type="dxa"/>
            <w:right w:w="108" w:type="dxa"/>
          </w:tblCellMar>
        </w:tblPrEx>
        <w:trPr>
          <w:gridAfter w:val="2"/>
          <w:wAfter w:w="7010" w:type="dxa"/>
          <w:trHeight w:val="503" w:hRule="atLeast"/>
        </w:trPr>
        <w:tc>
          <w:tcPr>
            <w:tcW w:w="441" w:type="dxa"/>
            <w:vMerge w:val="continue"/>
            <w:tcBorders>
              <w:top w:val="single" w:color="000000" w:sz="4" w:space="0"/>
              <w:left w:val="single" w:color="000000" w:sz="4" w:space="0"/>
              <w:bottom w:val="single" w:color="000000" w:sz="4" w:space="0"/>
              <w:right w:val="single" w:color="000000" w:sz="4" w:space="0"/>
            </w:tcBorders>
            <w:noWrap/>
            <w:vAlign w:val="center"/>
          </w:tcPr>
          <w:p w14:paraId="6E5EB9AD">
            <w:pPr>
              <w:jc w:val="center"/>
              <w:rPr>
                <w:rFonts w:hint="eastAsia" w:ascii="宋体" w:hAnsi="宋体" w:eastAsia="宋体" w:cs="宋体"/>
                <w:color w:val="000000"/>
                <w:sz w:val="20"/>
                <w:szCs w:val="20"/>
              </w:rPr>
            </w:pPr>
          </w:p>
        </w:tc>
        <w:tc>
          <w:tcPr>
            <w:tcW w:w="70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86C71C">
            <w:pPr>
              <w:jc w:val="center"/>
              <w:rPr>
                <w:rFonts w:hint="eastAsia" w:ascii="宋体" w:hAnsi="宋体" w:eastAsia="宋体" w:cs="宋体"/>
                <w:color w:val="000000"/>
                <w:sz w:val="20"/>
                <w:szCs w:val="20"/>
              </w:rPr>
            </w:pPr>
          </w:p>
        </w:tc>
        <w:tc>
          <w:tcPr>
            <w:tcW w:w="426" w:type="dxa"/>
            <w:tcBorders>
              <w:top w:val="single" w:color="000000" w:sz="4" w:space="0"/>
              <w:left w:val="single" w:color="000000" w:sz="4" w:space="0"/>
              <w:bottom w:val="single" w:color="000000" w:sz="4" w:space="0"/>
              <w:right w:val="single" w:color="000000" w:sz="4" w:space="0"/>
            </w:tcBorders>
            <w:noWrap/>
            <w:vAlign w:val="center"/>
          </w:tcPr>
          <w:p w14:paraId="78DD6AE0">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7</w:t>
            </w:r>
          </w:p>
        </w:tc>
        <w:tc>
          <w:tcPr>
            <w:tcW w:w="3144" w:type="dxa"/>
            <w:tcBorders>
              <w:top w:val="single" w:color="000000" w:sz="4" w:space="0"/>
              <w:left w:val="single" w:color="000000" w:sz="4" w:space="0"/>
              <w:bottom w:val="single" w:color="000000" w:sz="4" w:space="0"/>
              <w:right w:val="single" w:color="000000" w:sz="4" w:space="0"/>
            </w:tcBorders>
            <w:noWrap w:val="0"/>
            <w:vAlign w:val="center"/>
          </w:tcPr>
          <w:p w14:paraId="59BC30F1">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树穴整修，草坪内树穴与绿篱及时切边，草坪与树木、绿篱、草花应有分隔沟。</w:t>
            </w:r>
          </w:p>
        </w:tc>
        <w:tc>
          <w:tcPr>
            <w:tcW w:w="3290" w:type="dxa"/>
            <w:gridSpan w:val="3"/>
            <w:tcBorders>
              <w:top w:val="single" w:color="000000" w:sz="4" w:space="0"/>
              <w:left w:val="single" w:color="000000" w:sz="4" w:space="0"/>
              <w:bottom w:val="single" w:color="000000" w:sz="4" w:space="0"/>
              <w:right w:val="single" w:color="000000" w:sz="4" w:space="0"/>
            </w:tcBorders>
            <w:noWrap w:val="0"/>
            <w:vAlign w:val="center"/>
          </w:tcPr>
          <w:p w14:paraId="792BA5B4">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树穴、绿篱等不及时切边，草坪与树木、绿篱、草花等无明显分隔沟扣1分/处。</w:t>
            </w:r>
          </w:p>
        </w:tc>
        <w:tc>
          <w:tcPr>
            <w:tcW w:w="1001" w:type="dxa"/>
            <w:tcBorders>
              <w:top w:val="single" w:color="000000" w:sz="4" w:space="0"/>
              <w:left w:val="single" w:color="000000" w:sz="4" w:space="0"/>
              <w:bottom w:val="single" w:color="000000" w:sz="4" w:space="0"/>
              <w:right w:val="single" w:color="000000" w:sz="4" w:space="0"/>
            </w:tcBorders>
            <w:noWrap/>
            <w:vAlign w:val="center"/>
          </w:tcPr>
          <w:p w14:paraId="6E833CA3">
            <w:pPr>
              <w:rPr>
                <w:rFonts w:hint="eastAsia" w:ascii="宋体" w:hAnsi="宋体" w:eastAsia="宋体" w:cs="宋体"/>
                <w:color w:val="000000"/>
                <w:sz w:val="20"/>
                <w:szCs w:val="20"/>
              </w:rPr>
            </w:pPr>
          </w:p>
        </w:tc>
        <w:tc>
          <w:tcPr>
            <w:tcW w:w="790" w:type="dxa"/>
            <w:gridSpan w:val="2"/>
            <w:tcBorders>
              <w:top w:val="single" w:color="000000" w:sz="4" w:space="0"/>
              <w:left w:val="single" w:color="000000" w:sz="4" w:space="0"/>
              <w:bottom w:val="single" w:color="000000" w:sz="4" w:space="0"/>
              <w:right w:val="single" w:color="000000" w:sz="4" w:space="0"/>
            </w:tcBorders>
            <w:noWrap/>
            <w:vAlign w:val="center"/>
          </w:tcPr>
          <w:p w14:paraId="779BD3AB">
            <w:pPr>
              <w:rPr>
                <w:rFonts w:hint="eastAsia" w:ascii="宋体" w:hAnsi="宋体" w:eastAsia="宋体" w:cs="宋体"/>
                <w:color w:val="000000"/>
                <w:sz w:val="20"/>
                <w:szCs w:val="20"/>
              </w:rPr>
            </w:pPr>
          </w:p>
        </w:tc>
      </w:tr>
      <w:tr w14:paraId="7C811D3D">
        <w:tblPrEx>
          <w:tblCellMar>
            <w:top w:w="0" w:type="dxa"/>
            <w:left w:w="108" w:type="dxa"/>
            <w:bottom w:w="0" w:type="dxa"/>
            <w:right w:w="108" w:type="dxa"/>
          </w:tblCellMar>
        </w:tblPrEx>
        <w:trPr>
          <w:gridAfter w:val="2"/>
          <w:wAfter w:w="7010" w:type="dxa"/>
          <w:trHeight w:val="458" w:hRule="atLeast"/>
        </w:trPr>
        <w:tc>
          <w:tcPr>
            <w:tcW w:w="441" w:type="dxa"/>
            <w:vMerge w:val="continue"/>
            <w:tcBorders>
              <w:top w:val="single" w:color="000000" w:sz="4" w:space="0"/>
              <w:left w:val="single" w:color="000000" w:sz="4" w:space="0"/>
              <w:bottom w:val="single" w:color="000000" w:sz="4" w:space="0"/>
              <w:right w:val="single" w:color="000000" w:sz="4" w:space="0"/>
            </w:tcBorders>
            <w:noWrap/>
            <w:vAlign w:val="center"/>
          </w:tcPr>
          <w:p w14:paraId="415CBB2C">
            <w:pPr>
              <w:jc w:val="center"/>
              <w:rPr>
                <w:rFonts w:hint="eastAsia" w:ascii="宋体" w:hAnsi="宋体" w:eastAsia="宋体" w:cs="宋体"/>
                <w:color w:val="000000"/>
                <w:sz w:val="20"/>
                <w:szCs w:val="20"/>
              </w:rPr>
            </w:pPr>
          </w:p>
        </w:tc>
        <w:tc>
          <w:tcPr>
            <w:tcW w:w="70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14C62D6">
            <w:pPr>
              <w:jc w:val="center"/>
              <w:rPr>
                <w:rFonts w:hint="eastAsia" w:ascii="宋体" w:hAnsi="宋体" w:eastAsia="宋体" w:cs="宋体"/>
                <w:color w:val="000000"/>
                <w:sz w:val="20"/>
                <w:szCs w:val="20"/>
              </w:rPr>
            </w:pPr>
          </w:p>
        </w:tc>
        <w:tc>
          <w:tcPr>
            <w:tcW w:w="426" w:type="dxa"/>
            <w:tcBorders>
              <w:top w:val="single" w:color="000000" w:sz="4" w:space="0"/>
              <w:left w:val="single" w:color="000000" w:sz="4" w:space="0"/>
              <w:bottom w:val="single" w:color="000000" w:sz="4" w:space="0"/>
              <w:right w:val="single" w:color="000000" w:sz="4" w:space="0"/>
            </w:tcBorders>
            <w:noWrap/>
            <w:vAlign w:val="center"/>
          </w:tcPr>
          <w:p w14:paraId="5E262183">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8</w:t>
            </w:r>
          </w:p>
        </w:tc>
        <w:tc>
          <w:tcPr>
            <w:tcW w:w="3144" w:type="dxa"/>
            <w:tcBorders>
              <w:top w:val="single" w:color="000000" w:sz="4" w:space="0"/>
              <w:left w:val="single" w:color="000000" w:sz="4" w:space="0"/>
              <w:bottom w:val="single" w:color="000000" w:sz="4" w:space="0"/>
              <w:right w:val="single" w:color="000000" w:sz="4" w:space="0"/>
            </w:tcBorders>
            <w:noWrap w:val="0"/>
            <w:vAlign w:val="center"/>
          </w:tcPr>
          <w:p w14:paraId="49A27AF1">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经同意使用除草剂须保证园林植物的安全，确保不发生药害。</w:t>
            </w:r>
          </w:p>
        </w:tc>
        <w:tc>
          <w:tcPr>
            <w:tcW w:w="3290" w:type="dxa"/>
            <w:gridSpan w:val="3"/>
            <w:tcBorders>
              <w:top w:val="single" w:color="000000" w:sz="4" w:space="0"/>
              <w:left w:val="single" w:color="000000" w:sz="4" w:space="0"/>
              <w:bottom w:val="single" w:color="000000" w:sz="4" w:space="0"/>
              <w:right w:val="single" w:color="000000" w:sz="4" w:space="0"/>
            </w:tcBorders>
            <w:noWrap w:val="0"/>
            <w:vAlign w:val="center"/>
          </w:tcPr>
          <w:p w14:paraId="6BADDCF9">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发现一处药害不得分。</w:t>
            </w:r>
          </w:p>
        </w:tc>
        <w:tc>
          <w:tcPr>
            <w:tcW w:w="1001" w:type="dxa"/>
            <w:tcBorders>
              <w:top w:val="single" w:color="000000" w:sz="4" w:space="0"/>
              <w:left w:val="single" w:color="000000" w:sz="4" w:space="0"/>
              <w:bottom w:val="single" w:color="000000" w:sz="4" w:space="0"/>
              <w:right w:val="single" w:color="000000" w:sz="4" w:space="0"/>
            </w:tcBorders>
            <w:noWrap/>
            <w:vAlign w:val="center"/>
          </w:tcPr>
          <w:p w14:paraId="08DCD1D0">
            <w:pPr>
              <w:rPr>
                <w:rFonts w:hint="eastAsia" w:ascii="宋体" w:hAnsi="宋体" w:eastAsia="宋体" w:cs="宋体"/>
                <w:color w:val="000000"/>
                <w:sz w:val="20"/>
                <w:szCs w:val="20"/>
              </w:rPr>
            </w:pPr>
          </w:p>
        </w:tc>
        <w:tc>
          <w:tcPr>
            <w:tcW w:w="790" w:type="dxa"/>
            <w:gridSpan w:val="2"/>
            <w:tcBorders>
              <w:top w:val="single" w:color="000000" w:sz="4" w:space="0"/>
              <w:left w:val="single" w:color="000000" w:sz="4" w:space="0"/>
              <w:bottom w:val="single" w:color="000000" w:sz="4" w:space="0"/>
              <w:right w:val="single" w:color="000000" w:sz="4" w:space="0"/>
            </w:tcBorders>
            <w:noWrap/>
            <w:vAlign w:val="center"/>
          </w:tcPr>
          <w:p w14:paraId="21FBD8C9">
            <w:pPr>
              <w:rPr>
                <w:rFonts w:hint="eastAsia" w:ascii="宋体" w:hAnsi="宋体" w:eastAsia="宋体" w:cs="宋体"/>
                <w:color w:val="000000"/>
                <w:sz w:val="20"/>
                <w:szCs w:val="20"/>
              </w:rPr>
            </w:pPr>
          </w:p>
        </w:tc>
      </w:tr>
      <w:tr w14:paraId="40F6D8C9">
        <w:tblPrEx>
          <w:tblCellMar>
            <w:top w:w="0" w:type="dxa"/>
            <w:left w:w="108" w:type="dxa"/>
            <w:bottom w:w="0" w:type="dxa"/>
            <w:right w:w="108" w:type="dxa"/>
          </w:tblCellMar>
        </w:tblPrEx>
        <w:trPr>
          <w:gridAfter w:val="2"/>
          <w:wAfter w:w="7010" w:type="dxa"/>
          <w:trHeight w:val="529" w:hRule="atLeast"/>
        </w:trPr>
        <w:tc>
          <w:tcPr>
            <w:tcW w:w="441" w:type="dxa"/>
            <w:vMerge w:val="restart"/>
            <w:tcBorders>
              <w:top w:val="single" w:color="000000" w:sz="4" w:space="0"/>
              <w:left w:val="single" w:color="000000" w:sz="4" w:space="0"/>
              <w:bottom w:val="single" w:color="000000" w:sz="4" w:space="0"/>
              <w:right w:val="single" w:color="000000" w:sz="4" w:space="0"/>
            </w:tcBorders>
            <w:noWrap/>
            <w:vAlign w:val="center"/>
          </w:tcPr>
          <w:p w14:paraId="5CCE2657">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4</w:t>
            </w:r>
          </w:p>
        </w:tc>
        <w:tc>
          <w:tcPr>
            <w:tcW w:w="708" w:type="dxa"/>
            <w:vMerge w:val="restart"/>
            <w:tcBorders>
              <w:top w:val="single" w:color="000000" w:sz="4" w:space="0"/>
              <w:left w:val="single" w:color="000000" w:sz="4" w:space="0"/>
              <w:bottom w:val="single" w:color="000000" w:sz="4" w:space="0"/>
              <w:right w:val="single" w:color="000000" w:sz="4" w:space="0"/>
            </w:tcBorders>
            <w:noWrap w:val="0"/>
            <w:vAlign w:val="center"/>
          </w:tcPr>
          <w:p w14:paraId="1266E0C3">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浇灌排水 6分</w:t>
            </w:r>
          </w:p>
        </w:tc>
        <w:tc>
          <w:tcPr>
            <w:tcW w:w="426" w:type="dxa"/>
            <w:tcBorders>
              <w:top w:val="single" w:color="000000" w:sz="4" w:space="0"/>
              <w:left w:val="single" w:color="000000" w:sz="4" w:space="0"/>
              <w:bottom w:val="single" w:color="000000" w:sz="4" w:space="0"/>
              <w:right w:val="single" w:color="000000" w:sz="4" w:space="0"/>
            </w:tcBorders>
            <w:noWrap/>
            <w:vAlign w:val="center"/>
          </w:tcPr>
          <w:p w14:paraId="5CCE977F">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9</w:t>
            </w:r>
          </w:p>
        </w:tc>
        <w:tc>
          <w:tcPr>
            <w:tcW w:w="3144" w:type="dxa"/>
            <w:tcBorders>
              <w:top w:val="single" w:color="000000" w:sz="4" w:space="0"/>
              <w:left w:val="single" w:color="000000" w:sz="4" w:space="0"/>
              <w:bottom w:val="single" w:color="000000" w:sz="4" w:space="0"/>
              <w:right w:val="single" w:color="000000" w:sz="4" w:space="0"/>
            </w:tcBorders>
            <w:noWrap w:val="0"/>
            <w:vAlign w:val="center"/>
          </w:tcPr>
          <w:p w14:paraId="69DFE166">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根据实际，对绿化树木及草坪进行适期适量浇水、喷水，及时抗旱，确保正常生长。</w:t>
            </w:r>
          </w:p>
        </w:tc>
        <w:tc>
          <w:tcPr>
            <w:tcW w:w="3290" w:type="dxa"/>
            <w:gridSpan w:val="3"/>
            <w:tcBorders>
              <w:top w:val="single" w:color="000000" w:sz="4" w:space="0"/>
              <w:left w:val="single" w:color="000000" w:sz="4" w:space="0"/>
              <w:bottom w:val="single" w:color="000000" w:sz="4" w:space="0"/>
              <w:right w:val="single" w:color="000000" w:sz="4" w:space="0"/>
            </w:tcBorders>
            <w:noWrap w:val="0"/>
            <w:vAlign w:val="center"/>
          </w:tcPr>
          <w:p w14:paraId="6A7C2DA7">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未及时浇灌，致使绿地植物生长不良，树木扣0.2分/株，草坪扣0.5分/M</w:t>
            </w:r>
            <w:r>
              <w:rPr>
                <w:rFonts w:hint="eastAsia" w:ascii="宋体" w:hAnsi="宋体" w:eastAsia="宋体" w:cs="宋体"/>
                <w:color w:val="000000"/>
                <w:kern w:val="0"/>
                <w:sz w:val="20"/>
                <w:szCs w:val="20"/>
                <w:vertAlign w:val="superscript"/>
                <w:lang w:bidi="ar"/>
              </w:rPr>
              <w:t>2</w:t>
            </w:r>
            <w:r>
              <w:rPr>
                <w:rFonts w:hint="eastAsia" w:ascii="宋体" w:hAnsi="宋体" w:eastAsia="宋体" w:cs="宋体"/>
                <w:color w:val="000000"/>
                <w:kern w:val="0"/>
                <w:sz w:val="20"/>
                <w:szCs w:val="20"/>
                <w:lang w:bidi="ar"/>
              </w:rPr>
              <w:t>,致植物枯死加倍扣分。</w:t>
            </w:r>
          </w:p>
        </w:tc>
        <w:tc>
          <w:tcPr>
            <w:tcW w:w="1001" w:type="dxa"/>
            <w:tcBorders>
              <w:top w:val="single" w:color="000000" w:sz="4" w:space="0"/>
              <w:left w:val="single" w:color="000000" w:sz="4" w:space="0"/>
              <w:bottom w:val="single" w:color="000000" w:sz="4" w:space="0"/>
              <w:right w:val="single" w:color="000000" w:sz="4" w:space="0"/>
            </w:tcBorders>
            <w:noWrap/>
            <w:vAlign w:val="center"/>
          </w:tcPr>
          <w:p w14:paraId="2012058F">
            <w:pPr>
              <w:rPr>
                <w:rFonts w:hint="eastAsia" w:ascii="宋体" w:hAnsi="宋体" w:eastAsia="宋体" w:cs="宋体"/>
                <w:color w:val="000000"/>
                <w:sz w:val="20"/>
                <w:szCs w:val="20"/>
              </w:rPr>
            </w:pPr>
          </w:p>
        </w:tc>
        <w:tc>
          <w:tcPr>
            <w:tcW w:w="790" w:type="dxa"/>
            <w:gridSpan w:val="2"/>
            <w:tcBorders>
              <w:top w:val="single" w:color="000000" w:sz="4" w:space="0"/>
              <w:left w:val="single" w:color="000000" w:sz="4" w:space="0"/>
              <w:bottom w:val="single" w:color="000000" w:sz="4" w:space="0"/>
              <w:right w:val="single" w:color="000000" w:sz="4" w:space="0"/>
            </w:tcBorders>
            <w:noWrap/>
            <w:vAlign w:val="center"/>
          </w:tcPr>
          <w:p w14:paraId="57708E42">
            <w:pPr>
              <w:rPr>
                <w:rFonts w:hint="eastAsia" w:ascii="宋体" w:hAnsi="宋体" w:eastAsia="宋体" w:cs="宋体"/>
                <w:color w:val="000000"/>
                <w:sz w:val="20"/>
                <w:szCs w:val="20"/>
              </w:rPr>
            </w:pPr>
          </w:p>
        </w:tc>
      </w:tr>
      <w:tr w14:paraId="6EC24FFD">
        <w:tblPrEx>
          <w:tblCellMar>
            <w:top w:w="0" w:type="dxa"/>
            <w:left w:w="108" w:type="dxa"/>
            <w:bottom w:w="0" w:type="dxa"/>
            <w:right w:w="108" w:type="dxa"/>
          </w:tblCellMar>
        </w:tblPrEx>
        <w:trPr>
          <w:gridAfter w:val="2"/>
          <w:wAfter w:w="7010" w:type="dxa"/>
          <w:trHeight w:val="458" w:hRule="atLeast"/>
        </w:trPr>
        <w:tc>
          <w:tcPr>
            <w:tcW w:w="441" w:type="dxa"/>
            <w:vMerge w:val="continue"/>
            <w:tcBorders>
              <w:top w:val="single" w:color="000000" w:sz="4" w:space="0"/>
              <w:left w:val="single" w:color="000000" w:sz="4" w:space="0"/>
              <w:bottom w:val="single" w:color="000000" w:sz="4" w:space="0"/>
              <w:right w:val="single" w:color="000000" w:sz="4" w:space="0"/>
            </w:tcBorders>
            <w:noWrap/>
            <w:vAlign w:val="center"/>
          </w:tcPr>
          <w:p w14:paraId="56EB0609">
            <w:pPr>
              <w:jc w:val="center"/>
              <w:rPr>
                <w:rFonts w:hint="eastAsia" w:ascii="宋体" w:hAnsi="宋体" w:eastAsia="宋体" w:cs="宋体"/>
                <w:color w:val="000000"/>
                <w:sz w:val="20"/>
                <w:szCs w:val="20"/>
              </w:rPr>
            </w:pPr>
          </w:p>
        </w:tc>
        <w:tc>
          <w:tcPr>
            <w:tcW w:w="70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25E93A">
            <w:pPr>
              <w:jc w:val="center"/>
              <w:rPr>
                <w:rFonts w:hint="eastAsia" w:ascii="宋体" w:hAnsi="宋体" w:eastAsia="宋体" w:cs="宋体"/>
                <w:color w:val="000000"/>
                <w:sz w:val="20"/>
                <w:szCs w:val="20"/>
              </w:rPr>
            </w:pPr>
          </w:p>
        </w:tc>
        <w:tc>
          <w:tcPr>
            <w:tcW w:w="426" w:type="dxa"/>
            <w:tcBorders>
              <w:top w:val="single" w:color="000000" w:sz="4" w:space="0"/>
              <w:left w:val="single" w:color="000000" w:sz="4" w:space="0"/>
              <w:bottom w:val="single" w:color="000000" w:sz="4" w:space="0"/>
              <w:right w:val="single" w:color="000000" w:sz="4" w:space="0"/>
            </w:tcBorders>
            <w:noWrap/>
            <w:vAlign w:val="center"/>
          </w:tcPr>
          <w:p w14:paraId="7E9FBAFD">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10</w:t>
            </w:r>
          </w:p>
        </w:tc>
        <w:tc>
          <w:tcPr>
            <w:tcW w:w="3144" w:type="dxa"/>
            <w:tcBorders>
              <w:top w:val="single" w:color="000000" w:sz="4" w:space="0"/>
              <w:left w:val="single" w:color="000000" w:sz="4" w:space="0"/>
              <w:bottom w:val="single" w:color="000000" w:sz="4" w:space="0"/>
              <w:right w:val="single" w:color="000000" w:sz="4" w:space="0"/>
            </w:tcBorders>
            <w:noWrap w:val="0"/>
            <w:vAlign w:val="center"/>
          </w:tcPr>
          <w:p w14:paraId="66E7F02B">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绿地内不积水，坑坑洼洼必须及时填平，确保雨后积水及时排除。</w:t>
            </w:r>
          </w:p>
        </w:tc>
        <w:tc>
          <w:tcPr>
            <w:tcW w:w="3290" w:type="dxa"/>
            <w:gridSpan w:val="3"/>
            <w:tcBorders>
              <w:top w:val="single" w:color="000000" w:sz="4" w:space="0"/>
              <w:left w:val="single" w:color="000000" w:sz="4" w:space="0"/>
              <w:bottom w:val="single" w:color="000000" w:sz="4" w:space="0"/>
              <w:right w:val="single" w:color="000000" w:sz="4" w:space="0"/>
            </w:tcBorders>
            <w:noWrap w:val="0"/>
            <w:vAlign w:val="center"/>
          </w:tcPr>
          <w:p w14:paraId="45C1F284">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雨后绿地、草坪有积水，扣1分/处。</w:t>
            </w:r>
          </w:p>
        </w:tc>
        <w:tc>
          <w:tcPr>
            <w:tcW w:w="1001" w:type="dxa"/>
            <w:tcBorders>
              <w:top w:val="single" w:color="000000" w:sz="4" w:space="0"/>
              <w:left w:val="single" w:color="000000" w:sz="4" w:space="0"/>
              <w:bottom w:val="single" w:color="000000" w:sz="4" w:space="0"/>
              <w:right w:val="single" w:color="000000" w:sz="4" w:space="0"/>
            </w:tcBorders>
            <w:noWrap/>
            <w:vAlign w:val="center"/>
          </w:tcPr>
          <w:p w14:paraId="702BE57E">
            <w:pPr>
              <w:rPr>
                <w:rFonts w:hint="eastAsia" w:ascii="宋体" w:hAnsi="宋体" w:eastAsia="宋体" w:cs="宋体"/>
                <w:color w:val="000000"/>
                <w:sz w:val="20"/>
                <w:szCs w:val="20"/>
              </w:rPr>
            </w:pPr>
          </w:p>
        </w:tc>
        <w:tc>
          <w:tcPr>
            <w:tcW w:w="790" w:type="dxa"/>
            <w:gridSpan w:val="2"/>
            <w:tcBorders>
              <w:top w:val="single" w:color="000000" w:sz="4" w:space="0"/>
              <w:left w:val="single" w:color="000000" w:sz="4" w:space="0"/>
              <w:bottom w:val="single" w:color="000000" w:sz="4" w:space="0"/>
              <w:right w:val="single" w:color="000000" w:sz="4" w:space="0"/>
            </w:tcBorders>
            <w:noWrap/>
            <w:vAlign w:val="center"/>
          </w:tcPr>
          <w:p w14:paraId="659C862A">
            <w:pPr>
              <w:rPr>
                <w:rFonts w:hint="eastAsia" w:ascii="宋体" w:hAnsi="宋体" w:eastAsia="宋体" w:cs="宋体"/>
                <w:color w:val="000000"/>
                <w:sz w:val="20"/>
                <w:szCs w:val="20"/>
              </w:rPr>
            </w:pPr>
          </w:p>
        </w:tc>
      </w:tr>
      <w:tr w14:paraId="6170AC33">
        <w:tblPrEx>
          <w:tblCellMar>
            <w:top w:w="0" w:type="dxa"/>
            <w:left w:w="108" w:type="dxa"/>
            <w:bottom w:w="0" w:type="dxa"/>
            <w:right w:w="108" w:type="dxa"/>
          </w:tblCellMar>
        </w:tblPrEx>
        <w:trPr>
          <w:gridAfter w:val="2"/>
          <w:wAfter w:w="7010" w:type="dxa"/>
          <w:trHeight w:val="683" w:hRule="atLeast"/>
        </w:trPr>
        <w:tc>
          <w:tcPr>
            <w:tcW w:w="441" w:type="dxa"/>
            <w:vMerge w:val="restart"/>
            <w:tcBorders>
              <w:top w:val="single" w:color="000000" w:sz="4" w:space="0"/>
              <w:left w:val="single" w:color="000000" w:sz="4" w:space="0"/>
              <w:bottom w:val="single" w:color="000000" w:sz="4" w:space="0"/>
              <w:right w:val="single" w:color="000000" w:sz="4" w:space="0"/>
            </w:tcBorders>
            <w:noWrap/>
            <w:vAlign w:val="center"/>
          </w:tcPr>
          <w:p w14:paraId="3DD9475E">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5</w:t>
            </w:r>
          </w:p>
        </w:tc>
        <w:tc>
          <w:tcPr>
            <w:tcW w:w="708" w:type="dxa"/>
            <w:vMerge w:val="restart"/>
            <w:tcBorders>
              <w:top w:val="single" w:color="000000" w:sz="4" w:space="0"/>
              <w:left w:val="single" w:color="000000" w:sz="4" w:space="0"/>
              <w:bottom w:val="single" w:color="000000" w:sz="4" w:space="0"/>
              <w:right w:val="single" w:color="000000" w:sz="4" w:space="0"/>
            </w:tcBorders>
            <w:noWrap w:val="0"/>
            <w:vAlign w:val="center"/>
          </w:tcPr>
          <w:p w14:paraId="7893906D">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施肥  4分</w:t>
            </w:r>
          </w:p>
        </w:tc>
        <w:tc>
          <w:tcPr>
            <w:tcW w:w="426" w:type="dxa"/>
            <w:tcBorders>
              <w:top w:val="single" w:color="000000" w:sz="4" w:space="0"/>
              <w:left w:val="single" w:color="000000" w:sz="4" w:space="0"/>
              <w:bottom w:val="single" w:color="000000" w:sz="4" w:space="0"/>
              <w:right w:val="single" w:color="000000" w:sz="4" w:space="0"/>
            </w:tcBorders>
            <w:noWrap/>
            <w:vAlign w:val="center"/>
          </w:tcPr>
          <w:p w14:paraId="34BD8D10">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11</w:t>
            </w:r>
          </w:p>
        </w:tc>
        <w:tc>
          <w:tcPr>
            <w:tcW w:w="3144" w:type="dxa"/>
            <w:tcBorders>
              <w:top w:val="single" w:color="000000" w:sz="4" w:space="0"/>
              <w:left w:val="single" w:color="000000" w:sz="4" w:space="0"/>
              <w:bottom w:val="single" w:color="000000" w:sz="4" w:space="0"/>
              <w:right w:val="single" w:color="000000" w:sz="4" w:space="0"/>
            </w:tcBorders>
            <w:noWrap w:val="0"/>
            <w:vAlign w:val="center"/>
          </w:tcPr>
          <w:p w14:paraId="04403AFD">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绿地、草坪、植物按要求施肥及时，每年休眠期施基肥，生长期施2-3次追肥，规范操作，施肥后及时覆盖。</w:t>
            </w:r>
          </w:p>
        </w:tc>
        <w:tc>
          <w:tcPr>
            <w:tcW w:w="3290" w:type="dxa"/>
            <w:gridSpan w:val="3"/>
            <w:tcBorders>
              <w:top w:val="single" w:color="000000" w:sz="4" w:space="0"/>
              <w:left w:val="single" w:color="000000" w:sz="4" w:space="0"/>
              <w:bottom w:val="single" w:color="000000" w:sz="4" w:space="0"/>
              <w:right w:val="single" w:color="000000" w:sz="4" w:space="0"/>
            </w:tcBorders>
            <w:noWrap w:val="0"/>
            <w:vAlign w:val="center"/>
          </w:tcPr>
          <w:p w14:paraId="563A3AB1">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不按规定及时施肥，扣1分/处；偷工减料，肥料挪作他用，发现一次扣2分，不及时覆盖，发现一处扣1分。</w:t>
            </w:r>
          </w:p>
        </w:tc>
        <w:tc>
          <w:tcPr>
            <w:tcW w:w="1001" w:type="dxa"/>
            <w:tcBorders>
              <w:top w:val="single" w:color="000000" w:sz="4" w:space="0"/>
              <w:left w:val="single" w:color="000000" w:sz="4" w:space="0"/>
              <w:bottom w:val="single" w:color="000000" w:sz="4" w:space="0"/>
              <w:right w:val="single" w:color="000000" w:sz="4" w:space="0"/>
            </w:tcBorders>
            <w:noWrap/>
            <w:vAlign w:val="center"/>
          </w:tcPr>
          <w:p w14:paraId="6CBE19D6">
            <w:pPr>
              <w:rPr>
                <w:rFonts w:hint="eastAsia" w:ascii="宋体" w:hAnsi="宋体" w:eastAsia="宋体" w:cs="宋体"/>
                <w:color w:val="000000"/>
                <w:sz w:val="20"/>
                <w:szCs w:val="20"/>
              </w:rPr>
            </w:pPr>
          </w:p>
        </w:tc>
        <w:tc>
          <w:tcPr>
            <w:tcW w:w="790" w:type="dxa"/>
            <w:gridSpan w:val="2"/>
            <w:tcBorders>
              <w:top w:val="single" w:color="000000" w:sz="4" w:space="0"/>
              <w:left w:val="single" w:color="000000" w:sz="4" w:space="0"/>
              <w:bottom w:val="single" w:color="000000" w:sz="4" w:space="0"/>
              <w:right w:val="single" w:color="000000" w:sz="4" w:space="0"/>
            </w:tcBorders>
            <w:noWrap/>
            <w:vAlign w:val="center"/>
          </w:tcPr>
          <w:p w14:paraId="3B839D05">
            <w:pPr>
              <w:rPr>
                <w:rFonts w:hint="eastAsia" w:ascii="宋体" w:hAnsi="宋体" w:eastAsia="宋体" w:cs="宋体"/>
                <w:color w:val="000000"/>
                <w:sz w:val="20"/>
                <w:szCs w:val="20"/>
              </w:rPr>
            </w:pPr>
          </w:p>
        </w:tc>
      </w:tr>
      <w:tr w14:paraId="35413379">
        <w:tblPrEx>
          <w:tblCellMar>
            <w:top w:w="0" w:type="dxa"/>
            <w:left w:w="108" w:type="dxa"/>
            <w:bottom w:w="0" w:type="dxa"/>
            <w:right w:w="108" w:type="dxa"/>
          </w:tblCellMar>
        </w:tblPrEx>
        <w:trPr>
          <w:gridAfter w:val="2"/>
          <w:wAfter w:w="7010" w:type="dxa"/>
          <w:trHeight w:val="360" w:hRule="atLeast"/>
        </w:trPr>
        <w:tc>
          <w:tcPr>
            <w:tcW w:w="441" w:type="dxa"/>
            <w:vMerge w:val="continue"/>
            <w:tcBorders>
              <w:top w:val="single" w:color="000000" w:sz="4" w:space="0"/>
              <w:left w:val="single" w:color="000000" w:sz="4" w:space="0"/>
              <w:bottom w:val="single" w:color="000000" w:sz="4" w:space="0"/>
              <w:right w:val="single" w:color="000000" w:sz="4" w:space="0"/>
            </w:tcBorders>
            <w:noWrap/>
            <w:vAlign w:val="center"/>
          </w:tcPr>
          <w:p w14:paraId="37F59BB0">
            <w:pPr>
              <w:jc w:val="center"/>
              <w:rPr>
                <w:rFonts w:hint="eastAsia" w:ascii="宋体" w:hAnsi="宋体" w:eastAsia="宋体" w:cs="宋体"/>
                <w:color w:val="000000"/>
                <w:sz w:val="20"/>
                <w:szCs w:val="20"/>
              </w:rPr>
            </w:pPr>
          </w:p>
        </w:tc>
        <w:tc>
          <w:tcPr>
            <w:tcW w:w="70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EF44323">
            <w:pPr>
              <w:jc w:val="center"/>
              <w:rPr>
                <w:rFonts w:hint="eastAsia" w:ascii="宋体" w:hAnsi="宋体" w:eastAsia="宋体" w:cs="宋体"/>
                <w:color w:val="000000"/>
                <w:sz w:val="20"/>
                <w:szCs w:val="20"/>
              </w:rPr>
            </w:pPr>
          </w:p>
        </w:tc>
        <w:tc>
          <w:tcPr>
            <w:tcW w:w="426" w:type="dxa"/>
            <w:tcBorders>
              <w:top w:val="single" w:color="000000" w:sz="4" w:space="0"/>
              <w:left w:val="single" w:color="000000" w:sz="4" w:space="0"/>
              <w:bottom w:val="single" w:color="000000" w:sz="4" w:space="0"/>
              <w:right w:val="single" w:color="000000" w:sz="4" w:space="0"/>
            </w:tcBorders>
            <w:noWrap/>
            <w:vAlign w:val="center"/>
          </w:tcPr>
          <w:p w14:paraId="764EF66E">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12</w:t>
            </w:r>
          </w:p>
        </w:tc>
        <w:tc>
          <w:tcPr>
            <w:tcW w:w="3144" w:type="dxa"/>
            <w:tcBorders>
              <w:top w:val="single" w:color="000000" w:sz="4" w:space="0"/>
              <w:left w:val="single" w:color="000000" w:sz="4" w:space="0"/>
              <w:bottom w:val="single" w:color="000000" w:sz="4" w:space="0"/>
              <w:right w:val="single" w:color="000000" w:sz="4" w:space="0"/>
            </w:tcBorders>
            <w:noWrap w:val="0"/>
            <w:vAlign w:val="center"/>
          </w:tcPr>
          <w:p w14:paraId="0210D32E">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施肥方法适当，用量合理，不产生肥害。</w:t>
            </w:r>
          </w:p>
        </w:tc>
        <w:tc>
          <w:tcPr>
            <w:tcW w:w="3290" w:type="dxa"/>
            <w:gridSpan w:val="3"/>
            <w:tcBorders>
              <w:top w:val="single" w:color="000000" w:sz="4" w:space="0"/>
              <w:left w:val="single" w:color="000000" w:sz="4" w:space="0"/>
              <w:bottom w:val="single" w:color="000000" w:sz="4" w:space="0"/>
              <w:right w:val="single" w:color="000000" w:sz="4" w:space="0"/>
            </w:tcBorders>
            <w:noWrap w:val="0"/>
            <w:vAlign w:val="center"/>
          </w:tcPr>
          <w:p w14:paraId="57DE9290">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如发生肥害，扣1分/处，致植物死亡，加倍扣分。</w:t>
            </w:r>
          </w:p>
        </w:tc>
        <w:tc>
          <w:tcPr>
            <w:tcW w:w="1001" w:type="dxa"/>
            <w:tcBorders>
              <w:top w:val="single" w:color="000000" w:sz="4" w:space="0"/>
              <w:left w:val="single" w:color="000000" w:sz="4" w:space="0"/>
              <w:bottom w:val="single" w:color="000000" w:sz="4" w:space="0"/>
              <w:right w:val="single" w:color="000000" w:sz="4" w:space="0"/>
            </w:tcBorders>
            <w:noWrap/>
            <w:vAlign w:val="center"/>
          </w:tcPr>
          <w:p w14:paraId="221BF581">
            <w:pPr>
              <w:rPr>
                <w:rFonts w:hint="eastAsia" w:ascii="宋体" w:hAnsi="宋体" w:eastAsia="宋体" w:cs="宋体"/>
                <w:color w:val="000000"/>
                <w:sz w:val="20"/>
                <w:szCs w:val="20"/>
              </w:rPr>
            </w:pPr>
          </w:p>
        </w:tc>
        <w:tc>
          <w:tcPr>
            <w:tcW w:w="790" w:type="dxa"/>
            <w:gridSpan w:val="2"/>
            <w:tcBorders>
              <w:top w:val="single" w:color="000000" w:sz="4" w:space="0"/>
              <w:left w:val="single" w:color="000000" w:sz="4" w:space="0"/>
              <w:bottom w:val="single" w:color="000000" w:sz="4" w:space="0"/>
              <w:right w:val="single" w:color="000000" w:sz="4" w:space="0"/>
            </w:tcBorders>
            <w:noWrap/>
            <w:vAlign w:val="center"/>
          </w:tcPr>
          <w:p w14:paraId="62CF7EA8">
            <w:pPr>
              <w:rPr>
                <w:rFonts w:hint="eastAsia" w:ascii="宋体" w:hAnsi="宋体" w:eastAsia="宋体" w:cs="宋体"/>
                <w:color w:val="000000"/>
                <w:sz w:val="20"/>
                <w:szCs w:val="20"/>
              </w:rPr>
            </w:pPr>
          </w:p>
        </w:tc>
      </w:tr>
      <w:tr w14:paraId="25CAF10E">
        <w:tblPrEx>
          <w:tblCellMar>
            <w:top w:w="0" w:type="dxa"/>
            <w:left w:w="108" w:type="dxa"/>
            <w:bottom w:w="0" w:type="dxa"/>
            <w:right w:w="108" w:type="dxa"/>
          </w:tblCellMar>
        </w:tblPrEx>
        <w:trPr>
          <w:gridAfter w:val="2"/>
          <w:wAfter w:w="7010" w:type="dxa"/>
          <w:trHeight w:val="711" w:hRule="atLeast"/>
        </w:trPr>
        <w:tc>
          <w:tcPr>
            <w:tcW w:w="441" w:type="dxa"/>
            <w:vMerge w:val="restart"/>
            <w:tcBorders>
              <w:top w:val="single" w:color="000000" w:sz="4" w:space="0"/>
              <w:left w:val="single" w:color="000000" w:sz="4" w:space="0"/>
              <w:bottom w:val="single" w:color="000000" w:sz="4" w:space="0"/>
              <w:right w:val="single" w:color="000000" w:sz="4" w:space="0"/>
            </w:tcBorders>
            <w:noWrap/>
            <w:vAlign w:val="center"/>
          </w:tcPr>
          <w:p w14:paraId="40199594">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6</w:t>
            </w:r>
          </w:p>
        </w:tc>
        <w:tc>
          <w:tcPr>
            <w:tcW w:w="708" w:type="dxa"/>
            <w:vMerge w:val="restart"/>
            <w:tcBorders>
              <w:top w:val="single" w:color="000000" w:sz="4" w:space="0"/>
              <w:left w:val="single" w:color="000000" w:sz="4" w:space="0"/>
              <w:bottom w:val="single" w:color="000000" w:sz="4" w:space="0"/>
              <w:right w:val="single" w:color="000000" w:sz="4" w:space="0"/>
            </w:tcBorders>
            <w:noWrap w:val="0"/>
            <w:vAlign w:val="center"/>
          </w:tcPr>
          <w:p w14:paraId="2954E19F">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绿化长势22分</w:t>
            </w:r>
          </w:p>
        </w:tc>
        <w:tc>
          <w:tcPr>
            <w:tcW w:w="426" w:type="dxa"/>
            <w:tcBorders>
              <w:top w:val="single" w:color="000000" w:sz="4" w:space="0"/>
              <w:left w:val="single" w:color="000000" w:sz="4" w:space="0"/>
              <w:bottom w:val="single" w:color="000000" w:sz="4" w:space="0"/>
              <w:right w:val="single" w:color="000000" w:sz="4" w:space="0"/>
            </w:tcBorders>
            <w:noWrap/>
            <w:vAlign w:val="center"/>
          </w:tcPr>
          <w:p w14:paraId="67A3CD7E">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13</w:t>
            </w:r>
          </w:p>
        </w:tc>
        <w:tc>
          <w:tcPr>
            <w:tcW w:w="3144" w:type="dxa"/>
            <w:tcBorders>
              <w:top w:val="single" w:color="000000" w:sz="4" w:space="0"/>
              <w:left w:val="single" w:color="000000" w:sz="4" w:space="0"/>
              <w:bottom w:val="single" w:color="000000" w:sz="4" w:space="0"/>
              <w:right w:val="single" w:color="000000" w:sz="4" w:space="0"/>
            </w:tcBorders>
            <w:noWrap w:val="0"/>
            <w:vAlign w:val="center"/>
          </w:tcPr>
          <w:p w14:paraId="2680444A">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绿地内树木无死株、断枝、枯枝、病枝，树木无大片光秃落叶；竹类无砍伐后的竹蔸及干枯株。</w:t>
            </w:r>
          </w:p>
        </w:tc>
        <w:tc>
          <w:tcPr>
            <w:tcW w:w="3290" w:type="dxa"/>
            <w:gridSpan w:val="3"/>
            <w:tcBorders>
              <w:top w:val="single" w:color="000000" w:sz="4" w:space="0"/>
              <w:left w:val="single" w:color="000000" w:sz="4" w:space="0"/>
              <w:bottom w:val="single" w:color="000000" w:sz="4" w:space="0"/>
              <w:right w:val="single" w:color="000000" w:sz="4" w:space="0"/>
            </w:tcBorders>
            <w:noWrap w:val="0"/>
            <w:vAlign w:val="center"/>
          </w:tcPr>
          <w:p w14:paraId="69AB1CA0">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发现死树死株，扣1分/株；有根部残留桩、断枝、枯叶、大片光秃落叶，发现一处扣1分，色块内有1处灌木死亡扣1分。</w:t>
            </w:r>
          </w:p>
        </w:tc>
        <w:tc>
          <w:tcPr>
            <w:tcW w:w="1001" w:type="dxa"/>
            <w:tcBorders>
              <w:top w:val="single" w:color="000000" w:sz="4" w:space="0"/>
              <w:left w:val="single" w:color="000000" w:sz="4" w:space="0"/>
              <w:bottom w:val="single" w:color="000000" w:sz="4" w:space="0"/>
              <w:right w:val="single" w:color="000000" w:sz="4" w:space="0"/>
            </w:tcBorders>
            <w:noWrap/>
            <w:vAlign w:val="center"/>
          </w:tcPr>
          <w:p w14:paraId="5FBAE250">
            <w:pPr>
              <w:rPr>
                <w:rFonts w:hint="eastAsia" w:ascii="宋体" w:hAnsi="宋体" w:eastAsia="宋体" w:cs="宋体"/>
                <w:color w:val="000000"/>
                <w:sz w:val="20"/>
                <w:szCs w:val="20"/>
              </w:rPr>
            </w:pPr>
          </w:p>
        </w:tc>
        <w:tc>
          <w:tcPr>
            <w:tcW w:w="790" w:type="dxa"/>
            <w:gridSpan w:val="2"/>
            <w:tcBorders>
              <w:top w:val="single" w:color="000000" w:sz="4" w:space="0"/>
              <w:left w:val="single" w:color="000000" w:sz="4" w:space="0"/>
              <w:bottom w:val="single" w:color="000000" w:sz="4" w:space="0"/>
              <w:right w:val="single" w:color="000000" w:sz="4" w:space="0"/>
            </w:tcBorders>
            <w:noWrap/>
            <w:vAlign w:val="center"/>
          </w:tcPr>
          <w:p w14:paraId="00D00D26">
            <w:pPr>
              <w:rPr>
                <w:rFonts w:hint="eastAsia" w:ascii="宋体" w:hAnsi="宋体" w:eastAsia="宋体" w:cs="宋体"/>
                <w:color w:val="000000"/>
                <w:sz w:val="20"/>
                <w:szCs w:val="20"/>
              </w:rPr>
            </w:pPr>
          </w:p>
        </w:tc>
      </w:tr>
      <w:tr w14:paraId="4FD76245">
        <w:tblPrEx>
          <w:tblCellMar>
            <w:top w:w="0" w:type="dxa"/>
            <w:left w:w="108" w:type="dxa"/>
            <w:bottom w:w="0" w:type="dxa"/>
            <w:right w:w="108" w:type="dxa"/>
          </w:tblCellMar>
        </w:tblPrEx>
        <w:trPr>
          <w:gridAfter w:val="2"/>
          <w:wAfter w:w="7010" w:type="dxa"/>
          <w:trHeight w:val="828" w:hRule="atLeast"/>
        </w:trPr>
        <w:tc>
          <w:tcPr>
            <w:tcW w:w="441" w:type="dxa"/>
            <w:vMerge w:val="continue"/>
            <w:tcBorders>
              <w:top w:val="single" w:color="000000" w:sz="4" w:space="0"/>
              <w:left w:val="single" w:color="000000" w:sz="4" w:space="0"/>
              <w:bottom w:val="single" w:color="000000" w:sz="4" w:space="0"/>
              <w:right w:val="single" w:color="000000" w:sz="4" w:space="0"/>
            </w:tcBorders>
            <w:noWrap/>
            <w:vAlign w:val="center"/>
          </w:tcPr>
          <w:p w14:paraId="71C76F74">
            <w:pPr>
              <w:jc w:val="center"/>
              <w:rPr>
                <w:rFonts w:hint="eastAsia" w:ascii="宋体" w:hAnsi="宋体" w:eastAsia="宋体" w:cs="宋体"/>
                <w:color w:val="000000"/>
                <w:sz w:val="20"/>
                <w:szCs w:val="20"/>
              </w:rPr>
            </w:pPr>
          </w:p>
        </w:tc>
        <w:tc>
          <w:tcPr>
            <w:tcW w:w="70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BE48D7C">
            <w:pPr>
              <w:jc w:val="center"/>
              <w:rPr>
                <w:rFonts w:hint="eastAsia" w:ascii="宋体" w:hAnsi="宋体" w:eastAsia="宋体" w:cs="宋体"/>
                <w:color w:val="000000"/>
                <w:sz w:val="20"/>
                <w:szCs w:val="20"/>
              </w:rPr>
            </w:pPr>
          </w:p>
        </w:tc>
        <w:tc>
          <w:tcPr>
            <w:tcW w:w="426" w:type="dxa"/>
            <w:tcBorders>
              <w:top w:val="single" w:color="000000" w:sz="4" w:space="0"/>
              <w:left w:val="single" w:color="000000" w:sz="4" w:space="0"/>
              <w:bottom w:val="single" w:color="000000" w:sz="4" w:space="0"/>
              <w:right w:val="single" w:color="000000" w:sz="4" w:space="0"/>
            </w:tcBorders>
            <w:noWrap/>
            <w:vAlign w:val="center"/>
          </w:tcPr>
          <w:p w14:paraId="58ABEC29">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14</w:t>
            </w:r>
          </w:p>
        </w:tc>
        <w:tc>
          <w:tcPr>
            <w:tcW w:w="3144" w:type="dxa"/>
            <w:tcBorders>
              <w:top w:val="single" w:color="000000" w:sz="4" w:space="0"/>
              <w:left w:val="single" w:color="000000" w:sz="4" w:space="0"/>
              <w:bottom w:val="single" w:color="000000" w:sz="4" w:space="0"/>
              <w:right w:val="single" w:color="000000" w:sz="4" w:space="0"/>
            </w:tcBorders>
            <w:noWrap w:val="0"/>
            <w:vAlign w:val="center"/>
          </w:tcPr>
          <w:p w14:paraId="0B0C89F2">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绿地内乔灌木有缺株，绿篱及满种模纹、地被花卉等有空缺应及时补缺，少数树种因季节不能及时补种除外。</w:t>
            </w:r>
          </w:p>
        </w:tc>
        <w:tc>
          <w:tcPr>
            <w:tcW w:w="3290" w:type="dxa"/>
            <w:gridSpan w:val="3"/>
            <w:tcBorders>
              <w:top w:val="single" w:color="000000" w:sz="4" w:space="0"/>
              <w:left w:val="single" w:color="000000" w:sz="4" w:space="0"/>
              <w:bottom w:val="single" w:color="000000" w:sz="4" w:space="0"/>
              <w:right w:val="single" w:color="000000" w:sz="4" w:space="0"/>
            </w:tcBorders>
            <w:noWrap w:val="0"/>
            <w:vAlign w:val="center"/>
          </w:tcPr>
          <w:p w14:paraId="1ABC102C">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乔灌木未按规定及时补缺，扣1分/株；绿篱未按规定及时补缺，扣1分/米；模纹及地被花卉未按规定及时补缺，扣1分/M</w:t>
            </w:r>
            <w:r>
              <w:rPr>
                <w:rFonts w:hint="eastAsia" w:ascii="宋体" w:hAnsi="宋体" w:eastAsia="宋体" w:cs="宋体"/>
                <w:color w:val="000000"/>
                <w:kern w:val="0"/>
                <w:sz w:val="20"/>
                <w:szCs w:val="20"/>
                <w:vertAlign w:val="superscript"/>
                <w:lang w:bidi="ar"/>
              </w:rPr>
              <w:t>2</w:t>
            </w:r>
            <w:r>
              <w:rPr>
                <w:rFonts w:hint="eastAsia" w:ascii="宋体" w:hAnsi="宋体" w:eastAsia="宋体" w:cs="宋体"/>
                <w:color w:val="000000"/>
                <w:kern w:val="0"/>
                <w:sz w:val="20"/>
                <w:szCs w:val="20"/>
                <w:lang w:bidi="ar"/>
              </w:rPr>
              <w:t>。</w:t>
            </w:r>
          </w:p>
        </w:tc>
        <w:tc>
          <w:tcPr>
            <w:tcW w:w="1001" w:type="dxa"/>
            <w:tcBorders>
              <w:top w:val="single" w:color="000000" w:sz="4" w:space="0"/>
              <w:left w:val="single" w:color="000000" w:sz="4" w:space="0"/>
              <w:bottom w:val="single" w:color="000000" w:sz="4" w:space="0"/>
              <w:right w:val="single" w:color="000000" w:sz="4" w:space="0"/>
            </w:tcBorders>
            <w:noWrap/>
            <w:vAlign w:val="center"/>
          </w:tcPr>
          <w:p w14:paraId="512DA1B4">
            <w:pPr>
              <w:rPr>
                <w:rFonts w:hint="eastAsia" w:ascii="宋体" w:hAnsi="宋体" w:eastAsia="宋体" w:cs="宋体"/>
                <w:color w:val="000000"/>
                <w:sz w:val="20"/>
                <w:szCs w:val="20"/>
              </w:rPr>
            </w:pPr>
          </w:p>
        </w:tc>
        <w:tc>
          <w:tcPr>
            <w:tcW w:w="790" w:type="dxa"/>
            <w:gridSpan w:val="2"/>
            <w:tcBorders>
              <w:top w:val="single" w:color="000000" w:sz="4" w:space="0"/>
              <w:left w:val="single" w:color="000000" w:sz="4" w:space="0"/>
              <w:bottom w:val="single" w:color="000000" w:sz="4" w:space="0"/>
              <w:right w:val="single" w:color="000000" w:sz="4" w:space="0"/>
            </w:tcBorders>
            <w:noWrap/>
            <w:vAlign w:val="center"/>
          </w:tcPr>
          <w:p w14:paraId="69C042EA">
            <w:pPr>
              <w:rPr>
                <w:rFonts w:hint="eastAsia" w:ascii="宋体" w:hAnsi="宋体" w:eastAsia="宋体" w:cs="宋体"/>
                <w:color w:val="000000"/>
                <w:sz w:val="20"/>
                <w:szCs w:val="20"/>
              </w:rPr>
            </w:pPr>
          </w:p>
        </w:tc>
      </w:tr>
      <w:tr w14:paraId="0ADD935D">
        <w:tblPrEx>
          <w:tblCellMar>
            <w:top w:w="0" w:type="dxa"/>
            <w:left w:w="108" w:type="dxa"/>
            <w:bottom w:w="0" w:type="dxa"/>
            <w:right w:w="108" w:type="dxa"/>
          </w:tblCellMar>
        </w:tblPrEx>
        <w:trPr>
          <w:gridAfter w:val="2"/>
          <w:wAfter w:w="7010" w:type="dxa"/>
          <w:trHeight w:val="908" w:hRule="atLeast"/>
        </w:trPr>
        <w:tc>
          <w:tcPr>
            <w:tcW w:w="441" w:type="dxa"/>
            <w:vMerge w:val="continue"/>
            <w:tcBorders>
              <w:top w:val="single" w:color="000000" w:sz="4" w:space="0"/>
              <w:left w:val="single" w:color="000000" w:sz="4" w:space="0"/>
              <w:bottom w:val="single" w:color="000000" w:sz="4" w:space="0"/>
              <w:right w:val="single" w:color="000000" w:sz="4" w:space="0"/>
            </w:tcBorders>
            <w:noWrap/>
            <w:vAlign w:val="center"/>
          </w:tcPr>
          <w:p w14:paraId="2F04C989">
            <w:pPr>
              <w:jc w:val="center"/>
              <w:rPr>
                <w:rFonts w:hint="eastAsia" w:ascii="宋体" w:hAnsi="宋体" w:eastAsia="宋体" w:cs="宋体"/>
                <w:color w:val="000000"/>
                <w:sz w:val="20"/>
                <w:szCs w:val="20"/>
              </w:rPr>
            </w:pPr>
          </w:p>
        </w:tc>
        <w:tc>
          <w:tcPr>
            <w:tcW w:w="70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1584E4F">
            <w:pPr>
              <w:jc w:val="center"/>
              <w:rPr>
                <w:rFonts w:hint="eastAsia" w:ascii="宋体" w:hAnsi="宋体" w:eastAsia="宋体" w:cs="宋体"/>
                <w:color w:val="000000"/>
                <w:sz w:val="20"/>
                <w:szCs w:val="20"/>
              </w:rPr>
            </w:pPr>
          </w:p>
        </w:tc>
        <w:tc>
          <w:tcPr>
            <w:tcW w:w="426" w:type="dxa"/>
            <w:tcBorders>
              <w:top w:val="single" w:color="000000" w:sz="4" w:space="0"/>
              <w:left w:val="single" w:color="000000" w:sz="4" w:space="0"/>
              <w:bottom w:val="single" w:color="000000" w:sz="4" w:space="0"/>
              <w:right w:val="single" w:color="000000" w:sz="4" w:space="0"/>
            </w:tcBorders>
            <w:noWrap/>
            <w:vAlign w:val="center"/>
          </w:tcPr>
          <w:p w14:paraId="1299B22B">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15</w:t>
            </w:r>
          </w:p>
        </w:tc>
        <w:tc>
          <w:tcPr>
            <w:tcW w:w="3144" w:type="dxa"/>
            <w:tcBorders>
              <w:top w:val="single" w:color="000000" w:sz="4" w:space="0"/>
              <w:left w:val="single" w:color="000000" w:sz="4" w:space="0"/>
              <w:bottom w:val="single" w:color="000000" w:sz="4" w:space="0"/>
              <w:right w:val="single" w:color="000000" w:sz="4" w:space="0"/>
            </w:tcBorders>
            <w:noWrap w:val="0"/>
            <w:vAlign w:val="center"/>
          </w:tcPr>
          <w:p w14:paraId="765972DA">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绿地内树木生长健壮，无倾斜、倒歪现象。高大乔木在大风来临时应采取防倒有效措施，因台风等灾害天气造成树木倒伏时，应及时扶正支撑倒伏树木。</w:t>
            </w:r>
          </w:p>
        </w:tc>
        <w:tc>
          <w:tcPr>
            <w:tcW w:w="3290" w:type="dxa"/>
            <w:gridSpan w:val="3"/>
            <w:tcBorders>
              <w:top w:val="single" w:color="000000" w:sz="4" w:space="0"/>
              <w:left w:val="single" w:color="000000" w:sz="4" w:space="0"/>
              <w:bottom w:val="single" w:color="000000" w:sz="4" w:space="0"/>
              <w:right w:val="single" w:color="000000" w:sz="4" w:space="0"/>
            </w:tcBorders>
            <w:noWrap w:val="0"/>
            <w:vAlign w:val="center"/>
          </w:tcPr>
          <w:p w14:paraId="6100D1EF">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正常情况下，绿地内乔木、大灌木有倾斜或倒伏现象，扣1分/株；因灾害天气造成树木倒伏，应在规定时间内扶正支撑，逾期扣1分/株；无有效措施导致高大乔木倒伏，扣1分/株。</w:t>
            </w:r>
          </w:p>
        </w:tc>
        <w:tc>
          <w:tcPr>
            <w:tcW w:w="1001" w:type="dxa"/>
            <w:tcBorders>
              <w:top w:val="single" w:color="000000" w:sz="4" w:space="0"/>
              <w:left w:val="single" w:color="000000" w:sz="4" w:space="0"/>
              <w:bottom w:val="single" w:color="000000" w:sz="4" w:space="0"/>
              <w:right w:val="single" w:color="000000" w:sz="4" w:space="0"/>
            </w:tcBorders>
            <w:noWrap/>
            <w:vAlign w:val="center"/>
          </w:tcPr>
          <w:p w14:paraId="1CE23F63">
            <w:pPr>
              <w:rPr>
                <w:rFonts w:hint="eastAsia" w:ascii="宋体" w:hAnsi="宋体" w:eastAsia="宋体" w:cs="宋体"/>
                <w:color w:val="000000"/>
                <w:sz w:val="20"/>
                <w:szCs w:val="20"/>
              </w:rPr>
            </w:pPr>
          </w:p>
        </w:tc>
        <w:tc>
          <w:tcPr>
            <w:tcW w:w="790" w:type="dxa"/>
            <w:gridSpan w:val="2"/>
            <w:tcBorders>
              <w:top w:val="single" w:color="000000" w:sz="4" w:space="0"/>
              <w:left w:val="single" w:color="000000" w:sz="4" w:space="0"/>
              <w:bottom w:val="single" w:color="000000" w:sz="4" w:space="0"/>
              <w:right w:val="single" w:color="000000" w:sz="4" w:space="0"/>
            </w:tcBorders>
            <w:noWrap/>
            <w:vAlign w:val="center"/>
          </w:tcPr>
          <w:p w14:paraId="5B6BBCB3">
            <w:pPr>
              <w:rPr>
                <w:rFonts w:hint="eastAsia" w:ascii="宋体" w:hAnsi="宋体" w:eastAsia="宋体" w:cs="宋体"/>
                <w:color w:val="000000"/>
                <w:sz w:val="20"/>
                <w:szCs w:val="20"/>
              </w:rPr>
            </w:pPr>
          </w:p>
        </w:tc>
      </w:tr>
      <w:tr w14:paraId="48D42C4F">
        <w:tblPrEx>
          <w:tblCellMar>
            <w:top w:w="0" w:type="dxa"/>
            <w:left w:w="108" w:type="dxa"/>
            <w:bottom w:w="0" w:type="dxa"/>
            <w:right w:w="108" w:type="dxa"/>
          </w:tblCellMar>
        </w:tblPrEx>
        <w:trPr>
          <w:gridAfter w:val="2"/>
          <w:wAfter w:w="7010" w:type="dxa"/>
          <w:trHeight w:val="945" w:hRule="atLeast"/>
        </w:trPr>
        <w:tc>
          <w:tcPr>
            <w:tcW w:w="441" w:type="dxa"/>
            <w:vMerge w:val="continue"/>
            <w:tcBorders>
              <w:top w:val="single" w:color="000000" w:sz="4" w:space="0"/>
              <w:left w:val="single" w:color="000000" w:sz="4" w:space="0"/>
              <w:bottom w:val="single" w:color="000000" w:sz="4" w:space="0"/>
              <w:right w:val="single" w:color="000000" w:sz="4" w:space="0"/>
            </w:tcBorders>
            <w:noWrap/>
            <w:vAlign w:val="center"/>
          </w:tcPr>
          <w:p w14:paraId="371D9223">
            <w:pPr>
              <w:jc w:val="center"/>
              <w:rPr>
                <w:rFonts w:hint="eastAsia" w:ascii="宋体" w:hAnsi="宋体" w:eastAsia="宋体" w:cs="宋体"/>
                <w:color w:val="000000"/>
                <w:sz w:val="20"/>
                <w:szCs w:val="20"/>
              </w:rPr>
            </w:pPr>
          </w:p>
        </w:tc>
        <w:tc>
          <w:tcPr>
            <w:tcW w:w="70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6190D9D">
            <w:pPr>
              <w:jc w:val="center"/>
              <w:rPr>
                <w:rFonts w:hint="eastAsia" w:ascii="宋体" w:hAnsi="宋体" w:eastAsia="宋体" w:cs="宋体"/>
                <w:color w:val="000000"/>
                <w:sz w:val="20"/>
                <w:szCs w:val="20"/>
              </w:rPr>
            </w:pPr>
          </w:p>
        </w:tc>
        <w:tc>
          <w:tcPr>
            <w:tcW w:w="426" w:type="dxa"/>
            <w:tcBorders>
              <w:top w:val="single" w:color="000000" w:sz="4" w:space="0"/>
              <w:left w:val="single" w:color="000000" w:sz="4" w:space="0"/>
              <w:bottom w:val="single" w:color="000000" w:sz="4" w:space="0"/>
              <w:right w:val="single" w:color="000000" w:sz="4" w:space="0"/>
            </w:tcBorders>
            <w:noWrap/>
            <w:vAlign w:val="center"/>
          </w:tcPr>
          <w:p w14:paraId="6F117990">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16</w:t>
            </w:r>
          </w:p>
        </w:tc>
        <w:tc>
          <w:tcPr>
            <w:tcW w:w="3144" w:type="dxa"/>
            <w:tcBorders>
              <w:top w:val="single" w:color="000000" w:sz="4" w:space="0"/>
              <w:left w:val="single" w:color="000000" w:sz="4" w:space="0"/>
              <w:bottom w:val="single" w:color="000000" w:sz="4" w:space="0"/>
              <w:right w:val="single" w:color="000000" w:sz="4" w:space="0"/>
            </w:tcBorders>
            <w:noWrap w:val="0"/>
            <w:vAlign w:val="center"/>
          </w:tcPr>
          <w:p w14:paraId="542FDDB2">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草坪应长势旺盛，草坪无空缺，色泽一致，无黄化、积水现象，基本无杂草；按要求及时进行追播、修补、打孔或疏草。</w:t>
            </w:r>
          </w:p>
        </w:tc>
        <w:tc>
          <w:tcPr>
            <w:tcW w:w="3290" w:type="dxa"/>
            <w:gridSpan w:val="3"/>
            <w:tcBorders>
              <w:top w:val="single" w:color="000000" w:sz="4" w:space="0"/>
              <w:left w:val="single" w:color="000000" w:sz="4" w:space="0"/>
              <w:bottom w:val="single" w:color="000000" w:sz="4" w:space="0"/>
              <w:right w:val="single" w:color="000000" w:sz="4" w:space="0"/>
            </w:tcBorders>
            <w:noWrap w:val="0"/>
            <w:vAlign w:val="center"/>
          </w:tcPr>
          <w:p w14:paraId="7223DD2A">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草坪有黄化现象，扣1分/处；有积水现象扣1分/处；有明显杂草未拔除现象，扣0.5分/M</w:t>
            </w:r>
            <w:r>
              <w:rPr>
                <w:rFonts w:hint="eastAsia" w:ascii="宋体" w:hAnsi="宋体" w:eastAsia="宋体" w:cs="宋体"/>
                <w:color w:val="000000"/>
                <w:kern w:val="0"/>
                <w:sz w:val="20"/>
                <w:szCs w:val="20"/>
                <w:vertAlign w:val="superscript"/>
                <w:lang w:bidi="ar"/>
              </w:rPr>
              <w:t>2</w:t>
            </w:r>
            <w:r>
              <w:rPr>
                <w:rFonts w:hint="eastAsia" w:ascii="宋体" w:hAnsi="宋体" w:eastAsia="宋体" w:cs="宋体"/>
                <w:color w:val="000000"/>
                <w:kern w:val="0"/>
                <w:sz w:val="20"/>
                <w:szCs w:val="20"/>
                <w:lang w:bidi="ar"/>
              </w:rPr>
              <w:t>；草坪有空缺，未按规定时间完成补种的，扣1分/M2；未及时追播、修补、打孔或疏草扣1分/处。</w:t>
            </w:r>
          </w:p>
        </w:tc>
        <w:tc>
          <w:tcPr>
            <w:tcW w:w="1001" w:type="dxa"/>
            <w:tcBorders>
              <w:top w:val="single" w:color="000000" w:sz="4" w:space="0"/>
              <w:left w:val="single" w:color="000000" w:sz="4" w:space="0"/>
              <w:bottom w:val="single" w:color="000000" w:sz="4" w:space="0"/>
              <w:right w:val="single" w:color="000000" w:sz="4" w:space="0"/>
            </w:tcBorders>
            <w:noWrap/>
            <w:vAlign w:val="center"/>
          </w:tcPr>
          <w:p w14:paraId="7B885140">
            <w:pPr>
              <w:rPr>
                <w:rFonts w:hint="eastAsia" w:ascii="宋体" w:hAnsi="宋体" w:eastAsia="宋体" w:cs="宋体"/>
                <w:color w:val="000000"/>
                <w:sz w:val="20"/>
                <w:szCs w:val="20"/>
              </w:rPr>
            </w:pPr>
          </w:p>
        </w:tc>
        <w:tc>
          <w:tcPr>
            <w:tcW w:w="790" w:type="dxa"/>
            <w:gridSpan w:val="2"/>
            <w:tcBorders>
              <w:top w:val="single" w:color="000000" w:sz="4" w:space="0"/>
              <w:left w:val="single" w:color="000000" w:sz="4" w:space="0"/>
              <w:bottom w:val="single" w:color="000000" w:sz="4" w:space="0"/>
              <w:right w:val="single" w:color="000000" w:sz="4" w:space="0"/>
            </w:tcBorders>
            <w:noWrap/>
            <w:vAlign w:val="center"/>
          </w:tcPr>
          <w:p w14:paraId="7FF7C0FA">
            <w:pPr>
              <w:rPr>
                <w:rFonts w:hint="eastAsia" w:ascii="宋体" w:hAnsi="宋体" w:eastAsia="宋体" w:cs="宋体"/>
                <w:color w:val="000000"/>
                <w:sz w:val="20"/>
                <w:szCs w:val="20"/>
              </w:rPr>
            </w:pPr>
          </w:p>
        </w:tc>
      </w:tr>
      <w:tr w14:paraId="363DCA52">
        <w:tblPrEx>
          <w:tblCellMar>
            <w:top w:w="0" w:type="dxa"/>
            <w:left w:w="108" w:type="dxa"/>
            <w:bottom w:w="0" w:type="dxa"/>
            <w:right w:w="108" w:type="dxa"/>
          </w:tblCellMar>
        </w:tblPrEx>
        <w:trPr>
          <w:gridAfter w:val="2"/>
          <w:wAfter w:w="7010" w:type="dxa"/>
          <w:trHeight w:val="698" w:hRule="atLeast"/>
        </w:trPr>
        <w:tc>
          <w:tcPr>
            <w:tcW w:w="441" w:type="dxa"/>
            <w:vMerge w:val="restart"/>
            <w:tcBorders>
              <w:top w:val="single" w:color="000000" w:sz="4" w:space="0"/>
              <w:left w:val="single" w:color="000000" w:sz="4" w:space="0"/>
              <w:bottom w:val="single" w:color="000000" w:sz="4" w:space="0"/>
              <w:right w:val="single" w:color="000000" w:sz="4" w:space="0"/>
            </w:tcBorders>
            <w:noWrap/>
            <w:vAlign w:val="center"/>
          </w:tcPr>
          <w:p w14:paraId="315DD3B4">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7</w:t>
            </w:r>
          </w:p>
        </w:tc>
        <w:tc>
          <w:tcPr>
            <w:tcW w:w="708" w:type="dxa"/>
            <w:vMerge w:val="restart"/>
            <w:tcBorders>
              <w:top w:val="single" w:color="000000" w:sz="4" w:space="0"/>
              <w:left w:val="single" w:color="000000" w:sz="4" w:space="0"/>
              <w:bottom w:val="single" w:color="000000" w:sz="4" w:space="0"/>
              <w:right w:val="single" w:color="000000" w:sz="4" w:space="0"/>
            </w:tcBorders>
            <w:noWrap w:val="0"/>
            <w:vAlign w:val="center"/>
          </w:tcPr>
          <w:p w14:paraId="085F0962">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病虫防治10分</w:t>
            </w:r>
          </w:p>
        </w:tc>
        <w:tc>
          <w:tcPr>
            <w:tcW w:w="426" w:type="dxa"/>
            <w:tcBorders>
              <w:top w:val="single" w:color="000000" w:sz="4" w:space="0"/>
              <w:left w:val="single" w:color="000000" w:sz="4" w:space="0"/>
              <w:bottom w:val="single" w:color="000000" w:sz="4" w:space="0"/>
              <w:right w:val="single" w:color="000000" w:sz="4" w:space="0"/>
            </w:tcBorders>
            <w:noWrap/>
            <w:vAlign w:val="center"/>
          </w:tcPr>
          <w:p w14:paraId="198C30FA">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17</w:t>
            </w:r>
          </w:p>
        </w:tc>
        <w:tc>
          <w:tcPr>
            <w:tcW w:w="3144" w:type="dxa"/>
            <w:tcBorders>
              <w:top w:val="single" w:color="000000" w:sz="4" w:space="0"/>
              <w:left w:val="single" w:color="000000" w:sz="4" w:space="0"/>
              <w:bottom w:val="single" w:color="000000" w:sz="4" w:space="0"/>
              <w:right w:val="single" w:color="000000" w:sz="4" w:space="0"/>
            </w:tcBorders>
            <w:noWrap w:val="0"/>
            <w:vAlign w:val="center"/>
          </w:tcPr>
          <w:p w14:paraId="20FE068A">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发现病虫害应主动汇报，按要求配比和使用药剂，积极防治，效果明显，无药害产生。</w:t>
            </w:r>
          </w:p>
        </w:tc>
        <w:tc>
          <w:tcPr>
            <w:tcW w:w="3290" w:type="dxa"/>
            <w:gridSpan w:val="3"/>
            <w:tcBorders>
              <w:top w:val="single" w:color="000000" w:sz="4" w:space="0"/>
              <w:left w:val="single" w:color="000000" w:sz="4" w:space="0"/>
              <w:bottom w:val="single" w:color="000000" w:sz="4" w:space="0"/>
              <w:right w:val="single" w:color="000000" w:sz="4" w:space="0"/>
            </w:tcBorders>
            <w:noWrap w:val="0"/>
            <w:vAlign w:val="center"/>
          </w:tcPr>
          <w:p w14:paraId="5544B19A">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发现病虫害不汇报，扣2分/次；不及时防治，有明显危害症状扣3分/次；大面积危害加倍扣分；使用不当发生药害，致使植物落叶死亡，扣2分/处。</w:t>
            </w:r>
          </w:p>
        </w:tc>
        <w:tc>
          <w:tcPr>
            <w:tcW w:w="1001" w:type="dxa"/>
            <w:tcBorders>
              <w:top w:val="single" w:color="000000" w:sz="4" w:space="0"/>
              <w:left w:val="single" w:color="000000" w:sz="4" w:space="0"/>
              <w:bottom w:val="single" w:color="000000" w:sz="4" w:space="0"/>
              <w:right w:val="single" w:color="000000" w:sz="4" w:space="0"/>
            </w:tcBorders>
            <w:noWrap/>
            <w:vAlign w:val="center"/>
          </w:tcPr>
          <w:p w14:paraId="59D32731">
            <w:pPr>
              <w:rPr>
                <w:rFonts w:hint="eastAsia" w:ascii="宋体" w:hAnsi="宋体" w:eastAsia="宋体" w:cs="宋体"/>
                <w:color w:val="000000"/>
                <w:sz w:val="20"/>
                <w:szCs w:val="20"/>
              </w:rPr>
            </w:pPr>
          </w:p>
        </w:tc>
        <w:tc>
          <w:tcPr>
            <w:tcW w:w="790" w:type="dxa"/>
            <w:gridSpan w:val="2"/>
            <w:tcBorders>
              <w:top w:val="single" w:color="000000" w:sz="4" w:space="0"/>
              <w:left w:val="single" w:color="000000" w:sz="4" w:space="0"/>
              <w:bottom w:val="single" w:color="000000" w:sz="4" w:space="0"/>
              <w:right w:val="single" w:color="000000" w:sz="4" w:space="0"/>
            </w:tcBorders>
            <w:noWrap/>
            <w:vAlign w:val="center"/>
          </w:tcPr>
          <w:p w14:paraId="5B9F9D00">
            <w:pPr>
              <w:rPr>
                <w:rFonts w:hint="eastAsia" w:ascii="宋体" w:hAnsi="宋体" w:eastAsia="宋体" w:cs="宋体"/>
                <w:color w:val="000000"/>
                <w:sz w:val="20"/>
                <w:szCs w:val="20"/>
              </w:rPr>
            </w:pPr>
          </w:p>
        </w:tc>
      </w:tr>
      <w:tr w14:paraId="1CF24553">
        <w:tblPrEx>
          <w:tblCellMar>
            <w:top w:w="0" w:type="dxa"/>
            <w:left w:w="108" w:type="dxa"/>
            <w:bottom w:w="0" w:type="dxa"/>
            <w:right w:w="108" w:type="dxa"/>
          </w:tblCellMar>
        </w:tblPrEx>
        <w:trPr>
          <w:gridAfter w:val="2"/>
          <w:wAfter w:w="7010" w:type="dxa"/>
          <w:trHeight w:val="458" w:hRule="atLeast"/>
        </w:trPr>
        <w:tc>
          <w:tcPr>
            <w:tcW w:w="441" w:type="dxa"/>
            <w:vMerge w:val="continue"/>
            <w:tcBorders>
              <w:top w:val="single" w:color="000000" w:sz="4" w:space="0"/>
              <w:left w:val="single" w:color="000000" w:sz="4" w:space="0"/>
              <w:bottom w:val="single" w:color="000000" w:sz="4" w:space="0"/>
              <w:right w:val="single" w:color="000000" w:sz="4" w:space="0"/>
            </w:tcBorders>
            <w:noWrap/>
            <w:vAlign w:val="center"/>
          </w:tcPr>
          <w:p w14:paraId="461FC2B6">
            <w:pPr>
              <w:jc w:val="center"/>
              <w:rPr>
                <w:rFonts w:hint="eastAsia" w:ascii="宋体" w:hAnsi="宋体" w:eastAsia="宋体" w:cs="宋体"/>
                <w:color w:val="000000"/>
                <w:sz w:val="20"/>
                <w:szCs w:val="20"/>
              </w:rPr>
            </w:pPr>
          </w:p>
        </w:tc>
        <w:tc>
          <w:tcPr>
            <w:tcW w:w="70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332CA1">
            <w:pPr>
              <w:jc w:val="center"/>
              <w:rPr>
                <w:rFonts w:hint="eastAsia" w:ascii="宋体" w:hAnsi="宋体" w:eastAsia="宋体" w:cs="宋体"/>
                <w:color w:val="000000"/>
                <w:sz w:val="20"/>
                <w:szCs w:val="20"/>
              </w:rPr>
            </w:pPr>
          </w:p>
        </w:tc>
        <w:tc>
          <w:tcPr>
            <w:tcW w:w="426" w:type="dxa"/>
            <w:tcBorders>
              <w:top w:val="single" w:color="000000" w:sz="4" w:space="0"/>
              <w:left w:val="single" w:color="000000" w:sz="4" w:space="0"/>
              <w:bottom w:val="single" w:color="000000" w:sz="4" w:space="0"/>
              <w:right w:val="single" w:color="000000" w:sz="4" w:space="0"/>
            </w:tcBorders>
            <w:noWrap/>
            <w:vAlign w:val="center"/>
          </w:tcPr>
          <w:p w14:paraId="14553011">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18</w:t>
            </w:r>
          </w:p>
        </w:tc>
        <w:tc>
          <w:tcPr>
            <w:tcW w:w="3144" w:type="dxa"/>
            <w:tcBorders>
              <w:top w:val="single" w:color="000000" w:sz="4" w:space="0"/>
              <w:left w:val="single" w:color="000000" w:sz="4" w:space="0"/>
              <w:bottom w:val="single" w:color="000000" w:sz="4" w:space="0"/>
              <w:right w:val="single" w:color="000000" w:sz="4" w:space="0"/>
            </w:tcBorders>
            <w:noWrap w:val="0"/>
            <w:vAlign w:val="center"/>
          </w:tcPr>
          <w:p w14:paraId="5EE31B1E">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结合冬季树木涂白、修剪，及时清理消灭越冬虫蛹、虫茧及有关病原体。</w:t>
            </w:r>
          </w:p>
        </w:tc>
        <w:tc>
          <w:tcPr>
            <w:tcW w:w="3290" w:type="dxa"/>
            <w:gridSpan w:val="3"/>
            <w:tcBorders>
              <w:top w:val="single" w:color="000000" w:sz="4" w:space="0"/>
              <w:left w:val="single" w:color="000000" w:sz="4" w:space="0"/>
              <w:bottom w:val="single" w:color="000000" w:sz="4" w:space="0"/>
              <w:right w:val="single" w:color="000000" w:sz="4" w:space="0"/>
            </w:tcBorders>
            <w:noWrap w:val="0"/>
            <w:vAlign w:val="center"/>
          </w:tcPr>
          <w:p w14:paraId="55E9A59E">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不实施，涂白扣3分，其它每项每处扣1分。</w:t>
            </w:r>
          </w:p>
        </w:tc>
        <w:tc>
          <w:tcPr>
            <w:tcW w:w="1001" w:type="dxa"/>
            <w:tcBorders>
              <w:top w:val="single" w:color="000000" w:sz="4" w:space="0"/>
              <w:left w:val="single" w:color="000000" w:sz="4" w:space="0"/>
              <w:bottom w:val="single" w:color="000000" w:sz="4" w:space="0"/>
              <w:right w:val="single" w:color="000000" w:sz="4" w:space="0"/>
            </w:tcBorders>
            <w:noWrap/>
            <w:vAlign w:val="center"/>
          </w:tcPr>
          <w:p w14:paraId="774726E9">
            <w:pPr>
              <w:rPr>
                <w:rFonts w:hint="eastAsia" w:ascii="宋体" w:hAnsi="宋体" w:eastAsia="宋体" w:cs="宋体"/>
                <w:color w:val="000000"/>
                <w:sz w:val="20"/>
                <w:szCs w:val="20"/>
              </w:rPr>
            </w:pPr>
          </w:p>
        </w:tc>
        <w:tc>
          <w:tcPr>
            <w:tcW w:w="790" w:type="dxa"/>
            <w:gridSpan w:val="2"/>
            <w:tcBorders>
              <w:top w:val="single" w:color="000000" w:sz="4" w:space="0"/>
              <w:left w:val="single" w:color="000000" w:sz="4" w:space="0"/>
              <w:bottom w:val="single" w:color="000000" w:sz="4" w:space="0"/>
              <w:right w:val="single" w:color="000000" w:sz="4" w:space="0"/>
            </w:tcBorders>
            <w:noWrap/>
            <w:vAlign w:val="center"/>
          </w:tcPr>
          <w:p w14:paraId="11AC8055">
            <w:pPr>
              <w:rPr>
                <w:rFonts w:hint="eastAsia" w:ascii="宋体" w:hAnsi="宋体" w:eastAsia="宋体" w:cs="宋体"/>
                <w:color w:val="000000"/>
                <w:sz w:val="20"/>
                <w:szCs w:val="20"/>
              </w:rPr>
            </w:pPr>
          </w:p>
        </w:tc>
      </w:tr>
      <w:tr w14:paraId="13E108B8">
        <w:tblPrEx>
          <w:tblCellMar>
            <w:top w:w="0" w:type="dxa"/>
            <w:left w:w="108" w:type="dxa"/>
            <w:bottom w:w="0" w:type="dxa"/>
            <w:right w:w="108" w:type="dxa"/>
          </w:tblCellMar>
        </w:tblPrEx>
        <w:trPr>
          <w:gridAfter w:val="2"/>
          <w:wAfter w:w="7010" w:type="dxa"/>
          <w:trHeight w:val="1582" w:hRule="atLeast"/>
        </w:trPr>
        <w:tc>
          <w:tcPr>
            <w:tcW w:w="441" w:type="dxa"/>
            <w:vMerge w:val="restart"/>
            <w:tcBorders>
              <w:top w:val="single" w:color="000000" w:sz="4" w:space="0"/>
              <w:left w:val="single" w:color="000000" w:sz="4" w:space="0"/>
              <w:bottom w:val="single" w:color="000000" w:sz="4" w:space="0"/>
              <w:right w:val="single" w:color="000000" w:sz="4" w:space="0"/>
            </w:tcBorders>
            <w:noWrap/>
            <w:vAlign w:val="center"/>
          </w:tcPr>
          <w:p w14:paraId="6ECC5981">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8</w:t>
            </w:r>
          </w:p>
        </w:tc>
        <w:tc>
          <w:tcPr>
            <w:tcW w:w="708" w:type="dxa"/>
            <w:vMerge w:val="restart"/>
            <w:tcBorders>
              <w:top w:val="single" w:color="000000" w:sz="4" w:space="0"/>
              <w:left w:val="single" w:color="000000" w:sz="4" w:space="0"/>
              <w:bottom w:val="single" w:color="000000" w:sz="4" w:space="0"/>
              <w:right w:val="single" w:color="000000" w:sz="4" w:space="0"/>
            </w:tcBorders>
            <w:noWrap w:val="0"/>
            <w:vAlign w:val="center"/>
          </w:tcPr>
          <w:p w14:paraId="2D136516">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整枝修剪18分</w:t>
            </w:r>
          </w:p>
        </w:tc>
        <w:tc>
          <w:tcPr>
            <w:tcW w:w="426" w:type="dxa"/>
            <w:tcBorders>
              <w:top w:val="single" w:color="000000" w:sz="4" w:space="0"/>
              <w:left w:val="single" w:color="000000" w:sz="4" w:space="0"/>
              <w:bottom w:val="single" w:color="000000" w:sz="4" w:space="0"/>
              <w:right w:val="single" w:color="000000" w:sz="4" w:space="0"/>
            </w:tcBorders>
            <w:noWrap/>
            <w:vAlign w:val="center"/>
          </w:tcPr>
          <w:p w14:paraId="0D3BC3BD">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19</w:t>
            </w:r>
          </w:p>
        </w:tc>
        <w:tc>
          <w:tcPr>
            <w:tcW w:w="3144" w:type="dxa"/>
            <w:tcBorders>
              <w:top w:val="single" w:color="000000" w:sz="4" w:space="0"/>
              <w:left w:val="single" w:color="000000" w:sz="4" w:space="0"/>
              <w:bottom w:val="single" w:color="000000" w:sz="4" w:space="0"/>
              <w:right w:val="single" w:color="000000" w:sz="4" w:space="0"/>
            </w:tcBorders>
            <w:noWrap w:val="0"/>
            <w:vAlign w:val="center"/>
          </w:tcPr>
          <w:p w14:paraId="4AF20B01">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树木修剪规范整齐。高大乔木树冠完美，定枝、整枝合理均匀，内膛不乱，无枯枝死杈；攀缘植物、花灌木修剪及时、准确，按时开花结果；竹类及时清除老鞭；色块、绿篱适期修剪，曲线润畅，轮廓明显，不脱脚，不缺损，三面整齐平整；球类修剪圆整，造型优雅。</w:t>
            </w:r>
          </w:p>
        </w:tc>
        <w:tc>
          <w:tcPr>
            <w:tcW w:w="3290" w:type="dxa"/>
            <w:gridSpan w:val="3"/>
            <w:tcBorders>
              <w:top w:val="single" w:color="000000" w:sz="4" w:space="0"/>
              <w:left w:val="single" w:color="000000" w:sz="4" w:space="0"/>
              <w:bottom w:val="single" w:color="000000" w:sz="4" w:space="0"/>
              <w:right w:val="single" w:color="000000" w:sz="4" w:space="0"/>
            </w:tcBorders>
            <w:noWrap w:val="0"/>
            <w:vAlign w:val="center"/>
          </w:tcPr>
          <w:p w14:paraId="087605D7">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不及时修剪、清除竹类老鞭，扣2分；不按规范乱修剪，扣3分；有脱脚、缺损，扣0.5分/处；绿篱修剪面不平、不直，宽度不匀，扣1分/100M；有明显凹凸，扣0.5分/处；色块轮廓不明显，面不平，扣1分/处；球类修剪不圆，同条路或同块趋向不一，扣1分/处。</w:t>
            </w:r>
          </w:p>
        </w:tc>
        <w:tc>
          <w:tcPr>
            <w:tcW w:w="1001" w:type="dxa"/>
            <w:tcBorders>
              <w:top w:val="single" w:color="000000" w:sz="4" w:space="0"/>
              <w:left w:val="single" w:color="000000" w:sz="4" w:space="0"/>
              <w:bottom w:val="single" w:color="000000" w:sz="4" w:space="0"/>
              <w:right w:val="single" w:color="000000" w:sz="4" w:space="0"/>
            </w:tcBorders>
            <w:noWrap/>
            <w:vAlign w:val="center"/>
          </w:tcPr>
          <w:p w14:paraId="4B4A20AA">
            <w:pPr>
              <w:rPr>
                <w:rFonts w:hint="eastAsia" w:ascii="宋体" w:hAnsi="宋体" w:eastAsia="宋体" w:cs="宋体"/>
                <w:color w:val="000000"/>
                <w:sz w:val="20"/>
                <w:szCs w:val="20"/>
              </w:rPr>
            </w:pPr>
          </w:p>
        </w:tc>
        <w:tc>
          <w:tcPr>
            <w:tcW w:w="790" w:type="dxa"/>
            <w:gridSpan w:val="2"/>
            <w:tcBorders>
              <w:top w:val="single" w:color="000000" w:sz="4" w:space="0"/>
              <w:left w:val="single" w:color="000000" w:sz="4" w:space="0"/>
              <w:bottom w:val="single" w:color="000000" w:sz="4" w:space="0"/>
              <w:right w:val="single" w:color="000000" w:sz="4" w:space="0"/>
            </w:tcBorders>
            <w:noWrap/>
            <w:vAlign w:val="center"/>
          </w:tcPr>
          <w:p w14:paraId="77797802">
            <w:pPr>
              <w:rPr>
                <w:rFonts w:hint="eastAsia" w:ascii="宋体" w:hAnsi="宋体" w:eastAsia="宋体" w:cs="宋体"/>
                <w:color w:val="000000"/>
                <w:sz w:val="20"/>
                <w:szCs w:val="20"/>
              </w:rPr>
            </w:pPr>
          </w:p>
        </w:tc>
      </w:tr>
      <w:tr w14:paraId="15ED1323">
        <w:tblPrEx>
          <w:tblCellMar>
            <w:top w:w="0" w:type="dxa"/>
            <w:left w:w="108" w:type="dxa"/>
            <w:bottom w:w="0" w:type="dxa"/>
            <w:right w:w="108" w:type="dxa"/>
          </w:tblCellMar>
        </w:tblPrEx>
        <w:trPr>
          <w:gridAfter w:val="2"/>
          <w:wAfter w:w="7010" w:type="dxa"/>
          <w:trHeight w:val="1357" w:hRule="atLeast"/>
        </w:trPr>
        <w:tc>
          <w:tcPr>
            <w:tcW w:w="441" w:type="dxa"/>
            <w:vMerge w:val="continue"/>
            <w:tcBorders>
              <w:top w:val="single" w:color="000000" w:sz="4" w:space="0"/>
              <w:left w:val="single" w:color="000000" w:sz="4" w:space="0"/>
              <w:bottom w:val="single" w:color="000000" w:sz="4" w:space="0"/>
              <w:right w:val="single" w:color="000000" w:sz="4" w:space="0"/>
            </w:tcBorders>
            <w:noWrap/>
            <w:vAlign w:val="center"/>
          </w:tcPr>
          <w:p w14:paraId="0E8A0266">
            <w:pPr>
              <w:jc w:val="center"/>
              <w:rPr>
                <w:rFonts w:hint="eastAsia" w:ascii="宋体" w:hAnsi="宋体" w:eastAsia="宋体" w:cs="宋体"/>
                <w:color w:val="000000"/>
                <w:sz w:val="20"/>
                <w:szCs w:val="20"/>
              </w:rPr>
            </w:pPr>
          </w:p>
        </w:tc>
        <w:tc>
          <w:tcPr>
            <w:tcW w:w="70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766C8D8">
            <w:pPr>
              <w:jc w:val="center"/>
              <w:rPr>
                <w:rFonts w:hint="eastAsia" w:ascii="宋体" w:hAnsi="宋体" w:eastAsia="宋体" w:cs="宋体"/>
                <w:color w:val="000000"/>
                <w:sz w:val="20"/>
                <w:szCs w:val="20"/>
              </w:rPr>
            </w:pPr>
          </w:p>
        </w:tc>
        <w:tc>
          <w:tcPr>
            <w:tcW w:w="426" w:type="dxa"/>
            <w:tcBorders>
              <w:top w:val="single" w:color="000000" w:sz="4" w:space="0"/>
              <w:left w:val="single" w:color="000000" w:sz="4" w:space="0"/>
              <w:bottom w:val="single" w:color="000000" w:sz="4" w:space="0"/>
              <w:right w:val="single" w:color="000000" w:sz="4" w:space="0"/>
            </w:tcBorders>
            <w:noWrap/>
            <w:vAlign w:val="center"/>
          </w:tcPr>
          <w:p w14:paraId="3D8F4F09">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20</w:t>
            </w:r>
          </w:p>
        </w:tc>
        <w:tc>
          <w:tcPr>
            <w:tcW w:w="3144" w:type="dxa"/>
            <w:tcBorders>
              <w:top w:val="single" w:color="000000" w:sz="4" w:space="0"/>
              <w:left w:val="single" w:color="000000" w:sz="4" w:space="0"/>
              <w:bottom w:val="single" w:color="000000" w:sz="4" w:space="0"/>
              <w:right w:val="single" w:color="000000" w:sz="4" w:space="0"/>
            </w:tcBorders>
            <w:noWrap w:val="0"/>
            <w:vAlign w:val="center"/>
          </w:tcPr>
          <w:p w14:paraId="0EDE4C51">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按甲方要求进行修剪清理。为减少绿化植物对采光、交通、照明等不利影响及保持通风透光和利于节约养分，应结合植物生长习性，及时进行修剪、剥芽、摘心、剪除残花、枯黄枝叶和清理多年生植物地上枯萎部分等。</w:t>
            </w:r>
          </w:p>
        </w:tc>
        <w:tc>
          <w:tcPr>
            <w:tcW w:w="3290" w:type="dxa"/>
            <w:gridSpan w:val="3"/>
            <w:tcBorders>
              <w:top w:val="single" w:color="000000" w:sz="4" w:space="0"/>
              <w:left w:val="single" w:color="000000" w:sz="4" w:space="0"/>
              <w:bottom w:val="single" w:color="000000" w:sz="4" w:space="0"/>
              <w:right w:val="single" w:color="000000" w:sz="4" w:space="0"/>
            </w:tcBorders>
            <w:noWrap w:val="0"/>
            <w:vAlign w:val="center"/>
          </w:tcPr>
          <w:p w14:paraId="500E7817">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未按要求修剪扣2分/处，未及时剥芽，扣1分/处；树木萌蘖芽未及时剥除，发现1株扣1分；修剪不当造成树木枯死，扣1分/株；未及时进行摘心、剪除残花、枯黄枝叶或多年生植物地上枯萎部分，扣1分/处。</w:t>
            </w:r>
          </w:p>
        </w:tc>
        <w:tc>
          <w:tcPr>
            <w:tcW w:w="1001" w:type="dxa"/>
            <w:tcBorders>
              <w:top w:val="single" w:color="000000" w:sz="4" w:space="0"/>
              <w:left w:val="single" w:color="000000" w:sz="4" w:space="0"/>
              <w:bottom w:val="single" w:color="000000" w:sz="4" w:space="0"/>
              <w:right w:val="single" w:color="000000" w:sz="4" w:space="0"/>
            </w:tcBorders>
            <w:noWrap/>
            <w:vAlign w:val="center"/>
          </w:tcPr>
          <w:p w14:paraId="44B65FF4">
            <w:pPr>
              <w:rPr>
                <w:rFonts w:hint="eastAsia" w:ascii="宋体" w:hAnsi="宋体" w:eastAsia="宋体" w:cs="宋体"/>
                <w:color w:val="000000"/>
                <w:sz w:val="20"/>
                <w:szCs w:val="20"/>
              </w:rPr>
            </w:pPr>
          </w:p>
        </w:tc>
        <w:tc>
          <w:tcPr>
            <w:tcW w:w="790" w:type="dxa"/>
            <w:gridSpan w:val="2"/>
            <w:tcBorders>
              <w:top w:val="single" w:color="000000" w:sz="4" w:space="0"/>
              <w:left w:val="single" w:color="000000" w:sz="4" w:space="0"/>
              <w:bottom w:val="single" w:color="000000" w:sz="4" w:space="0"/>
              <w:right w:val="single" w:color="000000" w:sz="4" w:space="0"/>
            </w:tcBorders>
            <w:noWrap/>
            <w:vAlign w:val="center"/>
          </w:tcPr>
          <w:p w14:paraId="488F277D">
            <w:pPr>
              <w:rPr>
                <w:rFonts w:hint="eastAsia" w:ascii="宋体" w:hAnsi="宋体" w:eastAsia="宋体" w:cs="宋体"/>
                <w:color w:val="000000"/>
                <w:sz w:val="20"/>
                <w:szCs w:val="20"/>
              </w:rPr>
            </w:pPr>
          </w:p>
        </w:tc>
      </w:tr>
      <w:tr w14:paraId="28E33441">
        <w:tblPrEx>
          <w:tblCellMar>
            <w:top w:w="0" w:type="dxa"/>
            <w:left w:w="108" w:type="dxa"/>
            <w:bottom w:w="0" w:type="dxa"/>
            <w:right w:w="108" w:type="dxa"/>
          </w:tblCellMar>
        </w:tblPrEx>
        <w:trPr>
          <w:gridAfter w:val="2"/>
          <w:wAfter w:w="7010" w:type="dxa"/>
          <w:trHeight w:val="908" w:hRule="atLeast"/>
        </w:trPr>
        <w:tc>
          <w:tcPr>
            <w:tcW w:w="441" w:type="dxa"/>
            <w:vMerge w:val="continue"/>
            <w:tcBorders>
              <w:top w:val="single" w:color="000000" w:sz="4" w:space="0"/>
              <w:left w:val="single" w:color="000000" w:sz="4" w:space="0"/>
              <w:bottom w:val="single" w:color="000000" w:sz="4" w:space="0"/>
              <w:right w:val="single" w:color="000000" w:sz="4" w:space="0"/>
            </w:tcBorders>
            <w:noWrap/>
            <w:vAlign w:val="center"/>
          </w:tcPr>
          <w:p w14:paraId="5421D81C">
            <w:pPr>
              <w:jc w:val="center"/>
              <w:rPr>
                <w:rFonts w:hint="eastAsia" w:ascii="宋体" w:hAnsi="宋体" w:eastAsia="宋体" w:cs="宋体"/>
                <w:color w:val="000000"/>
                <w:sz w:val="20"/>
                <w:szCs w:val="20"/>
              </w:rPr>
            </w:pPr>
          </w:p>
        </w:tc>
        <w:tc>
          <w:tcPr>
            <w:tcW w:w="70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75A9B6C">
            <w:pPr>
              <w:jc w:val="center"/>
              <w:rPr>
                <w:rFonts w:hint="eastAsia" w:ascii="宋体" w:hAnsi="宋体" w:eastAsia="宋体" w:cs="宋体"/>
                <w:color w:val="000000"/>
                <w:sz w:val="20"/>
                <w:szCs w:val="20"/>
              </w:rPr>
            </w:pPr>
          </w:p>
        </w:tc>
        <w:tc>
          <w:tcPr>
            <w:tcW w:w="426" w:type="dxa"/>
            <w:tcBorders>
              <w:top w:val="single" w:color="000000" w:sz="4" w:space="0"/>
              <w:left w:val="single" w:color="000000" w:sz="4" w:space="0"/>
              <w:bottom w:val="single" w:color="000000" w:sz="4" w:space="0"/>
              <w:right w:val="single" w:color="000000" w:sz="4" w:space="0"/>
            </w:tcBorders>
            <w:noWrap/>
            <w:vAlign w:val="center"/>
          </w:tcPr>
          <w:p w14:paraId="3FF1C067">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21</w:t>
            </w:r>
          </w:p>
        </w:tc>
        <w:tc>
          <w:tcPr>
            <w:tcW w:w="3144" w:type="dxa"/>
            <w:tcBorders>
              <w:top w:val="single" w:color="000000" w:sz="4" w:space="0"/>
              <w:left w:val="single" w:color="000000" w:sz="4" w:space="0"/>
              <w:bottom w:val="single" w:color="000000" w:sz="4" w:space="0"/>
              <w:right w:val="single" w:color="000000" w:sz="4" w:space="0"/>
            </w:tcBorders>
            <w:noWrap w:val="0"/>
            <w:vAlign w:val="center"/>
          </w:tcPr>
          <w:p w14:paraId="10CD21BD">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草坪按照1/3原则适时进行修剪，保持一定高度，修剪面平整，边角无遗留，草屑及时扫尽运出。草坪修剪高度：冷季型为5-7cm；夏季6-8cm；暖季型3-5cm。</w:t>
            </w:r>
          </w:p>
        </w:tc>
        <w:tc>
          <w:tcPr>
            <w:tcW w:w="3290" w:type="dxa"/>
            <w:gridSpan w:val="3"/>
            <w:tcBorders>
              <w:top w:val="single" w:color="000000" w:sz="4" w:space="0"/>
              <w:left w:val="single" w:color="000000" w:sz="4" w:space="0"/>
              <w:bottom w:val="single" w:color="000000" w:sz="4" w:space="0"/>
              <w:right w:val="single" w:color="000000" w:sz="4" w:space="0"/>
            </w:tcBorders>
            <w:noWrap w:val="0"/>
            <w:vAlign w:val="center"/>
          </w:tcPr>
          <w:p w14:paraId="57202905">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修剪面不平，边角有遗留，扣1分/处；修剪后色斑明显，扣0.5分/处；不及时修剪，扣1分/处。</w:t>
            </w:r>
          </w:p>
        </w:tc>
        <w:tc>
          <w:tcPr>
            <w:tcW w:w="1001" w:type="dxa"/>
            <w:tcBorders>
              <w:top w:val="single" w:color="000000" w:sz="4" w:space="0"/>
              <w:left w:val="single" w:color="000000" w:sz="4" w:space="0"/>
              <w:bottom w:val="single" w:color="000000" w:sz="4" w:space="0"/>
              <w:right w:val="single" w:color="000000" w:sz="4" w:space="0"/>
            </w:tcBorders>
            <w:noWrap/>
            <w:vAlign w:val="center"/>
          </w:tcPr>
          <w:p w14:paraId="2CD09DF8">
            <w:pPr>
              <w:jc w:val="center"/>
              <w:rPr>
                <w:rFonts w:hint="eastAsia" w:ascii="宋体" w:hAnsi="宋体" w:eastAsia="宋体" w:cs="宋体"/>
                <w:color w:val="000000"/>
                <w:sz w:val="20"/>
                <w:szCs w:val="20"/>
              </w:rPr>
            </w:pPr>
          </w:p>
        </w:tc>
        <w:tc>
          <w:tcPr>
            <w:tcW w:w="790" w:type="dxa"/>
            <w:gridSpan w:val="2"/>
            <w:tcBorders>
              <w:top w:val="single" w:color="000000" w:sz="4" w:space="0"/>
              <w:left w:val="single" w:color="000000" w:sz="4" w:space="0"/>
              <w:bottom w:val="single" w:color="000000" w:sz="4" w:space="0"/>
              <w:right w:val="single" w:color="000000" w:sz="4" w:space="0"/>
            </w:tcBorders>
            <w:noWrap/>
            <w:vAlign w:val="center"/>
          </w:tcPr>
          <w:p w14:paraId="748C4A4D">
            <w:pPr>
              <w:jc w:val="center"/>
              <w:rPr>
                <w:rFonts w:hint="eastAsia" w:ascii="宋体" w:hAnsi="宋体" w:eastAsia="宋体" w:cs="宋体"/>
                <w:color w:val="000000"/>
                <w:sz w:val="20"/>
                <w:szCs w:val="20"/>
              </w:rPr>
            </w:pPr>
          </w:p>
        </w:tc>
      </w:tr>
      <w:tr w14:paraId="30958651">
        <w:tblPrEx>
          <w:tblCellMar>
            <w:top w:w="0" w:type="dxa"/>
            <w:left w:w="108" w:type="dxa"/>
            <w:bottom w:w="0" w:type="dxa"/>
            <w:right w:w="108" w:type="dxa"/>
          </w:tblCellMar>
        </w:tblPrEx>
        <w:trPr>
          <w:gridAfter w:val="2"/>
          <w:wAfter w:w="7010" w:type="dxa"/>
          <w:trHeight w:val="683" w:hRule="atLeast"/>
        </w:trPr>
        <w:tc>
          <w:tcPr>
            <w:tcW w:w="441" w:type="dxa"/>
            <w:vMerge w:val="restart"/>
            <w:tcBorders>
              <w:top w:val="single" w:color="000000" w:sz="4" w:space="0"/>
              <w:left w:val="single" w:color="000000" w:sz="4" w:space="0"/>
              <w:bottom w:val="single" w:color="000000" w:sz="4" w:space="0"/>
              <w:right w:val="single" w:color="000000" w:sz="4" w:space="0"/>
            </w:tcBorders>
            <w:noWrap/>
            <w:vAlign w:val="center"/>
          </w:tcPr>
          <w:p w14:paraId="2D5AFA6B">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9</w:t>
            </w:r>
          </w:p>
        </w:tc>
        <w:tc>
          <w:tcPr>
            <w:tcW w:w="708" w:type="dxa"/>
            <w:vMerge w:val="restart"/>
            <w:tcBorders>
              <w:top w:val="single" w:color="000000" w:sz="4" w:space="0"/>
              <w:left w:val="single" w:color="000000" w:sz="4" w:space="0"/>
              <w:bottom w:val="single" w:color="000000" w:sz="4" w:space="0"/>
              <w:right w:val="single" w:color="000000" w:sz="4" w:space="0"/>
            </w:tcBorders>
            <w:noWrap w:val="0"/>
            <w:vAlign w:val="center"/>
          </w:tcPr>
          <w:p w14:paraId="1BE4595C">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绿地保护 4分</w:t>
            </w:r>
          </w:p>
        </w:tc>
        <w:tc>
          <w:tcPr>
            <w:tcW w:w="426" w:type="dxa"/>
            <w:tcBorders>
              <w:top w:val="single" w:color="000000" w:sz="4" w:space="0"/>
              <w:left w:val="single" w:color="000000" w:sz="4" w:space="0"/>
              <w:bottom w:val="single" w:color="000000" w:sz="4" w:space="0"/>
              <w:right w:val="single" w:color="000000" w:sz="4" w:space="0"/>
            </w:tcBorders>
            <w:noWrap/>
            <w:vAlign w:val="center"/>
          </w:tcPr>
          <w:p w14:paraId="76D4CA41">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22</w:t>
            </w:r>
          </w:p>
        </w:tc>
        <w:tc>
          <w:tcPr>
            <w:tcW w:w="3144" w:type="dxa"/>
            <w:tcBorders>
              <w:top w:val="single" w:color="000000" w:sz="4" w:space="0"/>
              <w:left w:val="single" w:color="000000" w:sz="4" w:space="0"/>
              <w:bottom w:val="single" w:color="000000" w:sz="4" w:space="0"/>
              <w:right w:val="single" w:color="000000" w:sz="4" w:space="0"/>
            </w:tcBorders>
            <w:noWrap w:val="0"/>
            <w:vAlign w:val="center"/>
          </w:tcPr>
          <w:p w14:paraId="3C9B0335">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保护所承担养护区域的绿地，如遇第三方开挖，应主动检查其开挖证明，并跟踪其开挖活动，避免绿地受损。                                                                                                                                                                                                                                                                                                       </w:t>
            </w:r>
          </w:p>
        </w:tc>
        <w:tc>
          <w:tcPr>
            <w:tcW w:w="3290" w:type="dxa"/>
            <w:gridSpan w:val="3"/>
            <w:tcBorders>
              <w:top w:val="single" w:color="000000" w:sz="4" w:space="0"/>
              <w:left w:val="single" w:color="000000" w:sz="4" w:space="0"/>
              <w:bottom w:val="single" w:color="000000" w:sz="4" w:space="0"/>
              <w:right w:val="single" w:color="000000" w:sz="4" w:space="0"/>
            </w:tcBorders>
            <w:noWrap w:val="0"/>
            <w:vAlign w:val="center"/>
          </w:tcPr>
          <w:p w14:paraId="4E1DA6AE">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发现毁绿未及时制止及上报，不得分；不配合开挖办理，扣1分。</w:t>
            </w:r>
          </w:p>
        </w:tc>
        <w:tc>
          <w:tcPr>
            <w:tcW w:w="1001" w:type="dxa"/>
            <w:tcBorders>
              <w:top w:val="single" w:color="000000" w:sz="4" w:space="0"/>
              <w:left w:val="single" w:color="000000" w:sz="4" w:space="0"/>
              <w:bottom w:val="single" w:color="000000" w:sz="4" w:space="0"/>
              <w:right w:val="single" w:color="000000" w:sz="4" w:space="0"/>
            </w:tcBorders>
            <w:noWrap/>
            <w:vAlign w:val="center"/>
          </w:tcPr>
          <w:p w14:paraId="1FFE55F0">
            <w:pPr>
              <w:jc w:val="center"/>
              <w:rPr>
                <w:rFonts w:hint="eastAsia" w:ascii="宋体" w:hAnsi="宋体" w:eastAsia="宋体" w:cs="宋体"/>
                <w:color w:val="000000"/>
                <w:sz w:val="20"/>
                <w:szCs w:val="20"/>
              </w:rPr>
            </w:pPr>
          </w:p>
        </w:tc>
        <w:tc>
          <w:tcPr>
            <w:tcW w:w="790" w:type="dxa"/>
            <w:gridSpan w:val="2"/>
            <w:tcBorders>
              <w:top w:val="single" w:color="000000" w:sz="4" w:space="0"/>
              <w:left w:val="single" w:color="000000" w:sz="4" w:space="0"/>
              <w:bottom w:val="single" w:color="000000" w:sz="4" w:space="0"/>
              <w:right w:val="single" w:color="000000" w:sz="4" w:space="0"/>
            </w:tcBorders>
            <w:noWrap/>
            <w:vAlign w:val="center"/>
          </w:tcPr>
          <w:p w14:paraId="30B6C299">
            <w:pPr>
              <w:jc w:val="center"/>
              <w:rPr>
                <w:rFonts w:hint="eastAsia" w:ascii="宋体" w:hAnsi="宋体" w:eastAsia="宋体" w:cs="宋体"/>
                <w:color w:val="000000"/>
                <w:sz w:val="20"/>
                <w:szCs w:val="20"/>
              </w:rPr>
            </w:pPr>
          </w:p>
        </w:tc>
      </w:tr>
      <w:tr w14:paraId="476BA2DF">
        <w:tblPrEx>
          <w:tblCellMar>
            <w:top w:w="0" w:type="dxa"/>
            <w:left w:w="108" w:type="dxa"/>
            <w:bottom w:w="0" w:type="dxa"/>
            <w:right w:w="108" w:type="dxa"/>
          </w:tblCellMar>
        </w:tblPrEx>
        <w:trPr>
          <w:gridAfter w:val="2"/>
          <w:wAfter w:w="7010" w:type="dxa"/>
          <w:trHeight w:val="464" w:hRule="atLeast"/>
        </w:trPr>
        <w:tc>
          <w:tcPr>
            <w:tcW w:w="441" w:type="dxa"/>
            <w:vMerge w:val="continue"/>
            <w:tcBorders>
              <w:top w:val="single" w:color="000000" w:sz="4" w:space="0"/>
              <w:left w:val="single" w:color="000000" w:sz="4" w:space="0"/>
              <w:bottom w:val="single" w:color="000000" w:sz="4" w:space="0"/>
              <w:right w:val="single" w:color="000000" w:sz="4" w:space="0"/>
            </w:tcBorders>
            <w:noWrap/>
            <w:vAlign w:val="center"/>
          </w:tcPr>
          <w:p w14:paraId="768CEF08">
            <w:pPr>
              <w:jc w:val="center"/>
              <w:rPr>
                <w:rFonts w:hint="eastAsia" w:ascii="宋体" w:hAnsi="宋体" w:eastAsia="宋体" w:cs="宋体"/>
                <w:color w:val="000000"/>
                <w:sz w:val="20"/>
                <w:szCs w:val="20"/>
              </w:rPr>
            </w:pPr>
          </w:p>
        </w:tc>
        <w:tc>
          <w:tcPr>
            <w:tcW w:w="70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B033541">
            <w:pPr>
              <w:jc w:val="center"/>
              <w:rPr>
                <w:rFonts w:hint="eastAsia" w:ascii="宋体" w:hAnsi="宋体" w:eastAsia="宋体" w:cs="宋体"/>
                <w:color w:val="000000"/>
                <w:sz w:val="20"/>
                <w:szCs w:val="20"/>
              </w:rPr>
            </w:pPr>
          </w:p>
        </w:tc>
        <w:tc>
          <w:tcPr>
            <w:tcW w:w="426" w:type="dxa"/>
            <w:tcBorders>
              <w:top w:val="single" w:color="000000" w:sz="4" w:space="0"/>
              <w:left w:val="single" w:color="000000" w:sz="4" w:space="0"/>
              <w:bottom w:val="single" w:color="000000" w:sz="4" w:space="0"/>
              <w:right w:val="single" w:color="000000" w:sz="4" w:space="0"/>
            </w:tcBorders>
            <w:noWrap/>
            <w:vAlign w:val="center"/>
          </w:tcPr>
          <w:p w14:paraId="35459515">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23</w:t>
            </w:r>
          </w:p>
        </w:tc>
        <w:tc>
          <w:tcPr>
            <w:tcW w:w="3144" w:type="dxa"/>
            <w:tcBorders>
              <w:top w:val="single" w:color="000000" w:sz="4" w:space="0"/>
              <w:left w:val="single" w:color="000000" w:sz="4" w:space="0"/>
              <w:bottom w:val="single" w:color="000000" w:sz="4" w:space="0"/>
              <w:right w:val="single" w:color="000000" w:sz="4" w:space="0"/>
            </w:tcBorders>
            <w:noWrap w:val="0"/>
            <w:vAlign w:val="center"/>
          </w:tcPr>
          <w:p w14:paraId="18D61FCE">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绿地内不得有毁绿占绿现象。</w:t>
            </w:r>
          </w:p>
        </w:tc>
        <w:tc>
          <w:tcPr>
            <w:tcW w:w="3290" w:type="dxa"/>
            <w:gridSpan w:val="3"/>
            <w:tcBorders>
              <w:top w:val="single" w:color="000000" w:sz="4" w:space="0"/>
              <w:left w:val="single" w:color="000000" w:sz="4" w:space="0"/>
              <w:bottom w:val="single" w:color="000000" w:sz="4" w:space="0"/>
              <w:right w:val="single" w:color="000000" w:sz="4" w:space="0"/>
            </w:tcBorders>
            <w:noWrap w:val="0"/>
            <w:vAlign w:val="center"/>
          </w:tcPr>
          <w:p w14:paraId="1A07499D">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绿地被违规占用，有种蔬菜或堆放杂物未及时制止扣全项分。</w:t>
            </w:r>
          </w:p>
        </w:tc>
        <w:tc>
          <w:tcPr>
            <w:tcW w:w="1001" w:type="dxa"/>
            <w:tcBorders>
              <w:top w:val="single" w:color="000000" w:sz="4" w:space="0"/>
              <w:left w:val="single" w:color="000000" w:sz="4" w:space="0"/>
              <w:bottom w:val="single" w:color="000000" w:sz="4" w:space="0"/>
              <w:right w:val="single" w:color="000000" w:sz="4" w:space="0"/>
            </w:tcBorders>
            <w:noWrap/>
            <w:vAlign w:val="center"/>
          </w:tcPr>
          <w:p w14:paraId="367BBB8D">
            <w:pPr>
              <w:rPr>
                <w:rFonts w:hint="eastAsia" w:ascii="宋体" w:hAnsi="宋体" w:eastAsia="宋体" w:cs="宋体"/>
                <w:color w:val="000000"/>
                <w:sz w:val="20"/>
                <w:szCs w:val="20"/>
              </w:rPr>
            </w:pPr>
          </w:p>
        </w:tc>
        <w:tc>
          <w:tcPr>
            <w:tcW w:w="790" w:type="dxa"/>
            <w:gridSpan w:val="2"/>
            <w:tcBorders>
              <w:top w:val="single" w:color="000000" w:sz="4" w:space="0"/>
              <w:left w:val="single" w:color="000000" w:sz="4" w:space="0"/>
              <w:bottom w:val="single" w:color="000000" w:sz="4" w:space="0"/>
              <w:right w:val="single" w:color="000000" w:sz="4" w:space="0"/>
            </w:tcBorders>
            <w:noWrap/>
            <w:vAlign w:val="center"/>
          </w:tcPr>
          <w:p w14:paraId="2044B48D">
            <w:pPr>
              <w:rPr>
                <w:rFonts w:hint="eastAsia" w:ascii="宋体" w:hAnsi="宋体" w:eastAsia="宋体" w:cs="宋体"/>
                <w:color w:val="000000"/>
                <w:sz w:val="20"/>
                <w:szCs w:val="20"/>
              </w:rPr>
            </w:pPr>
          </w:p>
        </w:tc>
      </w:tr>
      <w:tr w14:paraId="64B85672">
        <w:tblPrEx>
          <w:tblCellMar>
            <w:top w:w="0" w:type="dxa"/>
            <w:left w:w="108" w:type="dxa"/>
            <w:bottom w:w="0" w:type="dxa"/>
            <w:right w:w="108" w:type="dxa"/>
          </w:tblCellMar>
        </w:tblPrEx>
        <w:trPr>
          <w:gridAfter w:val="2"/>
          <w:wAfter w:w="7010" w:type="dxa"/>
          <w:trHeight w:val="685" w:hRule="atLeast"/>
        </w:trPr>
        <w:tc>
          <w:tcPr>
            <w:tcW w:w="441" w:type="dxa"/>
            <w:vMerge w:val="restart"/>
            <w:tcBorders>
              <w:top w:val="single" w:color="000000" w:sz="4" w:space="0"/>
              <w:left w:val="single" w:color="000000" w:sz="4" w:space="0"/>
              <w:bottom w:val="single" w:color="000000" w:sz="4" w:space="0"/>
              <w:right w:val="single" w:color="000000" w:sz="4" w:space="0"/>
            </w:tcBorders>
            <w:noWrap/>
            <w:vAlign w:val="center"/>
          </w:tcPr>
          <w:p w14:paraId="1FC61F71">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10</w:t>
            </w:r>
          </w:p>
        </w:tc>
        <w:tc>
          <w:tcPr>
            <w:tcW w:w="708" w:type="dxa"/>
            <w:vMerge w:val="restart"/>
            <w:tcBorders>
              <w:top w:val="single" w:color="000000" w:sz="4" w:space="0"/>
              <w:left w:val="single" w:color="000000" w:sz="4" w:space="0"/>
              <w:bottom w:val="single" w:color="000000" w:sz="4" w:space="0"/>
              <w:right w:val="single" w:color="000000" w:sz="4" w:space="0"/>
            </w:tcBorders>
            <w:noWrap w:val="0"/>
            <w:vAlign w:val="center"/>
          </w:tcPr>
          <w:p w14:paraId="4C287330">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安全 文明 生产 10分</w:t>
            </w:r>
          </w:p>
        </w:tc>
        <w:tc>
          <w:tcPr>
            <w:tcW w:w="426" w:type="dxa"/>
            <w:tcBorders>
              <w:top w:val="single" w:color="000000" w:sz="4" w:space="0"/>
              <w:left w:val="single" w:color="000000" w:sz="4" w:space="0"/>
              <w:bottom w:val="single" w:color="000000" w:sz="4" w:space="0"/>
              <w:right w:val="single" w:color="000000" w:sz="4" w:space="0"/>
            </w:tcBorders>
            <w:noWrap/>
            <w:vAlign w:val="center"/>
          </w:tcPr>
          <w:p w14:paraId="04B594CF">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24</w:t>
            </w:r>
          </w:p>
        </w:tc>
        <w:tc>
          <w:tcPr>
            <w:tcW w:w="3144" w:type="dxa"/>
            <w:tcBorders>
              <w:top w:val="single" w:color="000000" w:sz="4" w:space="0"/>
              <w:left w:val="single" w:color="000000" w:sz="4" w:space="0"/>
              <w:bottom w:val="single" w:color="000000" w:sz="4" w:space="0"/>
              <w:right w:val="single" w:color="000000" w:sz="4" w:space="0"/>
            </w:tcBorders>
            <w:noWrap w:val="0"/>
            <w:vAlign w:val="center"/>
          </w:tcPr>
          <w:p w14:paraId="726FB079">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管护组织制度健全，工作有台帐，记录全，内容属实并及时上报，绿地无转包现象。</w:t>
            </w:r>
          </w:p>
        </w:tc>
        <w:tc>
          <w:tcPr>
            <w:tcW w:w="3290" w:type="dxa"/>
            <w:gridSpan w:val="3"/>
            <w:tcBorders>
              <w:top w:val="single" w:color="000000" w:sz="4" w:space="0"/>
              <w:left w:val="single" w:color="000000" w:sz="4" w:space="0"/>
              <w:bottom w:val="single" w:color="000000" w:sz="4" w:space="0"/>
              <w:right w:val="single" w:color="000000" w:sz="4" w:space="0"/>
            </w:tcBorders>
            <w:noWrap w:val="0"/>
            <w:vAlign w:val="center"/>
          </w:tcPr>
          <w:p w14:paraId="1612BB78">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管护小结及记录不及时，上报少、不全，每次扣0.5分；无养护计划，现场管理乱，发现一次扣1分；无管护台帐，不得分；绿地有转包现象扣全项分。</w:t>
            </w:r>
          </w:p>
        </w:tc>
        <w:tc>
          <w:tcPr>
            <w:tcW w:w="1001" w:type="dxa"/>
            <w:tcBorders>
              <w:top w:val="single" w:color="000000" w:sz="4" w:space="0"/>
              <w:left w:val="single" w:color="000000" w:sz="4" w:space="0"/>
              <w:bottom w:val="single" w:color="000000" w:sz="4" w:space="0"/>
              <w:right w:val="single" w:color="000000" w:sz="4" w:space="0"/>
            </w:tcBorders>
            <w:noWrap/>
            <w:vAlign w:val="center"/>
          </w:tcPr>
          <w:p w14:paraId="750471CD">
            <w:pPr>
              <w:rPr>
                <w:rFonts w:hint="eastAsia" w:ascii="宋体" w:hAnsi="宋体" w:eastAsia="宋体" w:cs="宋体"/>
                <w:color w:val="000000"/>
                <w:sz w:val="20"/>
                <w:szCs w:val="20"/>
              </w:rPr>
            </w:pPr>
          </w:p>
        </w:tc>
        <w:tc>
          <w:tcPr>
            <w:tcW w:w="790" w:type="dxa"/>
            <w:gridSpan w:val="2"/>
            <w:tcBorders>
              <w:top w:val="single" w:color="000000" w:sz="4" w:space="0"/>
              <w:left w:val="single" w:color="000000" w:sz="4" w:space="0"/>
              <w:bottom w:val="single" w:color="000000" w:sz="4" w:space="0"/>
              <w:right w:val="single" w:color="000000" w:sz="4" w:space="0"/>
            </w:tcBorders>
            <w:noWrap/>
            <w:vAlign w:val="center"/>
          </w:tcPr>
          <w:p w14:paraId="2F62BEAB">
            <w:pPr>
              <w:rPr>
                <w:rFonts w:hint="eastAsia" w:ascii="宋体" w:hAnsi="宋体" w:eastAsia="宋体" w:cs="宋体"/>
                <w:color w:val="000000"/>
                <w:sz w:val="20"/>
                <w:szCs w:val="20"/>
              </w:rPr>
            </w:pPr>
          </w:p>
        </w:tc>
      </w:tr>
      <w:tr w14:paraId="52EA2AE2">
        <w:tblPrEx>
          <w:tblCellMar>
            <w:top w:w="0" w:type="dxa"/>
            <w:left w:w="108" w:type="dxa"/>
            <w:bottom w:w="0" w:type="dxa"/>
            <w:right w:w="108" w:type="dxa"/>
          </w:tblCellMar>
        </w:tblPrEx>
        <w:trPr>
          <w:gridAfter w:val="2"/>
          <w:wAfter w:w="7010" w:type="dxa"/>
          <w:trHeight w:val="1101" w:hRule="atLeast"/>
        </w:trPr>
        <w:tc>
          <w:tcPr>
            <w:tcW w:w="441" w:type="dxa"/>
            <w:vMerge w:val="continue"/>
            <w:tcBorders>
              <w:top w:val="single" w:color="000000" w:sz="4" w:space="0"/>
              <w:left w:val="single" w:color="000000" w:sz="4" w:space="0"/>
              <w:bottom w:val="single" w:color="000000" w:sz="4" w:space="0"/>
              <w:right w:val="single" w:color="000000" w:sz="4" w:space="0"/>
            </w:tcBorders>
            <w:noWrap/>
            <w:vAlign w:val="center"/>
          </w:tcPr>
          <w:p w14:paraId="561E6714">
            <w:pPr>
              <w:jc w:val="center"/>
              <w:rPr>
                <w:rFonts w:hint="eastAsia" w:ascii="宋体" w:hAnsi="宋体" w:eastAsia="宋体" w:cs="宋体"/>
                <w:color w:val="000000"/>
                <w:sz w:val="20"/>
                <w:szCs w:val="20"/>
              </w:rPr>
            </w:pPr>
          </w:p>
        </w:tc>
        <w:tc>
          <w:tcPr>
            <w:tcW w:w="70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0E16558">
            <w:pPr>
              <w:jc w:val="center"/>
              <w:rPr>
                <w:rFonts w:hint="eastAsia" w:ascii="宋体" w:hAnsi="宋体" w:eastAsia="宋体" w:cs="宋体"/>
                <w:color w:val="000000"/>
                <w:sz w:val="20"/>
                <w:szCs w:val="20"/>
              </w:rPr>
            </w:pPr>
          </w:p>
        </w:tc>
        <w:tc>
          <w:tcPr>
            <w:tcW w:w="426" w:type="dxa"/>
            <w:tcBorders>
              <w:top w:val="single" w:color="000000" w:sz="4" w:space="0"/>
              <w:left w:val="single" w:color="000000" w:sz="4" w:space="0"/>
              <w:bottom w:val="single" w:color="000000" w:sz="4" w:space="0"/>
              <w:right w:val="single" w:color="000000" w:sz="4" w:space="0"/>
            </w:tcBorders>
            <w:noWrap/>
            <w:vAlign w:val="center"/>
          </w:tcPr>
          <w:p w14:paraId="5B71CB5C">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25</w:t>
            </w:r>
          </w:p>
        </w:tc>
        <w:tc>
          <w:tcPr>
            <w:tcW w:w="3144" w:type="dxa"/>
            <w:tcBorders>
              <w:top w:val="single" w:color="000000" w:sz="4" w:space="0"/>
              <w:left w:val="single" w:color="000000" w:sz="4" w:space="0"/>
              <w:bottom w:val="single" w:color="000000" w:sz="4" w:space="0"/>
              <w:right w:val="single" w:color="000000" w:sz="4" w:space="0"/>
            </w:tcBorders>
            <w:noWrap w:val="0"/>
            <w:vAlign w:val="center"/>
          </w:tcPr>
          <w:p w14:paraId="6220515C">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养护人员、设备到位；着装仪容整洁上岗，严格按安全生产操作规程组织作业，养护管理规范。</w:t>
            </w:r>
          </w:p>
        </w:tc>
        <w:tc>
          <w:tcPr>
            <w:tcW w:w="3290" w:type="dxa"/>
            <w:gridSpan w:val="3"/>
            <w:tcBorders>
              <w:top w:val="single" w:color="000000" w:sz="4" w:space="0"/>
              <w:left w:val="single" w:color="000000" w:sz="4" w:space="0"/>
              <w:bottom w:val="single" w:color="000000" w:sz="4" w:space="0"/>
              <w:right w:val="single" w:color="000000" w:sz="4" w:space="0"/>
            </w:tcBorders>
            <w:noWrap w:val="0"/>
            <w:vAlign w:val="center"/>
          </w:tcPr>
          <w:p w14:paraId="3EBEAC41">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按照规定养护人员数量不符合要求，扣完全项分；项目负责人经常变更不明确，扣1分；管理员仪容不整，不按要求安全作业，不得分；日常养护中设备不全的扣2分。</w:t>
            </w:r>
          </w:p>
        </w:tc>
        <w:tc>
          <w:tcPr>
            <w:tcW w:w="1001" w:type="dxa"/>
            <w:tcBorders>
              <w:top w:val="single" w:color="000000" w:sz="4" w:space="0"/>
              <w:left w:val="single" w:color="000000" w:sz="4" w:space="0"/>
              <w:bottom w:val="single" w:color="000000" w:sz="4" w:space="0"/>
              <w:right w:val="single" w:color="000000" w:sz="4" w:space="0"/>
            </w:tcBorders>
            <w:noWrap/>
            <w:vAlign w:val="center"/>
          </w:tcPr>
          <w:p w14:paraId="764AE3A1">
            <w:pPr>
              <w:rPr>
                <w:rFonts w:hint="eastAsia" w:ascii="宋体" w:hAnsi="宋体" w:eastAsia="宋体" w:cs="宋体"/>
                <w:color w:val="000000"/>
                <w:sz w:val="20"/>
                <w:szCs w:val="20"/>
              </w:rPr>
            </w:pPr>
          </w:p>
        </w:tc>
        <w:tc>
          <w:tcPr>
            <w:tcW w:w="790" w:type="dxa"/>
            <w:gridSpan w:val="2"/>
            <w:tcBorders>
              <w:top w:val="single" w:color="000000" w:sz="4" w:space="0"/>
              <w:left w:val="single" w:color="000000" w:sz="4" w:space="0"/>
              <w:bottom w:val="single" w:color="000000" w:sz="4" w:space="0"/>
              <w:right w:val="single" w:color="000000" w:sz="4" w:space="0"/>
            </w:tcBorders>
            <w:noWrap/>
            <w:vAlign w:val="center"/>
          </w:tcPr>
          <w:p w14:paraId="74AB027E">
            <w:pPr>
              <w:rPr>
                <w:rFonts w:hint="eastAsia" w:ascii="宋体" w:hAnsi="宋体" w:eastAsia="宋体" w:cs="宋体"/>
                <w:color w:val="000000"/>
                <w:sz w:val="20"/>
                <w:szCs w:val="20"/>
              </w:rPr>
            </w:pPr>
          </w:p>
        </w:tc>
      </w:tr>
      <w:tr w14:paraId="518B8619">
        <w:tblPrEx>
          <w:tblCellMar>
            <w:top w:w="0" w:type="dxa"/>
            <w:left w:w="108" w:type="dxa"/>
            <w:bottom w:w="0" w:type="dxa"/>
            <w:right w:w="108" w:type="dxa"/>
          </w:tblCellMar>
        </w:tblPrEx>
        <w:trPr>
          <w:gridAfter w:val="2"/>
          <w:wAfter w:w="7010" w:type="dxa"/>
          <w:trHeight w:val="464" w:hRule="atLeast"/>
        </w:trPr>
        <w:tc>
          <w:tcPr>
            <w:tcW w:w="441" w:type="dxa"/>
            <w:vMerge w:val="continue"/>
            <w:tcBorders>
              <w:top w:val="single" w:color="000000" w:sz="4" w:space="0"/>
              <w:left w:val="single" w:color="000000" w:sz="4" w:space="0"/>
              <w:bottom w:val="single" w:color="000000" w:sz="4" w:space="0"/>
              <w:right w:val="single" w:color="000000" w:sz="4" w:space="0"/>
            </w:tcBorders>
            <w:noWrap/>
            <w:vAlign w:val="center"/>
          </w:tcPr>
          <w:p w14:paraId="7D915EE7">
            <w:pPr>
              <w:jc w:val="center"/>
              <w:rPr>
                <w:rFonts w:hint="eastAsia" w:ascii="宋体" w:hAnsi="宋体" w:eastAsia="宋体" w:cs="宋体"/>
                <w:color w:val="000000"/>
                <w:sz w:val="20"/>
                <w:szCs w:val="20"/>
              </w:rPr>
            </w:pPr>
          </w:p>
        </w:tc>
        <w:tc>
          <w:tcPr>
            <w:tcW w:w="70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92AE5EA">
            <w:pPr>
              <w:jc w:val="center"/>
              <w:rPr>
                <w:rFonts w:hint="eastAsia" w:ascii="宋体" w:hAnsi="宋体" w:eastAsia="宋体" w:cs="宋体"/>
                <w:color w:val="000000"/>
                <w:sz w:val="20"/>
                <w:szCs w:val="20"/>
              </w:rPr>
            </w:pPr>
          </w:p>
        </w:tc>
        <w:tc>
          <w:tcPr>
            <w:tcW w:w="426" w:type="dxa"/>
            <w:tcBorders>
              <w:top w:val="single" w:color="000000" w:sz="4" w:space="0"/>
              <w:left w:val="single" w:color="000000" w:sz="4" w:space="0"/>
              <w:bottom w:val="single" w:color="000000" w:sz="4" w:space="0"/>
              <w:right w:val="single" w:color="000000" w:sz="4" w:space="0"/>
            </w:tcBorders>
            <w:noWrap/>
            <w:vAlign w:val="center"/>
          </w:tcPr>
          <w:p w14:paraId="13FD8118">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26</w:t>
            </w:r>
          </w:p>
        </w:tc>
        <w:tc>
          <w:tcPr>
            <w:tcW w:w="3144" w:type="dxa"/>
            <w:tcBorders>
              <w:top w:val="single" w:color="000000" w:sz="4" w:space="0"/>
              <w:left w:val="single" w:color="000000" w:sz="4" w:space="0"/>
              <w:bottom w:val="single" w:color="000000" w:sz="4" w:space="0"/>
              <w:right w:val="single" w:color="000000" w:sz="4" w:space="0"/>
            </w:tcBorders>
            <w:noWrap w:val="0"/>
            <w:vAlign w:val="center"/>
          </w:tcPr>
          <w:p w14:paraId="06572120">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按管理部门要求，准时参加会议、活动及各类业务培训等等。</w:t>
            </w:r>
          </w:p>
        </w:tc>
        <w:tc>
          <w:tcPr>
            <w:tcW w:w="3290" w:type="dxa"/>
            <w:gridSpan w:val="3"/>
            <w:tcBorders>
              <w:top w:val="single" w:color="000000" w:sz="4" w:space="0"/>
              <w:left w:val="single" w:color="000000" w:sz="4" w:space="0"/>
              <w:bottom w:val="single" w:color="000000" w:sz="4" w:space="0"/>
              <w:right w:val="single" w:color="000000" w:sz="4" w:space="0"/>
            </w:tcBorders>
            <w:noWrap w:val="0"/>
            <w:vAlign w:val="center"/>
          </w:tcPr>
          <w:p w14:paraId="218D2E75">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迟到一次扣0.5分；无故缺席一次扣1分；无故替开会一次扣0.5分。</w:t>
            </w:r>
          </w:p>
        </w:tc>
        <w:tc>
          <w:tcPr>
            <w:tcW w:w="1001" w:type="dxa"/>
            <w:tcBorders>
              <w:top w:val="single" w:color="000000" w:sz="4" w:space="0"/>
              <w:left w:val="single" w:color="000000" w:sz="4" w:space="0"/>
              <w:bottom w:val="single" w:color="000000" w:sz="4" w:space="0"/>
              <w:right w:val="single" w:color="000000" w:sz="4" w:space="0"/>
            </w:tcBorders>
            <w:noWrap/>
            <w:vAlign w:val="center"/>
          </w:tcPr>
          <w:p w14:paraId="5CADA871">
            <w:pPr>
              <w:rPr>
                <w:rFonts w:hint="eastAsia" w:ascii="宋体" w:hAnsi="宋体" w:eastAsia="宋体" w:cs="宋体"/>
                <w:color w:val="000000"/>
                <w:sz w:val="20"/>
                <w:szCs w:val="20"/>
              </w:rPr>
            </w:pPr>
          </w:p>
        </w:tc>
        <w:tc>
          <w:tcPr>
            <w:tcW w:w="790" w:type="dxa"/>
            <w:gridSpan w:val="2"/>
            <w:tcBorders>
              <w:top w:val="single" w:color="000000" w:sz="4" w:space="0"/>
              <w:left w:val="single" w:color="000000" w:sz="4" w:space="0"/>
              <w:bottom w:val="single" w:color="000000" w:sz="4" w:space="0"/>
              <w:right w:val="single" w:color="000000" w:sz="4" w:space="0"/>
            </w:tcBorders>
            <w:noWrap/>
            <w:vAlign w:val="center"/>
          </w:tcPr>
          <w:p w14:paraId="290F724C">
            <w:pPr>
              <w:rPr>
                <w:rFonts w:hint="eastAsia" w:ascii="宋体" w:hAnsi="宋体" w:eastAsia="宋体" w:cs="宋体"/>
                <w:color w:val="000000"/>
                <w:sz w:val="20"/>
                <w:szCs w:val="20"/>
              </w:rPr>
            </w:pPr>
          </w:p>
        </w:tc>
      </w:tr>
      <w:tr w14:paraId="684C89E8">
        <w:tblPrEx>
          <w:tblCellMar>
            <w:top w:w="0" w:type="dxa"/>
            <w:left w:w="108" w:type="dxa"/>
            <w:bottom w:w="0" w:type="dxa"/>
            <w:right w:w="108" w:type="dxa"/>
          </w:tblCellMar>
        </w:tblPrEx>
        <w:trPr>
          <w:gridAfter w:val="2"/>
          <w:wAfter w:w="7010" w:type="dxa"/>
          <w:trHeight w:val="981" w:hRule="atLeast"/>
        </w:trPr>
        <w:tc>
          <w:tcPr>
            <w:tcW w:w="441" w:type="dxa"/>
            <w:vMerge w:val="restart"/>
            <w:tcBorders>
              <w:top w:val="single" w:color="000000" w:sz="4" w:space="0"/>
              <w:left w:val="single" w:color="000000" w:sz="4" w:space="0"/>
              <w:bottom w:val="single" w:color="000000" w:sz="4" w:space="0"/>
              <w:right w:val="single" w:color="000000" w:sz="4" w:space="0"/>
            </w:tcBorders>
            <w:noWrap/>
            <w:vAlign w:val="center"/>
          </w:tcPr>
          <w:p w14:paraId="4A276C4B">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11</w:t>
            </w:r>
          </w:p>
        </w:tc>
        <w:tc>
          <w:tcPr>
            <w:tcW w:w="70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605AB42">
            <w:pPr>
              <w:jc w:val="center"/>
              <w:rPr>
                <w:rFonts w:hint="eastAsia" w:ascii="宋体" w:hAnsi="宋体" w:eastAsia="宋体" w:cs="宋体"/>
                <w:color w:val="000000"/>
                <w:sz w:val="20"/>
                <w:szCs w:val="20"/>
              </w:rPr>
            </w:pPr>
          </w:p>
        </w:tc>
        <w:tc>
          <w:tcPr>
            <w:tcW w:w="426" w:type="dxa"/>
            <w:tcBorders>
              <w:top w:val="single" w:color="000000" w:sz="4" w:space="0"/>
              <w:left w:val="single" w:color="000000" w:sz="4" w:space="0"/>
              <w:bottom w:val="single" w:color="000000" w:sz="4" w:space="0"/>
              <w:right w:val="single" w:color="000000" w:sz="4" w:space="0"/>
            </w:tcBorders>
            <w:noWrap/>
            <w:vAlign w:val="center"/>
          </w:tcPr>
          <w:p w14:paraId="01D88E91">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27</w:t>
            </w:r>
          </w:p>
        </w:tc>
        <w:tc>
          <w:tcPr>
            <w:tcW w:w="3144" w:type="dxa"/>
            <w:tcBorders>
              <w:top w:val="single" w:color="000000" w:sz="4" w:space="0"/>
              <w:left w:val="single" w:color="000000" w:sz="4" w:space="0"/>
              <w:bottom w:val="single" w:color="000000" w:sz="4" w:space="0"/>
              <w:right w:val="single" w:color="000000" w:sz="4" w:space="0"/>
            </w:tcBorders>
            <w:noWrap w:val="0"/>
            <w:vAlign w:val="center"/>
          </w:tcPr>
          <w:p w14:paraId="7F931F94">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有相关部门、数字城管、民声110、社会各界等反映的绿化管护存在问题。</w:t>
            </w:r>
          </w:p>
        </w:tc>
        <w:tc>
          <w:tcPr>
            <w:tcW w:w="3290" w:type="dxa"/>
            <w:gridSpan w:val="3"/>
            <w:tcBorders>
              <w:top w:val="single" w:color="000000" w:sz="4" w:space="0"/>
              <w:left w:val="single" w:color="000000" w:sz="4" w:space="0"/>
              <w:bottom w:val="single" w:color="000000" w:sz="4" w:space="0"/>
              <w:right w:val="single" w:color="000000" w:sz="4" w:space="0"/>
            </w:tcBorders>
            <w:noWrap w:val="0"/>
            <w:vAlign w:val="center"/>
          </w:tcPr>
          <w:p w14:paraId="1483D15D">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经主管部门通报批评或新闻谋体曝光，扣当月全项分；有整改现象未及时整改，扣当月全项分；数字城管或民声110案件，在规定时间（延时的除外）未处理扣5分，超时处理扣3分，返工案件扣2分。</w:t>
            </w:r>
          </w:p>
        </w:tc>
        <w:tc>
          <w:tcPr>
            <w:tcW w:w="1001" w:type="dxa"/>
            <w:tcBorders>
              <w:top w:val="single" w:color="000000" w:sz="4" w:space="0"/>
              <w:left w:val="single" w:color="000000" w:sz="4" w:space="0"/>
              <w:bottom w:val="single" w:color="000000" w:sz="4" w:space="0"/>
              <w:right w:val="single" w:color="000000" w:sz="4" w:space="0"/>
            </w:tcBorders>
            <w:noWrap/>
            <w:vAlign w:val="center"/>
          </w:tcPr>
          <w:p w14:paraId="615B1CC8">
            <w:pPr>
              <w:rPr>
                <w:rFonts w:hint="eastAsia" w:ascii="宋体" w:hAnsi="宋体" w:eastAsia="宋体" w:cs="宋体"/>
                <w:color w:val="000000"/>
                <w:sz w:val="20"/>
                <w:szCs w:val="20"/>
              </w:rPr>
            </w:pPr>
          </w:p>
        </w:tc>
        <w:tc>
          <w:tcPr>
            <w:tcW w:w="790" w:type="dxa"/>
            <w:gridSpan w:val="2"/>
            <w:tcBorders>
              <w:top w:val="single" w:color="000000" w:sz="4" w:space="0"/>
              <w:left w:val="single" w:color="000000" w:sz="4" w:space="0"/>
              <w:bottom w:val="single" w:color="000000" w:sz="4" w:space="0"/>
              <w:right w:val="single" w:color="000000" w:sz="4" w:space="0"/>
            </w:tcBorders>
            <w:noWrap/>
            <w:vAlign w:val="center"/>
          </w:tcPr>
          <w:p w14:paraId="26D020B3">
            <w:pPr>
              <w:rPr>
                <w:rFonts w:hint="eastAsia" w:ascii="宋体" w:hAnsi="宋体" w:eastAsia="宋体" w:cs="宋体"/>
                <w:color w:val="000000"/>
                <w:sz w:val="20"/>
                <w:szCs w:val="20"/>
              </w:rPr>
            </w:pPr>
          </w:p>
        </w:tc>
      </w:tr>
      <w:tr w14:paraId="3B91A30A">
        <w:tblPrEx>
          <w:tblCellMar>
            <w:top w:w="0" w:type="dxa"/>
            <w:left w:w="108" w:type="dxa"/>
            <w:bottom w:w="0" w:type="dxa"/>
            <w:right w:w="108" w:type="dxa"/>
          </w:tblCellMar>
        </w:tblPrEx>
        <w:trPr>
          <w:gridAfter w:val="2"/>
          <w:wAfter w:w="7010" w:type="dxa"/>
          <w:trHeight w:val="490" w:hRule="atLeast"/>
        </w:trPr>
        <w:tc>
          <w:tcPr>
            <w:tcW w:w="441" w:type="dxa"/>
            <w:vMerge w:val="continue"/>
            <w:tcBorders>
              <w:top w:val="single" w:color="000000" w:sz="4" w:space="0"/>
              <w:left w:val="single" w:color="000000" w:sz="4" w:space="0"/>
              <w:bottom w:val="single" w:color="000000" w:sz="4" w:space="0"/>
              <w:right w:val="single" w:color="000000" w:sz="4" w:space="0"/>
            </w:tcBorders>
            <w:noWrap/>
            <w:vAlign w:val="center"/>
          </w:tcPr>
          <w:p w14:paraId="154A8E4B">
            <w:pPr>
              <w:jc w:val="center"/>
              <w:rPr>
                <w:rFonts w:hint="eastAsia" w:ascii="宋体" w:hAnsi="宋体" w:eastAsia="宋体" w:cs="宋体"/>
                <w:color w:val="000000"/>
                <w:sz w:val="20"/>
                <w:szCs w:val="20"/>
              </w:rPr>
            </w:pPr>
          </w:p>
        </w:tc>
        <w:tc>
          <w:tcPr>
            <w:tcW w:w="70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9072848">
            <w:pPr>
              <w:jc w:val="center"/>
              <w:rPr>
                <w:rFonts w:hint="eastAsia" w:ascii="宋体" w:hAnsi="宋体" w:eastAsia="宋体" w:cs="宋体"/>
                <w:color w:val="000000"/>
                <w:sz w:val="20"/>
                <w:szCs w:val="20"/>
              </w:rPr>
            </w:pPr>
          </w:p>
        </w:tc>
        <w:tc>
          <w:tcPr>
            <w:tcW w:w="426" w:type="dxa"/>
            <w:tcBorders>
              <w:top w:val="single" w:color="000000" w:sz="4" w:space="0"/>
              <w:left w:val="single" w:color="000000" w:sz="4" w:space="0"/>
              <w:bottom w:val="single" w:color="000000" w:sz="4" w:space="0"/>
              <w:right w:val="single" w:color="000000" w:sz="4" w:space="0"/>
            </w:tcBorders>
            <w:noWrap/>
            <w:vAlign w:val="center"/>
          </w:tcPr>
          <w:p w14:paraId="65AE6CD9">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28</w:t>
            </w:r>
          </w:p>
        </w:tc>
        <w:tc>
          <w:tcPr>
            <w:tcW w:w="3144" w:type="dxa"/>
            <w:tcBorders>
              <w:top w:val="single" w:color="000000" w:sz="4" w:space="0"/>
              <w:left w:val="single" w:color="000000" w:sz="4" w:space="0"/>
              <w:bottom w:val="single" w:color="000000" w:sz="4" w:space="0"/>
              <w:right w:val="single" w:color="000000" w:sz="4" w:space="0"/>
            </w:tcBorders>
            <w:noWrap w:val="0"/>
            <w:vAlign w:val="center"/>
          </w:tcPr>
          <w:p w14:paraId="03345A01">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养护人员按规定统一着装且仪容整洁，所有车辆停放规范有序。</w:t>
            </w:r>
          </w:p>
        </w:tc>
        <w:tc>
          <w:tcPr>
            <w:tcW w:w="3290" w:type="dxa"/>
            <w:gridSpan w:val="3"/>
            <w:tcBorders>
              <w:top w:val="single" w:color="000000" w:sz="4" w:space="0"/>
              <w:left w:val="single" w:color="000000" w:sz="4" w:space="0"/>
              <w:bottom w:val="single" w:color="000000" w:sz="4" w:space="0"/>
              <w:right w:val="single" w:color="000000" w:sz="4" w:space="0"/>
            </w:tcBorders>
            <w:noWrap w:val="0"/>
            <w:vAlign w:val="center"/>
          </w:tcPr>
          <w:p w14:paraId="7C78C352">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养护人员不统一着装每人扣0.5分；仪容不整每二人扣0.5分，车辆停放无序扣1分/处。</w:t>
            </w:r>
          </w:p>
        </w:tc>
        <w:tc>
          <w:tcPr>
            <w:tcW w:w="1001" w:type="dxa"/>
            <w:tcBorders>
              <w:top w:val="single" w:color="000000" w:sz="4" w:space="0"/>
              <w:left w:val="single" w:color="000000" w:sz="4" w:space="0"/>
              <w:bottom w:val="single" w:color="000000" w:sz="4" w:space="0"/>
              <w:right w:val="single" w:color="000000" w:sz="4" w:space="0"/>
            </w:tcBorders>
            <w:noWrap/>
            <w:vAlign w:val="center"/>
          </w:tcPr>
          <w:p w14:paraId="795C40BB">
            <w:pPr>
              <w:rPr>
                <w:rFonts w:hint="eastAsia" w:ascii="宋体" w:hAnsi="宋体" w:eastAsia="宋体" w:cs="宋体"/>
                <w:color w:val="000000"/>
                <w:sz w:val="20"/>
                <w:szCs w:val="20"/>
              </w:rPr>
            </w:pPr>
          </w:p>
        </w:tc>
        <w:tc>
          <w:tcPr>
            <w:tcW w:w="790" w:type="dxa"/>
            <w:gridSpan w:val="2"/>
            <w:tcBorders>
              <w:top w:val="single" w:color="000000" w:sz="4" w:space="0"/>
              <w:left w:val="single" w:color="000000" w:sz="4" w:space="0"/>
              <w:bottom w:val="single" w:color="000000" w:sz="4" w:space="0"/>
              <w:right w:val="single" w:color="000000" w:sz="4" w:space="0"/>
            </w:tcBorders>
            <w:noWrap/>
            <w:vAlign w:val="center"/>
          </w:tcPr>
          <w:p w14:paraId="07A816F2">
            <w:pPr>
              <w:rPr>
                <w:rFonts w:hint="eastAsia" w:ascii="宋体" w:hAnsi="宋体" w:eastAsia="宋体" w:cs="宋体"/>
                <w:color w:val="000000"/>
                <w:sz w:val="20"/>
                <w:szCs w:val="20"/>
              </w:rPr>
            </w:pPr>
          </w:p>
        </w:tc>
      </w:tr>
      <w:tr w14:paraId="425FB41F">
        <w:tblPrEx>
          <w:tblCellMar>
            <w:top w:w="0" w:type="dxa"/>
            <w:left w:w="108" w:type="dxa"/>
            <w:bottom w:w="0" w:type="dxa"/>
            <w:right w:w="108" w:type="dxa"/>
          </w:tblCellMar>
        </w:tblPrEx>
        <w:trPr>
          <w:gridAfter w:val="2"/>
          <w:wAfter w:w="7010" w:type="dxa"/>
          <w:trHeight w:val="464" w:hRule="atLeast"/>
        </w:trPr>
        <w:tc>
          <w:tcPr>
            <w:tcW w:w="441" w:type="dxa"/>
            <w:vMerge w:val="restart"/>
            <w:tcBorders>
              <w:top w:val="single" w:color="000000" w:sz="4" w:space="0"/>
              <w:left w:val="single" w:color="000000" w:sz="4" w:space="0"/>
              <w:bottom w:val="single" w:color="000000" w:sz="4" w:space="0"/>
              <w:right w:val="single" w:color="000000" w:sz="4" w:space="0"/>
            </w:tcBorders>
            <w:noWrap/>
            <w:vAlign w:val="center"/>
          </w:tcPr>
          <w:p w14:paraId="49A7257F">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12</w:t>
            </w:r>
          </w:p>
        </w:tc>
        <w:tc>
          <w:tcPr>
            <w:tcW w:w="70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C91984">
            <w:pPr>
              <w:jc w:val="center"/>
              <w:rPr>
                <w:rFonts w:hint="eastAsia" w:ascii="宋体" w:hAnsi="宋体" w:eastAsia="宋体" w:cs="宋体"/>
                <w:color w:val="000000"/>
                <w:sz w:val="20"/>
                <w:szCs w:val="20"/>
              </w:rPr>
            </w:pPr>
          </w:p>
        </w:tc>
        <w:tc>
          <w:tcPr>
            <w:tcW w:w="426" w:type="dxa"/>
            <w:tcBorders>
              <w:top w:val="single" w:color="000000" w:sz="4" w:space="0"/>
              <w:left w:val="single" w:color="000000" w:sz="4" w:space="0"/>
              <w:bottom w:val="single" w:color="000000" w:sz="4" w:space="0"/>
              <w:right w:val="single" w:color="000000" w:sz="4" w:space="0"/>
            </w:tcBorders>
            <w:noWrap/>
            <w:vAlign w:val="center"/>
          </w:tcPr>
          <w:p w14:paraId="175F7685">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29</w:t>
            </w:r>
          </w:p>
        </w:tc>
        <w:tc>
          <w:tcPr>
            <w:tcW w:w="3144" w:type="dxa"/>
            <w:tcBorders>
              <w:top w:val="single" w:color="000000" w:sz="4" w:space="0"/>
              <w:left w:val="single" w:color="000000" w:sz="4" w:space="0"/>
              <w:bottom w:val="single" w:color="000000" w:sz="4" w:space="0"/>
              <w:right w:val="single" w:color="000000" w:sz="4" w:space="0"/>
            </w:tcBorders>
            <w:noWrap w:val="0"/>
            <w:vAlign w:val="center"/>
          </w:tcPr>
          <w:p w14:paraId="75CF5C2A">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浇水水质保证，不得采用污水管道水源；时间合理，水管摆放正确，浇后及时盖上井盖，无泥浆溢出。</w:t>
            </w:r>
          </w:p>
        </w:tc>
        <w:tc>
          <w:tcPr>
            <w:tcW w:w="3290" w:type="dxa"/>
            <w:gridSpan w:val="3"/>
            <w:tcBorders>
              <w:top w:val="single" w:color="000000" w:sz="4" w:space="0"/>
              <w:left w:val="single" w:color="000000" w:sz="4" w:space="0"/>
              <w:bottom w:val="single" w:color="000000" w:sz="4" w:space="0"/>
              <w:right w:val="single" w:color="000000" w:sz="4" w:space="0"/>
            </w:tcBorders>
            <w:noWrap w:val="0"/>
            <w:vAlign w:val="center"/>
          </w:tcPr>
          <w:p w14:paraId="19696A07">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如有一项不符合要求扣1分，扣完为止</w:t>
            </w:r>
          </w:p>
        </w:tc>
        <w:tc>
          <w:tcPr>
            <w:tcW w:w="1001" w:type="dxa"/>
            <w:tcBorders>
              <w:top w:val="single" w:color="000000" w:sz="4" w:space="0"/>
              <w:left w:val="single" w:color="000000" w:sz="4" w:space="0"/>
              <w:bottom w:val="single" w:color="000000" w:sz="4" w:space="0"/>
              <w:right w:val="single" w:color="000000" w:sz="4" w:space="0"/>
            </w:tcBorders>
            <w:noWrap/>
            <w:vAlign w:val="center"/>
          </w:tcPr>
          <w:p w14:paraId="1DF50970">
            <w:pPr>
              <w:rPr>
                <w:rFonts w:hint="eastAsia" w:ascii="宋体" w:hAnsi="宋体" w:eastAsia="宋体" w:cs="宋体"/>
                <w:color w:val="000000"/>
                <w:sz w:val="20"/>
                <w:szCs w:val="20"/>
              </w:rPr>
            </w:pPr>
          </w:p>
        </w:tc>
        <w:tc>
          <w:tcPr>
            <w:tcW w:w="790" w:type="dxa"/>
            <w:gridSpan w:val="2"/>
            <w:tcBorders>
              <w:top w:val="single" w:color="000000" w:sz="4" w:space="0"/>
              <w:left w:val="single" w:color="000000" w:sz="4" w:space="0"/>
              <w:bottom w:val="single" w:color="000000" w:sz="4" w:space="0"/>
              <w:right w:val="single" w:color="000000" w:sz="4" w:space="0"/>
            </w:tcBorders>
            <w:noWrap/>
            <w:vAlign w:val="center"/>
          </w:tcPr>
          <w:p w14:paraId="187B8E3A">
            <w:pPr>
              <w:rPr>
                <w:rFonts w:hint="eastAsia" w:ascii="宋体" w:hAnsi="宋体" w:eastAsia="宋体" w:cs="宋体"/>
                <w:color w:val="000000"/>
                <w:sz w:val="20"/>
                <w:szCs w:val="20"/>
              </w:rPr>
            </w:pPr>
          </w:p>
        </w:tc>
      </w:tr>
      <w:tr w14:paraId="288C2D3F">
        <w:tblPrEx>
          <w:tblCellMar>
            <w:top w:w="0" w:type="dxa"/>
            <w:left w:w="108" w:type="dxa"/>
            <w:bottom w:w="0" w:type="dxa"/>
            <w:right w:w="108" w:type="dxa"/>
          </w:tblCellMar>
        </w:tblPrEx>
        <w:trPr>
          <w:gridAfter w:val="2"/>
          <w:wAfter w:w="7010" w:type="dxa"/>
          <w:trHeight w:val="458" w:hRule="atLeast"/>
        </w:trPr>
        <w:tc>
          <w:tcPr>
            <w:tcW w:w="441" w:type="dxa"/>
            <w:vMerge w:val="continue"/>
            <w:tcBorders>
              <w:top w:val="single" w:color="000000" w:sz="4" w:space="0"/>
              <w:left w:val="single" w:color="000000" w:sz="4" w:space="0"/>
              <w:bottom w:val="single" w:color="000000" w:sz="4" w:space="0"/>
              <w:right w:val="single" w:color="000000" w:sz="4" w:space="0"/>
            </w:tcBorders>
            <w:noWrap/>
            <w:vAlign w:val="center"/>
          </w:tcPr>
          <w:p w14:paraId="343527B9">
            <w:pPr>
              <w:jc w:val="center"/>
              <w:rPr>
                <w:rFonts w:hint="eastAsia" w:ascii="宋体" w:hAnsi="宋体" w:eastAsia="宋体" w:cs="宋体"/>
                <w:color w:val="000000"/>
                <w:sz w:val="20"/>
                <w:szCs w:val="20"/>
              </w:rPr>
            </w:pPr>
          </w:p>
        </w:tc>
        <w:tc>
          <w:tcPr>
            <w:tcW w:w="70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38A0D0E">
            <w:pPr>
              <w:jc w:val="center"/>
              <w:rPr>
                <w:rFonts w:hint="eastAsia" w:ascii="宋体" w:hAnsi="宋体" w:eastAsia="宋体" w:cs="宋体"/>
                <w:color w:val="000000"/>
                <w:sz w:val="20"/>
                <w:szCs w:val="20"/>
              </w:rPr>
            </w:pPr>
          </w:p>
        </w:tc>
        <w:tc>
          <w:tcPr>
            <w:tcW w:w="426" w:type="dxa"/>
            <w:tcBorders>
              <w:top w:val="single" w:color="000000" w:sz="4" w:space="0"/>
              <w:left w:val="single" w:color="000000" w:sz="4" w:space="0"/>
              <w:bottom w:val="single" w:color="000000" w:sz="4" w:space="0"/>
              <w:right w:val="single" w:color="000000" w:sz="4" w:space="0"/>
            </w:tcBorders>
            <w:noWrap/>
            <w:vAlign w:val="center"/>
          </w:tcPr>
          <w:p w14:paraId="13FED680">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30</w:t>
            </w:r>
          </w:p>
        </w:tc>
        <w:tc>
          <w:tcPr>
            <w:tcW w:w="3144" w:type="dxa"/>
            <w:tcBorders>
              <w:top w:val="single" w:color="000000" w:sz="4" w:space="0"/>
              <w:left w:val="single" w:color="000000" w:sz="4" w:space="0"/>
              <w:bottom w:val="single" w:color="000000" w:sz="4" w:space="0"/>
              <w:right w:val="single" w:color="000000" w:sz="4" w:space="0"/>
            </w:tcBorders>
            <w:noWrap w:val="0"/>
            <w:vAlign w:val="center"/>
          </w:tcPr>
          <w:p w14:paraId="56C6F268">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快速车道施工作业现场要设置安全告示牌及安全围栏。</w:t>
            </w:r>
          </w:p>
        </w:tc>
        <w:tc>
          <w:tcPr>
            <w:tcW w:w="3290" w:type="dxa"/>
            <w:gridSpan w:val="3"/>
            <w:tcBorders>
              <w:top w:val="single" w:color="000000" w:sz="4" w:space="0"/>
              <w:left w:val="single" w:color="000000" w:sz="4" w:space="0"/>
              <w:bottom w:val="single" w:color="000000" w:sz="4" w:space="0"/>
              <w:right w:val="single" w:color="000000" w:sz="4" w:space="0"/>
            </w:tcBorders>
            <w:noWrap w:val="0"/>
            <w:vAlign w:val="center"/>
          </w:tcPr>
          <w:p w14:paraId="4D78B34B">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如有一项不符合要求扣1分/处，扣完为止</w:t>
            </w:r>
          </w:p>
        </w:tc>
        <w:tc>
          <w:tcPr>
            <w:tcW w:w="1001" w:type="dxa"/>
            <w:tcBorders>
              <w:top w:val="single" w:color="000000" w:sz="4" w:space="0"/>
              <w:left w:val="single" w:color="000000" w:sz="4" w:space="0"/>
              <w:bottom w:val="single" w:color="000000" w:sz="4" w:space="0"/>
              <w:right w:val="single" w:color="000000" w:sz="4" w:space="0"/>
            </w:tcBorders>
            <w:noWrap/>
            <w:vAlign w:val="center"/>
          </w:tcPr>
          <w:p w14:paraId="2DECDB91">
            <w:pPr>
              <w:rPr>
                <w:rFonts w:hint="eastAsia" w:ascii="宋体" w:hAnsi="宋体" w:eastAsia="宋体" w:cs="宋体"/>
                <w:color w:val="000000"/>
                <w:sz w:val="20"/>
                <w:szCs w:val="20"/>
              </w:rPr>
            </w:pPr>
          </w:p>
        </w:tc>
        <w:tc>
          <w:tcPr>
            <w:tcW w:w="790" w:type="dxa"/>
            <w:gridSpan w:val="2"/>
            <w:tcBorders>
              <w:top w:val="single" w:color="000000" w:sz="4" w:space="0"/>
              <w:left w:val="single" w:color="000000" w:sz="4" w:space="0"/>
              <w:bottom w:val="single" w:color="000000" w:sz="4" w:space="0"/>
              <w:right w:val="single" w:color="000000" w:sz="4" w:space="0"/>
            </w:tcBorders>
            <w:noWrap/>
            <w:vAlign w:val="center"/>
          </w:tcPr>
          <w:p w14:paraId="19125150">
            <w:pPr>
              <w:rPr>
                <w:rFonts w:hint="eastAsia" w:ascii="宋体" w:hAnsi="宋体" w:eastAsia="宋体" w:cs="宋体"/>
                <w:color w:val="000000"/>
                <w:sz w:val="20"/>
                <w:szCs w:val="20"/>
              </w:rPr>
            </w:pPr>
          </w:p>
        </w:tc>
      </w:tr>
      <w:tr w14:paraId="6710CCF3">
        <w:tblPrEx>
          <w:tblCellMar>
            <w:top w:w="0" w:type="dxa"/>
            <w:left w:w="108" w:type="dxa"/>
            <w:bottom w:w="0" w:type="dxa"/>
            <w:right w:w="108" w:type="dxa"/>
          </w:tblCellMar>
        </w:tblPrEx>
        <w:trPr>
          <w:gridAfter w:val="2"/>
          <w:wAfter w:w="7010" w:type="dxa"/>
          <w:trHeight w:val="683" w:hRule="atLeast"/>
        </w:trPr>
        <w:tc>
          <w:tcPr>
            <w:tcW w:w="441" w:type="dxa"/>
            <w:vMerge w:val="continue"/>
            <w:tcBorders>
              <w:top w:val="single" w:color="000000" w:sz="4" w:space="0"/>
              <w:left w:val="single" w:color="000000" w:sz="4" w:space="0"/>
              <w:bottom w:val="single" w:color="000000" w:sz="4" w:space="0"/>
              <w:right w:val="single" w:color="000000" w:sz="4" w:space="0"/>
            </w:tcBorders>
            <w:noWrap/>
            <w:vAlign w:val="center"/>
          </w:tcPr>
          <w:p w14:paraId="1D28F0E5">
            <w:pPr>
              <w:jc w:val="center"/>
              <w:rPr>
                <w:rFonts w:hint="eastAsia" w:ascii="宋体" w:hAnsi="宋体" w:eastAsia="宋体" w:cs="宋体"/>
                <w:color w:val="000000"/>
                <w:sz w:val="20"/>
                <w:szCs w:val="20"/>
              </w:rPr>
            </w:pPr>
          </w:p>
        </w:tc>
        <w:tc>
          <w:tcPr>
            <w:tcW w:w="70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1A79AA9">
            <w:pPr>
              <w:jc w:val="center"/>
              <w:rPr>
                <w:rFonts w:hint="eastAsia" w:ascii="宋体" w:hAnsi="宋体" w:eastAsia="宋体" w:cs="宋体"/>
                <w:color w:val="000000"/>
                <w:sz w:val="20"/>
                <w:szCs w:val="20"/>
              </w:rPr>
            </w:pPr>
          </w:p>
        </w:tc>
        <w:tc>
          <w:tcPr>
            <w:tcW w:w="426" w:type="dxa"/>
            <w:tcBorders>
              <w:top w:val="single" w:color="000000" w:sz="4" w:space="0"/>
              <w:left w:val="single" w:color="000000" w:sz="4" w:space="0"/>
              <w:bottom w:val="single" w:color="000000" w:sz="4" w:space="0"/>
              <w:right w:val="single" w:color="000000" w:sz="4" w:space="0"/>
            </w:tcBorders>
            <w:noWrap/>
            <w:vAlign w:val="center"/>
          </w:tcPr>
          <w:p w14:paraId="6CF8361C">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31</w:t>
            </w:r>
          </w:p>
        </w:tc>
        <w:tc>
          <w:tcPr>
            <w:tcW w:w="3144" w:type="dxa"/>
            <w:tcBorders>
              <w:top w:val="single" w:color="000000" w:sz="4" w:space="0"/>
              <w:left w:val="single" w:color="000000" w:sz="4" w:space="0"/>
              <w:bottom w:val="single" w:color="000000" w:sz="4" w:space="0"/>
              <w:right w:val="single" w:color="000000" w:sz="4" w:space="0"/>
            </w:tcBorders>
            <w:noWrap w:val="0"/>
            <w:vAlign w:val="center"/>
          </w:tcPr>
          <w:p w14:paraId="69B0E509">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所有车辆、机械应严格按照有关法规及操作规范使用。特种作业时，操作人员应持有有效证书。</w:t>
            </w:r>
          </w:p>
        </w:tc>
        <w:tc>
          <w:tcPr>
            <w:tcW w:w="3290" w:type="dxa"/>
            <w:gridSpan w:val="3"/>
            <w:tcBorders>
              <w:top w:val="single" w:color="000000" w:sz="4" w:space="0"/>
              <w:left w:val="single" w:color="000000" w:sz="4" w:space="0"/>
              <w:bottom w:val="single" w:color="000000" w:sz="4" w:space="0"/>
              <w:right w:val="single" w:color="000000" w:sz="4" w:space="0"/>
            </w:tcBorders>
            <w:noWrap w:val="0"/>
            <w:vAlign w:val="center"/>
          </w:tcPr>
          <w:p w14:paraId="3A8E9D93">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不按要求不得分，如出现人员伤亡则扣全项分</w:t>
            </w:r>
          </w:p>
        </w:tc>
        <w:tc>
          <w:tcPr>
            <w:tcW w:w="1001" w:type="dxa"/>
            <w:tcBorders>
              <w:top w:val="single" w:color="000000" w:sz="4" w:space="0"/>
              <w:left w:val="single" w:color="000000" w:sz="4" w:space="0"/>
              <w:bottom w:val="single" w:color="000000" w:sz="4" w:space="0"/>
              <w:right w:val="single" w:color="000000" w:sz="4" w:space="0"/>
            </w:tcBorders>
            <w:noWrap/>
            <w:vAlign w:val="center"/>
          </w:tcPr>
          <w:p w14:paraId="0D2BEF1C">
            <w:pPr>
              <w:rPr>
                <w:rFonts w:hint="eastAsia" w:ascii="宋体" w:hAnsi="宋体" w:eastAsia="宋体" w:cs="宋体"/>
                <w:color w:val="000000"/>
                <w:sz w:val="20"/>
                <w:szCs w:val="20"/>
              </w:rPr>
            </w:pPr>
          </w:p>
        </w:tc>
        <w:tc>
          <w:tcPr>
            <w:tcW w:w="790" w:type="dxa"/>
            <w:gridSpan w:val="2"/>
            <w:tcBorders>
              <w:top w:val="single" w:color="000000" w:sz="4" w:space="0"/>
              <w:left w:val="single" w:color="000000" w:sz="4" w:space="0"/>
              <w:bottom w:val="single" w:color="000000" w:sz="4" w:space="0"/>
              <w:right w:val="single" w:color="000000" w:sz="4" w:space="0"/>
            </w:tcBorders>
            <w:noWrap/>
            <w:vAlign w:val="center"/>
          </w:tcPr>
          <w:p w14:paraId="0716BC74">
            <w:pPr>
              <w:rPr>
                <w:rFonts w:hint="eastAsia" w:ascii="宋体" w:hAnsi="宋体" w:eastAsia="宋体" w:cs="宋体"/>
                <w:color w:val="000000"/>
                <w:sz w:val="20"/>
                <w:szCs w:val="20"/>
              </w:rPr>
            </w:pPr>
          </w:p>
        </w:tc>
      </w:tr>
      <w:tr w14:paraId="71237DE9">
        <w:tblPrEx>
          <w:tblCellMar>
            <w:top w:w="0" w:type="dxa"/>
            <w:left w:w="108" w:type="dxa"/>
            <w:bottom w:w="0" w:type="dxa"/>
            <w:right w:w="108" w:type="dxa"/>
          </w:tblCellMar>
        </w:tblPrEx>
        <w:trPr>
          <w:trHeight w:val="477" w:hRule="atLeast"/>
        </w:trPr>
        <w:tc>
          <w:tcPr>
            <w:tcW w:w="441" w:type="dxa"/>
            <w:tcBorders>
              <w:top w:val="nil"/>
              <w:left w:val="nil"/>
              <w:bottom w:val="nil"/>
              <w:right w:val="nil"/>
            </w:tcBorders>
            <w:noWrap/>
            <w:vAlign w:val="center"/>
          </w:tcPr>
          <w:p w14:paraId="6E75928A">
            <w:pPr>
              <w:rPr>
                <w:rFonts w:hint="eastAsia" w:ascii="宋体" w:hAnsi="宋体" w:eastAsia="宋体" w:cs="宋体"/>
                <w:color w:val="000000"/>
                <w:sz w:val="20"/>
                <w:szCs w:val="20"/>
              </w:rPr>
            </w:pPr>
          </w:p>
        </w:tc>
        <w:tc>
          <w:tcPr>
            <w:tcW w:w="708" w:type="dxa"/>
            <w:tcBorders>
              <w:top w:val="single" w:color="000000" w:sz="4" w:space="0"/>
              <w:left w:val="nil"/>
              <w:bottom w:val="nil"/>
              <w:right w:val="nil"/>
            </w:tcBorders>
            <w:noWrap/>
            <w:vAlign w:val="center"/>
          </w:tcPr>
          <w:p w14:paraId="5AA329A9">
            <w:pPr>
              <w:jc w:val="left"/>
              <w:rPr>
                <w:rFonts w:hint="eastAsia" w:ascii="宋体" w:hAnsi="宋体" w:eastAsia="宋体" w:cs="宋体"/>
                <w:color w:val="000000"/>
                <w:sz w:val="22"/>
                <w:szCs w:val="22"/>
              </w:rPr>
            </w:pPr>
          </w:p>
        </w:tc>
        <w:tc>
          <w:tcPr>
            <w:tcW w:w="426" w:type="dxa"/>
            <w:tcBorders>
              <w:top w:val="single" w:color="000000" w:sz="4" w:space="0"/>
              <w:left w:val="nil"/>
              <w:bottom w:val="nil"/>
              <w:right w:val="nil"/>
            </w:tcBorders>
            <w:noWrap/>
            <w:vAlign w:val="center"/>
          </w:tcPr>
          <w:p w14:paraId="51A3A19E">
            <w:pPr>
              <w:jc w:val="left"/>
              <w:rPr>
                <w:rFonts w:hint="eastAsia" w:ascii="宋体" w:hAnsi="宋体" w:eastAsia="宋体" w:cs="宋体"/>
                <w:color w:val="000000"/>
                <w:sz w:val="22"/>
                <w:szCs w:val="22"/>
              </w:rPr>
            </w:pPr>
          </w:p>
        </w:tc>
        <w:tc>
          <w:tcPr>
            <w:tcW w:w="3144" w:type="dxa"/>
            <w:tcBorders>
              <w:top w:val="single" w:color="000000" w:sz="4" w:space="0"/>
              <w:left w:val="nil"/>
              <w:bottom w:val="nil"/>
              <w:right w:val="nil"/>
            </w:tcBorders>
            <w:noWrap/>
            <w:vAlign w:val="center"/>
          </w:tcPr>
          <w:p w14:paraId="17C9A590">
            <w:pPr>
              <w:jc w:val="left"/>
              <w:rPr>
                <w:rFonts w:hint="eastAsia" w:ascii="宋体" w:hAnsi="宋体" w:eastAsia="宋体" w:cs="宋体"/>
                <w:color w:val="000000"/>
                <w:sz w:val="22"/>
                <w:szCs w:val="22"/>
              </w:rPr>
            </w:pPr>
          </w:p>
        </w:tc>
        <w:tc>
          <w:tcPr>
            <w:tcW w:w="3290" w:type="dxa"/>
            <w:gridSpan w:val="3"/>
            <w:tcBorders>
              <w:top w:val="single" w:color="000000" w:sz="4" w:space="0"/>
              <w:left w:val="nil"/>
              <w:bottom w:val="nil"/>
              <w:right w:val="nil"/>
            </w:tcBorders>
            <w:noWrap/>
            <w:vAlign w:val="center"/>
          </w:tcPr>
          <w:p w14:paraId="636759B8">
            <w:pPr>
              <w:jc w:val="left"/>
              <w:rPr>
                <w:rFonts w:hint="eastAsia" w:ascii="宋体" w:hAnsi="宋体" w:eastAsia="宋体" w:cs="宋体"/>
                <w:color w:val="000000"/>
                <w:sz w:val="22"/>
                <w:szCs w:val="22"/>
              </w:rPr>
            </w:pPr>
          </w:p>
        </w:tc>
        <w:tc>
          <w:tcPr>
            <w:tcW w:w="6651" w:type="dxa"/>
            <w:gridSpan w:val="4"/>
            <w:tcBorders>
              <w:top w:val="nil"/>
              <w:left w:val="nil"/>
              <w:bottom w:val="nil"/>
              <w:right w:val="nil"/>
            </w:tcBorders>
            <w:noWrap/>
            <w:vAlign w:val="center"/>
          </w:tcPr>
          <w:p w14:paraId="23D641D2">
            <w:pPr>
              <w:jc w:val="right"/>
              <w:rPr>
                <w:rFonts w:hint="eastAsia" w:ascii="宋体" w:hAnsi="宋体" w:eastAsia="宋体" w:cs="宋体"/>
                <w:color w:val="000000"/>
                <w:sz w:val="22"/>
                <w:szCs w:val="22"/>
              </w:rPr>
            </w:pPr>
          </w:p>
        </w:tc>
        <w:tc>
          <w:tcPr>
            <w:tcW w:w="2150" w:type="dxa"/>
            <w:tcBorders>
              <w:top w:val="nil"/>
              <w:left w:val="nil"/>
              <w:bottom w:val="nil"/>
              <w:right w:val="nil"/>
            </w:tcBorders>
            <w:noWrap/>
            <w:vAlign w:val="bottom"/>
          </w:tcPr>
          <w:p w14:paraId="69354012">
            <w:pPr>
              <w:widowControl/>
              <w:jc w:val="left"/>
              <w:textAlignment w:val="bottom"/>
              <w:rPr>
                <w:rFonts w:hint="eastAsia" w:ascii="宋体" w:hAnsi="宋体" w:eastAsia="宋体" w:cs="宋体"/>
                <w:color w:val="000000"/>
                <w:sz w:val="24"/>
              </w:rPr>
            </w:pPr>
            <w:r>
              <w:rPr>
                <w:rFonts w:hint="eastAsia" w:ascii="宋体" w:hAnsi="宋体" w:eastAsia="宋体" w:cs="宋体"/>
                <w:color w:val="000000"/>
                <w:kern w:val="0"/>
                <w:sz w:val="24"/>
                <w:lang w:bidi="ar"/>
              </w:rPr>
              <w:t>考核人：</w:t>
            </w:r>
          </w:p>
        </w:tc>
      </w:tr>
    </w:tbl>
    <w:p w14:paraId="6E705228">
      <w:pPr>
        <w:adjustRightInd w:val="0"/>
        <w:snapToGrid w:val="0"/>
        <w:spacing w:line="440" w:lineRule="exact"/>
        <w:ind w:firstLine="567"/>
        <w:rPr>
          <w:rFonts w:hint="eastAsia" w:ascii="宋体" w:hAnsi="宋体" w:eastAsia="宋体" w:cs="宋体"/>
          <w:kern w:val="0"/>
          <w:sz w:val="28"/>
          <w:szCs w:val="28"/>
        </w:rPr>
      </w:pPr>
    </w:p>
    <w:p w14:paraId="55AF5CBF">
      <w:r>
        <w:br w:type="page"/>
      </w:r>
    </w:p>
    <w:p w14:paraId="1899BED7">
      <w:pPr>
        <w:wordWrap w:val="0"/>
        <w:spacing w:line="360" w:lineRule="auto"/>
        <w:ind w:firstLine="482" w:firstLineChars="200"/>
        <w:jc w:val="center"/>
        <w:rPr>
          <w:rFonts w:hint="eastAsia" w:ascii="宋体" w:hAnsi="宋体" w:cs="宋体"/>
          <w:b/>
          <w:bCs/>
          <w:color w:val="auto"/>
          <w:sz w:val="24"/>
          <w:szCs w:val="24"/>
          <w:highlight w:val="none"/>
        </w:rPr>
      </w:pPr>
      <w:bookmarkStart w:id="2" w:name="_Toc26970165"/>
      <w:r>
        <w:rPr>
          <w:rFonts w:hint="eastAsia" w:ascii="宋体" w:hAnsi="宋体" w:cs="宋体"/>
          <w:b/>
          <w:bCs/>
          <w:color w:val="auto"/>
          <w:sz w:val="24"/>
          <w:szCs w:val="24"/>
          <w:highlight w:val="none"/>
        </w:rPr>
        <w:t>陆家镇照明设施养护</w:t>
      </w:r>
      <w:bookmarkEnd w:id="2"/>
      <w:r>
        <w:rPr>
          <w:rFonts w:hint="eastAsia" w:ascii="宋体" w:hAnsi="宋体" w:cs="宋体"/>
          <w:b/>
          <w:bCs/>
          <w:color w:val="auto"/>
          <w:sz w:val="24"/>
          <w:szCs w:val="24"/>
          <w:highlight w:val="none"/>
        </w:rPr>
        <w:t>考核</w:t>
      </w:r>
    </w:p>
    <w:p w14:paraId="2D9C869D">
      <w:pPr>
        <w:spacing w:line="580" w:lineRule="exact"/>
        <w:ind w:firstLine="482" w:firstLineChars="200"/>
        <w:jc w:val="center"/>
        <w:rPr>
          <w:rFonts w:hint="eastAsia" w:ascii="宋体" w:hAnsi="宋体" w:cs="宋体"/>
          <w:color w:val="auto"/>
          <w:sz w:val="24"/>
          <w:highlight w:val="none"/>
        </w:rPr>
      </w:pPr>
      <w:bookmarkStart w:id="3" w:name="_Toc26970169"/>
      <w:r>
        <w:rPr>
          <w:rFonts w:hint="eastAsia" w:ascii="宋体" w:hAnsi="宋体" w:cs="宋体"/>
          <w:b/>
          <w:color w:val="auto"/>
          <w:kern w:val="44"/>
          <w:sz w:val="24"/>
          <w:highlight w:val="none"/>
        </w:rPr>
        <w:t>陆家镇路灯照明养护考核表</w:t>
      </w:r>
    </w:p>
    <w:tbl>
      <w:tblPr>
        <w:tblStyle w:val="7"/>
        <w:tblW w:w="5535" w:type="pct"/>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1091"/>
        <w:gridCol w:w="1045"/>
        <w:gridCol w:w="3143"/>
        <w:gridCol w:w="1036"/>
        <w:gridCol w:w="1451"/>
        <w:gridCol w:w="1242"/>
      </w:tblGrid>
      <w:tr w14:paraId="466FC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804" w:type="pct"/>
            <w:gridSpan w:val="2"/>
            <w:tcBorders>
              <w:top w:val="single" w:color="auto" w:sz="4" w:space="0"/>
              <w:left w:val="single" w:color="auto" w:sz="4" w:space="0"/>
              <w:bottom w:val="single" w:color="auto" w:sz="4" w:space="0"/>
              <w:right w:val="single" w:color="auto" w:sz="4" w:space="0"/>
            </w:tcBorders>
            <w:noWrap w:val="0"/>
            <w:vAlign w:val="center"/>
          </w:tcPr>
          <w:p w14:paraId="528103D5">
            <w:pPr>
              <w:widowControl/>
              <w:spacing w:line="360"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评分项目</w:t>
            </w:r>
          </w:p>
        </w:tc>
        <w:tc>
          <w:tcPr>
            <w:tcW w:w="2220" w:type="pct"/>
            <w:gridSpan w:val="2"/>
            <w:tcBorders>
              <w:top w:val="single" w:color="auto" w:sz="4" w:space="0"/>
              <w:left w:val="single" w:color="auto" w:sz="4" w:space="0"/>
              <w:bottom w:val="single" w:color="auto" w:sz="4" w:space="0"/>
              <w:right w:val="single" w:color="auto" w:sz="4" w:space="0"/>
            </w:tcBorders>
            <w:noWrap w:val="0"/>
            <w:vAlign w:val="center"/>
          </w:tcPr>
          <w:p w14:paraId="429D983E">
            <w:pPr>
              <w:widowControl/>
              <w:spacing w:line="360"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考核内容</w:t>
            </w:r>
          </w:p>
        </w:tc>
        <w:tc>
          <w:tcPr>
            <w:tcW w:w="1318" w:type="pct"/>
            <w:gridSpan w:val="2"/>
            <w:tcBorders>
              <w:top w:val="single" w:color="auto" w:sz="4" w:space="0"/>
              <w:left w:val="single" w:color="auto" w:sz="4" w:space="0"/>
              <w:bottom w:val="single" w:color="auto" w:sz="4" w:space="0"/>
              <w:right w:val="single" w:color="auto" w:sz="4" w:space="0"/>
            </w:tcBorders>
            <w:noWrap w:val="0"/>
            <w:vAlign w:val="center"/>
          </w:tcPr>
          <w:p w14:paraId="75039262">
            <w:pPr>
              <w:widowControl/>
              <w:spacing w:line="360"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评分标准</w:t>
            </w:r>
          </w:p>
        </w:tc>
        <w:tc>
          <w:tcPr>
            <w:tcW w:w="657" w:type="pct"/>
            <w:tcBorders>
              <w:top w:val="single" w:color="auto" w:sz="4" w:space="0"/>
              <w:left w:val="single" w:color="auto" w:sz="4" w:space="0"/>
              <w:bottom w:val="single" w:color="auto" w:sz="4" w:space="0"/>
              <w:right w:val="single" w:color="auto" w:sz="4" w:space="0"/>
            </w:tcBorders>
            <w:noWrap w:val="0"/>
            <w:vAlign w:val="center"/>
          </w:tcPr>
          <w:p w14:paraId="23940CDE">
            <w:pPr>
              <w:widowControl/>
              <w:spacing w:line="360"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月度扣分</w:t>
            </w:r>
          </w:p>
        </w:tc>
      </w:tr>
      <w:tr w14:paraId="52183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225" w:type="pct"/>
            <w:vMerge w:val="restart"/>
            <w:tcBorders>
              <w:top w:val="single" w:color="auto" w:sz="4" w:space="0"/>
              <w:left w:val="single" w:color="auto" w:sz="4" w:space="0"/>
              <w:right w:val="single" w:color="auto" w:sz="4" w:space="0"/>
            </w:tcBorders>
            <w:noWrap w:val="0"/>
            <w:vAlign w:val="center"/>
          </w:tcPr>
          <w:p w14:paraId="7F868FA8">
            <w:pPr>
              <w:widowControl/>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日常工作</w:t>
            </w:r>
          </w:p>
          <w:p w14:paraId="35533408">
            <w:pPr>
              <w:spacing w:line="360" w:lineRule="auto"/>
              <w:jc w:val="center"/>
              <w:rPr>
                <w:rFonts w:hint="eastAsia" w:ascii="宋体" w:hAnsi="宋体" w:cs="宋体"/>
                <w:color w:val="auto"/>
                <w:szCs w:val="21"/>
                <w:highlight w:val="none"/>
              </w:rPr>
            </w:pPr>
          </w:p>
        </w:tc>
        <w:tc>
          <w:tcPr>
            <w:tcW w:w="578" w:type="pct"/>
            <w:vMerge w:val="restart"/>
            <w:tcBorders>
              <w:top w:val="single" w:color="auto" w:sz="4" w:space="0"/>
              <w:left w:val="single" w:color="auto" w:sz="4" w:space="0"/>
              <w:right w:val="single" w:color="auto" w:sz="4" w:space="0"/>
            </w:tcBorders>
            <w:noWrap w:val="0"/>
            <w:vAlign w:val="center"/>
          </w:tcPr>
          <w:p w14:paraId="45E750AE">
            <w:pPr>
              <w:widowControl/>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台帐管理</w:t>
            </w:r>
          </w:p>
          <w:p w14:paraId="645DD2F6">
            <w:pPr>
              <w:widowControl/>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（10分）</w:t>
            </w:r>
          </w:p>
        </w:tc>
        <w:tc>
          <w:tcPr>
            <w:tcW w:w="2220" w:type="pct"/>
            <w:gridSpan w:val="2"/>
            <w:tcBorders>
              <w:top w:val="single" w:color="auto" w:sz="4" w:space="0"/>
              <w:left w:val="single" w:color="auto" w:sz="4" w:space="0"/>
              <w:bottom w:val="single" w:color="auto" w:sz="4" w:space="0"/>
              <w:right w:val="single" w:color="auto" w:sz="4" w:space="0"/>
            </w:tcBorders>
            <w:noWrap w:val="0"/>
            <w:vAlign w:val="center"/>
          </w:tcPr>
          <w:p w14:paraId="4A8CD16D">
            <w:pPr>
              <w:widowControl/>
              <w:spacing w:line="360" w:lineRule="auto"/>
              <w:rPr>
                <w:rFonts w:hint="eastAsia" w:ascii="宋体" w:hAnsi="宋体" w:cs="宋体"/>
                <w:color w:val="auto"/>
                <w:szCs w:val="21"/>
                <w:highlight w:val="none"/>
              </w:rPr>
            </w:pPr>
            <w:r>
              <w:rPr>
                <w:rFonts w:hint="eastAsia" w:ascii="宋体" w:hAnsi="宋体" w:cs="宋体"/>
                <w:color w:val="auto"/>
                <w:szCs w:val="21"/>
                <w:highlight w:val="none"/>
              </w:rPr>
              <w:t>基础台帐资料齐全，有各项管理制度（5分）</w:t>
            </w:r>
          </w:p>
        </w:tc>
        <w:tc>
          <w:tcPr>
            <w:tcW w:w="1318" w:type="pct"/>
            <w:gridSpan w:val="2"/>
            <w:tcBorders>
              <w:top w:val="single" w:color="auto" w:sz="4" w:space="0"/>
              <w:left w:val="single" w:color="auto" w:sz="4" w:space="0"/>
              <w:bottom w:val="single" w:color="auto" w:sz="4" w:space="0"/>
              <w:right w:val="single" w:color="auto" w:sz="4" w:space="0"/>
            </w:tcBorders>
            <w:noWrap w:val="0"/>
            <w:vAlign w:val="center"/>
          </w:tcPr>
          <w:p w14:paraId="04DD964F">
            <w:pPr>
              <w:widowControl/>
              <w:spacing w:line="360" w:lineRule="auto"/>
              <w:rPr>
                <w:rFonts w:hint="eastAsia" w:ascii="宋体" w:hAnsi="宋体" w:cs="宋体"/>
                <w:color w:val="auto"/>
                <w:szCs w:val="21"/>
                <w:highlight w:val="none"/>
              </w:rPr>
            </w:pPr>
            <w:r>
              <w:rPr>
                <w:rFonts w:hint="eastAsia" w:ascii="宋体" w:hAnsi="宋体" w:cs="宋体"/>
                <w:color w:val="auto"/>
                <w:szCs w:val="21"/>
                <w:highlight w:val="none"/>
              </w:rPr>
              <w:t>每缺一项，扣1分</w:t>
            </w:r>
          </w:p>
        </w:tc>
        <w:tc>
          <w:tcPr>
            <w:tcW w:w="657" w:type="pct"/>
            <w:tcBorders>
              <w:top w:val="single" w:color="auto" w:sz="4" w:space="0"/>
              <w:left w:val="single" w:color="auto" w:sz="4" w:space="0"/>
              <w:bottom w:val="single" w:color="auto" w:sz="4" w:space="0"/>
              <w:right w:val="single" w:color="auto" w:sz="4" w:space="0"/>
            </w:tcBorders>
            <w:noWrap w:val="0"/>
            <w:vAlign w:val="center"/>
          </w:tcPr>
          <w:p w14:paraId="515A1E89">
            <w:pPr>
              <w:widowControl/>
              <w:spacing w:line="360" w:lineRule="auto"/>
              <w:rPr>
                <w:rFonts w:hint="eastAsia" w:ascii="宋体" w:hAnsi="宋体" w:cs="宋体"/>
                <w:color w:val="auto"/>
                <w:szCs w:val="21"/>
                <w:highlight w:val="none"/>
              </w:rPr>
            </w:pPr>
          </w:p>
        </w:tc>
      </w:tr>
      <w:tr w14:paraId="5F3E5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225" w:type="pct"/>
            <w:vMerge w:val="continue"/>
            <w:tcBorders>
              <w:left w:val="single" w:color="auto" w:sz="4" w:space="0"/>
              <w:right w:val="single" w:color="auto" w:sz="4" w:space="0"/>
            </w:tcBorders>
            <w:noWrap w:val="0"/>
            <w:vAlign w:val="center"/>
          </w:tcPr>
          <w:p w14:paraId="7ABBD22C">
            <w:pPr>
              <w:spacing w:line="360" w:lineRule="auto"/>
              <w:jc w:val="center"/>
              <w:rPr>
                <w:rFonts w:hint="eastAsia" w:ascii="宋体" w:hAnsi="宋体" w:cs="宋体"/>
                <w:color w:val="auto"/>
                <w:szCs w:val="21"/>
                <w:highlight w:val="none"/>
              </w:rPr>
            </w:pPr>
          </w:p>
        </w:tc>
        <w:tc>
          <w:tcPr>
            <w:tcW w:w="578" w:type="pct"/>
            <w:vMerge w:val="continue"/>
            <w:tcBorders>
              <w:left w:val="single" w:color="auto" w:sz="4" w:space="0"/>
              <w:right w:val="single" w:color="auto" w:sz="4" w:space="0"/>
            </w:tcBorders>
            <w:noWrap w:val="0"/>
            <w:vAlign w:val="center"/>
          </w:tcPr>
          <w:p w14:paraId="60BB84B1">
            <w:pPr>
              <w:widowControl/>
              <w:spacing w:line="360" w:lineRule="auto"/>
              <w:jc w:val="center"/>
              <w:rPr>
                <w:rFonts w:hint="eastAsia" w:ascii="宋体" w:hAnsi="宋体" w:cs="宋体"/>
                <w:color w:val="auto"/>
                <w:szCs w:val="21"/>
                <w:highlight w:val="none"/>
              </w:rPr>
            </w:pPr>
          </w:p>
        </w:tc>
        <w:tc>
          <w:tcPr>
            <w:tcW w:w="2220" w:type="pct"/>
            <w:gridSpan w:val="2"/>
            <w:tcBorders>
              <w:top w:val="single" w:color="auto" w:sz="4" w:space="0"/>
              <w:left w:val="single" w:color="auto" w:sz="4" w:space="0"/>
              <w:bottom w:val="single" w:color="auto" w:sz="4" w:space="0"/>
              <w:right w:val="single" w:color="auto" w:sz="4" w:space="0"/>
            </w:tcBorders>
            <w:noWrap w:val="0"/>
            <w:vAlign w:val="center"/>
          </w:tcPr>
          <w:p w14:paraId="6DC3BFF3">
            <w:pPr>
              <w:widowControl/>
              <w:spacing w:line="360" w:lineRule="auto"/>
              <w:rPr>
                <w:rFonts w:hint="eastAsia" w:ascii="宋体" w:hAnsi="宋体" w:cs="宋体"/>
                <w:color w:val="auto"/>
                <w:szCs w:val="21"/>
                <w:highlight w:val="none"/>
              </w:rPr>
            </w:pPr>
            <w:r>
              <w:rPr>
                <w:rFonts w:hint="eastAsia" w:ascii="宋体" w:hAnsi="宋体" w:cs="宋体"/>
                <w:color w:val="auto"/>
                <w:szCs w:val="21"/>
                <w:highlight w:val="none"/>
              </w:rPr>
              <w:t>建立巡视制度，定期上报日常养护、巡视、检查记录。（3分）</w:t>
            </w:r>
          </w:p>
        </w:tc>
        <w:tc>
          <w:tcPr>
            <w:tcW w:w="1318" w:type="pct"/>
            <w:gridSpan w:val="2"/>
            <w:tcBorders>
              <w:top w:val="single" w:color="auto" w:sz="4" w:space="0"/>
              <w:left w:val="single" w:color="auto" w:sz="4" w:space="0"/>
              <w:bottom w:val="single" w:color="auto" w:sz="4" w:space="0"/>
              <w:right w:val="single" w:color="auto" w:sz="4" w:space="0"/>
            </w:tcBorders>
            <w:noWrap w:val="0"/>
            <w:vAlign w:val="center"/>
          </w:tcPr>
          <w:p w14:paraId="58A992AC">
            <w:pPr>
              <w:widowControl/>
              <w:spacing w:line="360" w:lineRule="auto"/>
              <w:rPr>
                <w:rFonts w:hint="eastAsia" w:ascii="宋体" w:hAnsi="宋体" w:cs="宋体"/>
                <w:color w:val="auto"/>
                <w:szCs w:val="21"/>
                <w:highlight w:val="none"/>
              </w:rPr>
            </w:pPr>
            <w:r>
              <w:rPr>
                <w:rFonts w:hint="eastAsia" w:ascii="宋体" w:hAnsi="宋体" w:cs="宋体"/>
                <w:color w:val="auto"/>
                <w:szCs w:val="21"/>
                <w:highlight w:val="none"/>
              </w:rPr>
              <w:t>每缺一项，扣1分</w:t>
            </w:r>
          </w:p>
        </w:tc>
        <w:tc>
          <w:tcPr>
            <w:tcW w:w="657" w:type="pct"/>
            <w:tcBorders>
              <w:top w:val="single" w:color="auto" w:sz="4" w:space="0"/>
              <w:left w:val="single" w:color="auto" w:sz="4" w:space="0"/>
              <w:bottom w:val="single" w:color="auto" w:sz="4" w:space="0"/>
              <w:right w:val="single" w:color="auto" w:sz="4" w:space="0"/>
            </w:tcBorders>
            <w:noWrap w:val="0"/>
            <w:vAlign w:val="center"/>
          </w:tcPr>
          <w:p w14:paraId="227390D5">
            <w:pPr>
              <w:widowControl/>
              <w:spacing w:line="360" w:lineRule="auto"/>
              <w:rPr>
                <w:rFonts w:hint="eastAsia" w:ascii="宋体" w:hAnsi="宋体" w:cs="宋体"/>
                <w:color w:val="auto"/>
                <w:szCs w:val="21"/>
                <w:highlight w:val="none"/>
              </w:rPr>
            </w:pPr>
          </w:p>
        </w:tc>
      </w:tr>
      <w:tr w14:paraId="43D6D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225" w:type="pct"/>
            <w:vMerge w:val="continue"/>
            <w:tcBorders>
              <w:left w:val="single" w:color="auto" w:sz="4" w:space="0"/>
              <w:right w:val="single" w:color="auto" w:sz="4" w:space="0"/>
            </w:tcBorders>
            <w:noWrap w:val="0"/>
            <w:vAlign w:val="center"/>
          </w:tcPr>
          <w:p w14:paraId="6AAC01B7">
            <w:pPr>
              <w:spacing w:line="360" w:lineRule="auto"/>
              <w:jc w:val="center"/>
              <w:rPr>
                <w:rFonts w:hint="eastAsia" w:ascii="宋体" w:hAnsi="宋体" w:cs="宋体"/>
                <w:color w:val="auto"/>
                <w:szCs w:val="21"/>
                <w:highlight w:val="none"/>
              </w:rPr>
            </w:pPr>
          </w:p>
        </w:tc>
        <w:tc>
          <w:tcPr>
            <w:tcW w:w="578" w:type="pct"/>
            <w:vMerge w:val="continue"/>
            <w:tcBorders>
              <w:left w:val="single" w:color="auto" w:sz="4" w:space="0"/>
              <w:right w:val="single" w:color="auto" w:sz="4" w:space="0"/>
            </w:tcBorders>
            <w:noWrap w:val="0"/>
            <w:vAlign w:val="center"/>
          </w:tcPr>
          <w:p w14:paraId="2CA85F23">
            <w:pPr>
              <w:widowControl/>
              <w:spacing w:line="360" w:lineRule="auto"/>
              <w:jc w:val="center"/>
              <w:rPr>
                <w:rFonts w:hint="eastAsia" w:ascii="宋体" w:hAnsi="宋体" w:cs="宋体"/>
                <w:color w:val="auto"/>
                <w:szCs w:val="21"/>
                <w:highlight w:val="none"/>
              </w:rPr>
            </w:pPr>
          </w:p>
        </w:tc>
        <w:tc>
          <w:tcPr>
            <w:tcW w:w="2220" w:type="pct"/>
            <w:gridSpan w:val="2"/>
            <w:tcBorders>
              <w:top w:val="single" w:color="auto" w:sz="4" w:space="0"/>
              <w:left w:val="single" w:color="auto" w:sz="4" w:space="0"/>
              <w:bottom w:val="single" w:color="auto" w:sz="4" w:space="0"/>
              <w:right w:val="single" w:color="auto" w:sz="4" w:space="0"/>
            </w:tcBorders>
            <w:noWrap w:val="0"/>
            <w:vAlign w:val="center"/>
          </w:tcPr>
          <w:p w14:paraId="3681C258">
            <w:pPr>
              <w:widowControl/>
              <w:spacing w:line="360" w:lineRule="auto"/>
              <w:rPr>
                <w:rFonts w:hint="eastAsia" w:ascii="宋体" w:hAnsi="宋体" w:cs="宋体"/>
                <w:color w:val="auto"/>
                <w:szCs w:val="21"/>
                <w:highlight w:val="none"/>
              </w:rPr>
            </w:pPr>
            <w:r>
              <w:rPr>
                <w:rFonts w:hint="eastAsia" w:ascii="宋体" w:hAnsi="宋体" w:cs="宋体"/>
                <w:color w:val="auto"/>
                <w:szCs w:val="21"/>
                <w:highlight w:val="none"/>
              </w:rPr>
              <w:t>安排人员24小时值班，值班人员不得擅离岗位。（2分）</w:t>
            </w:r>
          </w:p>
        </w:tc>
        <w:tc>
          <w:tcPr>
            <w:tcW w:w="1318" w:type="pct"/>
            <w:gridSpan w:val="2"/>
            <w:tcBorders>
              <w:top w:val="single" w:color="auto" w:sz="4" w:space="0"/>
              <w:left w:val="single" w:color="auto" w:sz="4" w:space="0"/>
              <w:bottom w:val="single" w:color="auto" w:sz="4" w:space="0"/>
              <w:right w:val="single" w:color="auto" w:sz="4" w:space="0"/>
            </w:tcBorders>
            <w:noWrap w:val="0"/>
            <w:vAlign w:val="center"/>
          </w:tcPr>
          <w:p w14:paraId="085B508A">
            <w:pPr>
              <w:widowControl/>
              <w:spacing w:line="360" w:lineRule="auto"/>
              <w:rPr>
                <w:rFonts w:hint="eastAsia" w:ascii="宋体" w:hAnsi="宋体" w:cs="宋体"/>
                <w:color w:val="auto"/>
                <w:szCs w:val="21"/>
                <w:highlight w:val="none"/>
              </w:rPr>
            </w:pPr>
            <w:r>
              <w:rPr>
                <w:rFonts w:hint="eastAsia" w:ascii="宋体" w:hAnsi="宋体" w:cs="宋体"/>
                <w:color w:val="auto"/>
                <w:szCs w:val="21"/>
                <w:highlight w:val="none"/>
              </w:rPr>
              <w:t>抽查值班人员不在岗半小时以上，发现一次扣1分</w:t>
            </w:r>
          </w:p>
        </w:tc>
        <w:tc>
          <w:tcPr>
            <w:tcW w:w="657" w:type="pct"/>
            <w:tcBorders>
              <w:top w:val="single" w:color="auto" w:sz="4" w:space="0"/>
              <w:left w:val="single" w:color="auto" w:sz="4" w:space="0"/>
              <w:bottom w:val="single" w:color="auto" w:sz="4" w:space="0"/>
              <w:right w:val="single" w:color="auto" w:sz="4" w:space="0"/>
            </w:tcBorders>
            <w:noWrap w:val="0"/>
            <w:vAlign w:val="center"/>
          </w:tcPr>
          <w:p w14:paraId="2BC81A18">
            <w:pPr>
              <w:widowControl/>
              <w:spacing w:line="360" w:lineRule="auto"/>
              <w:rPr>
                <w:rFonts w:hint="eastAsia" w:ascii="宋体" w:hAnsi="宋体" w:cs="宋体"/>
                <w:color w:val="auto"/>
                <w:szCs w:val="21"/>
                <w:highlight w:val="none"/>
              </w:rPr>
            </w:pPr>
          </w:p>
        </w:tc>
      </w:tr>
      <w:tr w14:paraId="16F61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5" w:hRule="atLeast"/>
        </w:trPr>
        <w:tc>
          <w:tcPr>
            <w:tcW w:w="225" w:type="pct"/>
            <w:vMerge w:val="continue"/>
            <w:tcBorders>
              <w:left w:val="single" w:color="auto" w:sz="4" w:space="0"/>
              <w:right w:val="single" w:color="auto" w:sz="4" w:space="0"/>
            </w:tcBorders>
            <w:noWrap w:val="0"/>
            <w:vAlign w:val="center"/>
          </w:tcPr>
          <w:p w14:paraId="1853E546">
            <w:pPr>
              <w:spacing w:line="360" w:lineRule="auto"/>
              <w:jc w:val="center"/>
              <w:rPr>
                <w:rFonts w:hint="eastAsia" w:ascii="宋体" w:hAnsi="宋体" w:cs="宋体"/>
                <w:color w:val="auto"/>
                <w:szCs w:val="21"/>
                <w:highlight w:val="none"/>
              </w:rPr>
            </w:pPr>
          </w:p>
        </w:tc>
        <w:tc>
          <w:tcPr>
            <w:tcW w:w="578" w:type="pct"/>
            <w:tcBorders>
              <w:top w:val="single" w:color="auto" w:sz="4" w:space="0"/>
              <w:left w:val="single" w:color="auto" w:sz="4" w:space="0"/>
              <w:right w:val="single" w:color="auto" w:sz="4" w:space="0"/>
            </w:tcBorders>
            <w:noWrap w:val="0"/>
            <w:vAlign w:val="center"/>
          </w:tcPr>
          <w:p w14:paraId="3E597CCE">
            <w:pPr>
              <w:widowControl/>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亮灯情况</w:t>
            </w:r>
          </w:p>
          <w:p w14:paraId="019637C3">
            <w:pPr>
              <w:widowControl/>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（30分）</w:t>
            </w:r>
          </w:p>
        </w:tc>
        <w:tc>
          <w:tcPr>
            <w:tcW w:w="2220" w:type="pct"/>
            <w:gridSpan w:val="2"/>
            <w:tcBorders>
              <w:top w:val="single" w:color="auto" w:sz="4" w:space="0"/>
              <w:left w:val="single" w:color="auto" w:sz="4" w:space="0"/>
              <w:right w:val="single" w:color="auto" w:sz="4" w:space="0"/>
            </w:tcBorders>
            <w:noWrap w:val="0"/>
            <w:vAlign w:val="center"/>
          </w:tcPr>
          <w:p w14:paraId="76F5B0D5">
            <w:pPr>
              <w:widowControl/>
              <w:spacing w:line="360" w:lineRule="auto"/>
              <w:rPr>
                <w:rFonts w:hint="eastAsia" w:ascii="宋体" w:hAnsi="宋体" w:cs="宋体"/>
                <w:color w:val="auto"/>
                <w:szCs w:val="21"/>
                <w:highlight w:val="none"/>
              </w:rPr>
            </w:pPr>
            <w:r>
              <w:rPr>
                <w:rFonts w:hint="eastAsia" w:ascii="宋体" w:hAnsi="宋体" w:cs="宋体"/>
                <w:color w:val="auto"/>
                <w:szCs w:val="21"/>
                <w:highlight w:val="none"/>
              </w:rPr>
              <w:t>路灯不亮（30分）</w:t>
            </w:r>
          </w:p>
        </w:tc>
        <w:tc>
          <w:tcPr>
            <w:tcW w:w="1318" w:type="pct"/>
            <w:gridSpan w:val="2"/>
            <w:tcBorders>
              <w:top w:val="single" w:color="auto" w:sz="4" w:space="0"/>
              <w:left w:val="single" w:color="auto" w:sz="4" w:space="0"/>
              <w:right w:val="single" w:color="auto" w:sz="4" w:space="0"/>
            </w:tcBorders>
            <w:noWrap w:val="0"/>
            <w:vAlign w:val="center"/>
          </w:tcPr>
          <w:p w14:paraId="7A374259">
            <w:pPr>
              <w:widowControl/>
              <w:spacing w:line="360" w:lineRule="auto"/>
              <w:rPr>
                <w:rFonts w:hint="eastAsia" w:ascii="宋体" w:hAnsi="宋体" w:cs="宋体"/>
                <w:color w:val="auto"/>
                <w:szCs w:val="21"/>
                <w:highlight w:val="none"/>
              </w:rPr>
            </w:pPr>
            <w:r>
              <w:rPr>
                <w:rFonts w:hint="eastAsia" w:ascii="宋体" w:hAnsi="宋体" w:cs="宋体"/>
                <w:color w:val="auto"/>
                <w:szCs w:val="21"/>
                <w:highlight w:val="none"/>
              </w:rPr>
              <w:t>一盏路灯不亮（或闪烁），扣0.1分；一个回路路灯不亮，扣1分；一个表区路灯不亮，扣3分；一个片区路灯不亮，扣10分。</w:t>
            </w:r>
          </w:p>
        </w:tc>
        <w:tc>
          <w:tcPr>
            <w:tcW w:w="657" w:type="pct"/>
            <w:tcBorders>
              <w:top w:val="single" w:color="auto" w:sz="4" w:space="0"/>
              <w:left w:val="single" w:color="auto" w:sz="4" w:space="0"/>
              <w:right w:val="single" w:color="auto" w:sz="4" w:space="0"/>
            </w:tcBorders>
            <w:noWrap w:val="0"/>
            <w:vAlign w:val="center"/>
          </w:tcPr>
          <w:p w14:paraId="2F5C66AF">
            <w:pPr>
              <w:widowControl/>
              <w:spacing w:line="360" w:lineRule="auto"/>
              <w:rPr>
                <w:rFonts w:hint="eastAsia" w:ascii="宋体" w:hAnsi="宋体" w:cs="宋体"/>
                <w:color w:val="auto"/>
                <w:szCs w:val="21"/>
                <w:highlight w:val="none"/>
              </w:rPr>
            </w:pPr>
          </w:p>
        </w:tc>
      </w:tr>
      <w:tr w14:paraId="231DE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225" w:type="pct"/>
            <w:vMerge w:val="continue"/>
            <w:tcBorders>
              <w:left w:val="single" w:color="auto" w:sz="4" w:space="0"/>
              <w:right w:val="single" w:color="auto" w:sz="4" w:space="0"/>
            </w:tcBorders>
            <w:noWrap w:val="0"/>
            <w:vAlign w:val="center"/>
          </w:tcPr>
          <w:p w14:paraId="197E562B">
            <w:pPr>
              <w:spacing w:line="360" w:lineRule="auto"/>
              <w:jc w:val="center"/>
              <w:rPr>
                <w:rFonts w:hint="eastAsia" w:ascii="宋体" w:hAnsi="宋体" w:cs="宋体"/>
                <w:color w:val="auto"/>
                <w:szCs w:val="21"/>
                <w:highlight w:val="none"/>
              </w:rPr>
            </w:pPr>
          </w:p>
        </w:tc>
        <w:tc>
          <w:tcPr>
            <w:tcW w:w="578" w:type="pct"/>
            <w:vMerge w:val="restart"/>
            <w:tcBorders>
              <w:top w:val="single" w:color="auto" w:sz="4" w:space="0"/>
              <w:left w:val="single" w:color="auto" w:sz="4" w:space="0"/>
              <w:right w:val="single" w:color="auto" w:sz="4" w:space="0"/>
            </w:tcBorders>
            <w:noWrap w:val="0"/>
            <w:vAlign w:val="center"/>
          </w:tcPr>
          <w:p w14:paraId="3DA701F2">
            <w:pPr>
              <w:widowControl/>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设施完好率</w:t>
            </w:r>
          </w:p>
          <w:p w14:paraId="575C8C71">
            <w:pPr>
              <w:widowControl/>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（20分）</w:t>
            </w:r>
          </w:p>
        </w:tc>
        <w:tc>
          <w:tcPr>
            <w:tcW w:w="2220" w:type="pct"/>
            <w:gridSpan w:val="2"/>
            <w:tcBorders>
              <w:top w:val="single" w:color="auto" w:sz="4" w:space="0"/>
              <w:left w:val="single" w:color="auto" w:sz="4" w:space="0"/>
              <w:bottom w:val="single" w:color="auto" w:sz="4" w:space="0"/>
              <w:right w:val="single" w:color="auto" w:sz="4" w:space="0"/>
            </w:tcBorders>
            <w:noWrap w:val="0"/>
            <w:vAlign w:val="center"/>
          </w:tcPr>
          <w:p w14:paraId="419221EA">
            <w:pPr>
              <w:widowControl/>
              <w:spacing w:line="360" w:lineRule="auto"/>
              <w:rPr>
                <w:rFonts w:hint="eastAsia" w:ascii="宋体" w:hAnsi="宋体" w:cs="宋体"/>
                <w:color w:val="auto"/>
                <w:szCs w:val="21"/>
                <w:highlight w:val="none"/>
              </w:rPr>
            </w:pPr>
            <w:r>
              <w:rPr>
                <w:rFonts w:hint="eastAsia" w:ascii="宋体" w:hAnsi="宋体" w:cs="宋体"/>
                <w:color w:val="auto"/>
                <w:szCs w:val="21"/>
                <w:highlight w:val="none"/>
              </w:rPr>
              <w:t>灯具、灯臂完好，配件齐全，功能正常，与台账资料一致，定期巡修，保持清洁防腐，设施无变形、转向、损坏、锈蚀、有蛛网、附着物、积污等。（4分）</w:t>
            </w:r>
          </w:p>
        </w:tc>
        <w:tc>
          <w:tcPr>
            <w:tcW w:w="1318" w:type="pct"/>
            <w:gridSpan w:val="2"/>
            <w:tcBorders>
              <w:top w:val="single" w:color="auto" w:sz="4" w:space="0"/>
              <w:left w:val="single" w:color="auto" w:sz="4" w:space="0"/>
              <w:bottom w:val="single" w:color="auto" w:sz="4" w:space="0"/>
              <w:right w:val="single" w:color="auto" w:sz="4" w:space="0"/>
            </w:tcBorders>
            <w:noWrap w:val="0"/>
            <w:vAlign w:val="center"/>
          </w:tcPr>
          <w:p w14:paraId="3ABE54C8">
            <w:pPr>
              <w:widowControl/>
              <w:spacing w:line="360" w:lineRule="auto"/>
              <w:rPr>
                <w:rFonts w:hint="eastAsia" w:ascii="宋体" w:hAnsi="宋体" w:cs="宋体"/>
                <w:color w:val="auto"/>
                <w:szCs w:val="21"/>
                <w:highlight w:val="none"/>
              </w:rPr>
            </w:pPr>
            <w:r>
              <w:rPr>
                <w:rFonts w:hint="eastAsia" w:ascii="宋体" w:hAnsi="宋体" w:cs="宋体"/>
                <w:color w:val="auto"/>
                <w:szCs w:val="21"/>
                <w:highlight w:val="none"/>
              </w:rPr>
              <w:t>每发现一处，扣0.1分；整段道路性问题，扣1分/处</w:t>
            </w:r>
          </w:p>
        </w:tc>
        <w:tc>
          <w:tcPr>
            <w:tcW w:w="657" w:type="pct"/>
            <w:tcBorders>
              <w:top w:val="single" w:color="auto" w:sz="4" w:space="0"/>
              <w:left w:val="single" w:color="auto" w:sz="4" w:space="0"/>
              <w:bottom w:val="single" w:color="auto" w:sz="4" w:space="0"/>
              <w:right w:val="single" w:color="auto" w:sz="4" w:space="0"/>
            </w:tcBorders>
            <w:noWrap w:val="0"/>
            <w:vAlign w:val="center"/>
          </w:tcPr>
          <w:p w14:paraId="42F7C97A">
            <w:pPr>
              <w:widowControl/>
              <w:spacing w:line="360" w:lineRule="auto"/>
              <w:rPr>
                <w:rFonts w:hint="eastAsia" w:ascii="宋体" w:hAnsi="宋体" w:cs="宋体"/>
                <w:color w:val="auto"/>
                <w:szCs w:val="21"/>
                <w:highlight w:val="none"/>
              </w:rPr>
            </w:pPr>
          </w:p>
        </w:tc>
      </w:tr>
      <w:tr w14:paraId="57F1C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225" w:type="pct"/>
            <w:vMerge w:val="continue"/>
            <w:tcBorders>
              <w:left w:val="single" w:color="auto" w:sz="4" w:space="0"/>
              <w:right w:val="single" w:color="auto" w:sz="4" w:space="0"/>
            </w:tcBorders>
            <w:noWrap w:val="0"/>
            <w:vAlign w:val="center"/>
          </w:tcPr>
          <w:p w14:paraId="00290B8B">
            <w:pPr>
              <w:spacing w:line="360" w:lineRule="auto"/>
              <w:jc w:val="center"/>
              <w:rPr>
                <w:rFonts w:hint="eastAsia" w:ascii="宋体" w:hAnsi="宋体" w:cs="宋体"/>
                <w:color w:val="auto"/>
                <w:szCs w:val="21"/>
                <w:highlight w:val="none"/>
              </w:rPr>
            </w:pPr>
          </w:p>
        </w:tc>
        <w:tc>
          <w:tcPr>
            <w:tcW w:w="578" w:type="pct"/>
            <w:vMerge w:val="continue"/>
            <w:tcBorders>
              <w:left w:val="single" w:color="auto" w:sz="4" w:space="0"/>
              <w:right w:val="single" w:color="auto" w:sz="4" w:space="0"/>
            </w:tcBorders>
            <w:noWrap w:val="0"/>
            <w:vAlign w:val="center"/>
          </w:tcPr>
          <w:p w14:paraId="4A6B47C0">
            <w:pPr>
              <w:widowControl/>
              <w:spacing w:line="360" w:lineRule="auto"/>
              <w:jc w:val="center"/>
              <w:rPr>
                <w:rFonts w:hint="eastAsia" w:ascii="宋体" w:hAnsi="宋体" w:cs="宋体"/>
                <w:color w:val="auto"/>
                <w:szCs w:val="21"/>
                <w:highlight w:val="none"/>
              </w:rPr>
            </w:pPr>
          </w:p>
        </w:tc>
        <w:tc>
          <w:tcPr>
            <w:tcW w:w="2220" w:type="pct"/>
            <w:gridSpan w:val="2"/>
            <w:tcBorders>
              <w:top w:val="single" w:color="auto" w:sz="4" w:space="0"/>
              <w:left w:val="single" w:color="auto" w:sz="4" w:space="0"/>
              <w:bottom w:val="single" w:color="auto" w:sz="4" w:space="0"/>
              <w:right w:val="single" w:color="auto" w:sz="4" w:space="0"/>
            </w:tcBorders>
            <w:noWrap w:val="0"/>
            <w:vAlign w:val="center"/>
          </w:tcPr>
          <w:p w14:paraId="5DB4C2CB">
            <w:pPr>
              <w:widowControl/>
              <w:spacing w:line="360" w:lineRule="auto"/>
              <w:rPr>
                <w:rFonts w:hint="eastAsia" w:ascii="宋体" w:hAnsi="宋体" w:cs="宋体"/>
                <w:color w:val="auto"/>
                <w:szCs w:val="21"/>
                <w:highlight w:val="none"/>
              </w:rPr>
            </w:pPr>
            <w:r>
              <w:rPr>
                <w:rFonts w:hint="eastAsia" w:ascii="宋体" w:hAnsi="宋体" w:cs="宋体"/>
                <w:color w:val="auto"/>
                <w:szCs w:val="21"/>
                <w:highlight w:val="none"/>
              </w:rPr>
              <w:t>灯杆完好，垂直无松动，杆身清洁、无损坏、无锈蚀现象，无影响美观和安全的附着物，号牌（110标签）清晰完整。（5分）</w:t>
            </w:r>
          </w:p>
        </w:tc>
        <w:tc>
          <w:tcPr>
            <w:tcW w:w="1318" w:type="pct"/>
            <w:gridSpan w:val="2"/>
            <w:tcBorders>
              <w:top w:val="single" w:color="auto" w:sz="4" w:space="0"/>
              <w:left w:val="single" w:color="auto" w:sz="4" w:space="0"/>
              <w:bottom w:val="single" w:color="auto" w:sz="4" w:space="0"/>
              <w:right w:val="single" w:color="auto" w:sz="4" w:space="0"/>
            </w:tcBorders>
            <w:noWrap w:val="0"/>
            <w:vAlign w:val="center"/>
          </w:tcPr>
          <w:p w14:paraId="4FB491A3">
            <w:pPr>
              <w:widowControl/>
              <w:spacing w:line="360" w:lineRule="auto"/>
              <w:rPr>
                <w:rFonts w:hint="eastAsia" w:ascii="宋体" w:hAnsi="宋体" w:cs="宋体"/>
                <w:color w:val="auto"/>
                <w:szCs w:val="21"/>
                <w:highlight w:val="none"/>
              </w:rPr>
            </w:pPr>
            <w:r>
              <w:rPr>
                <w:rFonts w:hint="eastAsia" w:ascii="宋体" w:hAnsi="宋体" w:cs="宋体"/>
                <w:color w:val="auto"/>
                <w:szCs w:val="21"/>
                <w:highlight w:val="none"/>
              </w:rPr>
              <w:t>每发现一处，扣0.1分；整段道路性问题，扣1分/处</w:t>
            </w:r>
          </w:p>
        </w:tc>
        <w:tc>
          <w:tcPr>
            <w:tcW w:w="657" w:type="pct"/>
            <w:tcBorders>
              <w:top w:val="single" w:color="auto" w:sz="4" w:space="0"/>
              <w:left w:val="single" w:color="auto" w:sz="4" w:space="0"/>
              <w:bottom w:val="single" w:color="auto" w:sz="4" w:space="0"/>
              <w:right w:val="single" w:color="auto" w:sz="4" w:space="0"/>
            </w:tcBorders>
            <w:noWrap w:val="0"/>
            <w:vAlign w:val="center"/>
          </w:tcPr>
          <w:p w14:paraId="2EC4AB2E">
            <w:pPr>
              <w:widowControl/>
              <w:spacing w:line="360" w:lineRule="auto"/>
              <w:rPr>
                <w:rFonts w:hint="eastAsia" w:ascii="宋体" w:hAnsi="宋体" w:cs="宋体"/>
                <w:color w:val="auto"/>
                <w:szCs w:val="21"/>
                <w:highlight w:val="none"/>
              </w:rPr>
            </w:pPr>
          </w:p>
        </w:tc>
      </w:tr>
      <w:tr w14:paraId="35251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225" w:type="pct"/>
            <w:vMerge w:val="continue"/>
            <w:tcBorders>
              <w:left w:val="single" w:color="auto" w:sz="4" w:space="0"/>
              <w:right w:val="single" w:color="auto" w:sz="4" w:space="0"/>
            </w:tcBorders>
            <w:noWrap w:val="0"/>
            <w:vAlign w:val="center"/>
          </w:tcPr>
          <w:p w14:paraId="534F1993">
            <w:pPr>
              <w:spacing w:line="360" w:lineRule="auto"/>
              <w:jc w:val="center"/>
              <w:rPr>
                <w:rFonts w:hint="eastAsia" w:ascii="宋体" w:hAnsi="宋体" w:cs="宋体"/>
                <w:color w:val="auto"/>
                <w:szCs w:val="21"/>
                <w:highlight w:val="none"/>
              </w:rPr>
            </w:pPr>
          </w:p>
        </w:tc>
        <w:tc>
          <w:tcPr>
            <w:tcW w:w="578" w:type="pct"/>
            <w:vMerge w:val="continue"/>
            <w:tcBorders>
              <w:left w:val="single" w:color="auto" w:sz="4" w:space="0"/>
              <w:right w:val="single" w:color="auto" w:sz="4" w:space="0"/>
            </w:tcBorders>
            <w:noWrap w:val="0"/>
            <w:vAlign w:val="center"/>
          </w:tcPr>
          <w:p w14:paraId="113F38C4">
            <w:pPr>
              <w:spacing w:line="360" w:lineRule="auto"/>
              <w:jc w:val="center"/>
              <w:rPr>
                <w:rFonts w:hint="eastAsia" w:ascii="宋体" w:hAnsi="宋体" w:cs="宋体"/>
                <w:color w:val="auto"/>
                <w:szCs w:val="21"/>
                <w:highlight w:val="none"/>
              </w:rPr>
            </w:pPr>
          </w:p>
        </w:tc>
        <w:tc>
          <w:tcPr>
            <w:tcW w:w="2220" w:type="pct"/>
            <w:gridSpan w:val="2"/>
            <w:tcBorders>
              <w:top w:val="single" w:color="auto" w:sz="4" w:space="0"/>
              <w:left w:val="single" w:color="auto" w:sz="4" w:space="0"/>
              <w:bottom w:val="single" w:color="auto" w:sz="4" w:space="0"/>
              <w:right w:val="single" w:color="auto" w:sz="4" w:space="0"/>
            </w:tcBorders>
            <w:noWrap w:val="0"/>
            <w:vAlign w:val="center"/>
          </w:tcPr>
          <w:p w14:paraId="4393C7BC">
            <w:pPr>
              <w:widowControl/>
              <w:spacing w:line="360" w:lineRule="auto"/>
              <w:rPr>
                <w:rFonts w:hint="eastAsia" w:ascii="宋体" w:hAnsi="宋体" w:cs="宋体"/>
                <w:color w:val="auto"/>
                <w:szCs w:val="21"/>
                <w:highlight w:val="none"/>
              </w:rPr>
            </w:pPr>
            <w:r>
              <w:rPr>
                <w:rFonts w:hint="eastAsia" w:ascii="宋体" w:hAnsi="宋体" w:cs="宋体"/>
                <w:color w:val="auto"/>
                <w:szCs w:val="21"/>
                <w:highlight w:val="none"/>
              </w:rPr>
              <w:t>灯杆检修门完好、盖板紧固无缺失、变形，基础完好，保护接地良好，接电电阻≦4欧姆，预埋基础周围土地坚实无松动凸陷，混凝土无破损、裂缝。（2分）</w:t>
            </w:r>
          </w:p>
        </w:tc>
        <w:tc>
          <w:tcPr>
            <w:tcW w:w="1318" w:type="pct"/>
            <w:gridSpan w:val="2"/>
            <w:tcBorders>
              <w:top w:val="single" w:color="auto" w:sz="4" w:space="0"/>
              <w:left w:val="single" w:color="auto" w:sz="4" w:space="0"/>
              <w:bottom w:val="single" w:color="auto" w:sz="4" w:space="0"/>
              <w:right w:val="single" w:color="auto" w:sz="4" w:space="0"/>
            </w:tcBorders>
            <w:noWrap w:val="0"/>
            <w:vAlign w:val="center"/>
          </w:tcPr>
          <w:p w14:paraId="4A3F9744">
            <w:pPr>
              <w:widowControl/>
              <w:spacing w:line="360" w:lineRule="auto"/>
              <w:rPr>
                <w:rFonts w:hint="eastAsia" w:ascii="宋体" w:hAnsi="宋体" w:cs="宋体"/>
                <w:color w:val="auto"/>
                <w:szCs w:val="21"/>
                <w:highlight w:val="none"/>
              </w:rPr>
            </w:pPr>
            <w:r>
              <w:rPr>
                <w:rFonts w:hint="eastAsia" w:ascii="宋体" w:hAnsi="宋体" w:cs="宋体"/>
                <w:color w:val="auto"/>
                <w:szCs w:val="21"/>
                <w:highlight w:val="none"/>
              </w:rPr>
              <w:t>每发现一处，扣0.2分</w:t>
            </w:r>
          </w:p>
        </w:tc>
        <w:tc>
          <w:tcPr>
            <w:tcW w:w="657" w:type="pct"/>
            <w:tcBorders>
              <w:top w:val="single" w:color="auto" w:sz="4" w:space="0"/>
              <w:left w:val="single" w:color="auto" w:sz="4" w:space="0"/>
              <w:bottom w:val="single" w:color="auto" w:sz="4" w:space="0"/>
              <w:right w:val="single" w:color="auto" w:sz="4" w:space="0"/>
            </w:tcBorders>
            <w:noWrap w:val="0"/>
            <w:vAlign w:val="center"/>
          </w:tcPr>
          <w:p w14:paraId="6E119C5A">
            <w:pPr>
              <w:widowControl/>
              <w:spacing w:line="360" w:lineRule="auto"/>
              <w:rPr>
                <w:rFonts w:hint="eastAsia" w:ascii="宋体" w:hAnsi="宋体" w:cs="宋体"/>
                <w:color w:val="auto"/>
                <w:szCs w:val="21"/>
                <w:highlight w:val="none"/>
              </w:rPr>
            </w:pPr>
          </w:p>
        </w:tc>
      </w:tr>
      <w:tr w14:paraId="6A930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225" w:type="pct"/>
            <w:vMerge w:val="continue"/>
            <w:tcBorders>
              <w:left w:val="single" w:color="auto" w:sz="4" w:space="0"/>
              <w:right w:val="single" w:color="auto" w:sz="4" w:space="0"/>
            </w:tcBorders>
            <w:noWrap w:val="0"/>
            <w:vAlign w:val="center"/>
          </w:tcPr>
          <w:p w14:paraId="3398CE51">
            <w:pPr>
              <w:spacing w:line="360" w:lineRule="auto"/>
              <w:jc w:val="center"/>
              <w:rPr>
                <w:rFonts w:hint="eastAsia" w:ascii="宋体" w:hAnsi="宋体" w:cs="宋体"/>
                <w:color w:val="auto"/>
                <w:szCs w:val="21"/>
                <w:highlight w:val="none"/>
              </w:rPr>
            </w:pPr>
          </w:p>
        </w:tc>
        <w:tc>
          <w:tcPr>
            <w:tcW w:w="578" w:type="pct"/>
            <w:vMerge w:val="continue"/>
            <w:tcBorders>
              <w:left w:val="single" w:color="auto" w:sz="4" w:space="0"/>
              <w:right w:val="single" w:color="auto" w:sz="4" w:space="0"/>
            </w:tcBorders>
            <w:noWrap w:val="0"/>
            <w:vAlign w:val="center"/>
          </w:tcPr>
          <w:p w14:paraId="1ADC58DB">
            <w:pPr>
              <w:widowControl/>
              <w:spacing w:line="360" w:lineRule="auto"/>
              <w:jc w:val="center"/>
              <w:rPr>
                <w:rFonts w:hint="eastAsia" w:ascii="宋体" w:hAnsi="宋体" w:cs="宋体"/>
                <w:color w:val="auto"/>
                <w:szCs w:val="21"/>
                <w:highlight w:val="none"/>
              </w:rPr>
            </w:pPr>
          </w:p>
        </w:tc>
        <w:tc>
          <w:tcPr>
            <w:tcW w:w="2220" w:type="pct"/>
            <w:gridSpan w:val="2"/>
            <w:tcBorders>
              <w:top w:val="single" w:color="auto" w:sz="4" w:space="0"/>
              <w:left w:val="single" w:color="auto" w:sz="4" w:space="0"/>
              <w:bottom w:val="single" w:color="auto" w:sz="4" w:space="0"/>
              <w:right w:val="single" w:color="auto" w:sz="4" w:space="0"/>
            </w:tcBorders>
            <w:noWrap w:val="0"/>
            <w:vAlign w:val="center"/>
          </w:tcPr>
          <w:p w14:paraId="5284D511">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专变、配电室门窗清洁无破损，房屋无渗漏水现象；配电箱（柜）、控制箱体完整、无倾斜，基座无损坏、箱体表漆无脱落、有编号、不渗水、无积灰、外壳锈蚀面积低于10%、门锁完好、箱门报警装置运行正常、无非法附着物。（2分）</w:t>
            </w:r>
          </w:p>
        </w:tc>
        <w:tc>
          <w:tcPr>
            <w:tcW w:w="1318" w:type="pct"/>
            <w:gridSpan w:val="2"/>
            <w:tcBorders>
              <w:top w:val="single" w:color="auto" w:sz="4" w:space="0"/>
              <w:left w:val="single" w:color="auto" w:sz="4" w:space="0"/>
              <w:bottom w:val="single" w:color="auto" w:sz="4" w:space="0"/>
              <w:right w:val="single" w:color="auto" w:sz="4" w:space="0"/>
            </w:tcBorders>
            <w:noWrap w:val="0"/>
            <w:vAlign w:val="center"/>
          </w:tcPr>
          <w:p w14:paraId="735BF6AA">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每发现一处，扣0.2分</w:t>
            </w:r>
          </w:p>
        </w:tc>
        <w:tc>
          <w:tcPr>
            <w:tcW w:w="657" w:type="pct"/>
            <w:tcBorders>
              <w:top w:val="single" w:color="auto" w:sz="4" w:space="0"/>
              <w:left w:val="single" w:color="auto" w:sz="4" w:space="0"/>
              <w:bottom w:val="single" w:color="auto" w:sz="4" w:space="0"/>
              <w:right w:val="single" w:color="auto" w:sz="4" w:space="0"/>
            </w:tcBorders>
            <w:noWrap w:val="0"/>
            <w:vAlign w:val="center"/>
          </w:tcPr>
          <w:p w14:paraId="7EACB8FC">
            <w:pPr>
              <w:widowControl/>
              <w:spacing w:line="360" w:lineRule="auto"/>
              <w:rPr>
                <w:rFonts w:hint="eastAsia" w:ascii="宋体" w:hAnsi="宋体" w:cs="宋体"/>
                <w:color w:val="auto"/>
                <w:szCs w:val="21"/>
                <w:highlight w:val="none"/>
              </w:rPr>
            </w:pPr>
          </w:p>
        </w:tc>
      </w:tr>
      <w:tr w14:paraId="4BCC4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225" w:type="pct"/>
            <w:vMerge w:val="continue"/>
            <w:tcBorders>
              <w:left w:val="single" w:color="auto" w:sz="4" w:space="0"/>
              <w:right w:val="single" w:color="auto" w:sz="4" w:space="0"/>
            </w:tcBorders>
            <w:noWrap w:val="0"/>
            <w:vAlign w:val="center"/>
          </w:tcPr>
          <w:p w14:paraId="55A03ADF">
            <w:pPr>
              <w:spacing w:line="360" w:lineRule="auto"/>
              <w:jc w:val="center"/>
              <w:rPr>
                <w:rFonts w:hint="eastAsia" w:ascii="宋体" w:hAnsi="宋体" w:cs="宋体"/>
                <w:color w:val="auto"/>
                <w:szCs w:val="21"/>
                <w:highlight w:val="none"/>
              </w:rPr>
            </w:pPr>
          </w:p>
        </w:tc>
        <w:tc>
          <w:tcPr>
            <w:tcW w:w="578" w:type="pct"/>
            <w:vMerge w:val="continue"/>
            <w:tcBorders>
              <w:left w:val="single" w:color="auto" w:sz="4" w:space="0"/>
              <w:right w:val="single" w:color="auto" w:sz="4" w:space="0"/>
            </w:tcBorders>
            <w:noWrap w:val="0"/>
            <w:vAlign w:val="center"/>
          </w:tcPr>
          <w:p w14:paraId="3C71ACDA">
            <w:pPr>
              <w:widowControl/>
              <w:spacing w:line="360" w:lineRule="auto"/>
              <w:jc w:val="center"/>
              <w:rPr>
                <w:rFonts w:hint="eastAsia" w:ascii="宋体" w:hAnsi="宋体" w:cs="宋体"/>
                <w:color w:val="auto"/>
                <w:szCs w:val="21"/>
                <w:highlight w:val="none"/>
              </w:rPr>
            </w:pPr>
          </w:p>
        </w:tc>
        <w:tc>
          <w:tcPr>
            <w:tcW w:w="2220" w:type="pct"/>
            <w:gridSpan w:val="2"/>
            <w:tcBorders>
              <w:top w:val="single" w:color="auto" w:sz="4" w:space="0"/>
              <w:left w:val="single" w:color="auto" w:sz="4" w:space="0"/>
              <w:bottom w:val="single" w:color="auto" w:sz="4" w:space="0"/>
              <w:right w:val="single" w:color="auto" w:sz="4" w:space="0"/>
            </w:tcBorders>
            <w:noWrap w:val="0"/>
            <w:vAlign w:val="center"/>
          </w:tcPr>
          <w:p w14:paraId="2FF2A68C">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配电箱（柜）、控制箱内接触器，熔断器等电气元件无变形缺损，工作正常，导线绝缘良好；电缆标牌、主次回路图和负荷分布图清晰、准确；进、出电缆孔的橡皮圈或防火泥封堵良好，无小动物侵入；配电箱（柜）仪表完好，指示正确，各部件联接紧固无松动或变形；电气设备间的电气间隙和爬电距离符合要求；供电电源电缆部分安装规范良好，无线三遥智能监控终端运行正常。（3分）</w:t>
            </w:r>
          </w:p>
        </w:tc>
        <w:tc>
          <w:tcPr>
            <w:tcW w:w="1318" w:type="pct"/>
            <w:gridSpan w:val="2"/>
            <w:tcBorders>
              <w:top w:val="single" w:color="auto" w:sz="4" w:space="0"/>
              <w:left w:val="single" w:color="auto" w:sz="4" w:space="0"/>
              <w:bottom w:val="single" w:color="auto" w:sz="4" w:space="0"/>
              <w:right w:val="single" w:color="auto" w:sz="4" w:space="0"/>
            </w:tcBorders>
            <w:noWrap w:val="0"/>
            <w:vAlign w:val="center"/>
          </w:tcPr>
          <w:p w14:paraId="0426D175">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每发现一处，扣0.5分</w:t>
            </w:r>
          </w:p>
        </w:tc>
        <w:tc>
          <w:tcPr>
            <w:tcW w:w="657" w:type="pct"/>
            <w:tcBorders>
              <w:top w:val="single" w:color="auto" w:sz="4" w:space="0"/>
              <w:left w:val="single" w:color="auto" w:sz="4" w:space="0"/>
              <w:bottom w:val="single" w:color="auto" w:sz="4" w:space="0"/>
              <w:right w:val="single" w:color="auto" w:sz="4" w:space="0"/>
            </w:tcBorders>
            <w:noWrap w:val="0"/>
            <w:vAlign w:val="center"/>
          </w:tcPr>
          <w:p w14:paraId="7F590004">
            <w:pPr>
              <w:widowControl/>
              <w:spacing w:line="360" w:lineRule="auto"/>
              <w:rPr>
                <w:rFonts w:hint="eastAsia" w:ascii="宋体" w:hAnsi="宋体" w:cs="宋体"/>
                <w:color w:val="auto"/>
                <w:szCs w:val="21"/>
                <w:highlight w:val="none"/>
              </w:rPr>
            </w:pPr>
          </w:p>
        </w:tc>
      </w:tr>
      <w:tr w14:paraId="44E3E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225" w:type="pct"/>
            <w:vMerge w:val="continue"/>
            <w:tcBorders>
              <w:left w:val="single" w:color="auto" w:sz="4" w:space="0"/>
              <w:right w:val="single" w:color="auto" w:sz="4" w:space="0"/>
            </w:tcBorders>
            <w:noWrap w:val="0"/>
            <w:vAlign w:val="center"/>
          </w:tcPr>
          <w:p w14:paraId="13C2CA1A">
            <w:pPr>
              <w:spacing w:line="360" w:lineRule="auto"/>
              <w:jc w:val="center"/>
              <w:rPr>
                <w:rFonts w:hint="eastAsia" w:ascii="宋体" w:hAnsi="宋体" w:cs="宋体"/>
                <w:color w:val="auto"/>
                <w:szCs w:val="21"/>
                <w:highlight w:val="none"/>
              </w:rPr>
            </w:pPr>
          </w:p>
        </w:tc>
        <w:tc>
          <w:tcPr>
            <w:tcW w:w="578" w:type="pct"/>
            <w:vMerge w:val="continue"/>
            <w:tcBorders>
              <w:left w:val="single" w:color="auto" w:sz="4" w:space="0"/>
              <w:right w:val="single" w:color="auto" w:sz="4" w:space="0"/>
            </w:tcBorders>
            <w:noWrap w:val="0"/>
            <w:vAlign w:val="center"/>
          </w:tcPr>
          <w:p w14:paraId="688C219C">
            <w:pPr>
              <w:spacing w:line="360" w:lineRule="auto"/>
              <w:jc w:val="center"/>
              <w:rPr>
                <w:rFonts w:hint="eastAsia" w:ascii="宋体" w:hAnsi="宋体" w:cs="宋体"/>
                <w:color w:val="auto"/>
                <w:szCs w:val="21"/>
                <w:highlight w:val="none"/>
              </w:rPr>
            </w:pPr>
          </w:p>
        </w:tc>
        <w:tc>
          <w:tcPr>
            <w:tcW w:w="2220" w:type="pct"/>
            <w:gridSpan w:val="2"/>
            <w:tcBorders>
              <w:top w:val="single" w:color="auto" w:sz="4" w:space="0"/>
              <w:left w:val="single" w:color="auto" w:sz="4" w:space="0"/>
              <w:bottom w:val="single" w:color="auto" w:sz="4" w:space="0"/>
              <w:right w:val="single" w:color="auto" w:sz="4" w:space="0"/>
            </w:tcBorders>
            <w:noWrap w:val="0"/>
            <w:vAlign w:val="center"/>
          </w:tcPr>
          <w:p w14:paraId="5C604CC6">
            <w:pPr>
              <w:widowControl/>
              <w:spacing w:line="360" w:lineRule="auto"/>
              <w:rPr>
                <w:rFonts w:hint="eastAsia" w:ascii="宋体" w:hAnsi="宋体" w:cs="宋体"/>
                <w:color w:val="auto"/>
                <w:szCs w:val="21"/>
                <w:highlight w:val="none"/>
              </w:rPr>
            </w:pPr>
            <w:r>
              <w:rPr>
                <w:rFonts w:hint="eastAsia" w:ascii="宋体" w:hAnsi="宋体" w:cs="宋体"/>
                <w:color w:val="auto"/>
                <w:szCs w:val="21"/>
                <w:highlight w:val="none"/>
              </w:rPr>
              <w:t>定期巡检电缆线路与架空线路，未发现或未制止在电缆管线路面上方开挖、建筑打桩、植树和堆放有腐蚀性化学物品等行为；电缆线路在地上部分的钢带、保护管、固定设备无锈蚀，标桩完整无缺；电缆接头无松动、无发热，绝缘包带无老化开裂，钢带接地良好；灯座箱、工作井完好，井内无异物，电缆标志牌齐全、字迹清楚，金属井盖接地良好；巡视检查对严重缺陷和损伤，并已无法处理的电缆（穿越导线）线路应分段或全部更新；架空线路无松弛，更换或修复损伤的导线，所有横担、瓷瓶、抱箍、拉线等紧固螺栓无松动和锈蚀现象。（4分）</w:t>
            </w:r>
          </w:p>
        </w:tc>
        <w:tc>
          <w:tcPr>
            <w:tcW w:w="1318" w:type="pct"/>
            <w:gridSpan w:val="2"/>
            <w:tcBorders>
              <w:top w:val="single" w:color="auto" w:sz="4" w:space="0"/>
              <w:left w:val="single" w:color="auto" w:sz="4" w:space="0"/>
              <w:bottom w:val="single" w:color="auto" w:sz="4" w:space="0"/>
              <w:right w:val="single" w:color="auto" w:sz="4" w:space="0"/>
            </w:tcBorders>
            <w:noWrap w:val="0"/>
            <w:vAlign w:val="center"/>
          </w:tcPr>
          <w:p w14:paraId="78C7BF1B">
            <w:pPr>
              <w:widowControl/>
              <w:spacing w:line="360" w:lineRule="auto"/>
              <w:rPr>
                <w:rFonts w:hint="eastAsia" w:ascii="宋体" w:hAnsi="宋体" w:cs="宋体"/>
                <w:color w:val="auto"/>
                <w:szCs w:val="21"/>
                <w:highlight w:val="none"/>
              </w:rPr>
            </w:pPr>
            <w:r>
              <w:rPr>
                <w:rFonts w:hint="eastAsia" w:ascii="宋体" w:hAnsi="宋体" w:cs="宋体"/>
                <w:color w:val="auto"/>
                <w:szCs w:val="21"/>
                <w:highlight w:val="none"/>
              </w:rPr>
              <w:t>每发现一处，扣0.5分</w:t>
            </w:r>
          </w:p>
        </w:tc>
        <w:tc>
          <w:tcPr>
            <w:tcW w:w="657" w:type="pct"/>
            <w:tcBorders>
              <w:top w:val="single" w:color="auto" w:sz="4" w:space="0"/>
              <w:left w:val="single" w:color="auto" w:sz="4" w:space="0"/>
              <w:right w:val="single" w:color="auto" w:sz="4" w:space="0"/>
            </w:tcBorders>
            <w:noWrap w:val="0"/>
            <w:vAlign w:val="center"/>
          </w:tcPr>
          <w:p w14:paraId="591FAA60">
            <w:pPr>
              <w:widowControl/>
              <w:spacing w:line="360" w:lineRule="auto"/>
              <w:rPr>
                <w:rFonts w:hint="eastAsia" w:ascii="宋体" w:hAnsi="宋体" w:cs="宋体"/>
                <w:color w:val="auto"/>
                <w:szCs w:val="21"/>
                <w:highlight w:val="none"/>
              </w:rPr>
            </w:pPr>
          </w:p>
        </w:tc>
      </w:tr>
      <w:tr w14:paraId="14D6E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trPr>
        <w:tc>
          <w:tcPr>
            <w:tcW w:w="225" w:type="pct"/>
            <w:vMerge w:val="continue"/>
            <w:tcBorders>
              <w:left w:val="single" w:color="auto" w:sz="4" w:space="0"/>
              <w:bottom w:val="single" w:color="auto" w:sz="4" w:space="0"/>
              <w:right w:val="single" w:color="auto" w:sz="4" w:space="0"/>
            </w:tcBorders>
            <w:noWrap w:val="0"/>
            <w:vAlign w:val="center"/>
          </w:tcPr>
          <w:p w14:paraId="6B2DC0C4">
            <w:pPr>
              <w:widowControl/>
              <w:spacing w:line="360" w:lineRule="auto"/>
              <w:jc w:val="center"/>
              <w:rPr>
                <w:rFonts w:hint="eastAsia" w:ascii="宋体" w:hAnsi="宋体" w:cs="宋体"/>
                <w:color w:val="auto"/>
                <w:szCs w:val="21"/>
                <w:highlight w:val="none"/>
              </w:rPr>
            </w:pPr>
          </w:p>
        </w:tc>
        <w:tc>
          <w:tcPr>
            <w:tcW w:w="578" w:type="pct"/>
            <w:tcBorders>
              <w:top w:val="single" w:color="auto" w:sz="4" w:space="0"/>
              <w:left w:val="single" w:color="auto" w:sz="4" w:space="0"/>
              <w:bottom w:val="single" w:color="auto" w:sz="4" w:space="0"/>
              <w:right w:val="single" w:color="auto" w:sz="4" w:space="0"/>
            </w:tcBorders>
            <w:noWrap w:val="0"/>
            <w:vAlign w:val="center"/>
          </w:tcPr>
          <w:p w14:paraId="5654CA50">
            <w:pPr>
              <w:widowControl/>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整改率</w:t>
            </w:r>
          </w:p>
          <w:p w14:paraId="1A8A6399">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（20分）</w:t>
            </w:r>
          </w:p>
        </w:tc>
        <w:tc>
          <w:tcPr>
            <w:tcW w:w="2220" w:type="pct"/>
            <w:gridSpan w:val="2"/>
            <w:tcBorders>
              <w:top w:val="single" w:color="auto" w:sz="4" w:space="0"/>
              <w:left w:val="single" w:color="auto" w:sz="4" w:space="0"/>
              <w:bottom w:val="single" w:color="auto" w:sz="4" w:space="0"/>
              <w:right w:val="single" w:color="auto" w:sz="4" w:space="0"/>
            </w:tcBorders>
            <w:noWrap w:val="0"/>
            <w:vAlign w:val="center"/>
          </w:tcPr>
          <w:p w14:paraId="5DACF0CA">
            <w:pPr>
              <w:widowControl/>
              <w:spacing w:line="360" w:lineRule="auto"/>
              <w:rPr>
                <w:rFonts w:hint="eastAsia" w:ascii="宋体" w:hAnsi="宋体" w:cs="宋体"/>
                <w:color w:val="auto"/>
                <w:szCs w:val="21"/>
                <w:highlight w:val="none"/>
              </w:rPr>
            </w:pPr>
            <w:r>
              <w:rPr>
                <w:rFonts w:hint="eastAsia" w:ascii="宋体" w:hAnsi="宋体" w:cs="宋体"/>
                <w:color w:val="auto"/>
                <w:szCs w:val="21"/>
                <w:highlight w:val="none"/>
              </w:rPr>
              <w:t>巡（检）查发现、中控故障、群众投诉等问题。（20分）</w:t>
            </w:r>
          </w:p>
        </w:tc>
        <w:tc>
          <w:tcPr>
            <w:tcW w:w="1318" w:type="pct"/>
            <w:gridSpan w:val="2"/>
            <w:tcBorders>
              <w:top w:val="single" w:color="auto" w:sz="4" w:space="0"/>
              <w:left w:val="single" w:color="auto" w:sz="4" w:space="0"/>
              <w:bottom w:val="single" w:color="auto" w:sz="4" w:space="0"/>
              <w:right w:val="single" w:color="auto" w:sz="4" w:space="0"/>
            </w:tcBorders>
            <w:noWrap w:val="0"/>
            <w:vAlign w:val="center"/>
          </w:tcPr>
          <w:p w14:paraId="3AAC7739">
            <w:pPr>
              <w:widowControl/>
              <w:spacing w:line="360" w:lineRule="auto"/>
              <w:rPr>
                <w:rFonts w:hint="eastAsia" w:ascii="宋体" w:hAnsi="宋体" w:cs="宋体"/>
                <w:color w:val="auto"/>
                <w:szCs w:val="21"/>
                <w:highlight w:val="none"/>
              </w:rPr>
            </w:pPr>
            <w:r>
              <w:rPr>
                <w:rFonts w:hint="eastAsia" w:ascii="宋体" w:hAnsi="宋体" w:cs="宋体"/>
                <w:color w:val="auto"/>
                <w:szCs w:val="21"/>
                <w:highlight w:val="none"/>
              </w:rPr>
              <w:t>规定时间内未整改到位，每次扣1分；未及时回复，每次扣1分；回复不实，每次扣2分</w:t>
            </w:r>
          </w:p>
        </w:tc>
        <w:tc>
          <w:tcPr>
            <w:tcW w:w="657" w:type="pct"/>
            <w:tcBorders>
              <w:top w:val="single" w:color="auto" w:sz="4" w:space="0"/>
              <w:left w:val="single" w:color="auto" w:sz="4" w:space="0"/>
              <w:bottom w:val="single" w:color="auto" w:sz="4" w:space="0"/>
              <w:right w:val="single" w:color="auto" w:sz="4" w:space="0"/>
            </w:tcBorders>
            <w:noWrap w:val="0"/>
            <w:vAlign w:val="center"/>
          </w:tcPr>
          <w:p w14:paraId="74CD7185">
            <w:pPr>
              <w:widowControl/>
              <w:spacing w:line="360" w:lineRule="auto"/>
              <w:rPr>
                <w:rFonts w:hint="eastAsia" w:ascii="宋体" w:hAnsi="宋体" w:cs="宋体"/>
                <w:color w:val="auto"/>
                <w:szCs w:val="21"/>
                <w:highlight w:val="none"/>
              </w:rPr>
            </w:pPr>
          </w:p>
        </w:tc>
      </w:tr>
      <w:tr w14:paraId="6AE71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5" w:hRule="atLeast"/>
        </w:trPr>
        <w:tc>
          <w:tcPr>
            <w:tcW w:w="804" w:type="pct"/>
            <w:gridSpan w:val="2"/>
            <w:tcBorders>
              <w:top w:val="single" w:color="auto" w:sz="4" w:space="0"/>
              <w:left w:val="single" w:color="auto" w:sz="4" w:space="0"/>
              <w:bottom w:val="single" w:color="auto" w:sz="4" w:space="0"/>
              <w:right w:val="single" w:color="auto" w:sz="4" w:space="0"/>
            </w:tcBorders>
            <w:noWrap w:val="0"/>
            <w:vAlign w:val="center"/>
          </w:tcPr>
          <w:p w14:paraId="62B62F88">
            <w:pPr>
              <w:widowControl/>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重点工作</w:t>
            </w:r>
          </w:p>
          <w:p w14:paraId="07CCDCB4">
            <w:pPr>
              <w:widowControl/>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（10分）</w:t>
            </w:r>
          </w:p>
        </w:tc>
        <w:tc>
          <w:tcPr>
            <w:tcW w:w="2220" w:type="pct"/>
            <w:gridSpan w:val="2"/>
            <w:tcBorders>
              <w:top w:val="single" w:color="auto" w:sz="4" w:space="0"/>
              <w:left w:val="single" w:color="auto" w:sz="4" w:space="0"/>
              <w:bottom w:val="single" w:color="auto" w:sz="4" w:space="0"/>
              <w:right w:val="single" w:color="auto" w:sz="4" w:space="0"/>
            </w:tcBorders>
            <w:noWrap w:val="0"/>
            <w:vAlign w:val="center"/>
          </w:tcPr>
          <w:p w14:paraId="76E14BE9">
            <w:pPr>
              <w:widowControl/>
              <w:spacing w:line="360" w:lineRule="auto"/>
              <w:rPr>
                <w:rFonts w:hint="eastAsia" w:ascii="宋体" w:hAnsi="宋体" w:cs="宋体"/>
                <w:color w:val="auto"/>
                <w:szCs w:val="21"/>
                <w:highlight w:val="none"/>
              </w:rPr>
            </w:pPr>
            <w:r>
              <w:rPr>
                <w:rFonts w:hint="eastAsia" w:ascii="宋体" w:hAnsi="宋体" w:cs="宋体"/>
                <w:color w:val="auto"/>
                <w:kern w:val="21"/>
                <w:szCs w:val="21"/>
                <w:highlight w:val="none"/>
              </w:rPr>
              <w:t>养护计划月完成情况、作业重点月完成情况、管理部门交办工作完成情况等。（10分）</w:t>
            </w:r>
          </w:p>
        </w:tc>
        <w:tc>
          <w:tcPr>
            <w:tcW w:w="1318" w:type="pct"/>
            <w:gridSpan w:val="2"/>
            <w:tcBorders>
              <w:top w:val="single" w:color="auto" w:sz="4" w:space="0"/>
              <w:left w:val="single" w:color="auto" w:sz="4" w:space="0"/>
              <w:bottom w:val="single" w:color="auto" w:sz="4" w:space="0"/>
              <w:right w:val="single" w:color="auto" w:sz="4" w:space="0"/>
            </w:tcBorders>
            <w:noWrap w:val="0"/>
            <w:vAlign w:val="center"/>
          </w:tcPr>
          <w:p w14:paraId="76AD5B07">
            <w:pPr>
              <w:widowControl/>
              <w:spacing w:line="360" w:lineRule="auto"/>
              <w:rPr>
                <w:rFonts w:hint="eastAsia" w:ascii="宋体" w:hAnsi="宋体" w:cs="宋体"/>
                <w:color w:val="auto"/>
                <w:szCs w:val="21"/>
                <w:highlight w:val="none"/>
              </w:rPr>
            </w:pPr>
            <w:r>
              <w:rPr>
                <w:rFonts w:hint="eastAsia" w:ascii="宋体" w:hAnsi="宋体" w:cs="宋体"/>
                <w:color w:val="auto"/>
                <w:kern w:val="21"/>
                <w:szCs w:val="21"/>
                <w:highlight w:val="none"/>
              </w:rPr>
              <w:t>未及时落实或落实不到位，根据情节程度每次酌情扣分</w:t>
            </w:r>
          </w:p>
        </w:tc>
        <w:tc>
          <w:tcPr>
            <w:tcW w:w="657" w:type="pct"/>
            <w:tcBorders>
              <w:top w:val="single" w:color="auto" w:sz="4" w:space="0"/>
              <w:left w:val="single" w:color="auto" w:sz="4" w:space="0"/>
              <w:bottom w:val="single" w:color="auto" w:sz="4" w:space="0"/>
              <w:right w:val="single" w:color="auto" w:sz="4" w:space="0"/>
            </w:tcBorders>
            <w:noWrap w:val="0"/>
            <w:vAlign w:val="center"/>
          </w:tcPr>
          <w:p w14:paraId="1459D943">
            <w:pPr>
              <w:widowControl/>
              <w:spacing w:line="360" w:lineRule="auto"/>
              <w:rPr>
                <w:rFonts w:hint="eastAsia" w:ascii="宋体" w:hAnsi="宋体" w:cs="宋体"/>
                <w:color w:val="auto"/>
                <w:szCs w:val="21"/>
                <w:highlight w:val="none"/>
              </w:rPr>
            </w:pPr>
          </w:p>
        </w:tc>
      </w:tr>
      <w:tr w14:paraId="7EE86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8" w:hRule="atLeast"/>
        </w:trPr>
        <w:tc>
          <w:tcPr>
            <w:tcW w:w="804" w:type="pct"/>
            <w:gridSpan w:val="2"/>
            <w:tcBorders>
              <w:top w:val="single" w:color="auto" w:sz="4" w:space="0"/>
              <w:left w:val="single" w:color="auto" w:sz="4" w:space="0"/>
              <w:bottom w:val="single" w:color="auto" w:sz="4" w:space="0"/>
              <w:right w:val="single" w:color="auto" w:sz="4" w:space="0"/>
            </w:tcBorders>
            <w:noWrap w:val="0"/>
            <w:vAlign w:val="center"/>
          </w:tcPr>
          <w:p w14:paraId="6BD5E1B2">
            <w:pPr>
              <w:widowControl/>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社会监督</w:t>
            </w:r>
          </w:p>
          <w:p w14:paraId="0BA6315A">
            <w:pPr>
              <w:widowControl/>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（10分）</w:t>
            </w:r>
          </w:p>
        </w:tc>
        <w:tc>
          <w:tcPr>
            <w:tcW w:w="2220" w:type="pct"/>
            <w:gridSpan w:val="2"/>
            <w:tcBorders>
              <w:top w:val="single" w:color="auto" w:sz="4" w:space="0"/>
              <w:left w:val="single" w:color="auto" w:sz="4" w:space="0"/>
              <w:bottom w:val="single" w:color="auto" w:sz="4" w:space="0"/>
              <w:right w:val="single" w:color="auto" w:sz="4" w:space="0"/>
            </w:tcBorders>
            <w:noWrap w:val="0"/>
            <w:vAlign w:val="center"/>
          </w:tcPr>
          <w:p w14:paraId="05194A52">
            <w:pPr>
              <w:widowControl/>
              <w:spacing w:line="360" w:lineRule="auto"/>
              <w:rPr>
                <w:rFonts w:hint="eastAsia" w:ascii="宋体" w:hAnsi="宋体" w:cs="宋体"/>
                <w:color w:val="auto"/>
                <w:szCs w:val="21"/>
                <w:highlight w:val="none"/>
              </w:rPr>
            </w:pPr>
            <w:r>
              <w:rPr>
                <w:rFonts w:hint="eastAsia" w:ascii="宋体" w:hAnsi="宋体" w:cs="宋体"/>
                <w:color w:val="auto"/>
                <w:szCs w:val="21"/>
                <w:highlight w:val="none"/>
              </w:rPr>
              <w:t>主管及上级部门发现、群众投诉、媒体曝光等问题。（10分）</w:t>
            </w:r>
          </w:p>
        </w:tc>
        <w:tc>
          <w:tcPr>
            <w:tcW w:w="1318" w:type="pct"/>
            <w:gridSpan w:val="2"/>
            <w:tcBorders>
              <w:top w:val="single" w:color="auto" w:sz="4" w:space="0"/>
              <w:left w:val="single" w:color="auto" w:sz="4" w:space="0"/>
              <w:bottom w:val="single" w:color="auto" w:sz="4" w:space="0"/>
              <w:right w:val="single" w:color="auto" w:sz="4" w:space="0"/>
            </w:tcBorders>
            <w:noWrap w:val="0"/>
            <w:vAlign w:val="center"/>
          </w:tcPr>
          <w:p w14:paraId="522117B1">
            <w:pPr>
              <w:widowControl/>
              <w:spacing w:line="360" w:lineRule="auto"/>
              <w:rPr>
                <w:rFonts w:hint="eastAsia" w:ascii="宋体" w:hAnsi="宋体" w:cs="宋体"/>
                <w:color w:val="auto"/>
                <w:szCs w:val="21"/>
                <w:highlight w:val="none"/>
              </w:rPr>
            </w:pPr>
            <w:r>
              <w:rPr>
                <w:rFonts w:hint="eastAsia" w:ascii="宋体" w:hAnsi="宋体" w:cs="宋体"/>
                <w:color w:val="auto"/>
                <w:szCs w:val="21"/>
                <w:highlight w:val="none"/>
              </w:rPr>
              <w:t>经查证属实，情节轻微每次扣1-3分，情节严重每次扣5分，情节特别严重的，一次扣10分</w:t>
            </w:r>
          </w:p>
        </w:tc>
        <w:tc>
          <w:tcPr>
            <w:tcW w:w="657" w:type="pct"/>
            <w:tcBorders>
              <w:top w:val="single" w:color="auto" w:sz="4" w:space="0"/>
              <w:left w:val="single" w:color="auto" w:sz="4" w:space="0"/>
              <w:bottom w:val="single" w:color="auto" w:sz="4" w:space="0"/>
              <w:right w:val="single" w:color="auto" w:sz="4" w:space="0"/>
            </w:tcBorders>
            <w:noWrap w:val="0"/>
            <w:vAlign w:val="center"/>
          </w:tcPr>
          <w:p w14:paraId="1AEA0C5B">
            <w:pPr>
              <w:widowControl/>
              <w:spacing w:line="360" w:lineRule="auto"/>
              <w:rPr>
                <w:rFonts w:hint="eastAsia" w:ascii="宋体" w:hAnsi="宋体" w:cs="宋体"/>
                <w:color w:val="auto"/>
                <w:szCs w:val="21"/>
                <w:highlight w:val="none"/>
              </w:rPr>
            </w:pPr>
          </w:p>
        </w:tc>
      </w:tr>
      <w:tr w14:paraId="68C11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1358" w:type="pct"/>
            <w:gridSpan w:val="3"/>
            <w:tcBorders>
              <w:top w:val="single" w:color="auto" w:sz="4" w:space="0"/>
              <w:left w:val="single" w:color="auto" w:sz="4" w:space="0"/>
              <w:bottom w:val="single" w:color="auto" w:sz="4" w:space="0"/>
              <w:right w:val="single" w:color="auto" w:sz="4" w:space="0"/>
            </w:tcBorders>
            <w:noWrap w:val="0"/>
            <w:vAlign w:val="center"/>
          </w:tcPr>
          <w:p w14:paraId="230643CD">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月度得分</w:t>
            </w:r>
          </w:p>
        </w:tc>
        <w:tc>
          <w:tcPr>
            <w:tcW w:w="3641" w:type="pct"/>
            <w:gridSpan w:val="4"/>
            <w:tcBorders>
              <w:top w:val="single" w:color="auto" w:sz="4" w:space="0"/>
              <w:left w:val="single" w:color="auto" w:sz="4" w:space="0"/>
              <w:bottom w:val="single" w:color="auto" w:sz="4" w:space="0"/>
              <w:right w:val="single" w:color="auto" w:sz="4" w:space="0"/>
            </w:tcBorders>
            <w:noWrap w:val="0"/>
            <w:vAlign w:val="center"/>
          </w:tcPr>
          <w:p w14:paraId="297CA1C5">
            <w:pPr>
              <w:spacing w:line="360" w:lineRule="auto"/>
              <w:jc w:val="center"/>
              <w:rPr>
                <w:rFonts w:hint="eastAsia" w:ascii="宋体" w:hAnsi="宋体" w:cs="宋体"/>
                <w:color w:val="auto"/>
                <w:szCs w:val="21"/>
                <w:highlight w:val="none"/>
              </w:rPr>
            </w:pPr>
          </w:p>
        </w:tc>
      </w:tr>
      <w:tr w14:paraId="50509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1358" w:type="pct"/>
            <w:gridSpan w:val="3"/>
            <w:noWrap w:val="0"/>
            <w:vAlign w:val="center"/>
          </w:tcPr>
          <w:p w14:paraId="2F03BF7F">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养护单位负责人签名</w:t>
            </w:r>
          </w:p>
        </w:tc>
        <w:tc>
          <w:tcPr>
            <w:tcW w:w="1665" w:type="pct"/>
            <w:noWrap w:val="0"/>
            <w:vAlign w:val="center"/>
          </w:tcPr>
          <w:p w14:paraId="78B34165">
            <w:pPr>
              <w:spacing w:line="360" w:lineRule="auto"/>
              <w:jc w:val="center"/>
              <w:rPr>
                <w:rFonts w:hint="eastAsia" w:ascii="宋体" w:hAnsi="宋体" w:cs="宋体"/>
                <w:color w:val="auto"/>
                <w:szCs w:val="21"/>
                <w:highlight w:val="none"/>
              </w:rPr>
            </w:pPr>
          </w:p>
        </w:tc>
        <w:tc>
          <w:tcPr>
            <w:tcW w:w="549" w:type="pct"/>
            <w:noWrap w:val="0"/>
            <w:vAlign w:val="center"/>
          </w:tcPr>
          <w:p w14:paraId="64469DA1">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考核人员签名</w:t>
            </w:r>
          </w:p>
        </w:tc>
        <w:tc>
          <w:tcPr>
            <w:tcW w:w="1426" w:type="pct"/>
            <w:gridSpan w:val="2"/>
            <w:noWrap w:val="0"/>
            <w:vAlign w:val="center"/>
          </w:tcPr>
          <w:p w14:paraId="4E5064EE">
            <w:pPr>
              <w:spacing w:line="360" w:lineRule="auto"/>
              <w:jc w:val="center"/>
              <w:rPr>
                <w:rFonts w:hint="eastAsia" w:ascii="宋体" w:hAnsi="宋体" w:cs="宋体"/>
                <w:color w:val="auto"/>
                <w:szCs w:val="21"/>
                <w:highlight w:val="none"/>
              </w:rPr>
            </w:pPr>
          </w:p>
        </w:tc>
      </w:tr>
      <w:tr w14:paraId="19DD7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5000" w:type="pct"/>
            <w:gridSpan w:val="7"/>
            <w:noWrap w:val="0"/>
            <w:vAlign w:val="center"/>
          </w:tcPr>
          <w:p w14:paraId="0CAC3A8F">
            <w:pPr>
              <w:widowControl/>
              <w:spacing w:line="560" w:lineRule="exact"/>
              <w:ind w:firstLine="600"/>
              <w:jc w:val="left"/>
              <w:rPr>
                <w:rFonts w:hint="eastAsia" w:ascii="宋体" w:hAnsi="宋体" w:cs="宋体"/>
                <w:b/>
                <w:bCs/>
                <w:color w:val="auto"/>
                <w:kern w:val="0"/>
                <w:szCs w:val="21"/>
                <w:highlight w:val="none"/>
                <w:shd w:val="clear" w:color="auto" w:fill="FFFFFF"/>
              </w:rPr>
            </w:pPr>
            <w:r>
              <w:rPr>
                <w:rFonts w:hint="eastAsia" w:ascii="宋体" w:hAnsi="宋体" w:cs="宋体"/>
                <w:b/>
                <w:bCs/>
                <w:color w:val="auto"/>
                <w:kern w:val="0"/>
                <w:szCs w:val="21"/>
                <w:highlight w:val="none"/>
                <w:shd w:val="clear" w:color="auto" w:fill="FFFFFF"/>
              </w:rPr>
              <w:t>考核结果与经费支付</w:t>
            </w:r>
          </w:p>
          <w:p w14:paraId="7BC2362F">
            <w:pPr>
              <w:spacing w:line="5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月度考核结果与养护管理单位月养护管理经费挂钩，具体计算方法如下：</w:t>
            </w:r>
          </w:p>
          <w:p w14:paraId="6D3587FE">
            <w:pPr>
              <w:spacing w:line="58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每月日常考核得分为95分以上的，可全额结算养护实施单位当月度应得的养护费；低于95分的，将在当月度养护费中按百分比进行扣减，具体标准如下：养护费按照得分在90-95分之间的（含90分，不包含95分），每低1分扣除养护结算金额的1%（如本月度得90分，则扣除1%×5=5%的养护费）；得分在85-90分之间的，每低1分扣除养护结算金额的2%（如本月度得85分，则扣除2%×5=10%加上之前的5%，共扣除15%养护费，以此类推）；得分在80-85分之间的，每低1分扣除养护结算金额的4%（如本月度得80分，则扣除4%×5=20%加上之前的15%，共扣除35%养护费，以此类推）；得分在80以下的，每低1分扣除养护结算金额的6%（如本月度得75分，则扣除6%×5=30%加上之前的35%，共扣除65%养护费，以此类推）。</w:t>
            </w:r>
          </w:p>
        </w:tc>
      </w:tr>
      <w:bookmarkEnd w:id="3"/>
    </w:tbl>
    <w:p w14:paraId="0A9DFC58"/>
    <w:p w14:paraId="11424525">
      <w:pPr>
        <w:pStyle w:val="6"/>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modern"/>
    <w:pitch w:val="default"/>
    <w:sig w:usb0="00000001" w:usb1="080E0000" w:usb2="00000000" w:usb3="00000000" w:csb0="00040000"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04CA2D"/>
    <w:multiLevelType w:val="singleLevel"/>
    <w:tmpl w:val="BB04CA2D"/>
    <w:lvl w:ilvl="0" w:tentative="0">
      <w:start w:val="6"/>
      <w:numFmt w:val="decimal"/>
      <w:lvlText w:val="%1."/>
      <w:lvlJc w:val="left"/>
      <w:pPr>
        <w:tabs>
          <w:tab w:val="left" w:pos="312"/>
        </w:tabs>
      </w:pPr>
    </w:lvl>
  </w:abstractNum>
  <w:abstractNum w:abstractNumId="1">
    <w:nsid w:val="68E49F6C"/>
    <w:multiLevelType w:val="singleLevel"/>
    <w:tmpl w:val="68E49F6C"/>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EB26F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4"/>
    <w:next w:val="1"/>
    <w:qFormat/>
    <w:uiPriority w:val="0"/>
    <w:pPr>
      <w:spacing w:before="156" w:beforeLines="50" w:after="156" w:afterLines="50" w:line="360" w:lineRule="auto"/>
      <w:ind w:left="420" w:leftChars="200"/>
      <w:outlineLvl w:val="3"/>
    </w:pPr>
    <w:rPr>
      <w:rFonts w:ascii="宋体" w:hAnsi="宋体" w:eastAsia="宋体" w:cs="Times New Roman"/>
      <w:color w:val="000000"/>
      <w:sz w:val="21"/>
      <w:szCs w:val="28"/>
      <w:u w:val="single"/>
      <w:lang w:val="en-US" w:eastAsia="zh-CN" w:bidi="ar-SA"/>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3">
    <w:name w:val="Normal Indent"/>
    <w:basedOn w:val="1"/>
    <w:qFormat/>
    <w:uiPriority w:val="0"/>
    <w:pPr>
      <w:adjustRightInd w:val="0"/>
      <w:ind w:firstLine="420"/>
      <w:jc w:val="left"/>
      <w:textAlignment w:val="baseline"/>
    </w:pPr>
    <w:rPr>
      <w:rFonts w:eastAsia="楷体_GB2312"/>
      <w:sz w:val="24"/>
      <w:szCs w:val="20"/>
    </w:rPr>
  </w:style>
  <w:style w:type="paragraph" w:styleId="4">
    <w:name w:val="Body Text Indent"/>
    <w:basedOn w:val="1"/>
    <w:qFormat/>
    <w:uiPriority w:val="99"/>
    <w:pPr>
      <w:spacing w:line="260" w:lineRule="exact"/>
      <w:ind w:firstLine="435"/>
    </w:pPr>
    <w:rPr>
      <w:sz w:val="18"/>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Body Text First Indent 2"/>
    <w:basedOn w:val="4"/>
    <w:qFormat/>
    <w:uiPriority w:val="99"/>
    <w:pPr>
      <w:spacing w:after="120" w:line="240" w:lineRule="auto"/>
      <w:ind w:left="420" w:firstLine="420"/>
    </w:pPr>
    <w:rPr>
      <w:rFonts w:eastAsia="楷体_GB2312"/>
      <w:kern w:val="0"/>
      <w:sz w:val="28"/>
      <w:szCs w:val="20"/>
    </w:rPr>
  </w:style>
  <w:style w:type="paragraph" w:customStyle="1" w:styleId="9">
    <w:name w:val="正文文本1"/>
    <w:basedOn w:val="1"/>
    <w:qFormat/>
    <w:uiPriority w:val="0"/>
    <w:pPr>
      <w:spacing w:after="100" w:line="413" w:lineRule="auto"/>
      <w:jc w:val="left"/>
    </w:pPr>
    <w:rPr>
      <w:rFonts w:ascii="宋体" w:hAnsi="宋体" w:cs="宋体"/>
      <w:kern w:val="0"/>
      <w:sz w:val="22"/>
      <w:szCs w:val="22"/>
      <w:lang w:val="zh-CN" w:bidi="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28</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2026-08-10T01:28:04Z</dcterms:created>
  <dc:creator>Administrator</dc:creator>
  <cp:lastModifiedBy>BAN</cp:lastModifiedBy>
  <dcterms:modified xsi:type="dcterms:W3CDTF">2026-08-10T01:32:38Z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eyJoZGlkIjoiOThiM2VhMjVhNDNiZmNlZjNlYjIxZDBmOWEyZDNkMTkiLCJ1c2VySWQiOiIzMTAxNjA1In0=</vt:lpwstr>
  </property>
  <property fmtid="{D5CDD505-2E9C-101B-9397-08002B2CF9AE}" pid="4" name="ICV">
    <vt:lpwstr>BB8B0B20185D4E42AEF24F4985E8C55C_12</vt:lpwstr>
  </property>
</Properties>
</file>