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240" w:after="240" w:line="85" w:lineRule="atLeast"/>
        <w:rPr>
          <w:rFonts w:hint="eastAsia" w:ascii="宋体" w:hAnsi="宋体" w:eastAsia="宋体" w:cs="宋体"/>
          <w:b/>
          <w:color w:val="auto"/>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lang w:val="en-US" w:eastAsia="zh-CN"/>
        </w:rPr>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jc w:val="center"/>
        <w:spacing w:before="240" w:after="240" w:line="85" w:lineRule="atLeast"/>
        <w:rPr>
          <w:rFonts w:hint="eastAsia" w:ascii="宋体" w:hAnsi="宋体" w:eastAsia="宋体" w:cs="宋体"/>
          <w:b/>
          <w:color w:val="auto"/>
          <w:sz w:val="4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szCs w:val="22"/>
          <w:lang w:val="en-US" w:eastAsia="zh-CN" w:bidi="ar-SA"/>
        </w:rPr>
        <w:t xml:space="preserve">南京中医药大学D8实验室改造项目（含细胞房建设）</w:t>
      </w:r>
      <w:r/>
    </w:p>
    <w:p>
      <w:pPr>
        <w:jc w:val="center"/>
        <w:spacing w:before="240" w:after="240" w:line="85" w:lineRule="atLeast"/>
        <w:rPr>
          <w:rFonts w:hint="default" w:ascii="宋体" w:hAnsi="宋体" w:eastAsia="宋体" w:cs="宋体"/>
          <w:b/>
          <w:color w:val="auto"/>
          <w:sz w:val="48"/>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48"/>
          <w:szCs w:val="22"/>
          <w:lang w:val="en-US" w:eastAsia="zh-CN" w:bidi="ar-SA"/>
        </w:rPr>
      </w:r>
      <w:r/>
    </w:p>
    <w:p>
      <w:pPr>
        <w:jc w:val="center"/>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48"/>
          <w:szCs w:val="22"/>
          <w:lang w:val="en-US" w:eastAsia="zh-CN" w:bidi="ar-SA"/>
        </w:rPr>
        <w:t xml:space="preserve">招标文件</w:t>
      </w:r>
      <w:r/>
    </w:p>
    <w:p>
      <w:pPr>
        <w:jc w:val="center"/>
        <w:spacing w:before="9"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6"/>
          <w:szCs w:val="22"/>
          <w:lang w:val="en-US" w:eastAsia="zh-CN" w:bidi="ar-SA"/>
        </w:rPr>
        <w:t xml:space="preserve">（</w:t>
      </w:r>
      <w:r>
        <w:rPr>
          <w:rFonts w:hint="eastAsia" w:ascii="宋体" w:hAnsi="宋体" w:eastAsia="宋体" w:cs="宋体"/>
          <w:color w:val="auto"/>
          <w:sz w:val="36"/>
          <w:szCs w:val="22"/>
          <w:lang w:val="en-US" w:eastAsia="zh-CN" w:bidi="ar-SA"/>
        </w:rPr>
        <w:t xml:space="preserve">工程</w:t>
      </w:r>
      <w:r>
        <w:rPr>
          <w:rFonts w:hint="default" w:ascii="宋体" w:hAnsi="宋体" w:eastAsia="宋体" w:cs="宋体"/>
          <w:color w:val="auto"/>
          <w:sz w:val="36"/>
          <w:szCs w:val="22"/>
          <w:lang w:val="en-US" w:eastAsia="zh-CN" w:bidi="ar-SA"/>
        </w:rPr>
        <w:t xml:space="preserve">类）</w:t>
      </w:r>
      <w:r/>
    </w:p>
    <w:p>
      <w:pPr>
        <w:jc w:val="both"/>
        <w:spacing w:before="240" w:after="240" w:line="85" w:lineRule="atLeast"/>
        <w:rPr>
          <w:rFonts w:hint="default" w:ascii="宋体" w:hAnsi="宋体" w:eastAsia="宋体" w:cs="宋体"/>
          <w:color w:val="auto"/>
          <w:sz w:val="36"/>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6"/>
          <w:szCs w:val="22"/>
          <w:lang w:val="en-US" w:eastAsia="zh-CN" w:bidi="ar-SA"/>
        </w:rPr>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6"/>
          <w:szCs w:val="22"/>
          <w:lang w:val="en-US" w:eastAsia="zh-CN" w:bidi="ar-SA"/>
        </w:rPr>
        <w:t xml:space="preserve"> </w:t>
      </w:r>
      <w:r/>
    </w:p>
    <w:p>
      <w:pPr>
        <w:jc w:val="center"/>
        <w:spacing w:before="240" w:after="240" w:line="85" w:lineRule="atLeast"/>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招标编号：</w:t>
      </w:r>
      <w:r>
        <w:rPr>
          <w:rFonts w:hint="eastAsia" w:ascii="宋体" w:hAnsi="宋体" w:eastAsia="宋体" w:cs="宋体"/>
          <w:b/>
          <w:color w:val="auto"/>
          <w:sz w:val="36"/>
          <w:szCs w:val="22"/>
          <w:lang w:val="en-US" w:eastAsia="zh-CN" w:bidi="ar-SA"/>
        </w:rPr>
        <w:t xml:space="preserve">JSZC-320000-NJJC-G2026-0102</w:t>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jc w:val="both"/>
        <w:spacing w:before="240" w:after="240"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ind w:left="698" w:firstLine="1285"/>
        <w:jc w:val="both"/>
        <w:spacing w:line="85" w:lineRule="atLeast"/>
        <w:rPr>
          <w:rFonts w:hint="default" w:ascii="宋体" w:hAnsi="宋体" w:eastAsia="宋体" w:cs="宋体"/>
          <w:b/>
          <w:color w:val="auto"/>
          <w:sz w:val="36"/>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ind w:left="698" w:firstLine="1285"/>
        <w:jc w:val="both"/>
        <w:spacing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 </w:t>
      </w:r>
      <w:r/>
    </w:p>
    <w:p>
      <w:pPr>
        <w:ind w:left="698" w:firstLine="1285"/>
        <w:jc w:val="both"/>
        <w:spacing w:line="85" w:lineRule="atLeast"/>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采 购 人：</w:t>
      </w:r>
      <w:r>
        <w:rPr>
          <w:rFonts w:hint="eastAsia" w:ascii="宋体" w:hAnsi="宋体" w:eastAsia="宋体" w:cs="宋体"/>
          <w:b/>
          <w:color w:val="auto"/>
          <w:sz w:val="36"/>
          <w:szCs w:val="22"/>
          <w:lang w:val="en-US" w:eastAsia="zh-CN" w:bidi="ar-SA"/>
        </w:rPr>
        <w:t xml:space="preserve">南京中医药大学</w:t>
      </w:r>
      <w:r/>
    </w:p>
    <w:p>
      <w:pPr>
        <w:ind w:left="698"/>
        <w:jc w:val="both"/>
        <w:spacing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采购代理机构：南京江城工程项目管理有</w:t>
      </w:r>
      <w:r>
        <w:rPr>
          <w:rFonts w:hint="eastAsia" w:ascii="宋体" w:hAnsi="宋体" w:eastAsia="宋体" w:cs="宋体"/>
          <w:b/>
          <w:color w:val="auto"/>
          <w:sz w:val="36"/>
          <w:szCs w:val="22"/>
          <w:lang w:val="en-US" w:eastAsia="zh-CN" w:bidi="ar-SA"/>
        </w:rPr>
        <w:t xml:space="preserve">限</w:t>
      </w:r>
      <w:r>
        <w:rPr>
          <w:rFonts w:hint="default" w:ascii="宋体" w:hAnsi="宋体" w:eastAsia="宋体" w:cs="宋体"/>
          <w:b/>
          <w:color w:val="auto"/>
          <w:sz w:val="36"/>
          <w:szCs w:val="22"/>
          <w:lang w:val="en-US" w:eastAsia="zh-CN" w:bidi="ar-SA"/>
        </w:rPr>
        <w:t xml:space="preserve">公司</w:t>
      </w:r>
      <w:r/>
    </w:p>
    <w:p>
      <w:pPr>
        <w:ind w:right="1933" w:firstLine="2049"/>
        <w:jc w:val="both"/>
        <w:spacing w:line="85" w:lineRule="atLeast"/>
        <w:rPr>
          <w:rFonts w:hint="default" w:ascii="Times New Roman" w:hAnsi="Times New Roman" w:eastAsia="Arial"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2"/>
          <w:lang w:val="en-US" w:eastAsia="zh-CN" w:bidi="ar-SA"/>
        </w:rPr>
        <w:t xml:space="preserve">日期：</w:t>
      </w:r>
      <w:r>
        <w:rPr>
          <w:rFonts w:hint="eastAsia" w:ascii="宋体" w:hAnsi="宋体" w:eastAsia="宋体" w:cs="宋体"/>
          <w:b/>
          <w:color w:val="auto"/>
          <w:sz w:val="36"/>
          <w:szCs w:val="22"/>
          <w:lang w:val="en-US" w:eastAsia="zh-CN" w:bidi="ar-SA"/>
        </w:rPr>
        <w:t xml:space="preserve">二〇二六</w:t>
      </w:r>
      <w:r>
        <w:rPr>
          <w:rFonts w:hint="default" w:ascii="宋体" w:hAnsi="宋体" w:eastAsia="宋体" w:cs="宋体"/>
          <w:b/>
          <w:color w:val="auto"/>
          <w:sz w:val="36"/>
          <w:szCs w:val="22"/>
          <w:lang w:val="en-US" w:eastAsia="zh-CN" w:bidi="ar-SA"/>
        </w:rPr>
        <w:t xml:space="preserve">年</w:t>
      </w:r>
      <w:r>
        <w:rPr>
          <w:rFonts w:hint="eastAsia" w:ascii="宋体" w:hAnsi="宋体" w:eastAsia="宋体" w:cs="宋体"/>
          <w:b/>
          <w:color w:val="auto"/>
          <w:sz w:val="36"/>
          <w:szCs w:val="22"/>
          <w:lang w:val="en-US" w:eastAsia="zh-CN" w:bidi="ar-SA"/>
        </w:rPr>
        <w:t xml:space="preserve">七</w:t>
      </w:r>
      <w:r>
        <w:rPr>
          <w:rFonts w:hint="default" w:ascii="宋体" w:hAnsi="宋体" w:eastAsia="宋体" w:cs="宋体"/>
          <w:b/>
          <w:color w:val="auto"/>
          <w:sz w:val="36"/>
          <w:szCs w:val="22"/>
          <w:lang w:val="en-US" w:eastAsia="zh-CN" w:bidi="ar-SA"/>
        </w:rPr>
        <w:t xml:space="preserve">月</w:t>
      </w:r>
      <w:r/>
    </w:p>
    <w:p>
      <w:pPr>
        <w:ind w:right="1933" w:firstLine="1366"/>
        <w:jc w:val="both"/>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1401"/>
        <w:widowControl/>
        <w:rPr>
          <w:color w:val="auto"/>
        </w:rPr>
        <w:outlineLvl w:val="9"/>
      </w:pPr>
      <w:r>
        <w:rPr>
          <w:color w:val="auto"/>
        </w:rPr>
        <w:t xml:space="preserve">目 录</w:t>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第一章 招标公告</w:t>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w:instrText>
      </w:r>
      <w:r>
        <w:rPr>
          <w:rFonts w:hint="eastAsia" w:ascii="宋体" w:hAnsi="宋体" w:eastAsia="宋体" w:cs="宋体"/>
          <w:color w:val="auto"/>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auto"/>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投标供应商须知</w:t>
      </w:r>
      <w:r>
        <w:rPr>
          <w:rFonts w:hint="eastAsia" w:ascii="宋体" w:hAnsi="宋体" w:eastAsia="宋体" w:cs="宋体"/>
          <w:color w:val="auto"/>
          <w:sz w:val="28"/>
          <w:szCs w:val="28"/>
        </w:rPr>
        <w:fldChar w:fldCharType="end"/>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w:instrText>
      </w:r>
      <w:r>
        <w:rPr>
          <w:rFonts w:hint="eastAsia" w:ascii="宋体" w:hAnsi="宋体" w:eastAsia="宋体" w:cs="宋体"/>
          <w:color w:val="auto"/>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auto"/>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评标标准</w:t>
      </w:r>
      <w:r>
        <w:rPr>
          <w:rFonts w:hint="eastAsia" w:ascii="宋体" w:hAnsi="宋体" w:eastAsia="宋体" w:cs="宋体"/>
          <w:color w:val="auto"/>
          <w:sz w:val="28"/>
          <w:szCs w:val="28"/>
        </w:rPr>
        <w:fldChar w:fldCharType="end"/>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w:instrText>
      </w:r>
      <w:r>
        <w:rPr>
          <w:rFonts w:hint="eastAsia" w:ascii="宋体" w:hAnsi="宋体" w:eastAsia="宋体" w:cs="宋体"/>
          <w:color w:val="auto"/>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auto"/>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招标项目的技术规格、要求和数量等</w:t>
      </w:r>
      <w:r>
        <w:rPr>
          <w:rFonts w:hint="eastAsia" w:ascii="宋体" w:hAnsi="宋体" w:eastAsia="宋体" w:cs="宋体"/>
          <w:color w:val="auto"/>
          <w:sz w:val="28"/>
          <w:szCs w:val="28"/>
        </w:rPr>
        <w:fldChar w:fldCharType="end"/>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w:instrText>
      </w:r>
      <w:r>
        <w:rPr>
          <w:rFonts w:hint="eastAsia" w:ascii="宋体" w:hAnsi="宋体" w:eastAsia="宋体" w:cs="宋体"/>
          <w:color w:val="auto"/>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合同草案条款及格式</w:t>
      </w:r>
      <w:r>
        <w:rPr>
          <w:rFonts w:hint="eastAsia" w:ascii="宋体" w:hAnsi="宋体" w:eastAsia="宋体" w:cs="宋体"/>
          <w:color w:val="auto"/>
          <w:sz w:val="28"/>
          <w:szCs w:val="28"/>
        </w:rPr>
        <w:fldChar w:fldCharType="end"/>
      </w:r>
      <w:r/>
    </w:p>
    <w:p>
      <w:pPr>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w:instrText>
      </w:r>
      <w:r>
        <w:rPr>
          <w:rFonts w:hint="eastAsia" w:ascii="宋体" w:hAnsi="宋体" w:eastAsia="宋体" w:cs="宋体"/>
          <w:color w:val="auto"/>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auto"/>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第六章 投标文件格式</w:t>
      </w:r>
      <w:r>
        <w:rPr>
          <w:rFonts w:hint="eastAsia" w:ascii="宋体" w:hAnsi="宋体" w:eastAsia="宋体" w:cs="宋体"/>
          <w:color w:val="auto"/>
          <w:sz w:val="28"/>
          <w:szCs w:val="28"/>
        </w:rPr>
        <w:fldChar w:fldCharType="end"/>
      </w:r>
      <w:r/>
    </w:p>
    <w:p>
      <w:pPr>
        <w:jc w:val="both"/>
        <w:spacing w:line="85" w:lineRule="atLeast"/>
        <w:rPr>
          <w:rFonts w:hint="eastAsia" w:ascii="宋体" w:hAnsi="宋体" w:eastAsia="宋体" w:cs="宋体"/>
          <w:b/>
          <w:color w:val="auto"/>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auto"/>
          <w:sz w:val="32"/>
        </w:rPr>
        <w:t xml:space="preserve">  </w:t>
      </w:r>
      <w:r/>
    </w:p>
    <w:p>
      <w:pPr>
        <w:pStyle w:val="1226"/>
        <w:numPr>
          <w:ilvl w:val="0"/>
          <w:numId w:val="2"/>
        </w:numPr>
        <w:ind w:left="0" w:firstLine="0"/>
        <w:jc w:val="center"/>
        <w:widowControl/>
        <w:rPr>
          <w:b w:val="0"/>
          <w:color w:val="auto"/>
        </w:rPr>
      </w:pPr>
      <w:r>
        <w:rPr>
          <w:color w:val="auto"/>
        </w:rPr>
        <w:t xml:space="preserve">招标公告</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u w:val="single"/>
        </w:rPr>
        <w:t xml:space="preserve">南京中医药大学D8实验室改造项目（含细胞房建设）</w:t>
      </w:r>
      <w:r>
        <w:rPr>
          <w:rFonts w:ascii="Times New Roman" w:hAnsi="Times New Roman" w:eastAsia="宋体" w:cs="Times New Roman"/>
          <w:color w:val="auto"/>
          <w:sz w:val="21"/>
          <w:szCs w:val="21"/>
        </w:rPr>
        <w:t xml:space="preserve">项目的潜在供应商应在</w:t>
      </w:r>
      <w:r>
        <w:rPr>
          <w:rFonts w:ascii="Times New Roman" w:hAnsi="Times New Roman" w:eastAsia="宋体" w:cs="Times New Roman"/>
          <w:color w:val="auto"/>
          <w:sz w:val="21"/>
          <w:szCs w:val="21"/>
          <w:u w:val="single"/>
        </w:rPr>
        <w:t xml:space="preserve">“苏采云”系统内免费下载</w:t>
      </w:r>
      <w:r>
        <w:rPr>
          <w:rFonts w:ascii="Times New Roman" w:hAnsi="Times New Roman" w:eastAsia="宋体" w:cs="Times New Roman"/>
          <w:color w:val="auto"/>
          <w:sz w:val="21"/>
          <w:szCs w:val="21"/>
        </w:rPr>
        <w:t xml:space="preserve">招标文件，并于</w:t>
      </w:r>
      <w:r>
        <w:rPr>
          <w:rFonts w:ascii="Times New Roman" w:hAnsi="Times New Roman" w:eastAsia="宋体" w:cs="Times New Roman"/>
          <w:color w:val="auto"/>
          <w:sz w:val="21"/>
          <w:szCs w:val="21"/>
          <w:u w:val="single"/>
        </w:rPr>
        <w:t xml:space="preserve">2026年</w:t>
      </w:r>
      <w:r>
        <w:rPr>
          <w:rFonts w:hint="eastAsia" w:cs="Times New Roman"/>
          <w:color w:val="auto"/>
          <w:sz w:val="21"/>
          <w:szCs w:val="21"/>
          <w:u w:val="single"/>
          <w:lang w:val="en-US" w:eastAsia="zh-CN"/>
        </w:rPr>
        <w:t xml:space="preserve">8</w:t>
      </w:r>
      <w:r>
        <w:rPr>
          <w:rFonts w:ascii="Times New Roman" w:hAnsi="Times New Roman" w:eastAsia="宋体" w:cs="Times New Roman"/>
          <w:color w:val="auto"/>
          <w:sz w:val="21"/>
          <w:szCs w:val="21"/>
          <w:u w:val="single"/>
        </w:rPr>
        <w:t xml:space="preserve">月21</w:t>
      </w:r>
      <w:r>
        <w:rPr>
          <w:rFonts w:ascii="Times New Roman" w:hAnsi="Times New Roman" w:eastAsia="宋体" w:cs="Times New Roman"/>
          <w:color w:val="auto"/>
          <w:sz w:val="21"/>
          <w:szCs w:val="21"/>
          <w:u w:val="single"/>
        </w:rPr>
        <w:t xml:space="preserve">日09点30分</w:t>
      </w:r>
      <w:r>
        <w:rPr>
          <w:rFonts w:ascii="Times New Roman" w:hAnsi="Times New Roman" w:eastAsia="宋体" w:cs="Times New Roman"/>
          <w:color w:val="auto"/>
          <w:sz w:val="21"/>
          <w:szCs w:val="21"/>
        </w:rPr>
        <w:t xml:space="preserve">（北京时间）前递交投标文件。</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项目基本情况</w:t>
      </w:r>
      <w:r/>
    </w:p>
    <w:p>
      <w:pPr>
        <w:pStyle w:val="1240"/>
        <w:numPr>
          <w:ilvl w:val="0"/>
          <w:numId w:val="4"/>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项目编号：</w:t>
      </w:r>
      <w:r>
        <w:rPr>
          <w:rFonts w:hint="eastAsia" w:ascii="Times New Roman" w:hAnsi="Times New Roman" w:eastAsia="宋体" w:cs="Times New Roman"/>
          <w:color w:val="auto"/>
          <w:sz w:val="21"/>
          <w:szCs w:val="21"/>
        </w:rPr>
        <w:t xml:space="preserve">JSZC-320000-NJJC-G2026-0102</w:t>
      </w:r>
      <w:r/>
    </w:p>
    <w:p>
      <w:pPr>
        <w:pStyle w:val="1240"/>
        <w:numPr>
          <w:ilvl w:val="0"/>
          <w:numId w:val="4"/>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项目名称：南京中医药大学D8实验室改造项目（含细胞房建设）</w:t>
      </w:r>
      <w:r/>
    </w:p>
    <w:p>
      <w:pPr>
        <w:pStyle w:val="1240"/>
        <w:numPr>
          <w:ilvl w:val="0"/>
          <w:numId w:val="4"/>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采购方式：公开招标 </w:t>
      </w:r>
      <w:r/>
    </w:p>
    <w:p>
      <w:pPr>
        <w:pStyle w:val="1240"/>
        <w:numPr>
          <w:ilvl w:val="0"/>
          <w:numId w:val="4"/>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预算金额：324万元 </w:t>
      </w:r>
      <w:r/>
    </w:p>
    <w:p>
      <w:pPr>
        <w:pStyle w:val="1240"/>
        <w:numPr>
          <w:ilvl w:val="0"/>
          <w:numId w:val="0"/>
        </w:numPr>
        <w:ind w:left="480"/>
        <w:widowControl/>
        <w:rPr>
          <w:rFonts w:hint="eastAsia" w:ascii="宋体" w:hAnsi="宋体" w:eastAsia="宋体" w:cs="宋体"/>
          <w:b w:val="0"/>
          <w:color w:val="auto"/>
          <w:sz w:val="21"/>
          <w:szCs w:val="21"/>
          <w:highlight w:val="red"/>
        </w:rPr>
        <w:pBdr>
          <w:top w:val="none" w:color="000000" w:sz="0" w:space="0"/>
          <w:left w:val="none" w:color="000000" w:sz="0" w:space="0"/>
          <w:bottom w:val="none" w:color="000000" w:sz="0" w:space="0"/>
          <w:right w:val="none" w:color="000000" w:sz="0" w:space="0"/>
        </w:pBdr>
      </w:pPr>
      <w:r>
        <w:rPr>
          <w:rStyle w:val="1553"/>
          <w:rFonts w:hint="eastAsia"/>
          <w:color w:val="auto"/>
          <w:sz w:val="21"/>
          <w:szCs w:val="21"/>
          <w:lang w:val="en-US" w:eastAsia="zh-CN"/>
        </w:rPr>
        <w:t xml:space="preserve">1.5 </w:t>
      </w:r>
      <w:r>
        <w:rPr>
          <w:rStyle w:val="1553"/>
          <w:color w:val="auto"/>
          <w:sz w:val="21"/>
          <w:szCs w:val="21"/>
        </w:rPr>
        <w:t xml:space="preserve">最高限价：319.704093</w:t>
      </w:r>
      <w:r>
        <w:rPr>
          <w:rFonts w:ascii="Times New Roman" w:hAnsi="Times New Roman" w:eastAsia="宋体" w:cs="Times New Roman"/>
          <w:i w:val="0"/>
          <w:color w:val="auto"/>
          <w:sz w:val="21"/>
          <w:szCs w:val="21"/>
          <w:shd w:val="clear" w:color="auto" w:fill="ffffff" w:themeFill="background1"/>
        </w:rPr>
        <w:t xml:space="preserve">万元</w:t>
      </w:r>
      <w:r>
        <w:rPr>
          <w:rFonts w:ascii="Times New Roman" w:hAnsi="Times New Roman" w:eastAsia="宋体" w:cs="Times New Roman"/>
          <w:color w:val="auto"/>
          <w:sz w:val="21"/>
          <w:szCs w:val="21"/>
          <w:shd w:val="clear" w:color="auto" w:fill="ffffff" w:themeFill="background1"/>
        </w:rPr>
        <w:t xml:space="preserve">，投标报价超过最</w:t>
      </w:r>
      <w:r>
        <w:rPr>
          <w:rFonts w:ascii="Times New Roman" w:hAnsi="Times New Roman" w:eastAsia="宋体" w:cs="Times New Roman"/>
          <w:color w:val="auto"/>
          <w:sz w:val="21"/>
          <w:szCs w:val="21"/>
        </w:rPr>
        <w:t xml:space="preserve">高限价的为无效投标</w:t>
      </w:r>
      <w:r/>
    </w:p>
    <w:p>
      <w:pPr>
        <w:pStyle w:val="1240"/>
        <w:numPr>
          <w:ilvl w:val="0"/>
          <w:numId w:val="0"/>
        </w:numPr>
        <w:ind w:left="0" w:firstLine="420"/>
        <w:keepLines w:val="0"/>
        <w:keepNext w:val="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hint="eastAsia" w:cs="Times New Roman"/>
          <w:color w:val="auto"/>
          <w:sz w:val="21"/>
          <w:szCs w:val="21"/>
          <w:lang w:val="en-US" w:eastAsia="zh-CN"/>
        </w:rPr>
        <w:t xml:space="preserve">1.6</w:t>
      </w:r>
      <w:r>
        <w:rPr>
          <w:rFonts w:ascii="Times New Roman" w:hAnsi="Times New Roman" w:eastAsia="宋体" w:cs="Times New Roman"/>
          <w:color w:val="auto"/>
          <w:sz w:val="21"/>
          <w:szCs w:val="21"/>
        </w:rPr>
        <w:t xml:space="preserve">采购需求：改造内容包括内部区域重新分隔，基础装修及水电改造、消防系统、外立面出新、屋面防水、立面所有铝合金窗更换等。内部设施及设备包含：集中细胞房、实验中央台、边台、通风橱、万向罩、试剂柜、超净工作台、生物安全柜、通排风系统、空调系统、监控系统、门禁系统、办公家具、实验家具等。改造后，一楼局部区域为集中细胞房、气瓶间及学术交流室（所有团队集中共享使用），剩余区域考虑2组团队进行实验研究，主要功能为：理化实验室、仪器室、灭菌室等相关实验用房及学术交流室。具体详见工程量清单及图纸。</w:t>
      </w:r>
      <w:r/>
    </w:p>
    <w:p>
      <w:pPr>
        <w:pStyle w:val="1240"/>
        <w:numPr>
          <w:ilvl w:val="0"/>
          <w:numId w:val="0"/>
        </w:numPr>
        <w:ind w:left="0" w:firstLine="420"/>
        <w:keepLines w:val="0"/>
        <w:keepNext w:val="0"/>
        <w:pageBreakBefore w:val="0"/>
        <w:spacing w:before="0" w:after="0"/>
        <w:widowControl/>
        <w:rPr>
          <w:rFonts w:hint="eastAsia"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lang w:val="en-US" w:eastAsia="zh-CN"/>
        </w:rPr>
        <w:t xml:space="preserve">1.7</w:t>
      </w:r>
      <w:r>
        <w:rPr>
          <w:rFonts w:ascii="Times New Roman" w:hAnsi="Times New Roman" w:eastAsia="宋体" w:cs="Times New Roman"/>
          <w:color w:val="auto"/>
          <w:sz w:val="21"/>
          <w:szCs w:val="21"/>
        </w:rPr>
        <w:t xml:space="preserve">合同履行期限：【80】日历天。即本工程自发包人下达的书面开工令载明的开工之日起【80】日历天竣工。</w:t>
      </w:r>
      <w:r/>
    </w:p>
    <w:p>
      <w:pPr>
        <w:pStyle w:val="1240"/>
        <w:numPr>
          <w:ilvl w:val="0"/>
          <w:numId w:val="0"/>
        </w:numPr>
        <w:ind w:left="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hint="eastAsia" w:cs="Times New Roman"/>
          <w:color w:val="auto"/>
          <w:sz w:val="21"/>
          <w:szCs w:val="21"/>
          <w:lang w:val="en-US" w:eastAsia="zh-CN"/>
        </w:rPr>
        <w:t xml:space="preserve">1.8</w:t>
      </w:r>
      <w:r>
        <w:rPr>
          <w:rFonts w:ascii="Times New Roman" w:hAnsi="Times New Roman" w:eastAsia="宋体" w:cs="Times New Roman"/>
          <w:color w:val="auto"/>
          <w:sz w:val="21"/>
          <w:szCs w:val="21"/>
        </w:rPr>
        <w:t xml:space="preserve">本项目不接受联合体投标</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申请人的资格要求</w:t>
      </w:r>
      <w:r/>
    </w:p>
    <w:p>
      <w:pPr>
        <w:pStyle w:val="1228"/>
        <w:numPr>
          <w:ilvl w:val="0"/>
          <w:numId w:val="5"/>
        </w:numPr>
        <w:ind w:left="0" w:firstLine="0"/>
        <w:widowControl/>
        <w:rPr>
          <w:rFonts w:hint="eastAsia" w:ascii="黑体" w:hAnsi="黑体" w:eastAsia="黑体" w:cs="黑体"/>
          <w:b w:val="0"/>
          <w:color w:val="auto"/>
          <w:sz w:val="21"/>
          <w:szCs w:val="21"/>
        </w:rPr>
      </w:pPr>
      <w:r>
        <w:rPr>
          <w:color w:val="auto"/>
          <w:sz w:val="21"/>
          <w:szCs w:val="21"/>
        </w:rPr>
        <w:t xml:space="preserve">满足《中华人民共和国政府采购法》第二十二条规定：</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具有独立承担民事责任的能力（提供法人或者其他组织的营业执照，自然人的身份证明扫描件并上传至投标文件中）；</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具有良好的商业信誉和健全的财务会计制度（提供经审计2025年度财务报告扫描件加盖公章，或提供投标截止时间前6个月内</w:t>
      </w:r>
      <w:bookmarkStart w:id="0" w:name="_Hlk212586715"/>
      <w:r>
        <w:rPr>
          <w:rFonts w:ascii="Times New Roman" w:hAnsi="Times New Roman" w:eastAsia="宋体" w:cs="Times New Roman"/>
          <w:color w:val="auto"/>
          <w:sz w:val="21"/>
          <w:szCs w:val="21"/>
        </w:rPr>
        <w:t xml:space="preserve">（即</w:t>
      </w:r>
      <w:bookmarkEnd w:id="0"/>
      <w:r>
        <w:rPr>
          <w:rFonts w:ascii="Times New Roman" w:hAnsi="Times New Roman" w:eastAsia="宋体" w:cs="Times New Roman"/>
          <w:color w:val="auto"/>
          <w:sz w:val="21"/>
          <w:szCs w:val="21"/>
        </w:rPr>
        <w:t xml:space="preserve">2026年2月以来）任意一个月的财务报表（至少包含利润表和资产负债表）扫描件，或银行出具的投标截止时间前6个月（即2026年2月以来）内资信证书扫描件，或财政部门认可的政府采购专业担保机构出具的投标担保函扫描件上传至电子投标文件中）；</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具有履行合同所必需的设备和专业技术能力（根据项目需求提供履行合同所必需的设备和专业技术能力的证明材料并加盖公章的承诺书原件扫描件上传至电子投标文件）；</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有依法缴纳税收和社会保障资金的良好记录（提供参加本次政府采购活动前半年内（即2026年2月以来），至少1个月缴纳税收和社会保险的凭证扫描件，依法享受免缴、缓缴的，提供证明材料扫描件上传至电子投标文件中）；</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参加政府采购活动前三年内，在经营活动中没有重大违法记录（提供参加本次政府采购活动前3年内在经营活动中没有重大违法记录的书面声明上传至电子投标文件中）（格式见后附件）；</w:t>
      </w:r>
      <w:r/>
    </w:p>
    <w:p>
      <w:pPr>
        <w:pStyle w:val="1240"/>
        <w:numPr>
          <w:ilvl w:val="0"/>
          <w:numId w:val="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法律、行政法规规定的其他条件。</w:t>
      </w:r>
      <w:r/>
    </w:p>
    <w:p>
      <w:pPr>
        <w:pStyle w:val="1228"/>
        <w:numPr>
          <w:ilvl w:val="0"/>
          <w:numId w:val="5"/>
        </w:numPr>
        <w:ind w:left="0" w:firstLine="0"/>
        <w:widowControl/>
        <w:rPr>
          <w:rFonts w:hint="eastAsia" w:ascii="黑体" w:hAnsi="黑体" w:eastAsia="黑体" w:cs="黑体"/>
          <w:b w:val="0"/>
          <w:color w:val="auto"/>
          <w:sz w:val="21"/>
          <w:szCs w:val="21"/>
        </w:rPr>
      </w:pPr>
      <w:r>
        <w:rPr>
          <w:color w:val="auto"/>
          <w:sz w:val="21"/>
          <w:szCs w:val="21"/>
        </w:rPr>
        <w:t xml:space="preserve">落实政府采购政策需要满足的资格条件：本项目非专门面向中小企业采购，执行价格优惠政策。</w:t>
      </w:r>
      <w:r/>
    </w:p>
    <w:p>
      <w:pPr>
        <w:pStyle w:val="1228"/>
        <w:numPr>
          <w:ilvl w:val="0"/>
          <w:numId w:val="5"/>
        </w:numPr>
        <w:ind w:left="0" w:firstLine="0"/>
        <w:widowControl/>
        <w:rPr>
          <w:rFonts w:hint="eastAsia" w:ascii="黑体" w:hAnsi="黑体" w:eastAsia="黑体" w:cs="黑体"/>
          <w:b w:val="0"/>
          <w:color w:val="auto"/>
          <w:sz w:val="21"/>
          <w:szCs w:val="21"/>
        </w:rPr>
      </w:pPr>
      <w:r>
        <w:rPr>
          <w:color w:val="auto"/>
          <w:sz w:val="21"/>
          <w:szCs w:val="21"/>
        </w:rPr>
        <w:t xml:space="preserve">采购人根据项目的特殊要求规定的特定条件：</w:t>
      </w:r>
      <w:r/>
    </w:p>
    <w:p>
      <w:pPr>
        <w:pStyle w:val="1240"/>
        <w:numPr>
          <w:ilvl w:val="0"/>
          <w:numId w:val="7"/>
        </w:numPr>
        <w:ind w:left="0" w:firstLine="482"/>
        <w:widowControl/>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具备施工总承包建筑工程三级(含)以上并且具备有效的安全生产许可证。（提供有效期内的证书扫描件上传至电子投标文件中）</w:t>
      </w:r>
      <w:r/>
    </w:p>
    <w:p>
      <w:pPr>
        <w:pStyle w:val="1240"/>
        <w:numPr>
          <w:ilvl w:val="0"/>
          <w:numId w:val="7"/>
        </w:numPr>
        <w:ind w:left="0" w:firstLine="482"/>
        <w:widowControl/>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项目负责人资格：具备注册建造师证建筑工程二级(含)以上并且具备有效的安全生产考核合格证书（B类证），</w:t>
      </w:r>
      <w:r>
        <w:rPr>
          <w:rFonts w:ascii="Times New Roman" w:hAnsi="Times New Roman" w:eastAsia="宋体" w:cs="Times New Roman"/>
          <w:b/>
          <w:color w:val="auto"/>
          <w:sz w:val="21"/>
          <w:szCs w:val="21"/>
          <w:highlight w:val="none"/>
        </w:rPr>
        <w:t xml:space="preserve">提供有效的证书扫描件及供应商为项目经理缴纳的近半年（2026年2月-2026年7月）任意一个月社保证明材料扫描上传至电子投标文件中。</w:t>
      </w:r>
      <w:r/>
    </w:p>
    <w:p>
      <w:pPr>
        <w:pStyle w:val="1228"/>
        <w:numPr>
          <w:ilvl w:val="0"/>
          <w:numId w:val="5"/>
        </w:numPr>
        <w:ind w:left="0" w:firstLine="0"/>
        <w:widowControl/>
        <w:rPr>
          <w:rFonts w:hint="eastAsia" w:ascii="黑体" w:hAnsi="黑体" w:eastAsia="黑体" w:cs="黑体"/>
          <w:b w:val="0"/>
          <w:color w:val="auto"/>
          <w:sz w:val="21"/>
          <w:szCs w:val="21"/>
        </w:rPr>
      </w:pPr>
      <w:r>
        <w:rPr>
          <w:color w:val="auto"/>
          <w:sz w:val="21"/>
          <w:szCs w:val="21"/>
        </w:rPr>
        <w:t xml:space="preserve">拒绝下述供应商参加本次招标活动：</w:t>
      </w:r>
      <w:r/>
    </w:p>
    <w:p>
      <w:pPr>
        <w:pStyle w:val="1240"/>
        <w:numPr>
          <w:ilvl w:val="0"/>
          <w:numId w:val="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供应商单位负责人为同一人或者存在直接控股、管理关系的不同供应商，不得参加同一合同项下的政府采购活动。</w:t>
      </w:r>
      <w:r/>
    </w:p>
    <w:p>
      <w:pPr>
        <w:pStyle w:val="1240"/>
        <w:numPr>
          <w:ilvl w:val="0"/>
          <w:numId w:val="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凡为采购项目提供整体设计、规范编制或者项目管理、监理、检测等服务的供应商，不得再参加本项目的采购活动。</w:t>
      </w:r>
      <w:r/>
    </w:p>
    <w:p>
      <w:pPr>
        <w:pStyle w:val="1240"/>
        <w:numPr>
          <w:ilvl w:val="0"/>
          <w:numId w:val="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供应商被“信用中国”网站（www.creditchina.gov.cn）、“中国政府采购网”（www.ccgp.gov.cn） 列入失信被执行人、重大税收违法失信主体名单、政府采购严重违法失信行为记录名单。</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获取招标文件</w:t>
      </w:r>
      <w:r/>
    </w:p>
    <w:p>
      <w:pPr>
        <w:pStyle w:val="1240"/>
        <w:numPr>
          <w:ilvl w:val="0"/>
          <w:numId w:val="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时间：自招标文件公告发布之日起5个工作日。</w:t>
      </w:r>
      <w:r/>
    </w:p>
    <w:p>
      <w:pPr>
        <w:pStyle w:val="1240"/>
        <w:numPr>
          <w:ilvl w:val="0"/>
          <w:numId w:val="9"/>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地点：“苏采云”系统内免费下载（投标人必须在苏采云系统中获取采购文件，方能参与本次政府采购项目）</w:t>
      </w:r>
      <w:r/>
    </w:p>
    <w:p>
      <w:pPr>
        <w:pStyle w:val="1240"/>
        <w:numPr>
          <w:ilvl w:val="0"/>
          <w:numId w:val="9"/>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方式：苏采云系统注册登记成功后系统内免费下载。</w:t>
      </w:r>
      <w:r/>
    </w:p>
    <w:p>
      <w:pPr>
        <w:pStyle w:val="1240"/>
        <w:numPr>
          <w:ilvl w:val="0"/>
          <w:numId w:val="9"/>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售价：0元。</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提交投标文件截止时间、开标时间和地点</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投标文件截止时间、开标时间：2026年</w:t>
      </w:r>
      <w:r>
        <w:rPr>
          <w:rFonts w:hint="eastAsia" w:cs="Times New Roman"/>
          <w:color w:val="auto"/>
          <w:sz w:val="21"/>
          <w:szCs w:val="21"/>
          <w:lang w:val="en-US" w:eastAsia="zh-CN"/>
        </w:rPr>
        <w:t xml:space="preserve">8</w:t>
      </w:r>
      <w:r>
        <w:rPr>
          <w:rFonts w:ascii="Times New Roman" w:hAnsi="Times New Roman" w:eastAsia="宋体" w:cs="Times New Roman"/>
          <w:color w:val="auto"/>
          <w:sz w:val="21"/>
          <w:szCs w:val="21"/>
        </w:rPr>
        <w:t xml:space="preserve">月21</w:t>
      </w:r>
      <w:r>
        <w:rPr>
          <w:rFonts w:ascii="Times New Roman" w:hAnsi="Times New Roman" w:eastAsia="宋体" w:cs="Times New Roman"/>
          <w:color w:val="auto"/>
          <w:sz w:val="21"/>
          <w:szCs w:val="21"/>
        </w:rPr>
        <w:t xml:space="preserve">日09点30分（北京时间）</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地点：“苏采云”系统（网址：http://jszfcg.jsczt.cn/）“开标大厅”</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公告期限</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自本公告发布之日起5个工作日</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其他补充事宜</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本项目采购标的对应的中小企业划分标准所属行业为：建筑业。</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本次招标不收取投标保证金。</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落实政府采购政策需满足：</w:t>
      </w:r>
      <w:r/>
    </w:p>
    <w:p>
      <w:pPr>
        <w:pStyle w:val="1240"/>
        <w:numPr>
          <w:ilvl w:val="0"/>
          <w:numId w:val="1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《关于进一步加大政府采购支持中小企业力度的通知》</w:t>
      </w:r>
      <w:r/>
    </w:p>
    <w:p>
      <w:pPr>
        <w:pStyle w:val="1240"/>
        <w:numPr>
          <w:ilvl w:val="0"/>
          <w:numId w:val="1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《关于政府采购支持监狱企业发展有关问题的通知》</w:t>
      </w:r>
      <w:r/>
    </w:p>
    <w:p>
      <w:pPr>
        <w:pStyle w:val="1240"/>
        <w:numPr>
          <w:ilvl w:val="0"/>
          <w:numId w:val="1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《关于促进残疾人就业政府采购政策的通知》</w:t>
      </w:r>
      <w:r/>
    </w:p>
    <w:p>
      <w:pPr>
        <w:pStyle w:val="1240"/>
        <w:numPr>
          <w:ilvl w:val="0"/>
          <w:numId w:val="1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《关于调整优化节能产品、环境标志产品政府采购执行机制的通知》</w:t>
      </w:r>
      <w:r/>
    </w:p>
    <w:p>
      <w:pPr>
        <w:pStyle w:val="1240"/>
        <w:numPr>
          <w:ilvl w:val="0"/>
          <w:numId w:val="1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《国务院办公厅关于在政府采购中实施本国产品标准及相关政策的通知》</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本次采购公告在“江苏政府采购网”上发布，有关本次采购的事项若存在变动或修改，敬请及时关注代理机构在“江苏政府采购网”发布的更正公告。</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本项目组织集中勘察，勘察时间：2026年</w:t>
      </w:r>
      <w:r>
        <w:rPr>
          <w:rFonts w:hint="eastAsia" w:cs="Times New Roman"/>
          <w:color w:val="auto"/>
          <w:sz w:val="21"/>
          <w:szCs w:val="21"/>
          <w:lang w:val="en-US" w:eastAsia="zh-CN"/>
        </w:rPr>
        <w:t xml:space="preserve">8</w:t>
      </w:r>
      <w:r>
        <w:rPr>
          <w:rFonts w:ascii="Times New Roman" w:hAnsi="Times New Roman" w:eastAsia="宋体" w:cs="Times New Roman"/>
          <w:color w:val="auto"/>
          <w:sz w:val="21"/>
          <w:szCs w:val="21"/>
        </w:rPr>
        <w:t xml:space="preserve">月10</w:t>
      </w:r>
      <w:r>
        <w:rPr>
          <w:rFonts w:ascii="Times New Roman" w:hAnsi="Times New Roman" w:eastAsia="宋体" w:cs="Times New Roman"/>
          <w:color w:val="auto"/>
          <w:sz w:val="21"/>
          <w:szCs w:val="21"/>
        </w:rPr>
        <w:t xml:space="preserve">日09时30分 ；勘察地点：具体要求详见招标文件。</w:t>
      </w:r>
      <w:r/>
    </w:p>
    <w:p>
      <w:pPr>
        <w:pStyle w:val="1240"/>
        <w:numPr>
          <w:ilvl w:val="0"/>
          <w:numId w:val="1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企业资质动态核查相关要求：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资格审查委员会或评标委员会对各供应商的资质动态情况进行核查，供应商在资格预审申请文件递交截止时间当日及响应文件递交截止时间当日，建筑业企业资质动态监管结果处于不合格状态的，作为资格审查不通过（或响应无效）处理。</w:t>
      </w:r>
      <w:r/>
    </w:p>
    <w:p>
      <w:pPr>
        <w:pStyle w:val="1227"/>
        <w:numPr>
          <w:ilvl w:val="0"/>
          <w:numId w:val="3"/>
        </w:numPr>
        <w:ind w:left="0" w:firstLine="0"/>
        <w:widowControl/>
        <w:rPr>
          <w:rFonts w:hint="eastAsia" w:ascii="黑体" w:hAnsi="黑体" w:eastAsia="黑体" w:cs="黑体"/>
          <w:b w:val="0"/>
          <w:color w:val="auto"/>
          <w:sz w:val="21"/>
          <w:szCs w:val="21"/>
        </w:rPr>
      </w:pPr>
      <w:r>
        <w:rPr>
          <w:color w:val="auto"/>
          <w:sz w:val="21"/>
          <w:szCs w:val="21"/>
        </w:rPr>
        <w:t xml:space="preserve">对本次招标提出询问，请按以下方式联系</w:t>
      </w:r>
      <w:r/>
    </w:p>
    <w:p>
      <w:pPr>
        <w:pStyle w:val="1228"/>
        <w:numPr>
          <w:ilvl w:val="0"/>
          <w:numId w:val="12"/>
        </w:numPr>
        <w:ind w:left="0" w:firstLine="0"/>
        <w:widowControl/>
        <w:rPr>
          <w:rFonts w:hint="eastAsia" w:ascii="黑体" w:hAnsi="黑体" w:eastAsia="黑体" w:cs="黑体"/>
          <w:b w:val="0"/>
          <w:color w:val="auto"/>
          <w:sz w:val="21"/>
          <w:szCs w:val="21"/>
        </w:rPr>
      </w:pPr>
      <w:r>
        <w:rPr>
          <w:color w:val="auto"/>
          <w:sz w:val="21"/>
          <w:szCs w:val="21"/>
        </w:rPr>
        <w:t xml:space="preserve">采购人</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名称：南京中医药大学</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地址：南京市栖霞区仙林大道138号</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联系人：梁老师</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联系电话：025-85811022</w:t>
      </w:r>
      <w:r/>
    </w:p>
    <w:p>
      <w:pPr>
        <w:pStyle w:val="1228"/>
        <w:numPr>
          <w:ilvl w:val="0"/>
          <w:numId w:val="12"/>
        </w:numPr>
        <w:ind w:left="0" w:firstLine="0"/>
        <w:widowControl/>
        <w:rPr>
          <w:rFonts w:hint="eastAsia" w:ascii="黑体" w:hAnsi="黑体" w:eastAsia="黑体" w:cs="黑体"/>
          <w:b w:val="0"/>
          <w:color w:val="auto"/>
          <w:sz w:val="21"/>
          <w:szCs w:val="21"/>
        </w:rPr>
      </w:pPr>
      <w:r>
        <w:rPr>
          <w:color w:val="auto"/>
          <w:sz w:val="21"/>
          <w:szCs w:val="21"/>
        </w:rPr>
        <w:t xml:space="preserve">招标代理机构</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名称：南京江城工程项目管理有限公司</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地址：南京市建邺区云龙山路89号龙湖时代1栋29楼</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联系人:马根荣、孔德红</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电话：025-58835827-8031</w:t>
      </w:r>
      <w:r/>
    </w:p>
    <w:p>
      <w:pPr>
        <w:pStyle w:val="1228"/>
        <w:numPr>
          <w:ilvl w:val="0"/>
          <w:numId w:val="12"/>
        </w:numPr>
        <w:ind w:left="0" w:firstLine="0"/>
        <w:widowControl/>
        <w:rPr>
          <w:rFonts w:hint="eastAsia" w:ascii="黑体" w:hAnsi="黑体" w:eastAsia="黑体" w:cs="黑体"/>
          <w:b w:val="0"/>
          <w:color w:val="auto"/>
          <w:sz w:val="21"/>
          <w:szCs w:val="21"/>
        </w:rPr>
      </w:pPr>
      <w:r>
        <w:rPr>
          <w:color w:val="auto"/>
          <w:sz w:val="21"/>
          <w:szCs w:val="21"/>
        </w:rPr>
        <w:t xml:space="preserve">项目联系方式</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项目联系人：马根荣、孔德红</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电　话： 025-58835827-8031</w:t>
      </w:r>
      <w:r/>
    </w:p>
    <w:p>
      <w:pPr>
        <w:jc w:val="both"/>
        <w:spacing w:line="360" w:lineRule="auto"/>
        <w:rPr>
          <w:rFonts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 </w:t>
      </w:r>
      <w:r/>
    </w:p>
    <w:p>
      <w:pPr>
        <w:jc w:val="both"/>
        <w:spacing w:line="360" w:lineRule="auto"/>
        <w:rPr>
          <w:rFonts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rPr>
      </w:r>
      <w:r/>
    </w:p>
    <w:p>
      <w:pPr>
        <w:jc w:val="both"/>
        <w:spacing w:line="360" w:lineRule="auto"/>
        <w:rPr>
          <w:rFonts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pStyle w:val="1226"/>
        <w:numPr>
          <w:ilvl w:val="0"/>
          <w:numId w:val="2"/>
        </w:numPr>
        <w:ind w:left="0" w:firstLine="0"/>
        <w:jc w:val="center"/>
        <w:widowControl/>
        <w:rPr>
          <w:rFonts w:hint="eastAsia" w:ascii="黑体" w:hAnsi="黑体" w:eastAsia="黑体" w:cs="黑体"/>
          <w:b w:val="0"/>
          <w:color w:val="auto"/>
        </w:rPr>
      </w:pPr>
      <w:r>
        <w:rPr>
          <w:color w:val="auto"/>
        </w:rPr>
        <w:t xml:space="preserve">投标供应商须知</w:t>
      </w:r>
      <w:r/>
    </w:p>
    <w:p>
      <w:pPr>
        <w:pStyle w:val="1345"/>
        <w:widowControl/>
        <w:rPr>
          <w:color w:val="auto"/>
        </w:rPr>
      </w:pPr>
      <w:r>
        <w:rPr>
          <w:color w:val="auto"/>
        </w:rPr>
        <w:t xml:space="preserve">前附表</w:t>
      </w:r>
      <w:r/>
    </w:p>
    <w:tbl>
      <w:tblPr>
        <w:tblStyle w:val="12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864"/>
        <w:gridCol w:w="6435"/>
      </w:tblGrid>
      <w:tr>
        <w:trPr>
          <w:jc w:val="center"/>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rPr>
              <w:t xml:space="preserve">序号</w:t>
            </w:r>
            <w:r/>
          </w:p>
        </w:tc>
        <w:tc>
          <w:tcPr>
            <w:tcMar>
              <w:left w:w="108" w:type="dxa"/>
              <w:top w:w="0" w:type="dxa"/>
              <w:right w:w="108" w:type="dxa"/>
              <w:bottom w:w="0" w:type="dxa"/>
            </w:tcMar>
            <w:tcW w:w="1042"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rPr>
              <w:t xml:space="preserve">名称</w:t>
            </w:r>
            <w:r/>
          </w:p>
        </w:tc>
        <w:tc>
          <w:tcPr>
            <w:tcMar>
              <w:left w:w="108" w:type="dxa"/>
              <w:top w:w="0" w:type="dxa"/>
              <w:right w:w="108" w:type="dxa"/>
              <w:bottom w:w="0" w:type="dxa"/>
            </w:tcMar>
            <w:tcW w:w="3598"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rPr>
              <w:t xml:space="preserve">内容</w:t>
            </w:r>
            <w:r/>
          </w:p>
        </w:tc>
      </w:tr>
      <w:tr>
        <w:trPr>
          <w:jc w:val="center"/>
          <w:trHeight w:val="1285"/>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1</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采购人</w:t>
            </w:r>
            <w:r/>
          </w:p>
        </w:tc>
        <w:tc>
          <w:tcPr>
            <w:tcMar>
              <w:left w:w="108" w:type="dxa"/>
              <w:top w:w="0" w:type="dxa"/>
              <w:right w:w="108" w:type="dxa"/>
              <w:bottom w:w="0" w:type="dxa"/>
            </w:tcMar>
            <w:tcW w:w="3598" w:type="pct"/>
            <w:vAlign w:val="center"/>
            <w:textDirection w:val="lrTb"/>
            <w:noWrap w:val="false"/>
          </w:tcPr>
          <w:p>
            <w:pPr>
              <w:jc w:val="both"/>
              <w:spacing w:line="360" w:lineRule="auto"/>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名称：</w:t>
            </w:r>
            <w:r>
              <w:rPr>
                <w:rFonts w:hint="eastAsia" w:ascii="宋体" w:hAnsi="宋体" w:eastAsia="宋体" w:cs="宋体"/>
                <w:color w:val="auto"/>
                <w:szCs w:val="21"/>
                <w:lang w:eastAsia="zh-CN"/>
              </w:rPr>
              <w:t xml:space="preserve">南京中医药大学</w:t>
            </w:r>
            <w:r/>
          </w:p>
          <w:p>
            <w:pPr>
              <w:jc w:val="both"/>
              <w:spacing w:line="360" w:lineRule="auto"/>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地址：</w:t>
            </w:r>
            <w:r>
              <w:rPr>
                <w:rFonts w:hint="eastAsia" w:ascii="宋体" w:hAnsi="宋体" w:eastAsia="宋体" w:cs="宋体"/>
                <w:color w:val="auto"/>
                <w:szCs w:val="21"/>
                <w:lang w:eastAsia="zh-CN"/>
              </w:rPr>
              <w:t xml:space="preserve">南京市栖霞区仙林大道138号</w:t>
            </w:r>
            <w:r/>
          </w:p>
          <w:p>
            <w:pPr>
              <w:jc w:val="both"/>
              <w:spacing w:line="360" w:lineRule="auto"/>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联系人：</w:t>
            </w:r>
            <w:r>
              <w:rPr>
                <w:rFonts w:hint="eastAsia" w:ascii="宋体" w:hAnsi="宋体" w:eastAsia="宋体" w:cs="宋体"/>
                <w:color w:val="auto"/>
                <w:szCs w:val="21"/>
                <w:lang w:eastAsia="zh-CN"/>
              </w:rPr>
              <w:t xml:space="preserve">梁老师</w:t>
            </w:r>
            <w:r/>
          </w:p>
          <w:p>
            <w:pPr>
              <w:jc w:val="both"/>
              <w:spacing w:line="360" w:lineRule="auto"/>
              <w:rPr>
                <w:rFonts w:hint="eastAsia" w:eastAsia="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联系电话：025-85811022</w:t>
            </w:r>
            <w:r/>
          </w:p>
        </w:tc>
      </w:tr>
      <w:tr>
        <w:trPr>
          <w:jc w:val="center"/>
          <w:trHeight w:val="1504"/>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2</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采购代理机构</w:t>
            </w:r>
            <w:r/>
          </w:p>
        </w:tc>
        <w:tc>
          <w:tcPr>
            <w:tcMar>
              <w:left w:w="108" w:type="dxa"/>
              <w:top w:w="0" w:type="dxa"/>
              <w:right w:w="108" w:type="dxa"/>
              <w:bottom w:w="0" w:type="dxa"/>
            </w:tcMar>
            <w:tcW w:w="3598" w:type="pct"/>
            <w:vAlign w:val="center"/>
            <w:textDirection w:val="lrTb"/>
            <w:noWrap w:val="false"/>
          </w:tcPr>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名 称：南京江城工程项目管理有限公司　</w:t>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地　址：南京市建邺区云龙山路89号龙湖时代1栋29楼</w:t>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项目联系人：马根荣、孔德红</w:t>
            </w:r>
            <w:r/>
          </w:p>
          <w:p>
            <w:pPr>
              <w:jc w:val="both"/>
              <w:spacing w:line="360" w:lineRule="auto"/>
              <w:rPr>
                <w:rFonts w:hint="eastAsia" w:eastAsia="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电　话： 025-58835827-8031</w:t>
            </w:r>
            <w:r/>
          </w:p>
        </w:tc>
      </w:tr>
      <w:tr>
        <w:trPr>
          <w:jc w:val="center"/>
          <w:trHeight w:val="492"/>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3</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采购项目名称</w:t>
            </w:r>
            <w:r/>
          </w:p>
        </w:tc>
        <w:tc>
          <w:tcPr>
            <w:tcMar>
              <w:left w:w="108" w:type="dxa"/>
              <w:top w:w="0" w:type="dxa"/>
              <w:right w:w="108" w:type="dxa"/>
              <w:bottom w:w="0" w:type="dxa"/>
            </w:tcMar>
            <w:tcW w:w="3598" w:type="pct"/>
            <w:vAlign w:val="center"/>
            <w:textDirection w:val="lrTb"/>
            <w:noWrap w:val="false"/>
          </w:tcPr>
          <w:p>
            <w:pPr>
              <w:jc w:val="both"/>
              <w:spacing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lang w:eastAsia="zh-CN"/>
              </w:rPr>
              <w:t xml:space="preserve">南京中医药大学</w:t>
            </w:r>
            <w:r>
              <w:rPr>
                <w:rFonts w:hint="eastAsia" w:ascii="宋体" w:hAnsi="宋体" w:eastAsia="宋体" w:cs="宋体"/>
                <w:color w:val="auto"/>
                <w:lang w:eastAsia="zh-CN"/>
              </w:rPr>
              <w:t xml:space="preserve">D8实验室改造项目（含细胞房建设）</w:t>
            </w:r>
            <w:r/>
          </w:p>
        </w:tc>
      </w:tr>
      <w:tr>
        <w:trPr>
          <w:jc w:val="center"/>
          <w:trHeight w:val="432"/>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4</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供货</w:t>
            </w:r>
            <w:r>
              <w:rPr>
                <w:rFonts w:ascii="宋体" w:hAnsi="宋体" w:eastAsia="宋体" w:cs="宋体"/>
                <w:color w:val="auto"/>
              </w:rPr>
              <w:t xml:space="preserve">地点</w:t>
            </w:r>
            <w:r/>
          </w:p>
        </w:tc>
        <w:tc>
          <w:tcPr>
            <w:tcMar>
              <w:left w:w="108" w:type="dxa"/>
              <w:top w:w="0" w:type="dxa"/>
              <w:right w:w="108" w:type="dxa"/>
              <w:bottom w:w="0" w:type="dxa"/>
            </w:tcMar>
            <w:tcW w:w="3598" w:type="pct"/>
            <w:vAlign w:val="center"/>
            <w:textDirection w:val="lrTb"/>
            <w:noWrap w:val="false"/>
          </w:tcPr>
          <w:p>
            <w:pPr>
              <w:jc w:val="both"/>
              <w:spacing w:line="85" w:lineRule="atLeast"/>
              <w:rPr>
                <w:rFonts w:eastAsia="宋体"/>
                <w:color w:val="auto"/>
              </w:rPr>
              <w:pBdr>
                <w:top w:val="none" w:color="000000" w:sz="0" w:space="0"/>
                <w:left w:val="none" w:color="000000" w:sz="0" w:space="0"/>
                <w:bottom w:val="none" w:color="000000" w:sz="0" w:space="0"/>
                <w:right w:val="none" w:color="000000" w:sz="0" w:space="0"/>
              </w:pBdr>
            </w:pPr>
            <w:r>
              <w:rPr>
                <w:rFonts w:hint="eastAsia" w:eastAsia="宋体"/>
                <w:color w:val="auto"/>
                <w:lang w:eastAsia="zh-CN"/>
              </w:rPr>
              <w:t xml:space="preserve">南京中医药大学</w:t>
            </w:r>
            <w:r>
              <w:rPr>
                <w:rFonts w:hint="eastAsia" w:eastAsia="宋体"/>
                <w:color w:val="auto"/>
              </w:rPr>
              <w:t xml:space="preserve">仙林校区</w:t>
            </w:r>
            <w:r/>
          </w:p>
        </w:tc>
      </w:tr>
      <w:tr>
        <w:trPr>
          <w:jc w:val="center"/>
          <w:trHeight w:val="469"/>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5</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资金来源</w:t>
            </w:r>
            <w:r/>
          </w:p>
        </w:tc>
        <w:tc>
          <w:tcPr>
            <w:tcMar>
              <w:left w:w="108" w:type="dxa"/>
              <w:top w:w="0" w:type="dxa"/>
              <w:right w:w="108" w:type="dxa"/>
              <w:bottom w:w="0" w:type="dxa"/>
            </w:tcMar>
            <w:tcW w:w="3598" w:type="pct"/>
            <w:vAlign w:val="center"/>
            <w:textDirection w:val="lrTb"/>
            <w:noWrap w:val="false"/>
          </w:tcPr>
          <w:p>
            <w:pPr>
              <w:jc w:val="both"/>
              <w:spacing w:line="85" w:lineRule="atLeast"/>
              <w:rPr>
                <w:rFonts w:hint="eastAsia" w:eastAsia="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财政资金</w:t>
            </w:r>
            <w:r/>
          </w:p>
        </w:tc>
      </w:tr>
      <w:tr>
        <w:trPr>
          <w:jc w:val="center"/>
          <w:trHeight w:val="479"/>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6</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评审方法</w:t>
            </w:r>
            <w:r/>
          </w:p>
        </w:tc>
        <w:tc>
          <w:tcPr>
            <w:tcMar>
              <w:left w:w="108" w:type="dxa"/>
              <w:top w:w="0" w:type="dxa"/>
              <w:right w:w="108" w:type="dxa"/>
              <w:bottom w:w="0" w:type="dxa"/>
            </w:tcMar>
            <w:tcW w:w="3598"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综合评分法</w:t>
            </w:r>
            <w:r/>
          </w:p>
        </w:tc>
      </w:tr>
      <w:tr>
        <w:trPr>
          <w:jc w:val="center"/>
          <w:trHeight w:val="588"/>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7</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投标有效期</w:t>
            </w:r>
            <w:r/>
          </w:p>
        </w:tc>
        <w:tc>
          <w:tcPr>
            <w:tcMar>
              <w:left w:w="108" w:type="dxa"/>
              <w:top w:w="0" w:type="dxa"/>
              <w:right w:w="108" w:type="dxa"/>
              <w:bottom w:w="0" w:type="dxa"/>
            </w:tcMar>
            <w:tcW w:w="3598"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提交投标文件截止之日起90日</w:t>
            </w:r>
            <w:r/>
          </w:p>
        </w:tc>
      </w:tr>
      <w:tr>
        <w:trPr>
          <w:jc w:val="center"/>
          <w:trHeight w:val="601"/>
        </w:trPr>
        <w:tc>
          <w:tcPr>
            <w:tcMar>
              <w:left w:w="108" w:type="dxa"/>
              <w:top w:w="0" w:type="dxa"/>
              <w:right w:w="108" w:type="dxa"/>
              <w:bottom w:w="0" w:type="dxa"/>
            </w:tcMar>
            <w:tcW w:w="359" w:type="pct"/>
            <w:vAlign w:val="center"/>
            <w:textDirection w:val="lrTb"/>
            <w:noWrap w:val="false"/>
          </w:tcPr>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8</w:t>
            </w:r>
            <w:r/>
          </w:p>
        </w:tc>
        <w:tc>
          <w:tcPr>
            <w:tcMar>
              <w:left w:w="108" w:type="dxa"/>
              <w:top w:w="0" w:type="dxa"/>
              <w:right w:w="108" w:type="dxa"/>
              <w:bottom w:w="0" w:type="dxa"/>
            </w:tcMar>
            <w:tcW w:w="1042"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供应商资质要求</w:t>
            </w:r>
            <w:r/>
          </w:p>
        </w:tc>
        <w:tc>
          <w:tcPr>
            <w:tcMar>
              <w:left w:w="108" w:type="dxa"/>
              <w:top w:w="0" w:type="dxa"/>
              <w:right w:w="108" w:type="dxa"/>
              <w:bottom w:w="0" w:type="dxa"/>
            </w:tcMar>
            <w:tcW w:w="3598" w:type="pct"/>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详见第一章 招标公告</w:t>
            </w:r>
            <w:r/>
          </w:p>
        </w:tc>
      </w:tr>
      <w:tr>
        <w:trPr>
          <w:jc w:val="center"/>
          <w:trHeight w:val="601"/>
        </w:trPr>
        <w:tc>
          <w:tcPr>
            <w:tcMar>
              <w:left w:w="108" w:type="dxa"/>
              <w:top w:w="0" w:type="dxa"/>
              <w:right w:w="108" w:type="dxa"/>
              <w:bottom w:w="0" w:type="dxa"/>
            </w:tcMar>
            <w:tcW w:w="359" w:type="pct"/>
            <w:vAlign w:val="center"/>
            <w:textDirection w:val="lrTb"/>
            <w:noWrap w:val="false"/>
          </w:tcPr>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9</w:t>
            </w:r>
            <w:r/>
          </w:p>
        </w:tc>
        <w:tc>
          <w:tcPr>
            <w:tcMar>
              <w:left w:w="108" w:type="dxa"/>
              <w:top w:w="0" w:type="dxa"/>
              <w:right w:w="108" w:type="dxa"/>
              <w:bottom w:w="0" w:type="dxa"/>
            </w:tcMar>
            <w:tcW w:w="1042" w:type="pct"/>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cs="宋体"/>
                <w:bCs/>
                <w:color w:val="auto"/>
                <w:szCs w:val="21"/>
              </w:rPr>
              <w:t xml:space="preserve">信用信息</w:t>
            </w:r>
            <w:r/>
          </w:p>
        </w:tc>
        <w:tc>
          <w:tcPr>
            <w:tcMar>
              <w:left w:w="108" w:type="dxa"/>
              <w:top w:w="0" w:type="dxa"/>
              <w:right w:w="108" w:type="dxa"/>
              <w:bottom w:w="0" w:type="dxa"/>
            </w:tcMar>
            <w:tcW w:w="3598" w:type="pct"/>
            <w:vAlign w:val="center"/>
            <w:textDirection w:val="lrTb"/>
            <w:noWrap w:val="false"/>
          </w:tcPr>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1）信用信息查询渠道：“信用中国”网站、中国政府采购网。</w:t>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3）信用信息查询记录和证据留存的具体方式：信用信息查询记录将以网站截图打印稿形式与采购文件一并保存。</w:t>
            </w:r>
            <w:r/>
          </w:p>
          <w:p>
            <w:pPr>
              <w:jc w:val="both"/>
              <w:spacing w:line="36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Height w:val="621"/>
        </w:trPr>
        <w:tc>
          <w:tcPr>
            <w:tcMar>
              <w:left w:w="108" w:type="dxa"/>
              <w:top w:w="0" w:type="dxa"/>
              <w:right w:w="108" w:type="dxa"/>
              <w:bottom w:w="0" w:type="dxa"/>
            </w:tcMar>
            <w:tcW w:w="359" w:type="pct"/>
            <w:vAlign w:val="center"/>
            <w:textDirection w:val="lrTb"/>
            <w:noWrap w:val="false"/>
          </w:tcPr>
          <w:p>
            <w:pPr>
              <w:jc w:val="center"/>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10</w:t>
            </w:r>
            <w:r/>
          </w:p>
        </w:tc>
        <w:tc>
          <w:tcPr>
            <w:tcMar>
              <w:left w:w="108" w:type="dxa"/>
              <w:top w:w="0" w:type="dxa"/>
              <w:right w:w="108" w:type="dxa"/>
              <w:bottom w:w="0" w:type="dxa"/>
            </w:tcMar>
            <w:tcW w:w="1042" w:type="pct"/>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投标文件份数</w:t>
            </w:r>
            <w:r/>
          </w:p>
        </w:tc>
        <w:tc>
          <w:tcPr>
            <w:tcMar>
              <w:left w:w="108" w:type="dxa"/>
              <w:top w:w="0" w:type="dxa"/>
              <w:right w:w="108" w:type="dxa"/>
              <w:bottom w:w="0" w:type="dxa"/>
            </w:tcMar>
            <w:tcW w:w="3598" w:type="pct"/>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电子投标文件一份(通过系统提交)；纸质投标文件正本一份，副本三份（</w:t>
            </w:r>
            <w:r>
              <w:rPr>
                <w:rFonts w:hint="eastAsia" w:ascii="宋体" w:hAnsi="宋体" w:eastAsia="宋体" w:cs="宋体"/>
                <w:b/>
                <w:bCs/>
                <w:color w:val="auto"/>
              </w:rPr>
              <w:t xml:space="preserve">评审结束后由中标人邮寄至采购代理机构，未中标单位不需要提供</w:t>
            </w:r>
            <w:r>
              <w:rPr>
                <w:rFonts w:hint="eastAsia" w:ascii="宋体" w:hAnsi="宋体" w:eastAsia="宋体" w:cs="宋体"/>
                <w:color w:val="auto"/>
              </w:rPr>
              <w:t xml:space="preserve">）。</w:t>
            </w:r>
            <w:r/>
          </w:p>
        </w:tc>
      </w:tr>
      <w:tr>
        <w:trPr>
          <w:jc w:val="center"/>
          <w:trHeight w:val="752"/>
        </w:trPr>
        <w:tc>
          <w:tcPr>
            <w:tcMar>
              <w:left w:w="108" w:type="dxa"/>
              <w:top w:w="0" w:type="dxa"/>
              <w:right w:w="108" w:type="dxa"/>
              <w:bottom w:w="0" w:type="dxa"/>
            </w:tcMar>
            <w:tcW w:w="359" w:type="pct"/>
            <w:vAlign w:val="center"/>
            <w:textDirection w:val="lrTb"/>
            <w:noWrap w:val="false"/>
          </w:tcPr>
          <w:p>
            <w:pPr>
              <w:jc w:val="center"/>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11</w:t>
            </w:r>
            <w:r/>
          </w:p>
        </w:tc>
        <w:tc>
          <w:tcPr>
            <w:tcMar>
              <w:left w:w="108" w:type="dxa"/>
              <w:top w:w="0" w:type="dxa"/>
              <w:right w:w="108" w:type="dxa"/>
              <w:bottom w:w="0" w:type="dxa"/>
            </w:tcMar>
            <w:tcW w:w="1042" w:type="pct"/>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报价</w:t>
            </w:r>
            <w:r/>
          </w:p>
        </w:tc>
        <w:tc>
          <w:tcPr>
            <w:tcMar>
              <w:left w:w="108" w:type="dxa"/>
              <w:top w:w="0" w:type="dxa"/>
              <w:right w:w="108" w:type="dxa"/>
              <w:bottom w:w="0" w:type="dxa"/>
            </w:tcMar>
            <w:tcW w:w="3598" w:type="pct"/>
            <w:vAlign w:val="center"/>
            <w:textDirection w:val="lrTb"/>
            <w:noWrap w:val="false"/>
          </w:tcPr>
          <w:p>
            <w:pPr>
              <w:jc w:val="both"/>
              <w:spacing w:line="360" w:lineRule="auto"/>
              <w:rPr>
                <w:rFonts w:hint="eastAsia" w:ascii="宋体" w:hAnsi="宋体" w:cs="宋体"/>
                <w:bCs/>
                <w:color w:val="auto"/>
              </w:rPr>
            </w:pPr>
            <w:r>
              <w:rPr>
                <w:rFonts w:hint="eastAsia" w:ascii="宋体" w:hAnsi="宋体" w:cs="宋体"/>
                <w:bCs/>
                <w:color w:val="auto"/>
              </w:rPr>
              <w:t xml:space="preserve">所有投标响应均以人民币报价。供应商的投标报价应遵守“中华人民共和国价格法”。该报价为到采购人现场的全部费用，含相关税费，运输费，保险费，安装费及相关服务费等一切可能发生的费用。</w:t>
            </w:r>
            <w:r/>
          </w:p>
          <w:p>
            <w:pPr>
              <w:jc w:val="both"/>
              <w:spacing w:line="36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注：</w:t>
            </w:r>
            <w:r>
              <w:rPr>
                <w:rFonts w:ascii="Arial" w:hAnsi="Arial" w:cs="Arial"/>
                <w:bCs/>
                <w:color w:val="auto"/>
                <w:szCs w:val="21"/>
              </w:rPr>
              <w:t xml:space="preserve">投标人报价为最终报价，如因国家政策调整，增加的税费由投标人自行承担。</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12</w:t>
            </w:r>
            <w:r/>
          </w:p>
        </w:tc>
        <w:tc>
          <w:tcPr>
            <w:tcMar>
              <w:left w:w="108" w:type="dxa"/>
              <w:top w:w="0" w:type="dxa"/>
              <w:right w:w="108" w:type="dxa"/>
              <w:bottom w:w="0" w:type="dxa"/>
            </w:tcMar>
            <w:tcW w:w="1042" w:type="pct"/>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关于异常低价审查</w:t>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eastAsia" w:eastAsia="宋体" w:cs="宋体"/>
                <w:color w:val="auto"/>
                <w:sz w:val="21"/>
                <w:szCs w:val="21"/>
              </w:rPr>
            </w:pPr>
            <w:r>
              <w:rPr>
                <w:rFonts w:hint="eastAsia" w:eastAsia="宋体" w:cs="宋体"/>
                <w:color w:val="auto"/>
                <w:sz w:val="21"/>
                <w:szCs w:val="21"/>
              </w:rPr>
              <w:t xml:space="preserve">根据《财政部关于推动解决政府采购异常低价问题的通知》（财库〔2026〕2 号）要求：</w:t>
            </w:r>
            <w:r/>
          </w:p>
          <w:p>
            <w:pPr>
              <w:pStyle w:val="1539"/>
              <w:ind w:firstLine="420"/>
              <w:jc w:val="both"/>
              <w:rPr>
                <w:rFonts w:hint="eastAsia" w:eastAsia="宋体" w:cs="宋体"/>
                <w:color w:val="auto"/>
                <w:sz w:val="21"/>
                <w:szCs w:val="21"/>
              </w:rPr>
            </w:pPr>
            <w:r>
              <w:rPr>
                <w:rFonts w:hint="eastAsia" w:eastAsia="宋体" w:cs="宋体"/>
                <w:color w:val="auto"/>
                <w:sz w:val="21"/>
                <w:szCs w:val="21"/>
              </w:rPr>
              <w:t xml:space="preserve">评标过程中出现下列情形之一的，评标委员会应当启动异常低价投标（响应）审查程序：</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①投标（响应）报价低于全部通过符合性审查供应商投标（响应）报价平均值50%的，即投标（响应）报价&lt;全部通过符合性审查供应商投标（响应）报价平均值×50%；</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②投标（响应）报价低于通过符合性审查的次低报价供应商投标（响应）报价50%的，即投标（响应）报价&lt;通过符合性审查的次低报价供应商投标（响应）报价×50%；</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③投标（响应）报价低于采购项目最高限价45%的，即投标（响应）报价&lt;采购项目最高限价×45%；</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④评标委员会基于专业判断，认为供应商报价过低，有可能影响产品质量或者不能诚信履约的其他情形。</w:t>
            </w:r>
            <w:r/>
          </w:p>
          <w:p>
            <w:pPr>
              <w:pStyle w:val="1539"/>
              <w:ind w:firstLine="420"/>
              <w:jc w:val="both"/>
              <w:rPr>
                <w:rFonts w:hint="eastAsia" w:eastAsia="宋体" w:cs="宋体"/>
                <w:color w:val="auto"/>
                <w:sz w:val="21"/>
                <w:szCs w:val="21"/>
              </w:rPr>
            </w:pPr>
            <w:r>
              <w:rPr>
                <w:rFonts w:hint="eastAsia" w:eastAsia="宋体" w:cs="宋体"/>
                <w:color w:val="auto"/>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539"/>
              <w:ind w:firstLine="420"/>
              <w:jc w:val="both"/>
              <w:rPr>
                <w:rFonts w:hint="eastAsia" w:eastAsia="宋体" w:cs="宋体"/>
                <w:color w:val="auto"/>
                <w:sz w:val="21"/>
                <w:szCs w:val="21"/>
              </w:rPr>
            </w:pPr>
            <w:r>
              <w:rPr>
                <w:rFonts w:hint="eastAsia" w:eastAsia="宋体" w:cs="宋体"/>
                <w:color w:val="auto"/>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539"/>
              <w:ind w:firstLine="420"/>
              <w:jc w:val="both"/>
              <w:rPr>
                <w:rFonts w:hint="eastAsia" w:eastAsia="宋体" w:cs="宋体"/>
                <w:color w:val="auto"/>
                <w:szCs w:val="21"/>
              </w:rPr>
            </w:pPr>
            <w:r>
              <w:rPr>
                <w:rFonts w:hint="eastAsia" w:eastAsia="宋体" w:cs="宋体"/>
                <w:color w:val="auto"/>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14</w:t>
            </w:r>
            <w:r/>
          </w:p>
        </w:tc>
        <w:tc>
          <w:tcPr>
            <w:tcMar>
              <w:left w:w="108" w:type="dxa"/>
              <w:top w:w="0" w:type="dxa"/>
              <w:right w:w="108" w:type="dxa"/>
              <w:bottom w:w="0" w:type="dxa"/>
            </w:tcMar>
            <w:tcW w:w="1042" w:type="pct"/>
            <w:vAlign w:val="center"/>
            <w:textDirection w:val="lrTb"/>
            <w:noWrap w:val="false"/>
          </w:tcPr>
          <w:p>
            <w:pPr>
              <w:pStyle w:val="1539"/>
              <w:ind w:firstLine="0"/>
              <w:jc w:val="both"/>
              <w:rPr>
                <w:rFonts w:hint="eastAsia" w:eastAsia="宋体" w:cs="宋体"/>
                <w:color w:val="auto"/>
                <w:sz w:val="21"/>
                <w:szCs w:val="21"/>
              </w:rPr>
            </w:pPr>
            <w:r>
              <w:rPr>
                <w:rFonts w:hint="eastAsia" w:eastAsia="宋体" w:cs="宋体"/>
                <w:color w:val="auto"/>
                <w:sz w:val="21"/>
                <w:szCs w:val="21"/>
              </w:rPr>
              <w:t xml:space="preserve">关于“苏采云”系统的提示说明</w:t>
            </w:r>
            <w:r/>
          </w:p>
          <w:p>
            <w:pPr>
              <w:jc w:val="both"/>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eastAsia" w:eastAsia="宋体" w:cs="宋体"/>
                <w:color w:val="auto"/>
                <w:sz w:val="21"/>
                <w:szCs w:val="21"/>
              </w:rPr>
            </w:pPr>
            <w:r>
              <w:rPr>
                <w:rFonts w:hint="eastAsia" w:eastAsia="宋体" w:cs="宋体"/>
                <w:color w:val="auto"/>
                <w:sz w:val="21"/>
                <w:szCs w:val="21"/>
              </w:rPr>
              <w:t xml:space="preserve">1.潜在供应商访问电子招标响应交易平台的网络地址和方法：</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2.潜在供应商访问“苏采云”系统的网络地址和方法：“苏采云”系统的网址：http://jszfcg.jsczt.cn/。</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3.“CA数字证书”的获取：</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供应商需办理“CA数字证书”，CA办理指南及“苏采云”操作手册可至江苏省政府采购网―办事指南-资料下载中心下载。</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4.采购文件（后缀名为“.kedt”）、供应商操作手册及政府采购客户端工具可通过“苏采云”系统--已报名项目--报名详情页面内相应链接进行下载。</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5.请潜在供应商提前安装相应的控件（详见《江苏省政府采购管理交易系统（苏采云）供应商操作手册》）并使用谷歌浏览器登录“苏采云”系统参与不见面开评标。</w:t>
            </w:r>
            <w:r/>
          </w:p>
          <w:p>
            <w:pPr>
              <w:pStyle w:val="1539"/>
              <w:ind w:firstLine="0"/>
              <w:jc w:val="both"/>
              <w:rPr>
                <w:rFonts w:hint="eastAsia" w:eastAsia="宋体" w:cs="宋体"/>
                <w:color w:val="auto"/>
                <w:sz w:val="21"/>
                <w:szCs w:val="21"/>
              </w:rPr>
            </w:pPr>
            <w:r>
              <w:rPr>
                <w:rFonts w:hint="eastAsia" w:eastAsia="宋体" w:cs="宋体"/>
                <w:b/>
                <w:bCs/>
                <w:color w:val="auto"/>
                <w:sz w:val="21"/>
                <w:szCs w:val="21"/>
              </w:rPr>
              <w:t xml:space="preserve">注：如潜在供应商未按上述要求操作，将自行承担所产生的风险。</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15</w:t>
            </w:r>
            <w:r/>
          </w:p>
        </w:tc>
        <w:tc>
          <w:tcPr>
            <w:tcMar>
              <w:left w:w="108" w:type="dxa"/>
              <w:top w:w="0" w:type="dxa"/>
              <w:right w:w="108" w:type="dxa"/>
              <w:bottom w:w="0" w:type="dxa"/>
            </w:tcMar>
            <w:tcW w:w="1042" w:type="pct"/>
            <w:vAlign w:val="center"/>
            <w:textDirection w:val="lrTb"/>
            <w:noWrap w:val="false"/>
          </w:tcPr>
          <w:p>
            <w:pPr>
              <w:jc w:val="both"/>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cs="仿宋"/>
                <w:color w:val="auto"/>
              </w:rPr>
              <w:t xml:space="preserve">踏勘</w:t>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eastAsia" w:eastAsia="宋体" w:cs="宋体"/>
                <w:color w:val="auto"/>
                <w:sz w:val="21"/>
                <w:szCs w:val="21"/>
              </w:rPr>
            </w:pPr>
            <w:r>
              <w:rPr>
                <w:rFonts w:hint="eastAsia" w:eastAsia="宋体" w:cs="宋体"/>
                <w:color w:val="auto"/>
                <w:sz w:val="21"/>
                <w:szCs w:val="21"/>
              </w:rPr>
              <w:t xml:space="preserve">本项目组织统一踏勘，</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现场勘察集合地点：南京中医药大学仙林校区</w:t>
            </w:r>
            <w:r/>
          </w:p>
          <w:p>
            <w:pPr>
              <w:pStyle w:val="1539"/>
              <w:ind w:firstLine="0"/>
              <w:jc w:val="both"/>
              <w:rPr>
                <w:rFonts w:eastAsia="宋体" w:cs="宋体"/>
                <w:color w:val="auto"/>
                <w:sz w:val="21"/>
                <w:szCs w:val="21"/>
                <w:lang w:val="en-US" w:eastAsia="zh-CN"/>
              </w:rPr>
            </w:pPr>
            <w:r>
              <w:rPr>
                <w:rFonts w:hint="eastAsia" w:eastAsia="宋体" w:cs="宋体"/>
                <w:color w:val="auto"/>
                <w:sz w:val="21"/>
                <w:szCs w:val="21"/>
                <w:lang w:val="en-US" w:eastAsia="zh-CN"/>
              </w:rPr>
              <w:t xml:space="preserve">现场勘察时间：2026年8月10日09时30分</w:t>
            </w:r>
            <w:r/>
          </w:p>
          <w:p>
            <w:pPr>
              <w:pStyle w:val="1539"/>
              <w:ind w:firstLine="0"/>
              <w:jc w:val="both"/>
              <w:rPr>
                <w:rFonts w:hint="eastAsia" w:eastAsia="宋体" w:cs="宋体"/>
                <w:color w:val="auto"/>
                <w:sz w:val="21"/>
                <w:szCs w:val="21"/>
              </w:rPr>
            </w:pPr>
            <w:r>
              <w:rPr>
                <w:rFonts w:hint="eastAsia" w:eastAsia="宋体" w:cs="宋体"/>
                <w:color w:val="auto"/>
                <w:sz w:val="21"/>
                <w:szCs w:val="21"/>
              </w:rPr>
              <w:t xml:space="preserve">勘察联系人：黄煜 联系方式：18951775258</w:t>
            </w:r>
            <w:r/>
          </w:p>
          <w:p>
            <w:pPr>
              <w:pStyle w:val="1539"/>
              <w:ind w:firstLine="0"/>
              <w:jc w:val="both"/>
              <w:rPr>
                <w:rFonts w:hint="eastAsia" w:eastAsia="宋体" w:cs="宋体"/>
                <w:b/>
                <w:bCs/>
                <w:color w:val="auto"/>
                <w:sz w:val="21"/>
                <w:szCs w:val="21"/>
              </w:rPr>
            </w:pPr>
            <w:r>
              <w:rPr>
                <w:rFonts w:hint="eastAsia" w:eastAsia="宋体" w:cs="宋体"/>
                <w:color w:val="auto"/>
                <w:sz w:val="21"/>
                <w:szCs w:val="21"/>
              </w:rPr>
              <w:t xml:space="preserve">由于供应商未踏勘施工现场导致的报价失误或对工程量清单理解产生的歧义，其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16</w:t>
            </w:r>
            <w:r/>
          </w:p>
        </w:tc>
        <w:tc>
          <w:tcPr>
            <w:tcMar>
              <w:left w:w="108" w:type="dxa"/>
              <w:top w:w="0" w:type="dxa"/>
              <w:right w:w="108" w:type="dxa"/>
              <w:bottom w:w="0" w:type="dxa"/>
            </w:tcMar>
            <w:tcW w:w="1042" w:type="pct"/>
            <w:vAlign w:val="center"/>
            <w:textDirection w:val="lrTb"/>
            <w:noWrap w:val="false"/>
          </w:tcPr>
          <w:p>
            <w:pPr>
              <w:jc w:val="both"/>
              <w:spacing w:line="85" w:lineRule="atLeast"/>
              <w:rPr>
                <w:rFonts w:hint="eastAsia" w:cs="仿宋"/>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代理服务费收取方式</w:t>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eastAsia" w:eastAsia="宋体" w:cs="宋体"/>
                <w:color w:val="auto"/>
                <w:sz w:val="21"/>
                <w:szCs w:val="21"/>
              </w:rPr>
            </w:pPr>
            <w:r>
              <w:rPr>
                <w:rFonts w:hint="eastAsia" w:eastAsia="宋体" w:cs="宋体"/>
                <w:color w:val="auto"/>
                <w:sz w:val="21"/>
                <w:szCs w:val="21"/>
                <w:lang w:val="zh-CN"/>
              </w:rPr>
              <w:t xml:space="preserve">本项目</w:t>
            </w:r>
            <w:r>
              <w:rPr>
                <w:rFonts w:hint="eastAsia" w:eastAsia="宋体" w:cs="宋体"/>
                <w:color w:val="auto"/>
                <w:sz w:val="21"/>
                <w:szCs w:val="21"/>
              </w:rPr>
              <w:t xml:space="preserve">代理服务费由中标供应商在领取中标通知书时一次性支付给招标代理机构。代理服务费按《招标代理服务收费管理暂行办法》（国家发展计划委员会“计价格【2002】1980 号”）和《关于降低部分建设项目收费标准规范收费行为等有关问题的通知》（发改价格【2011】534 号）在规定的代理招标收费基准费率基础上，实际以【按前述收费标准得出的计算结果*65%】</w:t>
            </w:r>
            <w:r>
              <w:rPr>
                <w:rFonts w:hint="eastAsia" w:eastAsia="宋体" w:cs="宋体"/>
                <w:color w:val="auto"/>
                <w:sz w:val="21"/>
                <w:szCs w:val="21"/>
                <w:lang w:val="en-US" w:eastAsia="zh-CN"/>
              </w:rPr>
              <w:t xml:space="preserve">减去评审费后</w:t>
            </w:r>
            <w:r>
              <w:rPr>
                <w:rFonts w:hint="eastAsia" w:eastAsia="宋体" w:cs="宋体"/>
                <w:color w:val="auto"/>
                <w:sz w:val="21"/>
                <w:szCs w:val="21"/>
              </w:rPr>
              <w:t xml:space="preserve">计取。</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w:t>
            </w:r>
            <w:r>
              <w:rPr>
                <w:rFonts w:ascii="宋体" w:hAnsi="宋体" w:eastAsia="宋体" w:cs="宋体"/>
                <w:color w:val="auto"/>
              </w:rPr>
              <w:t xml:space="preserve">7</w:t>
            </w:r>
            <w:r/>
          </w:p>
        </w:tc>
        <w:tc>
          <w:tcPr>
            <w:tcMar>
              <w:left w:w="108" w:type="dxa"/>
              <w:top w:w="0" w:type="dxa"/>
              <w:right w:w="108" w:type="dxa"/>
              <w:bottom w:w="0" w:type="dxa"/>
            </w:tcMar>
            <w:tcW w:w="1042" w:type="pct"/>
            <w:vAlign w:val="center"/>
            <w:textDirection w:val="lrTb"/>
            <w:noWrap w:val="false"/>
          </w:tcPr>
          <w:p>
            <w:pPr>
              <w:jc w:val="both"/>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图纸下载</w:t>
            </w:r>
            <w:r/>
          </w:p>
        </w:tc>
        <w:tc>
          <w:tcPr>
            <w:tcMar>
              <w:left w:w="108" w:type="dxa"/>
              <w:top w:w="0" w:type="dxa"/>
              <w:right w:w="108" w:type="dxa"/>
              <w:bottom w:w="0" w:type="dxa"/>
            </w:tcMar>
            <w:tcW w:w="3598" w:type="pct"/>
            <w:vAlign w:val="center"/>
            <w:textDirection w:val="lrTb"/>
            <w:noWrap w:val="false"/>
          </w:tcPr>
          <w:p>
            <w:pPr>
              <w:pStyle w:val="1539"/>
              <w:ind w:firstLine="420"/>
              <w:jc w:val="both"/>
              <w:rPr>
                <w:rFonts w:hint="default" w:eastAsia="宋体" w:cs="宋体"/>
                <w:color w:val="auto"/>
                <w:sz w:val="21"/>
                <w:szCs w:val="21"/>
                <w:lang w:val="en-US" w:eastAsia="zh-CN"/>
              </w:rPr>
            </w:pPr>
            <w:r>
              <w:rPr>
                <w:rFonts w:hint="eastAsia" w:eastAsia="宋体" w:cs="宋体"/>
                <w:color w:val="auto"/>
                <w:sz w:val="21"/>
                <w:szCs w:val="21"/>
                <w:lang w:val="en-US" w:eastAsia="zh-CN"/>
              </w:rPr>
              <w:t xml:space="preserve">本项目图纸及工程量清单，供应商可通过以下方式获取：</w:t>
            </w:r>
            <w:r/>
          </w:p>
          <w:p>
            <w:pPr>
              <w:pStyle w:val="1539"/>
              <w:ind w:firstLine="420"/>
              <w:jc w:val="both"/>
              <w:rPr>
                <w:rFonts w:hint="eastAsia" w:eastAsia="宋体"/>
                <w:color w:val="auto"/>
                <w:sz w:val="21"/>
                <w:szCs w:val="21"/>
                <w:lang w:val="en-US" w:eastAsia="zh-CN"/>
              </w:rPr>
            </w:pPr>
            <w:r>
              <w:rPr>
                <w:rFonts w:hint="eastAsia" w:eastAsia="宋体" w:cs="宋体"/>
                <w:color w:val="auto"/>
                <w:sz w:val="21"/>
                <w:szCs w:val="21"/>
                <w:lang w:val="en-US" w:eastAsia="zh-CN"/>
              </w:rPr>
              <w:t xml:space="preserve">方式一：</w:t>
            </w:r>
            <w:r>
              <w:rPr>
                <w:rFonts w:hint="eastAsia" w:eastAsia="宋体" w:cs="宋体"/>
                <w:color w:val="auto"/>
                <w:sz w:val="21"/>
                <w:szCs w:val="21"/>
                <w:lang w:val="zh-CN"/>
              </w:rPr>
              <w:t xml:space="preserve">本项图纸及工程量清单详见百度云网盘，投标人自行下载，链接: https://pan.baidu.com/s/1CsE72eLQmSshzAoL642X2g 提取码: 0808</w:t>
            </w:r>
            <w:r/>
          </w:p>
          <w:p>
            <w:pPr>
              <w:pStyle w:val="1539"/>
              <w:ind w:firstLine="420"/>
              <w:jc w:val="both"/>
              <w:rPr>
                <w:rFonts w:hint="default" w:eastAsia="宋体"/>
                <w:color w:val="auto"/>
                <w:sz w:val="21"/>
                <w:szCs w:val="21"/>
                <w:lang w:val="en-US" w:eastAsia="zh-CN"/>
              </w:rPr>
            </w:pPr>
            <w:r>
              <w:rPr>
                <w:rFonts w:hint="eastAsia" w:eastAsia="宋体"/>
                <w:color w:val="auto"/>
                <w:sz w:val="21"/>
                <w:szCs w:val="21"/>
                <w:lang w:val="en-US" w:eastAsia="zh-CN"/>
              </w:rPr>
              <w:t xml:space="preserve">方式二：自行登录新浪邮箱njjctuzhi001@sina.com，密码：tuzhi001@下载。</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val="en-US" w:eastAsia="zh-CN"/>
              </w:rPr>
              <w:t xml:space="preserve">18</w:t>
            </w:r>
            <w:r/>
          </w:p>
        </w:tc>
        <w:tc>
          <w:tcPr>
            <w:tcMar>
              <w:left w:w="108" w:type="dxa"/>
              <w:top w:w="0" w:type="dxa"/>
              <w:right w:w="108" w:type="dxa"/>
              <w:bottom w:w="0" w:type="dxa"/>
            </w:tcMar>
            <w:tcW w:w="1042" w:type="pct"/>
            <w:vAlign w:val="center"/>
            <w:textDirection w:val="lrTb"/>
            <w:noWrap w:val="false"/>
          </w:tcPr>
          <w:p>
            <w:pPr>
              <w:jc w:val="both"/>
              <w:spacing w:line="85" w:lineRule="atLeast"/>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关于</w:t>
            </w:r>
            <w:r>
              <w:rPr>
                <w:rFonts w:hint="eastAsia" w:ascii="宋体" w:hAnsi="宋体" w:eastAsia="宋体" w:cs="宋体"/>
                <w:color w:val="auto"/>
                <w:sz w:val="21"/>
                <w:szCs w:val="21"/>
                <w:lang w:val="zh-CN" w:eastAsia="zh-CN" w:bidi="ar-SA"/>
              </w:rPr>
              <w:t xml:space="preserve">安全生产措施项目</w:t>
            </w:r>
            <w:r>
              <w:rPr>
                <w:rFonts w:hint="eastAsia" w:ascii="宋体" w:hAnsi="宋体" w:eastAsia="宋体" w:cs="宋体"/>
                <w:color w:val="auto"/>
                <w:sz w:val="21"/>
                <w:szCs w:val="21"/>
                <w:lang w:val="en-US" w:eastAsia="zh-CN" w:bidi="ar-SA"/>
              </w:rPr>
              <w:t xml:space="preserve">费率</w:t>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default" w:eastAsia="宋体"/>
                <w:color w:val="auto"/>
                <w:sz w:val="21"/>
                <w:szCs w:val="21"/>
                <w:lang w:val="en-US" w:eastAsia="zh-CN"/>
              </w:rPr>
            </w:pPr>
            <w:r>
              <w:rPr>
                <w:rFonts w:hint="eastAsia" w:eastAsia="宋体" w:cs="宋体"/>
                <w:color w:val="auto"/>
                <w:sz w:val="21"/>
                <w:szCs w:val="21"/>
                <w:lang w:val="zh-CN"/>
              </w:rPr>
              <w:t xml:space="preserve">本工程执行江苏省现行建设工程计价管理规定，</w:t>
            </w:r>
            <w:r>
              <w:rPr>
                <w:rFonts w:hint="eastAsia" w:eastAsia="宋体" w:cs="宋体"/>
                <w:color w:val="auto"/>
                <w:sz w:val="21"/>
                <w:szCs w:val="21"/>
                <w:lang w:val="zh-CN" w:eastAsia="zh-CN"/>
              </w:rPr>
              <w:t xml:space="preserve">供应商</w:t>
            </w:r>
            <w:r>
              <w:rPr>
                <w:rFonts w:hint="eastAsia" w:eastAsia="宋体" w:cs="宋体"/>
                <w:color w:val="auto"/>
                <w:sz w:val="21"/>
                <w:szCs w:val="21"/>
                <w:lang w:val="zh-CN"/>
              </w:rPr>
              <w:t xml:space="preserve">根据工程项目具体特点、自身管理和技术水平</w:t>
            </w:r>
            <w:r>
              <w:rPr>
                <w:rFonts w:hint="eastAsia" w:eastAsia="宋体" w:cs="宋体"/>
                <w:color w:val="auto"/>
                <w:sz w:val="21"/>
                <w:szCs w:val="21"/>
                <w:lang w:val="zh-CN" w:eastAsia="zh-CN"/>
              </w:rPr>
              <w:t xml:space="preserve">综合考虑，</w:t>
            </w:r>
            <w:r>
              <w:rPr>
                <w:rFonts w:hint="eastAsia" w:eastAsia="宋体" w:cs="宋体"/>
                <w:color w:val="auto"/>
                <w:sz w:val="21"/>
                <w:szCs w:val="21"/>
                <w:lang w:val="zh-CN"/>
              </w:rPr>
              <w:t xml:space="preserve">其中房屋建筑与装饰工程、房屋修缮工程安全</w:t>
            </w:r>
            <w:r>
              <w:rPr>
                <w:rFonts w:hint="eastAsia" w:eastAsia="宋体" w:cs="宋体"/>
                <w:color w:val="auto"/>
                <w:sz w:val="21"/>
                <w:szCs w:val="21"/>
                <w:lang w:val="en-US" w:eastAsia="zh-CN"/>
              </w:rPr>
              <w:t xml:space="preserve">生产</w:t>
            </w:r>
            <w:r>
              <w:rPr>
                <w:rFonts w:hint="eastAsia" w:eastAsia="宋体" w:cs="宋体"/>
                <w:color w:val="auto"/>
                <w:sz w:val="21"/>
                <w:szCs w:val="21"/>
                <w:lang w:val="zh-CN"/>
              </w:rPr>
              <w:t xml:space="preserve">费</w:t>
            </w:r>
            <w:r>
              <w:rPr>
                <w:rFonts w:hint="eastAsia" w:eastAsia="宋体" w:cs="宋体"/>
                <w:color w:val="auto"/>
                <w:sz w:val="21"/>
                <w:szCs w:val="21"/>
                <w:lang w:val="zh-CN" w:eastAsia="zh-CN"/>
              </w:rPr>
              <w:t xml:space="preserve">率下限值</w:t>
            </w:r>
            <w:r>
              <w:rPr>
                <w:rFonts w:hint="eastAsia" w:eastAsia="宋体" w:cs="宋体"/>
                <w:color w:val="auto"/>
                <w:sz w:val="21"/>
                <w:szCs w:val="21"/>
                <w:lang w:val="zh-CN"/>
              </w:rPr>
              <w:t xml:space="preserve"> 3.8</w:t>
            </w:r>
            <w:bookmarkStart w:id="13" w:name="_GoBack"/>
            <w:r/>
            <w:bookmarkEnd w:id="13"/>
            <w:r>
              <w:rPr>
                <w:rFonts w:hint="eastAsia" w:eastAsia="宋体" w:cs="宋体"/>
                <w:color w:val="auto"/>
                <w:sz w:val="21"/>
                <w:szCs w:val="21"/>
                <w:lang w:val="zh-CN"/>
              </w:rPr>
              <w:t xml:space="preserve">%；通用安装工程安全</w:t>
            </w:r>
            <w:r>
              <w:rPr>
                <w:rFonts w:hint="eastAsia" w:eastAsia="宋体" w:cs="宋体"/>
                <w:color w:val="auto"/>
                <w:sz w:val="21"/>
                <w:szCs w:val="21"/>
                <w:lang w:val="en-US" w:eastAsia="zh-CN"/>
              </w:rPr>
              <w:t xml:space="preserve">生产</w:t>
            </w:r>
            <w:r>
              <w:rPr>
                <w:rFonts w:hint="eastAsia" w:eastAsia="宋体" w:cs="宋体"/>
                <w:color w:val="auto"/>
                <w:sz w:val="21"/>
                <w:szCs w:val="21"/>
                <w:lang w:val="zh-CN"/>
              </w:rPr>
              <w:t xml:space="preserve">计取费率</w:t>
            </w:r>
            <w:r>
              <w:rPr>
                <w:rFonts w:hint="eastAsia" w:eastAsia="宋体" w:cs="宋体"/>
                <w:color w:val="auto"/>
                <w:sz w:val="21"/>
                <w:szCs w:val="21"/>
                <w:lang w:val="zh-CN" w:eastAsia="zh-CN"/>
              </w:rPr>
              <w:t xml:space="preserve">下限值为</w:t>
            </w:r>
            <w:r>
              <w:rPr>
                <w:rFonts w:hint="eastAsia" w:eastAsia="宋体" w:cs="宋体"/>
                <w:color w:val="auto"/>
                <w:sz w:val="21"/>
                <w:szCs w:val="21"/>
                <w:lang w:val="zh-CN"/>
              </w:rPr>
              <w:t xml:space="preserve"> 2.9%。</w:t>
            </w:r>
            <w:r/>
          </w:p>
        </w:tc>
      </w:tr>
      <w:tr>
        <w:trPr>
          <w:jc w:val="center"/>
          <w:trHeight w:val="90"/>
        </w:trPr>
        <w:tc>
          <w:tcPr>
            <w:tcMar>
              <w:left w:w="108" w:type="dxa"/>
              <w:top w:w="0" w:type="dxa"/>
              <w:right w:w="108" w:type="dxa"/>
              <w:bottom w:w="0" w:type="dxa"/>
            </w:tcMar>
            <w:tcW w:w="359" w:type="pct"/>
            <w:vAlign w:val="center"/>
            <w:textDirection w:val="lrTb"/>
            <w:noWrap w:val="false"/>
          </w:tcPr>
          <w:p>
            <w:pPr>
              <w:jc w:val="center"/>
              <w:spacing w:line="85" w:lineRule="atLeas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val="en-US" w:eastAsia="zh-CN"/>
              </w:rPr>
              <w:t xml:space="preserve">19</w:t>
            </w:r>
            <w:r/>
          </w:p>
        </w:tc>
        <w:tc>
          <w:tcPr>
            <w:tcMar>
              <w:left w:w="108" w:type="dxa"/>
              <w:top w:w="0" w:type="dxa"/>
              <w:right w:w="108" w:type="dxa"/>
              <w:bottom w:w="0" w:type="dxa"/>
            </w:tcMar>
            <w:tcW w:w="1042" w:type="pct"/>
            <w:vAlign w:val="center"/>
            <w:textDirection w:val="lrTb"/>
            <w:noWrap w:val="false"/>
          </w:tcPr>
          <w:p>
            <w:pPr>
              <w:jc w:val="both"/>
              <w:spacing w:line="85" w:lineRule="atLeast"/>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其他</w:t>
            </w:r>
            <w:r/>
          </w:p>
        </w:tc>
        <w:tc>
          <w:tcPr>
            <w:tcMar>
              <w:left w:w="108" w:type="dxa"/>
              <w:top w:w="0" w:type="dxa"/>
              <w:right w:w="108" w:type="dxa"/>
              <w:bottom w:w="0" w:type="dxa"/>
            </w:tcMar>
            <w:tcW w:w="3598" w:type="pct"/>
            <w:vAlign w:val="center"/>
            <w:textDirection w:val="lrTb"/>
            <w:noWrap w:val="false"/>
          </w:tcPr>
          <w:p>
            <w:pPr>
              <w:pStyle w:val="1539"/>
              <w:ind w:firstLine="0"/>
              <w:jc w:val="both"/>
              <w:rPr>
                <w:rFonts w:hint="eastAsia" w:eastAsia="宋体" w:cs="宋体"/>
                <w:color w:val="auto"/>
                <w:sz w:val="21"/>
                <w:szCs w:val="21"/>
                <w:lang w:val="zh-CN"/>
              </w:rPr>
            </w:pPr>
            <w:r>
              <w:rPr>
                <w:rFonts w:hint="eastAsia" w:eastAsia="宋体" w:cs="宋体"/>
                <w:color w:val="auto"/>
                <w:sz w:val="21"/>
                <w:szCs w:val="21"/>
                <w:lang w:val="en-US" w:eastAsia="zh-CN"/>
              </w:rPr>
              <w:t xml:space="preserve">1）</w:t>
            </w:r>
            <w:r>
              <w:rPr>
                <w:rFonts w:hint="eastAsia" w:eastAsia="宋体" w:cs="宋体"/>
                <w:color w:val="auto"/>
                <w:sz w:val="21"/>
                <w:szCs w:val="21"/>
                <w:lang w:val="zh-CN"/>
              </w:rPr>
              <w:t xml:space="preserve">根据住房和城乡建设部办公厅关于全</w:t>
            </w:r>
            <w:r>
              <w:rPr>
                <w:rFonts w:hint="eastAsia" w:eastAsia="宋体" w:cs="宋体"/>
                <w:color w:val="auto"/>
                <w:sz w:val="21"/>
                <w:szCs w:val="21"/>
                <w:lang w:val="zh-CN"/>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月1日起，一级建造师统一使用电子证书，纸质注册证书作废。各投标人须上传一级建造师证书电子注册证书，电子注册证书应当符合相关文件规定，持证人个人手写签名笔迹应当与签名图像一致，证书应当在使用有效期限内。若上传的电子件无法识别有效信息的，视为无效。投标人将自行承担资格审查不通过等相应后果。</w:t>
            </w:r>
            <w:r/>
          </w:p>
          <w:p>
            <w:pPr>
              <w:pStyle w:val="1539"/>
              <w:ind w:firstLine="0"/>
              <w:jc w:val="both"/>
              <w:rPr>
                <w:rFonts w:hint="eastAsia" w:eastAsia="宋体" w:cs="宋体"/>
                <w:color w:val="auto"/>
                <w:sz w:val="21"/>
                <w:szCs w:val="21"/>
                <w:lang w:val="en-US" w:eastAsia="zh-CN"/>
              </w:rPr>
            </w:pPr>
            <w:r>
              <w:rPr>
                <w:rFonts w:hint="eastAsia" w:eastAsia="宋体" w:cs="宋体"/>
                <w:color w:val="auto"/>
                <w:sz w:val="21"/>
                <w:szCs w:val="21"/>
                <w:lang w:val="en-US" w:eastAsia="zh-CN"/>
              </w:rPr>
              <w:t xml:space="preserve">2）根据江苏省住房和城乡建设厅关于我省二级建造师、二级造价工程师、二级注册建筑师、二级注册结构工程师注册证书电子证照换发的公告</w:t>
            </w:r>
            <w:r>
              <w:rPr>
                <w:rFonts w:hint="eastAsia" w:eastAsia="宋体" w:cs="宋体"/>
                <w:color w:val="auto"/>
                <w:sz w:val="21"/>
                <w:szCs w:val="21"/>
                <w:lang w:val="en-US" w:eastAsia="zh-CN"/>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投标。供应商将自行承担资格审查不通过等相应后果。</w:t>
            </w:r>
            <w:r/>
          </w:p>
        </w:tc>
      </w:tr>
    </w:tbl>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jc w:val="both"/>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总 则</w:t>
      </w:r>
      <w:r/>
    </w:p>
    <w:p>
      <w:pPr>
        <w:pStyle w:val="1228"/>
        <w:numPr>
          <w:ilvl w:val="0"/>
          <w:numId w:val="14"/>
        </w:numPr>
        <w:ind w:left="0" w:firstLine="0"/>
        <w:widowControl/>
        <w:rPr>
          <w:b w:val="0"/>
          <w:color w:val="auto"/>
          <w:sz w:val="21"/>
          <w:szCs w:val="21"/>
        </w:rPr>
      </w:pPr>
      <w:r>
        <w:rPr>
          <w:color w:val="auto"/>
          <w:sz w:val="21"/>
          <w:szCs w:val="21"/>
        </w:rPr>
        <w:t xml:space="preserve">适用法律</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1.1 《中华人民共和国政府采购法》、《中华人民共和国政府采购法实施条例》、《政府采购货物和服务招标投标管理办法》等有关法律、规章和规定等。</w:t>
      </w:r>
      <w:r/>
    </w:p>
    <w:p>
      <w:pPr>
        <w:pStyle w:val="1228"/>
        <w:numPr>
          <w:ilvl w:val="0"/>
          <w:numId w:val="14"/>
        </w:numPr>
        <w:ind w:left="0" w:firstLine="0"/>
        <w:widowControl/>
        <w:rPr>
          <w:b w:val="0"/>
          <w:color w:val="auto"/>
          <w:sz w:val="21"/>
          <w:szCs w:val="21"/>
        </w:rPr>
      </w:pPr>
      <w:r>
        <w:rPr>
          <w:color w:val="auto"/>
          <w:sz w:val="21"/>
          <w:szCs w:val="21"/>
        </w:rPr>
        <w:t xml:space="preserve">供应商定义</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2.1 “供应商”是指参加投标竞争，并符合招标文件规定资格条件的法人、其他组织或者自然人。</w:t>
      </w:r>
      <w:r/>
    </w:p>
    <w:p>
      <w:pPr>
        <w:pStyle w:val="1228"/>
        <w:numPr>
          <w:ilvl w:val="0"/>
          <w:numId w:val="14"/>
        </w:numPr>
        <w:ind w:left="0" w:firstLine="0"/>
        <w:widowControl/>
        <w:rPr>
          <w:b w:val="0"/>
          <w:color w:val="auto"/>
          <w:sz w:val="21"/>
          <w:szCs w:val="21"/>
        </w:rPr>
      </w:pPr>
      <w:r>
        <w:rPr>
          <w:color w:val="auto"/>
          <w:sz w:val="21"/>
          <w:szCs w:val="21"/>
        </w:rPr>
        <w:t xml:space="preserve">工程、用户或使用单位定义。</w:t>
      </w:r>
      <w:r/>
    </w:p>
    <w:p>
      <w:pPr>
        <w:pStyle w:val="1240"/>
        <w:numPr>
          <w:ilvl w:val="0"/>
          <w:numId w:val="1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“工程”指本招标文件中所述产品及相关服务。</w:t>
      </w:r>
      <w:r/>
    </w:p>
    <w:p>
      <w:pPr>
        <w:pStyle w:val="1240"/>
        <w:numPr>
          <w:ilvl w:val="0"/>
          <w:numId w:val="1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“用户或使用单位”是指使用货物及接受服务的单位。</w:t>
      </w:r>
      <w:r/>
    </w:p>
    <w:p>
      <w:pPr>
        <w:pStyle w:val="1228"/>
        <w:numPr>
          <w:ilvl w:val="0"/>
          <w:numId w:val="14"/>
        </w:numPr>
        <w:ind w:left="0" w:firstLine="0"/>
        <w:widowControl/>
        <w:rPr>
          <w:b w:val="0"/>
          <w:color w:val="auto"/>
          <w:sz w:val="21"/>
          <w:szCs w:val="21"/>
        </w:rPr>
      </w:pPr>
      <w:r>
        <w:rPr>
          <w:color w:val="auto"/>
          <w:sz w:val="21"/>
          <w:szCs w:val="21"/>
        </w:rPr>
        <w:t xml:space="preserve">政策功能</w:t>
      </w:r>
      <w:r/>
    </w:p>
    <w:p>
      <w:pPr>
        <w:pStyle w:val="1229"/>
        <w:numPr>
          <w:ilvl w:val="0"/>
          <w:numId w:val="16"/>
        </w:numPr>
        <w:ind w:left="0" w:firstLine="0"/>
        <w:widowControl/>
        <w:rPr>
          <w:b w:val="0"/>
          <w:color w:val="auto"/>
          <w:sz w:val="21"/>
          <w:szCs w:val="21"/>
        </w:rPr>
      </w:pPr>
      <w:r>
        <w:rPr>
          <w:color w:val="auto"/>
          <w:sz w:val="21"/>
          <w:szCs w:val="21"/>
        </w:rPr>
        <w:t xml:space="preserve">中小企业政策</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本项目非专门面向中小企业或小型、微型企业的项目，对符合规定的小微企业报价给予5%的扣除，用扣除后的价格参加评审。</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参加政府采购活动的中小企业应当按“关于印发《政府采购促进中小企业发展管理办法》的通知[财库〔2020〕46号]” 规定提供《中小企业声明函》，未提供上述资料的报价，其价格不予扣除。</w:t>
      </w:r>
      <w:r/>
    </w:p>
    <w:p>
      <w:pPr>
        <w:pStyle w:val="1240"/>
        <w:numPr>
          <w:ilvl w:val="0"/>
          <w:numId w:val="1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pStyle w:val="1229"/>
        <w:numPr>
          <w:ilvl w:val="0"/>
          <w:numId w:val="16"/>
        </w:numPr>
        <w:ind w:left="0" w:firstLine="0"/>
        <w:widowControl/>
        <w:rPr>
          <w:b w:val="0"/>
          <w:color w:val="auto"/>
          <w:sz w:val="21"/>
          <w:szCs w:val="21"/>
        </w:rPr>
      </w:pPr>
      <w:r>
        <w:rPr>
          <w:color w:val="auto"/>
          <w:sz w:val="21"/>
          <w:szCs w:val="21"/>
        </w:rPr>
        <w:t xml:space="preserve">节能产品政策</w:t>
      </w:r>
      <w:r/>
    </w:p>
    <w:p>
      <w:pPr>
        <w:pStyle w:val="1240"/>
        <w:numPr>
          <w:ilvl w:val="0"/>
          <w:numId w:val="1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节能产品是指列入财政部、国家发展和改革委员会制定的《节能产品政府采购品目清单》，且经过认定的节能产品，依据品目清单和认证证书实施政府优先采购和强制采购。</w:t>
      </w:r>
      <w:r/>
    </w:p>
    <w:p>
      <w:pPr>
        <w:pStyle w:val="1240"/>
        <w:numPr>
          <w:ilvl w:val="0"/>
          <w:numId w:val="1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pStyle w:val="1240"/>
        <w:numPr>
          <w:ilvl w:val="0"/>
          <w:numId w:val="1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供应商提供的产品属于《节能产品政府采购品目清单》所列非政府强制采购产品的，在性能、技术、服务等指标同等条件下，实行优先采购，优先采购的评审标准详见本采购文件第三章评标标准。</w:t>
      </w:r>
      <w:r/>
    </w:p>
    <w:p>
      <w:pPr>
        <w:pStyle w:val="1240"/>
        <w:numPr>
          <w:ilvl w:val="0"/>
          <w:numId w:val="1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pStyle w:val="1229"/>
        <w:numPr>
          <w:ilvl w:val="0"/>
          <w:numId w:val="16"/>
        </w:numPr>
        <w:ind w:left="0" w:firstLine="0"/>
        <w:widowControl/>
        <w:rPr>
          <w:b w:val="0"/>
          <w:color w:val="auto"/>
          <w:sz w:val="21"/>
          <w:szCs w:val="21"/>
        </w:rPr>
      </w:pPr>
      <w:r>
        <w:rPr>
          <w:color w:val="auto"/>
          <w:sz w:val="21"/>
          <w:szCs w:val="21"/>
        </w:rPr>
        <w:t xml:space="preserve">环境标志产品政策</w:t>
      </w:r>
      <w:r/>
    </w:p>
    <w:p>
      <w:pPr>
        <w:pStyle w:val="1240"/>
        <w:numPr>
          <w:ilvl w:val="0"/>
          <w:numId w:val="1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环境标志产品是指列入财政部、生态环境部制定的《环境标志产品政府采购品目清单》，且依据相关标准的最新版本认证的环境标志产品，依据品目清单和认证证书实施政府优先采购。</w:t>
      </w:r>
      <w:r/>
    </w:p>
    <w:p>
      <w:pPr>
        <w:pStyle w:val="1240"/>
        <w:numPr>
          <w:ilvl w:val="0"/>
          <w:numId w:val="1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pStyle w:val="1240"/>
        <w:numPr>
          <w:ilvl w:val="0"/>
          <w:numId w:val="1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供应商提供的产品属于《环境标志产品政府采购品目清单》所列产品的，在性能、技术、服务等指标同等条件下，实行优先采购，优先采购的评审标准详见本采购文件第三章评标标准。</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招标文件构成</w:t>
      </w:r>
      <w:r/>
    </w:p>
    <w:p>
      <w:pPr>
        <w:pStyle w:val="1240"/>
        <w:numPr>
          <w:ilvl w:val="0"/>
          <w:numId w:val="20"/>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招标文件由以下部分组成：</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第一章 招标公告</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HYPERLINK "</w:instrText>
      </w:r>
      <w:r>
        <w:rPr>
          <w:rFonts w:ascii="Times New Roman" w:hAnsi="Times New Roman" w:eastAsia="宋体" w:cs="Times New Roman"/>
          <w:color w:val="auto"/>
          <w:sz w:val="21"/>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ascii="Times New Roman" w:hAnsi="Times New Roman" w:eastAsia="宋体" w:cs="Times New Roman"/>
          <w:color w:val="auto"/>
          <w:sz w:val="21"/>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ascii="Times New Roman" w:hAnsi="Times New Roman" w:eastAsia="宋体" w:cs="Times New Roman"/>
          <w:color w:val="auto"/>
          <w:sz w:val="21"/>
          <w:szCs w:val="21"/>
        </w:rPr>
        <w:fldChar w:fldCharType="separate"/>
      </w:r>
      <w:r>
        <w:rPr>
          <w:rFonts w:ascii="Times New Roman" w:hAnsi="Times New Roman" w:eastAsia="宋体" w:cs="Times New Roman"/>
          <w:color w:val="auto"/>
          <w:sz w:val="21"/>
          <w:szCs w:val="21"/>
        </w:rPr>
        <w:t xml:space="preserve">第二章  投标供应商须知</w:t>
      </w:r>
      <w:r>
        <w:rPr>
          <w:rFonts w:ascii="Times New Roman" w:hAnsi="Times New Roman" w:eastAsia="宋体" w:cs="Times New Roman"/>
          <w:color w:val="auto"/>
          <w:sz w:val="21"/>
          <w:szCs w:val="21"/>
        </w:rPr>
        <w:fldChar w:fldCharType="end"/>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HYPERLINK "</w:instrText>
      </w:r>
      <w:r>
        <w:rPr>
          <w:rFonts w:ascii="Times New Roman" w:hAnsi="Times New Roman" w:eastAsia="宋体" w:cs="Times New Roman"/>
          <w:color w:val="auto"/>
          <w:sz w:val="21"/>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ascii="Times New Roman" w:hAnsi="Times New Roman" w:eastAsia="宋体" w:cs="Times New Roman"/>
          <w:color w:val="auto"/>
          <w:sz w:val="21"/>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ascii="Times New Roman" w:hAnsi="Times New Roman" w:eastAsia="宋体" w:cs="Times New Roman"/>
          <w:color w:val="auto"/>
          <w:sz w:val="21"/>
          <w:szCs w:val="21"/>
        </w:rPr>
        <w:fldChar w:fldCharType="separate"/>
      </w:r>
      <w:r>
        <w:rPr>
          <w:rFonts w:ascii="Times New Roman" w:hAnsi="Times New Roman" w:eastAsia="宋体" w:cs="Times New Roman"/>
          <w:color w:val="auto"/>
          <w:sz w:val="21"/>
          <w:szCs w:val="21"/>
        </w:rPr>
        <w:t xml:space="preserve">第三章 评标标准</w:t>
      </w:r>
      <w:r>
        <w:rPr>
          <w:rFonts w:ascii="Times New Roman" w:hAnsi="Times New Roman" w:eastAsia="宋体" w:cs="Times New Roman"/>
          <w:color w:val="auto"/>
          <w:sz w:val="21"/>
          <w:szCs w:val="21"/>
        </w:rPr>
        <w:fldChar w:fldCharType="end"/>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HYPERLINK "</w:instrText>
      </w:r>
      <w:r>
        <w:rPr>
          <w:rFonts w:ascii="Times New Roman" w:hAnsi="Times New Roman" w:eastAsia="宋体" w:cs="Times New Roman"/>
          <w:color w:val="auto"/>
          <w:sz w:val="21"/>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ascii="Times New Roman" w:hAnsi="Times New Roman" w:eastAsia="宋体" w:cs="Times New Roman"/>
          <w:color w:val="auto"/>
          <w:sz w:val="21"/>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ascii="Times New Roman" w:hAnsi="Times New Roman" w:eastAsia="宋体" w:cs="Times New Roman"/>
          <w:color w:val="auto"/>
          <w:sz w:val="21"/>
          <w:szCs w:val="21"/>
        </w:rPr>
        <w:fldChar w:fldCharType="separate"/>
      </w:r>
      <w:r>
        <w:rPr>
          <w:rFonts w:ascii="Times New Roman" w:hAnsi="Times New Roman" w:eastAsia="宋体" w:cs="Times New Roman"/>
          <w:color w:val="auto"/>
          <w:sz w:val="21"/>
          <w:szCs w:val="21"/>
        </w:rPr>
        <w:t xml:space="preserve">第四章 招标项目的技术规格、要求和数量等</w:t>
      </w:r>
      <w:r>
        <w:rPr>
          <w:rFonts w:ascii="Times New Roman" w:hAnsi="Times New Roman" w:eastAsia="宋体" w:cs="Times New Roman"/>
          <w:color w:val="auto"/>
          <w:sz w:val="21"/>
          <w:szCs w:val="21"/>
        </w:rPr>
        <w:fldChar w:fldCharType="end"/>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HYPERLINK</w:instrText>
      </w:r>
      <w:r>
        <w:rPr>
          <w:rFonts w:ascii="Times New Roman" w:hAnsi="Times New Roman" w:eastAsia="宋体" w:cs="Times New Roman"/>
          <w:color w:val="auto"/>
          <w:sz w:val="21"/>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ascii="Times New Roman" w:hAnsi="Times New Roman" w:eastAsia="宋体" w:cs="Times New Roman"/>
          <w:color w:val="auto"/>
          <w:sz w:val="21"/>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ascii="Times New Roman" w:hAnsi="Times New Roman" w:eastAsia="宋体" w:cs="Times New Roman"/>
          <w:color w:val="auto"/>
          <w:sz w:val="21"/>
          <w:szCs w:val="21"/>
        </w:rPr>
        <w:fldChar w:fldCharType="separate"/>
      </w:r>
      <w:r>
        <w:rPr>
          <w:rFonts w:ascii="Times New Roman" w:hAnsi="Times New Roman" w:eastAsia="宋体" w:cs="Times New Roman"/>
          <w:color w:val="auto"/>
          <w:sz w:val="21"/>
          <w:szCs w:val="21"/>
        </w:rPr>
        <w:t xml:space="preserve">第五章 合同草案条款及格式</w:t>
      </w:r>
      <w:r>
        <w:rPr>
          <w:rFonts w:ascii="Times New Roman" w:hAnsi="Times New Roman" w:eastAsia="宋体" w:cs="Times New Roman"/>
          <w:color w:val="auto"/>
          <w:sz w:val="21"/>
          <w:szCs w:val="21"/>
        </w:rPr>
        <w:fldChar w:fldCharType="end"/>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HYPERLINK "</w:instrText>
      </w:r>
      <w:r>
        <w:rPr>
          <w:rFonts w:ascii="Times New Roman" w:hAnsi="Times New Roman" w:eastAsia="宋体" w:cs="Times New Roman"/>
          <w:color w:val="auto"/>
          <w:sz w:val="21"/>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ascii="Times New Roman" w:hAnsi="Times New Roman" w:eastAsia="宋体" w:cs="Times New Roman"/>
          <w:color w:val="auto"/>
          <w:sz w:val="21"/>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ascii="Times New Roman" w:hAnsi="Times New Roman" w:eastAsia="宋体" w:cs="Times New Roman"/>
          <w:color w:val="auto"/>
          <w:sz w:val="21"/>
          <w:szCs w:val="21"/>
        </w:rPr>
        <w:fldChar w:fldCharType="separate"/>
      </w:r>
      <w:r>
        <w:rPr>
          <w:rFonts w:ascii="Times New Roman" w:hAnsi="Times New Roman" w:eastAsia="宋体" w:cs="Times New Roman"/>
          <w:color w:val="auto"/>
          <w:sz w:val="21"/>
          <w:szCs w:val="21"/>
        </w:rPr>
        <w:t xml:space="preserve">第六章 投标文件格式</w:t>
      </w:r>
      <w:r>
        <w:rPr>
          <w:rFonts w:ascii="Times New Roman" w:hAnsi="Times New Roman" w:eastAsia="宋体" w:cs="Times New Roman"/>
          <w:color w:val="auto"/>
          <w:sz w:val="21"/>
          <w:szCs w:val="21"/>
        </w:rPr>
        <w:fldChar w:fldCharType="end"/>
      </w:r>
      <w:r/>
    </w:p>
    <w:p>
      <w:pPr>
        <w:pStyle w:val="1240"/>
        <w:numPr>
          <w:ilvl w:val="0"/>
          <w:numId w:val="20"/>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招标的最小单位是分包。招标货物数量及技术要求中未分包的，供应商对要求提供的货物和服务不得部分投标；招标货物数量及技术要求中已经分包的，可以分包为单位投标。</w:t>
      </w:r>
      <w:r/>
    </w:p>
    <w:p>
      <w:pPr>
        <w:pStyle w:val="1240"/>
        <w:numPr>
          <w:ilvl w:val="0"/>
          <w:numId w:val="20"/>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代理机构如果要求供应商按照招标文件规定提交备选供应商方案的，供应商可以提交备选方案；否则，备选方案将被拒绝。</w:t>
      </w:r>
      <w:r/>
    </w:p>
    <w:p>
      <w:pPr>
        <w:pStyle w:val="1228"/>
        <w:widowControl/>
        <w:rPr>
          <w:color w:val="auto"/>
          <w:sz w:val="21"/>
          <w:szCs w:val="21"/>
        </w:rPr>
      </w:pPr>
      <w:r>
        <w:rPr>
          <w:color w:val="auto"/>
          <w:sz w:val="21"/>
          <w:szCs w:val="21"/>
        </w:rPr>
        <w:t xml:space="preserve">6.招标文件的澄清、补充或修改</w:t>
      </w:r>
      <w:r/>
    </w:p>
    <w:p>
      <w:pPr>
        <w:pStyle w:val="1240"/>
        <w:numPr>
          <w:ilvl w:val="0"/>
          <w:numId w:val="21"/>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代理机构对已发出的招标文件进行必要澄清、补充或者修改的，将在招标文件要求提交投标文件截止时间十五日前，在“江苏省政府采购网”发布更正公告，该澄清、补充或者修改的内容为招标文件的组成部分。</w:t>
      </w:r>
      <w:r/>
    </w:p>
    <w:p>
      <w:pPr>
        <w:pStyle w:val="1240"/>
        <w:numPr>
          <w:ilvl w:val="0"/>
          <w:numId w:val="21"/>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为使供应商在准备投标时，有合理的时间考虑招标文件的补充或修改，招标代理机构将视情况可能推迟投标截止时间和开标时间，并将此变更以书面形式通知所有的供应商。</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投标文件的编制</w:t>
      </w:r>
      <w:r/>
    </w:p>
    <w:p>
      <w:pPr>
        <w:pStyle w:val="1228"/>
        <w:numPr>
          <w:ilvl w:val="0"/>
          <w:numId w:val="22"/>
        </w:numPr>
        <w:ind w:left="0" w:firstLine="0"/>
        <w:widowControl/>
        <w:rPr>
          <w:b w:val="0"/>
          <w:color w:val="auto"/>
          <w:sz w:val="21"/>
          <w:szCs w:val="21"/>
        </w:rPr>
      </w:pPr>
      <w:r>
        <w:rPr>
          <w:color w:val="auto"/>
          <w:sz w:val="21"/>
          <w:szCs w:val="21"/>
        </w:rPr>
        <w:t xml:space="preserve">投标文件的语言、计量单位、货币和编制</w:t>
      </w:r>
      <w:r/>
    </w:p>
    <w:p>
      <w:pPr>
        <w:pStyle w:val="1240"/>
        <w:numPr>
          <w:ilvl w:val="0"/>
          <w:numId w:val="2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1240"/>
        <w:numPr>
          <w:ilvl w:val="0"/>
          <w:numId w:val="2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供应商所使用的计量单位应为国家法定计量单位。</w:t>
      </w:r>
      <w:r/>
    </w:p>
    <w:p>
      <w:pPr>
        <w:pStyle w:val="1240"/>
        <w:numPr>
          <w:ilvl w:val="0"/>
          <w:numId w:val="2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供应商应用人民币报价。</w:t>
      </w:r>
      <w:r/>
    </w:p>
    <w:p>
      <w:pPr>
        <w:pStyle w:val="1240"/>
        <w:numPr>
          <w:ilvl w:val="0"/>
          <w:numId w:val="2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pStyle w:val="1228"/>
        <w:numPr>
          <w:ilvl w:val="0"/>
          <w:numId w:val="22"/>
        </w:numPr>
        <w:ind w:left="0" w:firstLine="0"/>
        <w:widowControl/>
        <w:rPr>
          <w:b w:val="0"/>
          <w:color w:val="auto"/>
          <w:sz w:val="21"/>
          <w:szCs w:val="21"/>
        </w:rPr>
      </w:pPr>
      <w:r>
        <w:rPr>
          <w:color w:val="auto"/>
          <w:sz w:val="21"/>
          <w:szCs w:val="21"/>
        </w:rPr>
        <w:t xml:space="preserve">投标文件的组成</w:t>
      </w:r>
      <w:r/>
    </w:p>
    <w:p>
      <w:pPr>
        <w:pStyle w:val="1240"/>
        <w:numPr>
          <w:ilvl w:val="0"/>
          <w:numId w:val="2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供应商应当根据招标文件要求编制投标文件，投标文件应对招标文件提出的要求和条件作出实质性响应，并在《商务条款偏离表》和《技术规格偏离表》等处逐条标明满足与否。</w:t>
      </w:r>
      <w:r/>
    </w:p>
    <w:p>
      <w:pPr>
        <w:pStyle w:val="1240"/>
        <w:numPr>
          <w:ilvl w:val="0"/>
          <w:numId w:val="24"/>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投标文件由商务部分、技术部分、价格部分以及其他部分组成。</w:t>
      </w:r>
      <w:r/>
    </w:p>
    <w:p>
      <w:pPr>
        <w:pStyle w:val="1228"/>
        <w:numPr>
          <w:ilvl w:val="0"/>
          <w:numId w:val="22"/>
        </w:numPr>
        <w:ind w:left="0" w:firstLine="0"/>
        <w:widowControl/>
        <w:rPr>
          <w:b w:val="0"/>
          <w:color w:val="auto"/>
          <w:sz w:val="21"/>
          <w:szCs w:val="21"/>
        </w:rPr>
      </w:pPr>
      <w:r>
        <w:rPr>
          <w:color w:val="auto"/>
          <w:sz w:val="21"/>
          <w:szCs w:val="21"/>
        </w:rPr>
        <w:t xml:space="preserve">投标文件的商务部分</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9.1 商务部分是证明供应商有资格参加投标和中标后有能力履行合同的文件，这些文件应能满足招标文件的要求，包括但不限于下列文件，其中加“★”项目不得有缺失或无效：</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★投标函（投标申请及声明）；</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★法定代表人授权委托书及委托代理人的身份证明文件的原件扫描件；</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★第一章投标邀请书中《中华人民共和国政府采购法》规定的资格条件证明文件；</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★第一章投标邀请书中采购人根据采购项目的特殊要求规定的特定条件证明文件；</w:t>
      </w:r>
      <w:r/>
    </w:p>
    <w:p>
      <w:pPr>
        <w:pStyle w:val="1240"/>
        <w:numPr>
          <w:ilvl w:val="0"/>
          <w:numId w:val="2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《开标一览表》；</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★《已标价工程量清单》 ；</w:t>
      </w:r>
      <w:r/>
    </w:p>
    <w:p>
      <w:pPr>
        <w:pStyle w:val="1240"/>
        <w:numPr>
          <w:ilvl w:val="0"/>
          <w:numId w:val="2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★《商务条款偏离表》；</w:t>
      </w:r>
      <w:r/>
    </w:p>
    <w:p>
      <w:pPr>
        <w:pStyle w:val="1240"/>
        <w:numPr>
          <w:ilvl w:val="0"/>
          <w:numId w:val="2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合同草案条款；</w:t>
      </w:r>
      <w:r/>
    </w:p>
    <w:p>
      <w:pPr>
        <w:pStyle w:val="1240"/>
        <w:numPr>
          <w:ilvl w:val="0"/>
          <w:numId w:val="2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供应商认为需要提供的其他资格证明文件和商务资料。</w:t>
      </w:r>
      <w:r/>
    </w:p>
    <w:p>
      <w:pPr>
        <w:pStyle w:val="1228"/>
        <w:numPr>
          <w:ilvl w:val="0"/>
          <w:numId w:val="22"/>
        </w:numPr>
        <w:ind w:left="0" w:firstLine="0"/>
        <w:widowControl/>
        <w:rPr>
          <w:b w:val="0"/>
          <w:color w:val="auto"/>
          <w:sz w:val="21"/>
          <w:szCs w:val="21"/>
        </w:rPr>
      </w:pPr>
      <w:r>
        <w:rPr>
          <w:color w:val="auto"/>
          <w:sz w:val="21"/>
          <w:szCs w:val="21"/>
        </w:rPr>
        <w:t xml:space="preserve">投标文件的技术部分</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pStyle w:val="1240"/>
        <w:numPr>
          <w:ilvl w:val="0"/>
          <w:numId w:val="2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技术说明和服务方案；</w:t>
      </w:r>
      <w:r/>
    </w:p>
    <w:p>
      <w:pPr>
        <w:pStyle w:val="1240"/>
        <w:numPr>
          <w:ilvl w:val="0"/>
          <w:numId w:val="26"/>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★《技术条款偏离表》；</w:t>
      </w:r>
      <w:r/>
    </w:p>
    <w:p>
      <w:pPr>
        <w:pStyle w:val="1240"/>
        <w:numPr>
          <w:ilvl w:val="0"/>
          <w:numId w:val="2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施工组织设计（技术方案）；</w:t>
      </w:r>
      <w:r/>
    </w:p>
    <w:p>
      <w:pPr>
        <w:pStyle w:val="1240"/>
        <w:numPr>
          <w:ilvl w:val="0"/>
          <w:numId w:val="2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供应商拟投入本项目的设备、人员情况一览表；</w:t>
      </w:r>
      <w:r/>
    </w:p>
    <w:p>
      <w:pPr>
        <w:pStyle w:val="1240"/>
        <w:numPr>
          <w:ilvl w:val="0"/>
          <w:numId w:val="2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供应商认为需要提供的其他技术资料。</w:t>
      </w:r>
      <w:r/>
    </w:p>
    <w:p>
      <w:pPr>
        <w:pStyle w:val="1228"/>
        <w:numPr>
          <w:ilvl w:val="0"/>
          <w:numId w:val="22"/>
        </w:numPr>
        <w:ind w:left="0" w:firstLine="0"/>
        <w:widowControl/>
        <w:rPr>
          <w:b w:val="0"/>
          <w:color w:val="auto"/>
          <w:sz w:val="21"/>
          <w:szCs w:val="21"/>
        </w:rPr>
      </w:pPr>
      <w:r>
        <w:rPr>
          <w:color w:val="auto"/>
          <w:sz w:val="21"/>
          <w:szCs w:val="21"/>
        </w:rPr>
        <w:t xml:space="preserve">投标文件的价格部分</w:t>
      </w:r>
      <w:r/>
    </w:p>
    <w:p>
      <w:pPr>
        <w:pStyle w:val="1240"/>
        <w:numPr>
          <w:ilvl w:val="0"/>
          <w:numId w:val="2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价格部分是对货物或服务价格构成的说明，招标文件如没有特别说明的话，对每一项货物或服务仅接受一个价格。</w:t>
      </w:r>
      <w:r/>
    </w:p>
    <w:p>
      <w:pPr>
        <w:pStyle w:val="1240"/>
        <w:numPr>
          <w:ilvl w:val="0"/>
          <w:numId w:val="2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报价应包含本次招标项目有关的所有费用，以及技术资料、支付给员工的工资和国家强制缴纳的各种社会保障资金，以及供应商认为需要的其他费用等。</w:t>
      </w:r>
      <w:r/>
    </w:p>
    <w:p>
      <w:pPr>
        <w:pStyle w:val="1240"/>
        <w:numPr>
          <w:ilvl w:val="0"/>
          <w:numId w:val="2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供应商的任何错漏、优惠、竞争性报价不得作为减轻责任、减少货物/服务、增加收费、降低质量的理由。</w:t>
      </w:r>
      <w:r/>
    </w:p>
    <w:p>
      <w:pPr>
        <w:pStyle w:val="1240"/>
        <w:numPr>
          <w:ilvl w:val="0"/>
          <w:numId w:val="2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pStyle w:val="1240"/>
        <w:numPr>
          <w:ilvl w:val="0"/>
          <w:numId w:val="2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本项目预算及详见招标公告，供应商的投标报价不得超过预算。超过预算的投标文件，按无效投标处理。</w:t>
      </w:r>
      <w:r/>
    </w:p>
    <w:p>
      <w:pPr>
        <w:pStyle w:val="1228"/>
        <w:numPr>
          <w:ilvl w:val="0"/>
          <w:numId w:val="22"/>
        </w:numPr>
        <w:ind w:left="0" w:firstLine="0"/>
        <w:widowControl/>
        <w:rPr>
          <w:b w:val="0"/>
          <w:color w:val="auto"/>
          <w:sz w:val="21"/>
          <w:szCs w:val="21"/>
        </w:rPr>
      </w:pPr>
      <w:r>
        <w:rPr>
          <w:color w:val="auto"/>
          <w:sz w:val="21"/>
          <w:szCs w:val="21"/>
        </w:rPr>
        <w:t xml:space="preserve">投标文件的其他部分</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12.1 其他部分由供应商根据编制投标文件需要提供的其他相关文件。</w:t>
      </w:r>
      <w:r/>
    </w:p>
    <w:p>
      <w:pPr>
        <w:pStyle w:val="1228"/>
        <w:numPr>
          <w:ilvl w:val="0"/>
          <w:numId w:val="22"/>
        </w:numPr>
        <w:ind w:left="0" w:firstLine="0"/>
        <w:widowControl/>
        <w:rPr>
          <w:b w:val="0"/>
          <w:color w:val="auto"/>
          <w:sz w:val="21"/>
          <w:szCs w:val="21"/>
        </w:rPr>
      </w:pPr>
      <w:r>
        <w:rPr>
          <w:color w:val="auto"/>
          <w:sz w:val="21"/>
          <w:szCs w:val="21"/>
        </w:rPr>
        <w:t xml:space="preserve">投标保证金</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本项目无需缴纳投标保证金</w:t>
      </w:r>
      <w:r/>
    </w:p>
    <w:p>
      <w:pPr>
        <w:pStyle w:val="1228"/>
        <w:numPr>
          <w:ilvl w:val="0"/>
          <w:numId w:val="22"/>
        </w:numPr>
        <w:ind w:left="0" w:firstLine="0"/>
        <w:widowControl/>
        <w:rPr>
          <w:b w:val="0"/>
          <w:color w:val="auto"/>
          <w:sz w:val="21"/>
          <w:szCs w:val="21"/>
        </w:rPr>
      </w:pPr>
      <w:r>
        <w:rPr>
          <w:color w:val="auto"/>
          <w:sz w:val="21"/>
          <w:szCs w:val="21"/>
        </w:rPr>
        <w:t xml:space="preserve">投标有效期</w:t>
      </w:r>
      <w:r/>
    </w:p>
    <w:p>
      <w:pPr>
        <w:pStyle w:val="1240"/>
        <w:numPr>
          <w:ilvl w:val="0"/>
          <w:numId w:val="28"/>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自开标之日起90天内投标有效。</w:t>
      </w:r>
      <w:r/>
    </w:p>
    <w:p>
      <w:pPr>
        <w:pStyle w:val="1240"/>
        <w:numPr>
          <w:ilvl w:val="0"/>
          <w:numId w:val="28"/>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pStyle w:val="1228"/>
        <w:numPr>
          <w:ilvl w:val="0"/>
          <w:numId w:val="22"/>
        </w:numPr>
        <w:ind w:left="0" w:firstLine="0"/>
        <w:widowControl/>
        <w:rPr>
          <w:b w:val="0"/>
          <w:color w:val="auto"/>
          <w:sz w:val="21"/>
          <w:szCs w:val="21"/>
        </w:rPr>
      </w:pPr>
      <w:r>
        <w:rPr>
          <w:color w:val="auto"/>
          <w:sz w:val="21"/>
          <w:szCs w:val="21"/>
        </w:rPr>
        <w:t xml:space="preserve">投标文件签署</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15.1 投标文件由投标供应商法定代表人或经正式授权并对投标供应商有约束力的委托代理人签字。</w:t>
      </w:r>
      <w:r/>
    </w:p>
    <w:p>
      <w:pPr>
        <w:pStyle w:val="1228"/>
        <w:numPr>
          <w:ilvl w:val="0"/>
          <w:numId w:val="22"/>
        </w:numPr>
        <w:ind w:left="0" w:firstLine="0"/>
        <w:widowControl/>
        <w:rPr>
          <w:b w:val="0"/>
          <w:color w:val="auto"/>
          <w:sz w:val="21"/>
          <w:szCs w:val="21"/>
        </w:rPr>
      </w:pPr>
      <w:r>
        <w:rPr>
          <w:color w:val="auto"/>
          <w:sz w:val="21"/>
          <w:szCs w:val="21"/>
        </w:rPr>
        <w:t xml:space="preserve">投标费用</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16.1 供应商应承担所有与准备和参加投标有关的费用，无论采购结果如何，代理机构和采购人在任何情况下均无义务和责任承担这些费用。</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投标文件的递交</w:t>
      </w:r>
      <w:r/>
    </w:p>
    <w:p>
      <w:pPr>
        <w:pStyle w:val="1228"/>
        <w:numPr>
          <w:ilvl w:val="0"/>
          <w:numId w:val="29"/>
        </w:numPr>
        <w:ind w:left="0" w:firstLine="0"/>
        <w:widowControl/>
        <w:rPr>
          <w:b w:val="0"/>
          <w:color w:val="auto"/>
          <w:sz w:val="21"/>
          <w:szCs w:val="21"/>
        </w:rPr>
      </w:pPr>
      <w:r>
        <w:rPr>
          <w:color w:val="auto"/>
          <w:sz w:val="21"/>
          <w:szCs w:val="21"/>
        </w:rPr>
        <w:t xml:space="preserve">投标文件的递交</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17.1 电子投标文件的递交：投标人应当按照《操作手册》规定，在投标截止时间前制作并上传电子投标文件。</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14.2 投标文件的解密：开标当天各供应商及时登录不见面开标大厅，投标文件递交截止时间后，采购人将在系统内公布供应商名单，然后通</w:t>
      </w:r>
      <w:r>
        <w:rPr>
          <w:rFonts w:ascii="Times New Roman" w:hAnsi="Times New Roman" w:eastAsia="宋体" w:cs="Times New Roman"/>
          <w:color w:val="auto"/>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228"/>
        <w:numPr>
          <w:ilvl w:val="0"/>
          <w:numId w:val="29"/>
        </w:numPr>
        <w:ind w:left="0" w:firstLine="0"/>
        <w:widowControl/>
        <w:rPr>
          <w:b w:val="0"/>
          <w:color w:val="auto"/>
          <w:sz w:val="21"/>
          <w:szCs w:val="21"/>
        </w:rPr>
      </w:pPr>
      <w:r>
        <w:rPr>
          <w:color w:val="auto"/>
          <w:sz w:val="21"/>
          <w:szCs w:val="21"/>
        </w:rPr>
        <w:t xml:space="preserve">有下列情形的投标文件将拒收：</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18.1 采购人（代理机构）拒绝接收在其规定的投标截止时间后上传的任何投标文件。</w:t>
      </w:r>
      <w:r/>
    </w:p>
    <w:p>
      <w:pPr>
        <w:pStyle w:val="1228"/>
        <w:numPr>
          <w:ilvl w:val="0"/>
          <w:numId w:val="29"/>
        </w:numPr>
        <w:ind w:left="0" w:firstLine="0"/>
        <w:widowControl/>
        <w:rPr>
          <w:b w:val="0"/>
          <w:color w:val="auto"/>
          <w:sz w:val="21"/>
          <w:szCs w:val="21"/>
        </w:rPr>
      </w:pPr>
      <w:r>
        <w:rPr>
          <w:color w:val="auto"/>
          <w:sz w:val="21"/>
          <w:szCs w:val="21"/>
        </w:rPr>
        <w:t xml:space="preserve">投标文件的修改和撤回</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pStyle w:val="1229"/>
        <w:numPr>
          <w:ilvl w:val="0"/>
          <w:numId w:val="30"/>
        </w:numPr>
        <w:ind w:left="0" w:firstLine="0"/>
        <w:widowControl/>
        <w:rPr>
          <w:b w:val="0"/>
          <w:color w:val="auto"/>
          <w:sz w:val="21"/>
          <w:szCs w:val="21"/>
        </w:rPr>
      </w:pPr>
      <w:r>
        <w:rPr>
          <w:color w:val="auto"/>
          <w:sz w:val="21"/>
          <w:szCs w:val="21"/>
        </w:rPr>
        <w:t xml:space="preserve">投标文件的撤回</w:t>
      </w:r>
      <w:r/>
    </w:p>
    <w:p>
      <w:pPr>
        <w:pStyle w:val="1230"/>
        <w:numPr>
          <w:ilvl w:val="0"/>
          <w:numId w:val="31"/>
        </w:numPr>
        <w:ind w:left="0" w:firstLine="0"/>
        <w:widowControl/>
        <w:rPr>
          <w:b w:val="0"/>
          <w:color w:val="auto"/>
          <w:sz w:val="21"/>
          <w:szCs w:val="21"/>
        </w:rPr>
      </w:pPr>
      <w:r>
        <w:rPr>
          <w:color w:val="auto"/>
          <w:sz w:val="21"/>
          <w:szCs w:val="21"/>
        </w:rPr>
        <w:t xml:space="preserve">电子投标文件的撤回</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投标人可在投标截止时间前，撤回其电子投标文件，具体操作方法见《操作手册》。</w:t>
      </w:r>
      <w:r/>
    </w:p>
    <w:p>
      <w:pPr>
        <w:pStyle w:val="1230"/>
        <w:numPr>
          <w:ilvl w:val="0"/>
          <w:numId w:val="31"/>
        </w:numPr>
        <w:ind w:left="0" w:firstLine="0"/>
        <w:widowControl/>
        <w:rPr>
          <w:b w:val="0"/>
          <w:color w:val="auto"/>
          <w:sz w:val="21"/>
          <w:szCs w:val="21"/>
        </w:rPr>
      </w:pPr>
      <w:r>
        <w:rPr>
          <w:color w:val="auto"/>
          <w:sz w:val="21"/>
          <w:szCs w:val="21"/>
        </w:rPr>
        <w:t xml:space="preserve">投标人撤回电子投标文件，则认为其不再参与本项目投标活动。</w:t>
      </w:r>
      <w:r/>
    </w:p>
    <w:p>
      <w:pPr>
        <w:pStyle w:val="1229"/>
        <w:numPr>
          <w:ilvl w:val="0"/>
          <w:numId w:val="30"/>
        </w:numPr>
        <w:ind w:left="0" w:firstLine="0"/>
        <w:widowControl/>
        <w:rPr>
          <w:b w:val="0"/>
          <w:color w:val="auto"/>
          <w:sz w:val="21"/>
          <w:szCs w:val="21"/>
        </w:rPr>
      </w:pPr>
      <w:r>
        <w:rPr>
          <w:color w:val="auto"/>
          <w:sz w:val="21"/>
          <w:szCs w:val="21"/>
        </w:rPr>
        <w:t xml:space="preserve">投标文件的修改</w:t>
      </w:r>
      <w:r/>
    </w:p>
    <w:p>
      <w:pPr>
        <w:pStyle w:val="1240"/>
        <w:numPr>
          <w:ilvl w:val="0"/>
          <w:numId w:val="3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投标人可在投标截止时间前，对其电子投标文件进行修改，具体操作方法见《操作手册》。</w:t>
      </w:r>
      <w:r/>
    </w:p>
    <w:p>
      <w:pPr>
        <w:pStyle w:val="1240"/>
        <w:numPr>
          <w:ilvl w:val="0"/>
          <w:numId w:val="32"/>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在投标截止时间之后，投标人不得对其电子投标文件作任何修改。</w:t>
      </w:r>
      <w:r/>
    </w:p>
    <w:p>
      <w:pPr>
        <w:pStyle w:val="1229"/>
        <w:numPr>
          <w:ilvl w:val="0"/>
          <w:numId w:val="30"/>
        </w:numPr>
        <w:ind w:left="0" w:firstLine="0"/>
        <w:widowControl/>
        <w:rPr>
          <w:b w:val="0"/>
          <w:color w:val="auto"/>
          <w:sz w:val="21"/>
          <w:szCs w:val="21"/>
        </w:rPr>
      </w:pPr>
      <w:r>
        <w:rPr>
          <w:color w:val="auto"/>
          <w:sz w:val="21"/>
          <w:szCs w:val="21"/>
        </w:rPr>
        <w:t xml:space="preserve">在投标截止时间至招标文件中规定的投标有效期满之间的这段时间内，投标人不得撤回其投标文件。</w:t>
      </w:r>
      <w:r/>
    </w:p>
    <w:p>
      <w:pPr>
        <w:pStyle w:val="1228"/>
        <w:numPr>
          <w:ilvl w:val="0"/>
          <w:numId w:val="29"/>
        </w:numPr>
        <w:ind w:left="0" w:firstLine="0"/>
        <w:widowControl/>
        <w:rPr>
          <w:b w:val="0"/>
          <w:color w:val="auto"/>
          <w:sz w:val="21"/>
          <w:szCs w:val="21"/>
        </w:rPr>
      </w:pPr>
      <w:r>
        <w:rPr>
          <w:color w:val="auto"/>
          <w:sz w:val="21"/>
          <w:szCs w:val="21"/>
        </w:rPr>
        <w:t xml:space="preserve">诚实信用</w:t>
      </w:r>
      <w:r/>
    </w:p>
    <w:p>
      <w:pPr>
        <w:pStyle w:val="1240"/>
        <w:numPr>
          <w:ilvl w:val="0"/>
          <w:numId w:val="3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投标供应商之间不得相互串通投标报价，不得妨碍其他投标供应商的公平竞争，不得损害采购人和其他投标供应商的合法权益。</w:t>
      </w:r>
      <w:r/>
    </w:p>
    <w:p>
      <w:pPr>
        <w:pStyle w:val="1240"/>
        <w:numPr>
          <w:ilvl w:val="0"/>
          <w:numId w:val="3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投标供应商不得以向代理机构工作人员、评标委员会成员行贿或者采取其他不正当手段谋取中标。</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开标、评标与定标</w:t>
      </w:r>
      <w:r/>
    </w:p>
    <w:p>
      <w:pPr>
        <w:pStyle w:val="1228"/>
        <w:numPr>
          <w:ilvl w:val="0"/>
          <w:numId w:val="34"/>
        </w:numPr>
        <w:ind w:left="0" w:firstLine="0"/>
        <w:widowControl/>
        <w:rPr>
          <w:b w:val="0"/>
          <w:color w:val="auto"/>
          <w:sz w:val="21"/>
          <w:szCs w:val="21"/>
        </w:rPr>
      </w:pPr>
      <w:r>
        <w:rPr>
          <w:color w:val="auto"/>
          <w:sz w:val="21"/>
          <w:szCs w:val="21"/>
        </w:rPr>
        <w:t xml:space="preserve">开标</w:t>
      </w:r>
      <w:r/>
    </w:p>
    <w:p>
      <w:pPr>
        <w:pStyle w:val="1240"/>
        <w:numPr>
          <w:ilvl w:val="0"/>
          <w:numId w:val="3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代理机构将在招标公告中规定的时间和地点组织公开开标。投标人应当按照《操作手册》规定，参加开标活动和在苏采云系统规定的时间内对投标文件进行解密。</w:t>
      </w:r>
      <w:r/>
    </w:p>
    <w:p>
      <w:pPr>
        <w:pStyle w:val="1240"/>
        <w:numPr>
          <w:ilvl w:val="0"/>
          <w:numId w:val="3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开标仪式由代理机构组织。苏采云系统将自动对项目进行开标，并宣布各投标人名称和投标价格。</w:t>
      </w:r>
      <w:r/>
    </w:p>
    <w:p>
      <w:pPr>
        <w:pStyle w:val="1240"/>
        <w:numPr>
          <w:ilvl w:val="0"/>
          <w:numId w:val="3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投标人在开标过程中涉及到的投标文件解密、开标结果确认等工作，应按照《操作手册》规定执行。</w:t>
      </w:r>
      <w:r/>
    </w:p>
    <w:p>
      <w:pPr>
        <w:pStyle w:val="1240"/>
        <w:numPr>
          <w:ilvl w:val="0"/>
          <w:numId w:val="3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投标人如果对开标过程和开标记录有疑义，应当根据《操作手册》规定提出，如在苏采云系统《开标记录表》宣布后5分钟内未提出的，视同认可开标结果。</w:t>
      </w:r>
      <w:r/>
    </w:p>
    <w:p>
      <w:pPr>
        <w:pStyle w:val="1240"/>
        <w:numPr>
          <w:ilvl w:val="0"/>
          <w:numId w:val="3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开标时，《开标一览表》内容与投标文件中明细表内容不一致的，以《开标一览表》为准。</w:t>
      </w:r>
      <w:r/>
    </w:p>
    <w:p>
      <w:pPr>
        <w:pStyle w:val="1240"/>
        <w:numPr>
          <w:ilvl w:val="0"/>
          <w:numId w:val="3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pStyle w:val="1240"/>
        <w:numPr>
          <w:ilvl w:val="0"/>
          <w:numId w:val="35"/>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投标截止时间结束后参加投标的供应商不足三家的，不得开标。</w:t>
      </w:r>
      <w:r/>
    </w:p>
    <w:p>
      <w:pPr>
        <w:pStyle w:val="1228"/>
        <w:numPr>
          <w:ilvl w:val="0"/>
          <w:numId w:val="34"/>
        </w:numPr>
        <w:ind w:left="0" w:firstLine="0"/>
        <w:widowControl/>
        <w:rPr>
          <w:b w:val="0"/>
          <w:color w:val="auto"/>
          <w:sz w:val="21"/>
          <w:szCs w:val="21"/>
        </w:rPr>
      </w:pPr>
      <w:r>
        <w:rPr>
          <w:color w:val="auto"/>
          <w:sz w:val="21"/>
          <w:szCs w:val="21"/>
        </w:rPr>
        <w:t xml:space="preserve">评标</w:t>
      </w:r>
      <w:r/>
    </w:p>
    <w:p>
      <w:pPr>
        <w:pStyle w:val="1229"/>
        <w:numPr>
          <w:ilvl w:val="0"/>
          <w:numId w:val="36"/>
        </w:numPr>
        <w:ind w:left="0" w:firstLine="0"/>
        <w:widowControl/>
        <w:rPr>
          <w:b w:val="0"/>
          <w:color w:val="auto"/>
          <w:sz w:val="21"/>
          <w:szCs w:val="21"/>
        </w:rPr>
      </w:pPr>
      <w:r>
        <w:rPr>
          <w:color w:val="auto"/>
          <w:sz w:val="21"/>
          <w:szCs w:val="21"/>
        </w:rPr>
        <w:t xml:space="preserve">评标组织</w:t>
      </w:r>
      <w:r/>
    </w:p>
    <w:p>
      <w:pPr>
        <w:pStyle w:val="1240"/>
        <w:numPr>
          <w:ilvl w:val="0"/>
          <w:numId w:val="3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评标工作由代理机构负责组织，具体评标事务由依法组建的评标委员会负责，并独立履行下列职责：</w:t>
      </w:r>
      <w:r/>
    </w:p>
    <w:p>
      <w:pPr>
        <w:pStyle w:val="1240"/>
        <w:numPr>
          <w:ilvl w:val="0"/>
          <w:numId w:val="3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审查投标文件是否符合招标文件要求，并作出评价；</w:t>
      </w:r>
      <w:r/>
    </w:p>
    <w:p>
      <w:pPr>
        <w:pStyle w:val="1240"/>
        <w:numPr>
          <w:ilvl w:val="0"/>
          <w:numId w:val="3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要求投标供应商对投标文件有关事项作出解释或者澄清；</w:t>
      </w:r>
      <w:r/>
    </w:p>
    <w:p>
      <w:pPr>
        <w:pStyle w:val="1240"/>
        <w:numPr>
          <w:ilvl w:val="0"/>
          <w:numId w:val="3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推荐中标候选供应商名单，或者按照招标文件规定直接确定中标供应商；</w:t>
      </w:r>
      <w:r/>
    </w:p>
    <w:p>
      <w:pPr>
        <w:pStyle w:val="1240"/>
        <w:numPr>
          <w:ilvl w:val="0"/>
          <w:numId w:val="3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向代理机构或者有关部门报告非法干预评标工作的行为。</w:t>
      </w:r>
      <w:r/>
    </w:p>
    <w:p>
      <w:pPr>
        <w:pStyle w:val="1240"/>
        <w:numPr>
          <w:ilvl w:val="0"/>
          <w:numId w:val="3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评标委员会由采购人代表和有关技术方面的专家组成，独立开展评审工作。</w:t>
      </w:r>
      <w:r/>
    </w:p>
    <w:p>
      <w:pPr>
        <w:pStyle w:val="1229"/>
        <w:numPr>
          <w:ilvl w:val="0"/>
          <w:numId w:val="36"/>
        </w:numPr>
        <w:ind w:left="0" w:firstLine="0"/>
        <w:widowControl/>
        <w:rPr>
          <w:b w:val="0"/>
          <w:color w:val="auto"/>
          <w:sz w:val="21"/>
          <w:szCs w:val="21"/>
        </w:rPr>
      </w:pPr>
      <w:r>
        <w:rPr>
          <w:color w:val="auto"/>
          <w:sz w:val="21"/>
          <w:szCs w:val="21"/>
        </w:rPr>
        <w:t xml:space="preserve">评标程序</w:t>
      </w:r>
      <w:r/>
    </w:p>
    <w:p>
      <w:pPr>
        <w:pStyle w:val="1240"/>
        <w:numPr>
          <w:ilvl w:val="0"/>
          <w:numId w:val="3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投标文件的资格性检查。依据法律法规和招标文件的规定，对投标文件中资格证明文件等进行审查，以确定供应商是否具备投标资格。投标文件有下列情况之一的，在资格性、符合性检查时按照无效投标处理：</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不具备招标文件中规定的资格条件的；</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未按照招标文件规定要求签署、盖章的 ；</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未实质性响应招标要求的；</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提供虚假材料的（包括营业执照、财务报表、资格证明文件等）；</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改变采购文件提供的项目清单中的计量单位、数量；</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响应文件载明的采购项目完成期限超过采购文件规定的期限；</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明显不符合技术规范、技术标准的要求；</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法律法规和招标文件规定的其他无效情形。</w:t>
      </w:r>
      <w:r/>
    </w:p>
    <w:p>
      <w:pPr>
        <w:pStyle w:val="1240"/>
        <w:numPr>
          <w:ilvl w:val="0"/>
          <w:numId w:val="4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不符合法律法规和采购文件规定的其他实质性要求的。</w:t>
      </w:r>
      <w:r/>
    </w:p>
    <w:p>
      <w:pPr>
        <w:pStyle w:val="1240"/>
        <w:numPr>
          <w:ilvl w:val="0"/>
          <w:numId w:val="3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投标文件的符合性检查。依据招标文件规定，从投标文件的有效性、完整性和对招标文件的响应程度进行审查，以确定是否对招标文件的实质性要求作出响应。</w:t>
      </w:r>
      <w:r/>
    </w:p>
    <w:p>
      <w:pPr>
        <w:pStyle w:val="1240"/>
        <w:numPr>
          <w:ilvl w:val="0"/>
          <w:numId w:val="41"/>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实质性要求是指：本招标文件第二章投标供应商须知中加“★”项要求、第四章中加“★”项内容。</w:t>
      </w:r>
      <w:r/>
    </w:p>
    <w:p>
      <w:pPr>
        <w:pStyle w:val="1240"/>
        <w:numPr>
          <w:ilvl w:val="0"/>
          <w:numId w:val="4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有下列情形之一的予以废标，同时将废标理由通知所有供应商：</w:t>
      </w:r>
      <w:r/>
    </w:p>
    <w:p>
      <w:pPr>
        <w:pStyle w:val="1240"/>
        <w:numPr>
          <w:ilvl w:val="0"/>
          <w:numId w:val="4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符合专业条件的供应商或者对招标文件做实质性响应的供应商不足三家的；</w:t>
      </w:r>
      <w:r/>
    </w:p>
    <w:p>
      <w:pPr>
        <w:pStyle w:val="1240"/>
        <w:numPr>
          <w:ilvl w:val="0"/>
          <w:numId w:val="4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出现影响采购公正的违法、违规行为的；</w:t>
      </w:r>
      <w:r/>
    </w:p>
    <w:p>
      <w:pPr>
        <w:pStyle w:val="1240"/>
        <w:numPr>
          <w:ilvl w:val="0"/>
          <w:numId w:val="4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供应商的报价均超过了采购预算或者最高限价的，采购人不能支付的；</w:t>
      </w:r>
      <w:r/>
    </w:p>
    <w:p>
      <w:pPr>
        <w:pStyle w:val="1240"/>
        <w:numPr>
          <w:ilvl w:val="0"/>
          <w:numId w:val="4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因重大变故，采购任务取消的。</w:t>
      </w:r>
      <w:r/>
    </w:p>
    <w:p>
      <w:pPr>
        <w:pStyle w:val="1240"/>
        <w:numPr>
          <w:ilvl w:val="0"/>
          <w:numId w:val="4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投标文件存在歧义、重大缺陷，或者招标文件内容违反国家有关强制性规定的。</w:t>
      </w:r>
      <w:r/>
    </w:p>
    <w:p>
      <w:pPr>
        <w:pStyle w:val="1240"/>
        <w:numPr>
          <w:ilvl w:val="0"/>
          <w:numId w:val="41"/>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在评标期间，出现符合专业条件的供应商或者对招标文件作出实质性响应的供应商不足三家情形的，不得继续进行评标。</w:t>
      </w:r>
      <w:r/>
    </w:p>
    <w:p>
      <w:pPr>
        <w:pStyle w:val="1240"/>
        <w:numPr>
          <w:ilvl w:val="0"/>
          <w:numId w:val="3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澄清有关问题。对投标文件中含义不明确</w:t>
      </w:r>
      <w:r>
        <w:rPr>
          <w:rFonts w:ascii="Times New Roman" w:hAnsi="Times New Roman" w:eastAsia="宋体" w:cs="Times New Roman"/>
          <w:color w:val="auto"/>
          <w:sz w:val="21"/>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pStyle w:val="1240"/>
        <w:numPr>
          <w:ilvl w:val="0"/>
          <w:numId w:val="3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比较与评价。按照招标文件中规定的评标方法和标准，对资格性检查和符合性检查合格的投标文件进行商务和技术评估，综合比较与评价。</w:t>
      </w:r>
      <w:r/>
    </w:p>
    <w:p>
      <w:pPr>
        <w:pStyle w:val="1229"/>
        <w:numPr>
          <w:ilvl w:val="0"/>
          <w:numId w:val="36"/>
        </w:numPr>
        <w:ind w:left="0" w:firstLine="0"/>
        <w:widowControl/>
        <w:rPr>
          <w:b w:val="0"/>
          <w:color w:val="auto"/>
          <w:sz w:val="21"/>
          <w:szCs w:val="21"/>
        </w:rPr>
      </w:pPr>
      <w:r>
        <w:rPr>
          <w:color w:val="auto"/>
          <w:sz w:val="21"/>
          <w:szCs w:val="21"/>
        </w:rPr>
        <w:t xml:space="preserve">评标方法和标准</w:t>
      </w:r>
      <w:r/>
    </w:p>
    <w:p>
      <w:pPr>
        <w:pStyle w:val="1240"/>
        <w:numPr>
          <w:ilvl w:val="0"/>
          <w:numId w:val="43"/>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pStyle w:val="1240"/>
        <w:numPr>
          <w:ilvl w:val="0"/>
          <w:numId w:val="4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综合评分的主要因素是：价格、商务部分、技术部分等；</w:t>
      </w:r>
      <w:r/>
    </w:p>
    <w:p>
      <w:pPr>
        <w:pStyle w:val="1240"/>
        <w:numPr>
          <w:ilvl w:val="0"/>
          <w:numId w:val="43"/>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评分标准详见第三章</w:t>
      </w:r>
      <w:r/>
    </w:p>
    <w:p>
      <w:pPr>
        <w:pStyle w:val="1228"/>
        <w:numPr>
          <w:ilvl w:val="0"/>
          <w:numId w:val="34"/>
        </w:numPr>
        <w:ind w:left="0" w:firstLine="0"/>
        <w:widowControl/>
        <w:rPr>
          <w:b w:val="0"/>
          <w:color w:val="auto"/>
          <w:sz w:val="21"/>
          <w:szCs w:val="21"/>
        </w:rPr>
      </w:pPr>
      <w:r>
        <w:rPr>
          <w:color w:val="auto"/>
          <w:sz w:val="21"/>
          <w:szCs w:val="21"/>
        </w:rPr>
        <w:t xml:space="preserve">确定中标供应商</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中标候选人确定后，默认按照以下第（2）种方式确定中标供应商</w:t>
      </w:r>
      <w:r/>
    </w:p>
    <w:p>
      <w:pPr>
        <w:pStyle w:val="1240"/>
        <w:numPr>
          <w:ilvl w:val="0"/>
          <w:numId w:val="4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评标委员会直接确定排名第一的中标候选人为中标供应商；</w:t>
      </w:r>
      <w:r/>
    </w:p>
    <w:p>
      <w:pPr>
        <w:pStyle w:val="1240"/>
        <w:numPr>
          <w:ilvl w:val="0"/>
          <w:numId w:val="4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采购人在评标报告确定的中标候选人名单中按顺序确定中标供应商。</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中标通知书对采购人和中标供应商具有同等法律效力。</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中标通知书发出后，采购人或中标供应商拒绝签订合同的，拒绝签订合同的一方应至少向另一方支付补偿金，以及为招标、投标所发生的有关费用和双方商定的其他补偿。</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中标通知书发出后，中标供应商无正当理由不与采购人签订合同的；情节严重的，由财政部门将其列入不良行为记录名单，在一至三年内禁止参加政府采购活动，并予以通报。</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代理机构对未中标的投标供应商不作未中标原因的解释。</w:t>
      </w:r>
      <w:r/>
    </w:p>
    <w:p>
      <w:pPr>
        <w:pStyle w:val="1240"/>
        <w:numPr>
          <w:ilvl w:val="0"/>
          <w:numId w:val="44"/>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所有投标文件都将作为档案保存，不论中标与否，代理机构均不退回。</w:t>
      </w:r>
      <w:r/>
    </w:p>
    <w:p>
      <w:pPr>
        <w:pStyle w:val="1228"/>
        <w:numPr>
          <w:ilvl w:val="0"/>
          <w:numId w:val="34"/>
        </w:numPr>
        <w:ind w:left="0" w:firstLine="0"/>
        <w:widowControl/>
        <w:rPr>
          <w:b w:val="0"/>
          <w:color w:val="auto"/>
          <w:sz w:val="21"/>
          <w:szCs w:val="21"/>
        </w:rPr>
      </w:pPr>
      <w:r>
        <w:rPr>
          <w:color w:val="auto"/>
          <w:sz w:val="21"/>
          <w:szCs w:val="21"/>
        </w:rPr>
        <w:t xml:space="preserve">编写评标报告</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24.1 评标委员会根据全体评标成员签字的原始评标记录和评标结果编写评标报告。</w:t>
      </w:r>
      <w:r/>
    </w:p>
    <w:p>
      <w:pPr>
        <w:pStyle w:val="1228"/>
        <w:numPr>
          <w:ilvl w:val="0"/>
          <w:numId w:val="34"/>
        </w:numPr>
        <w:ind w:left="0" w:firstLine="0"/>
        <w:widowControl/>
        <w:rPr>
          <w:b w:val="0"/>
          <w:color w:val="auto"/>
          <w:sz w:val="21"/>
          <w:szCs w:val="21"/>
        </w:rPr>
      </w:pPr>
      <w:r>
        <w:rPr>
          <w:color w:val="auto"/>
          <w:sz w:val="21"/>
          <w:szCs w:val="21"/>
        </w:rPr>
        <w:t xml:space="preserve">评标过程的保密性</w:t>
      </w:r>
      <w:r/>
    </w:p>
    <w:p>
      <w:pPr>
        <w:pStyle w:val="1240"/>
        <w:numPr>
          <w:ilvl w:val="0"/>
          <w:numId w:val="46"/>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代理机构将采取必要措施，保证评标在严格保密的情况下进行。</w:t>
      </w:r>
      <w:r/>
    </w:p>
    <w:p>
      <w:pPr>
        <w:pStyle w:val="1240"/>
        <w:numPr>
          <w:ilvl w:val="0"/>
          <w:numId w:val="46"/>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任何单位和个人不得非法干预、影响评标办法的确定，以及评标过程和结果。</w:t>
      </w:r>
      <w:r/>
    </w:p>
    <w:p>
      <w:pPr>
        <w:pStyle w:val="1240"/>
        <w:numPr>
          <w:ilvl w:val="0"/>
          <w:numId w:val="46"/>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凡是与审查、澄清、评价和比较投标的有关资料等，均不向投标供应商及与评标无关的其他人员透露。</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签订合同</w:t>
      </w:r>
      <w:r/>
    </w:p>
    <w:p>
      <w:pPr>
        <w:pStyle w:val="1228"/>
        <w:widowControl/>
        <w:rPr>
          <w:color w:val="auto"/>
          <w:sz w:val="21"/>
          <w:szCs w:val="21"/>
        </w:rPr>
      </w:pPr>
      <w:r>
        <w:rPr>
          <w:color w:val="auto"/>
          <w:sz w:val="21"/>
          <w:szCs w:val="21"/>
        </w:rPr>
        <w:t xml:space="preserve">26.签订合同</w:t>
      </w:r>
      <w:r/>
    </w:p>
    <w:p>
      <w:pPr>
        <w:pStyle w:val="1240"/>
        <w:numPr>
          <w:ilvl w:val="0"/>
          <w:numId w:val="4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pStyle w:val="1240"/>
        <w:numPr>
          <w:ilvl w:val="0"/>
          <w:numId w:val="4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采购人不得向中标供应商提出任何不合理的要求作为签订合同的条件，不得与中标供应商私下订立背离合同实质性内容的协议。</w:t>
      </w:r>
      <w:r/>
    </w:p>
    <w:p>
      <w:pPr>
        <w:pStyle w:val="1240"/>
        <w:numPr>
          <w:ilvl w:val="0"/>
          <w:numId w:val="4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中标供应商因不可抗力或者自身原因不能履行政府采购合同的，采购人可以重新招标。</w:t>
      </w:r>
      <w:r/>
    </w:p>
    <w:p>
      <w:pPr>
        <w:pStyle w:val="1240"/>
        <w:numPr>
          <w:ilvl w:val="0"/>
          <w:numId w:val="4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政府采购合同履行中，采购人需追加与合同标的相同的货物的，在不改变合同其他条款的前提下，可以与供应商协商签订补充合同，但所有补充合同的采购金额不得超过原合同采购金额的10%。</w:t>
      </w:r>
      <w:r/>
    </w:p>
    <w:p>
      <w:pPr>
        <w:pStyle w:val="1227"/>
        <w:numPr>
          <w:ilvl w:val="0"/>
          <w:numId w:val="13"/>
        </w:numPr>
        <w:ind w:left="0" w:firstLine="0"/>
        <w:widowControl/>
        <w:rPr>
          <w:rFonts w:hint="eastAsia" w:ascii="黑体" w:hAnsi="黑体" w:eastAsia="黑体" w:cs="黑体"/>
          <w:b w:val="0"/>
          <w:color w:val="auto"/>
          <w:sz w:val="21"/>
          <w:szCs w:val="21"/>
        </w:rPr>
      </w:pPr>
      <w:r>
        <w:rPr>
          <w:color w:val="auto"/>
          <w:sz w:val="21"/>
          <w:szCs w:val="21"/>
        </w:rPr>
        <w:t xml:space="preserve">质疑和投诉</w:t>
      </w:r>
      <w:r/>
    </w:p>
    <w:p>
      <w:pPr>
        <w:pStyle w:val="1228"/>
        <w:numPr>
          <w:ilvl w:val="0"/>
          <w:numId w:val="48"/>
        </w:numPr>
        <w:ind w:left="0" w:firstLine="0"/>
        <w:widowControl/>
        <w:rPr>
          <w:b w:val="0"/>
          <w:color w:val="auto"/>
          <w:sz w:val="21"/>
          <w:szCs w:val="21"/>
        </w:rPr>
      </w:pPr>
      <w:r>
        <w:rPr>
          <w:color w:val="auto"/>
          <w:sz w:val="21"/>
          <w:szCs w:val="21"/>
        </w:rPr>
        <w:t xml:space="preserve">质疑</w:t>
      </w:r>
      <w:r/>
    </w:p>
    <w:p>
      <w:pPr>
        <w:pStyle w:val="1240"/>
        <w:numPr>
          <w:ilvl w:val="0"/>
          <w:numId w:val="4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供应商对采购活动事项有疑问的，可以向代理机构提出询问，代理机构将依法作出答复，但答复的内容不涉及商业秘密。</w:t>
      </w:r>
      <w:r/>
    </w:p>
    <w:p>
      <w:pPr>
        <w:pStyle w:val="1240"/>
        <w:numPr>
          <w:ilvl w:val="0"/>
          <w:numId w:val="4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供应商认为采购文件、采购过程和中标结果使自己的合法权益受到损害的，可以在知道或者应当知道其权益受到损害之日起七个工作日内，将质疑文件原件送达代理机构。</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上述应知其权益受到损害之日，是指：</w:t>
      </w:r>
      <w:r/>
    </w:p>
    <w:p>
      <w:pPr>
        <w:pStyle w:val="1240"/>
        <w:numPr>
          <w:ilvl w:val="0"/>
          <w:numId w:val="5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对可以质疑的招标文件提出质疑的，为收到招标文件之日或者招标文件公告期限届满之日；</w:t>
      </w:r>
      <w:r/>
    </w:p>
    <w:p>
      <w:pPr>
        <w:pStyle w:val="1240"/>
        <w:numPr>
          <w:ilvl w:val="0"/>
          <w:numId w:val="5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对采购过程提出质疑的，为各采购程序环节结束之日；</w:t>
      </w:r>
      <w:r/>
    </w:p>
    <w:p>
      <w:pPr>
        <w:pStyle w:val="1240"/>
        <w:numPr>
          <w:ilvl w:val="0"/>
          <w:numId w:val="50"/>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对中标结果提出质疑的，为中标结果公告期限届满之日。</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质疑文件接收信息：</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接收单位：采购代理机构</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 系 人：蒋工  </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联系电话：025-58835827-8031</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联系邮箱：njjcco@126.com</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接收地址：南京市建邺区云龙山路89号龙湖时代1栋29楼</w:t>
      </w:r>
      <w:r/>
    </w:p>
    <w:p>
      <w:pPr>
        <w:pStyle w:val="1240"/>
        <w:numPr>
          <w:ilvl w:val="0"/>
          <w:numId w:val="51"/>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邮  编：210019</w:t>
      </w:r>
      <w:r/>
    </w:p>
    <w:p>
      <w:pPr>
        <w:pStyle w:val="1240"/>
        <w:numPr>
          <w:ilvl w:val="0"/>
          <w:numId w:val="4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质疑文件应包括以下主要内容，并按照“谁主张、谁举证”的原则，附上相关证明材料。否则，代理机构不予受理：</w:t>
      </w:r>
      <w:r/>
    </w:p>
    <w:p>
      <w:pPr>
        <w:pStyle w:val="1240"/>
        <w:numPr>
          <w:ilvl w:val="0"/>
          <w:numId w:val="5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质疑项目名称、项目编号、招标公告发布时间、开标时间；</w:t>
      </w:r>
      <w:r/>
    </w:p>
    <w:p>
      <w:pPr>
        <w:pStyle w:val="1240"/>
        <w:numPr>
          <w:ilvl w:val="0"/>
          <w:numId w:val="5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具体的质疑事项及法律依据（具体条款）；</w:t>
      </w:r>
      <w:r/>
    </w:p>
    <w:p>
      <w:pPr>
        <w:pStyle w:val="1240"/>
        <w:numPr>
          <w:ilvl w:val="0"/>
          <w:numId w:val="5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质疑相关证明文件或证明材料，如果涉及产品功能或技术指标的，应出具相关制造商的证明文件；</w:t>
      </w:r>
      <w:r/>
    </w:p>
    <w:p>
      <w:pPr>
        <w:pStyle w:val="1240"/>
        <w:numPr>
          <w:ilvl w:val="0"/>
          <w:numId w:val="5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质疑供应商名称、地址、联系方式（包括手机、传真号码）；</w:t>
      </w:r>
      <w:r/>
    </w:p>
    <w:p>
      <w:pPr>
        <w:pStyle w:val="1240"/>
        <w:numPr>
          <w:ilvl w:val="0"/>
          <w:numId w:val="52"/>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法定代表人签署本人姓名或印盖本人姓名章并加盖投标供应商公章，或法定代表人授权委托代理人加盖投标供应商公章，并由参加采购项目的授权委托代理人签署本人姓名或印盖本人姓名章等。</w:t>
      </w:r>
      <w:r/>
    </w:p>
    <w:p>
      <w:pPr>
        <w:pStyle w:val="1240"/>
        <w:numPr>
          <w:ilvl w:val="0"/>
          <w:numId w:val="4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1240"/>
        <w:numPr>
          <w:ilvl w:val="0"/>
          <w:numId w:val="49"/>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代理机构在收到供应商的书面质疑后将及时组织调查核实，在七个工作日内作出答复，并以书面或在网站公告形式通知质疑供应商和其他有关供应商，答复的内容不涉及商业秘密。遵循“谁过错谁负担”的原则。</w:t>
      </w:r>
      <w:r/>
    </w:p>
    <w:p>
      <w:pPr>
        <w:pStyle w:val="1228"/>
        <w:numPr>
          <w:ilvl w:val="0"/>
          <w:numId w:val="48"/>
        </w:numPr>
        <w:ind w:left="0" w:firstLine="0"/>
        <w:widowControl/>
        <w:rPr>
          <w:b w:val="0"/>
          <w:color w:val="auto"/>
          <w:sz w:val="21"/>
          <w:szCs w:val="21"/>
        </w:rPr>
      </w:pPr>
      <w:r>
        <w:rPr>
          <w:color w:val="auto"/>
          <w:sz w:val="21"/>
          <w:szCs w:val="21"/>
        </w:rPr>
        <w:t xml:space="preserve">投诉</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28.1 质疑投标供应商对代理机构的答复不满意，或代理机构未在规定的时间内作出答复的，可以在答复期满后十五个工作日内向采购人同级财政部门投诉。</w:t>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pStyle w:val="1226"/>
        <w:numPr>
          <w:ilvl w:val="0"/>
          <w:numId w:val="2"/>
        </w:numPr>
        <w:ind w:left="0" w:firstLine="0"/>
        <w:jc w:val="center"/>
        <w:widowControl/>
        <w:rPr>
          <w:rFonts w:hint="eastAsia" w:ascii="黑体" w:hAnsi="黑体" w:eastAsia="黑体" w:cs="黑体"/>
          <w:b w:val="0"/>
          <w:color w:val="auto"/>
        </w:rPr>
      </w:pPr>
      <w:r>
        <w:rPr>
          <w:color w:val="auto"/>
        </w:rPr>
        <w:t xml:space="preserve">评标标准</w:t>
      </w:r>
      <w:r/>
    </w:p>
    <w:p>
      <w:pPr>
        <w:pStyle w:val="1240"/>
        <w:numPr>
          <w:ilvl w:val="0"/>
          <w:numId w:val="53"/>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本项目采用综合评分法确定中标候选人。总分值为100分，小数点后保留两位。</w:t>
      </w:r>
      <w:r/>
    </w:p>
    <w:p>
      <w:pPr>
        <w:pStyle w:val="1240"/>
        <w:numPr>
          <w:ilvl w:val="0"/>
          <w:numId w:val="53"/>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使用综合评分法的采购项目，评标结果按评审后得分由高到低顺序排列。得分相同的，按报价得分由高到低顺序排列。评审后得分且投标报价相同的，按照施工组织设计得分最高的投标人为中标候选人。</w:t>
      </w:r>
      <w:r/>
    </w:p>
    <w:tbl>
      <w:tblPr>
        <w:tblStyle w:val="1236"/>
        <w:tblW w:w="4999"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097"/>
        <w:gridCol w:w="631"/>
        <w:gridCol w:w="6487"/>
        <w:gridCol w:w="549"/>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b/>
                <w:color w:val="auto"/>
                <w:sz w:val="21"/>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spacing w:after="0" w:line="378" w:lineRule="exact"/>
              <w:rPr>
                <w:color w:val="auto"/>
              </w:rPr>
            </w:pPr>
            <w:r>
              <w:rPr>
                <w:rFonts w:ascii="宋体" w:hAnsi="宋体" w:eastAsia="宋体" w:cs="宋体"/>
                <w:b/>
                <w:color w:val="auto"/>
                <w:sz w:val="21"/>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3699" w:type="pct"/>
            <w:vAlign w:val="center"/>
            <w:textDirection w:val="lrTb"/>
            <w:noWrap w:val="false"/>
          </w:tcPr>
          <w:p>
            <w:pPr>
              <w:jc w:val="center"/>
              <w:spacing w:after="0" w:line="378" w:lineRule="exact"/>
              <w:rPr>
                <w:color w:val="auto"/>
              </w:rPr>
            </w:pPr>
            <w:r>
              <w:rPr>
                <w:rFonts w:ascii="宋体" w:hAnsi="宋体" w:eastAsia="宋体" w:cs="宋体"/>
                <w:b/>
                <w:color w:val="auto"/>
                <w:sz w:val="21"/>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80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rFonts w:hint="eastAsia" w:eastAsia="宋体"/>
                <w:color w:val="auto"/>
                <w:lang w:eastAsia="zh-CN"/>
              </w:rPr>
            </w:pPr>
            <w:r>
              <w:rPr>
                <w:rFonts w:ascii="宋体" w:hAnsi="宋体" w:eastAsia="宋体" w:cs="宋体"/>
                <w:b/>
                <w:color w:val="auto"/>
                <w:sz w:val="21"/>
              </w:rPr>
              <w:t xml:space="preserve">投标最低报价为评标基准价</w:t>
            </w:r>
            <w:r>
              <w:rPr>
                <w:rFonts w:ascii="宋体" w:hAnsi="宋体" w:eastAsia="宋体" w:cs="宋体"/>
                <w:color w:val="auto"/>
                <w:sz w:val="21"/>
              </w:rPr>
              <w:t xml:space="preserve">：满足招标文件要求且投标价格最低的投标报价为评标基准价，其价格分为满分。其他投标人的价格分统一按照下列公式计算：投标报价得分=(评标基准价/投标报价)×80。</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小数点后保留2位小数</w:t>
            </w:r>
            <w:r>
              <w:rPr>
                <w:rFonts w:hint="eastAsia" w:ascii="宋体" w:hAnsi="宋体" w:eastAsia="宋体" w:cs="宋体"/>
                <w:color w:val="auto"/>
                <w:sz w:val="21"/>
                <w:lang w:eastAsia="zh-CN"/>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施工组织设计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color w:val="auto"/>
              </w:rPr>
            </w:pPr>
            <w:r>
              <w:rPr>
                <w:rFonts w:ascii="宋体" w:hAnsi="宋体" w:eastAsia="宋体" w:cs="宋体"/>
                <w:color w:val="auto"/>
                <w:sz w:val="21"/>
              </w:rPr>
              <w:t xml:space="preserve">评委根据供应商提供的项目施工组织设计（包括但不限于施工总体方案、安全文明施工措施等）酌情评分：</w:t>
            </w:r>
            <w:r/>
          </w:p>
          <w:p>
            <w:pPr>
              <w:jc w:val="left"/>
              <w:spacing w:before="0" w:after="0" w:line="378" w:lineRule="exact"/>
              <w:rPr>
                <w:color w:val="auto"/>
              </w:rPr>
            </w:pPr>
            <w:r>
              <w:rPr>
                <w:rFonts w:ascii="宋体" w:hAnsi="宋体" w:eastAsia="宋体" w:cs="宋体"/>
                <w:color w:val="auto"/>
                <w:sz w:val="21"/>
              </w:rPr>
              <w:t xml:space="preserve">1、施工组织设计逻辑条理清晰完整、内容覆盖全面无缺项，针对性极强，得5分；</w:t>
            </w:r>
            <w:r/>
          </w:p>
          <w:p>
            <w:pPr>
              <w:jc w:val="left"/>
              <w:spacing w:before="0" w:after="0" w:line="378" w:lineRule="exact"/>
              <w:rPr>
                <w:color w:val="auto"/>
              </w:rPr>
            </w:pPr>
            <w:r>
              <w:rPr>
                <w:rFonts w:ascii="宋体" w:hAnsi="宋体" w:eastAsia="宋体" w:cs="宋体"/>
                <w:color w:val="auto"/>
                <w:sz w:val="21"/>
              </w:rPr>
              <w:t xml:space="preserve">2、施工组织设计条理较清晰、主要内容齐全，针对性较强，得4分；</w:t>
            </w:r>
            <w:r/>
          </w:p>
          <w:p>
            <w:pPr>
              <w:jc w:val="left"/>
              <w:spacing w:before="0" w:after="0" w:line="378" w:lineRule="exact"/>
              <w:rPr>
                <w:color w:val="auto"/>
              </w:rPr>
            </w:pPr>
            <w:r>
              <w:rPr>
                <w:rFonts w:ascii="宋体" w:hAnsi="宋体" w:eastAsia="宋体" w:cs="宋体"/>
                <w:color w:val="auto"/>
                <w:sz w:val="21"/>
              </w:rPr>
              <w:t xml:space="preserve">3、施工组织设计基本条理清晰、常规内容具备，针对性一般，得3分；</w:t>
            </w:r>
            <w:r/>
          </w:p>
          <w:p>
            <w:pPr>
              <w:jc w:val="left"/>
              <w:spacing w:before="0" w:after="0" w:line="378" w:lineRule="exact"/>
              <w:rPr>
                <w:color w:val="auto"/>
              </w:rPr>
            </w:pPr>
            <w:r>
              <w:rPr>
                <w:rFonts w:ascii="宋体" w:hAnsi="宋体" w:eastAsia="宋体" w:cs="宋体"/>
                <w:color w:val="auto"/>
                <w:sz w:val="21"/>
              </w:rPr>
              <w:t xml:space="preserve">4、施工组织设计结构混乱、内容缺项较多，与本项目实际匹配度低、针对性不强，得2分；</w:t>
            </w:r>
            <w:r/>
          </w:p>
          <w:p>
            <w:pPr>
              <w:jc w:val="left"/>
              <w:spacing w:before="0" w:after="0" w:line="378" w:lineRule="exact"/>
              <w:rPr>
                <w:color w:val="auto"/>
              </w:rPr>
            </w:pPr>
            <w:r>
              <w:rPr>
                <w:rFonts w:ascii="宋体" w:hAnsi="宋体" w:eastAsia="宋体" w:cs="宋体"/>
                <w:color w:val="auto"/>
                <w:sz w:val="21"/>
              </w:rPr>
              <w:t xml:space="preserve">5、施工组织设计表述混乱、内容简略残缺，无项目针对性，得1分；</w:t>
            </w:r>
            <w:r/>
          </w:p>
          <w:p>
            <w:pPr>
              <w:jc w:val="left"/>
              <w:spacing w:before="0" w:after="0" w:line="378" w:lineRule="exact"/>
              <w:rPr>
                <w:color w:val="auto"/>
              </w:rPr>
            </w:pPr>
            <w:r>
              <w:rPr>
                <w:rFonts w:ascii="宋体" w:hAnsi="宋体" w:eastAsia="宋体" w:cs="宋体"/>
                <w:color w:val="auto"/>
                <w:sz w:val="21"/>
              </w:rPr>
              <w:t xml:space="preserve">6、未提供不得分。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jc w:val="left"/>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施工工期及质量保证措施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color w:val="auto"/>
              </w:rPr>
            </w:pPr>
            <w:r>
              <w:rPr>
                <w:rFonts w:ascii="宋体" w:hAnsi="宋体" w:eastAsia="宋体" w:cs="宋体"/>
                <w:color w:val="auto"/>
                <w:sz w:val="21"/>
              </w:rPr>
              <w:t xml:space="preserve">评委根据供应商施工工期及质量保证措施方案（包括但不限于实施关键线路、施工进度计划、施工质量控制等）酌情评分：</w:t>
            </w:r>
            <w:r/>
          </w:p>
          <w:p>
            <w:pPr>
              <w:jc w:val="left"/>
              <w:spacing w:before="0" w:after="0" w:line="378" w:lineRule="exact"/>
              <w:rPr>
                <w:color w:val="auto"/>
              </w:rPr>
            </w:pPr>
            <w:r>
              <w:rPr>
                <w:rFonts w:ascii="宋体" w:hAnsi="宋体" w:eastAsia="宋体" w:cs="宋体"/>
                <w:color w:val="auto"/>
                <w:sz w:val="21"/>
              </w:rPr>
              <w:t xml:space="preserve">1、工期关键线路规划科学严谨，施工进度计划贴合项目实际工期要求，质量控制措施全面详实、针对性极强，得5分；</w:t>
            </w:r>
            <w:r/>
          </w:p>
          <w:p>
            <w:pPr>
              <w:jc w:val="left"/>
              <w:spacing w:before="0" w:after="0" w:line="378" w:lineRule="exact"/>
              <w:rPr>
                <w:color w:val="auto"/>
              </w:rPr>
            </w:pPr>
            <w:r>
              <w:rPr>
                <w:rFonts w:ascii="宋体" w:hAnsi="宋体" w:eastAsia="宋体" w:cs="宋体"/>
                <w:color w:val="auto"/>
                <w:sz w:val="21"/>
              </w:rPr>
              <w:t xml:space="preserve">2、工期关键线路、施工进度计划规划较合理、主要节点齐全、逻辑较清晰，质量控制措施针对性较强、具备可操作性，得4分；</w:t>
            </w:r>
            <w:r/>
          </w:p>
          <w:p>
            <w:pPr>
              <w:jc w:val="left"/>
              <w:spacing w:before="0" w:after="0" w:line="378" w:lineRule="exact"/>
              <w:rPr>
                <w:color w:val="auto"/>
              </w:rPr>
            </w:pPr>
            <w:r>
              <w:rPr>
                <w:rFonts w:ascii="宋体" w:hAnsi="宋体" w:eastAsia="宋体" w:cs="宋体"/>
                <w:color w:val="auto"/>
                <w:sz w:val="21"/>
              </w:rPr>
              <w:t xml:space="preserve">3、工期进度计划、关键线路基本完整、排布基本合理，质量控制措施专项针对性一般，得3分；</w:t>
            </w:r>
            <w:r/>
          </w:p>
          <w:p>
            <w:pPr>
              <w:jc w:val="left"/>
              <w:spacing w:before="0" w:after="0" w:line="378" w:lineRule="exact"/>
              <w:rPr>
                <w:color w:val="auto"/>
              </w:rPr>
            </w:pPr>
            <w:r>
              <w:rPr>
                <w:rFonts w:ascii="宋体" w:hAnsi="宋体" w:eastAsia="宋体" w:cs="宋体"/>
                <w:color w:val="auto"/>
                <w:sz w:val="21"/>
              </w:rPr>
              <w:t xml:space="preserve">4、工期关键线路混乱、进度计划节点粗糙、逻辑不清、缺项较多，质量控制措施完整性、合理性不足，得2分；</w:t>
            </w:r>
            <w:r/>
          </w:p>
          <w:p>
            <w:pPr>
              <w:jc w:val="left"/>
              <w:spacing w:before="0" w:after="0" w:line="378" w:lineRule="exact"/>
              <w:rPr>
                <w:color w:val="auto"/>
              </w:rPr>
            </w:pPr>
            <w:r>
              <w:rPr>
                <w:rFonts w:ascii="宋体" w:hAnsi="宋体" w:eastAsia="宋体" w:cs="宋体"/>
                <w:color w:val="auto"/>
                <w:sz w:val="21"/>
              </w:rPr>
              <w:t xml:space="preserve">5、工期及质量措施方案表述混乱、内容残缺严重，得1分；</w:t>
            </w:r>
            <w:r/>
          </w:p>
          <w:p>
            <w:pPr>
              <w:jc w:val="left"/>
              <w:spacing w:before="0" w:after="0" w:line="378" w:lineRule="exact"/>
              <w:rPr>
                <w:color w:val="auto"/>
              </w:rPr>
            </w:pPr>
            <w:r>
              <w:rPr>
                <w:rFonts w:ascii="宋体" w:hAnsi="宋体" w:eastAsia="宋体" w:cs="宋体"/>
                <w:color w:val="auto"/>
                <w:sz w:val="21"/>
              </w:rPr>
              <w:t xml:space="preserve">6、未提供不得分。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jc w:val="left"/>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难点、重点及合理化建议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color w:val="auto"/>
              </w:rPr>
            </w:pPr>
            <w:r>
              <w:rPr>
                <w:rFonts w:ascii="宋体" w:hAnsi="宋体" w:eastAsia="宋体" w:cs="宋体"/>
                <w:color w:val="auto"/>
                <w:sz w:val="21"/>
              </w:rPr>
              <w:t xml:space="preserve">评委根据供应商针对本项目关键施工技术的难点、重点的分析及针对性合理化建议（措施）等酌情评分：</w:t>
            </w:r>
            <w:r/>
          </w:p>
          <w:p>
            <w:pPr>
              <w:jc w:val="left"/>
              <w:spacing w:before="0" w:after="0" w:line="378" w:lineRule="exact"/>
              <w:rPr>
                <w:color w:val="auto"/>
              </w:rPr>
            </w:pPr>
            <w:r>
              <w:rPr>
                <w:rFonts w:ascii="宋体" w:hAnsi="宋体" w:eastAsia="宋体" w:cs="宋体"/>
                <w:color w:val="auto"/>
                <w:sz w:val="21"/>
              </w:rPr>
              <w:t xml:space="preserve">1、精准全面识别本项目全部核心施工技术重难点，分析深入、逻辑严谨、贴合项目实际，针对性极强，得5分；</w:t>
            </w:r>
            <w:r/>
          </w:p>
          <w:p>
            <w:pPr>
              <w:jc w:val="left"/>
              <w:spacing w:before="0" w:after="0" w:line="378" w:lineRule="exact"/>
              <w:rPr>
                <w:color w:val="auto"/>
              </w:rPr>
            </w:pPr>
            <w:r>
              <w:rPr>
                <w:rFonts w:ascii="宋体" w:hAnsi="宋体" w:eastAsia="宋体" w:cs="宋体"/>
                <w:color w:val="auto"/>
                <w:sz w:val="21"/>
              </w:rPr>
              <w:t xml:space="preserve">2、能够识别本项目主要施工技术重难点，分析较为深入，贴合项目大部分技术特点，针对性较强，得4分；</w:t>
            </w:r>
            <w:r/>
          </w:p>
          <w:p>
            <w:pPr>
              <w:jc w:val="left"/>
              <w:spacing w:before="0" w:after="0" w:line="378" w:lineRule="exact"/>
              <w:rPr>
                <w:color w:val="auto"/>
              </w:rPr>
            </w:pPr>
            <w:r>
              <w:rPr>
                <w:rFonts w:ascii="宋体" w:hAnsi="宋体" w:eastAsia="宋体" w:cs="宋体"/>
                <w:color w:val="auto"/>
                <w:sz w:val="21"/>
              </w:rPr>
              <w:t xml:space="preserve">3、可列出本项目常规施工技术重难点，分析流于常规表述、深度不足，基本科学可行、内容无缺项，但专项针对性一般，得3分；</w:t>
            </w:r>
            <w:r/>
          </w:p>
          <w:p>
            <w:pPr>
              <w:jc w:val="left"/>
              <w:spacing w:before="0" w:after="0" w:line="378" w:lineRule="exact"/>
              <w:rPr>
                <w:color w:val="auto"/>
              </w:rPr>
            </w:pPr>
            <w:r>
              <w:rPr>
                <w:rFonts w:ascii="宋体" w:hAnsi="宋体" w:eastAsia="宋体" w:cs="宋体"/>
                <w:color w:val="auto"/>
                <w:sz w:val="21"/>
              </w:rPr>
              <w:t xml:space="preserve">4、对本项目施工技术重难点识别不全、分析浅显、条理混乱，针对性不太强，得2分；</w:t>
            </w:r>
            <w:r/>
          </w:p>
          <w:p>
            <w:pPr>
              <w:jc w:val="left"/>
              <w:spacing w:before="0" w:after="0" w:line="378" w:lineRule="exact"/>
              <w:rPr>
                <w:color w:val="auto"/>
              </w:rPr>
            </w:pPr>
            <w:r>
              <w:rPr>
                <w:rFonts w:ascii="宋体" w:hAnsi="宋体" w:eastAsia="宋体" w:cs="宋体"/>
                <w:color w:val="auto"/>
                <w:sz w:val="21"/>
              </w:rPr>
              <w:t xml:space="preserve">5、未有效识别本项目关键施工技术重难点，分析空洞、逻辑混乱，完全脱离项目实际，针对性不强，得1分；</w:t>
            </w:r>
            <w:r/>
          </w:p>
          <w:p>
            <w:pPr>
              <w:jc w:val="left"/>
              <w:spacing w:before="0" w:after="0" w:line="378" w:lineRule="exact"/>
              <w:rPr>
                <w:color w:val="auto"/>
              </w:rPr>
            </w:pPr>
            <w:r>
              <w:rPr>
                <w:rFonts w:ascii="宋体" w:hAnsi="宋体" w:eastAsia="宋体" w:cs="宋体"/>
                <w:color w:val="auto"/>
                <w:sz w:val="21"/>
              </w:rPr>
              <w:t xml:space="preserve">6、未提供不得分。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jc w:val="left"/>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项目管理机构人员配备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color w:val="auto"/>
              </w:rPr>
            </w:pPr>
            <w:r>
              <w:rPr>
                <w:rFonts w:ascii="宋体" w:hAnsi="宋体" w:eastAsia="宋体" w:cs="宋体"/>
                <w:color w:val="auto"/>
                <w:sz w:val="21"/>
              </w:rPr>
              <w:t xml:space="preserve">项目管理机构主要管理人员【项目负责人除外】，需包含项目技术负责人、施工员、质量员、安全员、资料员，其中：</w:t>
            </w:r>
            <w:r/>
          </w:p>
          <w:p>
            <w:pPr>
              <w:jc w:val="left"/>
              <w:spacing w:before="0" w:after="0" w:line="378" w:lineRule="exact"/>
              <w:rPr>
                <w:color w:val="auto"/>
              </w:rPr>
            </w:pPr>
            <w:r>
              <w:rPr>
                <w:rFonts w:ascii="宋体" w:hAnsi="宋体" w:eastAsia="宋体" w:cs="宋体"/>
                <w:color w:val="auto"/>
                <w:sz w:val="21"/>
              </w:rPr>
              <w:t xml:space="preserve">（1）技术负责人1名：具有注册建造师证建筑工程二级(含)以上，且具有中级及以上工程师资格；</w:t>
            </w:r>
            <w:r/>
          </w:p>
          <w:p>
            <w:pPr>
              <w:jc w:val="left"/>
              <w:spacing w:before="0" w:after="0" w:line="378" w:lineRule="exact"/>
              <w:rPr>
                <w:color w:val="auto"/>
              </w:rPr>
            </w:pPr>
            <w:r>
              <w:rPr>
                <w:rFonts w:ascii="宋体" w:hAnsi="宋体" w:eastAsia="宋体" w:cs="宋体"/>
                <w:color w:val="auto"/>
                <w:sz w:val="21"/>
              </w:rPr>
              <w:t xml:space="preserve">（2）现场施工员1名：具有相应部门核发的岗位资格证书；</w:t>
            </w:r>
            <w:r/>
          </w:p>
          <w:p>
            <w:pPr>
              <w:jc w:val="left"/>
              <w:spacing w:before="0" w:after="0" w:line="378" w:lineRule="exact"/>
              <w:rPr>
                <w:color w:val="auto"/>
              </w:rPr>
            </w:pPr>
            <w:r>
              <w:rPr>
                <w:rFonts w:ascii="宋体" w:hAnsi="宋体" w:eastAsia="宋体" w:cs="宋体"/>
                <w:color w:val="auto"/>
                <w:sz w:val="21"/>
              </w:rPr>
              <w:t xml:space="preserve">（3）现场质量员1名：具有相应部门核发的岗位资格证书；</w:t>
            </w:r>
            <w:r/>
          </w:p>
          <w:p>
            <w:pPr>
              <w:jc w:val="left"/>
              <w:spacing w:before="0" w:after="0" w:line="378" w:lineRule="exact"/>
              <w:rPr>
                <w:color w:val="auto"/>
              </w:rPr>
            </w:pPr>
            <w:r>
              <w:rPr>
                <w:rFonts w:ascii="宋体" w:hAnsi="宋体" w:eastAsia="宋体" w:cs="宋体"/>
                <w:color w:val="auto"/>
                <w:sz w:val="21"/>
              </w:rPr>
              <w:t xml:space="preserve">（4）现场安全员1名：具有相应部门颁发的安全生产考核合格证；</w:t>
            </w:r>
            <w:r/>
          </w:p>
          <w:p>
            <w:pPr>
              <w:jc w:val="left"/>
              <w:spacing w:before="0" w:after="0" w:line="378" w:lineRule="exact"/>
              <w:rPr>
                <w:color w:val="auto"/>
              </w:rPr>
            </w:pPr>
            <w:r>
              <w:rPr>
                <w:rFonts w:ascii="宋体" w:hAnsi="宋体" w:eastAsia="宋体" w:cs="宋体"/>
                <w:color w:val="auto"/>
                <w:sz w:val="21"/>
              </w:rPr>
              <w:t xml:space="preserve">（5）现场资料员1名：具有相应部门核发的岗位资格证书；</w:t>
            </w:r>
            <w:r/>
          </w:p>
          <w:p>
            <w:pPr>
              <w:jc w:val="left"/>
              <w:spacing w:before="0" w:after="0" w:line="378" w:lineRule="exact"/>
              <w:rPr>
                <w:color w:val="auto"/>
              </w:rPr>
            </w:pPr>
            <w:r>
              <w:rPr>
                <w:rFonts w:ascii="宋体" w:hAnsi="宋体" w:eastAsia="宋体" w:cs="宋体"/>
                <w:color w:val="auto"/>
                <w:sz w:val="21"/>
              </w:rPr>
              <w:t xml:space="preserve">以上人员配备齐全且具有有效的对应证书，得满分3分，缺少任意一个扣1分，扣完为止，以上人员不可兼得。</w:t>
            </w:r>
            <w:r>
              <w:rPr>
                <w:rFonts w:hint="eastAsia" w:ascii="宋体" w:hAnsi="宋体" w:eastAsia="宋体" w:cs="宋体"/>
                <w:color w:val="auto"/>
                <w:sz w:val="21"/>
              </w:rPr>
              <w:t xml:space="preserve">（提供以上相关人员社保机构出具的近半年（2026年</w:t>
            </w:r>
            <w:r>
              <w:rPr>
                <w:rFonts w:hint="eastAsia" w:ascii="宋体" w:hAnsi="宋体" w:eastAsia="宋体" w:cs="宋体"/>
                <w:color w:val="auto"/>
                <w:sz w:val="21"/>
                <w:lang w:val="en-US" w:eastAsia="zh-CN"/>
              </w:rPr>
              <w:t xml:space="preserve">2</w:t>
            </w:r>
            <w:r>
              <w:rPr>
                <w:rFonts w:hint="eastAsia" w:ascii="宋体" w:hAnsi="宋体" w:eastAsia="宋体" w:cs="宋体"/>
                <w:color w:val="auto"/>
                <w:sz w:val="21"/>
              </w:rPr>
              <w:t xml:space="preserve">月-2026年</w:t>
            </w:r>
            <w:r>
              <w:rPr>
                <w:rFonts w:hint="eastAsia" w:ascii="宋体" w:hAnsi="宋体" w:eastAsia="宋体" w:cs="宋体"/>
                <w:color w:val="auto"/>
                <w:sz w:val="21"/>
                <w:lang w:val="en-US" w:eastAsia="zh-CN"/>
              </w:rPr>
              <w:t xml:space="preserve">7</w:t>
            </w:r>
            <w:r>
              <w:rPr>
                <w:rFonts w:hint="eastAsia" w:ascii="宋体" w:hAnsi="宋体" w:eastAsia="宋体" w:cs="宋体"/>
                <w:color w:val="auto"/>
                <w:sz w:val="21"/>
              </w:rPr>
              <w:t xml:space="preserve">月）任意一个月供应商为其连续缴纳的养老保险缴费证明（需明确缴费月份、个人姓名、缴费单位）材料并加盖社保中心章或社保中心参保缴费证明电子专用章，并提供项目组人员配备明细表、对应相关证书（注册证书、或岗位证书或培训证），并上传至电子投标文件中）。</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jc w:val="left"/>
              <w:rPr>
                <w:color w:val="auto"/>
              </w:rPr>
            </w:pPr>
            <w:r>
              <w:rPr>
                <w:color w:val="auto"/>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26" w:type="pct"/>
            <w:vAlign w:val="center"/>
            <w:textDirection w:val="lrTb"/>
            <w:noWrap w:val="false"/>
          </w:tcPr>
          <w:p>
            <w:pPr>
              <w:jc w:val="center"/>
              <w:spacing w:after="0" w:line="378" w:lineRule="exact"/>
              <w:rPr>
                <w:color w:val="auto"/>
              </w:rPr>
            </w:pPr>
            <w:r>
              <w:rPr>
                <w:rFonts w:ascii="宋体" w:hAnsi="宋体" w:eastAsia="宋体" w:cs="宋体"/>
                <w:color w:val="auto"/>
                <w:sz w:val="21"/>
              </w:rPr>
              <w:t xml:space="preserve">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0" w:type="pct"/>
            <w:vAlign w:val="center"/>
            <w:textDirection w:val="lrTb"/>
            <w:noWrap w:val="false"/>
          </w:tcPr>
          <w:p>
            <w:pPr>
              <w:jc w:val="center"/>
              <w:rPr>
                <w:color w:val="auto"/>
              </w:rPr>
            </w:pPr>
            <w:r>
              <w:rPr>
                <w:rFonts w:ascii="宋体" w:hAnsi="宋体" w:eastAsia="宋体" w:cs="宋体"/>
                <w:color w:val="auto"/>
                <w:sz w:val="21"/>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699" w:type="pct"/>
            <w:vAlign w:val="top"/>
            <w:textDirection w:val="lrTb"/>
            <w:noWrap w:val="false"/>
          </w:tcPr>
          <w:p>
            <w:pPr>
              <w:jc w:val="left"/>
              <w:spacing w:after="0" w:line="378" w:lineRule="exact"/>
              <w:rPr>
                <w:color w:val="auto"/>
              </w:rPr>
            </w:pPr>
            <w:r>
              <w:rPr>
                <w:rFonts w:ascii="宋体" w:hAnsi="宋体" w:eastAsia="宋体" w:cs="宋体"/>
                <w:color w:val="auto"/>
                <w:sz w:val="21"/>
              </w:rPr>
              <w:t xml:space="preserve">供应商自2023年</w:t>
            </w:r>
            <w:r>
              <w:rPr>
                <w:rFonts w:hint="eastAsia" w:ascii="宋体" w:hAnsi="宋体" w:eastAsia="宋体" w:cs="宋体"/>
                <w:color w:val="auto"/>
                <w:sz w:val="21"/>
                <w:lang w:val="en-US" w:eastAsia="zh-CN"/>
              </w:rPr>
              <w:t xml:space="preserve">7</w:t>
            </w:r>
            <w:r>
              <w:rPr>
                <w:rFonts w:ascii="宋体" w:hAnsi="宋体" w:eastAsia="宋体" w:cs="宋体"/>
                <w:color w:val="auto"/>
                <w:sz w:val="21"/>
              </w:rPr>
              <w:t xml:space="preserve">月1日（含）以来承担过类似业绩</w:t>
            </w:r>
            <w:r>
              <w:rPr>
                <w:rFonts w:hint="eastAsia" w:ascii="宋体" w:hAnsi="宋体" w:eastAsia="宋体" w:cs="宋体"/>
                <w:color w:val="auto"/>
                <w:sz w:val="21"/>
                <w:lang w:eastAsia="zh-CN"/>
              </w:rPr>
              <w:t xml:space="preserve">（业绩内容含通排风系统或净化空调或细胞房建设关键词）</w:t>
            </w:r>
            <w:r>
              <w:rPr>
                <w:rFonts w:ascii="宋体" w:hAnsi="宋体" w:eastAsia="宋体" w:cs="宋体"/>
                <w:color w:val="auto"/>
                <w:sz w:val="21"/>
              </w:rPr>
              <w:t xml:space="preserve">，有1个得0.5分，最多得2分。</w:t>
            </w:r>
            <w:r>
              <w:rPr>
                <w:rFonts w:hint="eastAsia" w:ascii="宋体" w:hAnsi="宋体" w:eastAsia="宋体" w:cs="宋体"/>
                <w:color w:val="auto"/>
                <w:sz w:val="21"/>
              </w:rPr>
              <w:t xml:space="preserve">（提供施工合同、中标（成交）通知书、竣工验收证明材料，缺一不可，时间以竣工验收证明时间为准；内容以合同为准，以上材料扫描上传至电子投标文件中。</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313" w:type="pct"/>
            <w:vAlign w:val="center"/>
            <w:textDirection w:val="lrTb"/>
            <w:noWrap w:val="false"/>
          </w:tcPr>
          <w:p>
            <w:pPr>
              <w:jc w:val="left"/>
              <w:rPr>
                <w:color w:val="auto"/>
              </w:rPr>
            </w:pPr>
            <w:r>
              <w:rPr>
                <w:color w:val="auto"/>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26" w:type="pct"/>
            <w:textDirection w:val="lrTb"/>
            <w:noWrap w:val="false"/>
          </w:tcPr>
          <w:p>
            <w:pPr>
              <w:rPr>
                <w:color w:val="auto"/>
              </w:rPr>
            </w:pPr>
            <w:r>
              <w:rPr>
                <w:color w:val="auto"/>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360" w:type="pct"/>
            <w:textDirection w:val="lrTb"/>
            <w:noWrap w:val="false"/>
          </w:tcPr>
          <w:p>
            <w:pPr>
              <w:rPr>
                <w:color w:val="auto"/>
              </w:rPr>
            </w:pPr>
            <w:r>
              <w:rPr>
                <w:color w:val="auto"/>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3699" w:type="pct"/>
            <w:textDirection w:val="lrTb"/>
            <w:noWrap w:val="false"/>
          </w:tcPr>
          <w:p>
            <w:pPr>
              <w:rPr>
                <w:color w:val="auto"/>
              </w:rPr>
            </w:pPr>
            <w:r>
              <w:rPr>
                <w:color w:val="auto"/>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313" w:type="pct"/>
            <w:textDirection w:val="lrTb"/>
            <w:noWrap w:val="false"/>
          </w:tcPr>
          <w:p>
            <w:pPr>
              <w:rPr>
                <w:color w:val="auto"/>
              </w:rPr>
            </w:pPr>
            <w:r>
              <w:rPr>
                <w:color w:val="auto"/>
              </w:rPr>
            </w:r>
            <w:r/>
          </w:p>
        </w:tc>
      </w:tr>
    </w:tbl>
    <w:p>
      <w:pPr>
        <w:ind w:firstLine="420"/>
        <w:jc w:val="both"/>
        <w:spacing w:line="360" w:lineRule="auto"/>
        <w:rPr>
          <w:rFonts w:hint="eastAsia"/>
          <w:color w:val="auto"/>
        </w:rPr>
      </w:pPr>
      <w:r>
        <w:rPr>
          <w:rFonts w:hint="eastAsia"/>
          <w:color w:val="auto"/>
        </w:rPr>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4"/>
          <w:szCs w:val="24"/>
        </w:rPr>
        <w:t xml:space="preserve">说明：</w:t>
      </w:r>
      <w:r/>
    </w:p>
    <w:p>
      <w:pPr>
        <w:pStyle w:val="1240"/>
        <w:numPr>
          <w:ilvl w:val="0"/>
          <w:numId w:val="54"/>
        </w:numPr>
        <w:ind w:left="0" w:firstLine="482"/>
        <w:widowControl/>
        <w:rPr>
          <w:rFonts w:ascii="Times New Roman" w:hAnsi="Times New Roman" w:eastAsia="宋体" w:cs="Times New Roman"/>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小微企业的价格扣除</w:t>
      </w:r>
      <w:r/>
    </w:p>
    <w:p>
      <w:pPr>
        <w:pStyle w:val="1240"/>
        <w:numPr>
          <w:ilvl w:val="0"/>
          <w:numId w:val="5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对于非专门面向中小企业的采购项目，给予小微企业报价5%的价格扣除，用扣除后的价格参与评审。</w:t>
      </w:r>
      <w:r/>
    </w:p>
    <w:p>
      <w:pPr>
        <w:pStyle w:val="1240"/>
        <w:numPr>
          <w:ilvl w:val="0"/>
          <w:numId w:val="5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于非专门面向中小企业的货物采购项目，投标供应商（无论为大型企业、中型企业或小微企业）提供的货物均为小微企业制造的货物，即可享受上述价格评审优惠政策，除此之外的情形，不享受小微企业价格评审优惠政策。</w:t>
      </w:r>
      <w:r/>
    </w:p>
    <w:p>
      <w:pPr>
        <w:pStyle w:val="1240"/>
        <w:numPr>
          <w:ilvl w:val="0"/>
          <w:numId w:val="5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投标供应商需按照采购文件的要求提供相应的《中小企业声明函》。 </w:t>
      </w:r>
      <w:r/>
    </w:p>
    <w:p>
      <w:pPr>
        <w:pStyle w:val="1240"/>
        <w:numPr>
          <w:ilvl w:val="0"/>
          <w:numId w:val="55"/>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企业标准请参照《关于印发中小企业划型标准规定的通知》（工信部联企业〔2011〕300号）文件规定自行填写。 </w:t>
      </w:r>
      <w:r/>
    </w:p>
    <w:p>
      <w:pPr>
        <w:pStyle w:val="1240"/>
        <w:numPr>
          <w:ilvl w:val="0"/>
          <w:numId w:val="54"/>
        </w:numPr>
        <w:ind w:left="0" w:firstLine="482"/>
        <w:widowControl/>
        <w:rPr>
          <w:rFonts w:ascii="Times New Roman" w:hAnsi="Times New Roman" w:eastAsia="宋体" w:cs="Times New Roman"/>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监狱和戒毒企业的价格扣除</w:t>
      </w:r>
      <w:r/>
    </w:p>
    <w:p>
      <w:pPr>
        <w:pStyle w:val="1240"/>
        <w:numPr>
          <w:ilvl w:val="0"/>
          <w:numId w:val="5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本项目对监狱和戒毒企业（简称监狱企业），给予报价5%的价格扣除，用扣除后的价格参与评审。</w:t>
      </w:r>
      <w:r/>
    </w:p>
    <w:p>
      <w:pPr>
        <w:pStyle w:val="1240"/>
        <w:numPr>
          <w:ilvl w:val="0"/>
          <w:numId w:val="5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监狱企业需提供由省级以上监狱管理局、戒毒管理局（含新疆生产建设兵团）出具的属于监狱企业的证明文件。</w:t>
      </w:r>
      <w:r/>
    </w:p>
    <w:p>
      <w:pPr>
        <w:pStyle w:val="1240"/>
        <w:numPr>
          <w:ilvl w:val="0"/>
          <w:numId w:val="5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监狱企业标准请参照《关于政府采购支持监狱企业发展有关问题的通知》（财库〔2014〕68号）。</w:t>
      </w:r>
      <w:r/>
    </w:p>
    <w:p>
      <w:pPr>
        <w:pStyle w:val="1240"/>
        <w:numPr>
          <w:ilvl w:val="0"/>
          <w:numId w:val="54"/>
        </w:numPr>
        <w:ind w:left="0" w:firstLine="482"/>
        <w:widowControl/>
        <w:rPr>
          <w:rFonts w:ascii="Times New Roman" w:hAnsi="Times New Roman" w:eastAsia="宋体" w:cs="Times New Roman"/>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残疾人福利性单位的价格扣除</w:t>
      </w:r>
      <w:r/>
    </w:p>
    <w:p>
      <w:pPr>
        <w:pStyle w:val="1240"/>
        <w:numPr>
          <w:ilvl w:val="0"/>
          <w:numId w:val="5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本项目对残疾人福利性单位，给予报价5%的价格扣除，用扣除后的价格参与评审。</w:t>
      </w:r>
      <w:r/>
    </w:p>
    <w:p>
      <w:pPr>
        <w:pStyle w:val="1240"/>
        <w:numPr>
          <w:ilvl w:val="0"/>
          <w:numId w:val="5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残疾人福利单位需按照招标文件的要求提供《残疾人福利性单位声明函》。</w:t>
      </w:r>
      <w:r/>
    </w:p>
    <w:p>
      <w:pPr>
        <w:pStyle w:val="1240"/>
        <w:numPr>
          <w:ilvl w:val="0"/>
          <w:numId w:val="57"/>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残疾人福利单位标准请参照《关于促进残疾人就业政府采购政策的通知》（财库〔2017〕141号）。</w:t>
      </w:r>
      <w:r/>
    </w:p>
    <w:p>
      <w:pPr>
        <w:pStyle w:val="1240"/>
        <w:numPr>
          <w:ilvl w:val="0"/>
          <w:numId w:val="54"/>
        </w:numPr>
        <w:ind w:left="0" w:firstLine="482"/>
        <w:widowControl/>
        <w:rPr>
          <w:rFonts w:ascii="Times New Roman" w:hAnsi="Times New Roman" w:eastAsia="宋体" w:cs="Times New Roman"/>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监狱企业、残疾人福利性单位属于小微企业的，不重复享受政策。</w:t>
      </w:r>
      <w:r/>
    </w:p>
    <w:p>
      <w:pPr>
        <w:pStyle w:val="1240"/>
        <w:numPr>
          <w:ilvl w:val="0"/>
          <w:numId w:val="54"/>
        </w:numPr>
        <w:ind w:left="0" w:firstLine="482"/>
        <w:widowControl/>
        <w:rPr>
          <w:rFonts w:ascii="Times New Roman" w:hAnsi="Times New Roman" w:eastAsia="宋体" w:cs="Times New Roman"/>
          <w:b/>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p>
    <w:p>
      <w:pPr>
        <w:pStyle w:val="1240"/>
        <w:numPr>
          <w:ilvl w:val="0"/>
          <w:numId w:val="54"/>
        </w:numPr>
        <w:ind w:left="0" w:firstLine="482"/>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所有认证、证明和业绩除上表要求外均须提供有效的证明材料扫描件加盖投标供应商公章。</w:t>
      </w:r>
      <w:r/>
    </w:p>
    <w:p>
      <w:pPr>
        <w:pStyle w:val="1240"/>
        <w:numPr>
          <w:ilvl w:val="0"/>
          <w:numId w:val="54"/>
        </w:numPr>
        <w:ind w:left="0" w:firstLine="482"/>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本项目采购标的对应的中小企业划分标准所属行业为：建筑业。</w:t>
      </w:r>
      <w:r/>
    </w:p>
    <w:p>
      <w:pPr>
        <w:pStyle w:val="1240"/>
        <w:numPr>
          <w:ilvl w:val="0"/>
          <w:numId w:val="54"/>
        </w:numPr>
        <w:ind w:left="0" w:firstLine="482"/>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评标过程中出现下列情形之一的，评标委员会应当启动异常低价投标（响应）审查程序：</w:t>
      </w:r>
      <w:r/>
    </w:p>
    <w:p>
      <w:pPr>
        <w:pStyle w:val="1240"/>
        <w:numPr>
          <w:ilvl w:val="0"/>
          <w:numId w:val="5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投标（响应）报价低于全部通过符合性审查供应商投标（响应）报价平均值50%的，即投标（响应）报价&lt;全部通过符合性审查供应商投标（响应）报价平均值×50%；</w:t>
      </w:r>
      <w:r/>
    </w:p>
    <w:p>
      <w:pPr>
        <w:pStyle w:val="1240"/>
        <w:numPr>
          <w:ilvl w:val="0"/>
          <w:numId w:val="5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投标（响应）报价低于通过符合性审查的次低报价供应商投标（响应）报价50%的，即投标（响应）报价&lt;通过符合性审查的次低报价供应商投标（响应）报价×50%；</w:t>
      </w:r>
      <w:r/>
    </w:p>
    <w:p>
      <w:pPr>
        <w:pStyle w:val="1240"/>
        <w:numPr>
          <w:ilvl w:val="0"/>
          <w:numId w:val="5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投标（响应）报价低于采购项目最高限价45%的，即投标（响应）报价&lt;采购项目最高限价×45%；</w:t>
      </w:r>
      <w:r/>
    </w:p>
    <w:p>
      <w:pPr>
        <w:pStyle w:val="1240"/>
        <w:numPr>
          <w:ilvl w:val="0"/>
          <w:numId w:val="58"/>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评标委员会基于专业判断，认为供应商报价过低，有可能影响产品质量或者不能诚信履约的其他情形。</w:t>
      </w:r>
      <w:r/>
    </w:p>
    <w:p>
      <w:pPr>
        <w:pStyle w:val="1240"/>
        <w:numPr>
          <w:ilvl w:val="0"/>
          <w:numId w:val="5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40"/>
        <w:numPr>
          <w:ilvl w:val="0"/>
          <w:numId w:val="5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40"/>
        <w:numPr>
          <w:ilvl w:val="0"/>
          <w:numId w:val="59"/>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226"/>
        <w:numPr>
          <w:ilvl w:val="0"/>
          <w:numId w:val="2"/>
        </w:numPr>
        <w:ind w:left="0" w:firstLine="0"/>
        <w:jc w:val="center"/>
        <w:widowControl/>
        <w:rPr>
          <w:b w:val="0"/>
          <w:color w:val="auto"/>
        </w:rPr>
      </w:pPr>
      <w:r>
        <w:rPr>
          <w:color w:val="auto"/>
        </w:rPr>
        <w:br w:type="page" w:clear="all"/>
      </w:r>
      <w:r>
        <w:rPr>
          <w:color w:val="auto"/>
        </w:rPr>
        <w:t xml:space="preserve">招标项目的技术规格、要求和数量等</w:t>
      </w:r>
      <w:r/>
    </w:p>
    <w:p>
      <w:pPr>
        <w:pStyle w:val="1227"/>
        <w:numPr>
          <w:ilvl w:val="0"/>
          <w:numId w:val="60"/>
        </w:numPr>
        <w:ind w:left="0" w:firstLine="0"/>
        <w:rPr>
          <w:rFonts w:hint="eastAsia" w:ascii="黑体" w:hAnsi="黑体" w:eastAsia="黑体" w:cs="黑体"/>
          <w:b w:val="0"/>
          <w:color w:val="auto"/>
          <w:sz w:val="21"/>
          <w:szCs w:val="21"/>
        </w:rPr>
      </w:pPr>
      <w:r/>
      <w:bookmarkStart w:id="1" w:name="_Toc17311"/>
      <w:r/>
      <w:bookmarkStart w:id="2" w:name="_Toc32264"/>
      <w:r/>
      <w:bookmarkStart w:id="3" w:name="_Toc27290"/>
      <w:r>
        <w:rPr>
          <w:color w:val="auto"/>
          <w:sz w:val="21"/>
          <w:szCs w:val="21"/>
        </w:rPr>
        <w:t xml:space="preserve">项目概况：</w:t>
      </w:r>
      <w:r/>
    </w:p>
    <w:p>
      <w:pPr>
        <w:pStyle w:val="1240"/>
        <w:numPr>
          <w:ilvl w:val="0"/>
          <w:numId w:val="61"/>
        </w:numPr>
        <w:ind w:left="0" w:firstLine="48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项目名称：南京中医药大学D8实验室改造项目（含细胞房建设） </w:t>
      </w:r>
      <w:r/>
    </w:p>
    <w:p>
      <w:pPr>
        <w:pStyle w:val="1240"/>
        <w:numPr>
          <w:ilvl w:val="0"/>
          <w:numId w:val="61"/>
        </w:numPr>
        <w:ind w:left="0" w:firstLine="48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项目实施地点：南京中医药大学仙林校区</w:t>
      </w:r>
      <w:r/>
    </w:p>
    <w:p>
      <w:pPr>
        <w:pStyle w:val="1240"/>
        <w:numPr>
          <w:ilvl w:val="0"/>
          <w:numId w:val="61"/>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项目实施内容：改造内容包括内部区域重新分隔，基础装修及水电改造、消防系统、外立面出新、屋面防水、立面所有铝合金窗更换等。内部设施及设备包含：集中细胞房、实验中央台、边台、通风橱、万向罩、试剂柜、超净工作台、生物安全柜、通排风系统、空调系统、监控系统、门禁系统、办公家具、实验家具等。改造后，一楼局部区域为集中细胞房、气瓶间及学术交流室（所有团队集中共享使用），剩余区域考虑2组团队进行实验研究，主要功能为：理化实验室、仪器室、灭菌室等相关实验用房及学术交流室。</w:t>
      </w:r>
      <w:bookmarkEnd w:id="1"/>
      <w:r/>
      <w:bookmarkEnd w:id="2"/>
      <w:r/>
      <w:bookmarkEnd w:id="3"/>
      <w:r/>
      <w:r/>
    </w:p>
    <w:p>
      <w:pPr>
        <w:pStyle w:val="1227"/>
        <w:numPr>
          <w:ilvl w:val="0"/>
          <w:numId w:val="60"/>
        </w:numPr>
        <w:ind w:left="0" w:firstLine="0"/>
        <w:widowControl/>
        <w:rPr>
          <w:rFonts w:hint="eastAsia" w:ascii="黑体" w:hAnsi="黑体" w:eastAsia="黑体" w:cs="黑体"/>
          <w:b w:val="0"/>
          <w:color w:val="auto"/>
          <w:sz w:val="21"/>
          <w:szCs w:val="21"/>
        </w:rPr>
      </w:pPr>
      <w:r/>
      <w:bookmarkStart w:id="4" w:name="_Toc5262"/>
      <w:r/>
      <w:bookmarkStart w:id="5" w:name="_Toc370"/>
      <w:r/>
      <w:bookmarkStart w:id="6" w:name="_Toc18498"/>
      <w:r>
        <w:rPr>
          <w:color w:val="auto"/>
          <w:sz w:val="21"/>
          <w:szCs w:val="21"/>
        </w:rPr>
        <w:t xml:space="preserve">商务要求：</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供应商不得将中标项目转包及其它违规行为，一经采购人发现立即取消中标资格，并有权按照相关法律法规报相关部门处理，且追究其经济责任。</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供应商勘察现场所发生的费用由供应商自行承担。采购人向供应商提供的有关服务现场的资料和数据，是招标人现有的能使供应商利用的资料。采购人对供应商由此而做出的推论、理解和结论概不负责。供应商未到项目现场实地踏勘的，中标后签订合同时和履约过程中，不得以不完全了解现场情况为由，提出任何形式的增加合同价款或索赔的要求。</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合理的投标报价是根据投标人针对本项目所考虑的生产要素投入与配置、管理水平、施工技术水平及市场风险、利润等因素确定的投标报价，对投标报价的合理性评审依据主管部门颁布的消耗量定额、费用定额、工期定额，采用政府公布的人工、施工机械台班单价和材料（设备）市场价格进行编制的工程造价进行评审，主要包括人工费、材料费、施工机械使用费、企业管理费、利润、风险费措施费等，若在投标报价中，出现恶意低价或者价格明显低于市场价的，评标委员会有权要求其提供相关证明材料，若提供的材料不能反映，采购人有权作无效投标处理。</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合同价格形式：固定综合单价合同。</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按照施工图和工程量清单采取固定综合单价；任何情况下综合单价不变，决算时按实际工程量乘以综合单价计算。非发包人需求且经发包人书面认可的变化导致的变更由承包人自行承担相关费用。</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工期：【80】日历天。即本工程自发包人下达的书面开工令载明的开工之日起【80】日历天竣工。</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履约保证金：关于是否扣留质量保证金的约定：人民币</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元（合同签约价的【3】%）的履约保证金在本工程竣工验收合格后转作质量保证金，自发包人组织的竣工验收合格报告签署之日起算的质保期（</w:t>
      </w:r>
      <w:r>
        <w:rPr>
          <w:rFonts w:ascii="Times New Roman" w:hAnsi="Times New Roman" w:eastAsia="宋体" w:cs="Times New Roman"/>
          <w:color w:val="auto"/>
          <w:sz w:val="21"/>
          <w:szCs w:val="21"/>
          <w:u w:val="single"/>
        </w:rPr>
        <w:t xml:space="preserve">24</w:t>
      </w:r>
      <w:r>
        <w:rPr>
          <w:rFonts w:ascii="Times New Roman" w:hAnsi="Times New Roman" w:eastAsia="宋体" w:cs="Times New Roman"/>
          <w:color w:val="auto"/>
          <w:sz w:val="21"/>
          <w:szCs w:val="21"/>
        </w:rPr>
        <w:t xml:space="preserve">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w:t>
      </w:r>
      <w:r>
        <w:rPr>
          <w:rFonts w:ascii="Times New Roman" w:hAnsi="Times New Roman" w:eastAsia="宋体" w:cs="Times New Roman"/>
          <w:color w:val="auto"/>
          <w:sz w:val="21"/>
          <w:szCs w:val="21"/>
          <w:u w:val="single"/>
        </w:rPr>
        <w:t xml:space="preserve">24</w:t>
      </w:r>
      <w:r>
        <w:rPr>
          <w:rFonts w:ascii="Times New Roman" w:hAnsi="Times New Roman" w:eastAsia="宋体" w:cs="Times New Roman"/>
          <w:color w:val="auto"/>
          <w:sz w:val="21"/>
          <w:szCs w:val="21"/>
        </w:rPr>
        <w:t xml:space="preserve">个月）满后，经发包人单位盖章，无息返还承包人质量保证金。若承包人不能及时响应或保质处理维修事项，发包人有权另找工程队维修，所发生的费用从质量保证金中支付。</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履约保证金汇款银行、账号及户名：承包人必须在本项目中标公示结束后将履约保证金汇入发包人指定的账号，账号为：4301010109001027264（开户行为工行汉中门支行，收款人为南京中医药大学），汇款必须从承包人基本账户转出，在备注、用途或附加说明中写明是本工程项目的履约保证金。逾期不交者，将列入发包人不诚信单位记录名单，后期不得参与发包人任何采购活动。</w:t>
      </w:r>
      <w:r/>
    </w:p>
    <w:p>
      <w:pPr>
        <w:pStyle w:val="1240"/>
        <w:numPr>
          <w:ilvl w:val="0"/>
          <w:numId w:val="62"/>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b/>
          <w:color w:val="auto"/>
          <w:sz w:val="21"/>
          <w:szCs w:val="21"/>
        </w:rPr>
        <w:t xml:space="preserve">缺陷责任期（质保期）：自项目验收合格之日起，不少于24个月。（提供供应商加盖公章的承诺书）</w:t>
      </w:r>
      <w:r/>
    </w:p>
    <w:p>
      <w:pPr>
        <w:pStyle w:val="1240"/>
        <w:numPr>
          <w:ilvl w:val="0"/>
          <w:numId w:val="62"/>
        </w:numPr>
        <w:ind w:left="0" w:firstLine="48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付款方式：</w:t>
      </w:r>
      <w:r/>
    </w:p>
    <w:p>
      <w:pPr>
        <w:pStyle w:val="1240"/>
        <w:numPr>
          <w:ilvl w:val="0"/>
          <w:numId w:val="63"/>
        </w:numPr>
        <w:ind w:left="0" w:firstLine="48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工程结束，项目竣工验收完毕，相关工作完成后，乙方应在60日内按甲方要求将项目结算资料送交甲方审计部门审计（含所有固定资产设备登记入库单），甲方审计部门对乙方出具的项目结算资料无异议后15日内，承包人提供与当期应付款项金额相一致的足额发票，发包人向承包人付至合同暂定价的70％。</w:t>
      </w:r>
      <w:r/>
    </w:p>
    <w:p>
      <w:pPr>
        <w:pStyle w:val="1240"/>
        <w:numPr>
          <w:ilvl w:val="0"/>
          <w:numId w:val="63"/>
        </w:numPr>
        <w:ind w:left="0" w:firstLine="48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项目决算审计结束，乙方配合使用方进行固定资产登记后，十五个工作日内，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p>
    <w:p>
      <w:pPr>
        <w:pStyle w:val="1240"/>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★9、项目负责人无在建工程。（提供承诺书并加盖公章）</w:t>
      </w:r>
      <w:r/>
    </w:p>
    <w:p>
      <w:pPr>
        <w:pStyle w:val="1240"/>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10、供应商报价安全生产措施项目费率不得低于投标供应商须知中下限值，否则为无效响应。（供应商提供《安全生产措施费率承诺书》（格式自拟），完整填写各专业安全生产措施计取费率并加盖公章；当承诺书标注费率与已标价工程量清单（分项报价表）措施项目表计取费率不一致时，以已标价工程量清单（分项报价表）的实际费率为准）</w:t>
      </w:r>
      <w:r/>
    </w:p>
    <w:p>
      <w:pPr>
        <w:pStyle w:val="1227"/>
        <w:numPr>
          <w:ilvl w:val="0"/>
          <w:numId w:val="60"/>
        </w:numPr>
        <w:ind w:left="0" w:firstLine="0"/>
        <w:widowControl/>
        <w:rPr>
          <w:rFonts w:hint="eastAsia" w:ascii="黑体" w:hAnsi="黑体" w:eastAsia="黑体" w:cs="黑体"/>
          <w:b w:val="0"/>
          <w:color w:val="auto"/>
          <w:sz w:val="21"/>
          <w:szCs w:val="21"/>
        </w:rPr>
      </w:pPr>
      <w:r>
        <w:rPr>
          <w:color w:val="auto"/>
          <w:sz w:val="21"/>
          <w:szCs w:val="21"/>
        </w:rPr>
        <w:t xml:space="preserve">材质及质量要求</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★1、质量标准：</w:t>
      </w:r>
      <w:r>
        <w:rPr>
          <w:rFonts w:ascii="Times New Roman" w:hAnsi="Times New Roman" w:eastAsia="宋体" w:cs="Times New Roman"/>
          <w:b/>
          <w:color w:val="auto"/>
          <w:sz w:val="21"/>
          <w:szCs w:val="21"/>
        </w:rPr>
        <w:t xml:space="preserve">（提供承诺书并加盖公章）</w:t>
      </w:r>
      <w:r/>
    </w:p>
    <w:p>
      <w:pPr>
        <w:pStyle w:val="1240"/>
        <w:numPr>
          <w:ilvl w:val="0"/>
          <w:numId w:val="64"/>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符合国家现行质量验收标准，《建筑工程施工质量验收统一标准》，合同约定的其他要求；</w:t>
      </w:r>
      <w:r/>
    </w:p>
    <w:p>
      <w:pPr>
        <w:pStyle w:val="1240"/>
        <w:numPr>
          <w:ilvl w:val="0"/>
          <w:numId w:val="64"/>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实验室设施及设备满足招标文件参数要求，相关设施及设备品牌需在投标时明确（不得调整变更），项目竣工后配合校方进行资产入库；</w:t>
      </w:r>
      <w:r/>
    </w:p>
    <w:p>
      <w:pPr>
        <w:pStyle w:val="1240"/>
        <w:numPr>
          <w:ilvl w:val="0"/>
          <w:numId w:val="64"/>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满足环保要求。</w:t>
      </w:r>
      <w:r/>
    </w:p>
    <w:p>
      <w:pPr>
        <w:pStyle w:val="1227"/>
        <w:numPr>
          <w:ilvl w:val="0"/>
          <w:numId w:val="60"/>
        </w:numPr>
        <w:ind w:left="0" w:firstLine="0"/>
        <w:widowControl/>
        <w:rPr>
          <w:rFonts w:hint="eastAsia" w:ascii="Times New Roman" w:hAnsi="Times New Roman" w:cs="Times New Roman"/>
          <w:color w:val="auto"/>
          <w:sz w:val="21"/>
          <w:szCs w:val="21"/>
        </w:rPr>
      </w:pPr>
      <w:r>
        <w:rPr>
          <w:rFonts w:ascii="Times New Roman" w:hAnsi="Times New Roman" w:cs="Times New Roman"/>
          <w:color w:val="auto"/>
          <w:sz w:val="21"/>
          <w:szCs w:val="21"/>
        </w:rPr>
        <w:t xml:space="preserve">施工管理要求</w:t>
      </w:r>
      <w:r/>
    </w:p>
    <w:p>
      <w:pPr>
        <w:pStyle w:val="1240"/>
        <w:numPr>
          <w:ilvl w:val="0"/>
          <w:numId w:val="65"/>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现场管理及安全责任：施工单位根据现行国家工程质量检验标准和现场实际情况，按国家有关规定派驻具有相应资质的项目经理，项目经理在施工期间须每日到场，加强施工管理，因质量和安全问题造成的一切责任和损失均由投标人负责。</w:t>
      </w:r>
      <w:r/>
    </w:p>
    <w:p>
      <w:pPr>
        <w:pStyle w:val="1240"/>
        <w:numPr>
          <w:ilvl w:val="0"/>
          <w:numId w:val="65"/>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设计若有不符合现行规范、规定、标准等或其他不到位之处，中标人必须提出，待采购人确认后再施工，否则因此造成的质量事故由中标人承担。</w:t>
      </w:r>
      <w:r/>
    </w:p>
    <w:p>
      <w:pPr>
        <w:pStyle w:val="1240"/>
        <w:numPr>
          <w:ilvl w:val="0"/>
          <w:numId w:val="65"/>
        </w:numPr>
        <w:ind w:left="0" w:firstLine="48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对于隐蔽工程的签证，必须在覆盖前完成验收手续、工程量的确认和费用数额的报送手续，否则发包人可以不予支付相关款项。</w:t>
      </w:r>
      <w:r/>
    </w:p>
    <w:p>
      <w:pPr>
        <w:pStyle w:val="1240"/>
        <w:numPr>
          <w:ilvl w:val="0"/>
          <w:numId w:val="0"/>
        </w:numPr>
        <w:ind w:firstLine="420"/>
        <w:widowControl/>
        <w:rPr>
          <w:rFonts w:hint="eastAsia" w:ascii="宋体" w:hAnsi="宋体" w:eastAsia="宋体" w:cs="宋体"/>
          <w:b w:val="0"/>
          <w:color w:val="auto"/>
          <w:sz w:val="21"/>
          <w:szCs w:val="21"/>
          <w:highlight w:val="yellow"/>
        </w:rPr>
      </w:pPr>
      <w:r>
        <w:rPr>
          <w:rFonts w:hint="eastAsia" w:cs="Times New Roman"/>
          <w:color w:val="auto"/>
          <w:sz w:val="21"/>
          <w:szCs w:val="21"/>
          <w:lang w:val="en-US" w:eastAsia="zh-CN"/>
        </w:rPr>
        <w:t xml:space="preserve">4、</w:t>
      </w:r>
      <w:r>
        <w:rPr>
          <w:rFonts w:ascii="Times New Roman" w:hAnsi="Times New Roman" w:eastAsia="宋体" w:cs="Times New Roman"/>
          <w:color w:val="auto"/>
          <w:sz w:val="21"/>
          <w:szCs w:val="21"/>
        </w:rPr>
        <w:t xml:space="preserve">本项目施工过程中，承包人未按相关规定或发包人要求（安全文明施工、质量标准等方面）进行施工、管理的，承包人应根据合同要求向发包人支付违约金。</w:t>
      </w:r>
      <w:r/>
    </w:p>
    <w:p>
      <w:pPr>
        <w:pStyle w:val="1227"/>
        <w:numPr>
          <w:ilvl w:val="0"/>
          <w:numId w:val="60"/>
        </w:numPr>
        <w:ind w:left="0" w:firstLine="0"/>
        <w:pageBreakBefore w:val="0"/>
        <w:spacing w:before="0"/>
        <w:widowControl/>
        <w:rPr>
          <w:rFonts w:hint="eastAsia" w:ascii="Times New Roman" w:hAnsi="Times New Roman" w:cs="Times New Roman"/>
          <w:color w:val="auto"/>
          <w:sz w:val="21"/>
          <w:szCs w:val="21"/>
        </w:rPr>
      </w:pPr>
      <w:r>
        <w:rPr>
          <w:rFonts w:ascii="Times New Roman" w:hAnsi="Times New Roman" w:cs="Times New Roman"/>
          <w:color w:val="auto"/>
          <w:sz w:val="21"/>
          <w:szCs w:val="21"/>
        </w:rPr>
        <w:t xml:space="preserve">技术要求：</w:t>
      </w:r>
      <w:r/>
    </w:p>
    <w:p>
      <w:pPr>
        <w:pStyle w:val="1228"/>
        <w:numPr>
          <w:ilvl w:val="0"/>
          <w:numId w:val="66"/>
        </w:numPr>
        <w:ind w:lef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装修部分</w:t>
      </w:r>
      <w:r/>
    </w:p>
    <w:p>
      <w:pPr>
        <w:pStyle w:val="1229"/>
        <w:pageBreakBefore w:val="0"/>
        <w:spacing w:before="0"/>
        <w:widowControl/>
        <w:rPr>
          <w:color w:val="auto"/>
          <w:sz w:val="21"/>
          <w:szCs w:val="21"/>
        </w:rPr>
      </w:pPr>
      <w:r>
        <w:rPr>
          <w:color w:val="auto"/>
          <w:sz w:val="21"/>
          <w:szCs w:val="21"/>
        </w:rPr>
        <w:t xml:space="preserve">1、墙面及隔断处理</w:t>
      </w:r>
      <w:r/>
    </w:p>
    <w:p>
      <w:pPr>
        <w:pStyle w:val="1230"/>
        <w:numPr>
          <w:ilvl w:val="0"/>
          <w:numId w:val="67"/>
        </w:numPr>
        <w:ind w:left="0" w:firstLine="0"/>
        <w:pageBreakBefore w:val="0"/>
        <w:spacing w:before="0"/>
        <w:widowControl/>
        <w:rPr>
          <w:b w:val="0"/>
          <w:color w:val="auto"/>
          <w:sz w:val="21"/>
          <w:szCs w:val="21"/>
        </w:rPr>
      </w:pPr>
      <w:r>
        <w:rPr>
          <w:color w:val="auto"/>
          <w:sz w:val="21"/>
          <w:szCs w:val="21"/>
        </w:rPr>
        <w:t xml:space="preserve">50mm机制岩棉彩钢板</w:t>
      </w:r>
      <w:r/>
    </w:p>
    <w:p>
      <w:pPr>
        <w:pStyle w:val="1240"/>
        <w:numPr>
          <w:ilvl w:val="0"/>
          <w:numId w:val="6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需采用优质彩色图层钢板为面层岩棉为内芯层，通过加压、加热等工序制造而成，密封性能好防火等级高。可满足1小时耐火极限,防尘、耐腐蚀、防潮防霉、容易清洁的总原则要求，隔热保温，抗弯抗压，承载力强，耐高温、阻燃、吸声防震、防水防潮、防虫、轻质防腐、无毒无味无污染等特点，即可作为围护结构，又可作为承重结构。</w:t>
      </w:r>
      <w:r/>
    </w:p>
    <w:p>
      <w:pPr>
        <w:pStyle w:val="1240"/>
        <w:numPr>
          <w:ilvl w:val="0"/>
          <w:numId w:val="6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采用模块化设计，中字铝连接方式，安装灵活方便。其防火等级为A级；彩钢板颜色要与地板和天花板协调、美观、整齐、缝隙均匀。</w:t>
      </w:r>
      <w:r/>
    </w:p>
    <w:p>
      <w:pPr>
        <w:pStyle w:val="1240"/>
        <w:numPr>
          <w:ilvl w:val="0"/>
          <w:numId w:val="6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实验室区域内均采用保温密闭处理，减少实验室的温湿度不受外界环境因素的影响。</w:t>
      </w:r>
      <w:r/>
    </w:p>
    <w:p>
      <w:pPr>
        <w:pStyle w:val="1240"/>
        <w:numPr>
          <w:ilvl w:val="0"/>
          <w:numId w:val="6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穿过实验室的上下水管道用墙板包封于夹缝内并做好保温处理；实验室空调区与非实验室空调区良好隔离。</w:t>
      </w:r>
      <w:r/>
    </w:p>
    <w:p>
      <w:pPr>
        <w:pStyle w:val="1240"/>
        <w:numPr>
          <w:ilvl w:val="0"/>
          <w:numId w:val="6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要求内外墙面、转角处应光滑平整,墙面边角处以R50圆弧连接；钢板之间横向拼缝≤4mm，纵向平面误差≤3mm,铝型材之间拼缝≤5mm,色泽均匀,无肉眼可见色差。</w:t>
      </w:r>
      <w:r/>
    </w:p>
    <w:p>
      <w:pPr>
        <w:pStyle w:val="1240"/>
        <w:pageBreakBefore w:val="0"/>
        <w:spacing w:before="0" w:after="0"/>
        <w:widowControl/>
        <w:rPr>
          <w:rFonts w:hint="eastAsia" w:asciiTheme="minorEastAsia" w:hAnsiTheme="minorEastAsia" w:cstheme="minorBidi"/>
          <w:color w:val="auto"/>
          <w:sz w:val="21"/>
          <w:szCs w:val="21"/>
          <w:lang w:val="en-US" w:eastAsia="zh-CN"/>
        </w:rPr>
      </w:pPr>
      <w:r>
        <w:rPr>
          <w:rFonts w:ascii="Times New Roman" w:hAnsi="Times New Roman" w:eastAsia="宋体" w:cs="Times New Roman"/>
          <w:color w:val="auto"/>
          <w:sz w:val="21"/>
          <w:szCs w:val="21"/>
        </w:rPr>
        <w:t xml:space="preserve">1.1.2.玻璃隔断</w:t>
      </w:r>
      <w:r>
        <w:rPr>
          <w:rFonts w:ascii="Times New Roman" w:hAnsi="Times New Roman" w:eastAsia="宋体" w:cs="Times New Roman"/>
          <w:color w:val="auto"/>
          <w:sz w:val="21"/>
          <w:szCs w:val="21"/>
        </w:rPr>
        <w:br/>
      </w:r>
      <w:r>
        <w:rPr>
          <w:rFonts w:ascii="Times New Roman" w:hAnsi="Times New Roman" w:eastAsia="宋体" w:cs="Times New Roman"/>
          <w:color w:val="auto"/>
          <w:sz w:val="21"/>
          <w:szCs w:val="21"/>
        </w:rPr>
        <w:t xml:space="preserve">框架安装</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预埋件施工：钻孔直径10mm，深度≥60mm，植入膨胀螺栓后扭矩控制在25-30N·m，镀锌钢角码厚度≥5mm。</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立柱安装：垂直度偏差≤1mm/m，相邻立柱间距偏差≤2mm，顶部设置5mm位移间隙。</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横梁安装：水平度偏差≤1mm/m，玻璃槽口中心线偏差≤1mm，槽口深度偏差≤0.5mm。</w:t>
      </w:r>
      <w:r/>
    </w:p>
    <w:p>
      <w:pPr>
        <w:pStyle w:val="1232"/>
        <w:pageBreakBefore w:val="0"/>
        <w:spacing w:before="0"/>
        <w:widowControl/>
        <w:rPr>
          <w:rFonts w:hint="eastAsia" w:ascii="黑体" w:hAnsi="黑体" w:eastAsia="黑体" w:cs="黑体"/>
          <w:b w:val="0"/>
          <w:color w:val="auto"/>
          <w:sz w:val="21"/>
          <w:szCs w:val="21"/>
        </w:rPr>
      </w:pPr>
      <w:r>
        <w:rPr>
          <w:color w:val="auto"/>
          <w:sz w:val="21"/>
          <w:szCs w:val="21"/>
        </w:rPr>
        <w:t xml:space="preserve">①　玻璃安装</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预处理：清洁玻璃表面尘埃≤5mg/m²，油污≤1mg/m²，右下角粘贴不可擦除编号标签。</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吊装就位：采用真空吸盘（吸力≥150kg）吊装，底部承重垫块间距≤500mm，玻璃插入上槽深度≥15mm，下槽间隙预留8mm。</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固定密封：玻璃与框架间隙：左右3mm，上下5mm；胶缝宽度8-12mm，厚度为宽度的1/2-2/3，表面形成凹面圆弧。</w:t>
      </w:r>
      <w:r/>
    </w:p>
    <w:p>
      <w:pPr>
        <w:pStyle w:val="1232"/>
        <w:pageBreakBefore w:val="0"/>
        <w:spacing w:before="0"/>
        <w:widowControl/>
        <w:rPr>
          <w:color w:val="auto"/>
          <w:sz w:val="21"/>
          <w:szCs w:val="21"/>
        </w:rPr>
      </w:pPr>
      <w:r>
        <w:rPr>
          <w:color w:val="auto"/>
          <w:sz w:val="21"/>
          <w:szCs w:val="21"/>
        </w:rPr>
        <w:t xml:space="preserve">②　五金配件安装</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门锁开孔直径误差≤0.5mm，锁体与玻璃间隙用专用衬套填充，开启力≤30N。</w:t>
      </w:r>
      <w:r/>
    </w:p>
    <w:p>
      <w:pPr>
        <w:pStyle w:val="1240"/>
        <w:pageBreakBefore w:val="0"/>
        <w:spacing w:before="0" w:after="0"/>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闭门器调试：闭门速度4-6秒（90°-15°），缓冲段（15°-0°）时间≥2秒，500次启闭后闭门力衰减≤15%。</w:t>
      </w:r>
      <w:r/>
    </w:p>
    <w:p>
      <w:pPr>
        <w:pStyle w:val="1231"/>
        <w:numPr>
          <w:ilvl w:val="0"/>
          <w:numId w:val="69"/>
        </w:numPr>
        <w:ind w:left="0" w:firstLine="0"/>
        <w:pageBreakBefore w:val="0"/>
        <w:spacing w:before="0"/>
        <w:widowControl/>
        <w:rPr>
          <w:b w:val="0"/>
          <w:color w:val="auto"/>
          <w:sz w:val="21"/>
          <w:szCs w:val="21"/>
        </w:rPr>
      </w:pPr>
      <w:r>
        <w:rPr>
          <w:color w:val="auto"/>
          <w:sz w:val="21"/>
          <w:szCs w:val="21"/>
        </w:rPr>
        <w:t xml:space="preserve">材料：</w:t>
      </w:r>
      <w:r/>
    </w:p>
    <w:p>
      <w:pPr>
        <w:pStyle w:val="1240"/>
        <w:numPr>
          <w:ilvl w:val="0"/>
          <w:numId w:val="7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吊顶工程所选用材料的品种，规格，颜色以及基层构造，固定方法应符合规范及设计要求。本工程所选用的吊顶主要为彩钢板和活动洁净板。所有在天花平面上暴露之构件，彩钢板、洁净板布局均应符合国家相关规范。吊顶龙骨在平运输安装时，不得扔摔，碰撞。</w:t>
      </w:r>
      <w:r/>
    </w:p>
    <w:p>
      <w:pPr>
        <w:pStyle w:val="1240"/>
        <w:numPr>
          <w:ilvl w:val="0"/>
          <w:numId w:val="7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龙骨应平放，防止变形。各类面板不在运输安装时,不得扔摔,碰撞。没有气泡,裂纹。缺角，污垢和图案不完整等缺陷。表面应完整，边缘应整齐，色泽应5一。紧固件宜采用镀锌制品，预埋的木件应作防腐处理,凡固定铝材必须采用不锈钢紧固件。</w:t>
      </w:r>
      <w:r/>
    </w:p>
    <w:p>
      <w:pPr>
        <w:pStyle w:val="1231"/>
        <w:numPr>
          <w:ilvl w:val="0"/>
          <w:numId w:val="69"/>
        </w:numPr>
        <w:ind w:lef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安装：</w:t>
      </w:r>
      <w:r/>
    </w:p>
    <w:p>
      <w:pPr>
        <w:pStyle w:val="1240"/>
        <w:numPr>
          <w:ilvl w:val="0"/>
          <w:numId w:val="7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洞口处理：设备口、灯具的位置必须按板块、图案、分格对称布局合理。开口边缘整齐、护口严密，不露缝。排列横竖均匀、顺直、整齐、协调美观。受风压的吊顶板必须做固定处理。吊顶板与墙面、窗帘盒、灯具等交接处应严密，不得有漏缝现象。</w:t>
      </w:r>
      <w:r/>
    </w:p>
    <w:p>
      <w:pPr>
        <w:pStyle w:val="1240"/>
        <w:numPr>
          <w:ilvl w:val="0"/>
          <w:numId w:val="7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装修吊顶离建筑楼板底高度大于1500mm且小于2500m时，应设置反支撑。装修吊顶离建筑楼板底高度大于2500mm时，应设置钢结构装换层。</w:t>
      </w:r>
      <w:r/>
    </w:p>
    <w:p>
      <w:pPr>
        <w:pStyle w:val="1240"/>
        <w:numPr>
          <w:ilvl w:val="0"/>
          <w:numId w:val="71"/>
        </w:numPr>
        <w:ind w:left="0" w:firstLine="480"/>
        <w:pageBreakBefore w:val="0"/>
        <w:spacing w:before="0" w:after="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实验室吊顶为50mm手工单面玻镁岩棉夹芯彩钢板，防火等级为A级，满足防尘、耐腐蚀、防潮防霉、容易清洁的总原则，顶面与隔墙之间应光滑平整,墙面边角处以R50圆弧连接。</w:t>
      </w:r>
      <w:r/>
    </w:p>
    <w:p>
      <w:pPr>
        <w:pStyle w:val="1231"/>
        <w:pageBreakBefore w:val="0"/>
        <w:spacing w:before="0"/>
        <w:widowControl/>
        <w:rPr>
          <w:color w:val="auto"/>
          <w:sz w:val="21"/>
          <w:szCs w:val="21"/>
        </w:rPr>
      </w:pPr>
      <w:r>
        <w:rPr>
          <w:color w:val="auto"/>
          <w:sz w:val="21"/>
          <w:szCs w:val="21"/>
        </w:rPr>
        <w:t xml:space="preserve">1.3.1、地面基底：</w:t>
      </w:r>
      <w:r/>
    </w:p>
    <w:p>
      <w:pPr>
        <w:pStyle w:val="1240"/>
        <w:numPr>
          <w:ilvl w:val="0"/>
          <w:numId w:val="7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基底表面必须平整,四角方正。不得有裂纹、脱皮和起砂。</w:t>
      </w:r>
      <w:r/>
    </w:p>
    <w:p>
      <w:pPr>
        <w:pStyle w:val="1240"/>
        <w:numPr>
          <w:ilvl w:val="0"/>
          <w:numId w:val="7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基底构造层(保温层、防水层、防潮层、找平层、结合层）的材料质量、强度、密实度必须符合设计要求和施工规范的规定。</w:t>
      </w:r>
      <w:r/>
    </w:p>
    <w:p>
      <w:pPr>
        <w:pStyle w:val="1240"/>
        <w:numPr>
          <w:ilvl w:val="0"/>
          <w:numId w:val="7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铺设粘贴面层的基底表面必须平整，光滑，干燥、密实，洁净。不得有裂纹、脱皮和起砂。</w:t>
      </w:r>
      <w:r/>
    </w:p>
    <w:p>
      <w:pPr>
        <w:pStyle w:val="1231"/>
        <w:pageBreakBefore w:val="0"/>
        <w:spacing w:before="0"/>
        <w:widowControl/>
        <w:rPr>
          <w:color w:val="auto"/>
          <w:sz w:val="21"/>
          <w:szCs w:val="21"/>
        </w:rPr>
      </w:pPr>
      <w:r>
        <w:rPr>
          <w:color w:val="auto"/>
          <w:sz w:val="21"/>
          <w:szCs w:val="21"/>
        </w:rPr>
        <w:t xml:space="preserve">1.3.2、2.0mmPVC地板面层：</w:t>
      </w:r>
      <w:r/>
    </w:p>
    <w:p>
      <w:pPr>
        <w:pStyle w:val="1240"/>
        <w:numPr>
          <w:ilvl w:val="0"/>
          <w:numId w:val="7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PVC地板面层所用的塑胶地板板块和卷材的品种、规格、颜色、等级应符合设计要求和现行国家标准的规定。面层与下一层的粘结应牢固，不翘边、不脱胶、无溢胶。胶粘剂选用应符合现行国家标准《民用建筑工程室内环境污染控制规范》G350325的规定。敷设耐磨卷材地板之前需进行原地面50mm,厚C25细石混凝土找平或根据原地面情况打磨。</w:t>
      </w:r>
      <w:r/>
    </w:p>
    <w:p>
      <w:pPr>
        <w:pStyle w:val="1240"/>
        <w:numPr>
          <w:ilvl w:val="0"/>
          <w:numId w:val="73"/>
        </w:numPr>
        <w:ind w:left="0" w:firstLine="480"/>
        <w:pageBreakBefore w:val="0"/>
        <w:spacing w:before="0" w:after="0"/>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PVC地板面层应表面洁净、图案清晰，色泽一致，接缝严密、美观。拼缝处的图案、花纹吻合，无胶痕；与墙边交接严密，阴阳角收边方正。</w:t>
      </w:r>
      <w:r/>
    </w:p>
    <w:p>
      <w:pPr>
        <w:pStyle w:val="1231"/>
        <w:numPr>
          <w:ilvl w:val="0"/>
          <w:numId w:val="67"/>
        </w:numPr>
        <w:ind w:left="0" w:firstLine="0"/>
        <w:pageBreakBefore w:val="0"/>
        <w:spacing w:before="0"/>
        <w:rPr>
          <w:rFonts w:hint="eastAsia" w:ascii="黑体" w:hAnsi="黑体" w:eastAsia="黑体" w:cs="黑体"/>
          <w:b w:val="0"/>
          <w:color w:val="auto"/>
          <w:sz w:val="21"/>
          <w:szCs w:val="21"/>
        </w:rPr>
      </w:pPr>
      <w:r>
        <w:rPr>
          <w:color w:val="auto"/>
          <w:sz w:val="21"/>
          <w:szCs w:val="21"/>
        </w:rPr>
        <w:t xml:space="preserve">送、排风风管材料</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具体配置与有关参数，应参照相关招标文件提供的设备清单、技术条款和图纸所示。</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管道材质详见施工图纸，加工制作方法及安装按照《通风与空调工程施工及验收规范》（GB50243-2016）的规定确定。</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当排风管道通过不同防火分区时需设计防火阀，防火阀采用70度常开防火阀。一般情况下，防火阀的安装依据图纸；但是施工方应根据现场情况相应的防火要求设计、安装防火阀；</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所有水平垂直的风管，必须设置必要的支、吊或托架，其构造形式由安装单位在保证牢固、可靠的原则下根据现场情况选定，详见《国标风管支吊架》03K132，管加与楼板之间采用膨胀螺栓固定。</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风管和设备都应配置相应的支吊架和减震器，保证系统运行时不产生震动，确保实验室内的噪音满足要求，风管支架安装间距不超过2米；</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风管上的可拆卸接口不得设置在墙体或楼板内；</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安装调节阀、蝶阀（防腐材料制作而成）、70度常开防火阀等调节配件时，必须注意将操作手柄配置在便于操作的位置；</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支托吊架的安装：吊架的吊铁采用角钢或槽钢制成；斜撑的材料为角钢；吊杆采用园钢；扁铁用来制作抱箍。支架、托吊架制作完成后，应进行防锈，刷一遍防锈漆。风管的吊点应根据吊架的形式设置，采用膨胀螺栓法。</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排风风管连接采用焊接式或法兰式，送风风管连接采用共板法兰式。</w:t>
      </w:r>
      <w:r/>
    </w:p>
    <w:p>
      <w:pPr>
        <w:pStyle w:val="1240"/>
        <w:numPr>
          <w:ilvl w:val="0"/>
          <w:numId w:val="7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软管连接。主要用于风管与排风设备间（通风柜、排风口等）的连接。软管两端套在连接的管外，然后用特制管卡或不锈钢抱箍把软管箍紧。</w:t>
      </w:r>
      <w:r/>
    </w:p>
    <w:p>
      <w:pPr>
        <w:pStyle w:val="1240"/>
        <w:numPr>
          <w:ilvl w:val="0"/>
          <w:numId w:val="74"/>
        </w:numPr>
        <w:ind w:left="0" w:firstLine="480"/>
        <w:pageBreakBefore w:val="0"/>
        <w:spacing w:before="0" w:after="0"/>
        <w:rPr>
          <w:rFonts w:hint="eastAsia" w:ascii="宋体" w:hAnsi="宋体" w:eastAsia="宋体" w:cs="宋体"/>
          <w:b w:val="0"/>
          <w:color w:val="auto"/>
          <w:sz w:val="21"/>
          <w:szCs w:val="21"/>
        </w:rPr>
      </w:pPr>
      <w:r>
        <w:rPr>
          <w:rFonts w:ascii="Times New Roman" w:hAnsi="Times New Roman" w:eastAsia="宋体" w:cs="Times New Roman"/>
          <w:b w:val="0"/>
          <w:color w:val="auto"/>
          <w:sz w:val="21"/>
          <w:szCs w:val="21"/>
        </w:rPr>
        <w:t xml:space="preserve">其他各项施工要求和未尽事宜，应严格遵守《通风与空调工程施工质量验收规范》GB50243-2016的有关规定。</w:t>
      </w:r>
      <w:r/>
    </w:p>
    <w:p>
      <w:pPr>
        <w:pStyle w:val="1228"/>
        <w:numPr>
          <w:ilvl w:val="0"/>
          <w:numId w:val="66"/>
        </w:numPr>
        <w:ind w:lef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实验设备</w:t>
      </w:r>
      <w:r/>
    </w:p>
    <w:p>
      <w:pPr>
        <w:pStyle w:val="1229"/>
        <w:numPr>
          <w:ilvl w:val="0"/>
          <w:numId w:val="75"/>
        </w:numPr>
        <w:ind w:left="0" w:firstLine="0"/>
        <w:pageBreakBefore w:val="0"/>
        <w:spacing w:before="0"/>
        <w:widowControl/>
        <w:rPr>
          <w:b w:val="0"/>
          <w:color w:val="auto"/>
          <w:sz w:val="21"/>
          <w:szCs w:val="21"/>
        </w:rPr>
      </w:pPr>
      <w:r>
        <w:rPr>
          <w:color w:val="auto"/>
          <w:sz w:val="21"/>
          <w:szCs w:val="21"/>
        </w:rPr>
        <w:t xml:space="preserve">边台、中央台</w:t>
      </w:r>
      <w:r/>
    </w:p>
    <w:p>
      <w:pPr>
        <w:pStyle w:val="1230"/>
        <w:numPr>
          <w:ilvl w:val="0"/>
          <w:numId w:val="76"/>
        </w:numPr>
        <w:ind w:left="0" w:firstLine="0"/>
        <w:pageBreakBefore w:val="0"/>
        <w:spacing w:before="0"/>
        <w:widowControl/>
        <w:rPr>
          <w:b w:val="0"/>
          <w:color w:val="auto"/>
          <w:sz w:val="21"/>
          <w:szCs w:val="21"/>
        </w:rPr>
      </w:pPr>
      <w:r>
        <w:rPr>
          <w:color w:val="auto"/>
          <w:sz w:val="21"/>
          <w:szCs w:val="21"/>
        </w:rPr>
        <w:t xml:space="preserve">基础参数</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L*1500*850mm；全钢落地柜结构；</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台面:采用12.7mm厚实芯理化板；</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柜体：主体采用1.0mm冷轧钢板，表面环氧树脂喷涂，喷涂厚度≥75μm；</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柜门：采用环氧树脂喷涂冷轧钢板质，柜门内侧装有防撞贴；</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合页：304不锈钢合页；</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拉手：一体折弯式拉手；</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地脚：采用实验室专用调节脚；                      </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抽屉：导轨：采用三节静音阻尼导轨。</w:t>
      </w:r>
      <w:r/>
    </w:p>
    <w:p>
      <w:pPr>
        <w:pStyle w:val="1240"/>
        <w:numPr>
          <w:ilvl w:val="0"/>
          <w:numId w:val="77"/>
        </w:numPr>
        <w:ind w:left="0" w:firstLine="480"/>
        <w:pageBreakBefore w:val="0"/>
        <w:spacing w:before="0" w:after="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color w:val="auto"/>
          <w:sz w:val="21"/>
          <w:szCs w:val="21"/>
        </w:rPr>
        <w:t xml:space="preserve">五孔插座*6，含插座盒。</w:t>
      </w:r>
      <w:r/>
    </w:p>
    <w:p>
      <w:pPr>
        <w:pStyle w:val="1230"/>
        <w:numPr>
          <w:ilvl w:val="0"/>
          <w:numId w:val="76"/>
        </w:numPr>
        <w:ind w:left="0" w:firstLine="0"/>
        <w:pageBreakBefore w:val="0"/>
        <w:spacing w:before="0"/>
        <w:widowControl/>
        <w:rPr>
          <w:b w:val="0"/>
          <w:color w:val="auto"/>
          <w:sz w:val="21"/>
          <w:szCs w:val="21"/>
        </w:rPr>
      </w:pPr>
      <w:r>
        <w:rPr>
          <w:color w:val="auto"/>
          <w:sz w:val="21"/>
          <w:szCs w:val="21"/>
        </w:rPr>
        <w:t xml:space="preserve">总体技术要求</w:t>
      </w:r>
      <w:bookmarkEnd w:id="4"/>
      <w:r/>
      <w:bookmarkEnd w:id="5"/>
      <w:r/>
      <w:bookmarkEnd w:id="6"/>
      <w:r/>
      <w:r/>
    </w:p>
    <w:p>
      <w:pPr>
        <w:pStyle w:val="1231"/>
        <w:pageBreakBefore w:val="0"/>
        <w:spacing w:before="0"/>
        <w:widowControl/>
        <w:rPr>
          <w:color w:val="auto"/>
          <w:sz w:val="21"/>
          <w:szCs w:val="21"/>
        </w:rPr>
      </w:pPr>
      <w:r>
        <w:rPr>
          <w:color w:val="auto"/>
          <w:sz w:val="21"/>
          <w:szCs w:val="21"/>
        </w:rPr>
        <w:t xml:space="preserve">1.2.1台面技术要求</w:t>
      </w:r>
      <w:r/>
    </w:p>
    <w:p>
      <w:pPr>
        <w:pStyle w:val="1240"/>
        <w:numPr>
          <w:ilvl w:val="0"/>
          <w:numId w:val="7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台面必须采用≥12.7m厚度的腐蚀实芯耐蚀理化板，参照边缘加厚至25.4mm，实验台面技术要求如下。</w:t>
      </w:r>
      <w:r/>
    </w:p>
    <w:p>
      <w:pPr>
        <w:pStyle w:val="124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color w:val="auto"/>
          <w:sz w:val="21"/>
          <w:szCs w:val="21"/>
        </w:rPr>
        <w:t xml:space="preserve">（1）理化板台面需提供带有 CMA 标识的第三方检测机构出具的检测/检验报告 的检验报告（委托抽</w:t>
      </w:r>
      <w:r>
        <w:rPr>
          <w:rFonts w:ascii="Times New Roman" w:hAnsi="Times New Roman" w:eastAsia="宋体" w:cs="Times New Roman"/>
          <w:color w:val="auto"/>
          <w:sz w:val="21"/>
          <w:szCs w:val="21"/>
        </w:rPr>
        <w:t xml:space="preserve">样型）包含有；经GB18580-2017标准检测，甲醛 释放量（气候箱法）检测结果≤0.053；燃烧性能符合 GB8624-2012标准中B1级建筑材料要求。包含有：防静电性能、耐刮划性能、耐污染性能、耐磨性能等）。经GB/T17657-2022标准检测，抗拉强度≥97Mpa，弯曲强度≥149Mpa。耐香烟灼烧≥5级，表面无变化，耐光色牢度≥5级，表面无变化，防静电性能≤1.1x109 Ω。包含有：材料放射性核素限量经GB6566-2010标准检测，内照射指数Ira和外照射指数Iγ均＜0.1，检验结果合格。</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31"/>
        <w:numPr>
          <w:ilvl w:val="0"/>
          <w:numId w:val="79"/>
        </w:numPr>
        <w:ind w:lef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实验台柜体要求</w:t>
      </w:r>
      <w:r/>
    </w:p>
    <w:p>
      <w:pPr>
        <w:pStyle w:val="1240"/>
        <w:numPr>
          <w:ilvl w:val="0"/>
          <w:numId w:val="8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实验台依据《GB/T 3325-2024 金属家具通用技术条件》；</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40"/>
        <w:numPr>
          <w:ilvl w:val="0"/>
          <w:numId w:val="8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符合硬度检测≥2H：</w:t>
      </w:r>
      <w:r/>
    </w:p>
    <w:p>
      <w:pPr>
        <w:pStyle w:val="1240"/>
        <w:numPr>
          <w:ilvl w:val="0"/>
          <w:numId w:val="8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冲击强度：冲击高度检测400m,无剥落、裂纹、皱纹：</w:t>
      </w:r>
      <w:r/>
    </w:p>
    <w:p>
      <w:pPr>
        <w:pStyle w:val="1240"/>
        <w:numPr>
          <w:ilvl w:val="0"/>
          <w:numId w:val="8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耐腐蚀检测：100h 内，观察在溶液中样板上划道两侧 3mm 以外，无鼓泡产生。100h后，检查划道两侧 3mm 外，无锈迹、剥落、起皱变色和失光等现象：</w:t>
      </w:r>
      <w:r/>
    </w:p>
    <w:p>
      <w:pPr>
        <w:pStyle w:val="1240"/>
        <w:numPr>
          <w:ilvl w:val="0"/>
          <w:numId w:val="8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涂漆钢板≥49种化学试剂痕迹试验，结果等级3级（涂层出现起坑、四陷、凸起或侵蚀等明显和剧烈的损害）的情况不大于4个。</w:t>
      </w:r>
      <w:r/>
    </w:p>
    <w:p>
      <w:pPr>
        <w:pStyle w:val="1231"/>
        <w:numPr>
          <w:ilvl w:val="0"/>
          <w:numId w:val="79"/>
        </w:numPr>
        <w:ind w:lef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五金配件要求</w:t>
      </w:r>
      <w:r/>
    </w:p>
    <w:p>
      <w:pPr>
        <w:pStyle w:val="1240"/>
        <w:numPr>
          <w:ilvl w:val="0"/>
          <w:numId w:val="8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滑轨：采用三节承重钢珠自动回位滑轨，开合平稳、承重力强、耐磨。带阻尼回弹功能；材料厚度≥1.2mm，表面采用电镀工艺；需符合QB/T2454-2013使用寿命循环抽拉≥8万次</w:t>
      </w:r>
      <w:r/>
    </w:p>
    <w:p>
      <w:pPr>
        <w:pStyle w:val="1240"/>
        <w:numPr>
          <w:ilvl w:val="0"/>
          <w:numId w:val="8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合页：采用不锈钢材质，耐腐蚀铰链，开启≥110 度。需符合QB/T 2189-2013开合耐久性≥8万次。</w:t>
      </w:r>
      <w:r/>
    </w:p>
    <w:p>
      <w:pPr>
        <w:pStyle w:val="1240"/>
        <w:numPr>
          <w:ilvl w:val="0"/>
          <w:numId w:val="8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把手：门板及抽屉拉手均采用一体成型拉手，造型美观。</w:t>
      </w:r>
      <w:r/>
    </w:p>
    <w:p>
      <w:pPr>
        <w:pStyle w:val="1240"/>
        <w:numPr>
          <w:ilvl w:val="0"/>
          <w:numId w:val="8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防撞胶垫：装于抽屉及门板内侧，减缓碰撞，保护柜体。</w:t>
      </w:r>
      <w:r/>
    </w:p>
    <w:p>
      <w:pPr>
        <w:pStyle w:val="1229"/>
        <w:numPr>
          <w:ilvl w:val="0"/>
          <w:numId w:val="78"/>
        </w:numPr>
        <w:ind w:left="0" w:firstLine="480"/>
        <w:pageBreakBefore w:val="0"/>
        <w:spacing w:before="0"/>
        <w:widowControl/>
        <w:rPr>
          <w:b w:val="0"/>
          <w:color w:val="auto"/>
          <w:sz w:val="21"/>
          <w:szCs w:val="21"/>
        </w:rPr>
      </w:pPr>
      <w:r/>
      <w:bookmarkStart w:id="7" w:name="_Toc5040"/>
      <w:r>
        <w:rPr>
          <w:color w:val="auto"/>
          <w:sz w:val="21"/>
          <w:szCs w:val="21"/>
        </w:rPr>
        <w:t xml:space="preserve">全钢试剂柜</w:t>
      </w:r>
      <w:bookmarkEnd w:id="7"/>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柜体：采用1.2mm厚金属冷轧，通过冲压折弯工艺加工生产，表层环氧树脂粉沫喷涂。</w:t>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柜门：采用1.2mm厚金属冷轧，通过冲压折弯工艺加工生产，表层环氧树脂粉沫喷涂，内嵌5mm厚钢化玻璃。药品柜、试剂柜为上玻璃，下实门。 器皿柜柜门为上下玻璃门。</w:t>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柜内：内设4层层板，一固定三活动，采用活动层板钉调节高度，方便放置大小不同试剂。宽度设计合理，承重力强。层板：采用1.2mm厚金属冷轧，通过冲压折弯工艺加工生产，表层环氧树脂粉沫喷涂，每层活动层板靠背板面开有通风缺口；器皿柜层板开孔为Φ30mm、50mm、70mm、100mm四种规格，并配有PVC材质接水盘。</w:t>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拉手：拉手采用不锈钢亚光拉手。</w:t>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铰链：铰链：采用开启闭合弧度115度液压阻尼铰链，使用10万次以上无故障，保证长时间使用不变形，达到国际五金标准。</w:t>
      </w:r>
      <w:r/>
    </w:p>
    <w:p>
      <w:pPr>
        <w:pStyle w:val="1240"/>
        <w:numPr>
          <w:ilvl w:val="0"/>
          <w:numId w:val="8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可调脚：隐藏式钢制地脚，配减震防滑橡胶。</w:t>
      </w:r>
      <w:r/>
    </w:p>
    <w:p>
      <w:pPr>
        <w:pStyle w:val="1229"/>
        <w:numPr>
          <w:ilvl w:val="0"/>
          <w:numId w:val="78"/>
        </w:numPr>
        <w:ind w:left="0" w:firstLine="480"/>
        <w:pageBreakBefore w:val="0"/>
        <w:spacing w:before="0"/>
        <w:widowControl/>
        <w:rPr>
          <w:b w:val="0"/>
          <w:color w:val="auto"/>
          <w:sz w:val="21"/>
          <w:szCs w:val="21"/>
        </w:rPr>
      </w:pPr>
      <w:r>
        <w:rPr>
          <w:color w:val="auto"/>
          <w:sz w:val="21"/>
          <w:szCs w:val="21"/>
        </w:rPr>
        <w:t xml:space="preserve">防爆试剂柜</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规格尺寸：H1800×W900×D450mm（±2%）。</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材料结构：柜体和门板均由双层1.0mm冷轧钢板通过折边焊接构造整体成型，柜体表面无焊缝，两层钢板之间相隔净尺寸不小于38mm，形成良好的防火绝缘层，全部经过点焊接，防火性好。</w:t>
      </w:r>
      <w:r/>
    </w:p>
    <w:p>
      <w:pPr>
        <w:pStyle w:val="1240"/>
        <w:numPr>
          <w:ilvl w:val="0"/>
          <w:numId w:val="84"/>
        </w:numPr>
        <w:ind w:left="0" w:firstLine="480"/>
        <w:pageBreakBefore w:val="0"/>
        <w:spacing w:before="0" w:after="0"/>
        <w:rPr>
          <w:rFonts w:hint="eastAsia" w:ascii="宋体" w:hAnsi="宋体" w:eastAsia="宋体" w:cs="宋体"/>
          <w:b/>
          <w:i w:val="0"/>
          <w:color w:val="auto"/>
          <w:sz w:val="21"/>
          <w:szCs w:val="21"/>
          <w:u w:val="none"/>
        </w:rPr>
      </w:pPr>
      <w:r>
        <w:rPr>
          <w:rFonts w:ascii="Times New Roman" w:hAnsi="Times New Roman" w:eastAsia="宋体" w:cs="Times New Roman"/>
          <w:b w:val="0"/>
          <w:i w:val="0"/>
          <w:color w:val="auto"/>
          <w:sz w:val="21"/>
          <w:szCs w:val="21"/>
          <w:u w:val="none"/>
        </w:rPr>
        <w:t xml:space="preserve">喷涂工艺：柜体内外均喷涂环氧树脂静电喷涂（黄色）固化处理，具有一定的耐腐蚀性及耐污染性能</w:t>
      </w:r>
      <w:r>
        <w:rPr>
          <w:rFonts w:ascii="Times New Roman" w:hAnsi="Times New Roman" w:eastAsia="宋体" w:cs="Times New Roman"/>
          <w:b/>
          <w:i w:val="0"/>
          <w:color w:val="auto"/>
          <w:sz w:val="21"/>
          <w:szCs w:val="21"/>
          <w:u w:val="none"/>
        </w:rPr>
        <w:t xml:space="preserve">（提供承诺书，项目验收时需提供检测检验报告，符合以下①-②项技术要求的安全柜耐腐蚀性能检测（测试）报告复印件)：</w:t>
      </w:r>
      <w:r/>
    </w:p>
    <w:p>
      <w:pPr>
        <w:pStyle w:val="1240"/>
        <w:numPr>
          <w:ilvl w:val="0"/>
          <w:numId w:val="85"/>
        </w:numPr>
        <w:ind w:left="0" w:firstLine="480"/>
        <w:pageBreakBefore w:val="0"/>
        <w:spacing w:before="0" w:after="0"/>
        <w:rPr>
          <w:rFonts w:ascii="Times New Roman" w:hAnsi="Times New Roman" w:eastAsia="宋体" w:cs="Times New Roman"/>
          <w:b w:val="0"/>
          <w:color w:val="auto"/>
          <w:sz w:val="21"/>
          <w:szCs w:val="21"/>
          <w:highlight w:val="none"/>
        </w:rPr>
      </w:pPr>
      <w:r>
        <w:rPr>
          <w:rFonts w:ascii="Times New Roman" w:hAnsi="Times New Roman" w:eastAsia="宋体" w:cs="Times New Roman"/>
          <w:color w:val="auto"/>
          <w:sz w:val="21"/>
          <w:szCs w:val="21"/>
          <w:highlight w:val="none"/>
        </w:rPr>
        <w:t xml:space="preserve">人造气氛腐蚀试验 盐雾试验（GB/T 10125-2021）：中性盐雾试验，连续喷雾≥200h；金属基体上金属和其他无机覆盖层经腐蚀试验后的试样和试件的评级（GB/T 6461-2002）进行检测，检测结果为涂（镀）层本身耐腐蚀等级≥10级，锈点数≤0点，外观评级不低于A级；</w:t>
      </w:r>
      <w:r/>
    </w:p>
    <w:p>
      <w:pPr>
        <w:pStyle w:val="1240"/>
        <w:numPr>
          <w:ilvl w:val="0"/>
          <w:numId w:val="85"/>
        </w:numPr>
        <w:ind w:left="0" w:firstLine="480"/>
        <w:pageBreakBefore w:val="0"/>
        <w:spacing w:before="0" w:after="0"/>
        <w:rPr>
          <w:rFonts w:ascii="Times New Roman" w:hAnsi="Times New Roman" w:eastAsia="宋体" w:cs="Times New Roman"/>
          <w:b w:val="0"/>
          <w:color w:val="auto"/>
          <w:sz w:val="21"/>
          <w:szCs w:val="21"/>
          <w:highlight w:val="none"/>
        </w:rPr>
      </w:pPr>
      <w:r>
        <w:rPr>
          <w:rFonts w:ascii="Times New Roman" w:hAnsi="Times New Roman" w:eastAsia="宋体" w:cs="Times New Roman"/>
          <w:color w:val="auto"/>
          <w:sz w:val="21"/>
          <w:szCs w:val="21"/>
          <w:highlight w:val="none"/>
        </w:rPr>
        <w:t xml:space="preserve">理化性能试验（GB/T17657-2022）：污染物包含但不限于苯、甲苯、丙酮、乙醚、乙醇等，污染物接触时间≥16h，试件表面无明显变化，试件表面变化等级为不低于5级。</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通风：柜底右侧设可调进风口，有可调风阀。</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漏液槽：柜体内部最下层留黄沙填埋腔（漏液槽），用于埋放金属钠、黄磷（白磷）等的易燃物品。</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锁具：配备电子密码锁或双B级机械锁，锁具符合GA/T 73标准。</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门型：采用手动双门设计，为确保安全柜防火防爆性能，门缝不得大于3mm，且门缝上下大小一致。</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防静电装置：产品配置防静电装置，用导线夹将常备接地与安全柜可靠连接，将静电导入大地，防止静电火花造成火灾和爆炸事故。</w:t>
      </w:r>
      <w:r/>
    </w:p>
    <w:p>
      <w:pPr>
        <w:pStyle w:val="1240"/>
        <w:numPr>
          <w:ilvl w:val="0"/>
          <w:numId w:val="84"/>
        </w:numPr>
        <w:ind w:left="0" w:firstLine="480"/>
        <w:pageBreakBefore w:val="0"/>
        <w:spacing w:before="0" w:after="0"/>
        <w:rPr>
          <w:rFonts w:hint="eastAsia" w:ascii="宋体" w:hAnsi="宋体" w:eastAsia="宋体" w:cs="宋体"/>
          <w:b w:val="0"/>
          <w:i w:val="0"/>
          <w:color w:val="auto"/>
          <w:sz w:val="21"/>
          <w:szCs w:val="21"/>
          <w:u w:val="none"/>
        </w:rPr>
      </w:pPr>
      <w:r>
        <w:rPr>
          <w:rFonts w:ascii="Times New Roman" w:hAnsi="Times New Roman" w:eastAsia="宋体" w:cs="Times New Roman"/>
          <w:b w:val="0"/>
          <w:i w:val="0"/>
          <w:color w:val="auto"/>
          <w:sz w:val="21"/>
          <w:szCs w:val="21"/>
          <w:u w:val="none"/>
        </w:rPr>
        <w:t xml:space="preserve">安全标识：醒目的标签可以在能见度较低的光线下辨识，提供了额外的安全保障。  </w:t>
      </w:r>
      <w:r/>
    </w:p>
    <w:p>
      <w:pPr>
        <w:pStyle w:val="1240"/>
        <w:numPr>
          <w:ilvl w:val="0"/>
          <w:numId w:val="84"/>
        </w:numPr>
        <w:ind w:left="0" w:firstLine="480"/>
        <w:pageBreakBefore w:val="0"/>
        <w:spacing w:before="0" w:after="0"/>
        <w:rPr>
          <w:rFonts w:hint="eastAsia" w:ascii="宋体" w:hAnsi="宋体" w:eastAsia="宋体" w:cs="宋体"/>
          <w:b w:val="0"/>
          <w:color w:val="auto"/>
          <w:sz w:val="21"/>
          <w:szCs w:val="21"/>
        </w:rPr>
      </w:pPr>
      <w:r>
        <w:rPr>
          <w:rFonts w:ascii="Times New Roman" w:hAnsi="Times New Roman" w:eastAsia="宋体" w:cs="Times New Roman"/>
          <w:b w:val="0"/>
          <w:i w:val="0"/>
          <w:color w:val="auto"/>
          <w:sz w:val="21"/>
          <w:szCs w:val="21"/>
          <w:u w:val="none"/>
        </w:rPr>
        <w:t xml:space="preserve">通风：柜体顶部配置法兰，便于后期安装排风管道。</w:t>
      </w:r>
      <w:bookmarkStart w:id="8" w:name="_Toc25033"/>
      <w:r/>
      <w:bookmarkEnd w:id="8"/>
      <w:r/>
      <w:r/>
    </w:p>
    <w:p>
      <w:pPr>
        <w:pStyle w:val="1229"/>
        <w:numPr>
          <w:ilvl w:val="0"/>
          <w:numId w:val="78"/>
        </w:numPr>
        <w:ind w:left="0" w:firstLine="480"/>
        <w:pageBreakBefore w:val="0"/>
        <w:spacing w:before="0"/>
        <w:widowControl/>
        <w:rPr>
          <w:b w:val="0"/>
          <w:color w:val="auto"/>
          <w:sz w:val="21"/>
          <w:szCs w:val="21"/>
        </w:rPr>
      </w:pPr>
      <w:r>
        <w:rPr>
          <w:color w:val="auto"/>
          <w:sz w:val="21"/>
          <w:szCs w:val="21"/>
        </w:rPr>
        <w:t xml:space="preserve">通风橱控制系统</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显示面板：4.3寸触摸屏，暗装，用户及系统参数设置（密码保护）；含界面设计及编程，显示面风速、温度、视窗高度、阀门开度、运行状态，独立设置紧急排风按钮、报警消音按钮，风机启停按钮，照明控制按钮，视窗控制按钮；</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控制器及电源：面风速设定、控制及报警；紧急排风；风机、照明控制；门高显示及超限报警；485通信接口输入：220VAC，输出24VDC，电源防水IP65；</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PP变风量碟阀：直径φ315mm，模压一体成型确保高强度及耐用性，PP材质高耐腐蚀性，带气密环，带流量检测段精确测量排风量；4、变风量风阀执行器：风阀快速执行器；模拟量控制；全程时间2.5S；</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流量传感器：量程100-2000M3/h；精度±1%FS；</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台式排风柜位移传感器：量程1100mm 精度±1mm 0.6mm包塑不锈钢拉索，自动校准；</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区域存在传感器：幕帘式，红外感应，无人时自动将面风速控制在0.3m/s，安全节能；</w:t>
      </w:r>
      <w:r/>
    </w:p>
    <w:p>
      <w:pPr>
        <w:pStyle w:val="1240"/>
        <w:numPr>
          <w:ilvl w:val="0"/>
          <w:numId w:val="8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自动视窗系：</w:t>
      </w:r>
      <w:r/>
    </w:p>
    <w:p>
      <w:pPr>
        <w:pStyle w:val="1240"/>
        <w:numPr>
          <w:ilvl w:val="0"/>
          <w:numId w:val="87"/>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无人时自动关闭视窗，安全节能</w:t>
      </w:r>
      <w:r/>
    </w:p>
    <w:p>
      <w:pPr>
        <w:pStyle w:val="1240"/>
        <w:numPr>
          <w:ilvl w:val="0"/>
          <w:numId w:val="87"/>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随动升降 </w:t>
      </w:r>
      <w:r/>
    </w:p>
    <w:p>
      <w:pPr>
        <w:pStyle w:val="1240"/>
        <w:numPr>
          <w:ilvl w:val="0"/>
          <w:numId w:val="87"/>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智能自动限高 </w:t>
      </w:r>
      <w:r/>
    </w:p>
    <w:p>
      <w:pPr>
        <w:pStyle w:val="1240"/>
        <w:numPr>
          <w:ilvl w:val="0"/>
          <w:numId w:val="87"/>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手动升降 </w:t>
      </w:r>
      <w:r/>
    </w:p>
    <w:p>
      <w:pPr>
        <w:pStyle w:val="1240"/>
        <w:numPr>
          <w:ilvl w:val="0"/>
          <w:numId w:val="87"/>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防夹功能；</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对所提供的排风柜变风量阀在400CMH，800CMH和1200CMH的设定风量下，阀前静压设定为-100Pa，-200Pa，-300Pa，-400Pa以及-500Pa，风量偏差小于3.5%的。</w:t>
      </w:r>
      <w:r>
        <w:rPr>
          <w:rFonts w:ascii="Times New Roman" w:hAnsi="Times New Roman" w:eastAsia="宋体" w:cs="Times New Roman"/>
          <w:b/>
          <w:color w:val="auto"/>
          <w:sz w:val="21"/>
          <w:szCs w:val="21"/>
        </w:rPr>
        <w:t xml:space="preserve">（提供承诺书，项目验收时需提供检测检验报告复印件并加盖公章）</w:t>
      </w:r>
      <w:r>
        <w:rPr>
          <w:rFonts w:ascii="Times New Roman" w:hAnsi="Times New Roman" w:eastAsia="宋体" w:cs="Times New Roman"/>
          <w:color w:val="auto"/>
          <w:sz w:val="21"/>
          <w:szCs w:val="21"/>
        </w:rPr>
        <w:t xml:space="preserve">：</w:t>
      </w:r>
      <w:r/>
    </w:p>
    <w:p>
      <w:pPr>
        <w:pStyle w:val="124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color w:val="auto"/>
          <w:sz w:val="21"/>
          <w:szCs w:val="21"/>
        </w:rPr>
        <w:t xml:space="preserve">变风量监控面板，变风量控制器，位移传感器和带风量测量管变风量阀在温度为0℃和50℃的试验检测中，均能正常工作，样品在温度为0℃的试验箱中持续工作2小时。试验中，样品能正常工作。样品在温度为50℃的试验箱中持续工作2小时。试验中，样品能正常工作。</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29"/>
        <w:numPr>
          <w:ilvl w:val="0"/>
          <w:numId w:val="78"/>
        </w:numPr>
        <w:ind w:left="0" w:firstLine="480"/>
        <w:pageBreakBefore w:val="0"/>
        <w:spacing w:before="0"/>
        <w:widowControl/>
        <w:rPr>
          <w:b w:val="0"/>
          <w:color w:val="auto"/>
          <w:sz w:val="21"/>
          <w:szCs w:val="21"/>
        </w:rPr>
      </w:pPr>
      <w:r>
        <w:rPr>
          <w:color w:val="auto"/>
          <w:sz w:val="21"/>
          <w:szCs w:val="21"/>
        </w:rPr>
        <w:t xml:space="preserve">万向排气罩</w:t>
      </w:r>
      <w:r/>
    </w:p>
    <w:p>
      <w:pPr>
        <w:pStyle w:val="1240"/>
        <w:numPr>
          <w:ilvl w:val="0"/>
          <w:numId w:val="8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PP材质，管道直径75mm，罩口直径：375mm；</w:t>
      </w:r>
      <w:r/>
    </w:p>
    <w:p>
      <w:pPr>
        <w:pStyle w:val="1240"/>
        <w:numPr>
          <w:ilvl w:val="0"/>
          <w:numId w:val="88"/>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顶部连接件铝合金360°旋转装置坚固耐用；</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罩口：拱型/杯型；</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集气罩：高密度PP/PC，材质 罩口加装360°旋转装置，确保罩口能够360°旋转，做到无死角吸风；</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关节：高密度PP材质，可360°旋转调节方向，易拆卸、重组及清洗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关节密封圈：不易老化之高密度橡胶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关节连接杆：304不锈钢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关节松紧旋钮：全铜材质确保螺纹不滑丝，内嵌不锈钢轴承，与关节连接杆锁合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气流调节阀：手动调节外部阀门旋钮，控制进入之气流量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覆盖范围：长度3.15，以固定架为中心最大活动半径可达2040mm 。长度2.6米以固定架为中心最大活动半径可达1600mm伸缩导管75mm/110mm 改性PP ；</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固定底座：为高密度PP材质，由模具注塑一体成型，非粘接而成，牢度强，不脱底。材质厚实，安装更方便，且安装后外观平整度高，光滑无凹凸，不易变形；</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符合欧盟标准  EN  ISO12100:2010 认证标准。</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常温下，经30%的硫酸、30%的盐酸、30%的氢氧化钠、甲苯、乙醚试剂中各48小时，样品应无变化。</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常温下，经0.5J冲击试验3次后，任一部件不应有破裂等影响强度的现象。</w:t>
      </w:r>
      <w:r/>
    </w:p>
    <w:p>
      <w:pPr>
        <w:pStyle w:val="1240"/>
        <w:numPr>
          <w:ilvl w:val="0"/>
          <w:numId w:val="75"/>
        </w:numPr>
        <w:ind w:left="0" w:firstLine="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依据BS EN ISO 5167-1:2003进行静压差试验：当排风量为255m3/h时上游平均静压为253Pa，下游平均静压为477Pa，平均静压差为224Pa。</w:t>
      </w:r>
      <w:r/>
    </w:p>
    <w:p>
      <w:pPr>
        <w:pStyle w:val="1229"/>
        <w:pageBreakBefore w:val="0"/>
        <w:spacing w:before="0"/>
        <w:widowControl/>
        <w:rPr>
          <w:color w:val="auto"/>
          <w:sz w:val="21"/>
          <w:szCs w:val="21"/>
        </w:rPr>
      </w:pPr>
      <w:r>
        <w:rPr>
          <w:color w:val="auto"/>
          <w:sz w:val="21"/>
          <w:szCs w:val="21"/>
        </w:rPr>
        <w:t xml:space="preserve">6.通风橱</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排风柜上部柜体为全钢外壳，抗倍特板的双层结构，底柜为钢制柜体；</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钢制柜体加工材料为优质低碳（上海宝钢或同等质量）冷轧钢板。柜体钢材基本厚度应达到或优于以下标准：</w:t>
      </w:r>
      <w:r/>
    </w:p>
    <w:p>
      <w:pPr>
        <w:pStyle w:val="1240"/>
        <w:numPr>
          <w:ilvl w:val="0"/>
          <w:numId w:val="90"/>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1.2mmTH：排风柜外壳，排风柜上装饰封板；底柜柜体主结构，标准型底柜外门板，装饰封板。</w:t>
      </w:r>
      <w:r/>
    </w:p>
    <w:p>
      <w:pPr>
        <w:pStyle w:val="1240"/>
        <w:numPr>
          <w:ilvl w:val="0"/>
          <w:numId w:val="90"/>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1.5mmTH：排风柜主框架，防爆型底柜门板。</w:t>
      </w:r>
      <w:r/>
    </w:p>
    <w:p>
      <w:pPr>
        <w:pStyle w:val="1240"/>
        <w:numPr>
          <w:ilvl w:val="0"/>
          <w:numId w:val="90"/>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3.0mmTH：底柜调整脚支撑板。</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内衬板：5mm厚抗倍特板，扰流板：扰流板应该和内衬材料一致；</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扰流板固定座：采用耐蚀塑料材质(聚丙烯或聚氯乙烯等)，或采用厚1.5mm及以上的编号316不锈钢材质制作；</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所有排风柜内部的连接装置都需隐藏布置和抗腐蚀，禁止有外露的非编号316不锈钢螺钉等金属部件；</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内维修门密封条：采用耐蚀塑料材质(聚丙烯或聚氯乙烯等)制作，以确保排风柜内维修门的密封性，避免污染外泄；</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视窗玻璃：采用厚6mm及以上的安全玻璃，。</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调节门钢索：采用直径不小于2.5mm的编号316不锈钢材质钢索，或钢质调节门齿槽链条。</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调节门把手：采用耐蚀塑料材质(聚丙烯或聚氯乙烯等)，或编号316不锈钢材质制作。</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调节门钢索滑轮座：固定座具防钢索脱落设计。</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调节门轨道：采用耐蚀塑料材质(聚丙烯或聚氯乙烯等)制作。</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下通风板：采用厚1.5mm及以上的编号316不锈钢板制作，表面以毛丝面处理；</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集气风罩：采用钟型集气风罩，以聚丙烯或其它更佳的耐蚀塑料材质无缝一体成型制作，或采用厚1.0mm及以上的编号316不锈钢材质无缝成型制作；</w:t>
      </w:r>
      <w:r/>
    </w:p>
    <w:p>
      <w:pPr>
        <w:pStyle w:val="1240"/>
        <w:numPr>
          <w:ilvl w:val="0"/>
          <w:numId w:val="8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灯罩：采用厚0.8mm及以上的编号304不锈钢材质制作；</w:t>
      </w:r>
      <w:r/>
    </w:p>
    <w:p>
      <w:pPr>
        <w:pStyle w:val="1240"/>
        <w:numPr>
          <w:ilvl w:val="0"/>
          <w:numId w:val="89"/>
        </w:numPr>
        <w:ind w:lef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杯槽：</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a)采用耐酸碱一体成型黑色聚丙烯材质，配置依图纸或相关说明所示。</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b)内径尺寸：约W145×D65×H90mm，或经招标人或其代表同意后采用生产厂商相近或较大容量的标准品。</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c)所有杯槽须为表面光滑，各角落平整，底部向落水头处倾斜，并能与台面板紧密结合的款式。</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d)所有杯槽应采台面齐平安装法。</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e)除有特殊说明者外，所有杯槽出水口处均应配备聚丙烯材质存水弯堵臭装置。</w:t>
      </w:r>
      <w:r/>
    </w:p>
    <w:p>
      <w:pPr>
        <w:pStyle w:val="1240"/>
        <w:numPr>
          <w:ilvl w:val="0"/>
          <w:numId w:val="89"/>
        </w:numPr>
        <w:ind w:lef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底柜五金及配件：(除有特别说明者外，依下列规定配置)</w:t>
      </w:r>
      <w:r/>
    </w:p>
    <w:p>
      <w:pPr>
        <w:pStyle w:val="1240"/>
        <w:numPr>
          <w:ilvl w:val="0"/>
          <w:numId w:val="91"/>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铰链：采用编号316不锈钢材质180°合页。</w:t>
      </w:r>
      <w:r/>
    </w:p>
    <w:p>
      <w:pPr>
        <w:pStyle w:val="1240"/>
        <w:numPr>
          <w:ilvl w:val="0"/>
          <w:numId w:val="91"/>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把手：采用ABS工程塑料，铝合金，或编号316等不锈钢材质的把手。</w:t>
      </w:r>
      <w:r/>
    </w:p>
    <w:p>
      <w:pPr>
        <w:pStyle w:val="1240"/>
        <w:numPr>
          <w:ilvl w:val="0"/>
          <w:numId w:val="9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门缝条：采用塑料材质。</w:t>
      </w:r>
      <w:r/>
    </w:p>
    <w:p>
      <w:pPr>
        <w:pStyle w:val="1240"/>
        <w:numPr>
          <w:ilvl w:val="0"/>
          <w:numId w:val="9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门扣组：采用塑料材质，或编号316等不锈钢材质的伸缩滚轮止动门扣组。</w:t>
      </w:r>
      <w:r/>
    </w:p>
    <w:p>
      <w:pPr>
        <w:pStyle w:val="1240"/>
        <w:numPr>
          <w:ilvl w:val="0"/>
          <w:numId w:val="91"/>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层板支撑扣：采用厚1.0mm及以上的编号316不锈钢材质制作。</w:t>
      </w:r>
      <w:r/>
    </w:p>
    <w:p>
      <w:pPr>
        <w:pStyle w:val="1240"/>
        <w:numPr>
          <w:ilvl w:val="0"/>
          <w:numId w:val="89"/>
        </w:numPr>
        <w:ind w:lef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照明装置：</w:t>
      </w:r>
      <w:r/>
    </w:p>
    <w:p>
      <w:pPr>
        <w:pStyle w:val="1240"/>
        <w:numPr>
          <w:ilvl w:val="0"/>
          <w:numId w:val="93"/>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照明灯具应安装于排风柜上部外侧，对排风柜内提供照明。</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b)照明灯具下方应使用厚5mm及以上的钢化玻璃与排风柜内部隔离，以避免灯具与柜内气体接触。</w:t>
      </w:r>
      <w:r/>
    </w:p>
    <w:p>
      <w:pPr>
        <w:pStyle w:val="1240"/>
        <w:numPr>
          <w:ilvl w:val="0"/>
          <w:numId w:val="93"/>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灯罩应为全罩式，其上并具散热孔设计。</w:t>
      </w:r>
      <w:r/>
    </w:p>
    <w:p>
      <w:pPr>
        <w:pStyle w:val="1240"/>
        <w:numPr>
          <w:ilvl w:val="0"/>
          <w:numId w:val="93"/>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照明灯具应能于工作台面(距地面约914mm/36英吋处)上至少提供80呎-烛光(foot-candles)的平均照度。</w:t>
      </w:r>
      <w:r/>
    </w:p>
    <w:p>
      <w:pPr>
        <w:pStyle w:val="1240"/>
        <w:numPr>
          <w:ilvl w:val="0"/>
          <w:numId w:val="89"/>
        </w:numPr>
        <w:ind w:lef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电气设备：</w:t>
      </w:r>
      <w:r/>
    </w:p>
    <w:p>
      <w:pPr>
        <w:pStyle w:val="1240"/>
        <w:numPr>
          <w:ilvl w:val="0"/>
          <w:numId w:val="94"/>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排风柜应设有一适当空间以安装由隔离盖板保护的接线盒。</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b)除有特别说明者外，于正面左右操作面板上各装设2组(即共4组)电源插座。</w:t>
      </w:r>
      <w:r/>
    </w:p>
    <w:p>
      <w:pPr>
        <w:pStyle w:val="1240"/>
        <w:numPr>
          <w:ilvl w:val="0"/>
          <w:numId w:val="94"/>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除有特别说明者外，所有电源插座均为3线，10amps，220V.A.C.万用型。</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d)所有220V电源插座均应配置IP-44及以上防护等级的自动阖盖式保护盒。</w:t>
      </w:r>
      <w:r/>
    </w:p>
    <w:p>
      <w:pPr>
        <w:pStyle w:val="1240"/>
        <w:numPr>
          <w:ilvl w:val="0"/>
          <w:numId w:val="75"/>
        </w:numPr>
        <w:ind w:left="0" w:firstLine="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通风柜需符合以下要求</w:t>
      </w:r>
      <w:r>
        <w:rPr>
          <w:rFonts w:ascii="Times New Roman" w:hAnsi="Times New Roman" w:eastAsia="宋体" w:cs="Times New Roman"/>
          <w:b/>
          <w:color w:val="auto"/>
          <w:sz w:val="21"/>
          <w:szCs w:val="21"/>
        </w:rPr>
        <w:t xml:space="preserve">（提供承诺书，项目验收时需提供检测检验报告复印件并加盖公章）</w:t>
      </w:r>
      <w:r>
        <w:rPr>
          <w:rFonts w:ascii="Times New Roman" w:hAnsi="Times New Roman" w:eastAsia="宋体" w:cs="Times New Roman"/>
          <w:color w:val="auto"/>
          <w:sz w:val="21"/>
          <w:szCs w:val="21"/>
        </w:rPr>
        <w:t xml:space="preserve">：</w:t>
      </w:r>
      <w:r/>
    </w:p>
    <w:p>
      <w:pPr>
        <w:pStyle w:val="1240"/>
        <w:numPr>
          <w:ilvl w:val="0"/>
          <w:numId w:val="95"/>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面风速测试：平均面风速0.5m/s；</w:t>
      </w:r>
      <w:r/>
    </w:p>
    <w:p>
      <w:pPr>
        <w:pStyle w:val="1240"/>
        <w:numPr>
          <w:ilvl w:val="0"/>
          <w:numId w:val="95"/>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可视烟雾流动视觉实验：大体积视觉流动显示：橱内两侧壁和工作台面距柜面向内150mm处、沿着工作台面、视窗底部以上柜内、开口上部腔内位置；烟雾被捕捉应较易排尽；橱内应无可见溢出。</w:t>
      </w:r>
      <w:r/>
    </w:p>
    <w:p>
      <w:pPr>
        <w:pStyle w:val="1240"/>
        <w:numPr>
          <w:ilvl w:val="0"/>
          <w:numId w:val="95"/>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示踪气体泄漏浓度和视窗移动效果测试（SME）：平均浓度＜0.05ppm及最大泄漏浓度＜0.50ppm。</w:t>
      </w:r>
      <w:r/>
    </w:p>
    <w:p>
      <w:pPr>
        <w:pStyle w:val="1240"/>
        <w:numPr>
          <w:ilvl w:val="0"/>
          <w:numId w:val="95"/>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周沿扫描测试：示踪气体泄漏浓度0.05ppm。</w:t>
      </w:r>
      <w:r/>
    </w:p>
    <w:p>
      <w:pPr>
        <w:pStyle w:val="1240"/>
        <w:numPr>
          <w:ilvl w:val="0"/>
          <w:numId w:val="9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横向气流测量：横向气流速度在柜门开口附近不应超过0.15m/s（30fpm）。</w:t>
      </w:r>
      <w:r/>
    </w:p>
    <w:p>
      <w:pPr>
        <w:pStyle w:val="1240"/>
        <w:numPr>
          <w:ilvl w:val="0"/>
          <w:numId w:val="96"/>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阻力测试：排风阻力＜62.5Pa</w:t>
      </w:r>
      <w:r/>
    </w:p>
    <w:p>
      <w:pPr>
        <w:pStyle w:val="1240"/>
        <w:numPr>
          <w:ilvl w:val="0"/>
          <w:numId w:val="95"/>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控制浓度测试：浓度＜0.5ml/m³</w:t>
      </w:r>
      <w:r/>
    </w:p>
    <w:p>
      <w:pPr>
        <w:pStyle w:val="1240"/>
        <w:numPr>
          <w:ilvl w:val="0"/>
          <w:numId w:val="95"/>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空气交换效率：关闭通风柜拉门至最小开度，测量并记录示踪气体SF6浓度，在初始示踪气体浓度80%至20%范围内，使用数据线性梯度计算每小时的换气率N。空气交换率需≥50%；</w:t>
      </w:r>
      <w:r/>
    </w:p>
    <w:p>
      <w:pPr>
        <w:pStyle w:val="124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i)扰流测试：＜0.01ppm</w:t>
      </w:r>
      <w:r/>
    </w:p>
    <w:p>
      <w:pPr>
        <w:pStyle w:val="1229"/>
        <w:numPr>
          <w:ilvl w:val="0"/>
          <w:numId w:val="97"/>
        </w:numPr>
        <w:ind w:left="0" w:firstLine="0"/>
        <w:pageBreakBefore w:val="0"/>
        <w:spacing w:before="0"/>
        <w:widowControl/>
        <w:rPr>
          <w:b w:val="0"/>
          <w:color w:val="auto"/>
          <w:sz w:val="21"/>
          <w:szCs w:val="21"/>
        </w:rPr>
      </w:pPr>
      <w:r>
        <w:rPr>
          <w:color w:val="auto"/>
          <w:sz w:val="21"/>
          <w:szCs w:val="21"/>
        </w:rPr>
        <w:t xml:space="preserve">气瓶柜</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bookmarkStart w:id="9" w:name="_Toc11550"/>
      <w:r>
        <w:rPr>
          <w:rFonts w:ascii="Times New Roman" w:hAnsi="Times New Roman" w:eastAsia="宋体" w:cs="Times New Roman"/>
          <w:i w:val="0"/>
          <w:color w:val="auto"/>
          <w:sz w:val="21"/>
          <w:szCs w:val="21"/>
          <w:u w:val="none"/>
        </w:rPr>
        <w:t xml:space="preserve">规格尺寸：≥H1900×W600/900/1000×D450mm（单瓶/双瓶/三瓶）</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柜体材料结构：外壳体全部采用</w:t>
      </w:r>
      <w:r>
        <w:rPr>
          <w:rStyle w:val="1550"/>
          <w:rFonts w:ascii="Times New Roman" w:hAnsi="Times New Roman" w:eastAsia="宋体" w:cs="Times New Roman"/>
          <w:b w:val="0"/>
          <w:color w:val="auto"/>
          <w:sz w:val="21"/>
          <w:szCs w:val="21"/>
        </w:rPr>
        <w:t xml:space="preserve">≥</w:t>
      </w:r>
      <w:r>
        <w:rPr>
          <w:rFonts w:ascii="Times New Roman" w:hAnsi="Times New Roman" w:eastAsia="宋体" w:cs="Times New Roman"/>
          <w:color w:val="auto"/>
          <w:sz w:val="21"/>
          <w:szCs w:val="21"/>
        </w:rPr>
        <w:t xml:space="preserve">1.0mm的冷轧钢板，内外表面经酸洗磷化环氧树脂粉末喷涂，烘热固化处理，底板和挡板采用</w:t>
      </w:r>
      <w:r>
        <w:rPr>
          <w:rStyle w:val="1550"/>
          <w:rFonts w:ascii="Times New Roman" w:hAnsi="Times New Roman" w:eastAsia="宋体" w:cs="Times New Roman"/>
          <w:b w:val="0"/>
          <w:color w:val="auto"/>
          <w:sz w:val="21"/>
          <w:szCs w:val="21"/>
        </w:rPr>
        <w:t xml:space="preserve">≥</w:t>
      </w:r>
      <w:r>
        <w:rPr>
          <w:rFonts w:ascii="Times New Roman" w:hAnsi="Times New Roman" w:eastAsia="宋体" w:cs="Times New Roman"/>
          <w:color w:val="auto"/>
          <w:sz w:val="21"/>
          <w:szCs w:val="21"/>
        </w:rPr>
        <w:t xml:space="preserve">3mm镀锌踏花钢板。</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喷涂工艺：柜体内外均由</w:t>
      </w:r>
      <w:r>
        <w:rPr>
          <w:rStyle w:val="1551"/>
          <w:rFonts w:ascii="Times New Roman" w:hAnsi="Times New Roman" w:eastAsia="宋体" w:cs="Times New Roman"/>
          <w:b w:val="0"/>
          <w:i w:val="0"/>
          <w:color w:val="auto"/>
          <w:sz w:val="21"/>
          <w:szCs w:val="21"/>
          <w:u w:val="none"/>
        </w:rPr>
        <w:t xml:space="preserve">黄色环氧树脂粉末静电喷涂处理，喷涂均匀，无锈点、毛刺、防尘、防锈和防潮，最大限度降低腐蚀和湿气的影响。</w:t>
      </w:r>
      <w:r>
        <w:rPr>
          <w:rFonts w:ascii="Times New Roman" w:hAnsi="Times New Roman" w:eastAsia="宋体" w:cs="Times New Roman"/>
          <w:color w:val="auto"/>
          <w:sz w:val="21"/>
          <w:szCs w:val="21"/>
        </w:rPr>
        <w:t xml:space="preserve">依据GB/T17657-2022进行耐污染性能检测，污染物不含但不限于：甲苯、苯、丙酮、乙醇、乙醚，在常温环境下将污染物置于试件表面，接触时间≥16h，试件表面无明显变化，试件表面变化等级≥5级</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防腐性能：产品依照①人造气氛腐蚀试验 盐雾试验（GB/T 10125-2021）：中性盐雾试验，连续喷雾≥200h；②金属基体上金属和其他无机覆盖层经腐蚀试验后的试样和试件的评级（GB/T 6461-2002）进行检测，检测结果为涂（镀）层本身耐腐蚀等级≥10级，锈点数≤0点，外观评级不低于A级。</w:t>
      </w:r>
      <w:r>
        <w:rPr>
          <w:rFonts w:ascii="Times New Roman" w:hAnsi="Times New Roman" w:eastAsia="宋体" w:cs="Times New Roman"/>
          <w:b/>
          <w:color w:val="auto"/>
          <w:sz w:val="21"/>
          <w:szCs w:val="21"/>
        </w:rPr>
        <w:t xml:space="preserve">(提供承诺书，项目验收时需提供检测检验报告复印件并加盖公章)</w:t>
      </w:r>
      <w:r>
        <w:rPr>
          <w:rFonts w:ascii="Times New Roman" w:hAnsi="Times New Roman" w:eastAsia="宋体" w:cs="Times New Roman"/>
          <w:color w:val="auto"/>
          <w:sz w:val="21"/>
          <w:szCs w:val="21"/>
        </w:rPr>
        <w:t xml:space="preserve">。</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有害物质检测：产品依据GB18584-2024进行检测，其中包含但不限于甲醛mg/m³</w:t>
      </w:r>
      <w:r>
        <w:rPr>
          <w:rFonts w:ascii="Times New Roman" w:hAnsi="Times New Roman" w:eastAsia="宋体" w:cs="Times New Roman"/>
          <w:color w:val="auto"/>
          <w:sz w:val="21"/>
          <w:szCs w:val="21"/>
        </w:rPr>
        <w:t xml:space="preserve">≤0.08（mg/m³），苯mg/m³≤0.06（mg/m³），二甲苯mg/m³≤0.20（mg/m³），甲苯mg/m³≤0.15（mg/m³），总挥发性有机化合物mg/m³≤0.50（mg/m³），锑mg/m³≤60（mg/m³），铅mg/m³≤90（mg/m³），砷mg/m³≤25（mg/m³），钡mg/m³≤1000（mg/m³），汞mg/m³≤60（mg/m³），铬mg/m³≤60（mg/m³），硒mg/m³≤500（mg/m³），镉mg/m³≤75（mg/m³），检测结果评定为“未检出”或同等含义</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钢瓶固定座：Ω型钢瓶固定基座采用</w:t>
      </w:r>
      <w:r>
        <w:rPr>
          <w:rStyle w:val="1550"/>
          <w:rFonts w:ascii="Times New Roman" w:hAnsi="Times New Roman" w:eastAsia="宋体" w:cs="Times New Roman"/>
          <w:b w:val="0"/>
          <w:color w:val="auto"/>
          <w:sz w:val="21"/>
          <w:szCs w:val="21"/>
        </w:rPr>
        <w:t xml:space="preserve">≥</w:t>
      </w:r>
      <w:r>
        <w:rPr>
          <w:rFonts w:ascii="Times New Roman" w:hAnsi="Times New Roman" w:eastAsia="宋体" w:cs="Times New Roman"/>
          <w:color w:val="auto"/>
          <w:sz w:val="21"/>
          <w:szCs w:val="21"/>
        </w:rPr>
        <w:t xml:space="preserve">1.5mm优质冷轧钢板，表面磷化处理,抱箍固定带：采用不锈钢链卡扣式。</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门板：双层结构，每扇门板上设有防爆玻璃视窗，可以观察柜内情形。</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锁具：专用三点联锁，三点锁背面配置一个四方的检修口，用螺丝固定在门背板上。</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静电接地装置：产品配置防静电装置，用导线夹将常备接地与柜体可靠连接，将静电导入大地，防止静电火花造成火灾和爆炸事故。</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气体管道导孔：柜体左右2侧各开2个气体管道接入导孔，每个导孔均有橡胶密封圈；方便不同高度的钢瓶气体管道和不同种类的气体管道的接入柜内安装。</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标识：左右门分别贴有PVC薄膜的防火警示标识的标牌和《高压钢瓶安全使用须知》铭牌。</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柜体两侧设置防爆通风排槽，可供排风排风时外界空气进入柜体补充。</w:t>
      </w:r>
      <w:r/>
    </w:p>
    <w:p>
      <w:pPr>
        <w:pStyle w:val="1240"/>
        <w:numPr>
          <w:ilvl w:val="0"/>
          <w:numId w:val="98"/>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密封件：柜体门与柜体之间应安装消音密封件，为防火材质。</w:t>
      </w:r>
      <w:r/>
    </w:p>
    <w:p>
      <w:pPr>
        <w:pStyle w:val="1229"/>
        <w:numPr>
          <w:ilvl w:val="0"/>
          <w:numId w:val="97"/>
        </w:numPr>
        <w:ind w:left="0" w:firstLine="0"/>
        <w:pageBreakBefore w:val="0"/>
        <w:spacing w:before="0"/>
        <w:widowControl/>
        <w:rPr>
          <w:b w:val="0"/>
          <w:color w:val="auto"/>
          <w:sz w:val="21"/>
          <w:szCs w:val="21"/>
        </w:rPr>
      </w:pPr>
      <w:r>
        <w:rPr>
          <w:color w:val="auto"/>
          <w:sz w:val="21"/>
          <w:szCs w:val="21"/>
        </w:rPr>
        <w:t xml:space="preserve">三口水龙头</w:t>
      </w:r>
      <w:bookmarkEnd w:id="9"/>
      <w:r/>
      <w:r/>
    </w:p>
    <w:p>
      <w:pPr>
        <w:pStyle w:val="1240"/>
        <w:numPr>
          <w:ilvl w:val="0"/>
          <w:numId w:val="9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采用台面安装型三嘴鹅颈水龙头，冷水专用，具有三个各自独立的调节阀体，三出水口设计；高位一只鹅颈式出水口可360°旋转，低位两只固定式出水口左右距离≥200mm；具可拆卸式尖嘴型锯齿多节状出水口，便于连接软管并保证紧密衔接。</w:t>
      </w:r>
      <w:r/>
    </w:p>
    <w:p>
      <w:pPr>
        <w:pStyle w:val="1240"/>
        <w:numPr>
          <w:ilvl w:val="0"/>
          <w:numId w:val="9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全黄铜合金材质管体，表面经环氧树酯粉末静电喷涂处理。</w:t>
      </w:r>
      <w:r/>
    </w:p>
    <w:p>
      <w:pPr>
        <w:pStyle w:val="1240"/>
        <w:numPr>
          <w:ilvl w:val="0"/>
          <w:numId w:val="9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精密耐用耐腐陶瓷阀芯，开闭可靠顺畅，可90°旋转，使用寿命开关＞50万次，静态最大耐压≥20bar。</w:t>
      </w:r>
      <w:r/>
    </w:p>
    <w:p>
      <w:pPr>
        <w:pStyle w:val="1240"/>
        <w:numPr>
          <w:ilvl w:val="0"/>
          <w:numId w:val="99"/>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性能参数要求</w:t>
      </w:r>
      <w:r/>
    </w:p>
    <w:p>
      <w:pPr>
        <w:pStyle w:val="1240"/>
        <w:numPr>
          <w:ilvl w:val="0"/>
          <w:numId w:val="10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密封性能：符合 GB/T 18145-2014 要求。阀芯关闭、出水口开启，在静压 (1.6±0.05)MPa 下保压 (60±5)s，阀芯及上游过水通道无渗漏；阀芯开启、出水口封堵，在静压 (0.4±0.02)MPa 下保压 (60±5)s，再减压至 (0.05±0.01)MPa 保压 (60±5)s，阀芯下游密封部位无渗漏。</w:t>
      </w:r>
      <w:r/>
    </w:p>
    <w:p>
      <w:pPr>
        <w:pStyle w:val="1240"/>
        <w:numPr>
          <w:ilvl w:val="0"/>
          <w:numId w:val="100"/>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产品坚固耐用，产品按照GB/T 230.1-2018测试方法，洛氏硬度平均值达到39。</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29"/>
        <w:numPr>
          <w:ilvl w:val="0"/>
          <w:numId w:val="97"/>
        </w:numPr>
        <w:ind w:left="0" w:firstLine="0"/>
        <w:pageBreakBefore w:val="0"/>
        <w:spacing w:before="0"/>
        <w:widowControl/>
        <w:rPr>
          <w:b w:val="0"/>
          <w:color w:val="auto"/>
          <w:sz w:val="21"/>
          <w:szCs w:val="21"/>
        </w:rPr>
      </w:pPr>
      <w:r/>
      <w:bookmarkStart w:id="10" w:name="_Toc10562"/>
      <w:r>
        <w:rPr>
          <w:color w:val="auto"/>
          <w:sz w:val="21"/>
          <w:szCs w:val="21"/>
        </w:rPr>
        <w:t xml:space="preserve">PP水池</w:t>
      </w:r>
      <w:bookmarkEnd w:id="10"/>
      <w:r/>
      <w:r/>
    </w:p>
    <w:p>
      <w:pPr>
        <w:pStyle w:val="1240"/>
        <w:numPr>
          <w:ilvl w:val="0"/>
          <w:numId w:val="10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采用高密度PP一体成型耐强腐蚀实验室专用水槽，壁厚≥7mm，内外表光滑平整无缺陷，不变形。槽沿表面处理为皮纹，耐刻。槽底部具有泄水坡度及提笼式落水头，保证排水完全，不积水。下水管安装PP防虹吸瓶式存水器。</w:t>
      </w:r>
      <w:r/>
    </w:p>
    <w:p>
      <w:pPr>
        <w:pStyle w:val="1240"/>
        <w:numPr>
          <w:ilvl w:val="0"/>
          <w:numId w:val="101"/>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性能参数要求</w:t>
      </w:r>
      <w:r/>
    </w:p>
    <w:p>
      <w:pPr>
        <w:pStyle w:val="1240"/>
        <w:numPr>
          <w:ilvl w:val="0"/>
          <w:numId w:val="10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耐液体化学试剂性能：测试依据GB/T 11547-2008，将切好的样块浸泡72小时，样品外观无可见变化。</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40"/>
        <w:numPr>
          <w:ilvl w:val="0"/>
          <w:numId w:val="102"/>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承重性能：样品可承重56L水，将水槽装满56升水，静置48小时，样品完好，未变形。</w:t>
      </w:r>
      <w:r>
        <w:rPr>
          <w:rFonts w:ascii="Times New Roman" w:hAnsi="Times New Roman" w:eastAsia="宋体" w:cs="Times New Roman"/>
          <w:color w:val="auto"/>
          <w:sz w:val="21"/>
          <w:szCs w:val="21"/>
        </w:rPr>
        <w:br w:type="page" w:clear="all"/>
      </w:r>
      <w:r/>
    </w:p>
    <w:p>
      <w:pPr>
        <w:pStyle w:val="1229"/>
        <w:numPr>
          <w:ilvl w:val="0"/>
          <w:numId w:val="97"/>
        </w:numPr>
        <w:ind w:left="0" w:firstLine="0"/>
        <w:pageBreakBefore w:val="0"/>
        <w:spacing w:before="0"/>
        <w:widowControl/>
        <w:rPr>
          <w:b w:val="0"/>
          <w:color w:val="auto"/>
          <w:sz w:val="21"/>
          <w:szCs w:val="21"/>
        </w:rPr>
      </w:pPr>
      <w:r>
        <w:rPr>
          <w:color w:val="auto"/>
          <w:sz w:val="21"/>
          <w:szCs w:val="21"/>
        </w:rPr>
        <w:t xml:space="preserve">单口洗眼器</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采用台式单口洗眼器，必须按照GB/T 38144.1-2019标准生产并获得第三方的检测认证，用于在紧急情况下冲洗眼睛和面部，防止大量实验试剂进入眼睛造成伤害。</w:t>
      </w:r>
      <w:r/>
    </w:p>
    <w:p>
      <w:pPr>
        <w:pStyle w:val="1240"/>
        <w:numPr>
          <w:ilvl w:val="0"/>
          <w:numId w:val="10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洗眼喷头：铜质，外加软性橡胶，出水经缓压处理避免二次伤害。</w:t>
      </w:r>
      <w:r/>
    </w:p>
    <w:p>
      <w:pPr>
        <w:pStyle w:val="1240"/>
        <w:numPr>
          <w:ilvl w:val="0"/>
          <w:numId w:val="10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水流锁定开关：水流开启、锁定功能一次完成，手释放后持续供水。</w:t>
      </w:r>
      <w:r/>
    </w:p>
    <w:p>
      <w:pPr>
        <w:pStyle w:val="1240"/>
        <w:numPr>
          <w:ilvl w:val="0"/>
          <w:numId w:val="10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控水阀：为限流型止逆阀门，防止管道里可能存在的污水回流到洗眼器管件里，造成污水污染眼睛的二次伤害。</w:t>
      </w:r>
      <w:r/>
    </w:p>
    <w:p>
      <w:pPr>
        <w:pStyle w:val="1240"/>
        <w:numPr>
          <w:ilvl w:val="0"/>
          <w:numId w:val="10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防尘盖：PP材质，使用时自动被水冲开。</w:t>
      </w:r>
      <w:r/>
    </w:p>
    <w:p>
      <w:pPr>
        <w:pStyle w:val="1240"/>
        <w:numPr>
          <w:ilvl w:val="0"/>
          <w:numId w:val="104"/>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供水软管：长1.5米的软性PVC管，外覆304不锈钢编织网，最外层包裹PE管，耐强腐蚀同时也不会因为水压过高导致软管破裂、漏水。软管瞬间耐压可达到1.8Mpa。</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根据用户单位不同的水压和进水流量情况，匹配合适的洗眼头，以保证洗眼出水达到GB/T 38144.1-2019 标准的要求流量及出水高度。</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洗眼/洗脸器主要组成结构包括控制阀，洗眼盆，洗眼喷头，阀门驱动装置，符合GB/T 38144.1-2019 《眼面部防护应急喷淋和洗眼设备第1 部分：技术要求》。</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洗眼流量：应以至少11.4L/min的流量提供冲洗液，保持洗眼至少15min。</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当洗眼/洗脸器正确地连接到冲洗液的供应源头并关闭阀门时，连接部位无可见泄露。喷头受到保护，防止接触空气中的污染物。在实施保护喷头的措施时，确保当开启洗眼器时，不需要使用者将防护装置取下。</w:t>
      </w:r>
      <w:r/>
    </w:p>
    <w:p>
      <w:pPr>
        <w:pStyle w:val="1240"/>
        <w:numPr>
          <w:ilvl w:val="0"/>
          <w:numId w:val="103"/>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性能参数要求</w:t>
      </w:r>
      <w:r/>
    </w:p>
    <w:p>
      <w:pPr>
        <w:pStyle w:val="1240"/>
        <w:numPr>
          <w:ilvl w:val="0"/>
          <w:numId w:val="105"/>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符合GB/T 38144.1-2019的测试要求</w:t>
      </w:r>
      <w:r>
        <w:rPr>
          <w:rFonts w:ascii="Times New Roman" w:hAnsi="Times New Roman" w:eastAsia="宋体" w:cs="Times New Roman"/>
          <w:b/>
          <w:color w:val="auto"/>
          <w:sz w:val="21"/>
          <w:szCs w:val="21"/>
        </w:rPr>
        <w:t xml:space="preserve">（提供承诺书，项目验收时需提供检测检验报告复印件并加盖公章）。</w:t>
      </w:r>
      <w:r/>
    </w:p>
    <w:p>
      <w:pPr>
        <w:pStyle w:val="1240"/>
        <w:numPr>
          <w:ilvl w:val="0"/>
          <w:numId w:val="105"/>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中性盐雾试验：经72h盐雾试验检测结果，表面无明显变色，无明显腐蚀现象，外观评级RA为10级。</w:t>
      </w:r>
      <w:r/>
    </w:p>
    <w:p>
      <w:pPr>
        <w:pStyle w:val="1229"/>
        <w:numPr>
          <w:ilvl w:val="0"/>
          <w:numId w:val="97"/>
        </w:numPr>
        <w:ind w:left="0" w:firstLine="0"/>
        <w:pageBreakBefore w:val="0"/>
        <w:spacing w:before="0"/>
        <w:widowControl/>
        <w:rPr>
          <w:b w:val="0"/>
          <w:color w:val="auto"/>
          <w:sz w:val="21"/>
          <w:szCs w:val="21"/>
        </w:rPr>
      </w:pPr>
      <w:r>
        <w:rPr>
          <w:color w:val="auto"/>
          <w:sz w:val="21"/>
          <w:szCs w:val="21"/>
        </w:rPr>
        <w:t xml:space="preserve">pp离心风机</w:t>
      </w:r>
      <w:r/>
    </w:p>
    <w:p>
      <w:pPr>
        <w:pStyle w:val="1240"/>
        <w:numPr>
          <w:ilvl w:val="0"/>
          <w:numId w:val="106"/>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风量：≥25000CMH，机外静压：2500Pa，功率：37KW/380V，变频电机</w:t>
      </w:r>
      <w:r/>
    </w:p>
    <w:p>
      <w:pPr>
        <w:pStyle w:val="1240"/>
        <w:numPr>
          <w:ilvl w:val="0"/>
          <w:numId w:val="106"/>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风机含底座及固定架.弹簧减震器。</w:t>
      </w:r>
      <w:r/>
    </w:p>
    <w:p>
      <w:pPr>
        <w:pStyle w:val="1240"/>
        <w:numPr>
          <w:ilvl w:val="0"/>
          <w:numId w:val="106"/>
        </w:numPr>
        <w:ind w:lef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性能参数：</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风量风压需满足设计风量风压，且为正偏差，偏差范围不得超过3%；</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风机叶轮为悬臂闭式后倾离心式结构；</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传动方式为皮带式传动；</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外壳及叶轮材质：FRP耐酸碱VinylEster(乙烯基脂树脂+无碱玻璃纤维)制作；</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叶轮不得采用钢制叶轮包覆玻璃钢形式；</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轴心材质：45#钢(PTFE套筒)；机架材质：Q235+EPOXY(环氧树脂喷涂)；</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所有紧固件需采用不锈钢316L做预埋防止腐蚀，外部裸露部分采用塑料帽套，以防止松动；</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电机需符合GB_18613-2020 电动机能效限定值及能效等级中所规定的IE3能效标准，电源380V、3相、50HZ、IP55、F级绝缘、B级温升考核；</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电机表面油漆亮度为半亚光，漆膜厚度60-115μm；</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风机外壳需配置清洁孔，以便利于风机叶轮的日常清理；</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风机需配备弹簧避震器，为防止撞击与腐蚀，避震器外部需采用玻璃钢保护套；</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风机底部需配备相对底座及排水清理装置（PVC排水孔）；风机的转子要便于检查清理；</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隔振效率应≥85％。 </w:t>
      </w:r>
      <w:r/>
    </w:p>
    <w:p>
      <w:pPr>
        <w:pStyle w:val="1240"/>
        <w:numPr>
          <w:ilvl w:val="0"/>
          <w:numId w:val="107"/>
        </w:numPr>
        <w:ind w:lef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风机需加装消音箱，采用玻璃钢面板，铝合金边框，面板内需填充玻璃纤维消音棉，内部采用PP冲孔板固定，进出口配备透明PVC软接。</w:t>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both"/>
        <w:spacing w:before="240" w:after="12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pStyle w:val="1228"/>
        <w:numPr>
          <w:ilvl w:val="0"/>
          <w:numId w:val="2"/>
        </w:numPr>
        <w:ind w:left="0" w:firstLine="0"/>
        <w:jc w:val="center"/>
        <w:widowControl/>
        <w:rPr>
          <w:rFonts w:hint="eastAsia" w:ascii="黑体" w:hAnsi="黑体" w:eastAsia="黑体" w:cs="黑体"/>
          <w:b w:val="0"/>
          <w:color w:val="auto"/>
        </w:rPr>
      </w:pPr>
      <w:r>
        <w:rPr>
          <w:color w:val="auto"/>
        </w:rPr>
        <w:t xml:space="preserve">合同草案条款及格式</w:t>
      </w:r>
      <w:r/>
    </w:p>
    <w:p>
      <w:pPr>
        <w:pStyle w:val="1255"/>
        <w:widowControl/>
        <w:rPr>
          <w:color w:val="auto"/>
        </w:rPr>
      </w:pPr>
      <w:r>
        <w:rPr>
          <w:color w:val="auto"/>
        </w:rPr>
        <w:t xml:space="preserve">建设工程施工合同</w:t>
      </w:r>
      <w:r/>
    </w:p>
    <w:p>
      <w:pPr>
        <w:ind w:firstLine="721"/>
        <w:jc w:val="center"/>
        <w:spacing w:line="360" w:lineRule="auto"/>
        <w:rPr>
          <w:b/>
          <w:color w:val="auto"/>
          <w:sz w:val="72"/>
          <w:szCs w:val="52"/>
          <w:lang w:eastAsia="zh-CN"/>
        </w:rPr>
      </w:pPr>
      <w:r>
        <w:rPr>
          <w:b/>
          <w:color w:val="auto"/>
          <w:sz w:val="72"/>
          <w:szCs w:val="52"/>
          <w:lang w:eastAsia="zh-CN"/>
        </w:rPr>
      </w:r>
      <w:r/>
    </w:p>
    <w:p>
      <w:pPr>
        <w:ind w:firstLine="521"/>
        <w:jc w:val="center"/>
        <w:spacing w:line="360" w:lineRule="auto"/>
        <w:rPr>
          <w:b/>
          <w:color w:val="auto"/>
          <w:sz w:val="52"/>
          <w:szCs w:val="52"/>
          <w:lang w:eastAsia="zh-CN"/>
        </w:rPr>
      </w:pPr>
      <w:r>
        <w:rPr>
          <w:b/>
          <w:color w:val="auto"/>
          <w:sz w:val="52"/>
          <w:szCs w:val="52"/>
          <w:lang w:eastAsia="zh-CN"/>
        </w:rPr>
      </w:r>
      <w:r/>
    </w:p>
    <w:p>
      <w:pPr>
        <w:ind w:firstLine="723"/>
        <w:jc w:val="center"/>
        <w:spacing w:line="360" w:lineRule="auto"/>
        <w:rPr>
          <w:b/>
          <w:color w:val="auto"/>
          <w:sz w:val="72"/>
          <w:szCs w:val="72"/>
          <w:lang w:eastAsia="zh-CN"/>
        </w:rPr>
      </w:pPr>
      <w:r>
        <w:rPr>
          <w:b/>
          <w:color w:val="auto"/>
          <w:sz w:val="72"/>
          <w:szCs w:val="72"/>
          <w:lang w:eastAsia="zh-CN"/>
        </w:rPr>
      </w:r>
      <w:r/>
    </w:p>
    <w:p>
      <w:pPr>
        <w:ind w:firstLine="723"/>
        <w:jc w:val="center"/>
        <w:spacing w:line="360" w:lineRule="auto"/>
        <w:rPr>
          <w:b/>
          <w:color w:val="auto"/>
          <w:sz w:val="72"/>
          <w:szCs w:val="72"/>
          <w:lang w:eastAsia="zh-CN"/>
        </w:rPr>
      </w:pPr>
      <w:r>
        <w:rPr>
          <w:b/>
          <w:color w:val="auto"/>
          <w:sz w:val="72"/>
          <w:szCs w:val="72"/>
          <w:lang w:eastAsia="zh-CN"/>
        </w:rPr>
      </w:r>
      <w:r/>
    </w:p>
    <w:p>
      <w:pPr>
        <w:ind w:firstLine="723"/>
        <w:jc w:val="center"/>
        <w:spacing w:line="360" w:lineRule="auto"/>
        <w:rPr>
          <w:b/>
          <w:color w:val="auto"/>
          <w:sz w:val="72"/>
          <w:szCs w:val="72"/>
          <w:lang w:eastAsia="zh-CN"/>
        </w:rPr>
      </w:pPr>
      <w:r>
        <w:rPr>
          <w:b/>
          <w:color w:val="auto"/>
          <w:sz w:val="72"/>
          <w:szCs w:val="72"/>
          <w:lang w:eastAsia="zh-CN"/>
        </w:rPr>
      </w:r>
      <w:r/>
    </w:p>
    <w:p>
      <w:pPr>
        <w:pStyle w:val="1403"/>
        <w:ind w:left="480" w:firstLine="1446"/>
        <w:rPr>
          <w:b/>
          <w:color w:val="auto"/>
          <w:sz w:val="72"/>
          <w:szCs w:val="72"/>
          <w:lang w:eastAsia="zh-CN"/>
        </w:rPr>
      </w:pPr>
      <w:r>
        <w:rPr>
          <w:b/>
          <w:color w:val="auto"/>
          <w:sz w:val="72"/>
          <w:szCs w:val="72"/>
          <w:lang w:eastAsia="zh-CN"/>
        </w:rPr>
      </w:r>
      <w:r/>
    </w:p>
    <w:p>
      <w:pPr>
        <w:spacing w:line="360" w:lineRule="auto"/>
        <w:rPr>
          <w:b/>
          <w:color w:val="auto"/>
          <w:sz w:val="28"/>
          <w:szCs w:val="28"/>
          <w:lang w:eastAsia="zh-CN"/>
        </w:rPr>
      </w:pPr>
      <w:r>
        <w:rPr>
          <w:b/>
          <w:color w:val="auto"/>
          <w:sz w:val="28"/>
          <w:szCs w:val="28"/>
          <w:lang w:eastAsia="zh-CN"/>
        </w:rPr>
      </w:r>
      <w:r/>
    </w:p>
    <w:p>
      <w:pPr>
        <w:pStyle w:val="1264"/>
        <w:rPr>
          <w:color w:val="auto"/>
          <w:lang w:eastAsia="zh-CN"/>
        </w:rPr>
        <w:outlineLvl w:val="9"/>
      </w:pPr>
      <w:r>
        <w:rPr>
          <w:color w:val="auto"/>
          <w:lang w:eastAsia="zh-CN"/>
        </w:rPr>
      </w:r>
      <w:r/>
    </w:p>
    <w:p>
      <w:pPr>
        <w:rPr>
          <w:color w:val="auto"/>
          <w:lang w:eastAsia="zh-CN"/>
        </w:rPr>
      </w:pPr>
      <w:r>
        <w:rPr>
          <w:color w:val="auto"/>
          <w:lang w:eastAsia="zh-CN"/>
        </w:rPr>
      </w:r>
      <w:r/>
    </w:p>
    <w:p>
      <w:pPr>
        <w:ind w:right="2719" w:firstLine="1575"/>
        <w:spacing w:line="360" w:lineRule="auto"/>
        <w:rPr>
          <w:b/>
          <w:color w:val="auto"/>
          <w:sz w:val="32"/>
          <w:szCs w:val="28"/>
          <w:lang w:eastAsia="zh-CN"/>
        </w:rPr>
      </w:pP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546"/>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546"/>
                        <w:rPr>
                          <w:b/>
                          <w:bCs/>
                          <w:sz w:val="32"/>
                        </w:rPr>
                      </w:pPr>
                      <w:r>
                        <w:rPr>
                          <w:rFonts w:hint="eastAsia"/>
                          <w:b/>
                          <w:bCs/>
                          <w:sz w:val="32"/>
                        </w:rPr>
                        <w:t xml:space="preserve">制定</w:t>
                      </w:r>
                      <w:r/>
                    </w:p>
                    <w:p>
                      <w:r/>
                      <w:r/>
                    </w:p>
                  </w:txbxContent>
                </v:textbox>
              </v:shape>
            </w:pict>
          </mc:Fallback>
        </mc:AlternateContent>
      </w:r>
      <w:r>
        <w:rPr>
          <w:b/>
          <w:color w:val="auto"/>
          <w:sz w:val="32"/>
          <w:szCs w:val="28"/>
          <w:lang w:eastAsia="zh-CN"/>
        </w:rPr>
        <w:t xml:space="preserve">住房和城乡建设部</w:t>
      </w:r>
      <w:r/>
    </w:p>
    <w:p>
      <w:pPr>
        <w:ind w:right="2719" w:firstLine="1601"/>
        <w:spacing w:line="360" w:lineRule="auto"/>
        <w:rPr>
          <w:b/>
          <w:color w:val="auto"/>
          <w:sz w:val="32"/>
          <w:szCs w:val="28"/>
          <w:lang w:eastAsia="zh-CN"/>
        </w:rPr>
      </w:pPr>
      <w:r>
        <w:rPr>
          <w:b/>
          <w:color w:val="auto"/>
          <w:sz w:val="32"/>
          <w:szCs w:val="28"/>
          <w:lang w:eastAsia="zh-CN"/>
        </w:rPr>
        <w:t xml:space="preserve">国家工商行政管理总局</w:t>
      </w:r>
      <w:r/>
    </w:p>
    <w:p>
      <w:pPr>
        <w:jc w:val="center"/>
        <w:rPr>
          <w:rFonts w:ascii="仿宋" w:hAnsi="仿宋" w:eastAsia="仿宋" w:cs="仿宋"/>
          <w:b/>
          <w:bCs/>
          <w:color w:val="auto"/>
          <w:sz w:val="32"/>
          <w:szCs w:val="32"/>
          <w:lang w:eastAsia="zh-CN"/>
        </w:rPr>
      </w:pPr>
      <w:r>
        <w:rPr>
          <w:rFonts w:ascii="仿宋" w:hAnsi="仿宋" w:eastAsia="仿宋" w:cs="仿宋"/>
          <w:b/>
          <w:bCs/>
          <w:color w:val="auto"/>
          <w:sz w:val="32"/>
          <w:szCs w:val="32"/>
          <w:lang w:eastAsia="zh-CN"/>
        </w:rPr>
      </w:r>
      <w:r/>
    </w:p>
    <w:p>
      <w:pPr>
        <w:pStyle w:val="1264"/>
        <w:rPr>
          <w:color w:val="auto"/>
          <w:lang w:eastAsia="zh-CN"/>
        </w:rPr>
        <w:outlineLvl w:val="9"/>
      </w:pPr>
      <w:r>
        <w:rPr>
          <w:color w:val="auto"/>
          <w:lang w:eastAsia="zh-CN"/>
        </w:rPr>
      </w:r>
      <w:r/>
    </w:p>
    <w:p>
      <w:pPr>
        <w:pStyle w:val="1226"/>
        <w:numPr>
          <w:ilvl w:val="0"/>
          <w:numId w:val="108"/>
        </w:numPr>
        <w:ind w:left="0" w:firstLine="0"/>
        <w:jc w:val="center"/>
        <w:widowControl/>
        <w:rPr>
          <w:rFonts w:hint="eastAsia" w:ascii="黑体" w:hAnsi="黑体" w:eastAsia="黑体" w:cs="黑体"/>
          <w:b w:val="0"/>
          <w:color w:val="auto"/>
        </w:rPr>
      </w:pPr>
      <w:r>
        <w:rPr>
          <w:color w:val="auto"/>
        </w:rPr>
        <w:br w:type="page" w:clear="all"/>
      </w:r>
      <w:r>
        <w:rPr>
          <w:color w:val="auto"/>
        </w:rPr>
        <w:t xml:space="preserve">合同协议书</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发包人（甲方）：</w:t>
      </w:r>
      <w:r>
        <w:rPr>
          <w:rFonts w:ascii="Times New Roman" w:hAnsi="Times New Roman" w:eastAsia="宋体" w:cs="Times New Roman"/>
          <w:color w:val="auto"/>
          <w:sz w:val="21"/>
          <w:szCs w:val="21"/>
          <w:u w:val="single"/>
        </w:rPr>
        <w:t xml:space="preserve">南京中医药大学</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承包人（乙方）：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根据《中华人民共和国民法典》、《中华人民共和国建筑法》及有关法律规定，遵循平等、自愿、公平和诚实信用的原则，双方</w:t>
      </w:r>
      <w:r>
        <w:rPr>
          <w:rFonts w:ascii="Times New Roman" w:hAnsi="Times New Roman" w:eastAsia="宋体" w:cs="Times New Roman"/>
          <w:b/>
          <w:color w:val="auto"/>
          <w:sz w:val="21"/>
          <w:szCs w:val="21"/>
          <w:u w:val="single"/>
        </w:rPr>
        <w:t xml:space="preserve">就发包人南京中医药大学D8实验室改造项目（含细胞房建设） </w:t>
      </w:r>
      <w:r>
        <w:rPr>
          <w:rFonts w:ascii="Times New Roman" w:hAnsi="Times New Roman" w:eastAsia="宋体" w:cs="Times New Roman"/>
          <w:color w:val="auto"/>
          <w:sz w:val="21"/>
          <w:szCs w:val="21"/>
        </w:rPr>
        <w:t xml:space="preserve">及有关事项协商一致，共同达成如下协议：</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工程概况</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rPr>
        <w:t xml:space="preserve">工程名称</w:t>
      </w:r>
      <w:r>
        <w:rPr>
          <w:rFonts w:ascii="Times New Roman" w:hAnsi="Times New Roman" w:eastAsia="宋体" w:cs="Times New Roman"/>
          <w:b/>
          <w:color w:val="auto"/>
          <w:sz w:val="21"/>
          <w:szCs w:val="21"/>
          <w:u w:val="single"/>
        </w:rPr>
        <w:t xml:space="preserve">：南京中医药大学D8实验室改造项目（含细胞房建设） </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工程地点：</w:t>
      </w:r>
      <w:r>
        <w:rPr>
          <w:rFonts w:ascii="Times New Roman" w:hAnsi="Times New Roman" w:eastAsia="宋体" w:cs="Times New Roman"/>
          <w:color w:val="auto"/>
          <w:sz w:val="21"/>
          <w:szCs w:val="21"/>
          <w:u w:val="single"/>
        </w:rPr>
        <w:t xml:space="preserve">南京中医药大学仙林校区</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工程立项批准文号：/</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资金来源：</w:t>
      </w:r>
      <w:r>
        <w:rPr>
          <w:rFonts w:ascii="Times New Roman" w:hAnsi="Times New Roman" w:eastAsia="宋体" w:cs="Times New Roman"/>
          <w:color w:val="auto"/>
          <w:sz w:val="21"/>
          <w:szCs w:val="21"/>
          <w:u w:val="single"/>
        </w:rPr>
        <w:t xml:space="preserve">财政资金。</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工程内容：承包人承接的工程内容为南京中医药大学D8实验</w:t>
      </w:r>
      <w:r>
        <w:rPr>
          <w:rFonts w:ascii="Times New Roman" w:hAnsi="Times New Roman" w:eastAsia="宋体" w:cs="Times New Roman"/>
          <w:color w:val="auto"/>
          <w:sz w:val="21"/>
          <w:szCs w:val="21"/>
        </w:rPr>
        <w:t xml:space="preserve">室改造项目（含细胞房建设），项目范围包含改造内容包括内部区域重新分隔，基础装修及水电改造、消防系统、外立面出新、屋面防水、立面所有铝合金窗更换等。内部设施及设备包含：集中细胞房、实验中央台、边台、通风橱、万向罩、试剂柜、超净工作台、生物安全柜、通排风系统、空调系统、监控系统、门禁系统、办公家具、实验家具等。改造后，一楼局部区域为集中细胞房、气瓶间及学术交流室（所有团队集中共享使用），剩余区域考虑2组团队进行实验研究，主要功能为：理化实验室、仪器室、灭菌室等相关实验用房及学术交流室。具体详见工程量清单及图纸。</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群体工程应附《承包人承揽工程项目一览表》。</w:t>
      </w:r>
      <w:r/>
    </w:p>
    <w:p>
      <w:pPr>
        <w:pStyle w:val="1240"/>
        <w:numPr>
          <w:ilvl w:val="0"/>
          <w:numId w:val="110"/>
        </w:numPr>
        <w:ind w:left="0" w:right="0" w:firstLine="480"/>
        <w:pageBreakBefore w:val="0"/>
        <w:spacing w:before="0" w:after="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rPr>
        <w:t xml:space="preserve">工程承包范围：</w:t>
      </w:r>
      <w:r>
        <w:rPr>
          <w:rFonts w:ascii="Times New Roman" w:hAnsi="Times New Roman" w:eastAsia="宋体" w:cs="Times New Roman"/>
          <w:color w:val="auto"/>
          <w:sz w:val="21"/>
          <w:szCs w:val="21"/>
          <w:u w:val="single"/>
        </w:rPr>
        <w:t xml:space="preserve">本合同约定的全部工程内容，以及施工图纸、工程量清单、招标文件、投标文件等所示的全部工程内容。请承包人自行了解本工程周边环境及交通情况。</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合同工期</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工期总日历天数</w:t>
      </w:r>
      <w:r>
        <w:rPr>
          <w:rFonts w:ascii="Times New Roman" w:hAnsi="Times New Roman" w:eastAsia="宋体" w:cs="Times New Roman"/>
          <w:b/>
          <w:color w:val="auto"/>
          <w:sz w:val="21"/>
          <w:szCs w:val="21"/>
        </w:rPr>
        <w:t xml:space="preserve">：</w:t>
      </w:r>
      <w:r>
        <w:rPr>
          <w:rFonts w:ascii="Times New Roman" w:hAnsi="Times New Roman" w:eastAsia="宋体" w:cs="Times New Roman"/>
          <w:color w:val="auto"/>
          <w:sz w:val="21"/>
          <w:szCs w:val="21"/>
        </w:rPr>
        <w:t xml:space="preserve">【80】日历天。即本工程自发包人下达的书面开工令载明的开工之日起【80】日历天竣工。</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质量标准</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工程质量应符合：</w:t>
      </w:r>
      <w:r>
        <w:rPr>
          <w:rFonts w:ascii="Times New Roman" w:hAnsi="Times New Roman" w:eastAsia="宋体" w:cs="Times New Roman"/>
          <w:color w:val="auto"/>
          <w:sz w:val="21"/>
          <w:szCs w:val="21"/>
          <w:u w:val="single"/>
        </w:rPr>
        <w:t xml:space="preserve">1、符合国家现行质量验收标准，《建筑工程施工质量验收统一标准》，合同约定的其他要求；</w:t>
      </w:r>
      <w:r/>
    </w:p>
    <w:p>
      <w:pPr>
        <w:pStyle w:val="1240"/>
        <w:numPr>
          <w:ilvl w:val="0"/>
          <w:numId w:val="111"/>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实验室设施及设备满足招标文件参数要求，相关设施及设备品牌需在投标时明确（不得调整变更），项目竣工后配合校方进行资产入库；</w:t>
      </w:r>
      <w:r/>
    </w:p>
    <w:p>
      <w:pPr>
        <w:pStyle w:val="1240"/>
        <w:numPr>
          <w:ilvl w:val="0"/>
          <w:numId w:val="11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u w:val="single"/>
        </w:rPr>
        <w:t xml:space="preserve">满足环保要求。</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签约合同价与合同价格形式</w:t>
      </w:r>
      <w:r/>
    </w:p>
    <w:p>
      <w:pPr>
        <w:pStyle w:val="1228"/>
        <w:numPr>
          <w:ilvl w:val="0"/>
          <w:numId w:val="112"/>
        </w:numPr>
        <w:ind w:left="0" w:right="0" w:firstLine="0"/>
        <w:pageBreakBefore w:val="0"/>
        <w:spacing w:before="0"/>
        <w:widowControl/>
        <w:rPr>
          <w:b w:val="0"/>
          <w:color w:val="auto"/>
          <w:sz w:val="21"/>
          <w:szCs w:val="21"/>
        </w:rPr>
      </w:pPr>
      <w:r>
        <w:rPr>
          <w:color w:val="auto"/>
          <w:sz w:val="21"/>
          <w:szCs w:val="21"/>
        </w:rPr>
        <w:t xml:space="preserve">签约合同价：</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人民币（大写）：</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b/>
          <w:color w:val="auto"/>
          <w:sz w:val="21"/>
          <w:szCs w:val="21"/>
        </w:rPr>
        <w:t xml:space="preserve">（¥ </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b/>
          <w:color w:val="auto"/>
          <w:sz w:val="21"/>
          <w:szCs w:val="21"/>
        </w:rPr>
        <w:t xml:space="preserve">，含税金），为合同暂定价，</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双方确认本合同最终结算价以发包人单方审计的审定价为准；</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其中：</w:t>
      </w:r>
      <w:r/>
    </w:p>
    <w:p>
      <w:pPr>
        <w:pStyle w:val="1229"/>
        <w:numPr>
          <w:ilvl w:val="0"/>
          <w:numId w:val="1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安全文明施工费：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人民币（大写：        ） (¥：        )；</w:t>
      </w:r>
      <w:r/>
    </w:p>
    <w:p>
      <w:pPr>
        <w:pStyle w:val="1229"/>
        <w:numPr>
          <w:ilvl w:val="0"/>
          <w:numId w:val="1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材料和工程设备暂估价金额：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人民币（大写）</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p>
    <w:p>
      <w:pPr>
        <w:pStyle w:val="1229"/>
        <w:numPr>
          <w:ilvl w:val="0"/>
          <w:numId w:val="1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专业工程暂估价金额：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人民币（大写）</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p>
    <w:p>
      <w:pPr>
        <w:pStyle w:val="1229"/>
        <w:numPr>
          <w:ilvl w:val="0"/>
          <w:numId w:val="1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暂列金额：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人民币（大写）</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rPr>
          <w:rFonts w:ascii="Times New Roman" w:hAnsi="Times New Roman" w:eastAsia="宋体" w:cs="Times New Roman"/>
          <w:b/>
          <w:color w:val="auto"/>
          <w:sz w:val="21"/>
          <w:szCs w:val="21"/>
          <w:u w:val="single"/>
        </w:rPr>
        <w:t xml:space="preserve">           </w:t>
      </w:r>
      <w:r>
        <w:rPr>
          <w:rFonts w:ascii="Times New Roman" w:hAnsi="Times New Roman" w:eastAsia="宋体" w:cs="Times New Roman"/>
          <w:color w:val="auto"/>
          <w:sz w:val="21"/>
          <w:szCs w:val="21"/>
        </w:rPr>
        <w:t xml:space="preserve">)。</w:t>
      </w:r>
      <w:r/>
    </w:p>
    <w:p>
      <w:pPr>
        <w:pStyle w:val="1228"/>
        <w:numPr>
          <w:ilvl w:val="0"/>
          <w:numId w:val="112"/>
        </w:numPr>
        <w:ind w:left="0" w:right="0" w:firstLine="0"/>
        <w:pageBreakBefore w:val="0"/>
        <w:spacing w:before="0"/>
        <w:widowControl/>
        <w:rPr>
          <w:b w:val="0"/>
          <w:color w:val="auto"/>
          <w:sz w:val="21"/>
          <w:szCs w:val="21"/>
        </w:rPr>
      </w:pPr>
      <w:r>
        <w:rPr>
          <w:color w:val="auto"/>
          <w:sz w:val="21"/>
          <w:szCs w:val="21"/>
        </w:rPr>
        <w:t xml:space="preserve">合同价格形式：</w:t>
      </w:r>
      <w:r>
        <w:rPr>
          <w:color w:val="auto"/>
          <w:sz w:val="21"/>
          <w:szCs w:val="21"/>
          <w:u w:val="single"/>
        </w:rPr>
        <w:t xml:space="preserve">固定综合单价合同</w:t>
      </w:r>
      <w:r>
        <w:rPr>
          <w:color w:val="auto"/>
          <w:sz w:val="21"/>
          <w:szCs w:val="21"/>
        </w:rPr>
        <w:t xml:space="preserve">。</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color w:val="auto"/>
          <w:sz w:val="21"/>
          <w:szCs w:val="21"/>
          <w:u w:val="single"/>
        </w:rPr>
        <w:t xml:space="preserve">按照施工图和工程量清单采取固定综合单价；任何情况下综合单价不变，决算时按实际工程量乘以综合单价计算</w:t>
      </w:r>
      <w:r>
        <w:rPr>
          <w:rFonts w:ascii="Times New Roman" w:hAnsi="Times New Roman" w:eastAsia="宋体" w:cs="Times New Roman"/>
          <w:color w:val="auto"/>
          <w:sz w:val="21"/>
          <w:szCs w:val="21"/>
        </w:rPr>
        <w:t xml:space="preserve">。</w:t>
      </w:r>
      <w:r>
        <w:rPr>
          <w:rFonts w:ascii="Times New Roman" w:hAnsi="Times New Roman" w:eastAsia="宋体" w:cs="Times New Roman"/>
          <w:b/>
          <w:color w:val="auto"/>
          <w:sz w:val="21"/>
          <w:szCs w:val="21"/>
        </w:rPr>
        <w:t xml:space="preserve">非发包人需求且书面认可的变化导致的变更由承包人自行承担相关费用。</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项目经理和项目其他主要管理人员（现场技术负责人、施工员、质量员、安全员、资料员）</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承包人项目经理：</w:t>
      </w:r>
      <w:r>
        <w:rPr>
          <w:rFonts w:ascii="Times New Roman" w:hAnsi="Times New Roman" w:eastAsia="宋体" w:cs="Times New Roman"/>
          <w:color w:val="auto"/>
          <w:sz w:val="21"/>
          <w:szCs w:val="21"/>
          <w:u w:val="single"/>
        </w:rPr>
        <w:t xml:space="preserve">               ，联系方式：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项目其他主要管理人员：</w:t>
      </w:r>
      <w:r>
        <w:rPr>
          <w:rFonts w:ascii="Times New Roman" w:hAnsi="Times New Roman" w:eastAsia="宋体" w:cs="Times New Roman"/>
          <w:color w:val="auto"/>
          <w:sz w:val="21"/>
          <w:szCs w:val="21"/>
          <w:u w:val="single"/>
        </w:rPr>
        <w:t xml:space="preserve">         ，联系方式：        </w:t>
      </w:r>
      <w:r>
        <w:rPr>
          <w:rFonts w:ascii="Times New Roman" w:hAnsi="Times New Roman" w:eastAsia="宋体" w:cs="Times New Roman"/>
          <w:color w:val="auto"/>
          <w:sz w:val="21"/>
          <w:szCs w:val="21"/>
        </w:rPr>
        <w:t xml:space="preserve">。【填写投标响应文件列明的现场技术负责人、施工员、质量员、安全员、资料员信息】</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合同文件构成</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本协议书与下列文件一起构成合同文件：</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中标（成交）通知书（如果有）；</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投标函及其附录（如果有）；</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专用合同条款及其附件；</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通用合同条款；</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技术标准和要求；</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图纸；</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已标价工程量清单或预算书；</w:t>
      </w:r>
      <w:r/>
    </w:p>
    <w:p>
      <w:pPr>
        <w:pStyle w:val="1240"/>
        <w:numPr>
          <w:ilvl w:val="0"/>
          <w:numId w:val="1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其他合同文件。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在合同订立及履行过程中形成的与合同有关的文件均构成合同文件组成部分。</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承诺</w:t>
      </w:r>
      <w:r/>
    </w:p>
    <w:p>
      <w:pPr>
        <w:pStyle w:val="1240"/>
        <w:numPr>
          <w:ilvl w:val="0"/>
          <w:numId w:val="115"/>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发包人承诺按照法律规定履行项目审批手续、筹集工程建设资金并按照合同约定的期限和方式支付合同价款。</w:t>
      </w:r>
      <w:r/>
    </w:p>
    <w:p>
      <w:pPr>
        <w:pStyle w:val="1240"/>
        <w:numPr>
          <w:ilvl w:val="0"/>
          <w:numId w:val="115"/>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承包人承诺按照法律规定及合同约定组织完成工程施工，确保工程质量和安全，不进行转包及违法分包，并在缺陷责任期及保修期内承担相应的工程维修责任。</w:t>
      </w:r>
      <w:r/>
    </w:p>
    <w:p>
      <w:pPr>
        <w:pStyle w:val="1240"/>
        <w:numPr>
          <w:ilvl w:val="0"/>
          <w:numId w:val="115"/>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发包人和承包人通过招投标形式签订合同的，双方理解并承诺不再就同一工程另行签订与合同实质性内容相背离的协议。</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词语含义</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本协议书中词语含义与第二部分通用合同条款中赋予的含义相同。</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签订时间</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本合同于</w:t>
      </w:r>
      <w:r>
        <w:rPr>
          <w:rFonts w:ascii="Times New Roman" w:hAnsi="Times New Roman" w:eastAsia="宋体" w:cs="Times New Roman"/>
          <w:color w:val="auto"/>
          <w:sz w:val="21"/>
          <w:szCs w:val="21"/>
          <w:u w:val="single"/>
        </w:rPr>
        <w:t xml:space="preserve">       年   月      日</w:t>
      </w:r>
      <w:r>
        <w:rPr>
          <w:rFonts w:ascii="Times New Roman" w:hAnsi="Times New Roman" w:eastAsia="宋体" w:cs="Times New Roman"/>
          <w:color w:val="auto"/>
          <w:sz w:val="21"/>
          <w:szCs w:val="21"/>
        </w:rPr>
        <w:t xml:space="preserve">签订。</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签订地点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本合同在南京市栖霞区仙林大道138号签订。</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补充协议</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未尽事宜，合同当事人另行签订补充协议，补充协议是本合同的组成部分。发包人需要在本工程项下追加部分项目的，在不改变合同其他条款的前提下，可以与承包人协商签订书面补充合同，但所有补充合同的合同价不得超过本合同合同价的10%，且本合同价格和各补充合同价格之和不得超过本项目采购预算。</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合同生效</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本合同自</w:t>
      </w:r>
      <w:r>
        <w:rPr>
          <w:rFonts w:ascii="Times New Roman" w:hAnsi="Times New Roman" w:eastAsia="宋体" w:cs="Times New Roman"/>
          <w:color w:val="auto"/>
          <w:sz w:val="21"/>
          <w:szCs w:val="21"/>
          <w:u w:val="single"/>
        </w:rPr>
        <w:t xml:space="preserve">发包人、承包人双方法定代表人或其委托代理人签名并加盖单位印章（注：发包人加盖单位印章为发包人单位经济合同专用章）且发包人收到承包人按本合同约定提交的履约保证金后</w:t>
      </w:r>
      <w:r>
        <w:rPr>
          <w:rFonts w:ascii="Times New Roman" w:hAnsi="Times New Roman" w:eastAsia="宋体" w:cs="Times New Roman"/>
          <w:color w:val="auto"/>
          <w:sz w:val="21"/>
          <w:szCs w:val="21"/>
        </w:rPr>
        <w:t xml:space="preserve">生效。</w:t>
      </w:r>
      <w:r/>
    </w:p>
    <w:p>
      <w:pPr>
        <w:pStyle w:val="1227"/>
        <w:numPr>
          <w:ilvl w:val="0"/>
          <w:numId w:val="10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合同份数</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本合同一式</w:t>
      </w:r>
      <w:r>
        <w:rPr>
          <w:rFonts w:ascii="Times New Roman" w:hAnsi="Times New Roman" w:eastAsia="宋体" w:cs="Times New Roman"/>
          <w:color w:val="auto"/>
          <w:sz w:val="21"/>
          <w:szCs w:val="21"/>
          <w:u w:val="single"/>
        </w:rPr>
        <w:t xml:space="preserve">陆</w:t>
      </w:r>
      <w:r>
        <w:rPr>
          <w:rFonts w:ascii="Times New Roman" w:hAnsi="Times New Roman" w:eastAsia="宋体" w:cs="Times New Roman"/>
          <w:color w:val="auto"/>
          <w:sz w:val="21"/>
          <w:szCs w:val="21"/>
        </w:rPr>
        <w:t xml:space="preserve">份，均具有同等法律效力，发包人执</w:t>
      </w:r>
      <w:r>
        <w:rPr>
          <w:rFonts w:ascii="Times New Roman" w:hAnsi="Times New Roman" w:eastAsia="宋体" w:cs="Times New Roman"/>
          <w:color w:val="auto"/>
          <w:sz w:val="21"/>
          <w:szCs w:val="21"/>
          <w:u w:val="single"/>
        </w:rPr>
        <w:t xml:space="preserve">肆</w:t>
      </w:r>
      <w:r>
        <w:rPr>
          <w:rFonts w:ascii="Times New Roman" w:hAnsi="Times New Roman" w:eastAsia="宋体" w:cs="Times New Roman"/>
          <w:color w:val="auto"/>
          <w:sz w:val="21"/>
          <w:szCs w:val="21"/>
        </w:rPr>
        <w:t xml:space="preserve">份，承包人执</w:t>
      </w:r>
      <w:r>
        <w:rPr>
          <w:rFonts w:ascii="Times New Roman" w:hAnsi="Times New Roman" w:eastAsia="宋体" w:cs="Times New Roman"/>
          <w:color w:val="auto"/>
          <w:sz w:val="21"/>
          <w:szCs w:val="21"/>
          <w:u w:val="single"/>
        </w:rPr>
        <w:t xml:space="preserve">贰</w:t>
      </w:r>
      <w:r>
        <w:rPr>
          <w:rFonts w:ascii="Times New Roman" w:hAnsi="Times New Roman" w:eastAsia="宋体" w:cs="Times New Roman"/>
          <w:color w:val="auto"/>
          <w:sz w:val="21"/>
          <w:szCs w:val="21"/>
        </w:rPr>
        <w:t xml:space="preserve">份。</w:t>
      </w:r>
      <w:r/>
    </w:p>
    <w:p>
      <w:pPr>
        <w:ind w:left="0" w:right="0"/>
        <w:pageBreakBefore w:val="0"/>
        <w:spacing w:line="460" w:lineRule="exact"/>
        <w:widowControl/>
        <w:rPr>
          <w:rFonts w:ascii="宋体" w:hAnsi="宋体" w:cs="宋体"/>
          <w:color w:val="auto"/>
          <w:sz w:val="21"/>
          <w:szCs w:val="21"/>
          <w:lang w:eastAsia="zh-CN"/>
        </w:rPr>
      </w:pPr>
      <w:r>
        <w:rPr>
          <w:rFonts w:ascii="宋体" w:hAnsi="宋体" w:cs="宋体"/>
          <w:color w:val="auto"/>
          <w:sz w:val="21"/>
          <w:szCs w:val="21"/>
          <w:lang w:eastAsia="zh-CN"/>
        </w:rPr>
      </w:r>
      <w:r/>
    </w:p>
    <w:p>
      <w:pPr>
        <w:ind w:left="0" w:right="0"/>
        <w:pageBreakBefore w:val="0"/>
        <w:spacing w:line="460" w:lineRule="exact"/>
        <w:widowControl/>
        <w:rPr>
          <w:rFonts w:ascii="宋体" w:hAnsi="宋体" w:cs="宋体"/>
          <w:color w:val="auto"/>
          <w:sz w:val="21"/>
          <w:szCs w:val="21"/>
          <w:lang w:eastAsia="zh-CN"/>
        </w:rPr>
      </w:pPr>
      <w:r>
        <w:rPr>
          <w:rFonts w:ascii="宋体" w:hAnsi="宋体" w:cs="宋体"/>
          <w:color w:val="auto"/>
          <w:sz w:val="21"/>
          <w:szCs w:val="21"/>
          <w:lang w:eastAsia="zh-CN"/>
        </w:rPr>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发包人： (盖章)                         承包人： (盖章)</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法定代表人或其委托代理人：              法定代表人或其委托代理人：</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（签名）                               （签名）</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统一社会信用代码：12320000466006818N     统一社会信用代码：</w:t>
      </w:r>
      <w:r/>
    </w:p>
    <w:p>
      <w:pPr>
        <w:ind w:left="0" w:right="0" w:hanging="399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地址：南京市仙林大道 138 号             地址：</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邮政编码：210023                        邮政编码：</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法定代表人：                            法定代表人：</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委托代理人：                            委托代理人：</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电话：025-85811128                      电话：</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传真：/                                 传真：</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电子信箱：/                             电子信箱：</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开户银行：工行汉中门支行                开户银行：</w:t>
      </w:r>
      <w:r/>
    </w:p>
    <w:p>
      <w:pPr>
        <w:ind w:left="0" w:right="0"/>
        <w:pageBreakBefore w:val="0"/>
        <w:spacing w:line="460" w:lineRule="exact"/>
        <w:widowControl/>
        <w:rPr>
          <w:rFonts w:ascii="宋体" w:hAnsi="宋体" w:cs="宋体"/>
          <w:color w:val="auto"/>
          <w:sz w:val="21"/>
          <w:szCs w:val="21"/>
          <w:lang w:eastAsia="zh-CN"/>
        </w:rPr>
      </w:pPr>
      <w:r>
        <w:rPr>
          <w:rFonts w:hint="eastAsia" w:ascii="宋体" w:hAnsi="宋体" w:cs="宋体"/>
          <w:color w:val="auto"/>
          <w:sz w:val="21"/>
          <w:szCs w:val="21"/>
          <w:lang w:eastAsia="zh-CN"/>
        </w:rPr>
        <w:t xml:space="preserve">账号：4301010109001027264               账号：</w:t>
      </w:r>
      <w:r/>
    </w:p>
    <w:p>
      <w:pPr>
        <w:ind w:left="0" w:right="0"/>
        <w:jc w:val="center"/>
        <w:pageBreakBefore w:val="0"/>
        <w:widowControl/>
        <w:rPr>
          <w:rFonts w:ascii="宋体" w:hAnsi="宋体" w:cs="宋体"/>
          <w:b/>
          <w:bCs/>
          <w:color w:val="auto"/>
          <w:sz w:val="21"/>
          <w:szCs w:val="21"/>
          <w:lang w:eastAsia="zh-CN"/>
        </w:rPr>
        <w:sectPr>
          <w:headerReference w:type="default" r:id="rId9"/>
          <w:footerReference w:type="default" r:id="rId11"/>
          <w:footerReference w:type="even" r:id="rId12"/>
          <w:footnotePr/>
          <w:endnotePr/>
          <w:type w:val="nextPage"/>
          <w:pgSz w:w="11906" w:h="16838" w:orient="portrait"/>
          <w:pgMar w:top="1440" w:right="1800" w:bottom="1440" w:left="1380" w:header="851" w:footer="992" w:gutter="0"/>
          <w:rtlGutter/>
          <w:cols w:num="1" w:sep="0" w:space="1701" w:equalWidth="1"/>
          <w:docGrid w:linePitch="360"/>
        </w:sectPr>
      </w:pPr>
      <w:r>
        <w:rPr>
          <w:rFonts w:ascii="宋体" w:hAnsi="宋体" w:cs="宋体"/>
          <w:b/>
          <w:bCs/>
          <w:color w:val="auto"/>
          <w:sz w:val="21"/>
          <w:szCs w:val="21"/>
          <w:lang w:eastAsia="zh-CN"/>
        </w:rPr>
      </w:r>
      <w:r/>
    </w:p>
    <w:p>
      <w:pPr>
        <w:pStyle w:val="1226"/>
        <w:numPr>
          <w:ilvl w:val="0"/>
          <w:numId w:val="108"/>
        </w:numPr>
        <w:ind w:left="0" w:right="0" w:firstLine="0"/>
        <w:jc w:val="center"/>
        <w:pageBreakBefore w:val="0"/>
        <w:spacing w:before="0"/>
        <w:widowControl/>
        <w:rPr>
          <w:rFonts w:hint="eastAsia" w:ascii="黑体" w:hAnsi="黑体" w:eastAsia="黑体" w:cs="黑体"/>
          <w:b w:val="0"/>
          <w:color w:val="auto"/>
          <w:sz w:val="21"/>
          <w:szCs w:val="21"/>
        </w:rPr>
      </w:pPr>
      <w:r>
        <w:rPr>
          <w:color w:val="auto"/>
          <w:sz w:val="21"/>
          <w:szCs w:val="21"/>
        </w:rPr>
        <w:t xml:space="preserve">通用合同条款</w:t>
      </w:r>
      <w:r/>
    </w:p>
    <w:p>
      <w:pPr>
        <w:ind w:left="0" w:right="0"/>
        <w:jc w:val="center"/>
        <w:pageBreakBefore w:val="0"/>
        <w:widowControl/>
        <w:rPr>
          <w:rFonts w:ascii="宋体" w:hAnsi="宋体" w:cs="宋体"/>
          <w:b/>
          <w:bCs/>
          <w:color w:val="auto"/>
          <w:sz w:val="21"/>
          <w:szCs w:val="21"/>
          <w:lang w:eastAsia="zh-CN"/>
        </w:rPr>
      </w:pPr>
      <w:r>
        <w:rPr>
          <w:rFonts w:ascii="宋体" w:hAnsi="宋体" w:cs="宋体"/>
          <w:b/>
          <w:bCs/>
          <w:color w:val="auto"/>
          <w:sz w:val="21"/>
          <w:szCs w:val="21"/>
          <w:lang w:eastAsia="zh-CN"/>
        </w:rPr>
      </w:r>
      <w:r/>
    </w:p>
    <w:p>
      <w:pPr>
        <w:pStyle w:val="1240"/>
        <w:ind w:left="0" w:right="0"/>
        <w:jc w:val="center"/>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此部分采用《建设工程施工合同》范本（GF—2017—0201）中《第二部分通用条款》。</w:t>
      </w:r>
      <w:r/>
    </w:p>
    <w:p>
      <w:pPr>
        <w:ind w:left="0" w:right="0"/>
        <w:jc w:val="center"/>
        <w:pageBreakBefore w:val="0"/>
        <w:widowControl/>
        <w:rPr>
          <w:rFonts w:ascii="宋体" w:hAnsi="宋体" w:cs="宋体"/>
          <w:b/>
          <w:bCs/>
          <w:color w:val="auto"/>
          <w:sz w:val="21"/>
          <w:szCs w:val="21"/>
          <w:lang w:eastAsia="zh-CN"/>
        </w:rPr>
      </w:pPr>
      <w:r>
        <w:rPr>
          <w:rFonts w:ascii="宋体" w:hAnsi="宋体" w:cs="宋体"/>
          <w:b/>
          <w:bCs/>
          <w:color w:val="auto"/>
          <w:sz w:val="21"/>
          <w:szCs w:val="21"/>
          <w:lang w:eastAsia="zh-CN"/>
        </w:rPr>
      </w:r>
      <w:r/>
    </w:p>
    <w:p>
      <w:pPr>
        <w:pStyle w:val="1226"/>
        <w:numPr>
          <w:ilvl w:val="0"/>
          <w:numId w:val="10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专用合同条款</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一般约定</w:t>
      </w:r>
      <w:r/>
    </w:p>
    <w:p>
      <w:pPr>
        <w:pStyle w:val="1228"/>
        <w:numPr>
          <w:ilvl w:val="0"/>
          <w:numId w:val="117"/>
        </w:numPr>
        <w:ind w:left="0" w:right="0" w:firstLine="0"/>
        <w:pageBreakBefore w:val="0"/>
        <w:spacing w:before="0"/>
        <w:widowControl/>
        <w:rPr>
          <w:b w:val="0"/>
          <w:color w:val="auto"/>
          <w:sz w:val="21"/>
          <w:szCs w:val="21"/>
        </w:rPr>
      </w:pPr>
      <w:r>
        <w:rPr>
          <w:color w:val="auto"/>
          <w:sz w:val="21"/>
          <w:szCs w:val="21"/>
        </w:rPr>
        <w:t xml:space="preserve">词语定义</w:t>
      </w:r>
      <w:r/>
    </w:p>
    <w:p>
      <w:pPr>
        <w:pStyle w:val="1229"/>
        <w:numPr>
          <w:ilvl w:val="0"/>
          <w:numId w:val="11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合同文件包括：（1）施工合同协议书；（2）中标通知书或成交通知书；（3）招标文件、投标书及其附件；（4）专用条款；（5）通用条款；（6）标准、规范及有关技术资料；（7）工程量清单；（8）工程报价单或预算书等履行合同过程中双方书面确认的对合同内容有实质性影响的文件以及会议纪要、签证、设计变更等资料。</w:t>
      </w:r>
      <w:r/>
    </w:p>
    <w:p>
      <w:pPr>
        <w:pStyle w:val="1229"/>
        <w:numPr>
          <w:ilvl w:val="0"/>
          <w:numId w:val="118"/>
        </w:numPr>
        <w:ind w:left="0" w:right="0" w:firstLine="0"/>
        <w:pageBreakBefore w:val="0"/>
        <w:spacing w:before="0"/>
        <w:widowControl/>
        <w:rPr>
          <w:b w:val="0"/>
          <w:color w:val="auto"/>
          <w:sz w:val="21"/>
          <w:szCs w:val="21"/>
        </w:rPr>
      </w:pPr>
      <w:r>
        <w:rPr>
          <w:color w:val="auto"/>
          <w:sz w:val="21"/>
          <w:szCs w:val="21"/>
        </w:rPr>
        <w:t xml:space="preserve">合同当事人及其他相关方</w:t>
      </w:r>
      <w:r/>
    </w:p>
    <w:p>
      <w:pPr>
        <w:pStyle w:val="1230"/>
        <w:numPr>
          <w:ilvl w:val="0"/>
          <w:numId w:val="11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监理人：</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名称：</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资质类别和等级：</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联系电话：</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电子信箱：</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通信地址：</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w:t>
      </w:r>
      <w:r/>
    </w:p>
    <w:p>
      <w:pPr>
        <w:pStyle w:val="1230"/>
        <w:numPr>
          <w:ilvl w:val="0"/>
          <w:numId w:val="11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设计人：</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名称：</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资质类别和等级：</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联系电话：</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电子信箱：</w:t>
      </w:r>
      <w:r>
        <w:rPr>
          <w:rFonts w:ascii="Times New Roman" w:hAnsi="Times New Roman" w:eastAsia="宋体" w:cs="Times New Roman"/>
          <w:color w:val="auto"/>
          <w:sz w:val="21"/>
          <w:szCs w:val="21"/>
          <w:u w:val="single"/>
        </w:rPr>
        <w:t xml:space="preserve">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通信地址：</w:t>
      </w:r>
      <w:r>
        <w:rPr>
          <w:rFonts w:ascii="Times New Roman" w:hAnsi="Times New Roman" w:eastAsia="宋体" w:cs="Times New Roman"/>
          <w:color w:val="auto"/>
          <w:sz w:val="21"/>
          <w:szCs w:val="21"/>
          <w:u w:val="single"/>
        </w:rPr>
        <w:t xml:space="preserve">         ；</w:t>
      </w:r>
      <w:r/>
    </w:p>
    <w:p>
      <w:pPr>
        <w:pStyle w:val="1229"/>
        <w:numPr>
          <w:ilvl w:val="0"/>
          <w:numId w:val="118"/>
        </w:numPr>
        <w:ind w:left="0" w:right="0" w:firstLine="0"/>
        <w:pageBreakBefore w:val="0"/>
        <w:spacing w:before="0"/>
        <w:widowControl/>
        <w:rPr>
          <w:b w:val="0"/>
          <w:color w:val="auto"/>
          <w:sz w:val="21"/>
          <w:szCs w:val="21"/>
        </w:rPr>
      </w:pPr>
      <w:r>
        <w:rPr>
          <w:color w:val="auto"/>
          <w:sz w:val="21"/>
          <w:szCs w:val="21"/>
        </w:rPr>
        <w:t xml:space="preserve">工程和设备</w:t>
      </w:r>
      <w:r/>
    </w:p>
    <w:p>
      <w:pPr>
        <w:pStyle w:val="1240"/>
        <w:numPr>
          <w:ilvl w:val="0"/>
          <w:numId w:val="12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作为施工现场组成部分的其他场所包括：</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2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永久占地包括：</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2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临时占地包括：</w:t>
      </w:r>
      <w:r>
        <w:rPr>
          <w:rFonts w:ascii="Times New Roman" w:hAnsi="Times New Roman" w:eastAsia="宋体" w:cs="Times New Roman"/>
          <w:color w:val="auto"/>
          <w:sz w:val="21"/>
          <w:szCs w:val="21"/>
          <w:u w:val="single"/>
        </w:rPr>
        <w:t xml:space="preserve">施工场地周围道路</w:t>
      </w:r>
      <w:r>
        <w:rPr>
          <w:rFonts w:ascii="Times New Roman" w:hAnsi="Times New Roman" w:eastAsia="宋体" w:cs="Times New Roman"/>
          <w:color w:val="auto"/>
          <w:sz w:val="21"/>
          <w:szCs w:val="21"/>
        </w:rPr>
        <w:t xml:space="preserve">。</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法律</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适用于合同的其他规范性文件：</w:t>
      </w:r>
      <w:r>
        <w:rPr>
          <w:rFonts w:ascii="Times New Roman" w:hAnsi="Times New Roman" w:eastAsia="宋体" w:cs="Times New Roman"/>
          <w:color w:val="auto"/>
          <w:sz w:val="21"/>
          <w:szCs w:val="21"/>
          <w:u w:val="single"/>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标准和规范</w:t>
      </w:r>
      <w:r/>
    </w:p>
    <w:p>
      <w:pPr>
        <w:pStyle w:val="1240"/>
        <w:numPr>
          <w:ilvl w:val="0"/>
          <w:numId w:val="121"/>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适用于工程的标准规范包括：</w:t>
      </w:r>
      <w:r>
        <w:rPr>
          <w:rFonts w:ascii="Times New Roman" w:hAnsi="Times New Roman" w:eastAsia="宋体" w:cs="Times New Roman"/>
          <w:color w:val="auto"/>
          <w:sz w:val="21"/>
          <w:szCs w:val="21"/>
          <w:u w:val="single"/>
        </w:rPr>
        <w:t xml:space="preserve">本项目应按国家颁发的有关规范、标准及省、市有关规定的设计和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ascii="Times New Roman" w:hAnsi="Times New Roman" w:eastAsia="宋体" w:cs="Times New Roman"/>
          <w:color w:val="auto"/>
          <w:sz w:val="21"/>
          <w:szCs w:val="21"/>
        </w:rPr>
        <w:t xml:space="preserve">。</w:t>
      </w:r>
      <w:r/>
    </w:p>
    <w:p>
      <w:pPr>
        <w:pStyle w:val="1240"/>
        <w:numPr>
          <w:ilvl w:val="0"/>
          <w:numId w:val="121"/>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发包人提供国外标准、规范的名称：</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发包人提供国外标准、规范的份数：</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发包人提供国外标准、规范的名称：</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21"/>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发包人对工程的技术标准和功能要求的特殊要求：</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合同文件的优先顺序</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合同文件组成及优先顺序为：</w:t>
      </w:r>
      <w:r>
        <w:rPr>
          <w:rFonts w:ascii="Times New Roman" w:hAnsi="Times New Roman" w:eastAsia="宋体" w:cs="Times New Roman"/>
          <w:color w:val="auto"/>
          <w:sz w:val="21"/>
          <w:szCs w:val="21"/>
          <w:u w:val="single"/>
        </w:rPr>
        <w:t xml:space="preserve">（1）本施工合同协议书；（2）中标通知书或成交通知书；（3）本合同专用条款；（4）标准、规范及有关技术资料；（5）工程量清单；（6）工程报价单或预算书；（7）招标文件、投标书及其附件（含：承包人投标过程所作承诺）；（8）本合同通用条款；（9）合同履行中，发包人承包人有关工程的洽商、变更等书面协议或文件视为本合同的组成。</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上述各项合同文件包括合同当事人就该项合同文件所作出的补充和修改，属于同一类内容的文件，应以最新签署的为准。</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图纸和承包人文件</w:t>
      </w:r>
      <w:r/>
    </w:p>
    <w:p>
      <w:pPr>
        <w:pStyle w:val="1229"/>
        <w:numPr>
          <w:ilvl w:val="0"/>
          <w:numId w:val="122"/>
        </w:numPr>
        <w:ind w:left="0" w:right="0" w:firstLine="0"/>
        <w:pageBreakBefore w:val="0"/>
        <w:spacing w:before="0"/>
        <w:widowControl/>
        <w:rPr>
          <w:b w:val="0"/>
          <w:color w:val="auto"/>
          <w:sz w:val="21"/>
          <w:szCs w:val="21"/>
        </w:rPr>
      </w:pPr>
      <w:r>
        <w:rPr>
          <w:color w:val="auto"/>
          <w:sz w:val="21"/>
          <w:szCs w:val="21"/>
        </w:rPr>
        <w:t xml:space="preserve">图纸的提供</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发包人向承包人提供图纸的期限：</w:t>
      </w:r>
      <w:r>
        <w:rPr>
          <w:rFonts w:ascii="Times New Roman" w:hAnsi="Times New Roman" w:eastAsia="宋体" w:cs="Times New Roman"/>
          <w:color w:val="auto"/>
          <w:sz w:val="21"/>
          <w:szCs w:val="21"/>
          <w:u w:val="single"/>
        </w:rPr>
        <w:t xml:space="preserve">开工前【7】日内提供施工图</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发包人向承包人提供图纸的数量：</w:t>
      </w:r>
      <w:r>
        <w:rPr>
          <w:rFonts w:ascii="Times New Roman" w:hAnsi="Times New Roman" w:eastAsia="宋体" w:cs="Times New Roman"/>
          <w:color w:val="auto"/>
          <w:sz w:val="21"/>
          <w:szCs w:val="21"/>
          <w:u w:val="single"/>
        </w:rPr>
        <w:t xml:space="preserve">纸质版【3】套，如需加晒图纸承包人自行承担所有费用；</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发包人向承包人提供图纸的内容：</w:t>
      </w:r>
      <w:r>
        <w:rPr>
          <w:rFonts w:ascii="Times New Roman" w:hAnsi="Times New Roman" w:eastAsia="宋体" w:cs="Times New Roman"/>
          <w:color w:val="auto"/>
          <w:sz w:val="21"/>
          <w:szCs w:val="21"/>
          <w:u w:val="single"/>
        </w:rPr>
        <w:t xml:space="preserve">全套施工图</w:t>
      </w:r>
      <w:r/>
    </w:p>
    <w:p>
      <w:pPr>
        <w:pStyle w:val="1229"/>
        <w:numPr>
          <w:ilvl w:val="0"/>
          <w:numId w:val="122"/>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承包人文件</w:t>
      </w:r>
      <w:r/>
    </w:p>
    <w:p>
      <w:pPr>
        <w:pStyle w:val="1240"/>
        <w:ind w:left="0" w:right="0"/>
        <w:pageBreakBefore w:val="0"/>
        <w:spacing w:before="0" w:after="0"/>
        <w:widowControl/>
        <w:rPr>
          <w:rFonts w:ascii="Times New Roman" w:hAnsi="Times New Roman" w:eastAsia="宋体" w:cs="Times New Roman"/>
          <w:b/>
          <w:color w:val="auto"/>
          <w:sz w:val="21"/>
          <w:szCs w:val="21"/>
          <w:u w:val="single"/>
        </w:rPr>
      </w:pPr>
      <w:r>
        <w:rPr>
          <w:rFonts w:ascii="Times New Roman" w:hAnsi="Times New Roman" w:eastAsia="宋体" w:cs="Times New Roman"/>
          <w:color w:val="auto"/>
          <w:sz w:val="21"/>
          <w:szCs w:val="21"/>
        </w:rPr>
        <w:t xml:space="preserve">需要由承包人提供的文件，包括：</w:t>
      </w:r>
      <w:r>
        <w:rPr>
          <w:rFonts w:ascii="Times New Roman" w:hAnsi="Times New Roman" w:eastAsia="宋体" w:cs="Times New Roman"/>
          <w:color w:val="auto"/>
          <w:sz w:val="21"/>
          <w:szCs w:val="21"/>
          <w:u w:val="single"/>
        </w:rPr>
        <w:t xml:space="preserve">每七天分别向发包人及监理方提供详细的施工进度计划、已完工程量报表（含工程变更及签证算）、发包人供材料清单、承包人购材</w:t>
      </w:r>
      <w:r>
        <w:rPr>
          <w:rFonts w:ascii="Times New Roman" w:hAnsi="Times New Roman" w:eastAsia="宋体" w:cs="Times New Roman"/>
          <w:color w:val="auto"/>
          <w:sz w:val="21"/>
          <w:szCs w:val="21"/>
          <w:u w:val="single"/>
        </w:rPr>
        <w:t xml:space="preserve">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需要由承包人提供的文件还包括：（1）设计变更、签证申请报告；（2）隐蔽工程和中间验收通知；（3）竣工验收申请报告；（4）竣工资料；（5）竣工结算申请单及结算资料；（6）最终结清申请单；其</w:t>
      </w:r>
      <w:r>
        <w:rPr>
          <w:rFonts w:ascii="Times New Roman" w:hAnsi="Times New Roman" w:eastAsia="宋体" w:cs="Times New Roman"/>
          <w:b/>
          <w:color w:val="auto"/>
          <w:sz w:val="21"/>
          <w:szCs w:val="21"/>
          <w:u w:val="single"/>
        </w:rPr>
        <w:t xml:space="preserve">他应监理人或发包人要求提交的其他报告、报表：承包人应在正式施工前向发包人提供详细施工技术方案及未来清单报价表（含综合单价分析表等）并附光盘，经发包人审核书面同意后方可进场施工。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承包人提供的文件的期限为：</w:t>
      </w:r>
      <w:r>
        <w:rPr>
          <w:rFonts w:ascii="Times New Roman" w:hAnsi="Times New Roman" w:eastAsia="宋体" w:cs="Times New Roman"/>
          <w:color w:val="auto"/>
          <w:sz w:val="21"/>
          <w:szCs w:val="21"/>
          <w:u w:val="single"/>
        </w:rPr>
        <w:t xml:space="preserve">除了上述第1.5.2条款规定的文件提交期限外，其他文件提交时间为相关事件发生之日起3天内</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承包人提供的文件的数量为：</w:t>
      </w:r>
      <w:r>
        <w:rPr>
          <w:rFonts w:ascii="Times New Roman" w:hAnsi="Times New Roman" w:eastAsia="宋体" w:cs="Times New Roman"/>
          <w:color w:val="auto"/>
          <w:sz w:val="21"/>
          <w:szCs w:val="21"/>
          <w:u w:val="single"/>
        </w:rPr>
        <w:t xml:space="preserve">一式叁份，交发包人和监理各一份，承包人留存一份</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承包人提供的文件的形式为：</w:t>
      </w:r>
      <w:r>
        <w:rPr>
          <w:rFonts w:ascii="Times New Roman" w:hAnsi="Times New Roman" w:eastAsia="宋体" w:cs="Times New Roman"/>
          <w:color w:val="auto"/>
          <w:sz w:val="21"/>
          <w:szCs w:val="21"/>
          <w:u w:val="single"/>
        </w:rPr>
        <w:t xml:space="preserve">书面形式</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发包人审批承包人文件的期限：</w:t>
      </w:r>
      <w:r>
        <w:rPr>
          <w:rFonts w:ascii="Times New Roman" w:hAnsi="Times New Roman" w:eastAsia="宋体" w:cs="Times New Roman"/>
          <w:color w:val="auto"/>
          <w:sz w:val="21"/>
          <w:szCs w:val="21"/>
          <w:u w:val="single"/>
        </w:rPr>
        <w:t xml:space="preserve">发包人收到文件后14天内</w:t>
      </w:r>
      <w:r>
        <w:rPr>
          <w:rFonts w:ascii="Times New Roman" w:hAnsi="Times New Roman" w:eastAsia="宋体" w:cs="Times New Roman"/>
          <w:color w:val="auto"/>
          <w:sz w:val="21"/>
          <w:szCs w:val="21"/>
        </w:rPr>
        <w:t xml:space="preserve">。</w:t>
      </w:r>
      <w:r/>
    </w:p>
    <w:p>
      <w:pPr>
        <w:pStyle w:val="1229"/>
        <w:numPr>
          <w:ilvl w:val="0"/>
          <w:numId w:val="122"/>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现场图纸准备</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关于现场图纸准备的约定：</w:t>
      </w:r>
      <w:r>
        <w:rPr>
          <w:rFonts w:ascii="Times New Roman" w:hAnsi="Times New Roman" w:eastAsia="宋体" w:cs="Times New Roman"/>
          <w:color w:val="auto"/>
          <w:sz w:val="21"/>
          <w:szCs w:val="21"/>
          <w:u w:val="single"/>
        </w:rPr>
        <w:t xml:space="preserve">执行通用条款</w:t>
      </w:r>
      <w:r>
        <w:rPr>
          <w:rFonts w:ascii="Times New Roman" w:hAnsi="Times New Roman" w:eastAsia="宋体" w:cs="Times New Roman"/>
          <w:color w:val="auto"/>
          <w:sz w:val="21"/>
          <w:szCs w:val="21"/>
        </w:rPr>
        <w:t xml:space="preserve">。</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联络</w:t>
      </w:r>
      <w:r/>
    </w:p>
    <w:p>
      <w:pPr>
        <w:pStyle w:val="1240"/>
        <w:numPr>
          <w:ilvl w:val="0"/>
          <w:numId w:val="123"/>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发包人和承包人应当在</w:t>
      </w:r>
      <w:r>
        <w:rPr>
          <w:rFonts w:ascii="Times New Roman" w:hAnsi="Times New Roman" w:eastAsia="宋体" w:cs="Times New Roman"/>
          <w:color w:val="auto"/>
          <w:sz w:val="21"/>
          <w:szCs w:val="21"/>
          <w:u w:val="single"/>
        </w:rPr>
        <w:t xml:space="preserve"> 3 </w:t>
      </w:r>
      <w:r>
        <w:rPr>
          <w:rFonts w:ascii="Times New Roman" w:hAnsi="Times New Roman" w:eastAsia="宋体" w:cs="Times New Roman"/>
          <w:color w:val="auto"/>
          <w:sz w:val="21"/>
          <w:szCs w:val="21"/>
        </w:rPr>
        <w:t xml:space="preserve">天内将与合同有关的通知、批准、证明、证书、指示、指令、要求、请求、同意、意见、确定和决定等书面函件送达对方当事人（但发包人审批承包人文件的期限为：发包人收到文件后14天内）。</w:t>
      </w:r>
      <w:r/>
    </w:p>
    <w:p>
      <w:pPr>
        <w:pStyle w:val="1240"/>
        <w:numPr>
          <w:ilvl w:val="0"/>
          <w:numId w:val="123"/>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发包人接收文件的地点：</w:t>
      </w:r>
      <w:r>
        <w:rPr>
          <w:rFonts w:ascii="Times New Roman" w:hAnsi="Times New Roman" w:eastAsia="宋体" w:cs="Times New Roman"/>
          <w:color w:val="auto"/>
          <w:sz w:val="21"/>
          <w:szCs w:val="21"/>
          <w:u w:val="single"/>
        </w:rPr>
        <w:t xml:space="preserve">南京中医药大学【    】校区发包人授权代表办公室</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发包人指定的接收人为：______。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承包人接收文件的地点：______；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承包人指定的接收人为：</w:t>
      </w:r>
      <w:r>
        <w:rPr>
          <w:rFonts w:ascii="Times New Roman" w:hAnsi="Times New Roman" w:eastAsia="宋体" w:cs="Times New Roman"/>
          <w:color w:val="auto"/>
          <w:sz w:val="21"/>
          <w:szCs w:val="21"/>
          <w:u w:val="single"/>
        </w:rPr>
        <w:t xml:space="preserve">项目经理：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监理人接收文件的地点：______；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监理人指定的接收人为：______。</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交通运输</w:t>
      </w:r>
      <w:r/>
    </w:p>
    <w:p>
      <w:pPr>
        <w:pStyle w:val="1229"/>
        <w:ind w:left="0" w:right="0"/>
        <w:pageBreakBefore w:val="0"/>
        <w:spacing w:before="0"/>
        <w:widowControl/>
        <w:rPr>
          <w:color w:val="auto"/>
          <w:sz w:val="21"/>
          <w:szCs w:val="21"/>
        </w:rPr>
      </w:pPr>
      <w:r>
        <w:rPr>
          <w:color w:val="auto"/>
          <w:sz w:val="21"/>
          <w:szCs w:val="21"/>
        </w:rPr>
        <w:t xml:space="preserve">1 .7.1 出入现场的权利</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关于出入现场的权利的约定：</w:t>
      </w:r>
      <w:r>
        <w:rPr>
          <w:rFonts w:ascii="Times New Roman" w:hAnsi="Times New Roman" w:eastAsia="宋体" w:cs="Times New Roman"/>
          <w:color w:val="auto"/>
          <w:sz w:val="21"/>
          <w:szCs w:val="21"/>
          <w:u w:val="single"/>
        </w:rPr>
        <w:t xml:space="preserve">发包人项目负责人及主管领导、承包人项目组成员有权出入现场，禁止外单位施工车辆、人员出入工地</w:t>
      </w:r>
      <w:r>
        <w:rPr>
          <w:rFonts w:ascii="Times New Roman" w:hAnsi="Times New Roman" w:eastAsia="宋体" w:cs="Times New Roman"/>
          <w:color w:val="auto"/>
          <w:sz w:val="21"/>
          <w:szCs w:val="21"/>
        </w:rPr>
        <w:t xml:space="preserve">。</w:t>
      </w:r>
      <w:r/>
    </w:p>
    <w:p>
      <w:pPr>
        <w:pStyle w:val="1229"/>
        <w:ind w:left="0" w:right="0"/>
        <w:pageBreakBefore w:val="0"/>
        <w:spacing w:before="0"/>
        <w:widowControl/>
        <w:rPr>
          <w:color w:val="auto"/>
          <w:sz w:val="21"/>
          <w:szCs w:val="21"/>
        </w:rPr>
      </w:pPr>
      <w:r>
        <w:rPr>
          <w:color w:val="auto"/>
          <w:sz w:val="21"/>
          <w:szCs w:val="21"/>
        </w:rPr>
        <w:t xml:space="preserve">1 .7.2场内交通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关于场外交通和场内交通的边界的约定：</w:t>
      </w:r>
      <w:r>
        <w:rPr>
          <w:rFonts w:ascii="Times New Roman" w:hAnsi="Times New Roman" w:eastAsia="宋体" w:cs="Times New Roman"/>
          <w:color w:val="auto"/>
          <w:sz w:val="21"/>
          <w:szCs w:val="21"/>
          <w:u w:val="single"/>
        </w:rPr>
        <w:t xml:space="preserve">视项目现场情况另行约定</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关于发包人向承包人免费提供满足工程施工需要的场内道路和交通设施的约定：/。</w:t>
      </w:r>
      <w:r/>
    </w:p>
    <w:p>
      <w:pPr>
        <w:pStyle w:val="1229"/>
        <w:ind w:left="0" w:right="0"/>
        <w:pageBreakBefore w:val="0"/>
        <w:spacing w:before="0"/>
        <w:widowControl/>
        <w:rPr>
          <w:color w:val="auto"/>
          <w:sz w:val="21"/>
          <w:szCs w:val="21"/>
        </w:rPr>
      </w:pPr>
      <w:r>
        <w:rPr>
          <w:color w:val="auto"/>
          <w:sz w:val="21"/>
          <w:szCs w:val="21"/>
        </w:rPr>
        <w:t xml:space="preserve">1.7.3超大件和超重件的运输</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运输超大件或超重件所需的道路和桥梁临时加固改造费用和其他有关费用由</w:t>
      </w:r>
      <w:r>
        <w:rPr>
          <w:rFonts w:ascii="Times New Roman" w:hAnsi="Times New Roman" w:eastAsia="宋体" w:cs="Times New Roman"/>
          <w:color w:val="auto"/>
          <w:sz w:val="21"/>
          <w:szCs w:val="21"/>
          <w:u w:val="single"/>
        </w:rPr>
        <w:t xml:space="preserve">承包人</w:t>
      </w:r>
      <w:r>
        <w:rPr>
          <w:rFonts w:ascii="Times New Roman" w:hAnsi="Times New Roman" w:eastAsia="宋体" w:cs="Times New Roman"/>
          <w:color w:val="auto"/>
          <w:sz w:val="21"/>
          <w:szCs w:val="21"/>
        </w:rPr>
        <w:t xml:space="preserve">承担。</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知识产权</w:t>
      </w:r>
      <w:r/>
    </w:p>
    <w:p>
      <w:pPr>
        <w:pStyle w:val="1240"/>
        <w:numPr>
          <w:ilvl w:val="0"/>
          <w:numId w:val="12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color w:val="auto"/>
          <w:sz w:val="21"/>
          <w:szCs w:val="21"/>
          <w:u w:val="single"/>
        </w:rPr>
        <w:t xml:space="preserve">按照通用条款执行。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关于发包人提供的上述文件的使用限制的要求：</w:t>
      </w:r>
      <w:r>
        <w:rPr>
          <w:rFonts w:ascii="Times New Roman" w:hAnsi="Times New Roman" w:eastAsia="宋体" w:cs="Times New Roman"/>
          <w:color w:val="auto"/>
          <w:sz w:val="21"/>
          <w:szCs w:val="21"/>
          <w:u w:val="single"/>
        </w:rPr>
        <w:t xml:space="preserve">仅限于此工程项目</w:t>
      </w:r>
      <w:r>
        <w:rPr>
          <w:rFonts w:ascii="Times New Roman" w:hAnsi="Times New Roman" w:eastAsia="宋体" w:cs="Times New Roman"/>
          <w:color w:val="auto"/>
          <w:sz w:val="21"/>
          <w:szCs w:val="21"/>
        </w:rPr>
        <w:t xml:space="preserve">。</w:t>
      </w:r>
      <w:r/>
    </w:p>
    <w:p>
      <w:pPr>
        <w:pStyle w:val="1240"/>
        <w:numPr>
          <w:ilvl w:val="0"/>
          <w:numId w:val="124"/>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关于承包人为实施工程所编制文件的著作权的归属：</w:t>
      </w:r>
      <w:r>
        <w:rPr>
          <w:rFonts w:ascii="Times New Roman" w:hAnsi="Times New Roman" w:eastAsia="宋体" w:cs="Times New Roman"/>
          <w:color w:val="auto"/>
          <w:sz w:val="21"/>
          <w:szCs w:val="21"/>
          <w:u w:val="single"/>
        </w:rPr>
        <w:t xml:space="preserve">按照通用条款执行</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关于承包人提供的上述文件的使用限制的要求：</w:t>
      </w:r>
      <w:r>
        <w:rPr>
          <w:rFonts w:ascii="Times New Roman" w:hAnsi="Times New Roman" w:eastAsia="宋体" w:cs="Times New Roman"/>
          <w:color w:val="auto"/>
          <w:sz w:val="21"/>
          <w:szCs w:val="21"/>
          <w:u w:val="single"/>
        </w:rPr>
        <w:t xml:space="preserve">按照通用条款执行</w:t>
      </w:r>
      <w:r>
        <w:rPr>
          <w:rFonts w:ascii="Times New Roman" w:hAnsi="Times New Roman" w:eastAsia="宋体" w:cs="Times New Roman"/>
          <w:color w:val="auto"/>
          <w:sz w:val="21"/>
          <w:szCs w:val="21"/>
        </w:rPr>
        <w:t xml:space="preserve">。</w:t>
      </w:r>
      <w:r/>
    </w:p>
    <w:p>
      <w:pPr>
        <w:pStyle w:val="1240"/>
        <w:numPr>
          <w:ilvl w:val="0"/>
          <w:numId w:val="12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承包人在施工过程中所采用的专利、专有技术、技术秘密的使用费的承担方式：</w:t>
      </w:r>
      <w:r>
        <w:rPr>
          <w:rFonts w:ascii="Times New Roman" w:hAnsi="Times New Roman" w:eastAsia="宋体" w:cs="Times New Roman"/>
          <w:color w:val="auto"/>
          <w:sz w:val="21"/>
          <w:szCs w:val="21"/>
          <w:u w:val="single"/>
        </w:rPr>
        <w:t xml:space="preserve">由承包人承担</w:t>
      </w:r>
      <w:r>
        <w:rPr>
          <w:rFonts w:ascii="Times New Roman" w:hAnsi="Times New Roman" w:eastAsia="宋体" w:cs="Times New Roman"/>
          <w:color w:val="auto"/>
          <w:sz w:val="21"/>
          <w:szCs w:val="21"/>
        </w:rPr>
        <w:t xml:space="preserve">。</w:t>
      </w:r>
      <w:r/>
    </w:p>
    <w:p>
      <w:pPr>
        <w:pStyle w:val="1228"/>
        <w:numPr>
          <w:ilvl w:val="0"/>
          <w:numId w:val="11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工程量清单错误的修正</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当工程量清单存在缺</w:t>
      </w:r>
      <w:r>
        <w:rPr>
          <w:rFonts w:ascii="Times New Roman" w:hAnsi="Times New Roman" w:eastAsia="宋体" w:cs="Times New Roman"/>
          <w:color w:val="auto"/>
          <w:sz w:val="21"/>
          <w:szCs w:val="21"/>
          <w:u w:val="single"/>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承包人报价浮动率 L=[1-（中标造价/采购控制价）]× 100%；</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允许调整合同价格的工程量偏差范围：</w:t>
      </w:r>
      <w:r>
        <w:rPr>
          <w:rFonts w:ascii="Times New Roman" w:hAnsi="Times New Roman" w:eastAsia="宋体" w:cs="Times New Roman"/>
          <w:color w:val="auto"/>
          <w:sz w:val="21"/>
          <w:szCs w:val="21"/>
          <w:u w:val="single"/>
        </w:rPr>
        <w:t xml:space="preserve">/ 。</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发包人</w:t>
      </w:r>
      <w:r/>
    </w:p>
    <w:p>
      <w:pPr>
        <w:pStyle w:val="1228"/>
        <w:numPr>
          <w:ilvl w:val="0"/>
          <w:numId w:val="12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发包人代表</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发包人代表：</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姓名：______；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身份证号：_____；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职务：______；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联系电话：_____；</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电子信箱：_____；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通信地址：_____。</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发包人对发包人代表的授权范围如下：</w:t>
      </w:r>
      <w:r/>
    </w:p>
    <w:p>
      <w:pPr>
        <w:pStyle w:val="1240"/>
        <w:ind w:left="0" w:right="0"/>
        <w:pageBreakBefore w:val="0"/>
        <w:spacing w:before="0" w:after="0"/>
        <w:widowControl/>
        <w:rPr>
          <w:rFonts w:ascii="Times New Roman" w:hAnsi="Times New Roman" w:eastAsia="宋体" w:cs="Times New Roman"/>
          <w:b/>
          <w:color w:val="auto"/>
          <w:sz w:val="21"/>
          <w:szCs w:val="21"/>
          <w:u w:val="single"/>
        </w:rPr>
      </w:pPr>
      <w:r>
        <w:rPr>
          <w:rFonts w:ascii="Times New Roman" w:hAnsi="Times New Roman" w:eastAsia="宋体" w:cs="Times New Roman"/>
          <w:b/>
          <w:color w:val="auto"/>
          <w:sz w:val="21"/>
          <w:szCs w:val="21"/>
          <w:u w:val="single"/>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pStyle w:val="1228"/>
        <w:numPr>
          <w:ilvl w:val="0"/>
          <w:numId w:val="12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施工现场、施工条件和基础资料的提供</w:t>
      </w:r>
      <w:r/>
    </w:p>
    <w:p>
      <w:pPr>
        <w:pStyle w:val="1229"/>
        <w:numPr>
          <w:ilvl w:val="0"/>
          <w:numId w:val="126"/>
        </w:numPr>
        <w:ind w:left="0" w:right="0" w:firstLine="0"/>
        <w:pageBreakBefore w:val="0"/>
        <w:spacing w:before="0"/>
        <w:widowControl/>
        <w:rPr>
          <w:b w:val="0"/>
          <w:color w:val="auto"/>
          <w:sz w:val="21"/>
          <w:szCs w:val="21"/>
        </w:rPr>
      </w:pPr>
      <w:r>
        <w:rPr>
          <w:color w:val="auto"/>
          <w:sz w:val="21"/>
          <w:szCs w:val="21"/>
        </w:rPr>
        <w:t xml:space="preserve">提供施工现场</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关于发包人移交施工现场的期限要求：</w:t>
      </w:r>
      <w:r>
        <w:rPr>
          <w:rFonts w:ascii="Times New Roman" w:hAnsi="Times New Roman" w:eastAsia="宋体" w:cs="Times New Roman"/>
          <w:color w:val="auto"/>
          <w:sz w:val="21"/>
          <w:szCs w:val="21"/>
          <w:u w:val="single"/>
        </w:rPr>
        <w:t xml:space="preserve">签订本合同，签署开工令后3日内</w:t>
      </w:r>
      <w:r>
        <w:rPr>
          <w:rFonts w:ascii="Times New Roman" w:hAnsi="Times New Roman" w:eastAsia="宋体" w:cs="Times New Roman"/>
          <w:color w:val="auto"/>
          <w:sz w:val="21"/>
          <w:szCs w:val="21"/>
        </w:rPr>
        <w:t xml:space="preserve">。</w:t>
      </w:r>
      <w:r/>
    </w:p>
    <w:p>
      <w:pPr>
        <w:pStyle w:val="1229"/>
        <w:numPr>
          <w:ilvl w:val="0"/>
          <w:numId w:val="126"/>
        </w:numPr>
        <w:ind w:left="0" w:right="0" w:firstLine="0"/>
        <w:pageBreakBefore w:val="0"/>
        <w:spacing w:before="0"/>
        <w:widowControl/>
        <w:rPr>
          <w:b w:val="0"/>
          <w:color w:val="auto"/>
          <w:sz w:val="21"/>
          <w:szCs w:val="21"/>
        </w:rPr>
      </w:pPr>
      <w:r>
        <w:rPr>
          <w:color w:val="auto"/>
          <w:sz w:val="21"/>
          <w:szCs w:val="21"/>
        </w:rPr>
        <w:t xml:space="preserve">提供施工条件</w:t>
      </w:r>
      <w:r/>
    </w:p>
    <w:p>
      <w:pPr>
        <w:pStyle w:val="1240"/>
        <w:ind w:left="0" w:right="0"/>
        <w:pageBreakBefore w:val="0"/>
        <w:spacing w:before="0" w:after="0"/>
        <w:widowControl/>
        <w:rPr>
          <w:rFonts w:ascii="Times New Roman" w:hAnsi="Times New Roman" w:eastAsia="宋体" w:cs="Times New Roman"/>
          <w:b/>
          <w:color w:val="auto"/>
          <w:sz w:val="21"/>
          <w:szCs w:val="21"/>
          <w:u w:val="single"/>
        </w:rPr>
      </w:pPr>
      <w:r>
        <w:rPr>
          <w:rFonts w:ascii="Times New Roman" w:hAnsi="Times New Roman" w:eastAsia="宋体" w:cs="Times New Roman"/>
          <w:color w:val="auto"/>
          <w:sz w:val="21"/>
          <w:szCs w:val="21"/>
        </w:rPr>
        <w:t xml:space="preserve">关于发包人应负责提供施工所需要的条件，包括：</w:t>
      </w:r>
      <w:r>
        <w:rPr>
          <w:rFonts w:ascii="Times New Roman" w:hAnsi="Times New Roman" w:eastAsia="宋体" w:cs="Times New Roman"/>
          <w:b/>
          <w:color w:val="auto"/>
          <w:sz w:val="21"/>
          <w:szCs w:val="21"/>
          <w:u w:val="single"/>
        </w:rPr>
        <w:t xml:space="preserve">关于资源占用量（含水电）的约定，按照现行有效的《南京中医药大学水电管理办法》执行，详见附件1。</w:t>
      </w:r>
      <w:r/>
    </w:p>
    <w:p>
      <w:pPr>
        <w:pStyle w:val="1228"/>
        <w:numPr>
          <w:ilvl w:val="0"/>
          <w:numId w:val="12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资金来源证明及支付担保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发包人提供资金来源证明的期限要求：</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发包人是否提供支付担保：</w:t>
      </w:r>
      <w:r>
        <w:rPr>
          <w:rFonts w:ascii="Times New Roman" w:hAnsi="Times New Roman" w:eastAsia="宋体" w:cs="Times New Roman"/>
          <w:color w:val="auto"/>
          <w:sz w:val="21"/>
          <w:szCs w:val="21"/>
          <w:u w:val="single"/>
        </w:rPr>
        <w:t xml:space="preserve">否</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承包人</w:t>
      </w:r>
      <w:r/>
    </w:p>
    <w:p>
      <w:pPr>
        <w:pStyle w:val="1228"/>
        <w:numPr>
          <w:ilvl w:val="0"/>
          <w:numId w:val="127"/>
        </w:numPr>
        <w:ind w:left="0" w:right="0" w:firstLine="0"/>
        <w:pageBreakBefore w:val="0"/>
        <w:spacing w:before="0"/>
        <w:widowControl/>
        <w:rPr>
          <w:b w:val="0"/>
          <w:color w:val="auto"/>
          <w:sz w:val="21"/>
          <w:szCs w:val="21"/>
        </w:rPr>
      </w:pPr>
      <w:r>
        <w:rPr>
          <w:color w:val="auto"/>
          <w:sz w:val="21"/>
          <w:szCs w:val="21"/>
        </w:rPr>
        <w:t xml:space="preserve">承包人的一般义务</w:t>
      </w:r>
      <w:r/>
    </w:p>
    <w:p>
      <w:pPr>
        <w:pStyle w:val="1240"/>
        <w:numPr>
          <w:ilvl w:val="0"/>
          <w:numId w:val="128"/>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rPr>
        <w:t xml:space="preserve">承包人提交的竣工资料的内容：</w:t>
      </w:r>
      <w:r>
        <w:rPr>
          <w:rFonts w:ascii="Times New Roman" w:hAnsi="Times New Roman" w:eastAsia="宋体" w:cs="Times New Roman"/>
          <w:color w:val="auto"/>
          <w:sz w:val="21"/>
          <w:szCs w:val="21"/>
          <w:u w:val="single"/>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承包人需要提交的竣工资料套数：</w:t>
      </w:r>
      <w:r>
        <w:rPr>
          <w:rFonts w:ascii="Times New Roman" w:hAnsi="Times New Roman" w:eastAsia="宋体" w:cs="Times New Roman"/>
          <w:color w:val="auto"/>
          <w:sz w:val="21"/>
          <w:szCs w:val="21"/>
          <w:u w:val="single"/>
        </w:rPr>
        <w:t xml:space="preserve">【叁】套完整的纸质竣工资料（另附竣工电子文件一套），其中包括竣工决算资料等</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承包人提交的竣工资料的费用承担：承包人</w:t>
      </w:r>
      <w:r>
        <w:rPr>
          <w:rFonts w:ascii="Times New Roman" w:hAnsi="Times New Roman" w:eastAsia="宋体" w:cs="Times New Roman"/>
          <w:color w:val="auto"/>
          <w:sz w:val="21"/>
          <w:szCs w:val="21"/>
          <w:u w:val="single"/>
        </w:rPr>
        <w:t xml:space="preserve">自行承担</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承包人提交的竣工资料移交时间：</w:t>
      </w:r>
      <w:r>
        <w:rPr>
          <w:rFonts w:ascii="Times New Roman" w:hAnsi="Times New Roman" w:eastAsia="宋体" w:cs="Times New Roman"/>
          <w:color w:val="auto"/>
          <w:sz w:val="21"/>
          <w:szCs w:val="21"/>
          <w:u w:val="single"/>
        </w:rPr>
        <w:t xml:space="preserve">工程竣工验收合格后一周之内，承包人应向发包人递交前述完整的竣工资料</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承包人提交的竣工资料形式要求：</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书面及电子文档，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ascii="Times New Roman" w:hAnsi="Times New Roman" w:eastAsia="宋体" w:cs="Times New Roman"/>
          <w:color w:val="auto"/>
          <w:sz w:val="21"/>
          <w:szCs w:val="21"/>
        </w:rPr>
        <w:t xml:space="preserve">。</w:t>
      </w:r>
      <w:r/>
    </w:p>
    <w:p>
      <w:pPr>
        <w:pStyle w:val="1240"/>
        <w:numPr>
          <w:ilvl w:val="0"/>
          <w:numId w:val="128"/>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承包人应履行的其他义务：</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承包人除完成招标文件要求和合同约定的义务外，还须遵守发包人的监督管理</w:t>
      </w:r>
      <w:r>
        <w:rPr>
          <w:rFonts w:ascii="Times New Roman" w:hAnsi="Times New Roman" w:eastAsia="宋体" w:cs="Times New Roman"/>
          <w:color w:val="auto"/>
          <w:sz w:val="21"/>
          <w:szCs w:val="21"/>
        </w:rPr>
        <w:t xml:space="preserve">。</w:t>
      </w:r>
      <w:r>
        <w:rPr>
          <w:rFonts w:ascii="Times New Roman" w:hAnsi="Times New Roman" w:eastAsia="宋体" w:cs="Times New Roman"/>
          <w:color w:val="auto"/>
          <w:sz w:val="21"/>
          <w:szCs w:val="21"/>
          <w:u w:val="single"/>
        </w:rPr>
        <w:t xml:space="preserve">承包人应保证本工程施工过程不对工程所在楼内的正常生活等使用功能和秩序造成不良影响，如需夜间施工，所涉及的所有费用由承包人自行承担。承包人在施工过程中，应根据发包人</w:t>
      </w:r>
      <w:r>
        <w:rPr>
          <w:rFonts w:ascii="Times New Roman" w:hAnsi="Times New Roman" w:eastAsia="宋体" w:cs="Times New Roman"/>
          <w:color w:val="auto"/>
          <w:sz w:val="21"/>
          <w:szCs w:val="21"/>
          <w:u w:val="single"/>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需由设计资质等级和业务范围允许的承包人完成的设计文件提交时间：不采用。</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应提供计划、报表的名称及完成时间：</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承担施工安全保卫工作及非夜间施工照明的责任和要求：</w:t>
      </w:r>
      <w:r/>
    </w:p>
    <w:p>
      <w:pPr>
        <w:pStyle w:val="1240"/>
        <w:numPr>
          <w:ilvl w:val="0"/>
          <w:numId w:val="130"/>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建立和执行防火管理制度。</w:t>
      </w:r>
      <w:r/>
    </w:p>
    <w:p>
      <w:pPr>
        <w:pStyle w:val="1240"/>
        <w:numPr>
          <w:ilvl w:val="0"/>
          <w:numId w:val="130"/>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施工现场临时用水、用电费用由承包人承担，按照附件1：《南京中医药大学水电管理办法》第六章的具体规定执行。承包人认真做好施工现场的安全防护工作（包括照明、安全设施等），承包人对安全防护工作负全责（责任和费用均由承包人承担）。</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向发包人提供的办公和生活房屋及设施的要求：   /   。</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需承包人办理的有关施工场地交通、环卫和施工噪音管理等手续：此项工作及费用由承包人负责，发包人不再补贴。</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已完工程成品保护的特殊要求及费用承担：工程全部成品、半成品在竣工验收交付前均由承包人负责管理和保护，费用含在总承包管理（配合）费中；其它按通用条款9.1第（6）条执行。</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施工场地周围地下管线和邻近建筑物、构筑物（含文物保护建筑）、古树名木的保护要求及费用承担：</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承包人对该工程履行总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8）施工场清洁卫生的要求：施工场地在保证安全的前提下，按照标准化施工现场要求，保持场内、场外、交通进出口的安全和清洁卫生，所发生费用已包含在投标报价中。</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承包人聘用的人员应遵守当地法律法规、及发包人的各项规章制度，服从发包人管理。因工程建设不到位或工作人员违章作业、违法犯纪行为造成发包人损失时，承包人应负相应赔偿责任。</w:t>
      </w:r>
      <w:r/>
    </w:p>
    <w:p>
      <w:pPr>
        <w:pStyle w:val="1240"/>
        <w:numPr>
          <w:ilvl w:val="0"/>
          <w:numId w:val="12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pStyle w:val="1228"/>
        <w:numPr>
          <w:ilvl w:val="0"/>
          <w:numId w:val="127"/>
        </w:numPr>
        <w:ind w:left="0" w:right="0" w:firstLine="0"/>
        <w:pageBreakBefore w:val="0"/>
        <w:spacing w:before="0"/>
        <w:widowControl/>
        <w:rPr>
          <w:b w:val="0"/>
          <w:color w:val="auto"/>
          <w:sz w:val="21"/>
          <w:szCs w:val="21"/>
        </w:rPr>
      </w:pPr>
      <w:r>
        <w:rPr>
          <w:color w:val="auto"/>
          <w:sz w:val="21"/>
          <w:szCs w:val="21"/>
        </w:rPr>
        <w:t xml:space="preserve">项目经理</w:t>
      </w:r>
      <w:r/>
    </w:p>
    <w:p>
      <w:pPr>
        <w:pStyle w:val="1229"/>
        <w:numPr>
          <w:ilvl w:val="0"/>
          <w:numId w:val="131"/>
        </w:numPr>
        <w:ind w:left="0" w:right="0" w:firstLine="0"/>
        <w:pageBreakBefore w:val="0"/>
        <w:spacing w:before="0"/>
        <w:widowControl/>
        <w:rPr>
          <w:b w:val="0"/>
          <w:color w:val="auto"/>
          <w:sz w:val="21"/>
          <w:szCs w:val="21"/>
        </w:rPr>
      </w:pPr>
      <w:r>
        <w:rPr>
          <w:color w:val="auto"/>
          <w:sz w:val="21"/>
          <w:szCs w:val="21"/>
        </w:rPr>
        <w:t xml:space="preserve">项目经理：</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姓名：______；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身份证号：_____；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建造师执业资格等级：_____；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建造师注册证书号：______；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建造师执业印章号：______；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安全生产考核合格证书号：_____；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联系电话：_____；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电子信箱：_____；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通信地址：_____；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承包人对项目经理的授权范围如下：</w:t>
      </w:r>
      <w:r>
        <w:rPr>
          <w:rFonts w:ascii="Times New Roman" w:hAnsi="Times New Roman" w:eastAsia="宋体" w:cs="Times New Roman"/>
          <w:color w:val="auto"/>
          <w:sz w:val="21"/>
          <w:szCs w:val="21"/>
          <w:u w:val="single"/>
        </w:rPr>
        <w:t xml:space="preserve">代表承包人行使合同约定的承包人权利和义务，履行合同约定的承包人职责，代表承包人与发包人办理各类文件、材料签收手续</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关于项目经理在施工现场的时间要求：</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施工期间，项目经理每天且每天不少于八小时必须在本工程现场工作，且必须参加每周召开的例会，并随时接受发包人代表、</w:t>
      </w:r>
      <w:r>
        <w:rPr>
          <w:rFonts w:ascii="Times New Roman" w:hAnsi="Times New Roman" w:eastAsia="宋体" w:cs="Times New Roman"/>
          <w:b/>
          <w:color w:val="auto"/>
          <w:sz w:val="21"/>
          <w:szCs w:val="21"/>
          <w:u w:val="single"/>
        </w:rPr>
        <w:t xml:space="preserve">发包人其他管理部门</w:t>
      </w:r>
      <w:r>
        <w:rPr>
          <w:rFonts w:ascii="Times New Roman" w:hAnsi="Times New Roman" w:eastAsia="宋体" w:cs="Times New Roman"/>
          <w:color w:val="auto"/>
          <w:sz w:val="21"/>
          <w:szCs w:val="21"/>
          <w:u w:val="single"/>
        </w:rPr>
        <w:t xml:space="preserve">和监理总监的考勤和监督检查。如项目经理、有特殊原因不能保证上述在岗时间的，需征得发包人书面同意后，授权发包人认可的现场技术负责人全权处理现场事务。</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项目经理未经批准，擅自离开施工现场的违约责任：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发包人发现项目经理未经批准连续【24】小时不在本工程现场工作，发包人有权按每天2000元人民币的标准向承包人</w:t>
      </w:r>
      <w:r>
        <w:rPr>
          <w:rFonts w:ascii="Times New Roman" w:hAnsi="Times New Roman" w:eastAsia="宋体" w:cs="Times New Roman"/>
          <w:color w:val="auto"/>
          <w:sz w:val="21"/>
          <w:szCs w:val="21"/>
          <w:u w:val="single"/>
        </w:rPr>
        <w:t xml:space="preserve">收取违约金（发包人可从工程款中扣抵）。项目经理无故不参加每周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承包人未提交劳动合同，以及没有为项目经理缴纳社会保险证明的违约责任：</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pStyle w:val="1229"/>
        <w:numPr>
          <w:ilvl w:val="0"/>
          <w:numId w:val="131"/>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承包人擅自更换项目经理的违约责任：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ascii="Times New Roman" w:hAnsi="Times New Roman" w:eastAsia="宋体" w:cs="Times New Roman"/>
          <w:color w:val="auto"/>
          <w:sz w:val="21"/>
          <w:szCs w:val="21"/>
        </w:rPr>
        <w:t xml:space="preserve">。</w:t>
      </w:r>
      <w:r/>
    </w:p>
    <w:p>
      <w:pPr>
        <w:pStyle w:val="1229"/>
        <w:numPr>
          <w:ilvl w:val="0"/>
          <w:numId w:val="131"/>
        </w:numPr>
        <w:ind w:left="0" w:right="0" w:firstLine="0"/>
        <w:pageBreakBefore w:val="0"/>
        <w:spacing w:before="0"/>
        <w:widowControl/>
        <w:rPr>
          <w:rFonts w:hint="eastAsia" w:ascii="黑体" w:hAnsi="黑体" w:eastAsia="黑体" w:cs="黑体"/>
          <w:b w:val="0"/>
          <w:color w:val="auto"/>
          <w:sz w:val="21"/>
          <w:szCs w:val="21"/>
          <w:u w:val="single"/>
        </w:rPr>
      </w:pPr>
      <w:r>
        <w:rPr>
          <w:color w:val="auto"/>
          <w:sz w:val="21"/>
          <w:szCs w:val="21"/>
        </w:rPr>
        <w:t xml:space="preserve">承包人无正当理由拒绝更换项目经理的违约责任：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ascii="Times New Roman" w:hAnsi="Times New Roman" w:eastAsia="宋体" w:cs="Times New Roman"/>
          <w:color w:val="auto"/>
          <w:sz w:val="21"/>
          <w:szCs w:val="21"/>
        </w:rPr>
        <w:t xml:space="preserve">。</w:t>
      </w:r>
      <w:r/>
    </w:p>
    <w:p>
      <w:pPr>
        <w:pStyle w:val="1228"/>
        <w:numPr>
          <w:ilvl w:val="0"/>
          <w:numId w:val="127"/>
        </w:numPr>
        <w:ind w:left="0" w:right="0" w:firstLine="0"/>
        <w:pageBreakBefore w:val="0"/>
        <w:spacing w:before="0"/>
        <w:widowControl/>
        <w:rPr>
          <w:b w:val="0"/>
          <w:color w:val="auto"/>
          <w:sz w:val="21"/>
          <w:szCs w:val="21"/>
        </w:rPr>
      </w:pPr>
      <w:r>
        <w:rPr>
          <w:color w:val="auto"/>
          <w:sz w:val="21"/>
          <w:szCs w:val="21"/>
        </w:rPr>
        <w:t xml:space="preserve">承包人人员</w:t>
      </w:r>
      <w:r/>
    </w:p>
    <w:p>
      <w:pPr>
        <w:pStyle w:val="1240"/>
        <w:numPr>
          <w:ilvl w:val="0"/>
          <w:numId w:val="132"/>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承包人提交项目管理机构及施工现场管理人员安排报告的期限：</w:t>
      </w:r>
      <w:r>
        <w:rPr>
          <w:rFonts w:ascii="Times New Roman" w:hAnsi="Times New Roman" w:eastAsia="宋体" w:cs="Times New Roman"/>
          <w:color w:val="auto"/>
          <w:sz w:val="21"/>
          <w:szCs w:val="21"/>
          <w:u w:val="single"/>
        </w:rPr>
        <w:t xml:space="preserve">开工前一周</w:t>
      </w:r>
      <w:r>
        <w:rPr>
          <w:rFonts w:ascii="Times New Roman" w:hAnsi="Times New Roman" w:eastAsia="宋体" w:cs="Times New Roman"/>
          <w:color w:val="auto"/>
          <w:sz w:val="21"/>
          <w:szCs w:val="21"/>
        </w:rPr>
        <w:t xml:space="preserve">。</w:t>
      </w:r>
      <w:r/>
    </w:p>
    <w:p>
      <w:pPr>
        <w:pStyle w:val="1240"/>
        <w:numPr>
          <w:ilvl w:val="0"/>
          <w:numId w:val="132"/>
        </w:numPr>
        <w:ind w:left="0" w:righ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关于项目其他主要管理人员（现场技术负责人、施工员、质量员、安全员、资料员）在施工现场的时间要求：</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施工期间，</w:t>
      </w:r>
      <w:r>
        <w:rPr>
          <w:rFonts w:ascii="Times New Roman" w:hAnsi="Times New Roman" w:eastAsia="宋体" w:cs="Times New Roman"/>
          <w:b/>
          <w:color w:val="auto"/>
          <w:sz w:val="21"/>
          <w:szCs w:val="21"/>
          <w:u w:val="single"/>
        </w:rPr>
        <w:t xml:space="preserve">现场技术负责人、施工员、质量员、安全员</w:t>
      </w:r>
      <w:r>
        <w:rPr>
          <w:rFonts w:ascii="Times New Roman" w:hAnsi="Times New Roman" w:eastAsia="宋体" w:cs="Times New Roman"/>
          <w:color w:val="auto"/>
          <w:sz w:val="21"/>
          <w:szCs w:val="21"/>
          <w:u w:val="single"/>
        </w:rPr>
        <w:t xml:space="preserve">每天且每天不少于八小时必须在本工程现场工作，资料员按有关规定标准和本合同约定履行职责，并随时接受发包人代表、</w:t>
      </w:r>
      <w:r>
        <w:rPr>
          <w:rFonts w:ascii="Times New Roman" w:hAnsi="Times New Roman" w:eastAsia="宋体" w:cs="Times New Roman"/>
          <w:b/>
          <w:color w:val="auto"/>
          <w:sz w:val="21"/>
          <w:szCs w:val="21"/>
          <w:u w:val="single"/>
        </w:rPr>
        <w:t xml:space="preserve">发包人其他管理部门</w:t>
      </w:r>
      <w:r>
        <w:rPr>
          <w:rFonts w:ascii="Times New Roman" w:hAnsi="Times New Roman" w:eastAsia="宋体" w:cs="Times New Roman"/>
          <w:color w:val="auto"/>
          <w:sz w:val="21"/>
          <w:szCs w:val="21"/>
          <w:u w:val="single"/>
        </w:rPr>
        <w:t xml:space="preserve">和监理总监的考勤和监督检查。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b/>
          <w:color w:val="auto"/>
          <w:sz w:val="21"/>
          <w:szCs w:val="21"/>
        </w:rPr>
        <w:t xml:space="preserve">承包人项目其他主要管理人员（现场技术负责人、施工员、质量员、安全员）离开施工现场的批准要求：</w:t>
      </w:r>
      <w:r>
        <w:rPr>
          <w:rFonts w:ascii="Times New Roman" w:hAnsi="Times New Roman" w:eastAsia="宋体" w:cs="Times New Roman"/>
          <w:color w:val="auto"/>
          <w:sz w:val="21"/>
          <w:szCs w:val="21"/>
          <w:u w:val="single"/>
        </w:rPr>
        <w:t xml:space="preserve">提前一天向发包人书面申请，经发包人书面批准后方可离开</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承包人主要施工管理人员擅自离开施工现场的违约责任：</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ascii="Times New Roman" w:hAnsi="Times New Roman" w:eastAsia="宋体" w:cs="Times New Roman"/>
          <w:b/>
          <w:color w:val="auto"/>
          <w:sz w:val="21"/>
          <w:szCs w:val="21"/>
          <w:u w:val="single"/>
        </w:rPr>
        <w:t xml:space="preserve">现场技术负责人、施工员、质量员、安全员</w:t>
      </w:r>
      <w:r>
        <w:rPr>
          <w:rFonts w:ascii="Times New Roman" w:hAnsi="Times New Roman" w:eastAsia="宋体" w:cs="Times New Roman"/>
          <w:color w:val="auto"/>
          <w:sz w:val="21"/>
          <w:szCs w:val="21"/>
          <w:u w:val="single"/>
        </w:rPr>
        <w:t xml:space="preserve">连续2天或施工期内累计5天不在现场，视为承包人严重违约，发包人除有权按前述约定追索承包人违约金之外，还有权单方解除合同，并追究承包人违约责任。</w:t>
      </w:r>
      <w:r/>
    </w:p>
    <w:p>
      <w:pPr>
        <w:pStyle w:val="1240"/>
        <w:numPr>
          <w:ilvl w:val="0"/>
          <w:numId w:val="132"/>
        </w:numPr>
        <w:ind w:left="0" w:righ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承包人擅自更换项目其他主要管理人员（现场技术负责人、施工员、质量员、安全员、资料员）的违约责任：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投标文件中及合同中明确的项目其他主要管理人员（现场技术负责人、施工员、质量员、安全员、资料员）不得擅自变更，开工时或施工过程中若有擅自变更，将被视为承包人违约，承包人须按20000元/人·次付向发包人支付违约金，在工程款中扣除，发包人还有权解除合同，并追究承包人不能履约的违约责任，有权要求承包人赔偿发包人因此造成的一切损失，并报主管部门备案</w:t>
      </w:r>
      <w:r>
        <w:rPr>
          <w:rFonts w:ascii="Times New Roman" w:hAnsi="Times New Roman" w:eastAsia="宋体" w:cs="Times New Roman"/>
          <w:color w:val="auto"/>
          <w:sz w:val="21"/>
          <w:szCs w:val="21"/>
        </w:rPr>
        <w:t xml:space="preserve">。</w:t>
      </w:r>
      <w:r/>
    </w:p>
    <w:p>
      <w:pPr>
        <w:pStyle w:val="1240"/>
        <w:numPr>
          <w:ilvl w:val="0"/>
          <w:numId w:val="132"/>
        </w:numPr>
        <w:ind w:left="0" w:right="0" w:firstLine="480"/>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承包人无正当理由拒绝撤换项目其他主要管理人员（现场技术负责人、施工员、质量员、安全员、资料员）的违约责任：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ascii="Times New Roman" w:hAnsi="Times New Roman" w:eastAsia="宋体" w:cs="Times New Roman"/>
          <w:color w:val="auto"/>
          <w:sz w:val="21"/>
          <w:szCs w:val="21"/>
        </w:rPr>
        <w:t xml:space="preserve">。</w:t>
      </w:r>
      <w:r/>
    </w:p>
    <w:p>
      <w:pPr>
        <w:pStyle w:val="1228"/>
        <w:numPr>
          <w:ilvl w:val="0"/>
          <w:numId w:val="12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分包</w:t>
      </w:r>
      <w:r/>
    </w:p>
    <w:p>
      <w:pPr>
        <w:pStyle w:val="1229"/>
        <w:numPr>
          <w:ilvl w:val="0"/>
          <w:numId w:val="133"/>
        </w:numPr>
        <w:ind w:left="0" w:right="0" w:firstLine="0"/>
        <w:pageBreakBefore w:val="0"/>
        <w:spacing w:before="0"/>
        <w:widowControl/>
        <w:rPr>
          <w:b w:val="0"/>
          <w:color w:val="auto"/>
          <w:sz w:val="21"/>
          <w:szCs w:val="21"/>
        </w:rPr>
      </w:pPr>
      <w:r>
        <w:rPr>
          <w:color w:val="auto"/>
          <w:sz w:val="21"/>
          <w:szCs w:val="21"/>
        </w:rPr>
        <w:t xml:space="preserve">分包的一般约定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禁止分包的工程包括：</w:t>
      </w:r>
      <w:r>
        <w:rPr>
          <w:rFonts w:ascii="Times New Roman" w:hAnsi="Times New Roman" w:eastAsia="宋体" w:cs="Times New Roman"/>
          <w:color w:val="auto"/>
          <w:sz w:val="21"/>
          <w:szCs w:val="21"/>
          <w:u w:val="single"/>
        </w:rPr>
        <w:t xml:space="preserve">本工程禁止分包</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主体结构、关键性工作的范围：</w:t>
      </w:r>
      <w:r>
        <w:rPr>
          <w:rFonts w:ascii="Times New Roman" w:hAnsi="Times New Roman" w:eastAsia="宋体" w:cs="Times New Roman"/>
          <w:color w:val="auto"/>
          <w:sz w:val="21"/>
          <w:szCs w:val="21"/>
          <w:u w:val="single"/>
        </w:rPr>
        <w:t xml:space="preserve">本协议约定的所有施工内容</w:t>
      </w:r>
      <w:r>
        <w:rPr>
          <w:rFonts w:ascii="Times New Roman" w:hAnsi="Times New Roman" w:eastAsia="宋体" w:cs="Times New Roman"/>
          <w:color w:val="auto"/>
          <w:sz w:val="21"/>
          <w:szCs w:val="21"/>
        </w:rPr>
        <w:t xml:space="preserve">。</w:t>
      </w:r>
      <w:r/>
    </w:p>
    <w:p>
      <w:pPr>
        <w:pStyle w:val="1229"/>
        <w:numPr>
          <w:ilvl w:val="0"/>
          <w:numId w:val="13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分包的确定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允许分包的专业工程包括：</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其他关于分包的约定：</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9"/>
        <w:numPr>
          <w:ilvl w:val="0"/>
          <w:numId w:val="13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分包合同价款</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关于分包合同价款支付的约定：</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8"/>
        <w:numPr>
          <w:ilvl w:val="0"/>
          <w:numId w:val="12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工程照管与成品、半成品保护</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承包人负责照管工程及工程相关的材料、工程设备的起始时间：</w:t>
      </w:r>
      <w:r>
        <w:rPr>
          <w:rFonts w:ascii="Times New Roman" w:hAnsi="Times New Roman" w:eastAsia="宋体" w:cs="Times New Roman"/>
          <w:color w:val="auto"/>
          <w:sz w:val="21"/>
          <w:szCs w:val="21"/>
          <w:u w:val="single"/>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ascii="Times New Roman" w:hAnsi="Times New Roman" w:eastAsia="宋体" w:cs="Times New Roman"/>
          <w:color w:val="auto"/>
          <w:sz w:val="21"/>
          <w:szCs w:val="21"/>
        </w:rPr>
        <w:t xml:space="preserve">。</w:t>
      </w:r>
      <w:r/>
    </w:p>
    <w:p>
      <w:pPr>
        <w:pStyle w:val="1228"/>
        <w:numPr>
          <w:ilvl w:val="0"/>
          <w:numId w:val="12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履约担保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承包人是否提供履约担保：</w:t>
      </w:r>
      <w:r>
        <w:rPr>
          <w:rFonts w:ascii="Times New Roman" w:hAnsi="Times New Roman" w:eastAsia="宋体" w:cs="Times New Roman"/>
          <w:color w:val="auto"/>
          <w:sz w:val="21"/>
          <w:szCs w:val="21"/>
          <w:u w:val="single"/>
        </w:rPr>
        <w:t xml:space="preserve">是</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承包人提供履约担保的形式、金额及期限：</w:t>
      </w:r>
      <w:r/>
    </w:p>
    <w:p>
      <w:pPr>
        <w:pStyle w:val="1240"/>
        <w:numPr>
          <w:ilvl w:val="0"/>
          <w:numId w:val="13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质保期为24个月，自甲方组织的竣工验收合格报告签署之日起算。乙方于本合同签订前向甲方支付人民币　　　元（合同价暂定价的【3】%）的履约保证金，工程竣工并经甲方验收合格后转为质量保证金。质保期满且甲方确认工程无质量问题且无任何遗留问题后的十五个工作日内，甲方一次性无息退还乙方质量保证金（扣除因质量问题引起的维修费用、质量赔偿金等）。</w:t>
      </w:r>
      <w:r/>
    </w:p>
    <w:p>
      <w:pPr>
        <w:pStyle w:val="1240"/>
        <w:numPr>
          <w:ilvl w:val="0"/>
          <w:numId w:val="13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履约保证金汇款银行、账号及户名：承包人必须在本项目中标公示结束后将履约保证金汇入发包人指定的账号，账号为：4301010109001027264（开户行为工行汉中门支行，收款人为南京中医药大学），汇款必须从承包人基本账户转出，在备注、用途或附加说明中写明是本工程项目的履约保证金。逾期不交者，将列入发包人不诚信单位记录名单，后期不得参与发包人任何采购活动。承包人未缴纳履约保证金的，本合同不生效。</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监理人</w:t>
      </w:r>
      <w:r/>
    </w:p>
    <w:p>
      <w:pPr>
        <w:pStyle w:val="1228"/>
        <w:numPr>
          <w:ilvl w:val="0"/>
          <w:numId w:val="13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监理人的一般规定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关于监理人的监理内容：</w:t>
      </w:r>
      <w:r>
        <w:rPr>
          <w:rFonts w:ascii="Times New Roman" w:hAnsi="Times New Roman" w:eastAsia="宋体" w:cs="Times New Roman"/>
          <w:color w:val="auto"/>
          <w:sz w:val="21"/>
          <w:szCs w:val="21"/>
          <w:u w:val="single"/>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关于监理人的监理权限：</w:t>
      </w:r>
      <w:r>
        <w:rPr>
          <w:rFonts w:ascii="Times New Roman" w:hAnsi="Times New Roman" w:eastAsia="宋体" w:cs="Times New Roman"/>
          <w:color w:val="auto"/>
          <w:sz w:val="21"/>
          <w:szCs w:val="21"/>
          <w:u w:val="single"/>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关于监理人在施工现场的办公场所、生活场所的提供和费用承担的约定：</w:t>
      </w:r>
      <w:r>
        <w:rPr>
          <w:rFonts w:ascii="Times New Roman" w:hAnsi="Times New Roman" w:eastAsia="宋体" w:cs="Times New Roman"/>
          <w:color w:val="auto"/>
          <w:sz w:val="21"/>
          <w:szCs w:val="21"/>
          <w:u w:val="single"/>
        </w:rPr>
        <w:t xml:space="preserve">由承包人提供，费用已计入本合同总价款中，或由承包人另行承担，发包人不再另行支付</w:t>
      </w:r>
      <w:r>
        <w:rPr>
          <w:rFonts w:ascii="Times New Roman" w:hAnsi="Times New Roman" w:eastAsia="宋体" w:cs="Times New Roman"/>
          <w:color w:val="auto"/>
          <w:sz w:val="21"/>
          <w:szCs w:val="21"/>
        </w:rPr>
        <w:t xml:space="preserve">。</w:t>
      </w:r>
      <w:r/>
    </w:p>
    <w:p>
      <w:pPr>
        <w:pStyle w:val="1228"/>
        <w:numPr>
          <w:ilvl w:val="0"/>
          <w:numId w:val="135"/>
        </w:numPr>
        <w:ind w:left="0" w:right="0" w:firstLine="0"/>
        <w:pageBreakBefore w:val="0"/>
        <w:spacing w:before="0"/>
        <w:widowControl/>
        <w:rPr>
          <w:b w:val="0"/>
          <w:color w:val="auto"/>
          <w:sz w:val="21"/>
          <w:szCs w:val="21"/>
        </w:rPr>
      </w:pPr>
      <w:r>
        <w:rPr>
          <w:color w:val="auto"/>
          <w:sz w:val="21"/>
          <w:szCs w:val="21"/>
        </w:rPr>
        <w:t xml:space="preserve">监理人员</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总监理工程师：</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姓名：_____；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职务：_____；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监理工程师执业资格证书号：_____；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联系电话：_____；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电子信箱：_____；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通信地址：_____；</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关于监理人的其他约定：</w:t>
      </w:r>
      <w:r>
        <w:rPr>
          <w:rFonts w:ascii="Times New Roman" w:hAnsi="Times New Roman" w:eastAsia="宋体" w:cs="Times New Roman"/>
          <w:color w:val="auto"/>
          <w:sz w:val="21"/>
          <w:szCs w:val="21"/>
          <w:u w:val="single"/>
        </w:rPr>
        <w:t xml:space="preserve">详见本工程监理合同。</w:t>
      </w:r>
      <w:r/>
    </w:p>
    <w:p>
      <w:pPr>
        <w:pStyle w:val="1228"/>
        <w:numPr>
          <w:ilvl w:val="0"/>
          <w:numId w:val="13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商定或确定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在发包人和承包人不能通过协商达成一致意见时，发包人授权监理人对以下事项进行确定：</w:t>
      </w:r>
      <w:r/>
    </w:p>
    <w:p>
      <w:pPr>
        <w:pStyle w:val="1240"/>
        <w:numPr>
          <w:ilvl w:val="0"/>
          <w:numId w:val="136"/>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numPr>
          <w:ilvl w:val="0"/>
          <w:numId w:val="136"/>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numPr>
          <w:ilvl w:val="0"/>
          <w:numId w:val="136"/>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工程质量</w:t>
      </w:r>
      <w:r/>
    </w:p>
    <w:p>
      <w:pPr>
        <w:pStyle w:val="1228"/>
        <w:numPr>
          <w:ilvl w:val="0"/>
          <w:numId w:val="137"/>
        </w:numPr>
        <w:ind w:left="0" w:right="0" w:firstLine="0"/>
        <w:pageBreakBefore w:val="0"/>
        <w:spacing w:before="0"/>
        <w:widowControl/>
        <w:rPr>
          <w:b w:val="0"/>
          <w:color w:val="auto"/>
          <w:sz w:val="21"/>
          <w:szCs w:val="21"/>
        </w:rPr>
      </w:pPr>
      <w:r>
        <w:rPr>
          <w:color w:val="auto"/>
          <w:sz w:val="21"/>
          <w:szCs w:val="21"/>
        </w:rPr>
        <w:t xml:space="preserve">质量要求</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特殊质量标准和要求：质量标准的评定以现行国家、地方政府以及行业的质量检验评定标准为依据，确保质量</w:t>
      </w:r>
      <w:r>
        <w:rPr>
          <w:rFonts w:ascii="Times New Roman" w:hAnsi="Times New Roman" w:eastAsia="宋体" w:cs="Times New Roman"/>
          <w:color w:val="auto"/>
          <w:sz w:val="21"/>
          <w:szCs w:val="21"/>
          <w:u w:val="single"/>
        </w:rPr>
        <w:t xml:space="preserve">1、符合国家现行质量验收标准，《建筑工程施工质量验收统一标准》，合同约定的其他要求；2、实验室设施及设备满足招标文件参数要求，相关设施及设备品牌需在投标时明确（不得调整变更），项目竣工后配合校方进行资产入库；3、满足环保要求。</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关于工程奖项的约定：/。</w:t>
      </w:r>
      <w:r/>
    </w:p>
    <w:p>
      <w:pPr>
        <w:pStyle w:val="1228"/>
        <w:numPr>
          <w:ilvl w:val="0"/>
          <w:numId w:val="13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隐蔽工程检查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承包人提前通知监理人隐蔽工程检查的期限的约定：</w:t>
      </w:r>
      <w:r>
        <w:rPr>
          <w:rFonts w:ascii="Times New Roman" w:hAnsi="Times New Roman" w:eastAsia="宋体" w:cs="Times New Roman"/>
          <w:color w:val="auto"/>
          <w:sz w:val="21"/>
          <w:szCs w:val="21"/>
          <w:u w:val="single"/>
        </w:rPr>
        <w:t xml:space="preserve">共同检查前48小时书面通知监理。所有隐蔽工程和中间验收均须经监理工程师和发包人验收确认后方可继续施工</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监理人不能按时进行检查时，应提前</w:t>
      </w:r>
      <w:r>
        <w:rPr>
          <w:rFonts w:ascii="Times New Roman" w:hAnsi="Times New Roman" w:eastAsia="宋体" w:cs="Times New Roman"/>
          <w:color w:val="auto"/>
          <w:sz w:val="21"/>
          <w:szCs w:val="21"/>
          <w:u w:val="single"/>
        </w:rPr>
        <w:t xml:space="preserve"> 8 </w:t>
      </w:r>
      <w:r>
        <w:rPr>
          <w:rFonts w:ascii="Times New Roman" w:hAnsi="Times New Roman" w:eastAsia="宋体" w:cs="Times New Roman"/>
          <w:color w:val="auto"/>
          <w:sz w:val="21"/>
          <w:szCs w:val="21"/>
        </w:rPr>
        <w:t xml:space="preserve">小时提交书面延期要求。</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关于延期最长不得超过：</w:t>
      </w:r>
      <w:r>
        <w:rPr>
          <w:rFonts w:ascii="Times New Roman" w:hAnsi="Times New Roman" w:eastAsia="宋体" w:cs="Times New Roman"/>
          <w:color w:val="auto"/>
          <w:sz w:val="21"/>
          <w:szCs w:val="21"/>
          <w:u w:val="single"/>
        </w:rPr>
        <w:t xml:space="preserve"> 24 </w:t>
      </w:r>
      <w:r>
        <w:rPr>
          <w:rFonts w:ascii="Times New Roman" w:hAnsi="Times New Roman" w:eastAsia="宋体" w:cs="Times New Roman"/>
          <w:color w:val="auto"/>
          <w:sz w:val="21"/>
          <w:szCs w:val="21"/>
        </w:rPr>
        <w:t xml:space="preserve">小时。</w:t>
      </w:r>
      <w:r/>
    </w:p>
    <w:p>
      <w:pPr>
        <w:pStyle w:val="1228"/>
        <w:numPr>
          <w:ilvl w:val="0"/>
          <w:numId w:val="13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重新检验</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pStyle w:val="1229"/>
        <w:numPr>
          <w:ilvl w:val="0"/>
          <w:numId w:val="138"/>
        </w:numPr>
        <w:ind w:left="0" w:right="0" w:firstLine="0"/>
        <w:pageBreakBefore w:val="0"/>
        <w:spacing w:before="0"/>
        <w:widowControl/>
        <w:rPr>
          <w:b w:val="0"/>
          <w:color w:val="auto"/>
          <w:sz w:val="21"/>
          <w:szCs w:val="21"/>
        </w:rPr>
      </w:pPr>
      <w:r>
        <w:rPr>
          <w:color w:val="auto"/>
          <w:sz w:val="21"/>
          <w:szCs w:val="21"/>
        </w:rPr>
        <w:t xml:space="preserve">工程质量</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按专用条款和招标文件要求执行。</w:t>
      </w:r>
      <w:r/>
    </w:p>
    <w:p>
      <w:pPr>
        <w:pStyle w:val="1229"/>
        <w:numPr>
          <w:ilvl w:val="0"/>
          <w:numId w:val="13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检查和返工</w:t>
      </w:r>
      <w:r/>
    </w:p>
    <w:p>
      <w:pPr>
        <w:pStyle w:val="1240"/>
        <w:numPr>
          <w:ilvl w:val="0"/>
          <w:numId w:val="139"/>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承包人应严格按照施工规范、技术规程以及经监</w:t>
      </w:r>
      <w:r>
        <w:rPr>
          <w:rFonts w:ascii="Times New Roman" w:hAnsi="Times New Roman" w:eastAsia="宋体" w:cs="Times New Roman"/>
          <w:color w:val="auto"/>
          <w:sz w:val="21"/>
          <w:szCs w:val="21"/>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pStyle w:val="1240"/>
        <w:numPr>
          <w:ilvl w:val="0"/>
          <w:numId w:val="139"/>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承包人在发生工程质量问题时隐瞒监理工程师及发包人，或有偷工减料行为、使用假冒伪劣产品行为，除及时进行整改外另需向发包人支付40000元/次的质量违约金。</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安全文明施工与环境保护</w:t>
      </w:r>
      <w:r/>
    </w:p>
    <w:p>
      <w:pPr>
        <w:pStyle w:val="1228"/>
        <w:ind w:left="0" w:right="0"/>
        <w:pageBreakBefore w:val="0"/>
        <w:spacing w:before="0"/>
        <w:widowControl/>
        <w:rPr>
          <w:color w:val="auto"/>
          <w:sz w:val="21"/>
          <w:szCs w:val="21"/>
        </w:rPr>
      </w:pPr>
      <w:r>
        <w:rPr>
          <w:color w:val="auto"/>
          <w:sz w:val="21"/>
          <w:szCs w:val="21"/>
        </w:rPr>
        <w:t xml:space="preserve">6.1安全文明施工</w:t>
      </w:r>
      <w:r/>
    </w:p>
    <w:p>
      <w:pPr>
        <w:pStyle w:val="1229"/>
        <w:numPr>
          <w:ilvl w:val="0"/>
          <w:numId w:val="140"/>
        </w:numPr>
        <w:ind w:left="0" w:right="0" w:firstLine="0"/>
        <w:pageBreakBefore w:val="0"/>
        <w:spacing w:before="0"/>
        <w:widowControl/>
        <w:rPr>
          <w:b w:val="0"/>
          <w:color w:val="auto"/>
          <w:sz w:val="21"/>
          <w:szCs w:val="21"/>
        </w:rPr>
      </w:pPr>
      <w:r>
        <w:rPr>
          <w:color w:val="auto"/>
          <w:sz w:val="21"/>
          <w:szCs w:val="21"/>
        </w:rPr>
        <w:t xml:space="preserve">项目安全生产的达标目标及相应事项的约定：</w:t>
      </w:r>
      <w:r/>
    </w:p>
    <w:p>
      <w:pPr>
        <w:pStyle w:val="1240"/>
        <w:numPr>
          <w:ilvl w:val="0"/>
          <w:numId w:val="141"/>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除执行通用条款的相关规定外，承包人应严格按照规范和施工组织设计组织施工，采取有效防护措施，并在安全管理方面除正常进行安全学习、安全教</w:t>
      </w:r>
      <w:r>
        <w:rPr>
          <w:rFonts w:ascii="Times New Roman" w:hAnsi="Times New Roman" w:eastAsia="宋体" w:cs="Times New Roman"/>
          <w:color w:val="auto"/>
          <w:sz w:val="21"/>
          <w:szCs w:val="21"/>
          <w:u w:val="single"/>
        </w:rPr>
        <w:t xml:space="preserve">育外，同时应高度重视全部施工期间的安全工作，安全措施要落实到位，应急措施要跟上，高空作业必须有安全防护措施等，并配备专职安全人员。对于不重视安全工作，措施不到位，未按规定或本合同约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pStyle w:val="1240"/>
        <w:numPr>
          <w:ilvl w:val="0"/>
          <w:numId w:val="141"/>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如由于承包人不安全施工或其他违法违规等原因，导致发包人受到区级及以上行政主管部门处罚的，发包人将对承包人进行处罚，每发生一次扣除工程总价款的1%作为违约金。</w:t>
      </w:r>
      <w:r/>
    </w:p>
    <w:p>
      <w:pPr>
        <w:pStyle w:val="1229"/>
        <w:numPr>
          <w:ilvl w:val="0"/>
          <w:numId w:val="14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关于治安保卫的特别约定：</w:t>
      </w:r>
      <w:r>
        <w:rPr>
          <w:color w:val="auto"/>
          <w:sz w:val="21"/>
          <w:szCs w:val="21"/>
          <w:u w:val="single"/>
        </w:rPr>
        <w:t xml:space="preserve"> / </w:t>
      </w:r>
      <w:r>
        <w:rPr>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关于编制施工场地治安管理计划的约定：</w:t>
      </w:r>
      <w:r>
        <w:rPr>
          <w:rFonts w:ascii="Times New Roman" w:hAnsi="Times New Roman" w:eastAsia="宋体" w:cs="Times New Roman"/>
          <w:color w:val="auto"/>
          <w:sz w:val="21"/>
          <w:szCs w:val="21"/>
          <w:u w:val="single"/>
        </w:rPr>
        <w:t xml:space="preserve">在开工前提交的施工组织设计中必须要有此部分内容</w:t>
      </w:r>
      <w:r>
        <w:rPr>
          <w:rFonts w:ascii="Times New Roman" w:hAnsi="Times New Roman" w:eastAsia="宋体" w:cs="Times New Roman"/>
          <w:color w:val="auto"/>
          <w:sz w:val="21"/>
          <w:szCs w:val="21"/>
        </w:rPr>
        <w:t xml:space="preserve">。</w:t>
      </w:r>
      <w:r/>
    </w:p>
    <w:p>
      <w:pPr>
        <w:pStyle w:val="1229"/>
        <w:numPr>
          <w:ilvl w:val="0"/>
          <w:numId w:val="14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文明施工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合同当事人对文明施工的要求：</w:t>
      </w:r>
      <w:r>
        <w:rPr>
          <w:rFonts w:ascii="Times New Roman" w:hAnsi="Times New Roman" w:eastAsia="宋体" w:cs="Times New Roman"/>
          <w:color w:val="auto"/>
          <w:sz w:val="21"/>
          <w:szCs w:val="21"/>
          <w:u w:val="single"/>
        </w:rPr>
        <w:t xml:space="preserve">达到《建筑施工安全检查标准》。</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承包人须定期上报现场一线操作工人名单、人数、籍贯等。如有人员调整，必须及时通知发包人</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施工人员未经允许不得进入已经交付的工程区域</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承包人对施工范围内的安全防火承担责任</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签约合同价不超过2%的违约金</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施工期间必须做好场地清洁卫生，设置冲洗平台，做到净车出场，避免在场外道路上“抛、洒、滴、漏”。由此产生的责任由施工单位承担</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承包人严禁污水乱排放，将生活垃圾集中外运，达到标化现场要求</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对施工场地内的已完工程、在建工程、管沟、管网等进行保护</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施工期间必须挂牌上岗并统一着装</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禁止乱堆乱放材料与机械设备</w:t>
      </w:r>
      <w:r>
        <w:rPr>
          <w:rFonts w:ascii="Times New Roman" w:hAnsi="Times New Roman" w:eastAsia="宋体" w:cs="Times New Roman"/>
          <w:color w:val="auto"/>
          <w:sz w:val="21"/>
          <w:szCs w:val="21"/>
        </w:rPr>
        <w:t xml:space="preserve">；</w:t>
      </w:r>
      <w:r/>
    </w:p>
    <w:p>
      <w:pPr>
        <w:pStyle w:val="1240"/>
        <w:numPr>
          <w:ilvl w:val="0"/>
          <w:numId w:val="14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预制场、土场必须设置标语牌（包括安全、质量、环境、操作规程等）</w:t>
      </w:r>
      <w:r>
        <w:rPr>
          <w:rFonts w:ascii="Times New Roman" w:hAnsi="Times New Roman" w:eastAsia="宋体" w:cs="Times New Roman"/>
          <w:color w:val="auto"/>
          <w:sz w:val="21"/>
          <w:szCs w:val="21"/>
        </w:rPr>
        <w:t xml:space="preserve">。</w:t>
      </w:r>
      <w:r/>
    </w:p>
    <w:p>
      <w:pPr>
        <w:pStyle w:val="1229"/>
        <w:numPr>
          <w:ilvl w:val="0"/>
          <w:numId w:val="140"/>
        </w:numPr>
        <w:ind w:left="0" w:right="0" w:firstLine="0"/>
        <w:pageBreakBefore w:val="0"/>
        <w:spacing w:before="0"/>
        <w:widowControl/>
        <w:rPr>
          <w:rFonts w:hint="eastAsia" w:ascii="黑体" w:hAnsi="黑体" w:eastAsia="黑体" w:cs="黑体"/>
          <w:b w:val="0"/>
          <w:color w:val="auto"/>
          <w:sz w:val="21"/>
          <w:szCs w:val="21"/>
          <w:u w:val="single"/>
        </w:rPr>
      </w:pPr>
      <w:r>
        <w:rPr>
          <w:color w:val="auto"/>
          <w:sz w:val="21"/>
          <w:szCs w:val="21"/>
        </w:rPr>
        <w:t xml:space="preserve">关于安全文明施工费支付比例和支付期限的约定：</w:t>
      </w:r>
      <w:r>
        <w:rPr>
          <w:color w:val="auto"/>
          <w:sz w:val="21"/>
          <w:szCs w:val="21"/>
          <w:u w:val="single"/>
        </w:rPr>
        <w:t xml:space="preserve">纳入合同价格执行</w:t>
      </w:r>
      <w:r>
        <w:rPr>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工期和进度</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施工组织设计</w:t>
      </w:r>
      <w:r/>
    </w:p>
    <w:p>
      <w:pPr>
        <w:pStyle w:val="1240"/>
        <w:numPr>
          <w:ilvl w:val="0"/>
          <w:numId w:val="14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rPr>
        <w:t xml:space="preserve">合同当事人约定的施工组织设计应包括的其他内容：</w:t>
      </w:r>
      <w:r>
        <w:rPr>
          <w:rFonts w:ascii="Times New Roman" w:hAnsi="Times New Roman" w:eastAsia="宋体" w:cs="Times New Roman"/>
          <w:color w:val="auto"/>
          <w:sz w:val="21"/>
          <w:szCs w:val="21"/>
          <w:u w:val="single"/>
        </w:rPr>
        <w:t xml:space="preserve">按招标文件约定，招标文件无约定按通用条款或双方另行约定。</w:t>
      </w:r>
      <w:r/>
    </w:p>
    <w:p>
      <w:pPr>
        <w:pStyle w:val="1240"/>
        <w:numPr>
          <w:ilvl w:val="0"/>
          <w:numId w:val="14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施工组织设计的提交和修改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承包人提交详细施工组织设计的期限的约定：</w:t>
      </w:r>
      <w:r>
        <w:rPr>
          <w:rFonts w:ascii="Times New Roman" w:hAnsi="Times New Roman" w:eastAsia="宋体" w:cs="Times New Roman"/>
          <w:color w:val="auto"/>
          <w:sz w:val="21"/>
          <w:szCs w:val="21"/>
          <w:u w:val="single"/>
        </w:rPr>
        <w:t xml:space="preserve">合同签订后7日内，向监理人提交详细的施工组织设计，并由监理人报送发包人</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发包人和监理人在收到详细的施工组织设计后确认或提出修改意见的期限：</w:t>
      </w:r>
      <w:r>
        <w:rPr>
          <w:rFonts w:ascii="Times New Roman" w:hAnsi="Times New Roman" w:eastAsia="宋体" w:cs="Times New Roman"/>
          <w:color w:val="auto"/>
          <w:sz w:val="21"/>
          <w:szCs w:val="21"/>
          <w:u w:val="single"/>
        </w:rPr>
        <w:t xml:space="preserve">发包人和监理人应在监理人收到施工组织设计后【3】日内确认或提出修改意见</w:t>
      </w:r>
      <w:r>
        <w:rPr>
          <w:rFonts w:ascii="Times New Roman" w:hAnsi="Times New Roman" w:eastAsia="宋体" w:cs="Times New Roman"/>
          <w:color w:val="auto"/>
          <w:sz w:val="21"/>
          <w:szCs w:val="21"/>
        </w:rPr>
        <w:t xml:space="preserve">。</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施工进度计划</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施工进度计划的修订</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发包人和监理人在收到修订的施工进度计划后确认或提出修改意见的期限：</w:t>
      </w:r>
      <w:r>
        <w:rPr>
          <w:rFonts w:ascii="Times New Roman" w:hAnsi="Times New Roman" w:eastAsia="宋体" w:cs="Times New Roman"/>
          <w:color w:val="auto"/>
          <w:sz w:val="21"/>
          <w:szCs w:val="21"/>
          <w:u w:val="single"/>
        </w:rPr>
        <w:t xml:space="preserve">发包人和监理人应在收到修订的施工进度计划后 7日内完成审核和批准或提出修改意见</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开工前七天承包人须向发包人、监理提出总进度计划。开工后承包人每周例会时须报周进度计划。承包人提供的施工组织设计必须是交发包人、监理方审核后的施工组织设计。</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开工</w:t>
      </w:r>
      <w:r/>
    </w:p>
    <w:p>
      <w:pPr>
        <w:pStyle w:val="1229"/>
        <w:numPr>
          <w:ilvl w:val="0"/>
          <w:numId w:val="14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开工准备</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关于承包人提交工程开工报审表的期限：</w:t>
      </w:r>
      <w:r>
        <w:rPr>
          <w:rFonts w:ascii="Times New Roman" w:hAnsi="Times New Roman" w:eastAsia="宋体" w:cs="Times New Roman"/>
          <w:color w:val="auto"/>
          <w:sz w:val="21"/>
          <w:szCs w:val="21"/>
          <w:u w:val="single"/>
        </w:rPr>
        <w:t xml:space="preserve">合同签订后3日</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关于发包人应完成的其他开工准备工作及期限：</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关于承包人应完成的其他开工准备工作及期限：</w:t>
      </w:r>
      <w:r>
        <w:rPr>
          <w:rFonts w:ascii="Times New Roman" w:hAnsi="Times New Roman" w:eastAsia="宋体" w:cs="Times New Roman"/>
          <w:color w:val="auto"/>
          <w:sz w:val="21"/>
          <w:szCs w:val="21"/>
          <w:u w:val="single"/>
        </w:rPr>
        <w:t xml:space="preserve">临时设施搭建、材料、设备、人员等须在合同签订后3日内完成</w:t>
      </w:r>
      <w:r>
        <w:rPr>
          <w:rFonts w:ascii="Times New Roman" w:hAnsi="Times New Roman" w:eastAsia="宋体" w:cs="Times New Roman"/>
          <w:color w:val="auto"/>
          <w:sz w:val="21"/>
          <w:szCs w:val="21"/>
        </w:rPr>
        <w:t xml:space="preserve">。</w:t>
      </w:r>
      <w:r/>
    </w:p>
    <w:p>
      <w:pPr>
        <w:pStyle w:val="1229"/>
        <w:numPr>
          <w:ilvl w:val="0"/>
          <w:numId w:val="14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开工通知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计划开工日期之日起</w:t>
      </w:r>
      <w:r>
        <w:rPr>
          <w:rFonts w:ascii="Times New Roman" w:hAnsi="Times New Roman" w:eastAsia="宋体" w:cs="Times New Roman"/>
          <w:color w:val="auto"/>
          <w:sz w:val="21"/>
          <w:szCs w:val="21"/>
          <w:u w:val="single"/>
        </w:rPr>
        <w:t xml:space="preserve"> 7 </w:t>
      </w:r>
      <w:r>
        <w:rPr>
          <w:rFonts w:ascii="Times New Roman" w:hAnsi="Times New Roman" w:eastAsia="宋体" w:cs="Times New Roman"/>
          <w:color w:val="auto"/>
          <w:sz w:val="21"/>
          <w:szCs w:val="21"/>
        </w:rPr>
        <w:t xml:space="preserve">天内发出开工通知</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测量放线</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发包人通过监理人向承包人提供测量基准点、基准线和水准点及其书面资料的期限：</w:t>
      </w:r>
      <w:r>
        <w:rPr>
          <w:rFonts w:ascii="Times New Roman" w:hAnsi="Times New Roman" w:eastAsia="宋体" w:cs="Times New Roman"/>
          <w:color w:val="auto"/>
          <w:sz w:val="21"/>
          <w:szCs w:val="21"/>
          <w:u w:val="single"/>
        </w:rPr>
        <w:t xml:space="preserve">开工前。</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工期延误</w:t>
      </w:r>
      <w:r/>
    </w:p>
    <w:p>
      <w:pPr>
        <w:pStyle w:val="1229"/>
        <w:numPr>
          <w:ilvl w:val="0"/>
          <w:numId w:val="146"/>
        </w:numPr>
        <w:ind w:left="0" w:right="0" w:firstLine="0"/>
        <w:pageBreakBefore w:val="0"/>
        <w:spacing w:before="0"/>
        <w:widowControl/>
        <w:rPr>
          <w:b w:val="0"/>
          <w:color w:val="auto"/>
          <w:sz w:val="21"/>
          <w:szCs w:val="21"/>
        </w:rPr>
      </w:pPr>
      <w:r>
        <w:rPr>
          <w:color w:val="auto"/>
          <w:sz w:val="21"/>
          <w:szCs w:val="21"/>
        </w:rPr>
        <w:t xml:space="preserve">因发包人原因导致工期延误</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因发包人原因导致工期延误的其他情形：</w:t>
      </w:r>
      <w:r>
        <w:rPr>
          <w:rFonts w:ascii="Times New Roman" w:hAnsi="Times New Roman" w:eastAsia="宋体" w:cs="Times New Roman"/>
          <w:color w:val="auto"/>
          <w:sz w:val="21"/>
          <w:szCs w:val="21"/>
          <w:u w:val="single"/>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ascii="Times New Roman" w:hAnsi="Times New Roman" w:eastAsia="宋体" w:cs="Times New Roman"/>
          <w:color w:val="auto"/>
          <w:sz w:val="21"/>
          <w:szCs w:val="21"/>
        </w:rPr>
        <w:t xml:space="preserve">。</w:t>
      </w:r>
      <w:r/>
    </w:p>
    <w:p>
      <w:pPr>
        <w:pStyle w:val="1229"/>
        <w:numPr>
          <w:ilvl w:val="0"/>
          <w:numId w:val="146"/>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因承包人原因导致工期延误</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因承包人原因造成工期延误，逾期竣工违约金的计算方法为：</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承包人不能按合同总工期竣工，每推迟一天，承包人向发包人支付合同价款1%作为违约金。</w:t>
      </w:r>
      <w:r>
        <w:rPr>
          <w:rFonts w:ascii="Times New Roman" w:hAnsi="Times New Roman" w:eastAsia="宋体" w:cs="Times New Roman"/>
          <w:color w:val="auto"/>
          <w:sz w:val="21"/>
          <w:szCs w:val="21"/>
        </w:rPr>
        <w:t xml:space="preserve">因承包人原因造成工期延误，逾期竣工违约金的上限：</w:t>
      </w:r>
      <w:r>
        <w:rPr>
          <w:rFonts w:ascii="Times New Roman" w:hAnsi="Times New Roman" w:eastAsia="宋体" w:cs="Times New Roman"/>
          <w:color w:val="auto"/>
          <w:sz w:val="21"/>
          <w:szCs w:val="21"/>
          <w:u w:val="single"/>
        </w:rPr>
        <w:t xml:space="preserve">合同价款的30%，如因承包人原因造成工期延误计算出的违约金超过上限（合同价款的30%），则视为承包人构成严重违约，发包人有权单方解除合同，并要求承包人赔偿发包人损失</w:t>
      </w:r>
      <w:r>
        <w:rPr>
          <w:rFonts w:ascii="Times New Roman" w:hAnsi="Times New Roman" w:eastAsia="宋体" w:cs="Times New Roman"/>
          <w:color w:val="auto"/>
          <w:sz w:val="21"/>
          <w:szCs w:val="21"/>
        </w:rPr>
        <w:t xml:space="preserve">。</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不利物质条件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不利物质条件的其他情形和有关约定：</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异常恶劣的气候条件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发包人和承包人同意以下情形视为异常恶劣的气候条件：</w:t>
      </w:r>
      <w:r/>
    </w:p>
    <w:p>
      <w:pPr>
        <w:pStyle w:val="1240"/>
        <w:numPr>
          <w:ilvl w:val="0"/>
          <w:numId w:val="147"/>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numPr>
          <w:ilvl w:val="0"/>
          <w:numId w:val="147"/>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w:t>
      </w:r>
      <w:r/>
    </w:p>
    <w:p>
      <w:pPr>
        <w:pStyle w:val="1240"/>
        <w:numPr>
          <w:ilvl w:val="0"/>
          <w:numId w:val="147"/>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w:t>
      </w:r>
      <w:r/>
    </w:p>
    <w:p>
      <w:pPr>
        <w:pStyle w:val="1228"/>
        <w:numPr>
          <w:ilvl w:val="0"/>
          <w:numId w:val="14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提前竣工的奖励</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提前竣工的奖励：</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材料与设备</w:t>
      </w:r>
      <w:r/>
    </w:p>
    <w:p>
      <w:pPr>
        <w:pStyle w:val="1228"/>
        <w:numPr>
          <w:ilvl w:val="0"/>
          <w:numId w:val="14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材料与工程设备的保管与使用</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8 .1.1发包人供应的材料设备的保管费用的承担：</w:t>
      </w:r>
      <w:r>
        <w:rPr>
          <w:rFonts w:ascii="Times New Roman" w:hAnsi="Times New Roman" w:eastAsia="宋体" w:cs="Times New Roman"/>
          <w:color w:val="auto"/>
          <w:sz w:val="21"/>
          <w:szCs w:val="21"/>
          <w:u w:val="single"/>
        </w:rPr>
        <w:t xml:space="preserve">发包人供应的材料和设备，由承包人清点后由承包人妥善保管，保管费用含在投标报价中，发包人不另行支付，承包人承担所供应设备的保管费用</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双方约定由承包人采购的材料必须符合有关规范规定的质量要求、环保要求以及投标时的样板，必须有详细的质保书及复试报告，且在进场前经发包人、设计人和监理人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本项目材料在招标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p>
    <w:p>
      <w:pPr>
        <w:pStyle w:val="1228"/>
        <w:numPr>
          <w:ilvl w:val="0"/>
          <w:numId w:val="14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样品</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样品的报送与封存</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需要承包人报送样品的材料或工程设备，样品的种类、名称、规格、数量要求：</w:t>
      </w:r>
      <w:r>
        <w:rPr>
          <w:rFonts w:ascii="Times New Roman" w:hAnsi="Times New Roman" w:eastAsia="宋体" w:cs="Times New Roman"/>
          <w:color w:val="auto"/>
          <w:sz w:val="21"/>
          <w:szCs w:val="21"/>
          <w:u w:val="single"/>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pStyle w:val="1228"/>
        <w:numPr>
          <w:ilvl w:val="0"/>
          <w:numId w:val="14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施工设备和临时设施</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承包人提供的施工设备和临时设施</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关于修建临时设施费用承担的约定：承包人确认已经</w:t>
      </w:r>
      <w:r>
        <w:rPr>
          <w:rFonts w:ascii="Times New Roman" w:hAnsi="Times New Roman" w:eastAsia="宋体" w:cs="Times New Roman"/>
          <w:color w:val="auto"/>
          <w:sz w:val="21"/>
          <w:szCs w:val="21"/>
          <w:u w:val="single"/>
        </w:rPr>
        <w:t xml:space="preserve">计入投标报价中</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试验与检验</w:t>
      </w:r>
      <w:r/>
    </w:p>
    <w:p>
      <w:pPr>
        <w:pStyle w:val="1228"/>
        <w:numPr>
          <w:ilvl w:val="0"/>
          <w:numId w:val="14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试验设备与试验人员</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施工现场需要配置的试验场所：</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施工现场需要配备的试验设备：</w:t>
      </w:r>
      <w:r>
        <w:rPr>
          <w:rFonts w:ascii="Times New Roman" w:hAnsi="Times New Roman" w:eastAsia="宋体" w:cs="Times New Roman"/>
          <w:color w:val="auto"/>
          <w:sz w:val="21"/>
          <w:szCs w:val="21"/>
          <w:u w:val="single"/>
        </w:rPr>
        <w:t xml:space="preserve">水准仪、测量仪等</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施工现场需要具备的其他试验条件：</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8"/>
        <w:numPr>
          <w:ilvl w:val="0"/>
          <w:numId w:val="14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现场工艺试验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现场工艺试验的有关约定：</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变更</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变更的范围</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关于变更的范围的约定：</w:t>
      </w:r>
      <w:r>
        <w:rPr>
          <w:rFonts w:ascii="Times New Roman" w:hAnsi="Times New Roman" w:eastAsia="宋体" w:cs="Times New Roman"/>
          <w:color w:val="auto"/>
          <w:sz w:val="21"/>
          <w:szCs w:val="21"/>
          <w:u w:val="single"/>
        </w:rPr>
        <w:t xml:space="preserve">发包人认可经发包人审核、批准后的设计变更；发包人和监理方均认可经发包人和监理方审核、批准后的工程签证</w:t>
      </w:r>
      <w:r>
        <w:rPr>
          <w:rFonts w:ascii="Times New Roman" w:hAnsi="Times New Roman" w:eastAsia="宋体" w:cs="Times New Roman"/>
          <w:color w:val="auto"/>
          <w:sz w:val="21"/>
          <w:szCs w:val="21"/>
        </w:rPr>
        <w:t xml:space="preserve">。</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u w:val="single"/>
        </w:rPr>
      </w:pPr>
      <w:r>
        <w:rPr>
          <w:color w:val="auto"/>
          <w:sz w:val="21"/>
          <w:szCs w:val="21"/>
          <w:u w:val="single"/>
        </w:rPr>
        <w:t xml:space="preserve">工程设计变更</w:t>
      </w:r>
      <w:r/>
    </w:p>
    <w:p>
      <w:pPr>
        <w:pStyle w:val="1240"/>
        <w:numPr>
          <w:ilvl w:val="0"/>
          <w:numId w:val="151"/>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rPr>
        <w:t xml:space="preserve">发包人有可能根据工程需要修改施工图或发出指令增加或减少工程量，工程量不论增减多少，承包人均应无条件服从。承包人拒不接受和服从的，发包人有权单方解除合同、要求承包人无条件退场。</w:t>
      </w:r>
      <w:r>
        <w:rPr>
          <w:rFonts w:ascii="Times New Roman" w:hAnsi="Times New Roman" w:eastAsia="宋体" w:cs="Times New Roman"/>
          <w:color w:val="auto"/>
          <w:sz w:val="21"/>
          <w:szCs w:val="21"/>
          <w:u w:val="single"/>
        </w:rPr>
        <w:t xml:space="preserve">施工中发包人需对原工程设计进行变更的，应提前 7 天以书面形式向承包人发出变更通知。承包人按照监理工程师发出的变更通知及有关要求，进行下列需要的变更：</w:t>
      </w:r>
      <w:r/>
    </w:p>
    <w:p>
      <w:pPr>
        <w:pStyle w:val="1240"/>
        <w:numPr>
          <w:ilvl w:val="0"/>
          <w:numId w:val="152"/>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更改工程有关部分的标高、基线、位置和尺寸；</w:t>
      </w:r>
      <w:r/>
    </w:p>
    <w:p>
      <w:pPr>
        <w:pStyle w:val="1240"/>
        <w:numPr>
          <w:ilvl w:val="0"/>
          <w:numId w:val="152"/>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增减合同中约定的工程量；</w:t>
      </w:r>
      <w:r/>
    </w:p>
    <w:p>
      <w:pPr>
        <w:pStyle w:val="1240"/>
        <w:numPr>
          <w:ilvl w:val="0"/>
          <w:numId w:val="152"/>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改变有关工程的施工时间和顺序；</w:t>
      </w:r>
      <w:r/>
    </w:p>
    <w:p>
      <w:pPr>
        <w:pStyle w:val="1240"/>
        <w:numPr>
          <w:ilvl w:val="0"/>
          <w:numId w:val="152"/>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其他有关工程变更需要的附加工作。</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因发包人变更导致延误的工期可相应顺延。</w:t>
      </w:r>
      <w:r/>
    </w:p>
    <w:p>
      <w:pPr>
        <w:pStyle w:val="1240"/>
        <w:numPr>
          <w:ilvl w:val="0"/>
          <w:numId w:val="151"/>
        </w:numPr>
        <w:ind w:left="0" w:right="0" w:firstLine="480"/>
        <w:pageBreakBefore w:val="0"/>
        <w:spacing w:before="0" w:after="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u w:val="single"/>
        </w:rPr>
        <w:t xml:space="preserve">施工中承包人不得对原工程设计进行变更。因承包人擅自变更设计发生的费用和由此导致发包人的直接损失，由承包人承担，延误的工期不予顺延。</w:t>
      </w:r>
      <w:r/>
    </w:p>
    <w:p>
      <w:pPr>
        <w:pStyle w:val="1240"/>
        <w:numPr>
          <w:ilvl w:val="0"/>
          <w:numId w:val="151"/>
        </w:numPr>
        <w:ind w:left="0" w:right="0" w:firstLine="480"/>
        <w:pageBreakBefore w:val="0"/>
        <w:spacing w:before="0" w:after="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u w:val="single"/>
        </w:rPr>
        <w:t xml:space="preserve">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u w:val="single"/>
        </w:rPr>
      </w:pPr>
      <w:r>
        <w:rPr>
          <w:color w:val="auto"/>
          <w:sz w:val="21"/>
          <w:szCs w:val="21"/>
          <w:u w:val="single"/>
        </w:rPr>
        <w:t xml:space="preserve">其他变更</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发包人保留变更或调整工程量的权力，承包人不得拒绝变更，更不得以变更为由提出不合理的要求；</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计审定价的【50】%与承包人结付工程款。同时，承包人还须按本合同签约合同价的【10】%向发包人支付违约金。</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变更导致工期的顺延时间以监理工程师审核、发包人批准为准。</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承包人提出的工程变更申请必须严格按照发包人规定的工程变更管理流程执行，涉及主体结构的变更内容必须经设计单位确认。</w:t>
      </w:r>
      <w:r/>
    </w:p>
    <w:p>
      <w:pPr>
        <w:pStyle w:val="1240"/>
        <w:numPr>
          <w:ilvl w:val="0"/>
          <w:numId w:val="153"/>
        </w:numPr>
        <w:ind w:left="0" w:right="0" w:firstLine="480"/>
        <w:pageBreakBefore w:val="0"/>
        <w:spacing w:before="0" w:after="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办理签证时，变更、签证结算费用编制应按“一单一价”的原则，即每一份变更、签证附一份造价核定单。一份造价核定单上只能申报一项内容。签证原件1式4份，发包人二份、监理一份、承包人保留一份。</w:t>
      </w:r>
      <w:r/>
    </w:p>
    <w:p>
      <w:pPr>
        <w:pStyle w:val="1240"/>
        <w:numPr>
          <w:ilvl w:val="0"/>
          <w:numId w:val="15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为避免签证出现混乱、重复结算，承包人在办理签证时必须明确每份签证的具体原因、施工部位、施工时间、签证的编号等，否则，该签证为无效签证。</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u w:val="single"/>
        </w:rPr>
      </w:pPr>
      <w:r>
        <w:rPr>
          <w:color w:val="auto"/>
          <w:sz w:val="21"/>
          <w:szCs w:val="21"/>
          <w:u w:val="single"/>
        </w:rPr>
        <w:t xml:space="preserve">确定变更价款</w:t>
      </w:r>
      <w:r/>
    </w:p>
    <w:p>
      <w:pPr>
        <w:pStyle w:val="1240"/>
        <w:numPr>
          <w:ilvl w:val="0"/>
          <w:numId w:val="15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承包人在工程变更、现场签证确定后14天内，完成变更申报及签证手续，提出变更工程价款的报告，经须经发包人、工程监理、跟踪审计三方确认后调整合同价款。变更合同价款按下列方法进行：</w:t>
      </w:r>
      <w:r/>
    </w:p>
    <w:p>
      <w:pPr>
        <w:pStyle w:val="1240"/>
        <w:numPr>
          <w:ilvl w:val="0"/>
          <w:numId w:val="155"/>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合同中已有适用于变更工程的价格，按合同已有的价格变更合同价款；</w:t>
      </w:r>
      <w:r/>
    </w:p>
    <w:p>
      <w:pPr>
        <w:pStyle w:val="1240"/>
        <w:numPr>
          <w:ilvl w:val="0"/>
          <w:numId w:val="155"/>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合同中只有类似于变更工程的价格，可以参照类似价格变更合同价款；</w:t>
      </w:r>
      <w:r/>
    </w:p>
    <w:p>
      <w:pPr>
        <w:pStyle w:val="1240"/>
        <w:numPr>
          <w:ilvl w:val="0"/>
          <w:numId w:val="155"/>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承包人双方协商确定）；经监理、跟踪审计及发包人共同确认后执行。</w:t>
      </w:r>
      <w:r/>
    </w:p>
    <w:p>
      <w:pPr>
        <w:pStyle w:val="1240"/>
        <w:numPr>
          <w:ilvl w:val="0"/>
          <w:numId w:val="15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承包人在双方确定变更、现场签证后14天内不向发包人提出变更程价款报告时，视为该项变更、签证不涉及合同价款的变更。</w:t>
      </w:r>
      <w:r/>
    </w:p>
    <w:p>
      <w:pPr>
        <w:pStyle w:val="1240"/>
        <w:numPr>
          <w:ilvl w:val="0"/>
          <w:numId w:val="15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因承包人自身原因导致的工程变更，承包人无权要求追加合同价款。</w:t>
      </w:r>
      <w:r/>
    </w:p>
    <w:p>
      <w:pPr>
        <w:pStyle w:val="1240"/>
        <w:numPr>
          <w:ilvl w:val="0"/>
          <w:numId w:val="15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不同金额的变更签证由发包人实行分级授权制度：</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（1）对于变更、签证计价及结算的约定：</w:t>
      </w:r>
      <w:r/>
    </w:p>
    <w:p>
      <w:pPr>
        <w:pStyle w:val="1240"/>
        <w:numPr>
          <w:ilvl w:val="0"/>
          <w:numId w:val="15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工程变更签证的审批程序：</w:t>
      </w:r>
      <w:r/>
    </w:p>
    <w:p>
      <w:pPr>
        <w:pStyle w:val="1240"/>
        <w:numPr>
          <w:ilvl w:val="0"/>
          <w:numId w:val="157"/>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工程变更签证的情形发生后，承包人将工程变更签证报监理组初审，监理工程师在签证单上签署审核意见（如需现场计量，监理单位应提前24小时通知项目代表、跟踪审计咨询人员到场）；</w:t>
      </w:r>
      <w:r/>
    </w:p>
    <w:p>
      <w:pPr>
        <w:pStyle w:val="1240"/>
        <w:numPr>
          <w:ilvl w:val="0"/>
          <w:numId w:val="157"/>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监理组初审批准后报发包人代表，由发包人代表将监理工程师初审批准的相关资料送跟踪审计咨询人员，跟踪审计咨询人员审核后在签证单上签署审核意见；</w:t>
      </w:r>
      <w:r/>
    </w:p>
    <w:p>
      <w:pPr>
        <w:pStyle w:val="1240"/>
        <w:numPr>
          <w:ilvl w:val="0"/>
          <w:numId w:val="157"/>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项目代表根据监理工程师和跟踪审计咨询人员的审核意见，对所报资料进行审核，并按审批权限报相关领导批准后在签证单上签署审核意见。</w:t>
      </w:r>
      <w:r/>
    </w:p>
    <w:p>
      <w:pPr>
        <w:pStyle w:val="1240"/>
        <w:numPr>
          <w:ilvl w:val="0"/>
          <w:numId w:val="15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有效工程签证的认定原则：签证单上必须有发包人代表、跟踪审计咨询人员、监理工程师、承包人项目经理及项目部（项目经理签字、项目部盖章）四方的代表签字和单位盖章，方可作为竣工结算的依据；签证单上必须明确签证的原因、位置、尺寸、数量、材料、人工、机械台班、价格等和签证时间。</w:t>
      </w:r>
      <w:r/>
    </w:p>
    <w:p>
      <w:pPr>
        <w:pStyle w:val="1240"/>
        <w:numPr>
          <w:ilvl w:val="0"/>
          <w:numId w:val="15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关于临时用工的签证事项，双方应在签证通知单上协商确定以下问题：工作内容及工作量、工作时间、工作人数、取定的人工单价（是综合单价，已含管理费和利润）。</w:t>
      </w:r>
      <w:r/>
    </w:p>
    <w:p>
      <w:pPr>
        <w:pStyle w:val="1240"/>
        <w:numPr>
          <w:ilvl w:val="0"/>
          <w:numId w:val="15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变更估价</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变更估价原则</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关于变更估价的约定:</w:t>
      </w:r>
      <w:r>
        <w:rPr>
          <w:rFonts w:ascii="Times New Roman" w:hAnsi="Times New Roman" w:eastAsia="宋体" w:cs="Times New Roman"/>
          <w:color w:val="auto"/>
          <w:sz w:val="21"/>
          <w:szCs w:val="21"/>
          <w:u w:val="single"/>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ascii="Times New Roman" w:hAnsi="Times New Roman" w:eastAsia="宋体" w:cs="Times New Roman"/>
          <w:color w:val="auto"/>
          <w:sz w:val="21"/>
          <w:szCs w:val="21"/>
        </w:rPr>
        <w:t xml:space="preserve">。</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承包人的合理化建议</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监理人审查承包人合理化建议的期限：</w:t>
      </w:r>
      <w:r>
        <w:rPr>
          <w:rFonts w:ascii="Times New Roman" w:hAnsi="Times New Roman" w:eastAsia="宋体" w:cs="Times New Roman"/>
          <w:color w:val="auto"/>
          <w:sz w:val="21"/>
          <w:szCs w:val="21"/>
          <w:u w:val="single"/>
        </w:rPr>
        <w:t xml:space="preserve">收到建议之日起3日</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发包人审批承包人合理化建议的期限：</w:t>
      </w:r>
      <w:r>
        <w:rPr>
          <w:rFonts w:ascii="Times New Roman" w:hAnsi="Times New Roman" w:eastAsia="宋体" w:cs="Times New Roman"/>
          <w:color w:val="auto"/>
          <w:sz w:val="21"/>
          <w:szCs w:val="21"/>
          <w:u w:val="single"/>
        </w:rPr>
        <w:t xml:space="preserve">收到建议之日起3日</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承包人提出的合理化建议降低了合同价格或者提高了工程经济效益的奖励的方法和金额为：</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8"/>
        <w:numPr>
          <w:ilvl w:val="0"/>
          <w:numId w:val="15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暂估价</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本项目无暂估价</w:t>
      </w:r>
      <w:r/>
    </w:p>
    <w:p>
      <w:pPr>
        <w:pStyle w:val="1229"/>
        <w:ind w:left="0" w:right="0"/>
        <w:pageBreakBefore w:val="0"/>
        <w:spacing w:before="0"/>
        <w:widowControl/>
        <w:rPr>
          <w:color w:val="auto"/>
          <w:sz w:val="21"/>
          <w:szCs w:val="21"/>
        </w:rPr>
      </w:pPr>
      <w:r>
        <w:rPr>
          <w:color w:val="auto"/>
          <w:sz w:val="21"/>
          <w:szCs w:val="21"/>
        </w:rPr>
        <w:t xml:space="preserve">1 0.7.1依法必须招标的暂估价项目</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对于依法必须招标的暂估价项目的确认和批准采取第</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种方式确定。</w:t>
      </w:r>
      <w:r/>
    </w:p>
    <w:p>
      <w:pPr>
        <w:pStyle w:val="1229"/>
        <w:ind w:left="0" w:right="0"/>
        <w:pageBreakBefore w:val="0"/>
        <w:spacing w:before="0"/>
        <w:widowControl/>
        <w:rPr>
          <w:color w:val="auto"/>
          <w:sz w:val="21"/>
          <w:szCs w:val="21"/>
        </w:rPr>
      </w:pPr>
      <w:r>
        <w:rPr>
          <w:color w:val="auto"/>
          <w:sz w:val="21"/>
          <w:szCs w:val="21"/>
        </w:rPr>
        <w:t xml:space="preserve">10.7.2不属于依法必须招标的暂估价项目</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对于不属于依法必须招标的暂估价项目的确认和批准采取第</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种方式确定。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第3种方式：承包人直接实施的暂估价项目</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承包人直接实施的暂估价项目的约定：</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8"/>
        <w:numPr>
          <w:ilvl w:val="0"/>
          <w:numId w:val="150"/>
        </w:numPr>
        <w:ind w:left="0" w:right="0" w:firstLine="0"/>
        <w:pageBreakBefore w:val="0"/>
        <w:spacing w:before="0"/>
        <w:widowControl/>
        <w:rPr>
          <w:b w:val="0"/>
          <w:color w:val="auto"/>
          <w:sz w:val="21"/>
          <w:szCs w:val="21"/>
        </w:rPr>
      </w:pPr>
      <w:r>
        <w:rPr>
          <w:color w:val="auto"/>
          <w:sz w:val="21"/>
          <w:szCs w:val="21"/>
        </w:rPr>
        <w:t xml:space="preserve">暂列金额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合同当事人关于暂列金额使用的约定：</w:t>
      </w:r>
      <w:r>
        <w:rPr>
          <w:rFonts w:ascii="Times New Roman" w:hAnsi="Times New Roman" w:eastAsia="宋体" w:cs="Times New Roman"/>
          <w:color w:val="auto"/>
          <w:sz w:val="21"/>
          <w:szCs w:val="21"/>
          <w:u w:val="single"/>
        </w:rPr>
        <w:t xml:space="preserve">暂列金额应按照发包人的要求使用</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价格调整</w:t>
      </w:r>
      <w:r/>
    </w:p>
    <w:p>
      <w:pPr>
        <w:pStyle w:val="1228"/>
        <w:ind w:left="0" w:right="0"/>
        <w:pageBreakBefore w:val="0"/>
        <w:spacing w:before="0"/>
        <w:widowControl/>
        <w:rPr>
          <w:color w:val="auto"/>
          <w:sz w:val="21"/>
          <w:szCs w:val="21"/>
        </w:rPr>
      </w:pPr>
      <w:r>
        <w:rPr>
          <w:color w:val="auto"/>
          <w:sz w:val="21"/>
          <w:szCs w:val="21"/>
        </w:rPr>
        <w:t xml:space="preserve">11.1市场价格波动引起的调整</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市场价格波动是否调整合同价格的约定：</w:t>
      </w:r>
      <w:r>
        <w:rPr>
          <w:rFonts w:ascii="Times New Roman" w:hAnsi="Times New Roman" w:eastAsia="宋体" w:cs="Times New Roman"/>
          <w:color w:val="auto"/>
          <w:sz w:val="21"/>
          <w:szCs w:val="21"/>
          <w:u w:val="single"/>
        </w:rPr>
        <w:t xml:space="preserve">不调整</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因市场价格波动调整合同价格，采用以下第</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种方式对合同价格进行调整：</w:t>
      </w:r>
      <w:r/>
    </w:p>
    <w:p>
      <w:pPr>
        <w:pStyle w:val="1240"/>
        <w:numPr>
          <w:ilvl w:val="0"/>
          <w:numId w:val="158"/>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方式：采用价格指数进行价格调整。</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关于各可调因子、定值和变值权重，以及基本价格指数及其来源的约定：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numPr>
          <w:ilvl w:val="0"/>
          <w:numId w:val="158"/>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方式：采用造价信息进行价格调整。</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合同价格、计量与支付</w:t>
      </w:r>
      <w:r/>
    </w:p>
    <w:p>
      <w:pPr>
        <w:pStyle w:val="1228"/>
        <w:numPr>
          <w:ilvl w:val="0"/>
          <w:numId w:val="15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合同价格形式</w:t>
      </w:r>
      <w:r/>
    </w:p>
    <w:p>
      <w:pPr>
        <w:pStyle w:val="1229"/>
        <w:numPr>
          <w:ilvl w:val="0"/>
          <w:numId w:val="16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单价合同：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综合单价包含的风险范围：</w:t>
      </w:r>
      <w:r>
        <w:rPr>
          <w:rFonts w:ascii="Times New Roman" w:hAnsi="Times New Roman" w:eastAsia="宋体" w:cs="Times New Roman"/>
          <w:color w:val="auto"/>
          <w:sz w:val="21"/>
          <w:szCs w:val="21"/>
          <w:u w:val="single"/>
        </w:rPr>
        <w:t xml:space="preserve">已包含所有风险</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风险费用的计算方法：</w:t>
      </w:r>
      <w:r>
        <w:rPr>
          <w:rFonts w:ascii="Times New Roman" w:hAnsi="Times New Roman" w:eastAsia="宋体" w:cs="Times New Roman"/>
          <w:color w:val="auto"/>
          <w:sz w:val="21"/>
          <w:szCs w:val="21"/>
          <w:u w:val="single"/>
        </w:rPr>
        <w:t xml:space="preserve">风险费用已包含在报价中，不予调整</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风险范围以外合同价格的调整方法：</w:t>
      </w:r>
      <w:r>
        <w:rPr>
          <w:rFonts w:ascii="Times New Roman" w:hAnsi="Times New Roman" w:eastAsia="宋体" w:cs="Times New Roman"/>
          <w:color w:val="auto"/>
          <w:sz w:val="21"/>
          <w:szCs w:val="21"/>
          <w:u w:val="single"/>
        </w:rPr>
        <w:t xml:space="preserve">①工程设计变更及签证以及发包人另行委托施工的追加的工程，结算时必须提供</w:t>
      </w:r>
      <w:r>
        <w:rPr>
          <w:rFonts w:ascii="Times New Roman" w:hAnsi="Times New Roman" w:eastAsia="宋体" w:cs="Times New Roman"/>
          <w:color w:val="auto"/>
          <w:sz w:val="21"/>
          <w:szCs w:val="21"/>
          <w:u w:val="single"/>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ascii="Times New Roman" w:hAnsi="Times New Roman" w:eastAsia="宋体" w:cs="Times New Roman"/>
          <w:b/>
          <w:color w:val="auto"/>
          <w:sz w:val="21"/>
          <w:szCs w:val="21"/>
        </w:rPr>
        <w:t xml:space="preserve">。</w:t>
      </w:r>
      <w:r/>
    </w:p>
    <w:p>
      <w:pPr>
        <w:pStyle w:val="1229"/>
        <w:numPr>
          <w:ilvl w:val="0"/>
          <w:numId w:val="16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总价合同。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总价包含的风险范围：</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风险费用的计算方法：</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风险范围以外合同价格的调整方法：</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9"/>
        <w:numPr>
          <w:ilvl w:val="0"/>
          <w:numId w:val="16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其他价格方式：</w:t>
      </w:r>
      <w:r>
        <w:rPr>
          <w:color w:val="auto"/>
          <w:sz w:val="21"/>
          <w:szCs w:val="21"/>
          <w:u w:val="single"/>
        </w:rPr>
        <w:t xml:space="preserve">/</w:t>
      </w:r>
      <w:r>
        <w:rPr>
          <w:color w:val="auto"/>
          <w:sz w:val="21"/>
          <w:szCs w:val="21"/>
        </w:rPr>
        <w:t xml:space="preserve">。</w:t>
      </w:r>
      <w:r/>
    </w:p>
    <w:p>
      <w:pPr>
        <w:pStyle w:val="1228"/>
        <w:numPr>
          <w:ilvl w:val="0"/>
          <w:numId w:val="159"/>
        </w:numPr>
        <w:ind w:left="0" w:right="0" w:firstLine="0"/>
        <w:pageBreakBefore w:val="0"/>
        <w:spacing w:before="0"/>
        <w:widowControl/>
        <w:rPr>
          <w:b w:val="0"/>
          <w:color w:val="auto"/>
          <w:sz w:val="21"/>
          <w:szCs w:val="21"/>
        </w:rPr>
      </w:pPr>
      <w:r>
        <w:rPr>
          <w:color w:val="auto"/>
          <w:sz w:val="21"/>
          <w:szCs w:val="21"/>
        </w:rPr>
        <w:t xml:space="preserve">预付款</w:t>
      </w:r>
      <w:r/>
    </w:p>
    <w:p>
      <w:pPr>
        <w:pStyle w:val="1229"/>
        <w:numPr>
          <w:ilvl w:val="0"/>
          <w:numId w:val="161"/>
        </w:numPr>
        <w:ind w:left="0" w:right="0" w:firstLine="0"/>
        <w:pageBreakBefore w:val="0"/>
        <w:spacing w:before="0"/>
        <w:widowControl/>
        <w:rPr>
          <w:b w:val="0"/>
          <w:color w:val="auto"/>
          <w:sz w:val="21"/>
          <w:szCs w:val="21"/>
        </w:rPr>
      </w:pPr>
      <w:r>
        <w:rPr>
          <w:color w:val="auto"/>
          <w:sz w:val="21"/>
          <w:szCs w:val="21"/>
        </w:rPr>
        <w:t xml:space="preserve">预付款的支付</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预付款支付比例或金额：</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预付款支付期限：</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预付款扣回的方式：</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9"/>
        <w:numPr>
          <w:ilvl w:val="0"/>
          <w:numId w:val="161"/>
        </w:numPr>
        <w:ind w:left="0" w:right="0" w:firstLine="0"/>
        <w:pageBreakBefore w:val="0"/>
        <w:spacing w:before="0"/>
        <w:widowControl/>
        <w:rPr>
          <w:b w:val="0"/>
          <w:color w:val="auto"/>
          <w:sz w:val="21"/>
          <w:szCs w:val="21"/>
        </w:rPr>
      </w:pPr>
      <w:r>
        <w:rPr>
          <w:color w:val="auto"/>
          <w:sz w:val="21"/>
          <w:szCs w:val="21"/>
        </w:rPr>
        <w:t xml:space="preserve">预付款担保</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承包人提交预付款担保的期限：</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预付款担保的形式为：</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8"/>
        <w:numPr>
          <w:ilvl w:val="0"/>
          <w:numId w:val="159"/>
        </w:numPr>
        <w:ind w:left="0" w:right="0" w:firstLine="0"/>
        <w:pageBreakBefore w:val="0"/>
        <w:spacing w:before="0"/>
        <w:widowControl/>
        <w:rPr>
          <w:b w:val="0"/>
          <w:color w:val="auto"/>
          <w:sz w:val="21"/>
          <w:szCs w:val="21"/>
        </w:rPr>
      </w:pPr>
      <w:r>
        <w:rPr>
          <w:color w:val="auto"/>
          <w:sz w:val="21"/>
          <w:szCs w:val="21"/>
        </w:rPr>
        <w:t xml:space="preserve">计量</w:t>
      </w:r>
      <w:r/>
    </w:p>
    <w:p>
      <w:pPr>
        <w:pStyle w:val="1240"/>
        <w:numPr>
          <w:ilvl w:val="0"/>
          <w:numId w:val="162"/>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计量原则</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工程量计算规则：</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工程量计量按照合同约定的工程量计算规则、图纸及变更指示等进行计量。工程量计算规则应以相关的国家标准、行业标准等为依据，由合同当事人在专用合同条款中约定。</w:t>
      </w:r>
      <w:r/>
    </w:p>
    <w:p>
      <w:pPr>
        <w:pStyle w:val="1240"/>
        <w:numPr>
          <w:ilvl w:val="0"/>
          <w:numId w:val="16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计量周期</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关于计量周期的约定：</w:t>
      </w:r>
      <w:r>
        <w:rPr>
          <w:rFonts w:ascii="Times New Roman" w:hAnsi="Times New Roman" w:eastAsia="宋体" w:cs="Times New Roman"/>
          <w:color w:val="auto"/>
          <w:sz w:val="21"/>
          <w:szCs w:val="21"/>
          <w:u w:val="single"/>
        </w:rPr>
        <w:t xml:space="preserve">/</w:t>
      </w:r>
      <w:r/>
    </w:p>
    <w:p>
      <w:pPr>
        <w:pStyle w:val="1240"/>
        <w:numPr>
          <w:ilvl w:val="0"/>
          <w:numId w:val="16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单价合同的计量</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关于单价合同计量的约定：</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除专用合同条款另有约定外，单价合同的计量按照本项约定执行：</w:t>
      </w:r>
      <w:r/>
    </w:p>
    <w:p>
      <w:pPr>
        <w:pStyle w:val="1240"/>
        <w:numPr>
          <w:ilvl w:val="0"/>
          <w:numId w:val="16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承包人应于每月25日向监理人报送上月20日至当月19日已完成的工程量报告，并附具进度付款申请单、已完成工程量报表和有关资料。</w:t>
      </w:r>
      <w:r/>
    </w:p>
    <w:p>
      <w:pPr>
        <w:pStyle w:val="1240"/>
        <w:numPr>
          <w:ilvl w:val="0"/>
          <w:numId w:val="16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240"/>
        <w:numPr>
          <w:ilvl w:val="0"/>
          <w:numId w:val="163"/>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监理人和发包人未在收到承包人提交的工程量报表后的60天内完成审核的，承包人报送的工程量报告中的工程量视为承包人实际完成的工程量，据此计算工程价款。</w:t>
      </w:r>
      <w:r/>
    </w:p>
    <w:p>
      <w:pPr>
        <w:pStyle w:val="1240"/>
        <w:numPr>
          <w:ilvl w:val="0"/>
          <w:numId w:val="16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总价合同的计量</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关于总价合同计量的约定：</w:t>
      </w:r>
      <w:r>
        <w:rPr>
          <w:rFonts w:ascii="Times New Roman" w:hAnsi="Times New Roman" w:eastAsia="宋体" w:cs="Times New Roman"/>
          <w:color w:val="auto"/>
          <w:sz w:val="21"/>
          <w:szCs w:val="21"/>
          <w:u w:val="single"/>
        </w:rPr>
        <w:t xml:space="preserve">不采用</w:t>
      </w:r>
      <w:r>
        <w:rPr>
          <w:rFonts w:ascii="Times New Roman" w:hAnsi="Times New Roman" w:eastAsia="宋体" w:cs="Times New Roman"/>
          <w:color w:val="auto"/>
          <w:sz w:val="21"/>
          <w:szCs w:val="21"/>
        </w:rPr>
        <w:t xml:space="preserve">。</w:t>
      </w:r>
      <w:r/>
    </w:p>
    <w:p>
      <w:pPr>
        <w:pStyle w:val="1240"/>
        <w:numPr>
          <w:ilvl w:val="0"/>
          <w:numId w:val="16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总价合同采用支付分解表计量支付的，是否适用第12.3.4 项〔总价合同的计量〕约定进行计量：</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numPr>
          <w:ilvl w:val="0"/>
          <w:numId w:val="16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其他价格形式合同的计量</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其他价格形式的计量方式和程序：</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28"/>
        <w:numPr>
          <w:ilvl w:val="0"/>
          <w:numId w:val="15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工程进度款支付</w:t>
      </w:r>
      <w:r/>
    </w:p>
    <w:p>
      <w:pPr>
        <w:pStyle w:val="1229"/>
        <w:numPr>
          <w:ilvl w:val="0"/>
          <w:numId w:val="164"/>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付款周期</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关于付款周期的约定：</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工程结束，项目竣工验收完毕，相关工作完成后，承包人应在60日内按发包人要求将项目结算资料送交发包人审计部门审计（含所有发包人需要的固定资产设备登记入库材料），甲方审计部门对乙方出具的项目结算资料无异议后15日内，承包人提供与当期应付款项金额相一致的足额发票，发包人向承包人付至合同暂定价的70％（扣除全部发包人供材料款、已支付进度款）。</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（3）余款在本工程审计全部结束，</w:t>
      </w:r>
      <w:r>
        <w:rPr>
          <w:rFonts w:ascii="Times New Roman" w:hAnsi="Times New Roman" w:eastAsia="宋体" w:cs="Times New Roman"/>
          <w:color w:val="auto"/>
          <w:sz w:val="21"/>
          <w:szCs w:val="21"/>
        </w:rPr>
        <w:t xml:space="preserve">承包人配合使用方进行固定资产登记后，</w:t>
      </w:r>
      <w:r>
        <w:rPr>
          <w:rFonts w:ascii="Times New Roman" w:hAnsi="Times New Roman" w:eastAsia="宋体" w:cs="Times New Roman"/>
          <w:color w:val="auto"/>
          <w:sz w:val="21"/>
          <w:szCs w:val="21"/>
          <w:u w:val="single"/>
        </w:rPr>
        <w:t xml:space="preserve">付到发包人最终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p>
    <w:p>
      <w:pPr>
        <w:pStyle w:val="1229"/>
        <w:numPr>
          <w:ilvl w:val="0"/>
          <w:numId w:val="164"/>
        </w:numPr>
        <w:ind w:left="0" w:right="0" w:firstLine="0"/>
        <w:pageBreakBefore w:val="0"/>
        <w:spacing w:before="0"/>
        <w:widowControl/>
        <w:rPr>
          <w:b w:val="0"/>
          <w:color w:val="auto"/>
          <w:sz w:val="21"/>
          <w:szCs w:val="21"/>
        </w:rPr>
      </w:pPr>
      <w:r>
        <w:rPr>
          <w:color w:val="auto"/>
          <w:sz w:val="21"/>
          <w:szCs w:val="21"/>
        </w:rPr>
        <w:t xml:space="preserve">进度付款申请单的编制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关于进度付款申请单编制的约定：</w:t>
      </w:r>
      <w:r>
        <w:rPr>
          <w:rFonts w:ascii="Times New Roman" w:hAnsi="Times New Roman" w:eastAsia="宋体" w:cs="Times New Roman"/>
          <w:color w:val="auto"/>
          <w:sz w:val="21"/>
          <w:szCs w:val="21"/>
          <w:u w:val="single"/>
        </w:rPr>
        <w:t xml:space="preserve">按通用条款执行</w:t>
      </w:r>
      <w:r>
        <w:rPr>
          <w:rFonts w:ascii="Times New Roman" w:hAnsi="Times New Roman" w:eastAsia="宋体" w:cs="Times New Roman"/>
          <w:color w:val="auto"/>
          <w:sz w:val="21"/>
          <w:szCs w:val="21"/>
        </w:rPr>
        <w:t xml:space="preserve">。</w:t>
      </w:r>
      <w:r/>
    </w:p>
    <w:p>
      <w:pPr>
        <w:pStyle w:val="1229"/>
        <w:numPr>
          <w:ilvl w:val="0"/>
          <w:numId w:val="164"/>
        </w:numPr>
        <w:ind w:left="0" w:right="0" w:firstLine="0"/>
        <w:pageBreakBefore w:val="0"/>
        <w:spacing w:before="0"/>
        <w:widowControl/>
        <w:rPr>
          <w:b w:val="0"/>
          <w:color w:val="auto"/>
          <w:sz w:val="21"/>
          <w:szCs w:val="21"/>
        </w:rPr>
      </w:pPr>
      <w:r>
        <w:rPr>
          <w:color w:val="auto"/>
          <w:sz w:val="21"/>
          <w:szCs w:val="21"/>
        </w:rPr>
        <w:t xml:space="preserve">进度付款申请单的提交</w:t>
      </w:r>
      <w:r/>
    </w:p>
    <w:p>
      <w:pPr>
        <w:pStyle w:val="1240"/>
        <w:numPr>
          <w:ilvl w:val="0"/>
          <w:numId w:val="165"/>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rPr>
        <w:t xml:space="preserve">单价合同进度付款申请单提交的约定：</w:t>
      </w:r>
      <w:r>
        <w:rPr>
          <w:rFonts w:ascii="Times New Roman" w:hAnsi="Times New Roman" w:eastAsia="宋体" w:cs="Times New Roman"/>
          <w:color w:val="auto"/>
          <w:sz w:val="21"/>
          <w:szCs w:val="21"/>
          <w:u w:val="single"/>
        </w:rPr>
        <w:t xml:space="preserve">所有工程款支付均须有发包人、监理、跟踪审计三方代表签字确认工作量和付款意见后，发包人才予办理工程款支付的手续；</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所有合同外增加的工作内容和工程变更调整的价款，一律不作为进度款支付的计算基数，须待竣工结算审计后与工程款结算款同期支付</w:t>
      </w:r>
      <w:r>
        <w:rPr>
          <w:rFonts w:ascii="Times New Roman" w:hAnsi="Times New Roman" w:eastAsia="宋体" w:cs="Times New Roman"/>
          <w:color w:val="auto"/>
          <w:sz w:val="21"/>
          <w:szCs w:val="21"/>
        </w:rPr>
        <w:t xml:space="preserve">。</w:t>
      </w:r>
      <w:r/>
    </w:p>
    <w:p>
      <w:pPr>
        <w:pStyle w:val="1240"/>
        <w:numPr>
          <w:ilvl w:val="0"/>
          <w:numId w:val="16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总价合同进度付款申请单提交的约定：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numPr>
          <w:ilvl w:val="0"/>
          <w:numId w:val="16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其他价格形式合同进度付款申请单提交的约定：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29"/>
        <w:numPr>
          <w:ilvl w:val="0"/>
          <w:numId w:val="164"/>
        </w:numPr>
        <w:ind w:left="0" w:right="0" w:firstLine="0"/>
        <w:pageBreakBefore w:val="0"/>
        <w:spacing w:before="0"/>
        <w:widowControl/>
        <w:rPr>
          <w:b w:val="0"/>
          <w:color w:val="auto"/>
          <w:sz w:val="21"/>
          <w:szCs w:val="21"/>
        </w:rPr>
      </w:pPr>
      <w:r>
        <w:rPr>
          <w:color w:val="auto"/>
          <w:sz w:val="21"/>
          <w:szCs w:val="21"/>
        </w:rPr>
        <w:t xml:space="preserve">进度款审核和支付</w:t>
      </w:r>
      <w:r/>
    </w:p>
    <w:p>
      <w:pPr>
        <w:pStyle w:val="1240"/>
        <w:numPr>
          <w:ilvl w:val="0"/>
          <w:numId w:val="16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监理人审查并报送发包人的期限：</w:t>
      </w:r>
      <w:r>
        <w:rPr>
          <w:rFonts w:ascii="Times New Roman" w:hAnsi="Times New Roman" w:eastAsia="宋体" w:cs="Times New Roman"/>
          <w:color w:val="auto"/>
          <w:sz w:val="21"/>
          <w:szCs w:val="21"/>
          <w:u w:val="single"/>
        </w:rPr>
        <w:t xml:space="preserve">按专用条款执行</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发包人完成审批并签发进度款支付证书的期限：</w:t>
      </w:r>
      <w:r>
        <w:rPr>
          <w:rFonts w:ascii="Times New Roman" w:hAnsi="Times New Roman" w:eastAsia="宋体" w:cs="Times New Roman"/>
          <w:color w:val="auto"/>
          <w:sz w:val="21"/>
          <w:szCs w:val="21"/>
          <w:u w:val="single"/>
        </w:rPr>
        <w:t xml:space="preserve">按专用条款执行</w:t>
      </w:r>
      <w:r>
        <w:rPr>
          <w:rFonts w:ascii="Times New Roman" w:hAnsi="Times New Roman" w:eastAsia="宋体" w:cs="Times New Roman"/>
          <w:color w:val="auto"/>
          <w:sz w:val="21"/>
          <w:szCs w:val="21"/>
        </w:rPr>
        <w:t xml:space="preserve">。</w:t>
      </w:r>
      <w:r/>
    </w:p>
    <w:p>
      <w:pPr>
        <w:pStyle w:val="1240"/>
        <w:numPr>
          <w:ilvl w:val="0"/>
          <w:numId w:val="16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发包人支付进度款的期限：</w:t>
      </w:r>
      <w:r>
        <w:rPr>
          <w:rFonts w:ascii="Times New Roman" w:hAnsi="Times New Roman" w:eastAsia="宋体" w:cs="Times New Roman"/>
          <w:color w:val="auto"/>
          <w:sz w:val="21"/>
          <w:szCs w:val="21"/>
          <w:u w:val="single"/>
        </w:rPr>
        <w:t xml:space="preserve">按专用条款执行</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发包人逾期支付进度款的违约金的计算方式：</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u w:val="single"/>
        </w:rPr>
        <w:t xml:space="preserve">按同期全国银行间同业拆借中心公布的贷款市场报价利率计算。承包人理解发包人高校财务付款制度的特殊性，自愿放弃违约金主张。</w:t>
      </w:r>
      <w:r/>
    </w:p>
    <w:p>
      <w:pPr>
        <w:pStyle w:val="1229"/>
        <w:numPr>
          <w:ilvl w:val="0"/>
          <w:numId w:val="164"/>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支付分解表的编制</w:t>
      </w:r>
      <w:r/>
    </w:p>
    <w:p>
      <w:pPr>
        <w:pStyle w:val="1240"/>
        <w:numPr>
          <w:ilvl w:val="0"/>
          <w:numId w:val="167"/>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总价合同支付分解表的编制与审批：</w:t>
      </w:r>
      <w:r>
        <w:rPr>
          <w:rFonts w:ascii="Times New Roman" w:hAnsi="Times New Roman" w:eastAsia="宋体" w:cs="Times New Roman"/>
          <w:color w:val="auto"/>
          <w:sz w:val="21"/>
          <w:szCs w:val="21"/>
          <w:u w:val="single"/>
        </w:rPr>
        <w:t xml:space="preserve">不采用</w:t>
      </w:r>
      <w:r>
        <w:rPr>
          <w:rFonts w:ascii="Times New Roman" w:hAnsi="Times New Roman" w:eastAsia="宋体" w:cs="Times New Roman"/>
          <w:color w:val="auto"/>
          <w:sz w:val="21"/>
          <w:szCs w:val="21"/>
        </w:rPr>
        <w:t xml:space="preserve">。</w:t>
      </w:r>
      <w:r/>
    </w:p>
    <w:p>
      <w:pPr>
        <w:pStyle w:val="1240"/>
        <w:numPr>
          <w:ilvl w:val="0"/>
          <w:numId w:val="167"/>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单价合同的总价项目支付分解表的编制与审批：</w:t>
      </w:r>
      <w:r>
        <w:rPr>
          <w:rFonts w:ascii="Times New Roman" w:hAnsi="Times New Roman" w:eastAsia="宋体" w:cs="Times New Roman"/>
          <w:color w:val="auto"/>
          <w:sz w:val="21"/>
          <w:szCs w:val="21"/>
          <w:u w:val="single"/>
        </w:rPr>
        <w:t xml:space="preserve">不采用</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验收和工程试车</w:t>
      </w:r>
      <w:r/>
    </w:p>
    <w:p>
      <w:pPr>
        <w:pStyle w:val="1228"/>
        <w:numPr>
          <w:ilvl w:val="0"/>
          <w:numId w:val="16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分部分项工程验收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监理人不能按时进行验收时，应提前</w:t>
      </w:r>
      <w:r>
        <w:rPr>
          <w:rFonts w:ascii="Times New Roman" w:hAnsi="Times New Roman" w:eastAsia="宋体" w:cs="Times New Roman"/>
          <w:color w:val="auto"/>
          <w:sz w:val="21"/>
          <w:szCs w:val="21"/>
          <w:u w:val="single"/>
        </w:rPr>
        <w:t xml:space="preserve"> 24</w:t>
      </w:r>
      <w:r>
        <w:rPr>
          <w:rFonts w:ascii="Times New Roman" w:hAnsi="Times New Roman" w:eastAsia="宋体" w:cs="Times New Roman"/>
          <w:color w:val="auto"/>
          <w:sz w:val="21"/>
          <w:szCs w:val="21"/>
        </w:rPr>
        <w:t xml:space="preserve">小时提交书面延期要求。</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关于延期最长不得超过：</w:t>
      </w:r>
      <w:r>
        <w:rPr>
          <w:rFonts w:ascii="Times New Roman" w:hAnsi="Times New Roman" w:eastAsia="宋体" w:cs="Times New Roman"/>
          <w:color w:val="auto"/>
          <w:sz w:val="21"/>
          <w:szCs w:val="21"/>
          <w:u w:val="single"/>
        </w:rPr>
        <w:t xml:space="preserve"> 48 </w:t>
      </w:r>
      <w:r>
        <w:rPr>
          <w:rFonts w:ascii="Times New Roman" w:hAnsi="Times New Roman" w:eastAsia="宋体" w:cs="Times New Roman"/>
          <w:color w:val="auto"/>
          <w:sz w:val="21"/>
          <w:szCs w:val="21"/>
        </w:rPr>
        <w:t xml:space="preserve">小时。</w:t>
      </w:r>
      <w:r/>
    </w:p>
    <w:p>
      <w:pPr>
        <w:pStyle w:val="1228"/>
        <w:numPr>
          <w:ilvl w:val="0"/>
          <w:numId w:val="16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竣工验收</w:t>
      </w:r>
      <w:r/>
    </w:p>
    <w:p>
      <w:pPr>
        <w:pStyle w:val="1229"/>
        <w:numPr>
          <w:ilvl w:val="0"/>
          <w:numId w:val="16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竣工验收程序</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关于竣工验收程序的约定：</w:t>
      </w:r>
      <w:r/>
    </w:p>
    <w:p>
      <w:pPr>
        <w:pStyle w:val="1240"/>
        <w:numPr>
          <w:ilvl w:val="0"/>
          <w:numId w:val="17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p>
    <w:p>
      <w:pPr>
        <w:pStyle w:val="1240"/>
        <w:numPr>
          <w:ilvl w:val="0"/>
          <w:numId w:val="17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监理审查后认为已具备竣工验收条件的，应将竣工验收申请报告提交发包人，发包人应在收到经监理审核的竣工验收申请报告后【7】天内审批完毕并组织监理、承包人、设计单位等相关单位完成竣工验收。</w:t>
      </w:r>
      <w:r/>
    </w:p>
    <w:p>
      <w:pPr>
        <w:pStyle w:val="1240"/>
        <w:numPr>
          <w:ilvl w:val="0"/>
          <w:numId w:val="17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项目竣工验收合格后，承包人需安排人员看管，直至将项目整体移交给项目发包人为止。在项目未移交前的现场看管费，成品保护费均由承包人承担。遇特殊情况，承发包人双方另行协商</w:t>
      </w:r>
      <w:r/>
    </w:p>
    <w:p>
      <w:pPr>
        <w:pStyle w:val="1240"/>
        <w:numPr>
          <w:ilvl w:val="0"/>
          <w:numId w:val="17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b/>
          <w:color w:val="auto"/>
          <w:sz w:val="21"/>
          <w:szCs w:val="21"/>
        </w:rPr>
        <w:t xml:space="preserve">环保检测：</w:t>
      </w:r>
      <w:r>
        <w:rPr>
          <w:rFonts w:ascii="Times New Roman" w:hAnsi="Times New Roman" w:eastAsia="宋体" w:cs="Times New Roman"/>
          <w:color w:val="auto"/>
          <w:sz w:val="21"/>
          <w:szCs w:val="21"/>
        </w:rPr>
        <w:t xml:space="preserve">如发包人认为环保检测确有必要，检测单位由发包人指定，承包人需无条件配合。检测单位必须出具有符合国家规范及法律效力的检测报告，并挂网公示。检测费用由承包人支付。合格率需达到100%后方可履行验收手续。同</w:t>
      </w:r>
      <w:r>
        <w:rPr>
          <w:rFonts w:ascii="Times New Roman" w:hAnsi="Times New Roman" w:eastAsia="宋体" w:cs="Times New Roman"/>
          <w:color w:val="auto"/>
          <w:sz w:val="21"/>
          <w:szCs w:val="21"/>
        </w:rPr>
        <w:t xml:space="preserve">时，发包人有权在工程竣工后的质保期内对本工程所涉及的工程内容再次进行环保检测或质量检测，具体检测内容和检测单位由发包人指定，承包人须无条件配合，检测单位必须出具有符合国家规范及法律效力的检测报告。检测报告结果为合格的，则检测费用由发包人承担；检测结果为不合格的，则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工程质量不符合设计要求或质量不能达到合同约定标准的，发包人有权要求承包人返工或有权单方解除合同，承包人须无条件接受；返工的费用由承包人承担，工期不予顺延。</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发包人不按照本项约定组织竣工验收、颁发工程接收证书的违约金的计算方法：</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9"/>
        <w:numPr>
          <w:ilvl w:val="0"/>
          <w:numId w:val="16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移交、接收全部与部分工程</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承包人向发包人移交工程的期限：</w:t>
      </w:r>
      <w:r>
        <w:rPr>
          <w:rFonts w:ascii="Times New Roman" w:hAnsi="Times New Roman" w:eastAsia="宋体" w:cs="Times New Roman"/>
          <w:color w:val="auto"/>
          <w:sz w:val="21"/>
          <w:szCs w:val="21"/>
          <w:u w:val="single"/>
        </w:rPr>
        <w:t xml:space="preserve">竣工验收合格后，自验收合格之日起10天内承包人将工程移交给发包人</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发包人未按本合同约定接收全部或部分工程的，违约金的计算方法为：</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承包人未按时移交工程的，违约金的计算方法为：</w:t>
      </w:r>
      <w:r>
        <w:rPr>
          <w:rFonts w:ascii="Times New Roman" w:hAnsi="Times New Roman" w:eastAsia="宋体" w:cs="Times New Roman"/>
          <w:color w:val="auto"/>
          <w:sz w:val="21"/>
          <w:szCs w:val="21"/>
          <w:u w:val="single"/>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rPr>
          <w:rFonts w:ascii="Times New Roman" w:hAnsi="Times New Roman" w:eastAsia="宋体" w:cs="Times New Roman"/>
          <w:color w:val="auto"/>
          <w:sz w:val="21"/>
          <w:szCs w:val="21"/>
        </w:rPr>
        <w:t xml:space="preserve">。</w:t>
      </w:r>
      <w:r/>
    </w:p>
    <w:p>
      <w:pPr>
        <w:pStyle w:val="1228"/>
        <w:numPr>
          <w:ilvl w:val="0"/>
          <w:numId w:val="16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工程试车</w:t>
      </w:r>
      <w:r/>
    </w:p>
    <w:p>
      <w:pPr>
        <w:pStyle w:val="1229"/>
        <w:numPr>
          <w:ilvl w:val="0"/>
          <w:numId w:val="171"/>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试车程序</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工程试车内容：</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numPr>
          <w:ilvl w:val="0"/>
          <w:numId w:val="17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单机无负荷试车费用由</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承担；</w:t>
      </w:r>
      <w:r/>
    </w:p>
    <w:p>
      <w:pPr>
        <w:pStyle w:val="1240"/>
        <w:numPr>
          <w:ilvl w:val="0"/>
          <w:numId w:val="172"/>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无负荷联动试车费用由</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承担。</w:t>
      </w:r>
      <w:r/>
    </w:p>
    <w:p>
      <w:pPr>
        <w:pStyle w:val="1229"/>
        <w:numPr>
          <w:ilvl w:val="0"/>
          <w:numId w:val="171"/>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投料试车</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关于投料试车相关事项的约定：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28"/>
        <w:numPr>
          <w:ilvl w:val="0"/>
          <w:numId w:val="168"/>
        </w:numPr>
        <w:ind w:left="0" w:right="0" w:firstLine="0"/>
        <w:pageBreakBefore w:val="0"/>
        <w:spacing w:before="0"/>
        <w:widowControl/>
        <w:rPr>
          <w:b w:val="0"/>
          <w:color w:val="auto"/>
          <w:sz w:val="21"/>
          <w:szCs w:val="21"/>
        </w:rPr>
      </w:pPr>
      <w:r>
        <w:rPr>
          <w:color w:val="auto"/>
          <w:sz w:val="21"/>
          <w:szCs w:val="21"/>
        </w:rPr>
        <w:t xml:space="preserve">竣工退场</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承包人完成竣工退场的期限：</w:t>
      </w:r>
      <w:r>
        <w:rPr>
          <w:rFonts w:ascii="Times New Roman" w:hAnsi="Times New Roman" w:eastAsia="宋体" w:cs="Times New Roman"/>
          <w:color w:val="auto"/>
          <w:sz w:val="21"/>
          <w:szCs w:val="21"/>
          <w:u w:val="single"/>
        </w:rPr>
        <w:t xml:space="preserve">竣工验收合格后10日内</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竣工结算</w:t>
      </w:r>
      <w:r/>
    </w:p>
    <w:p>
      <w:pPr>
        <w:pStyle w:val="1228"/>
        <w:numPr>
          <w:ilvl w:val="0"/>
          <w:numId w:val="17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竣工结算申请</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承包人提交竣工结算申请单的期限：</w:t>
      </w:r>
      <w:r>
        <w:rPr>
          <w:rFonts w:ascii="Times New Roman" w:hAnsi="Times New Roman" w:eastAsia="宋体" w:cs="Times New Roman"/>
          <w:color w:val="auto"/>
          <w:sz w:val="21"/>
          <w:szCs w:val="21"/>
          <w:u w:val="single"/>
        </w:rPr>
        <w:t xml:space="preserve">竣工验收合格后28天内</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竣工付款申请单应包括的内容：</w:t>
      </w:r>
      <w:r/>
    </w:p>
    <w:p>
      <w:pPr>
        <w:pStyle w:val="1240"/>
        <w:numPr>
          <w:ilvl w:val="0"/>
          <w:numId w:val="17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pStyle w:val="1240"/>
        <w:numPr>
          <w:ilvl w:val="0"/>
          <w:numId w:val="17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若审计部门在结算审核中发现结算资料无效或不完整的，审计延误的责任由承包人承担。</w:t>
      </w:r>
      <w:r/>
    </w:p>
    <w:p>
      <w:pPr>
        <w:pStyle w:val="1240"/>
        <w:numPr>
          <w:ilvl w:val="0"/>
          <w:numId w:val="17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承包人未按本条款约定的时间和要求向发包人提交竣工结算报告和资料的，发包人将不能保证按专用条款规定的时间内提出审核意见，并且发包人有权根据已有资料进行审核，责任由承包人自行承担。</w:t>
      </w:r>
      <w:r/>
    </w:p>
    <w:p>
      <w:pPr>
        <w:pStyle w:val="1228"/>
        <w:numPr>
          <w:ilvl w:val="0"/>
          <w:numId w:val="173"/>
        </w:numPr>
        <w:ind w:left="0" w:right="0" w:firstLine="0"/>
        <w:pageBreakBefore w:val="0"/>
        <w:spacing w:before="0"/>
        <w:widowControl/>
        <w:rPr>
          <w:b w:val="0"/>
          <w:color w:val="auto"/>
          <w:sz w:val="21"/>
          <w:szCs w:val="21"/>
        </w:rPr>
      </w:pPr>
      <w:r>
        <w:rPr>
          <w:color w:val="auto"/>
          <w:sz w:val="21"/>
          <w:szCs w:val="21"/>
        </w:rPr>
        <w:t xml:space="preserve">竣工结算审核</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发包人审批竣工付款申请单的期限：</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u w:val="single"/>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且不构成违约。</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关于竣工付款证书异议部分复核的方式和程序：</w:t>
      </w:r>
      <w:r>
        <w:rPr>
          <w:rFonts w:ascii="Times New Roman" w:hAnsi="Times New Roman" w:eastAsia="宋体" w:cs="Times New Roman"/>
          <w:color w:val="auto"/>
          <w:sz w:val="21"/>
          <w:szCs w:val="21"/>
          <w:u w:val="single"/>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发包人、承包人双方一致同意：发包人可以以发包</w:t>
      </w:r>
      <w:r>
        <w:rPr>
          <w:rFonts w:ascii="Times New Roman" w:hAnsi="Times New Roman" w:eastAsia="宋体" w:cs="Times New Roman"/>
          <w:b/>
          <w:color w:val="auto"/>
          <w:sz w:val="21"/>
          <w:szCs w:val="21"/>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承包人明确知晓《南京中医药大学工程项目审计管理办法》（南中医大审字[2020]4号），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若本合同项下的工程在发包人、承包人双方完成结算审计之后，发包人上级主管单位又在该审计结论的基础上进行再次审计的，承包人承诺认可该最终审计结果。</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（本条款为特别约定）</w:t>
      </w:r>
      <w:r/>
    </w:p>
    <w:p>
      <w:pPr>
        <w:pStyle w:val="1228"/>
        <w:numPr>
          <w:ilvl w:val="0"/>
          <w:numId w:val="17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最终结清</w:t>
      </w:r>
      <w:r/>
    </w:p>
    <w:p>
      <w:pPr>
        <w:pStyle w:val="1229"/>
        <w:numPr>
          <w:ilvl w:val="0"/>
          <w:numId w:val="175"/>
        </w:numPr>
        <w:ind w:left="0" w:right="0" w:firstLine="0"/>
        <w:pageBreakBefore w:val="0"/>
        <w:spacing w:before="0"/>
        <w:widowControl/>
        <w:rPr>
          <w:b w:val="0"/>
          <w:color w:val="auto"/>
          <w:sz w:val="21"/>
          <w:szCs w:val="21"/>
        </w:rPr>
      </w:pPr>
      <w:r>
        <w:rPr>
          <w:color w:val="auto"/>
          <w:sz w:val="21"/>
          <w:szCs w:val="21"/>
        </w:rPr>
        <w:t xml:space="preserve">最终结清申请单</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承包人提交最终结清申请单的份数：</w:t>
      </w:r>
      <w:r>
        <w:rPr>
          <w:rFonts w:ascii="Times New Roman" w:hAnsi="Times New Roman" w:eastAsia="宋体" w:cs="Times New Roman"/>
          <w:color w:val="auto"/>
          <w:sz w:val="21"/>
          <w:szCs w:val="21"/>
          <w:u w:val="single"/>
        </w:rPr>
        <w:t xml:space="preserve">叁份</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承包人提交最终结算申请单的期限：</w:t>
      </w:r>
      <w:r>
        <w:rPr>
          <w:rFonts w:ascii="Times New Roman" w:hAnsi="Times New Roman" w:eastAsia="宋体" w:cs="Times New Roman"/>
          <w:color w:val="auto"/>
          <w:sz w:val="21"/>
          <w:szCs w:val="21"/>
          <w:u w:val="single"/>
        </w:rPr>
        <w:t xml:space="preserve">缺陷责任期终止证书颁发后7天内。</w:t>
      </w:r>
      <w:r/>
    </w:p>
    <w:p>
      <w:pPr>
        <w:pStyle w:val="1229"/>
        <w:numPr>
          <w:ilvl w:val="0"/>
          <w:numId w:val="175"/>
        </w:numPr>
        <w:ind w:left="0" w:right="0" w:firstLine="0"/>
        <w:pageBreakBefore w:val="0"/>
        <w:spacing w:before="0"/>
        <w:widowControl/>
        <w:rPr>
          <w:b w:val="0"/>
          <w:color w:val="auto"/>
          <w:sz w:val="21"/>
          <w:szCs w:val="21"/>
        </w:rPr>
      </w:pPr>
      <w:r>
        <w:rPr>
          <w:color w:val="auto"/>
          <w:sz w:val="21"/>
          <w:szCs w:val="21"/>
        </w:rPr>
        <w:t xml:space="preserve">最终结清证书和支付</w:t>
      </w:r>
      <w:r/>
    </w:p>
    <w:p>
      <w:pPr>
        <w:pStyle w:val="1240"/>
        <w:numPr>
          <w:ilvl w:val="0"/>
          <w:numId w:val="17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发包人完成最终结清申请单的审批并颁发最终结清证书的期限：</w:t>
      </w:r>
      <w:r>
        <w:rPr>
          <w:rFonts w:ascii="Times New Roman" w:hAnsi="Times New Roman" w:eastAsia="宋体" w:cs="Times New Roman"/>
          <w:color w:val="auto"/>
          <w:sz w:val="21"/>
          <w:szCs w:val="21"/>
          <w:u w:val="single"/>
        </w:rPr>
        <w:t xml:space="preserve">执行通用条款</w:t>
      </w:r>
      <w:r>
        <w:rPr>
          <w:rFonts w:ascii="Times New Roman" w:hAnsi="Times New Roman" w:eastAsia="宋体" w:cs="Times New Roman"/>
          <w:color w:val="auto"/>
          <w:sz w:val="21"/>
          <w:szCs w:val="21"/>
        </w:rPr>
        <w:t xml:space="preserve">。</w:t>
      </w:r>
      <w:r/>
    </w:p>
    <w:p>
      <w:pPr>
        <w:pStyle w:val="1240"/>
        <w:numPr>
          <w:ilvl w:val="0"/>
          <w:numId w:val="17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发包人完成支付的期限：</w:t>
      </w:r>
      <w:r>
        <w:rPr>
          <w:rFonts w:ascii="Times New Roman" w:hAnsi="Times New Roman" w:eastAsia="宋体" w:cs="Times New Roman"/>
          <w:color w:val="auto"/>
          <w:sz w:val="21"/>
          <w:szCs w:val="21"/>
          <w:u w:val="single"/>
        </w:rPr>
        <w:t xml:space="preserve">按进度款支付约定</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缺陷责任期与保修</w:t>
      </w:r>
      <w:r/>
    </w:p>
    <w:p>
      <w:pPr>
        <w:pStyle w:val="1228"/>
        <w:numPr>
          <w:ilvl w:val="0"/>
          <w:numId w:val="17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缺陷责任期</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缺陷责任期的具体期限：</w:t>
      </w:r>
      <w:r>
        <w:rPr>
          <w:rFonts w:ascii="Times New Roman" w:hAnsi="Times New Roman" w:eastAsia="宋体" w:cs="Times New Roman"/>
          <w:color w:val="auto"/>
          <w:sz w:val="21"/>
          <w:szCs w:val="21"/>
          <w:u w:val="single"/>
        </w:rPr>
        <w:t xml:space="preserve">自工程竣工验收合格之日起【24】个月</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u w:val="single"/>
        </w:rPr>
        <w:t xml:space="preserve">自</w:t>
      </w:r>
      <w:r>
        <w:rPr>
          <w:rFonts w:ascii="Times New Roman" w:hAnsi="Times New Roman" w:eastAsia="宋体" w:cs="Times New Roman"/>
          <w:color w:val="auto"/>
          <w:sz w:val="21"/>
          <w:szCs w:val="21"/>
          <w:highlight w:val="none"/>
          <w:u w:val="single"/>
        </w:rPr>
        <w:t xml:space="preserve">发包人竣工验收合格报告签署之日起算</w:t>
      </w:r>
      <w:r>
        <w:rPr>
          <w:rFonts w:ascii="Times New Roman" w:hAnsi="Times New Roman" w:eastAsia="宋体" w:cs="Times New Roman"/>
          <w:color w:val="auto"/>
          <w:sz w:val="21"/>
          <w:szCs w:val="21"/>
          <w:highlight w:val="none"/>
        </w:rPr>
        <w:t xml:space="preserve">。</w:t>
      </w:r>
      <w:r/>
    </w:p>
    <w:p>
      <w:pPr>
        <w:pStyle w:val="1228"/>
        <w:numPr>
          <w:ilvl w:val="0"/>
          <w:numId w:val="17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质量保证金</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关于是否扣留质量保证金的约定：</w:t>
      </w:r>
      <w:r>
        <w:rPr>
          <w:rFonts w:ascii="Times New Roman" w:hAnsi="Times New Roman" w:eastAsia="宋体" w:cs="Times New Roman"/>
          <w:color w:val="auto"/>
          <w:sz w:val="21"/>
          <w:szCs w:val="21"/>
          <w:u w:val="single"/>
        </w:rPr>
        <w:t xml:space="preserve">人民币　　　元（合同签约价的【3】%）的履约保证金在本工程竣工验收合格后转</w:t>
      </w:r>
      <w:r>
        <w:rPr>
          <w:rFonts w:ascii="Times New Roman" w:hAnsi="Times New Roman" w:eastAsia="宋体" w:cs="Times New Roman"/>
          <w:color w:val="auto"/>
          <w:sz w:val="21"/>
          <w:szCs w:val="21"/>
          <w:u w:val="single"/>
        </w:rPr>
        <w:t xml:space="preserve">作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24个月）满后，经发包人单位盖章，无息返还承包人质量保证金。若承包人不能及时响应或保质处理维修事项，发包人有权另找工程队维修，所发生的费用从质量保证金中支付。</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在工程项目竣工前，承包人按专用合同条款第3.6条提供履约担保的，发包人不得同时预留工程质量保证金。</w:t>
      </w:r>
      <w:r/>
    </w:p>
    <w:p>
      <w:pPr>
        <w:pStyle w:val="1229"/>
        <w:numPr>
          <w:ilvl w:val="0"/>
          <w:numId w:val="178"/>
        </w:numPr>
        <w:ind w:left="0" w:right="0" w:firstLine="0"/>
        <w:pageBreakBefore w:val="0"/>
        <w:spacing w:before="0"/>
        <w:widowControl/>
        <w:rPr>
          <w:b w:val="0"/>
          <w:color w:val="auto"/>
          <w:sz w:val="21"/>
          <w:szCs w:val="21"/>
        </w:rPr>
      </w:pPr>
      <w:r>
        <w:rPr>
          <w:color w:val="auto"/>
          <w:sz w:val="21"/>
          <w:szCs w:val="21"/>
        </w:rPr>
        <w:t xml:space="preserve">承包人提供质量保证金的方式</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质量保证金采用以下第</w:t>
      </w:r>
      <w:r>
        <w:rPr>
          <w:rFonts w:ascii="Times New Roman" w:hAnsi="Times New Roman" w:eastAsia="宋体" w:cs="Times New Roman"/>
          <w:color w:val="auto"/>
          <w:sz w:val="21"/>
          <w:szCs w:val="21"/>
          <w:u w:val="single"/>
        </w:rPr>
        <w:t xml:space="preserve">3</w:t>
      </w:r>
      <w:r>
        <w:rPr>
          <w:rFonts w:ascii="Times New Roman" w:hAnsi="Times New Roman" w:eastAsia="宋体" w:cs="Times New Roman"/>
          <w:color w:val="auto"/>
          <w:sz w:val="21"/>
          <w:szCs w:val="21"/>
        </w:rPr>
        <w:t xml:space="preserve">种方式：</w:t>
      </w:r>
      <w:r/>
    </w:p>
    <w:p>
      <w:pPr>
        <w:pStyle w:val="1240"/>
        <w:numPr>
          <w:ilvl w:val="0"/>
          <w:numId w:val="179"/>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质量保证金保函，保证金额为：</w:t>
      </w:r>
      <w:r>
        <w:rPr>
          <w:rFonts w:ascii="Times New Roman" w:hAnsi="Times New Roman" w:eastAsia="宋体" w:cs="Times New Roman"/>
          <w:color w:val="auto"/>
          <w:sz w:val="21"/>
          <w:szCs w:val="21"/>
          <w:u w:val="single"/>
        </w:rPr>
        <w:t xml:space="preserve">/；</w:t>
      </w:r>
      <w:r/>
    </w:p>
    <w:p>
      <w:pPr>
        <w:pStyle w:val="1240"/>
        <w:numPr>
          <w:ilvl w:val="0"/>
          <w:numId w:val="179"/>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合同价款</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的工程款；</w:t>
      </w:r>
      <w:r/>
    </w:p>
    <w:p>
      <w:pPr>
        <w:pStyle w:val="1240"/>
        <w:numPr>
          <w:ilvl w:val="0"/>
          <w:numId w:val="179"/>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其他方式：</w:t>
      </w:r>
      <w:r>
        <w:rPr>
          <w:rFonts w:ascii="Times New Roman" w:hAnsi="Times New Roman" w:eastAsia="宋体" w:cs="Times New Roman"/>
          <w:color w:val="auto"/>
          <w:sz w:val="21"/>
          <w:szCs w:val="21"/>
          <w:u w:val="single"/>
        </w:rPr>
        <w:t xml:space="preserve">签约合同价的【3%】的履约保证金转作质量保证金。</w:t>
      </w:r>
      <w:r/>
    </w:p>
    <w:p>
      <w:pPr>
        <w:pStyle w:val="1229"/>
        <w:numPr>
          <w:ilvl w:val="0"/>
          <w:numId w:val="178"/>
        </w:numPr>
        <w:ind w:left="0" w:right="0" w:firstLine="0"/>
        <w:pageBreakBefore w:val="0"/>
        <w:spacing w:before="0"/>
        <w:widowControl/>
        <w:rPr>
          <w:b w:val="0"/>
          <w:color w:val="auto"/>
          <w:sz w:val="21"/>
          <w:szCs w:val="21"/>
        </w:rPr>
      </w:pPr>
      <w:r>
        <w:rPr>
          <w:color w:val="auto"/>
          <w:sz w:val="21"/>
          <w:szCs w:val="21"/>
        </w:rPr>
        <w:t xml:space="preserve">质量保证金的扣留</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质量保证金的扣留采取以下第</w:t>
      </w:r>
      <w:r>
        <w:rPr>
          <w:rFonts w:ascii="Times New Roman" w:hAnsi="Times New Roman" w:eastAsia="宋体" w:cs="Times New Roman"/>
          <w:color w:val="auto"/>
          <w:sz w:val="21"/>
          <w:szCs w:val="21"/>
          <w:u w:val="single"/>
        </w:rPr>
        <w:t xml:space="preserve"> 3 </w:t>
      </w:r>
      <w:r>
        <w:rPr>
          <w:rFonts w:ascii="Times New Roman" w:hAnsi="Times New Roman" w:eastAsia="宋体" w:cs="Times New Roman"/>
          <w:color w:val="auto"/>
          <w:sz w:val="21"/>
          <w:szCs w:val="21"/>
        </w:rPr>
        <w:t xml:space="preserve">种方式：</w:t>
      </w:r>
      <w:r/>
    </w:p>
    <w:p>
      <w:pPr>
        <w:pStyle w:val="1240"/>
        <w:numPr>
          <w:ilvl w:val="0"/>
          <w:numId w:val="18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在支付工程进度款时逐次扣留，在此情形下，质量保证金的计算基数不包括预付款的支付、扣回以及价格调整的金额；</w:t>
      </w:r>
      <w:r/>
    </w:p>
    <w:p>
      <w:pPr>
        <w:pStyle w:val="1240"/>
        <w:numPr>
          <w:ilvl w:val="0"/>
          <w:numId w:val="18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工程竣工结算时一次性扣留质量保证金；</w:t>
      </w:r>
      <w:r/>
    </w:p>
    <w:p>
      <w:pPr>
        <w:pStyle w:val="1240"/>
        <w:numPr>
          <w:ilvl w:val="0"/>
          <w:numId w:val="180"/>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其他扣留方式：签订合同时缴纳</w:t>
      </w:r>
      <w:r>
        <w:rPr>
          <w:rFonts w:ascii="Times New Roman" w:hAnsi="Times New Roman" w:eastAsia="宋体" w:cs="Times New Roman"/>
          <w:color w:val="auto"/>
          <w:sz w:val="21"/>
          <w:szCs w:val="21"/>
          <w:u w:val="single"/>
        </w:rPr>
        <w:t xml:space="preserve">签约合同价的【3%】</w:t>
      </w:r>
      <w:r>
        <w:rPr>
          <w:rFonts w:ascii="Times New Roman" w:hAnsi="Times New Roman" w:eastAsia="宋体" w:cs="Times New Roman"/>
          <w:color w:val="auto"/>
          <w:sz w:val="21"/>
          <w:szCs w:val="21"/>
        </w:rPr>
        <w:t xml:space="preserve">的履约保证金转化为质量保证金。</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关于质量保证金的补充约定：</w:t>
      </w:r>
      <w:r>
        <w:rPr>
          <w:rFonts w:ascii="Times New Roman" w:hAnsi="Times New Roman" w:eastAsia="宋体" w:cs="Times New Roman"/>
          <w:color w:val="auto"/>
          <w:sz w:val="21"/>
          <w:szCs w:val="21"/>
          <w:u w:val="single"/>
        </w:rPr>
        <w:t xml:space="preserve">工程质量保修金在自发包人组织的竣工验收合格报告签署之日起算的质保期（24个月）满后，且发包人确认工程无质问题量且无任何遗留问题后【14】日内一次性退还承包人（不计息，扣除因质量问题引起的维修费用、质量赔偿金及其他违约金等）。</w:t>
      </w:r>
      <w:r/>
    </w:p>
    <w:p>
      <w:pPr>
        <w:pStyle w:val="1228"/>
        <w:numPr>
          <w:ilvl w:val="0"/>
          <w:numId w:val="17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保修</w:t>
      </w:r>
      <w:r/>
    </w:p>
    <w:p>
      <w:pPr>
        <w:pStyle w:val="1229"/>
        <w:numPr>
          <w:ilvl w:val="0"/>
          <w:numId w:val="181"/>
        </w:numPr>
        <w:ind w:left="0" w:right="0" w:firstLine="0"/>
        <w:pageBreakBefore w:val="0"/>
        <w:spacing w:before="0"/>
        <w:widowControl/>
        <w:rPr>
          <w:b w:val="0"/>
          <w:color w:val="auto"/>
          <w:sz w:val="21"/>
          <w:szCs w:val="21"/>
        </w:rPr>
      </w:pPr>
      <w:r>
        <w:rPr>
          <w:color w:val="auto"/>
          <w:sz w:val="21"/>
          <w:szCs w:val="21"/>
        </w:rPr>
        <w:t xml:space="preserve">保修责任</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工程保修期为：</w:t>
      </w:r>
      <w:r>
        <w:rPr>
          <w:rFonts w:ascii="Times New Roman" w:hAnsi="Times New Roman" w:eastAsia="宋体" w:cs="Times New Roman"/>
          <w:color w:val="auto"/>
          <w:sz w:val="21"/>
          <w:szCs w:val="21"/>
          <w:u w:val="single"/>
        </w:rPr>
        <w:t xml:space="preserve">自发包人组织的竣工验收合格报告签署之日起【24】个月</w:t>
      </w:r>
      <w:r>
        <w:rPr>
          <w:rFonts w:ascii="Times New Roman" w:hAnsi="Times New Roman" w:eastAsia="宋体" w:cs="Times New Roman"/>
          <w:color w:val="auto"/>
          <w:sz w:val="21"/>
          <w:szCs w:val="21"/>
        </w:rPr>
        <w:t xml:space="preserve">。</w:t>
      </w:r>
      <w:r/>
    </w:p>
    <w:p>
      <w:pPr>
        <w:pStyle w:val="1229"/>
        <w:numPr>
          <w:ilvl w:val="0"/>
          <w:numId w:val="181"/>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修复通知</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承包人收到保修通知并到达工程现场的合理时间：</w:t>
      </w:r>
      <w:r>
        <w:rPr>
          <w:rFonts w:ascii="Times New Roman" w:hAnsi="Times New Roman" w:eastAsia="宋体" w:cs="Times New Roman"/>
          <w:color w:val="auto"/>
          <w:sz w:val="21"/>
          <w:szCs w:val="21"/>
          <w:u w:val="single"/>
        </w:rPr>
        <w:t xml:space="preserve">自收到保修通知24小时内</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违约</w:t>
      </w:r>
      <w:r/>
    </w:p>
    <w:p>
      <w:pPr>
        <w:pStyle w:val="1228"/>
        <w:numPr>
          <w:ilvl w:val="0"/>
          <w:numId w:val="182"/>
        </w:numPr>
        <w:ind w:left="0" w:right="0" w:firstLine="0"/>
        <w:pageBreakBefore w:val="0"/>
        <w:spacing w:before="0"/>
        <w:widowControl/>
        <w:rPr>
          <w:b w:val="0"/>
          <w:color w:val="auto"/>
          <w:sz w:val="21"/>
          <w:szCs w:val="21"/>
        </w:rPr>
      </w:pPr>
      <w:r>
        <w:rPr>
          <w:color w:val="auto"/>
          <w:sz w:val="21"/>
          <w:szCs w:val="21"/>
        </w:rPr>
        <w:t xml:space="preserve">发包人违约</w:t>
      </w:r>
      <w:r/>
    </w:p>
    <w:p>
      <w:pPr>
        <w:pStyle w:val="1229"/>
        <w:numPr>
          <w:ilvl w:val="0"/>
          <w:numId w:val="18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发包人违约的情形</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发包人违约的其他情形：</w:t>
      </w:r>
      <w:r>
        <w:rPr>
          <w:rFonts w:ascii="Times New Roman" w:hAnsi="Times New Roman" w:eastAsia="宋体" w:cs="Times New Roman"/>
          <w:color w:val="auto"/>
          <w:sz w:val="21"/>
          <w:szCs w:val="21"/>
          <w:u w:val="single"/>
        </w:rPr>
        <w:t xml:space="preserve">按通用条款执行</w:t>
      </w:r>
      <w:r>
        <w:rPr>
          <w:rFonts w:ascii="Times New Roman" w:hAnsi="Times New Roman" w:eastAsia="宋体" w:cs="Times New Roman"/>
          <w:color w:val="auto"/>
          <w:sz w:val="21"/>
          <w:szCs w:val="21"/>
        </w:rPr>
        <w:t xml:space="preserve">。</w:t>
      </w:r>
      <w:r/>
    </w:p>
    <w:p>
      <w:pPr>
        <w:pStyle w:val="1229"/>
        <w:numPr>
          <w:ilvl w:val="0"/>
          <w:numId w:val="183"/>
        </w:numPr>
        <w:ind w:left="0" w:right="0" w:firstLine="0"/>
        <w:pageBreakBefore w:val="0"/>
        <w:spacing w:before="0"/>
        <w:widowControl/>
        <w:rPr>
          <w:b w:val="0"/>
          <w:color w:val="auto"/>
          <w:sz w:val="21"/>
          <w:szCs w:val="21"/>
        </w:rPr>
      </w:pPr>
      <w:r>
        <w:rPr>
          <w:color w:val="auto"/>
          <w:sz w:val="21"/>
          <w:szCs w:val="21"/>
        </w:rPr>
        <w:t xml:space="preserve">发包人违约的责任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发包人违约责任的承担方式和计算方法：</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因发包人原因未能在计划开工日期前7天内下达开工通知的违约责任：</w:t>
      </w:r>
      <w:r>
        <w:rPr>
          <w:rFonts w:ascii="Times New Roman" w:hAnsi="Times New Roman" w:eastAsia="宋体" w:cs="Times New Roman"/>
          <w:color w:val="auto"/>
          <w:sz w:val="21"/>
          <w:szCs w:val="21"/>
          <w:u w:val="single"/>
        </w:rPr>
        <w:t xml:space="preserve">相应工期顺延，承包人不主张违约金或补偿金</w:t>
      </w:r>
      <w:r>
        <w:rPr>
          <w:rFonts w:ascii="Times New Roman" w:hAnsi="Times New Roman" w:eastAsia="宋体" w:cs="Times New Roman"/>
          <w:color w:val="auto"/>
          <w:sz w:val="21"/>
          <w:szCs w:val="21"/>
        </w:rPr>
        <w:t xml:space="preserve">。</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rPr>
        <w:t xml:space="preserve">因发包人原因未能按合同约定支付合同价款的违约责任：</w:t>
      </w:r>
      <w:r>
        <w:rPr>
          <w:rFonts w:ascii="Times New Roman" w:hAnsi="Times New Roman" w:eastAsia="宋体" w:cs="Times New Roman"/>
          <w:color w:val="auto"/>
          <w:sz w:val="21"/>
          <w:szCs w:val="21"/>
          <w:u w:val="single"/>
        </w:rPr>
        <w:t xml:space="preserve">按同期全国银行间同业拆借中心公布的贷款市场报价利率计算利息。承包人理解发包人高校财务付款制度的特殊性，由于发包人财务付款制度导致的迟延付款，承包人自愿放弃违约金主张。</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发包人违反第10.1款〔变更的范围〕第（2）项约定，自行实施被取消的工作或转由他人实施的违约责任：</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发包人提供的材料、工程设备的规格、数量或质量不符合合同约定，或因发包人原因导致交货日期延误或交货地点变更等情况的违约责任：无。</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因发包人违反合同约定造成暂停施工的违约责任：</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发包人无正当理由没有在约定期限内发出复工指示，导致承包人无法复工的违约责任：</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40"/>
        <w:numPr>
          <w:ilvl w:val="0"/>
          <w:numId w:val="18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w:t>
      </w:r>
      <w:r>
        <w:rPr>
          <w:rFonts w:ascii="Times New Roman" w:hAnsi="Times New Roman" w:eastAsia="宋体" w:cs="Times New Roman"/>
          <w:color w:val="auto"/>
          <w:sz w:val="21"/>
          <w:szCs w:val="21"/>
          <w:u w:val="single"/>
        </w:rPr>
        <w:t xml:space="preserve">无</w:t>
      </w:r>
      <w:r>
        <w:rPr>
          <w:rFonts w:ascii="Times New Roman" w:hAnsi="Times New Roman" w:eastAsia="宋体" w:cs="Times New Roman"/>
          <w:color w:val="auto"/>
          <w:sz w:val="21"/>
          <w:szCs w:val="21"/>
        </w:rPr>
        <w:t xml:space="preserve">。</w:t>
      </w:r>
      <w:r/>
    </w:p>
    <w:p>
      <w:pPr>
        <w:pStyle w:val="1229"/>
        <w:numPr>
          <w:ilvl w:val="0"/>
          <w:numId w:val="183"/>
        </w:numPr>
        <w:ind w:left="0" w:right="0" w:firstLine="0"/>
        <w:pageBreakBefore w:val="0"/>
        <w:spacing w:before="0"/>
        <w:widowControl/>
        <w:rPr>
          <w:b w:val="0"/>
          <w:color w:val="auto"/>
          <w:sz w:val="21"/>
          <w:szCs w:val="21"/>
        </w:rPr>
      </w:pPr>
      <w:r>
        <w:rPr>
          <w:color w:val="auto"/>
          <w:sz w:val="21"/>
          <w:szCs w:val="21"/>
        </w:rPr>
        <w:t xml:space="preserve">因发包人违约解除合同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承包人按16.1.1项〔发包人违约的情形〕约定暂停施工满</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天后发包人仍不纠正其违约行为并致使合同目的不能实现的，承包人有权解除合同。</w:t>
      </w:r>
      <w:r/>
    </w:p>
    <w:p>
      <w:pPr>
        <w:pStyle w:val="1228"/>
        <w:numPr>
          <w:ilvl w:val="0"/>
          <w:numId w:val="182"/>
        </w:numPr>
        <w:ind w:left="0" w:right="0" w:firstLine="0"/>
        <w:pageBreakBefore w:val="0"/>
        <w:spacing w:before="0"/>
        <w:widowControl/>
        <w:rPr>
          <w:b w:val="0"/>
          <w:color w:val="auto"/>
          <w:sz w:val="21"/>
          <w:szCs w:val="21"/>
        </w:rPr>
      </w:pPr>
      <w:r>
        <w:rPr>
          <w:color w:val="auto"/>
          <w:sz w:val="21"/>
          <w:szCs w:val="21"/>
        </w:rPr>
        <w:t xml:space="preserve">承包人违约</w:t>
      </w:r>
      <w:r/>
    </w:p>
    <w:p>
      <w:pPr>
        <w:pStyle w:val="1229"/>
        <w:numPr>
          <w:ilvl w:val="0"/>
          <w:numId w:val="185"/>
        </w:numPr>
        <w:ind w:left="0" w:right="0" w:firstLine="0"/>
        <w:pageBreakBefore w:val="0"/>
        <w:spacing w:before="0"/>
        <w:widowControl/>
        <w:rPr>
          <w:b w:val="0"/>
          <w:color w:val="auto"/>
          <w:sz w:val="21"/>
          <w:szCs w:val="21"/>
        </w:rPr>
      </w:pPr>
      <w:r>
        <w:rPr>
          <w:color w:val="auto"/>
          <w:sz w:val="21"/>
          <w:szCs w:val="21"/>
        </w:rPr>
        <w:t xml:space="preserve">承包人违约的情形</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承包人违约的其他情形：</w:t>
      </w:r>
      <w:r>
        <w:rPr>
          <w:rFonts w:ascii="Times New Roman" w:hAnsi="Times New Roman" w:eastAsia="宋体" w:cs="Times New Roman"/>
          <w:color w:val="auto"/>
          <w:sz w:val="21"/>
          <w:szCs w:val="21"/>
          <w:u w:val="single"/>
        </w:rPr>
        <w:t xml:space="preserve">工期延误、质量问题、技术文件未按约定时间提交、承包人擅自停工或单方面终止合同等</w:t>
      </w:r>
      <w:r>
        <w:rPr>
          <w:rFonts w:ascii="Times New Roman" w:hAnsi="Times New Roman" w:eastAsia="宋体" w:cs="Times New Roman"/>
          <w:color w:val="auto"/>
          <w:sz w:val="21"/>
          <w:szCs w:val="21"/>
        </w:rPr>
        <w:t xml:space="preserve">。</w:t>
      </w:r>
      <w:r/>
    </w:p>
    <w:p>
      <w:pPr>
        <w:pStyle w:val="1229"/>
        <w:numPr>
          <w:ilvl w:val="0"/>
          <w:numId w:val="185"/>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承包人违约的责任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承包人违约责任的承担方式和计算方法：</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承包人不能按合同总工期竣工，每推迟一天，承包人向发包人支付合同价款1%的违约金；违约金总额累计不超过合同价款的30%，但是，若该违约金不足以弥补发包人损失的，承包人还须继续承担赔偿责任</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本工程具体分项工程完成时间应服从发包人的总体要求，如因承包人原因导致实际进度与发包</w:t>
      </w:r>
      <w:r>
        <w:rPr>
          <w:rFonts w:ascii="Times New Roman" w:hAnsi="Times New Roman" w:eastAsia="宋体" w:cs="Times New Roman"/>
          <w:color w:val="auto"/>
          <w:sz w:val="21"/>
          <w:szCs w:val="21"/>
          <w:u w:val="single"/>
        </w:rPr>
        <w:t xml:space="preserve">人要求的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承包人未按程序报验的，每次向发包人支付2000元违约赔偿金；工序验收不合格的，须按要求返工，并每次向发包人支付2000元/次违约赔偿金</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在施工过程中，发包人将对承包人的安全文明情况进行考评，只有考评合格，结算时方可计取现场安全文明措施费现场考评费和奖励费，否则结算时不得计取该项费用</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u w:val="single"/>
        </w:rPr>
        <w:t xml:space="preserve">工程竣工验收合格后28天内，承包人必须将符合发包人要求的竣工结算书及相关资料上报给发包人，否则每延迟一天须向发包人支付5000元作为违约赔偿金</w:t>
      </w:r>
      <w:r>
        <w:rPr>
          <w:rFonts w:ascii="Times New Roman" w:hAnsi="Times New Roman" w:eastAsia="宋体" w:cs="Times New Roman"/>
          <w:color w:val="auto"/>
          <w:sz w:val="21"/>
          <w:szCs w:val="21"/>
        </w:rPr>
        <w:t xml:space="preserve">；</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经查实如承包人有出借资质或挂靠施工现象发生，视承包人严重违约，承包人除须立即进行纠正外，发包人有权没收履约保证金，发包人还有权选择解除合同并要求承包人按签约合同价的30%向发包人支付违约金；</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工程质量应符合国家验收规范和本合同约定要求，并一次性验收合格，若质量未达到要求，承包人按签约合同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签约合同价【30】%标准向发包人支付违约金。若违约金不足以弥补发包人损失的，承包人还应承担由此而给发包人造成的一切损失。</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pStyle w:val="1240"/>
        <w:numPr>
          <w:ilvl w:val="0"/>
          <w:numId w:val="186"/>
        </w:numPr>
        <w:ind w:left="0" w:right="0" w:firstLine="480"/>
        <w:pageBreakBefore w:val="0"/>
        <w:spacing w:before="0" w:after="0"/>
        <w:widowControl/>
        <w:rPr>
          <w:rFonts w:hint="eastAsia" w:ascii="宋体" w:hAnsi="宋体" w:eastAsia="宋体" w:cs="宋体"/>
          <w:b w:val="0"/>
          <w:color w:val="auto"/>
          <w:sz w:val="21"/>
          <w:szCs w:val="21"/>
          <w:u w:val="single"/>
        </w:rPr>
      </w:pPr>
      <w:r>
        <w:rPr>
          <w:rFonts w:ascii="Times New Roman" w:hAnsi="Times New Roman" w:eastAsia="宋体" w:cs="Times New Roman"/>
          <w:color w:val="auto"/>
          <w:sz w:val="21"/>
          <w:szCs w:val="21"/>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pStyle w:val="1229"/>
        <w:numPr>
          <w:ilvl w:val="0"/>
          <w:numId w:val="185"/>
        </w:numPr>
        <w:ind w:left="0" w:right="0" w:firstLine="0"/>
        <w:pageBreakBefore w:val="0"/>
        <w:spacing w:before="0"/>
        <w:widowControl/>
        <w:rPr>
          <w:b w:val="0"/>
          <w:color w:val="auto"/>
          <w:sz w:val="21"/>
          <w:szCs w:val="21"/>
        </w:rPr>
      </w:pPr>
      <w:r>
        <w:rPr>
          <w:color w:val="auto"/>
          <w:sz w:val="21"/>
          <w:szCs w:val="21"/>
        </w:rPr>
        <w:t xml:space="preserve">因承包人违约解除合同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关于承包人违约解除合同的特别约定：</w:t>
      </w:r>
      <w:r>
        <w:rPr>
          <w:rFonts w:ascii="Times New Roman" w:hAnsi="Times New Roman" w:eastAsia="宋体" w:cs="Times New Roman"/>
          <w:color w:val="auto"/>
          <w:sz w:val="21"/>
          <w:szCs w:val="21"/>
          <w:u w:val="single"/>
        </w:rPr>
        <w:t xml:space="preserve">在本合同解除后，承包人必须在5天内无条件退场。发包人将按承包人已完成工程量的50%给予结算，承包人还须按合同签约价【30】%标准向发包人支付违约金并承担由此而给发包人造成的一切损失</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color w:val="auto"/>
          <w:sz w:val="21"/>
          <w:szCs w:val="21"/>
          <w:u w:val="single"/>
        </w:rPr>
        <w:t xml:space="preserve">根据监理、审计出具的报告结算给承包人</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不可抗力</w:t>
      </w:r>
      <w:r/>
    </w:p>
    <w:p>
      <w:pPr>
        <w:pStyle w:val="1228"/>
        <w:numPr>
          <w:ilvl w:val="0"/>
          <w:numId w:val="18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不可抗力的确认</w:t>
      </w:r>
      <w:r/>
    </w:p>
    <w:p>
      <w:pPr>
        <w:pStyle w:val="1240"/>
        <w:ind w:left="0" w:right="0"/>
        <w:pageBreakBefore w:val="0"/>
        <w:spacing w:before="0" w:after="0"/>
        <w:widowControl/>
        <w:rPr>
          <w:rFonts w:ascii="Times New Roman" w:hAnsi="Times New Roman" w:eastAsia="宋体" w:cs="Times New Roman"/>
          <w:color w:val="auto"/>
          <w:sz w:val="21"/>
          <w:szCs w:val="21"/>
          <w:u w:val="single"/>
        </w:rPr>
      </w:pPr>
      <w:r>
        <w:rPr>
          <w:rFonts w:ascii="Times New Roman" w:hAnsi="Times New Roman" w:eastAsia="宋体" w:cs="Times New Roman"/>
          <w:color w:val="auto"/>
          <w:sz w:val="21"/>
          <w:szCs w:val="21"/>
        </w:rPr>
        <w:t xml:space="preserve">除通用合同条款约定的不可抗力事件之外，视为不可抗力的其他情形：</w:t>
      </w:r>
      <w:r>
        <w:rPr>
          <w:rFonts w:ascii="Times New Roman" w:hAnsi="Times New Roman" w:eastAsia="宋体" w:cs="Times New Roman"/>
          <w:color w:val="auto"/>
          <w:sz w:val="21"/>
          <w:szCs w:val="21"/>
          <w:u w:val="single"/>
        </w:rPr>
        <w:t xml:space="preserve">因国家和政府举办大型活动限制施工、因维护学生稳定而不能正常施工</w:t>
      </w:r>
      <w:r>
        <w:rPr>
          <w:rFonts w:ascii="Times New Roman" w:hAnsi="Times New Roman" w:eastAsia="宋体" w:cs="Times New Roman"/>
          <w:color w:val="auto"/>
          <w:sz w:val="21"/>
          <w:szCs w:val="21"/>
        </w:rPr>
        <w:t xml:space="preserve">。</w:t>
      </w:r>
      <w:r/>
    </w:p>
    <w:p>
      <w:pPr>
        <w:pStyle w:val="1228"/>
        <w:numPr>
          <w:ilvl w:val="0"/>
          <w:numId w:val="187"/>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因不可抗力解除合同</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合同解除后，发包人应在商定或确定发包人应支付款项后</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天内完成款项的支付。</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保险</w:t>
      </w:r>
      <w:r/>
    </w:p>
    <w:p>
      <w:pPr>
        <w:pStyle w:val="1228"/>
        <w:numPr>
          <w:ilvl w:val="0"/>
          <w:numId w:val="188"/>
        </w:numPr>
        <w:ind w:left="0" w:right="0" w:firstLine="0"/>
        <w:pageBreakBefore w:val="0"/>
        <w:spacing w:before="0"/>
        <w:widowControl/>
        <w:rPr>
          <w:b w:val="0"/>
          <w:color w:val="auto"/>
          <w:sz w:val="21"/>
          <w:szCs w:val="21"/>
        </w:rPr>
      </w:pPr>
      <w:r>
        <w:rPr>
          <w:color w:val="auto"/>
          <w:sz w:val="21"/>
          <w:szCs w:val="21"/>
        </w:rPr>
        <w:t xml:space="preserve">工程保险</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关于工程保险的特别约定：</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8"/>
        <w:numPr>
          <w:ilvl w:val="0"/>
          <w:numId w:val="18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其他保险</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关于其他保险的约定：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承包人是否应为其施工设备等办理财产保险：</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8"/>
        <w:numPr>
          <w:ilvl w:val="0"/>
          <w:numId w:val="188"/>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通知义务</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关于变更保险合同时的通知义务的约定：</w:t>
      </w:r>
      <w:r>
        <w:rPr>
          <w:rFonts w:ascii="Times New Roman" w:hAnsi="Times New Roman" w:eastAsia="宋体" w:cs="Times New Roman"/>
          <w:color w:val="auto"/>
          <w:sz w:val="21"/>
          <w:szCs w:val="21"/>
          <w:u w:val="single"/>
        </w:rPr>
        <w:t xml:space="preserve">/</w:t>
      </w:r>
      <w:r>
        <w:rPr>
          <w:rFonts w:ascii="Times New Roman" w:hAnsi="Times New Roman" w:eastAsia="宋体" w:cs="Times New Roman"/>
          <w:color w:val="auto"/>
          <w:sz w:val="21"/>
          <w:szCs w:val="21"/>
        </w:rPr>
        <w:t xml:space="preserve">。</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争议解决</w:t>
      </w:r>
      <w:r/>
    </w:p>
    <w:p>
      <w:pPr>
        <w:pStyle w:val="1228"/>
        <w:numPr>
          <w:ilvl w:val="0"/>
          <w:numId w:val="18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争议评审</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合同当事人是否同意将工程争议提交争议评审小组决定：</w:t>
      </w:r>
      <w:r>
        <w:rPr>
          <w:rFonts w:ascii="Times New Roman" w:hAnsi="Times New Roman" w:eastAsia="宋体" w:cs="Times New Roman"/>
          <w:color w:val="auto"/>
          <w:sz w:val="21"/>
          <w:szCs w:val="21"/>
          <w:u w:val="single"/>
        </w:rPr>
        <w:t xml:space="preserve">不同意</w:t>
      </w:r>
      <w:r>
        <w:rPr>
          <w:rFonts w:ascii="Times New Roman" w:hAnsi="Times New Roman" w:eastAsia="宋体" w:cs="Times New Roman"/>
          <w:color w:val="auto"/>
          <w:sz w:val="21"/>
          <w:szCs w:val="21"/>
        </w:rPr>
        <w:t xml:space="preserve">。</w:t>
      </w:r>
      <w:r/>
    </w:p>
    <w:p>
      <w:pPr>
        <w:pStyle w:val="1229"/>
        <w:numPr>
          <w:ilvl w:val="0"/>
          <w:numId w:val="19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争议评审小组的确定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争议评审小组成员的确定：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选定争议评审员的期限：</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争议评审小组成员的报酬承担方式：</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其他事项的约定：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29"/>
        <w:numPr>
          <w:ilvl w:val="0"/>
          <w:numId w:val="190"/>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争议评审小组的决定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合同当事人关于本项的约定：</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w:t>
      </w:r>
      <w:r/>
    </w:p>
    <w:p>
      <w:pPr>
        <w:pStyle w:val="1228"/>
        <w:numPr>
          <w:ilvl w:val="0"/>
          <w:numId w:val="189"/>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仲裁或诉讼</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因合同及合同有关事项发生的争议，按下列第</w:t>
      </w:r>
      <w:r>
        <w:rPr>
          <w:rFonts w:ascii="Times New Roman" w:hAnsi="Times New Roman" w:eastAsia="宋体" w:cs="Times New Roman"/>
          <w:color w:val="auto"/>
          <w:sz w:val="21"/>
          <w:szCs w:val="21"/>
          <w:u w:val="single"/>
        </w:rPr>
        <w:t xml:space="preserve">（2）</w:t>
      </w:r>
      <w:r>
        <w:rPr>
          <w:rFonts w:ascii="Times New Roman" w:hAnsi="Times New Roman" w:eastAsia="宋体" w:cs="Times New Roman"/>
          <w:color w:val="auto"/>
          <w:sz w:val="21"/>
          <w:szCs w:val="21"/>
        </w:rPr>
        <w:t xml:space="preserve">种方式解决：</w:t>
      </w:r>
      <w:r/>
    </w:p>
    <w:p>
      <w:pPr>
        <w:pStyle w:val="1240"/>
        <w:numPr>
          <w:ilvl w:val="0"/>
          <w:numId w:val="191"/>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向</w:t>
      </w:r>
      <w:r>
        <w:rPr>
          <w:rFonts w:ascii="Times New Roman" w:hAnsi="Times New Roman" w:eastAsia="宋体" w:cs="Times New Roman"/>
          <w:color w:val="auto"/>
          <w:sz w:val="21"/>
          <w:szCs w:val="21"/>
          <w:u w:val="single"/>
        </w:rPr>
        <w:t xml:space="preserve"> / </w:t>
      </w:r>
      <w:r>
        <w:rPr>
          <w:rFonts w:ascii="Times New Roman" w:hAnsi="Times New Roman" w:eastAsia="宋体" w:cs="Times New Roman"/>
          <w:color w:val="auto"/>
          <w:sz w:val="21"/>
          <w:szCs w:val="21"/>
        </w:rPr>
        <w:t xml:space="preserve">仲裁委员会申请仲裁；</w:t>
      </w:r>
      <w:r/>
    </w:p>
    <w:p>
      <w:pPr>
        <w:pStyle w:val="1240"/>
        <w:numPr>
          <w:ilvl w:val="0"/>
          <w:numId w:val="191"/>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向</w:t>
      </w:r>
      <w:r>
        <w:rPr>
          <w:rFonts w:ascii="Times New Roman" w:hAnsi="Times New Roman" w:eastAsia="宋体" w:cs="Times New Roman"/>
          <w:color w:val="auto"/>
          <w:sz w:val="21"/>
          <w:szCs w:val="21"/>
          <w:u w:val="single"/>
        </w:rPr>
        <w:t xml:space="preserve">工程所在地</w:t>
      </w:r>
      <w:r>
        <w:rPr>
          <w:rFonts w:ascii="Times New Roman" w:hAnsi="Times New Roman" w:eastAsia="宋体" w:cs="Times New Roman"/>
          <w:color w:val="auto"/>
          <w:sz w:val="21"/>
          <w:szCs w:val="21"/>
        </w:rPr>
        <w:t xml:space="preserve">人民法院起诉。</w:t>
      </w:r>
      <w:r/>
    </w:p>
    <w:p>
      <w:pPr>
        <w:pStyle w:val="1227"/>
        <w:numPr>
          <w:ilvl w:val="0"/>
          <w:numId w:val="116"/>
        </w:numPr>
        <w:ind w:left="0" w:right="0" w:firstLine="0"/>
        <w:pageBreakBefore w:val="0"/>
        <w:spacing w:before="0"/>
        <w:widowControl/>
        <w:rPr>
          <w:b w:val="0"/>
          <w:color w:val="auto"/>
          <w:sz w:val="21"/>
          <w:szCs w:val="21"/>
        </w:rPr>
      </w:pPr>
      <w:r>
        <w:rPr>
          <w:color w:val="auto"/>
          <w:sz w:val="21"/>
          <w:szCs w:val="21"/>
        </w:rPr>
        <w:t xml:space="preserve">补充条款（特别约定）</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合同附件、相关的招投标资料/谈判纪要以及与本合同相关的其他文件均为本合同不可分割的组成部分，与本合同具有同等法律效力；若存在不一致之处或不明确之处，甲乙双方同意以最有利于甲方利益的文件或文意进行解释。</w:t>
      </w:r>
      <w:r/>
    </w:p>
    <w:p>
      <w:pPr>
        <w:pStyle w:val="1228"/>
        <w:numPr>
          <w:ilvl w:val="0"/>
          <w:numId w:val="192"/>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发包人就该工程为承包人垫付的建设工程社会保障费，可以在向承包人支付工程进度款时扣除。</w:t>
      </w:r>
      <w:r/>
    </w:p>
    <w:p>
      <w:pPr>
        <w:pStyle w:val="1228"/>
        <w:numPr>
          <w:ilvl w:val="0"/>
          <w:numId w:val="192"/>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审计费用的取费标准及分摊原则：</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同意发包人以自己的名义单方委托有相应资质的审计机构（工程造价咨询单位）对本工程作决算审计（包括初审和复审），初审和复审的审计费，均由发包人和承包人双方按规定分担。审计费用的承担方式为：</w:t>
      </w:r>
      <w:r/>
    </w:p>
    <w:p>
      <w:pPr>
        <w:pStyle w:val="1240"/>
        <w:numPr>
          <w:ilvl w:val="0"/>
          <w:numId w:val="193"/>
        </w:numPr>
        <w:ind w:left="0" w:right="0" w:firstLine="482"/>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核减率（含复审）达5%（含5%）以上的，全部审计费用由承包人承担，并由发包人从承包人的工程款中扣除。</w:t>
      </w:r>
      <w:r/>
    </w:p>
    <w:p>
      <w:pPr>
        <w:pStyle w:val="1240"/>
        <w:numPr>
          <w:ilvl w:val="0"/>
          <w:numId w:val="193"/>
        </w:numPr>
        <w:ind w:left="0" w:right="0" w:firstLine="482"/>
        <w:pageBreakBefore w:val="0"/>
        <w:spacing w:before="0" w:after="0"/>
        <w:widowControl/>
        <w:rPr>
          <w:rFonts w:hint="eastAsia" w:ascii="宋体" w:hAnsi="宋体" w:eastAsia="宋体" w:cs="宋体"/>
          <w:b/>
          <w:color w:val="auto"/>
          <w:sz w:val="21"/>
          <w:szCs w:val="21"/>
        </w:rPr>
      </w:pPr>
      <w:r>
        <w:rPr>
          <w:rFonts w:ascii="Times New Roman" w:hAnsi="Times New Roman" w:eastAsia="宋体" w:cs="Times New Roman"/>
          <w:b/>
          <w:color w:val="auto"/>
          <w:sz w:val="21"/>
          <w:szCs w:val="21"/>
        </w:rPr>
        <w:t xml:space="preserve">核减率（含复审）为5%以下的审计费用，由发包人承担。</w:t>
      </w:r>
      <w:r/>
    </w:p>
    <w:p>
      <w:pPr>
        <w:pStyle w:val="1240"/>
        <w:ind w:left="0" w:right="0"/>
        <w:pageBreakBefore w:val="0"/>
        <w:spacing w:before="0" w:after="0"/>
        <w:widowControl/>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 xml:space="preserve">承包人同意：若发包人审计规定发生调整修订，则按照发包人调整修订后的新审计规定执行。</w:t>
      </w:r>
      <w:r/>
    </w:p>
    <w:p>
      <w:pPr>
        <w:pStyle w:val="1255"/>
        <w:ind w:left="0" w:right="0"/>
        <w:pageBreakBefore w:val="0"/>
        <w:spacing w:before="0" w:after="0"/>
        <w:widowControl/>
        <w:rPr>
          <w:color w:val="auto"/>
          <w:sz w:val="21"/>
          <w:szCs w:val="21"/>
        </w:rPr>
      </w:pPr>
      <w:r>
        <w:rPr>
          <w:color w:val="auto"/>
          <w:sz w:val="21"/>
          <w:szCs w:val="21"/>
        </w:rPr>
        <w:br w:type="page" w:clear="all"/>
      </w:r>
      <w:r>
        <w:rPr>
          <w:color w:val="auto"/>
          <w:sz w:val="21"/>
          <w:szCs w:val="21"/>
        </w:rPr>
        <w:t xml:space="preserve">附件1： 南京中医药大学水电管理办法</w:t>
      </w:r>
      <w:r/>
    </w:p>
    <w:p>
      <w:pPr>
        <w:pStyle w:val="1285"/>
        <w:ind w:left="0" w:right="0"/>
        <w:jc w:val="center"/>
        <w:pageBreakBefore w:val="0"/>
        <w:spacing w:after="0"/>
        <w:widowControl/>
        <w:tabs>
          <w:tab w:val="left" w:pos="0" w:leader="none"/>
          <w:tab w:val="left" w:pos="993" w:leader="none"/>
          <w:tab w:val="left" w:pos="1134" w:leader="none"/>
        </w:tabs>
        <w:rPr>
          <w:rFonts w:ascii="宋体" w:hAnsi="宋体" w:cs="宋体"/>
          <w:b/>
          <w:color w:val="auto"/>
          <w:sz w:val="21"/>
          <w:szCs w:val="21"/>
          <w:lang w:eastAsia="zh-CN"/>
        </w:rPr>
      </w:pPr>
      <w:r>
        <w:rPr>
          <w:rFonts w:ascii="宋体" w:hAnsi="宋体" w:cs="宋体"/>
          <w:b/>
          <w:color w:val="auto"/>
          <w:sz w:val="21"/>
          <w:szCs w:val="21"/>
          <w:lang w:eastAsia="zh-CN"/>
        </w:rPr>
      </w:r>
      <w:r/>
    </w:p>
    <w:p>
      <w:pPr>
        <w:pStyle w:val="1255"/>
        <w:ind w:left="0" w:right="0"/>
        <w:pageBreakBefore w:val="0"/>
        <w:spacing w:before="0" w:after="0"/>
        <w:widowControl/>
        <w:rPr>
          <w:color w:val="auto"/>
          <w:sz w:val="21"/>
          <w:szCs w:val="21"/>
        </w:rPr>
      </w:pPr>
      <w:r>
        <w:rPr>
          <w:color w:val="auto"/>
          <w:sz w:val="21"/>
          <w:szCs w:val="21"/>
        </w:rPr>
        <w:t xml:space="preserve">南京中医药大学水电管理办法</w:t>
      </w:r>
      <w:r/>
    </w:p>
    <w:p>
      <w:pPr>
        <w:pStyle w:val="1249"/>
        <w:ind w:left="0" w:right="0"/>
        <w:pageBreakBefore w:val="0"/>
        <w:spacing w:before="0" w:after="0"/>
        <w:widowControl/>
        <w:rPr>
          <w:color w:val="auto"/>
          <w:sz w:val="21"/>
          <w:szCs w:val="21"/>
        </w:rPr>
      </w:pPr>
      <w:r>
        <w:rPr>
          <w:color w:val="auto"/>
          <w:sz w:val="21"/>
          <w:szCs w:val="21"/>
        </w:rPr>
        <w:t xml:space="preserve">（2022年5月修订）</w:t>
      </w:r>
      <w:r/>
    </w:p>
    <w:p>
      <w:pPr>
        <w:ind w:left="0" w:right="0"/>
        <w:pageBreakBefore w:val="0"/>
        <w:widowControl/>
        <w:rPr>
          <w:rFonts w:ascii="宋体" w:hAnsi="宋体" w:cs="宋体"/>
          <w:b/>
          <w:bCs/>
          <w:color w:val="auto"/>
          <w:sz w:val="21"/>
          <w:szCs w:val="21"/>
          <w:lang w:eastAsia="zh-CN"/>
        </w:rPr>
      </w:pPr>
      <w:r>
        <w:rPr>
          <w:rFonts w:ascii="宋体" w:hAnsi="宋体" w:cs="宋体"/>
          <w:b/>
          <w:bCs/>
          <w:color w:val="auto"/>
          <w:sz w:val="21"/>
          <w:szCs w:val="21"/>
          <w:lang w:eastAsia="zh-CN"/>
        </w:rPr>
      </w:r>
      <w:r/>
    </w:p>
    <w:p>
      <w:pPr>
        <w:pStyle w:val="1226"/>
        <w:numPr>
          <w:ilvl w:val="0"/>
          <w:numId w:val="194"/>
        </w:numPr>
        <w:ind w:left="0" w:right="0" w:firstLine="0"/>
        <w:pageBreakBefore w:val="0"/>
        <w:spacing w:before="0"/>
        <w:widowControl/>
        <w:rPr>
          <w:b w:val="0"/>
          <w:color w:val="auto"/>
          <w:sz w:val="21"/>
          <w:szCs w:val="21"/>
        </w:rPr>
      </w:pPr>
      <w:r>
        <w:rPr>
          <w:color w:val="auto"/>
          <w:sz w:val="21"/>
          <w:szCs w:val="21"/>
        </w:rPr>
        <w:t xml:space="preserve">总  则</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第一条  为切实加强学校节能减排工作，强化水电管理，协调水电供用双方的关系，明确供用双方的责任，规范全校水电管理秩序，确保学校教学、科研及师生生活用水用电需要，根据《中华人民共和国电力法》《中华人民共和国水法》及其他相关水电法规，结合我校建设节约型学校的实际，遵循“安全、计划、节约、方便”的原则制定本办法。</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管理机构及职责</w:t>
      </w:r>
      <w:r/>
    </w:p>
    <w:p>
      <w:pPr>
        <w:pStyle w:val="1240"/>
        <w:numPr>
          <w:ilvl w:val="0"/>
          <w:numId w:val="19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学校建立管理、使用、服务三位一体的水电管理服务体系。</w:t>
      </w:r>
      <w:r/>
    </w:p>
    <w:p>
      <w:pPr>
        <w:pStyle w:val="1240"/>
        <w:numPr>
          <w:ilvl w:val="0"/>
          <w:numId w:val="19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学校水电管理机构为三级节水节电管理网络。即南京中医药大学大保障工作小组（校级节约水电工作领导机构）→后勤管理处（校节约水电工作办公室）→各部门、各学院（节约水电管理（成员）小组）。</w:t>
      </w:r>
      <w:r/>
    </w:p>
    <w:p>
      <w:pPr>
        <w:pStyle w:val="1240"/>
        <w:numPr>
          <w:ilvl w:val="0"/>
          <w:numId w:val="19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大保障工作小组（校级节约水电工作领导机构）的职责：</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领导全校节水节电工作，负责制定全校节水节电工作的总体规划，节水节电技术改造及资金的审批，研究处理学校有关节水节电工作中的重大问题，并对全校日常节水节电工作进行指导。</w:t>
      </w:r>
      <w:r/>
    </w:p>
    <w:p>
      <w:pPr>
        <w:pStyle w:val="1240"/>
        <w:numPr>
          <w:ilvl w:val="0"/>
          <w:numId w:val="19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后勤管理处（校节约水电工作办公室）的职责：</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后勤管理处是学校水电管理的职能部门，对学校水电系统的保障、运行、维护等履行检查、管理和监督职能。学校节约水电领导机构下设节约水电办公室，挂靠后勤管理处。</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负责制定学校年度节水节电工作计划和做好学校年度节水节电工作总结，上报大保障工作小组。</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负责组织实施经批准后年度计划，每季度进行一次检查，发现问题及时向大保障工作小组汇报，并根据实际情况对计划提出调整建议和修改方案。</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协助相关部门制定学校节水节电宣传教育计划并参与组织实施。协助组织好节能宣传周活动，定期出版节能专刊。</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负责节水节电技术改造项目的论证选定，组织人员施工，检验技术改造项目的节水节电效果。</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负责全校用水用电的指标分解，并定时考核。按照学校制定的水电管理办法规定负责对全校用水用电检查工作,对违章用水用电给予处理，对节水节电工作成绩突出的单位和个人给予奖励。</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充分发挥基层节水节电管理小组（成员）的作用，按期召开季度基层节能管理碰头会。</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坚持在日常巡视的基础上，每月初、月中两次对全校重点单位、地段进行巡检并填写巡查记录。</w:t>
      </w:r>
      <w:r/>
    </w:p>
    <w:p>
      <w:pPr>
        <w:pStyle w:val="1240"/>
        <w:numPr>
          <w:ilvl w:val="0"/>
          <w:numId w:val="19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督促其成员在处理日常节能工作中的问题时，依照上级及学校的有关管理规定，以身作则，严格执纪。在日常管理工作中，发现重大问题及时向上级报告。</w:t>
      </w:r>
      <w:r/>
    </w:p>
    <w:p>
      <w:pPr>
        <w:pStyle w:val="1240"/>
        <w:numPr>
          <w:ilvl w:val="0"/>
          <w:numId w:val="19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部门节约水电管理小组的职责是：</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各部门、各学院及校直属单位的节约水电管理小组是学校的节约水电工作基层管理机构，其组成人员不少于3人，由主要领导任管理小组组长，并根据本单位情况设置1～2名节约水电管理员，管理小组对校节约水电办公室负责。</w:t>
      </w:r>
      <w:r/>
    </w:p>
    <w:p>
      <w:pPr>
        <w:pStyle w:val="1240"/>
        <w:numPr>
          <w:ilvl w:val="0"/>
          <w:numId w:val="198"/>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负责制定本部门年度节水节电工作计划和工作总结，上报校节约水电办公室。</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40"/>
        <w:numPr>
          <w:ilvl w:val="0"/>
          <w:numId w:val="198"/>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负责组织定期自查工作，发现问题及时与节约水电办公室联系、沟通，并根据实际情况提出调整建议和修改方案。</w:t>
      </w:r>
      <w:r/>
    </w:p>
    <w:p>
      <w:pPr>
        <w:pStyle w:val="1240"/>
        <w:numPr>
          <w:ilvl w:val="0"/>
          <w:numId w:val="19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负责本部门用水用电的指标分解，并定时考核。</w:t>
      </w:r>
      <w:r/>
    </w:p>
    <w:p>
      <w:pPr>
        <w:pStyle w:val="1240"/>
        <w:numPr>
          <w:ilvl w:val="0"/>
          <w:numId w:val="19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督促部门成员严格依照学校的有关管理规定，节约使用水电，在日常管理工作中，发现重大问题时应及时向学校节约水电办公室报告。</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运行、维护、保障</w:t>
      </w:r>
      <w:r/>
    </w:p>
    <w:p>
      <w:pPr>
        <w:pStyle w:val="1240"/>
        <w:numPr>
          <w:ilvl w:val="0"/>
          <w:numId w:val="199"/>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后勤管理处负责学校水电的运行、维护、保障工作。</w:t>
      </w:r>
      <w:r/>
    </w:p>
    <w:p>
      <w:pPr>
        <w:pStyle w:val="1240"/>
        <w:numPr>
          <w:ilvl w:val="0"/>
          <w:numId w:val="199"/>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为确保学校重大活动的水电正常供应，活动承办单位须提前一周提出书面申请，后勤管理处及时向南京市供水供电部门申办保供手续。</w:t>
      </w:r>
      <w:r/>
    </w:p>
    <w:p>
      <w:pPr>
        <w:pStyle w:val="1240"/>
        <w:numPr>
          <w:ilvl w:val="0"/>
          <w:numId w:val="199"/>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出现供电系统重大设备、设施故障或市供电部门临时限负荷等情况时，后勤管理处能源管理科有权按照有关规程或调度命令改变运行方式，尽可能地保证生活和重点用户供电，并及时逐级汇报。</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停水、停电</w:t>
      </w:r>
      <w:r/>
    </w:p>
    <w:p>
      <w:pPr>
        <w:pStyle w:val="1240"/>
        <w:numPr>
          <w:ilvl w:val="0"/>
          <w:numId w:val="20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如遇自来水公司、供电局安排计划停水、停电，后勤管理处应根据具体情况，提出相应的应对方案，报分管校长批准后实施。</w:t>
      </w:r>
      <w:r/>
    </w:p>
    <w:p>
      <w:pPr>
        <w:pStyle w:val="1240"/>
        <w:numPr>
          <w:ilvl w:val="0"/>
          <w:numId w:val="20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因工程建设(施工、检修等)需要区域性停水、停电，工程建设管理单位应提前提出书面申请，后勤管理处视停水、停电的范围及影响程度，合理安排，并提前在学校公告栏及校园网上通知公告；对可能受影响的重要教学、科研、生活等，必须预先通知，专人负责。</w:t>
      </w:r>
      <w:r/>
    </w:p>
    <w:p>
      <w:pPr>
        <w:pStyle w:val="1240"/>
        <w:numPr>
          <w:ilvl w:val="0"/>
          <w:numId w:val="20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出现下列情况之一者，后勤管理处应立即予以停水、停电：</w:t>
      </w:r>
      <w:r/>
    </w:p>
    <w:p>
      <w:pPr>
        <w:pStyle w:val="1240"/>
        <w:numPr>
          <w:ilvl w:val="0"/>
          <w:numId w:val="20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发生或可能引发人身伤害等重大事故时。</w:t>
      </w:r>
      <w:r/>
    </w:p>
    <w:p>
      <w:pPr>
        <w:pStyle w:val="1240"/>
        <w:numPr>
          <w:ilvl w:val="0"/>
          <w:numId w:val="20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发生爆炸、火灾、自然灾害、外力破坏等突发性事故时。</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以上情况的处置应在安全第一的原则下，尽可能缩小停水、停电的范围，并迅速逐级报告。</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计划、增容</w:t>
      </w:r>
      <w:r/>
    </w:p>
    <w:p>
      <w:pPr>
        <w:pStyle w:val="1240"/>
        <w:numPr>
          <w:ilvl w:val="0"/>
          <w:numId w:val="202"/>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校内各单位的新建工程或改建工程中涉及到水电设施改造的，须将供水供电方案报后勤管理处审批，经论证同意后方可实施。项目竣工必须经后勤管理处能源管理专业验收合格方可接入学校水电管网。</w:t>
      </w:r>
      <w:r/>
    </w:p>
    <w:p>
      <w:pPr>
        <w:pStyle w:val="1240"/>
        <w:numPr>
          <w:ilvl w:val="0"/>
          <w:numId w:val="202"/>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凡具备单独装表计量条件的新(改)建项目均应安装水电计量装置。水电计量装置的选型由后勤管理处确定；工程结束后一周内将水电计量装置的技术数据(规格、型号、起始读数、出厂编号等)书面报送后勤管理处建档。</w:t>
      </w:r>
      <w:r/>
    </w:p>
    <w:p>
      <w:pPr>
        <w:pStyle w:val="1240"/>
        <w:numPr>
          <w:ilvl w:val="0"/>
          <w:numId w:val="202"/>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经批准同意增容的生产、开发、经营用户应向学校缴纳水电增容费，主要用于节能技改、水电计量装置与更新等。增容费标准按届时南京市水电主管部门的规定执行。</w:t>
      </w:r>
      <w:r/>
    </w:p>
    <w:p>
      <w:pPr>
        <w:pStyle w:val="1240"/>
        <w:numPr>
          <w:ilvl w:val="0"/>
          <w:numId w:val="202"/>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为保证学校水电设施的安全运行，未经后勤管理处批准，任何单位和个人不得改变现有供电线路与上下水管线。</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计量、收费</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后勤管理处根据南京市下达的计划分配指标，结合学校综合改革方案，逐步推行单位、部门和学院用水用电全面计量计费的管理办法。</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单台设备容量20Kw、总容量50Kw以上的用户，应按后勤管理处规定的时间避峰使用。</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各单位添置的设备必须采用国家规定的低耗能高效产品，并接受后勤管理处的监督检查。</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依据南京供电局和自来水公司的水电费价格，结合实际，制定我校的水电费价格标准，即参照南京市供能单位规定类别执行，基建工程用水、电价格参照施工用水、电价格，宿舍、公用房、食堂等用水电参照生活用水电价格，商业网点用水电参照商业用水电价格执行，上述各类水电用户的水电收费价格不得低于南京市同期收费标准。</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所有生产经营性的单位和个人有偿使用学校水电，其水电费按实收取。以下情况使用学校水电的属于有偿使用的范围：</w:t>
      </w:r>
      <w:r/>
    </w:p>
    <w:p>
      <w:pPr>
        <w:pStyle w:val="1240"/>
        <w:numPr>
          <w:ilvl w:val="0"/>
          <w:numId w:val="204"/>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校内从事生产、经营等业务的企业、商店等经济独立核算部门。</w:t>
      </w:r>
      <w:r/>
    </w:p>
    <w:p>
      <w:pPr>
        <w:pStyle w:val="1240"/>
        <w:numPr>
          <w:ilvl w:val="0"/>
          <w:numId w:val="204"/>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校外单位或个人来校开展经营、加工等业务项目，或借用学校场地（设施）开展教学、科研、实验、生产、经营等。</w:t>
      </w:r>
      <w:r/>
    </w:p>
    <w:p>
      <w:pPr>
        <w:pStyle w:val="1240"/>
        <w:numPr>
          <w:ilvl w:val="0"/>
          <w:numId w:val="204"/>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学校新建、改建、扩建等基建修缮项目。</w:t>
      </w:r>
      <w:r/>
    </w:p>
    <w:p>
      <w:pPr>
        <w:pStyle w:val="1240"/>
        <w:numPr>
          <w:ilvl w:val="0"/>
          <w:numId w:val="204"/>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各部门（学院）开展创收业务。</w:t>
      </w:r>
      <w:r/>
    </w:p>
    <w:p>
      <w:pPr>
        <w:pStyle w:val="1240"/>
        <w:numPr>
          <w:ilvl w:val="0"/>
          <w:numId w:val="204"/>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学校各类出租房和其它使用学校水电的。</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上述规定范围内的水电用户都应安装水电计量表具。由于客观原因，暂时无法装表计量的，水电费按人头（灯头）、设备数，协商计数收取，待条件成熟一律装表计量收费。</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校区内生产经营单位水电计量装置由学校统一安装，所发生的费用自理。</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校内工程项目临时用水用电参考《江苏省建设工程费用定额标准》按以下分类由审计处审计时按占用费在建设单位工程审定价中扣除：</w:t>
      </w:r>
      <w:r/>
    </w:p>
    <w:p>
      <w:pPr>
        <w:pStyle w:val="1240"/>
        <w:numPr>
          <w:ilvl w:val="0"/>
          <w:numId w:val="20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新建基建工程项目水电等费用单独挂表计量，基建工程用水、电价格参照施工用水、电价格计算扣除。</w:t>
      </w:r>
      <w:r/>
    </w:p>
    <w:p>
      <w:pPr>
        <w:pStyle w:val="1240"/>
        <w:numPr>
          <w:ilvl w:val="0"/>
          <w:numId w:val="20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装饰装修、园林绿化及修缮类等项目水电等占用费按总造价的5‰扣除。</w:t>
      </w:r>
      <w:r/>
    </w:p>
    <w:p>
      <w:pPr>
        <w:pStyle w:val="1240"/>
        <w:numPr>
          <w:ilvl w:val="0"/>
          <w:numId w:val="20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设备造价占总造价60%以上的设备购置类项目，水电等占用费按总造价的2‰扣除。</w:t>
      </w:r>
      <w:r/>
    </w:p>
    <w:p>
      <w:pPr>
        <w:pStyle w:val="1240"/>
        <w:numPr>
          <w:ilvl w:val="0"/>
          <w:numId w:val="205"/>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布展、幕墙、铝合金门窗、家具等安装项目，水电等占用费按总造价的1‰扣除。</w:t>
      </w:r>
      <w:r/>
    </w:p>
    <w:p>
      <w:pPr>
        <w:pStyle w:val="1240"/>
        <w:numPr>
          <w:ilvl w:val="0"/>
          <w:numId w:val="203"/>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施工单位临时用电用水，需事先提出申请，经同意后安装学校提供的计量装置，并交纳押金。工程结束后扣除损坏和折旧费用，退还押金，所用水电量定期按实计算。</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因管理不善或使用不当，造成水电表失准，毁坏，其损失由用户负责，水电费参照该用户全年用量最高月份计算。</w:t>
      </w:r>
      <w:r/>
    </w:p>
    <w:p>
      <w:pPr>
        <w:pStyle w:val="1240"/>
        <w:numPr>
          <w:ilvl w:val="0"/>
          <w:numId w:val="203"/>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所有回收水电费用统一上缴给校财务部门。各用户应在水电费缴费通知单规定的时间内交费，逾期不交，按日加收2‰的滞纳金。对拒交水电费的单位或个人，由后勤管理处通知财务部门从对应经费或工资中代扣。经催缴仍未交水电费的单位和个人，后勤管理处将按规定程序停供水电。</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违章查处</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有下列违章行为之一者，学校后勤管理处除按最大用量计算追回水电费（含滞纳金）外，有权中止其违章行为、限期责令其恢复原状，并在绩效考核中扣分。逾期不改的，可依法停供水电：</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在0～300 C 内擅自开空调者（会议室有接待任务除外）。</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未经批准擅自施工，或私改乱接学校水电设施危及系统安全者；</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野蛮施工，造成学校水电设施损坏，影响系统正常运行者；</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违反学校水电管理有关规定用水用电，并造成不良影响者；</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使用违章用水用电器具，造成严重后果或安全隐患者；</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采取各种手段窃水、窃电者；</w:t>
      </w:r>
      <w:r/>
    </w:p>
    <w:p>
      <w:pPr>
        <w:pStyle w:val="1240"/>
        <w:numPr>
          <w:ilvl w:val="0"/>
          <w:numId w:val="207"/>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浪费水电，造成较大经济损失或不良影响者；</w:t>
      </w:r>
      <w:r/>
    </w:p>
    <w:p>
      <w:pPr>
        <w:pStyle w:val="1240"/>
        <w:numPr>
          <w:ilvl w:val="0"/>
          <w:numId w:val="207"/>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不按学校规定办理用水用电手续或不按时交纳水电费者。</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因违章或窃用水、电造成集体或个人财物损失的，责任者必须承担赔偿责任；因此导致集体、个人财物重大损失、危及人身安全的，学校有权追究其法律责任。</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后勤管理处必须安排人员对全校节水节电进行巡查，发现下列情况按规定处罚：</w:t>
      </w:r>
      <w:r/>
    </w:p>
    <w:p>
      <w:pPr>
        <w:pStyle w:val="1240"/>
        <w:numPr>
          <w:ilvl w:val="0"/>
          <w:numId w:val="20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教室、公共厕所长明灯：50元/次。处罚对象：物业公司；</w:t>
      </w:r>
      <w:r/>
    </w:p>
    <w:p>
      <w:pPr>
        <w:pStyle w:val="1240"/>
        <w:numPr>
          <w:ilvl w:val="0"/>
          <w:numId w:val="20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办公室长明灯（下班后不关灯）：50元/次。处罚对象：使用部门；</w:t>
      </w:r>
      <w:r/>
    </w:p>
    <w:p>
      <w:pPr>
        <w:pStyle w:val="1240"/>
        <w:numPr>
          <w:ilvl w:val="0"/>
          <w:numId w:val="20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下班后开无人空调：100元/次。处罚对象：使用部门；</w:t>
      </w:r>
      <w:r/>
    </w:p>
    <w:p>
      <w:pPr>
        <w:pStyle w:val="1240"/>
        <w:numPr>
          <w:ilvl w:val="0"/>
          <w:numId w:val="20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浪费学校公共场所自来水：50元/次。处罚对象：物业公司、绿化养护单位、实训场所管理部门。</w:t>
      </w:r>
      <w:r/>
    </w:p>
    <w:p>
      <w:pPr>
        <w:pStyle w:val="1240"/>
        <w:numPr>
          <w:ilvl w:val="0"/>
          <w:numId w:val="208"/>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罚款所得归学校所有。</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学生宿舍内使用电器，应严格执行学校学生宿舍(公寓)用电标准及规定；如有违反，按该规定进行处理。</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公共场所、办公室、集体宿舍不得私拉电线、使用电炉、热得快等电热设备。一经发现，按电热器设备功率1～3月的电量交纳电费，私拉电线造成的一切损失，由私拉电线者承担全部责任。</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损坏水电设备按价赔偿工料费；故意损坏水电设备除按价赔偿工料费外，根据情节轻重处以工料费2～10倍的罚款。</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任何单位和个人私自使用水电从事经营活动、私接水电、毁坏水电表铅封、私自拆装和移动水电表、以不正当手段使计量装置失准等，均为盗窃水电行为。</w:t>
      </w:r>
      <w:r/>
    </w:p>
    <w:p>
      <w:pPr>
        <w:pStyle w:val="1240"/>
        <w:numPr>
          <w:ilvl w:val="0"/>
          <w:numId w:val="209"/>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凡有下列行为之一的，均按违章用电处理:</w:t>
      </w:r>
      <w:r/>
    </w:p>
    <w:p>
      <w:pPr>
        <w:pStyle w:val="1240"/>
        <w:numPr>
          <w:ilvl w:val="0"/>
          <w:numId w:val="21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在供电线路上擅自接线或越电表用电的；</w:t>
      </w:r>
      <w:r/>
    </w:p>
    <w:p>
      <w:pPr>
        <w:pStyle w:val="1240"/>
        <w:numPr>
          <w:ilvl w:val="0"/>
          <w:numId w:val="21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改变电表接线，伪造或私自更换电表，以及采用其他方法使表计不准的；</w:t>
      </w:r>
      <w:r/>
    </w:p>
    <w:p>
      <w:pPr>
        <w:pStyle w:val="1240"/>
        <w:numPr>
          <w:ilvl w:val="0"/>
          <w:numId w:val="210"/>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擅自使用大功率电器的。</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根据《中华人民共和国电力法》第七十一条规定：供电部门对查获的窃电者，应予制止并可当场终止供电，窃电者应按所窃电量补交电费并承担补交电费5倍以下的违约使用电费（总表用电量减去其他用户的使用量等于窃电量）。对上述违章用电行为，除责令整改或没收器具或停止供电外，按私接容量及实际使用时间追补电费，并按1～3倍追补电费；绕越电表用电或使表计量不准的，或违章用电起讫日期无法查明的，按用户的用电容量，至少以六个月（动力用电每日按12小时，照明用电每日按8小时）计算追补电费。</w:t>
      </w:r>
      <w:r/>
    </w:p>
    <w:p>
      <w:pPr>
        <w:pStyle w:val="1240"/>
        <w:numPr>
          <w:ilvl w:val="0"/>
          <w:numId w:val="209"/>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凡有下列行为之一的，均按违章用水处理：</w:t>
      </w:r>
      <w:r/>
    </w:p>
    <w:p>
      <w:pPr>
        <w:pStyle w:val="1240"/>
        <w:numPr>
          <w:ilvl w:val="0"/>
          <w:numId w:val="21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擅自改装自来水管道或在管道上接管用水的；</w:t>
      </w:r>
      <w:r/>
    </w:p>
    <w:p>
      <w:pPr>
        <w:pStyle w:val="1240"/>
        <w:numPr>
          <w:ilvl w:val="0"/>
          <w:numId w:val="21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绕越水表用水或采用其他方法使水表计量不准的；</w:t>
      </w:r>
      <w:r/>
    </w:p>
    <w:p>
      <w:pPr>
        <w:pStyle w:val="1240"/>
        <w:numPr>
          <w:ilvl w:val="0"/>
          <w:numId w:val="211"/>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伪造或启动水表封印的，私自更换水表的。</w:t>
      </w:r>
      <w:r/>
    </w:p>
    <w:p>
      <w:pPr>
        <w:pStyle w:val="1240"/>
        <w:ind w:left="0" w:right="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对上述违章用水行为，除责令整改或停止供水外，按私接流量及实际使用时间追补水费。</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任何单位如违反程序购买、使用水电设施、设备，由该单位主要负责人负全责。一经发现，后勤管理处有权要求该用户立即停止使用，限期整改并追究其主要责任人责任。</w:t>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凡违章用电用水的单位和个人，应在接到后勤管理处通知后五天内到校财务处交纳追补水电费。对拒不交纳或逾期不交纳的，则由后勤管理处作停供水电处理。如确需校内水电供应者，应缴清所欠电费和滞纳金，提出用水用电申请，经批准后再予以接通水电，但应承担全部工料费用。</w:t>
      </w:r>
      <w:r/>
    </w:p>
    <w:p>
      <w:pPr>
        <w:pStyle w:val="1240"/>
        <w:numPr>
          <w:ilvl w:val="0"/>
          <w:numId w:val="206"/>
        </w:numPr>
        <w:ind w:left="0" w:right="0" w:firstLine="480"/>
        <w:pageBreakBefore w:val="0"/>
        <w:spacing w:before="0" w:after="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rPr>
        <w:t xml:space="preserve">凡未经后勤管理处批准，任何单位和个人私自进行水电设施新（改）建，改变原供电线路和上下管线等，一切责任由单位主要负责人和当事人负责。一经发现，后勤管理处有权要求该用户立即停止使用。</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40"/>
        <w:numPr>
          <w:ilvl w:val="0"/>
          <w:numId w:val="206"/>
        </w:numPr>
        <w:ind w:left="0" w:right="0" w:firstLine="480"/>
        <w:pageBreakBefore w:val="0"/>
        <w:spacing w:before="0" w:after="0"/>
        <w:widowControl/>
        <w:rPr>
          <w:rFonts w:ascii="宋体" w:hAnsi="宋体" w:cs="宋体"/>
          <w:color w:val="auto"/>
          <w:sz w:val="21"/>
          <w:szCs w:val="21"/>
          <w:lang w:eastAsia="zh-CN"/>
        </w:rPr>
      </w:pPr>
      <w:r>
        <w:rPr>
          <w:rFonts w:ascii="Times New Roman" w:hAnsi="Times New Roman" w:eastAsia="宋体" w:cs="Times New Roman"/>
          <w:color w:val="auto"/>
          <w:sz w:val="21"/>
          <w:szCs w:val="21"/>
        </w:rPr>
        <w:t xml:space="preserve">对违章使用和浪费、盗窃水电的行为，任何单位与个人均有权监督并向后勤管理处举报，对于损坏水电设备，私自接水接电、偷用水电等行为应进行劝阻揭发，学校按收缴罚款的20%予以奖励。</w:t>
      </w:r>
      <w:r/>
    </w:p>
    <w:p>
      <w:pPr>
        <w:pStyle w:val="1226"/>
        <w:numPr>
          <w:ilvl w:val="0"/>
          <w:numId w:val="194"/>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附  则</w:t>
      </w:r>
      <w:r/>
    </w:p>
    <w:p>
      <w:pPr>
        <w:pStyle w:val="1227"/>
        <w:numPr>
          <w:ilvl w:val="0"/>
          <w:numId w:val="212"/>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本办法颁布前学校相关水电管理规定与本办法不符的，一律作废，以本办法为准。</w:t>
      </w:r>
      <w:r/>
    </w:p>
    <w:p>
      <w:pPr>
        <w:pStyle w:val="1227"/>
        <w:numPr>
          <w:ilvl w:val="0"/>
          <w:numId w:val="212"/>
        </w:numPr>
        <w:ind w:left="0" w:right="0" w:firstLine="0"/>
        <w:pageBreakBefore w:val="0"/>
        <w:spacing w:before="0"/>
        <w:widowControl/>
        <w:rPr>
          <w:rFonts w:ascii="宋体" w:hAnsi="宋体" w:cs="宋体"/>
          <w:color w:val="auto"/>
          <w:sz w:val="21"/>
          <w:szCs w:val="21"/>
          <w:lang w:eastAsia="zh-CN"/>
        </w:rPr>
      </w:pPr>
      <w:r>
        <w:rPr>
          <w:color w:val="auto"/>
          <w:sz w:val="21"/>
          <w:szCs w:val="21"/>
        </w:rPr>
        <w:t xml:space="preserve">本办法解释权归后勤管理处。</w:t>
      </w:r>
      <w:r/>
    </w:p>
    <w:p>
      <w:pPr>
        <w:pStyle w:val="1227"/>
        <w:numPr>
          <w:ilvl w:val="0"/>
          <w:numId w:val="212"/>
        </w:numPr>
        <w:ind w:left="0" w:right="0" w:firstLine="0"/>
        <w:pageBreakBefore w:val="0"/>
        <w:spacing w:before="0"/>
        <w:widowControl/>
        <w:rPr>
          <w:b w:val="0"/>
          <w:color w:val="auto"/>
          <w:sz w:val="21"/>
          <w:szCs w:val="21"/>
        </w:rPr>
      </w:pPr>
      <w:r>
        <w:rPr>
          <w:color w:val="auto"/>
          <w:sz w:val="21"/>
          <w:szCs w:val="21"/>
        </w:rPr>
        <w:t xml:space="preserve">本办法自大保障工作协调推进会通过之日起执行。</w:t>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ind w:left="0" w:right="0"/>
        <w:jc w:val="both"/>
        <w:pageBreakBefore w:val="0"/>
        <w:spacing w:line="360" w:lineRule="auto"/>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64"/>
        <w:ind w:left="0" w:right="0"/>
        <w:pageBreakBefore w:val="0"/>
        <w:spacing w:before="0" w:after="0"/>
        <w:widowControl/>
        <w:rPr>
          <w:rFonts w:ascii="宋体" w:hAnsi="宋体" w:cs="宋体"/>
          <w:color w:val="auto"/>
          <w:sz w:val="21"/>
          <w:szCs w:val="21"/>
          <w:lang w:eastAsia="zh-CN"/>
        </w:rPr>
        <w:outlineLvl w:val="9"/>
      </w:pPr>
      <w:r>
        <w:rPr>
          <w:rFonts w:ascii="宋体" w:hAnsi="宋体" w:cs="宋体"/>
          <w:color w:val="auto"/>
          <w:sz w:val="21"/>
          <w:szCs w:val="21"/>
          <w:lang w:eastAsia="zh-CN"/>
        </w:rPr>
      </w:r>
      <w:r/>
    </w:p>
    <w:p>
      <w:pPr>
        <w:ind w:left="0" w:right="0"/>
        <w:pageBreakBefore w:val="0"/>
        <w:widowControl/>
        <w:rPr>
          <w:rFonts w:ascii="宋体" w:hAnsi="宋体" w:cs="宋体"/>
          <w:color w:val="auto"/>
          <w:sz w:val="21"/>
          <w:szCs w:val="21"/>
          <w:lang w:eastAsia="zh-CN"/>
        </w:rPr>
      </w:pPr>
      <w:r>
        <w:rPr>
          <w:rFonts w:ascii="宋体" w:hAnsi="宋体" w:cs="宋体"/>
          <w:color w:val="auto"/>
          <w:sz w:val="21"/>
          <w:szCs w:val="21"/>
          <w:lang w:eastAsia="zh-CN"/>
        </w:rPr>
      </w:r>
      <w:r/>
    </w:p>
    <w:p>
      <w:pPr>
        <w:pStyle w:val="1285"/>
        <w:ind w:left="0" w:right="0"/>
        <w:pageBreakBefore w:val="0"/>
        <w:spacing w:after="0" w:line="360" w:lineRule="auto"/>
        <w:widowControl/>
        <w:tabs>
          <w:tab w:val="left" w:pos="993" w:leader="none"/>
          <w:tab w:val="left" w:pos="1134"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1255"/>
        <w:ind w:left="0" w:right="0"/>
        <w:pageBreakBefore w:val="0"/>
        <w:spacing w:before="0" w:after="0"/>
        <w:widowControl/>
        <w:rPr>
          <w:color w:val="auto"/>
          <w:sz w:val="21"/>
          <w:szCs w:val="21"/>
        </w:rPr>
      </w:pPr>
      <w:r>
        <w:rPr>
          <w:color w:val="auto"/>
          <w:sz w:val="21"/>
          <w:szCs w:val="21"/>
        </w:rPr>
        <w:br w:type="page" w:clear="all"/>
      </w:r>
      <w:r>
        <w:rPr>
          <w:color w:val="auto"/>
          <w:sz w:val="21"/>
          <w:szCs w:val="21"/>
        </w:rPr>
        <w:t xml:space="preserve">工程质量保修书</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发包人（全称）：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承包人（全称）：   </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发包人和承包人根据《中华人民共和国建筑法》和《建设工程质量管理条例》，经协商一致就南京中医药大学D8实验室改造项目（含细胞房建设） （工程全称）签订工程质量保修书。</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工程质量保修范围和内容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承包人在质量保修期内，按照有关法律规定和合同约定，承担工程质量保修责任。</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质量保修范围包括承包人施工范围内的全部内容，承包人负责施工的所有工程项目，如出现施工质量缺陷或施工质量隐患，承包人必须履行保修义务。</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质量保修期</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根据《建设工程质量管理条例》及有关规定，工程的质量保修期如下：</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地基基础工程和主体结构工程为设计文件规定的工程合理使用年限；</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屋面防水工程、有防水要求的卫生间、房间和外墙面的防渗为  5 年；</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装修工程为  2年；</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电气管线、给排水管道、设备安装工程为  2年；</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供热与供冷系统为  2个采暖期、供冷期；</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住宅小区内的给排水设施、道路等配套工程为  2年；</w:t>
      </w:r>
      <w:r/>
    </w:p>
    <w:p>
      <w:pPr>
        <w:pStyle w:val="1240"/>
        <w:numPr>
          <w:ilvl w:val="0"/>
          <w:numId w:val="214"/>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其他项目保修期限约定如下：</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质量保修期自工程竣工验收合格之日起计算。</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缺陷责任期</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工程缺陷责任期为 24个月，缺陷责任期从工程通过竣工验收之日起计算。单位工程先于全部工程进行验收，经验收合格并交付使用的，单位工程缺陷责任期自单位工程验收合格之日起算。由于承包人原因导致工程无法按规定期限进行竣工验收的，缺陷责任期从实际通过竣工验收之日起计。</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缺陷责任期终止后，发包人应退还剩余的质量保证金。</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质量保修责任</w:t>
      </w:r>
      <w:r/>
    </w:p>
    <w:p>
      <w:pPr>
        <w:pStyle w:val="1240"/>
        <w:numPr>
          <w:ilvl w:val="0"/>
          <w:numId w:val="21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属于保修范围、内容的项目，承包人应当在接到保修通知之日起7天内派人保修。承包人不在约定期限内派人保修的，发包人可以委托他人修理。</w:t>
      </w:r>
      <w:r/>
    </w:p>
    <w:p>
      <w:pPr>
        <w:pStyle w:val="1240"/>
        <w:numPr>
          <w:ilvl w:val="0"/>
          <w:numId w:val="21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发生紧急事故需抢修的，承包人在接到事故通知后，应当立即到达事故现场抢修。</w:t>
      </w:r>
      <w:r/>
    </w:p>
    <w:p>
      <w:pPr>
        <w:pStyle w:val="1240"/>
        <w:numPr>
          <w:ilvl w:val="0"/>
          <w:numId w:val="21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240"/>
        <w:numPr>
          <w:ilvl w:val="0"/>
          <w:numId w:val="215"/>
        </w:numPr>
        <w:ind w:left="0" w:right="0" w:firstLine="480"/>
        <w:pageBreakBefore w:val="0"/>
        <w:spacing w:before="0" w:after="0"/>
        <w:widowControl/>
        <w:rPr>
          <w:rFonts w:hint="eastAsia" w:ascii="宋体" w:hAnsi="宋体" w:eastAsia="宋体" w:cs="宋体"/>
          <w:b w:val="0"/>
          <w:color w:val="auto"/>
          <w:sz w:val="21"/>
          <w:szCs w:val="21"/>
        </w:rPr>
      </w:pPr>
      <w:r>
        <w:rPr>
          <w:rFonts w:ascii="Times New Roman" w:hAnsi="Times New Roman" w:eastAsia="宋体" w:cs="Times New Roman"/>
          <w:color w:val="auto"/>
          <w:sz w:val="21"/>
          <w:szCs w:val="21"/>
        </w:rPr>
        <w:t xml:space="preserve">质量保修完成后，由发包人组织验收。</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保修费用</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保修费用由造成质量缺陷的责任方承担。</w:t>
      </w:r>
      <w:r/>
    </w:p>
    <w:p>
      <w:pPr>
        <w:pStyle w:val="1227"/>
        <w:numPr>
          <w:ilvl w:val="0"/>
          <w:numId w:val="213"/>
        </w:numPr>
        <w:ind w:left="0" w:right="0" w:firstLine="0"/>
        <w:pageBreakBefore w:val="0"/>
        <w:spacing w:before="0"/>
        <w:widowControl/>
        <w:rPr>
          <w:rFonts w:hint="eastAsia" w:ascii="黑体" w:hAnsi="黑体" w:eastAsia="黑体" w:cs="黑体"/>
          <w:b w:val="0"/>
          <w:color w:val="auto"/>
          <w:sz w:val="21"/>
          <w:szCs w:val="21"/>
        </w:rPr>
      </w:pPr>
      <w:r>
        <w:rPr>
          <w:color w:val="auto"/>
          <w:sz w:val="21"/>
          <w:szCs w:val="21"/>
        </w:rPr>
        <w:t xml:space="preserve">双方约定的其他工程质量保修事项：/。</w:t>
      </w:r>
      <w:r/>
    </w:p>
    <w:p>
      <w:pPr>
        <w:pStyle w:val="1240"/>
        <w:ind w:left="0" w:right="0"/>
        <w:pageBreakBefore w:val="0"/>
        <w:spacing w:before="0" w:after="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工程质量保修书由发包人、承包人在工程竣工验收前共同签署，作为施工合同附件，其有效期限至保修期满。</w:t>
      </w:r>
      <w:r/>
    </w:p>
    <w:p>
      <w:pPr>
        <w:pStyle w:val="1285"/>
        <w:ind w:left="0" w:right="0" w:firstLine="420"/>
        <w:pageBreakBefore w:val="0"/>
        <w:spacing w:after="0" w:line="360" w:lineRule="auto"/>
        <w:widowControl/>
        <w:tabs>
          <w:tab w:val="left" w:pos="993" w:leader="none"/>
          <w:tab w:val="left" w:pos="1134"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发包人(公章)：                                     承包人(公章)：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地  址：                                           地  址：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法定代表人(签字)：                                 法定代表人(签字)：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委托代理人(签字)：                                 委托代理人(签字)：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电  话：                                           电  话：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传  真：                                           传  真：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开户银行：                                         开户银行：               </w:t>
      </w:r>
      <w:r/>
    </w:p>
    <w:p>
      <w:pPr>
        <w:pStyle w:val="1285"/>
        <w:ind w:left="0" w:right="0" w:firstLine="420"/>
        <w:pageBreakBefore w:val="0"/>
        <w:spacing w:after="0" w:line="360" w:lineRule="auto"/>
        <w:widowControl/>
        <w:tabs>
          <w:tab w:val="left" w:pos="993" w:leader="none"/>
          <w:tab w:val="left" w:pos="1134" w:leader="none"/>
        </w:tabs>
        <w:rPr>
          <w:rFonts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账  号：                                           账  号：                  </w:t>
      </w:r>
      <w:r/>
    </w:p>
    <w:p>
      <w:pPr>
        <w:pStyle w:val="1285"/>
        <w:ind w:left="0" w:right="0" w:firstLine="420"/>
        <w:pageBreakBefore w:val="0"/>
        <w:spacing w:after="0" w:line="360" w:lineRule="auto"/>
        <w:widowControl/>
        <w:tabs>
          <w:tab w:val="left" w:pos="6871" w:leader="none"/>
          <w:tab w:val="left" w:pos="7831" w:leader="none"/>
        </w:tabs>
        <w:rPr>
          <w:rFonts w:ascii="Times New Roman" w:hAnsi="Times New Roman" w:eastAsia="宋体" w:cs="Times New Roman"/>
          <w:b/>
          <w:bCs/>
          <w:color w:val="auto"/>
          <w:sz w:val="21"/>
          <w:szCs w:val="21"/>
          <w:lang w:eastAsia="zh-CN"/>
        </w:rPr>
      </w:pPr>
      <w:r>
        <w:rPr>
          <w:rFonts w:hint="eastAsia" w:ascii="Times New Roman" w:hAnsi="Times New Roman" w:eastAsia="宋体" w:cs="Times New Roman"/>
          <w:color w:val="auto"/>
          <w:sz w:val="21"/>
          <w:szCs w:val="21"/>
          <w:lang w:eastAsia="zh-CN"/>
        </w:rPr>
        <w:t xml:space="preserve">邮政编码：                                         邮政编码： </w:t>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jc w:val="center"/>
        <w:spacing w:before="240" w:after="60" w:line="85" w:lineRule="atLeast"/>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pStyle w:val="1226"/>
        <w:jc w:val="center"/>
        <w:widowControl/>
        <w:rPr>
          <w:color w:val="auto"/>
        </w:rPr>
      </w:pPr>
      <w:r>
        <w:rPr>
          <w:color w:val="auto"/>
        </w:rPr>
        <w:t xml:space="preserve">第六章 投标文件格式</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4"/>
          <w:szCs w:val="24"/>
        </w:rPr>
        <w:t xml:space="preserve">投标文件相应材料请按投标文件格式进行填写，如投标文件格式无明确规定的，由投标供应商自行编制。</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right"/>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正本/副本</w:t>
      </w:r>
      <w:r/>
    </w:p>
    <w:p>
      <w:pPr>
        <w:pStyle w:val="1255"/>
        <w:widowControl/>
        <w:rPr>
          <w:color w:val="auto"/>
        </w:rPr>
      </w:pPr>
      <w:r>
        <w:rPr>
          <w:color w:val="auto"/>
        </w:rPr>
        <w:t xml:space="preserve">南京中医药大学D8实验室改造项目（含细胞房建设）</w:t>
      </w:r>
      <w:r>
        <w:rPr>
          <w:color w:val="auto"/>
        </w:rPr>
        <w:br/>
      </w:r>
      <w:r>
        <w:rPr>
          <w:color w:val="auto"/>
        </w:rPr>
        <w:t xml:space="preserve">投标文件</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firstLine="3534"/>
        <w:jc w:val="both"/>
        <w:spacing w:before="240" w:after="240" w:line="85" w:lineRule="atLeast"/>
        <w:rPr>
          <w:rFonts w:ascii="宋体" w:hAnsi="宋体" w:eastAsia="宋体" w:cs="宋体"/>
          <w:b/>
          <w:color w:val="auto"/>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4"/>
        </w:rPr>
      </w:r>
      <w:r/>
    </w:p>
    <w:p>
      <w:pPr>
        <w:ind w:firstLine="3534"/>
        <w:jc w:val="both"/>
        <w:spacing w:before="240" w:after="240" w:line="85" w:lineRule="atLeast"/>
        <w:rPr>
          <w:rFonts w:ascii="宋体" w:hAnsi="宋体" w:eastAsia="宋体" w:cs="宋体"/>
          <w:b/>
          <w:color w:val="auto"/>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4"/>
        </w:rPr>
      </w:r>
      <w:r/>
    </w:p>
    <w:p>
      <w:pPr>
        <w:ind w:firstLine="3534"/>
        <w:jc w:val="both"/>
        <w:spacing w:before="240" w:after="240" w:line="85" w:lineRule="atLeast"/>
        <w:rPr>
          <w:color w:val="auto"/>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4"/>
        </w:rPr>
        <w:t xml:space="preserve">项目编号：</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投标供应商</w:t>
      </w:r>
      <w:r>
        <w:rPr>
          <w:rFonts w:ascii="宋体" w:hAnsi="宋体" w:eastAsia="宋体" w:cs="宋体"/>
          <w:color w:val="auto"/>
          <w:sz w:val="24"/>
        </w:rPr>
        <w:t xml:space="preserve">：（盖单位章）</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法定代表人或其委托代理人：（签字）</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  月  日</w:t>
      </w:r>
      <w:r/>
    </w:p>
    <w:p>
      <w:pPr>
        <w:jc w:val="both"/>
        <w:spacing w:before="240" w:after="240"/>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jc w:val="both"/>
        <w:spacing w:before="240" w:after="240"/>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pStyle w:val="1345"/>
        <w:widowControl/>
        <w:rPr>
          <w:color w:val="auto"/>
        </w:rPr>
      </w:pPr>
      <w:r>
        <w:rPr>
          <w:color w:val="auto"/>
        </w:rPr>
        <w:t xml:space="preserve">评分索引表</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bl>
      <w:tblPr>
        <w:tblStyle w:val="12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jc w:val="both"/>
              <w:spacing w:before="200" w:after="2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评分因素</w:t>
            </w:r>
            <w:r/>
          </w:p>
        </w:tc>
        <w:tc>
          <w:tcPr>
            <w:tcMar>
              <w:left w:w="80" w:type="dxa"/>
              <w:top w:w="80" w:type="dxa"/>
              <w:right w:w="80" w:type="dxa"/>
              <w:bottom w:w="80" w:type="dxa"/>
            </w:tcMar>
            <w:tcW w:w="6971" w:type="dxa"/>
            <w:vAlign w:val="center"/>
            <w:textDirection w:val="lrTb"/>
            <w:noWrap w:val="false"/>
          </w:tcPr>
          <w:p>
            <w:pPr>
              <w:jc w:val="both"/>
              <w:spacing w:before="200" w:after="2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评分标准</w:t>
            </w:r>
            <w:r/>
          </w:p>
        </w:tc>
        <w:tc>
          <w:tcPr>
            <w:tcMar>
              <w:left w:w="80" w:type="dxa"/>
              <w:top w:w="80" w:type="dxa"/>
              <w:right w:w="80" w:type="dxa"/>
              <w:bottom w:w="80" w:type="dxa"/>
            </w:tcMar>
            <w:tcW w:w="993" w:type="dxa"/>
            <w:vAlign w:val="center"/>
            <w:textDirection w:val="lrTb"/>
            <w:noWrap w:val="false"/>
          </w:tcPr>
          <w:p>
            <w:pPr>
              <w:jc w:val="both"/>
              <w:spacing w:before="200" w:after="200"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w:t>
            </w:r>
            <w:r>
              <w:rPr>
                <w:rFonts w:ascii="宋体" w:hAnsi="宋体" w:eastAsia="宋体" w:cs="宋体"/>
                <w:color w:val="auto"/>
                <w:sz w:val="24"/>
              </w:rPr>
              <w:t xml:space="preserve">文件对应页码</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6971"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80" w:type="dxa"/>
              <w:top w:w="80" w:type="dxa"/>
              <w:right w:w="80" w:type="dxa"/>
              <w:bottom w:w="80" w:type="dxa"/>
            </w:tcMar>
            <w:tcW w:w="993"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rPr>
        <w:t xml:space="preserve">投标供应商</w:t>
      </w:r>
      <w:r>
        <w:rPr>
          <w:rFonts w:ascii="Times New Roman" w:hAnsi="Times New Roman" w:eastAsia="宋体" w:cs="Times New Roman"/>
          <w:color w:val="auto"/>
          <w:sz w:val="24"/>
          <w:szCs w:val="24"/>
        </w:rPr>
        <w:t xml:space="preserve">名称：（盖章）</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说明：如果行数不够，请自行增加。</w:t>
      </w:r>
      <w:r/>
    </w:p>
    <w:p>
      <w:pPr>
        <w:jc w:val="both"/>
        <w:spacing w:before="240" w:after="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pStyle w:val="1401"/>
        <w:widowControl/>
        <w:rPr>
          <w:color w:val="auto"/>
        </w:rPr>
      </w:pPr>
      <w:r>
        <w:rPr>
          <w:color w:val="auto"/>
        </w:rPr>
        <w:t xml:space="preserve">目录</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[注：投标供应商根据附件顺序编制投标文件并制作目录（须生成页码）]</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pStyle w:val="1255"/>
        <w:widowControl/>
        <w:rPr>
          <w:color w:val="auto"/>
        </w:rPr>
      </w:pPr>
      <w:r>
        <w:rPr>
          <w:color w:val="auto"/>
        </w:rPr>
        <w:br w:type="page" w:clear="all"/>
      </w:r>
      <w:r>
        <w:rPr>
          <w:color w:val="auto"/>
        </w:rPr>
        <w:t xml:space="preserve">附件一、投标申请及申明</w:t>
      </w:r>
      <w:r/>
    </w:p>
    <w:p>
      <w:pPr>
        <w:pStyle w:val="1255"/>
        <w:widowControl/>
        <w:rPr>
          <w:color w:val="auto"/>
        </w:rPr>
      </w:pPr>
      <w:r>
        <w:rPr>
          <w:color w:val="auto"/>
        </w:rPr>
        <w:t xml:space="preserve">投标申请及申明</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致：南京中医药大学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根据贵方</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（项目名称、分包号）</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（项目编号）招标公告，正式授权下述签字人</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（姓名和职务）代表投标供应商</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（投标供应商名称），提交投标文件。</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据此函，签字人兹宣布声明和承诺如下：</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我们的资格条件完全符合政府采购法和本次招标要求</w:t>
      </w:r>
      <w:r>
        <w:rPr>
          <w:rFonts w:ascii="Times New Roman" w:hAnsi="Times New Roman" w:eastAsia="宋体" w:cs="Times New Roman"/>
          <w:color w:val="auto"/>
          <w:sz w:val="21"/>
          <w:szCs w:val="21"/>
        </w:rPr>
        <w:t xml:space="preserve">，我们同意并向贵方提供了与投标有关的所有证据和资料。</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按招标要求，我们的投标总报价为（大写）</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元人民币。</w:t>
      </w:r>
      <w:r/>
    </w:p>
    <w:p>
      <w:pPr>
        <w:pStyle w:val="1240"/>
        <w:numPr>
          <w:ilvl w:val="0"/>
          <w:numId w:val="216"/>
        </w:numPr>
        <w:ind w:left="0" w:firstLine="480"/>
        <w:widowControl/>
        <w:rPr>
          <w:rFonts w:hint="eastAsia" w:ascii="宋体" w:hAnsi="宋体" w:eastAsia="宋体" w:cs="宋体"/>
          <w:b w:val="0"/>
          <w:color w:val="auto"/>
          <w:sz w:val="21"/>
          <w:szCs w:val="21"/>
          <w:u w:val="singl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我方拟派项目负责人为 </w:t>
      </w:r>
      <w:r>
        <w:rPr>
          <w:rFonts w:ascii="Times New Roman" w:hAnsi="Times New Roman" w:eastAsia="宋体" w:cs="Times New Roman"/>
          <w:color w:val="auto"/>
          <w:sz w:val="21"/>
          <w:szCs w:val="21"/>
          <w:u w:val="single"/>
        </w:rPr>
        <w:t xml:space="preserve">       。</w:t>
      </w:r>
      <w:r/>
    </w:p>
    <w:p>
      <w:pPr>
        <w:pStyle w:val="1240"/>
        <w:numPr>
          <w:ilvl w:val="0"/>
          <w:numId w:val="216"/>
        </w:numPr>
        <w:ind w:left="0" w:firstLine="480"/>
        <w:widowControl/>
        <w:rPr>
          <w:rFonts w:hint="eastAsia" w:ascii="宋体" w:hAnsi="宋体" w:eastAsia="宋体" w:cs="宋体"/>
          <w:b w:val="0"/>
          <w:color w:val="auto"/>
          <w:sz w:val="21"/>
          <w:szCs w:val="21"/>
          <w:u w:val="singl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本项目合同期限：</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；质量标准为： </w:t>
      </w:r>
      <w:r>
        <w:rPr>
          <w:rFonts w:ascii="Times New Roman" w:hAnsi="Times New Roman" w:eastAsia="宋体" w:cs="Times New Roman"/>
          <w:color w:val="auto"/>
          <w:sz w:val="21"/>
          <w:szCs w:val="21"/>
          <w:u w:val="single"/>
        </w:rPr>
        <w:t xml:space="preserve">         。</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我们已详细审核全部招标文件及其有效补充文件，我们放弃对招标文件任何误解的权利，在提交投标文件后，</w:t>
      </w:r>
      <w:r>
        <w:rPr>
          <w:rFonts w:ascii="Times New Roman" w:hAnsi="Times New Roman" w:eastAsia="宋体" w:cs="Times New Roman"/>
          <w:b/>
          <w:color w:val="auto"/>
          <w:sz w:val="21"/>
          <w:szCs w:val="21"/>
        </w:rPr>
        <w:t xml:space="preserve">不对招标文件本身提出质疑。</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我们同意从规定的开标日期起遵循本投标文件，并在规定的投标有效期期满之前均具有约束力。</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一旦我方中标，我方将根据招标文件的规定严格履行合同，并保证于承诺的时间完成项目的启动、实施等工作，及时交付采购人验收、使用。</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240"/>
        <w:numPr>
          <w:ilvl w:val="0"/>
          <w:numId w:val="216"/>
        </w:numPr>
        <w:ind w:left="0" w:firstLine="480"/>
        <w:widowControl/>
        <w:rPr>
          <w:rFonts w:hint="eastAsia" w:ascii="宋体" w:hAnsi="宋体" w:eastAsia="宋体" w:cs="宋体"/>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与本投标有关的正式联系方式为：</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地址：</w:t>
      </w:r>
      <w:r>
        <w:rPr>
          <w:rFonts w:ascii="Times New Roman" w:hAnsi="Times New Roman" w:eastAsia="宋体" w:cs="Times New Roman"/>
          <w:color w:val="auto"/>
          <w:sz w:val="21"/>
          <w:szCs w:val="21"/>
          <w:u w:val="single"/>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电话：</w:t>
      </w:r>
      <w:r>
        <w:rPr>
          <w:rFonts w:ascii="Times New Roman" w:hAnsi="Times New Roman" w:eastAsia="宋体" w:cs="Times New Roman"/>
          <w:color w:val="auto"/>
          <w:sz w:val="21"/>
          <w:szCs w:val="21"/>
          <w:u w:val="single"/>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传真：</w:t>
      </w:r>
      <w:r>
        <w:rPr>
          <w:rFonts w:ascii="Times New Roman" w:hAnsi="Times New Roman" w:eastAsia="宋体" w:cs="Times New Roman"/>
          <w:color w:val="auto"/>
          <w:sz w:val="21"/>
          <w:szCs w:val="21"/>
          <w:u w:val="single"/>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开户银行：</w:t>
      </w:r>
      <w:r>
        <w:rPr>
          <w:rFonts w:ascii="Times New Roman" w:hAnsi="Times New Roman" w:eastAsia="宋体" w:cs="Times New Roman"/>
          <w:color w:val="auto"/>
          <w:sz w:val="21"/>
          <w:szCs w:val="21"/>
          <w:u w:val="single"/>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银行账号：</w:t>
      </w:r>
      <w:r>
        <w:rPr>
          <w:rFonts w:ascii="Times New Roman" w:hAnsi="Times New Roman" w:eastAsia="宋体" w:cs="Times New Roman"/>
          <w:color w:val="auto"/>
          <w:sz w:val="21"/>
          <w:szCs w:val="21"/>
          <w:u w:val="single"/>
        </w:rPr>
        <w:t xml:space="preserve">                                </w:t>
      </w:r>
      <w:r/>
    </w:p>
    <w:p>
      <w:pPr>
        <w:ind w:firstLine="420"/>
        <w:jc w:val="both"/>
        <w:spacing w:line="360" w:lineRule="auto"/>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rPr>
        <w:t xml:space="preserve">投标供应商</w:t>
      </w:r>
      <w:r>
        <w:rPr>
          <w:rFonts w:ascii="Times New Roman" w:hAnsi="Times New Roman" w:eastAsia="宋体" w:cs="Times New Roman"/>
          <w:color w:val="auto"/>
          <w:sz w:val="21"/>
          <w:szCs w:val="21"/>
        </w:rPr>
        <w:t xml:space="preserve">授权代表姓名（签字）：</w:t>
      </w:r>
      <w:r>
        <w:rPr>
          <w:rFonts w:ascii="Times New Roman" w:hAnsi="Times New Roman" w:eastAsia="宋体" w:cs="Times New Roman"/>
          <w:color w:val="auto"/>
          <w:sz w:val="21"/>
          <w:szCs w:val="21"/>
          <w:u w:val="single"/>
        </w:rPr>
        <w:t xml:space="preserve">          </w:t>
      </w:r>
      <w:r/>
    </w:p>
    <w:p>
      <w:pPr>
        <w:ind w:firstLine="420"/>
        <w:jc w:val="both"/>
        <w:spacing w:line="360" w:lineRule="auto"/>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rPr>
        <w:t xml:space="preserve">投标供应商</w:t>
      </w:r>
      <w:r>
        <w:rPr>
          <w:rFonts w:ascii="Times New Roman" w:hAnsi="Times New Roman" w:eastAsia="宋体" w:cs="Times New Roman"/>
          <w:color w:val="auto"/>
          <w:sz w:val="21"/>
          <w:szCs w:val="21"/>
        </w:rPr>
        <w:t xml:space="preserve">名称：</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（盖章）</w:t>
      </w:r>
      <w:r/>
    </w:p>
    <w:p>
      <w:pPr>
        <w:ind w:firstLine="420"/>
        <w:jc w:val="both"/>
        <w:spacing w:line="360" w:lineRule="auto"/>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年</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月</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日</w:t>
      </w:r>
      <w:r>
        <w:rPr>
          <w:rFonts w:ascii="Times New Roman" w:hAnsi="Times New Roman" w:eastAsia="宋体" w:cs="Times New Roman"/>
          <w:color w:val="auto"/>
          <w:sz w:val="24"/>
          <w:szCs w:val="24"/>
        </w:rPr>
        <w:t xml:space="preserve"> </w:t>
      </w:r>
      <w:r/>
    </w:p>
    <w:p>
      <w:pPr>
        <w:pStyle w:val="1255"/>
        <w:widowControl/>
        <w:rPr>
          <w:color w:val="auto"/>
        </w:rPr>
      </w:pPr>
      <w:r>
        <w:rPr>
          <w:color w:val="auto"/>
        </w:rPr>
        <w:br w:type="page" w:clear="all"/>
      </w:r>
      <w:r>
        <w:rPr>
          <w:color w:val="auto"/>
        </w:rPr>
        <w:t xml:space="preserve">附件二、法定代表人授权书格式</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pStyle w:val="1255"/>
        <w:widowControl/>
        <w:rPr>
          <w:color w:val="auto"/>
        </w:rPr>
      </w:pPr>
      <w:r>
        <w:rPr>
          <w:color w:val="auto"/>
        </w:rPr>
        <w:t xml:space="preserve">法定代表人授权委托书</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南京中医药大学：</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本授权书声明：注册于</w:t>
      </w:r>
      <w:r>
        <w:rPr>
          <w:rFonts w:ascii="Times New Roman" w:hAnsi="Times New Roman" w:eastAsia="宋体" w:cs="Times New Roman"/>
          <w:color w:val="auto"/>
          <w:sz w:val="21"/>
          <w:szCs w:val="21"/>
          <w:u w:val="single"/>
        </w:rPr>
        <w:t xml:space="preserve">（投标供应商住址）</w:t>
      </w:r>
      <w:r>
        <w:rPr>
          <w:rFonts w:ascii="Times New Roman" w:hAnsi="Times New Roman" w:eastAsia="宋体" w:cs="Times New Roman"/>
          <w:color w:val="auto"/>
          <w:sz w:val="21"/>
          <w:szCs w:val="21"/>
        </w:rPr>
        <w:t xml:space="preserve">的</w:t>
      </w:r>
      <w:r>
        <w:rPr>
          <w:rFonts w:ascii="Times New Roman" w:hAnsi="Times New Roman" w:eastAsia="宋体" w:cs="Times New Roman"/>
          <w:color w:val="auto"/>
          <w:sz w:val="21"/>
          <w:szCs w:val="21"/>
          <w:u w:val="single"/>
        </w:rPr>
        <w:t xml:space="preserve">（投标供应商名称）</w:t>
      </w:r>
      <w:r>
        <w:rPr>
          <w:rFonts w:ascii="Times New Roman" w:hAnsi="Times New Roman" w:eastAsia="宋体" w:cs="Times New Roman"/>
          <w:color w:val="auto"/>
          <w:sz w:val="21"/>
          <w:szCs w:val="21"/>
        </w:rPr>
        <w:t xml:space="preserve">法定代表人</w:t>
      </w:r>
      <w:r>
        <w:rPr>
          <w:rFonts w:ascii="Times New Roman" w:hAnsi="Times New Roman" w:eastAsia="宋体" w:cs="Times New Roman"/>
          <w:color w:val="auto"/>
          <w:sz w:val="21"/>
          <w:szCs w:val="21"/>
          <w:u w:val="single"/>
        </w:rPr>
        <w:t xml:space="preserve">（法定代表人姓名、职务）</w:t>
      </w:r>
      <w:r>
        <w:rPr>
          <w:rFonts w:ascii="Times New Roman" w:hAnsi="Times New Roman" w:eastAsia="宋体" w:cs="Times New Roman"/>
          <w:color w:val="auto"/>
          <w:sz w:val="21"/>
          <w:szCs w:val="21"/>
        </w:rPr>
        <w:t xml:space="preserve">代表本公司授权在下面签字的</w:t>
      </w:r>
      <w:r>
        <w:rPr>
          <w:rFonts w:ascii="Times New Roman" w:hAnsi="Times New Roman" w:eastAsia="宋体" w:cs="Times New Roman"/>
          <w:color w:val="auto"/>
          <w:sz w:val="21"/>
          <w:szCs w:val="21"/>
          <w:u w:val="single"/>
        </w:rPr>
        <w:t xml:space="preserve">（投标供应商代表姓名、职务）</w:t>
      </w:r>
      <w:r>
        <w:rPr>
          <w:rFonts w:ascii="Times New Roman" w:hAnsi="Times New Roman" w:eastAsia="宋体" w:cs="Times New Roman"/>
          <w:color w:val="auto"/>
          <w:sz w:val="21"/>
          <w:szCs w:val="21"/>
        </w:rPr>
        <w:t xml:space="preserve">为本公司的合法代理人，就贵方组织的</w:t>
      </w:r>
      <w:r>
        <w:rPr>
          <w:rFonts w:ascii="Times New Roman" w:hAnsi="Times New Roman" w:eastAsia="宋体" w:cs="Times New Roman"/>
          <w:color w:val="auto"/>
          <w:sz w:val="21"/>
          <w:szCs w:val="21"/>
          <w:u w:val="single"/>
        </w:rPr>
        <w:t xml:space="preserve">（项目名称      ）</w:t>
      </w:r>
      <w:r>
        <w:rPr>
          <w:rFonts w:ascii="Times New Roman" w:hAnsi="Times New Roman" w:eastAsia="宋体" w:cs="Times New Roman"/>
          <w:color w:val="auto"/>
          <w:sz w:val="21"/>
          <w:szCs w:val="21"/>
        </w:rPr>
        <w:t xml:space="preserve">，</w:t>
      </w:r>
      <w:r>
        <w:rPr>
          <w:rFonts w:ascii="Times New Roman" w:hAnsi="Times New Roman" w:eastAsia="宋体" w:cs="Times New Roman"/>
          <w:color w:val="auto"/>
          <w:sz w:val="21"/>
          <w:szCs w:val="21"/>
          <w:u w:val="single"/>
        </w:rPr>
        <w:t xml:space="preserve">（项目编号：      ）</w:t>
      </w:r>
      <w:r>
        <w:rPr>
          <w:rFonts w:ascii="Times New Roman" w:hAnsi="Times New Roman" w:eastAsia="宋体" w:cs="Times New Roman"/>
          <w:color w:val="auto"/>
          <w:sz w:val="21"/>
          <w:szCs w:val="21"/>
        </w:rPr>
        <w:t xml:space="preserve">投标，以本公司名义处理一切与之有关的事务。</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本授权书于</w:t>
      </w:r>
      <w:r>
        <w:rPr>
          <w:rFonts w:ascii="Times New Roman" w:hAnsi="Times New Roman" w:eastAsia="宋体" w:cs="Times New Roman"/>
          <w:color w:val="auto"/>
          <w:sz w:val="21"/>
          <w:szCs w:val="21"/>
          <w:u w:val="single"/>
        </w:rPr>
        <w:t xml:space="preserve">   年   月   日</w:t>
      </w:r>
      <w:r>
        <w:rPr>
          <w:rFonts w:ascii="Times New Roman" w:hAnsi="Times New Roman" w:eastAsia="宋体" w:cs="Times New Roman"/>
          <w:color w:val="auto"/>
          <w:sz w:val="21"/>
          <w:szCs w:val="21"/>
        </w:rPr>
        <w:t xml:space="preserve">签字生效，特此声明。</w:t>
      </w:r>
      <w:r/>
    </w:p>
    <w:p>
      <w:pPr>
        <w:ind w:firstLine="420"/>
        <w:jc w:val="both"/>
        <w:spacing w:before="240" w:after="24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ind w:firstLine="420"/>
        <w:jc w:val="both"/>
        <w:spacing w:before="240" w:after="240"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rPr>
        <w:t xml:space="preserve">投标供应商</w:t>
      </w:r>
      <w:r>
        <w:rPr>
          <w:rFonts w:ascii="Times New Roman" w:hAnsi="Times New Roman" w:eastAsia="宋体" w:cs="Times New Roman"/>
          <w:color w:val="auto"/>
          <w:sz w:val="21"/>
          <w:szCs w:val="21"/>
        </w:rPr>
        <w:t xml:space="preserve">名称：（盖章）</w:t>
      </w:r>
      <w:r/>
    </w:p>
    <w:p>
      <w:pPr>
        <w:ind w:firstLine="420"/>
        <w:jc w:val="both"/>
        <w:spacing w:before="240" w:after="240"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法定代表人签字或盖章：</w:t>
      </w:r>
      <w:r/>
    </w:p>
    <w:p>
      <w:pPr>
        <w:ind w:firstLine="420"/>
        <w:jc w:val="both"/>
        <w:spacing w:before="240" w:after="240"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rPr>
        <w:t xml:space="preserve">被</w:t>
      </w:r>
      <w:r>
        <w:rPr>
          <w:rFonts w:ascii="Times New Roman" w:hAnsi="Times New Roman" w:eastAsia="宋体" w:cs="Times New Roman"/>
          <w:color w:val="auto"/>
          <w:sz w:val="21"/>
          <w:szCs w:val="21"/>
        </w:rPr>
        <w:t xml:space="preserve">授权</w:t>
      </w:r>
      <w:r>
        <w:rPr>
          <w:rFonts w:hint="eastAsia" w:ascii="Times New Roman" w:hAnsi="Times New Roman" w:eastAsia="宋体" w:cs="Times New Roman"/>
          <w:color w:val="auto"/>
          <w:sz w:val="21"/>
          <w:szCs w:val="21"/>
        </w:rPr>
        <w:t xml:space="preserve">人</w:t>
      </w:r>
      <w:r>
        <w:rPr>
          <w:rFonts w:ascii="Times New Roman" w:hAnsi="Times New Roman" w:eastAsia="宋体" w:cs="Times New Roman"/>
          <w:color w:val="auto"/>
          <w:sz w:val="21"/>
          <w:szCs w:val="21"/>
        </w:rPr>
        <w:t xml:space="preserve">签字：</w:t>
      </w:r>
      <w:r/>
    </w:p>
    <w:p>
      <w:pPr>
        <w:ind w:firstLine="420"/>
        <w:jc w:val="both"/>
        <w:spacing w:before="240" w:after="240"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   年   月   日</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21"/>
          <w:szCs w:val="21"/>
        </w:rPr>
        <w:t xml:space="preserve">附：法定代表人、被授权人身份证正反面扫描件</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firstLine="422"/>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1255"/>
        <w:widowControl/>
        <w:rPr>
          <w:color w:val="auto"/>
        </w:rPr>
      </w:pPr>
      <w:r>
        <w:rPr>
          <w:color w:val="auto"/>
        </w:rPr>
        <w:t xml:space="preserve">附件三、开标一览表格式</w:t>
      </w:r>
      <w:r/>
    </w:p>
    <w:p>
      <w:pPr>
        <w:pStyle w:val="1255"/>
        <w:widowControl/>
        <w:rPr>
          <w:color w:val="auto"/>
        </w:rPr>
      </w:pPr>
      <w:r>
        <w:rPr>
          <w:color w:val="auto"/>
        </w:rPr>
        <w:t xml:space="preserve">开标一览表</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项目名称：                       项目编号：</w:t>
      </w:r>
      <w:r/>
    </w:p>
    <w:tbl>
      <w:tblPr>
        <w:tblStyle w:val="12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ind w:firstLine="420"/>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投标总价</w:t>
            </w:r>
            <w:r/>
          </w:p>
        </w:tc>
        <w:tc>
          <w:tcPr>
            <w:tcMar>
              <w:left w:w="80" w:type="dxa"/>
              <w:top w:w="80" w:type="dxa"/>
              <w:right w:w="80" w:type="dxa"/>
              <w:bottom w:w="80" w:type="dxa"/>
            </w:tcMar>
            <w:tcW w:w="7329" w:type="dxa"/>
            <w:vAlign w:val="center"/>
            <w:textDirection w:val="lrTb"/>
            <w:noWrap w:val="false"/>
          </w:tcPr>
          <w:p>
            <w:pPr>
              <w:jc w:val="both"/>
              <w:spacing w:line="85" w:lineRule="atLeast"/>
              <w:rPr>
                <w:rFonts w:hint="eastAsia" w:eastAsia="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小写：</w:t>
            </w:r>
            <w:r>
              <w:rPr>
                <w:rFonts w:hint="eastAsia" w:ascii="宋体" w:hAnsi="宋体" w:eastAsia="宋体" w:cs="宋体"/>
                <w:color w:val="auto"/>
              </w:rPr>
              <w:t xml:space="preserve">¥</w:t>
            </w:r>
            <w:r/>
          </w:p>
          <w:p>
            <w:pPr>
              <w:ind w:firstLine="540"/>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大写：人民币</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tc>
      </w:tr>
      <w:tr>
        <w:trPr>
          <w:trHeight w:val="627"/>
        </w:trPr>
        <w:tc>
          <w:tcPr>
            <w:tcMar>
              <w:left w:w="80" w:type="dxa"/>
              <w:top w:w="80" w:type="dxa"/>
              <w:right w:w="80" w:type="dxa"/>
              <w:bottom w:w="80" w:type="dxa"/>
            </w:tcMar>
            <w:tcW w:w="2025" w:type="dxa"/>
            <w:vAlign w:val="center"/>
            <w:textDirection w:val="lrTb"/>
            <w:noWrap w:val="false"/>
          </w:tcPr>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合同履行</w:t>
            </w:r>
            <w:r>
              <w:rPr>
                <w:rFonts w:ascii="宋体" w:hAnsi="宋体" w:eastAsia="宋体" w:cs="宋体"/>
                <w:color w:val="auto"/>
              </w:rPr>
              <w:t xml:space="preserve">期</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p>
            <w:pPr>
              <w:ind w:firstLine="540"/>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tc>
      </w:tr>
      <w:tr>
        <w:trPr>
          <w:trHeight w:val="615"/>
        </w:trPr>
        <w:tc>
          <w:tcPr>
            <w:tcMar>
              <w:left w:w="80" w:type="dxa"/>
              <w:top w:w="80" w:type="dxa"/>
              <w:right w:w="80" w:type="dxa"/>
              <w:bottom w:w="80" w:type="dxa"/>
            </w:tcMar>
            <w:tcW w:w="2025" w:type="dxa"/>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项目负责人</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r>
            <w:r/>
          </w:p>
        </w:tc>
      </w:tr>
      <w:tr>
        <w:trPr>
          <w:trHeight w:val="1096"/>
        </w:trPr>
        <w:tc>
          <w:tcPr>
            <w:tcMar>
              <w:left w:w="80" w:type="dxa"/>
              <w:top w:w="80" w:type="dxa"/>
              <w:right w:w="80" w:type="dxa"/>
              <w:bottom w:w="80" w:type="dxa"/>
            </w:tcMar>
            <w:tcW w:w="2025" w:type="dxa"/>
            <w:vAlign w:val="center"/>
            <w:textDirection w:val="lrTb"/>
            <w:noWrap w:val="false"/>
          </w:tcPr>
          <w:p>
            <w:pPr>
              <w:jc w:val="both"/>
              <w:spacing w:line="85" w:lineRule="atLeast"/>
              <w:rPr>
                <w:rFonts w:eastAsia="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质量标准</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tc>
      </w:tr>
      <w:tr>
        <w:trPr>
          <w:trHeight w:val="1096"/>
        </w:trPr>
        <w:tc>
          <w:tcPr>
            <w:tcMar>
              <w:left w:w="80" w:type="dxa"/>
              <w:top w:w="80" w:type="dxa"/>
              <w:right w:w="80" w:type="dxa"/>
              <w:bottom w:w="80" w:type="dxa"/>
            </w:tcMar>
            <w:tcW w:w="2025" w:type="dxa"/>
            <w:vAlign w:val="center"/>
            <w:textDirection w:val="lrTb"/>
            <w:noWrap w:val="false"/>
          </w:tcPr>
          <w:p>
            <w:pPr>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是否为小微企业</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r>
            <w:r/>
          </w:p>
        </w:tc>
      </w:tr>
    </w:tbl>
    <w:p>
      <w:pPr>
        <w:jc w:val="both"/>
        <w:spacing w:before="240" w:after="240" w:line="85" w:lineRule="atLeast"/>
        <w:shd w:val="clear" w:color="ffffff" w:fill="ffffff"/>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投标单位（盖章）：</w:t>
      </w:r>
      <w:r>
        <w:rPr>
          <w:rFonts w:ascii="Times New Roman" w:hAnsi="Times New Roman" w:eastAsia="宋体" w:cs="Times New Roman"/>
          <w:color w:val="auto"/>
          <w:sz w:val="24"/>
          <w:szCs w:val="24"/>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rPr>
        <w:t xml:space="preserve">被</w:t>
      </w:r>
      <w:r>
        <w:rPr>
          <w:rFonts w:ascii="Times New Roman" w:hAnsi="Times New Roman" w:eastAsia="宋体" w:cs="Times New Roman"/>
          <w:color w:val="auto"/>
          <w:sz w:val="24"/>
          <w:szCs w:val="24"/>
        </w:rPr>
        <w:t xml:space="preserve">授权</w:t>
      </w:r>
      <w:r>
        <w:rPr>
          <w:rFonts w:hint="eastAsia" w:ascii="Times New Roman" w:hAnsi="Times New Roman" w:eastAsia="宋体" w:cs="Times New Roman"/>
          <w:color w:val="auto"/>
          <w:sz w:val="24"/>
          <w:szCs w:val="24"/>
        </w:rPr>
        <w:t xml:space="preserve">人</w:t>
      </w:r>
      <w:r>
        <w:rPr>
          <w:rFonts w:ascii="Times New Roman" w:hAnsi="Times New Roman" w:eastAsia="宋体" w:cs="Times New Roman"/>
          <w:color w:val="auto"/>
          <w:sz w:val="24"/>
          <w:szCs w:val="24"/>
        </w:rPr>
        <w:t xml:space="preserve">（签字）：</w:t>
      </w:r>
      <w:r>
        <w:rPr>
          <w:rFonts w:ascii="Times New Roman" w:hAnsi="Times New Roman" w:eastAsia="宋体" w:cs="Times New Roman"/>
          <w:color w:val="auto"/>
          <w:sz w:val="24"/>
          <w:szCs w:val="24"/>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说明：1.本项目仅接受一个价格，不得填报有选择性报价方案。</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bookmarkStart w:id="11" w:name="OLE_LINK3"/>
      <w:r/>
      <w:bookmarkStart w:id="12" w:name="OLE_LINK2"/>
      <w:r>
        <w:rPr>
          <w:rFonts w:ascii="宋体" w:hAnsi="宋体" w:eastAsia="宋体" w:cs="宋体"/>
          <w:color w:val="auto"/>
          <w:sz w:val="24"/>
        </w:rPr>
        <w:br w:type="page" w:clear="all"/>
      </w:r>
      <w:bookmarkEnd w:id="11"/>
      <w:r/>
      <w:bookmarkEnd w:id="12"/>
      <w:r/>
      <w:r/>
    </w:p>
    <w:p>
      <w:pPr>
        <w:jc w:val="both"/>
        <w:spacing w:line="85" w:lineRule="atLeast"/>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附件四</w:t>
      </w:r>
      <w:r>
        <w:rPr>
          <w:rFonts w:hint="eastAsia" w:ascii="宋体" w:hAnsi="宋体" w:eastAsia="宋体" w:cs="宋体"/>
          <w:b/>
          <w:bCs/>
          <w:color w:val="auto"/>
          <w:sz w:val="24"/>
        </w:rPr>
        <w:t xml:space="preserve">、</w:t>
      </w:r>
      <w:r>
        <w:rPr>
          <w:rFonts w:ascii="宋体" w:hAnsi="宋体" w:eastAsia="宋体" w:cs="宋体"/>
          <w:b/>
          <w:bCs/>
          <w:color w:val="auto"/>
          <w:sz w:val="24"/>
        </w:rPr>
        <w:t xml:space="preserve">分项报价表格式</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已标价工程量清单</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（根据工程量清单填列）</w:t>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jc w:val="both"/>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pStyle w:val="1255"/>
        <w:widowControl/>
        <w:rPr>
          <w:color w:val="auto"/>
        </w:rPr>
      </w:pPr>
      <w:r>
        <w:rPr>
          <w:color w:val="auto"/>
        </w:rPr>
        <w:t xml:space="preserve">附件五、技术偏离表格式</w:t>
      </w:r>
      <w:r/>
    </w:p>
    <w:p>
      <w:pPr>
        <w:jc w:val="both"/>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jc w:val="both"/>
        <w:spacing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项目名称：                                       项目编号：</w:t>
      </w:r>
      <w:r/>
    </w:p>
    <w:tbl>
      <w:tblPr>
        <w:tblStyle w:val="1236"/>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8"/>
        <w:gridCol w:w="2255"/>
        <w:gridCol w:w="2449"/>
        <w:gridCol w:w="1596"/>
        <w:gridCol w:w="2237"/>
      </w:tblGrid>
      <w:tr>
        <w:trPr>
          <w:trHeight w:val="870"/>
        </w:trPr>
        <w:tc>
          <w:tcPr>
            <w:tcMar>
              <w:left w:w="80" w:type="dxa"/>
              <w:top w:w="80" w:type="dxa"/>
              <w:right w:w="80" w:type="dxa"/>
              <w:bottom w:w="80" w:type="dxa"/>
            </w:tcMar>
            <w:tcW w:w="514" w:type="pct"/>
            <w:vAlign w:val="center"/>
            <w:textDirection w:val="lrTb"/>
            <w:noWrap w:val="false"/>
          </w:tcPr>
          <w:p>
            <w:pPr>
              <w:jc w:val="center"/>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Mar>
              <w:left w:w="80" w:type="dxa"/>
              <w:top w:w="80" w:type="dxa"/>
              <w:right w:w="80" w:type="dxa"/>
              <w:bottom w:w="80" w:type="dxa"/>
            </w:tcMar>
            <w:tcW w:w="1184" w:type="pct"/>
            <w:vAlign w:val="center"/>
            <w:textDirection w:val="lrTb"/>
            <w:noWrap w:val="false"/>
          </w:tcPr>
          <w:p>
            <w:pPr>
              <w:jc w:val="center"/>
              <w:spacing w:before="200" w:after="200" w:line="85" w:lineRule="atLeast"/>
              <w:rPr>
                <w:rFonts w:eastAsia="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招标</w:t>
            </w:r>
            <w:r>
              <w:rPr>
                <w:rFonts w:hint="eastAsia" w:ascii="宋体" w:hAnsi="宋体" w:eastAsia="宋体" w:cs="宋体"/>
                <w:color w:val="auto"/>
                <w:sz w:val="21"/>
                <w:szCs w:val="21"/>
              </w:rPr>
              <w:t xml:space="preserve">文件技术要求</w:t>
            </w:r>
            <w:r/>
          </w:p>
        </w:tc>
        <w:tc>
          <w:tcPr>
            <w:tcMar>
              <w:left w:w="80" w:type="dxa"/>
              <w:top w:w="80" w:type="dxa"/>
              <w:right w:w="80" w:type="dxa"/>
              <w:bottom w:w="80" w:type="dxa"/>
            </w:tcMar>
            <w:tcW w:w="1286" w:type="pct"/>
            <w:vAlign w:val="center"/>
            <w:textDirection w:val="lrTb"/>
            <w:noWrap w:val="false"/>
          </w:tcPr>
          <w:p>
            <w:pPr>
              <w:jc w:val="center"/>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color w:val="auto"/>
                <w:sz w:val="21"/>
                <w:szCs w:val="21"/>
              </w:rPr>
              <w:t xml:space="preserve">投标文件技术指标情况</w:t>
            </w:r>
            <w:r/>
          </w:p>
        </w:tc>
        <w:tc>
          <w:tcPr>
            <w:tcMar>
              <w:left w:w="80" w:type="dxa"/>
              <w:top w:w="80" w:type="dxa"/>
              <w:right w:w="80" w:type="dxa"/>
              <w:bottom w:w="80" w:type="dxa"/>
            </w:tcMar>
            <w:tcW w:w="838" w:type="pct"/>
            <w:vAlign w:val="center"/>
            <w:textDirection w:val="lrTb"/>
            <w:noWrap w:val="false"/>
          </w:tcPr>
          <w:p>
            <w:pPr>
              <w:jc w:val="center"/>
              <w:spacing w:before="200" w:after="200" w:line="85" w:lineRule="atLeast"/>
              <w:rPr>
                <w:rFonts w:hint="eastAsia" w:eastAsia="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w:t>
            </w:r>
            <w:r>
              <w:rPr>
                <w:rFonts w:ascii="宋体" w:hAnsi="宋体" w:eastAsia="宋体" w:cs="宋体"/>
                <w:color w:val="auto"/>
                <w:sz w:val="21"/>
                <w:szCs w:val="21"/>
              </w:rPr>
              <w:t xml:space="preserve">偏离</w:t>
            </w:r>
            <w:r>
              <w:rPr>
                <w:rFonts w:hint="eastAsia" w:ascii="宋体" w:hAnsi="宋体" w:eastAsia="宋体" w:cs="宋体"/>
                <w:color w:val="auto"/>
                <w:sz w:val="21"/>
                <w:szCs w:val="21"/>
              </w:rPr>
              <w:t xml:space="preserve">情况</w:t>
            </w:r>
            <w:r/>
          </w:p>
        </w:tc>
        <w:tc>
          <w:tcPr>
            <w:tcMar>
              <w:left w:w="80" w:type="dxa"/>
              <w:top w:w="80" w:type="dxa"/>
              <w:right w:w="80" w:type="dxa"/>
              <w:bottom w:w="80" w:type="dxa"/>
            </w:tcMar>
            <w:tcW w:w="1175" w:type="pct"/>
            <w:vAlign w:val="center"/>
            <w:textDirection w:val="lrTb"/>
            <w:noWrap w:val="false"/>
          </w:tcPr>
          <w:p>
            <w:pPr>
              <w:jc w:val="center"/>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color w:val="auto"/>
                <w:sz w:val="21"/>
                <w:szCs w:val="21"/>
              </w:rPr>
              <w:t xml:space="preserve">必要的证明材料所在页码</w:t>
            </w:r>
            <w:r/>
          </w:p>
        </w:tc>
      </w:tr>
      <w:tr>
        <w:trPr>
          <w:trHeight w:val="300"/>
        </w:trPr>
        <w:tc>
          <w:tcPr>
            <w:tcMar>
              <w:left w:w="80" w:type="dxa"/>
              <w:top w:w="80" w:type="dxa"/>
              <w:right w:w="80" w:type="dxa"/>
              <w:bottom w:w="80" w:type="dxa"/>
            </w:tcMar>
            <w:tcW w:w="51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8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286"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838"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75"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300"/>
        </w:trPr>
        <w:tc>
          <w:tcPr>
            <w:tcMar>
              <w:left w:w="80" w:type="dxa"/>
              <w:top w:w="80" w:type="dxa"/>
              <w:right w:w="80" w:type="dxa"/>
              <w:bottom w:w="80" w:type="dxa"/>
            </w:tcMar>
            <w:tcW w:w="51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8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286"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838"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75"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295"/>
        </w:trPr>
        <w:tc>
          <w:tcPr>
            <w:tcMar>
              <w:left w:w="80" w:type="dxa"/>
              <w:top w:w="80" w:type="dxa"/>
              <w:right w:w="80" w:type="dxa"/>
              <w:bottom w:w="80" w:type="dxa"/>
            </w:tcMar>
            <w:tcW w:w="51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84"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286"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838"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175" w:type="pct"/>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bl>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投标单位（盖章）：</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授权代表（签字）：</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w:t>
      </w:r>
      <w:r>
        <w:rPr>
          <w:rFonts w:ascii="Times New Roman" w:hAnsi="Times New Roman" w:eastAsia="宋体" w:cs="Times New Roman"/>
          <w:color w:val="auto"/>
          <w:sz w:val="21"/>
          <w:szCs w:val="21"/>
          <w:u w:val="single"/>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说明：</w:t>
      </w:r>
      <w:r/>
    </w:p>
    <w:p>
      <w:pPr>
        <w:pStyle w:val="1240"/>
        <w:numPr>
          <w:ilvl w:val="0"/>
          <w:numId w:val="21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1240"/>
        <w:numPr>
          <w:ilvl w:val="0"/>
          <w:numId w:val="217"/>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如果行数不够，请自行增加。</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rFonts w:hint="eastAsia" w:eastAsia="宋体"/>
          <w:color w:val="auto"/>
        </w:rPr>
        <w:pBdr>
          <w:top w:val="none" w:color="000000" w:sz="0" w:space="0"/>
          <w:left w:val="none" w:color="000000" w:sz="0" w:space="0"/>
          <w:bottom w:val="none" w:color="000000" w:sz="0" w:space="0"/>
          <w:right w:val="none" w:color="000000" w:sz="0" w:space="0"/>
        </w:pBdr>
      </w:pPr>
      <w:r>
        <w:rPr>
          <w:rFonts w:hint="eastAsia" w:eastAsia="宋体"/>
          <w:color w:val="auto"/>
        </w:rPr>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1255"/>
        <w:widowControl/>
        <w:rPr>
          <w:color w:val="auto"/>
        </w:rPr>
      </w:pPr>
      <w:r>
        <w:rPr>
          <w:color w:val="auto"/>
        </w:rPr>
        <w:t xml:space="preserve">附件六、商务条款偏离表格式</w:t>
      </w:r>
      <w:r/>
    </w:p>
    <w:p>
      <w:pPr>
        <w:jc w:val="center"/>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商务条款偏离表</w:t>
      </w:r>
      <w:r/>
    </w:p>
    <w:p>
      <w:pPr>
        <w:jc w:val="both"/>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jc w:val="both"/>
        <w:spacing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项目名称：                                       项目编号：</w:t>
      </w:r>
      <w:r/>
    </w:p>
    <w:tbl>
      <w:tblPr>
        <w:tblStyle w:val="12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招标文件要求的商务条款</w:t>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投标响应</w:t>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rFonts w:eastAsia="宋体"/>
                <w:color w:val="auto"/>
                <w:sz w:val="21"/>
                <w:szCs w:val="21"/>
              </w:rPr>
              <w:pBdr>
                <w:top w:val="none" w:color="000000" w:sz="0" w:space="0"/>
                <w:left w:val="none" w:color="000000" w:sz="0" w:space="0"/>
                <w:bottom w:val="none" w:color="000000" w:sz="0" w:space="0"/>
                <w:right w:val="none" w:color="000000" w:sz="0" w:space="0"/>
              </w:pBdr>
            </w:pPr>
            <w:r>
              <w:rPr>
                <w:rFonts w:eastAsia="宋体"/>
                <w:color w:val="auto"/>
                <w:sz w:val="21"/>
                <w:szCs w:val="21"/>
              </w:rPr>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rFonts w:eastAsia="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rPr>
                <w:rFonts w:hint="eastAsia" w:ascii="宋体" w:hAnsi="宋体" w:eastAsia="宋体" w:cs="宋体"/>
                <w:color w:val="auto"/>
                <w:sz w:val="21"/>
                <w:szCs w:val="21"/>
              </w:rPr>
              <w:t xml:space="preserve">...</w:t>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256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3438"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80" w:type="dxa"/>
              <w:top w:w="80" w:type="dxa"/>
              <w:right w:w="80" w:type="dxa"/>
              <w:bottom w:w="80" w:type="dxa"/>
            </w:tcMar>
            <w:tcW w:w="1544" w:type="dxa"/>
            <w:vAlign w:val="center"/>
            <w:textDirection w:val="lrTb"/>
            <w:noWrap w:val="false"/>
          </w:tcPr>
          <w:p>
            <w:pPr>
              <w:jc w:val="both"/>
              <w:spacing w:before="200" w:after="2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bl>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投标单位（盖章）：</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授权代表（签字）：</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w:t>
      </w:r>
      <w:r>
        <w:rPr>
          <w:rFonts w:ascii="Times New Roman" w:hAnsi="Times New Roman" w:eastAsia="宋体" w:cs="Times New Roman"/>
          <w:color w:val="auto"/>
          <w:sz w:val="21"/>
          <w:szCs w:val="21"/>
          <w:u w:val="single"/>
        </w:rPr>
        <w:t xml:space="preserve">                      </w:t>
      </w:r>
      <w:r/>
    </w:p>
    <w:p>
      <w:pPr>
        <w:pStyle w:val="1240"/>
        <w:numPr>
          <w:ilvl w:val="0"/>
          <w:numId w:val="218"/>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投标供应商应在上表中明确投标文件商务部分与招标文件要求的商务要求偏离情况，未在上表中说明的，如在投标文件其他内容中已有文字说明或相关证明材料的，则以已有文字说明或相关证明材料为准。</w:t>
      </w:r>
      <w:r/>
    </w:p>
    <w:p>
      <w:pPr>
        <w:pStyle w:val="1240"/>
        <w:numPr>
          <w:ilvl w:val="0"/>
          <w:numId w:val="218"/>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说明：如果行数不够，请自行增加。</w:t>
      </w:r>
      <w:r/>
    </w:p>
    <w:p>
      <w:pPr>
        <w:pStyle w:val="1240"/>
        <w:numPr>
          <w:ilvl w:val="0"/>
          <w:numId w:val="218"/>
        </w:numPr>
        <w:ind w:left="0" w:firstLine="480"/>
        <w:widowControl/>
        <w:rPr>
          <w:rFonts w:ascii="Times New Roman" w:hAnsi="Times New Roman" w:eastAsia="宋体" w:cs="Times New Roman"/>
          <w:b w:val="0"/>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所有偏离必须在本表中列出，未在本偏离表中列出偏离，将视为投标供应商已完全接受招标文件要求。如完全无偏离，也无其他说明，可在本表第一行填写“全部无偏离”。</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pStyle w:val="1255"/>
        <w:widowControl/>
        <w:rPr>
          <w:color w:val="auto"/>
        </w:rPr>
      </w:pPr>
      <w:r>
        <w:rPr>
          <w:color w:val="auto"/>
        </w:rPr>
        <w:t xml:space="preserve">附件七、投标供应商类似业绩情况表 </w:t>
      </w:r>
      <w:r/>
    </w:p>
    <w:p>
      <w:pPr>
        <w:jc w:val="center"/>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投标供应商</w:t>
      </w:r>
      <w:r>
        <w:rPr>
          <w:rFonts w:ascii="宋体" w:hAnsi="宋体" w:eastAsia="宋体" w:cs="宋体"/>
          <w:color w:val="auto"/>
          <w:sz w:val="24"/>
        </w:rPr>
        <w:t xml:space="preserve">类似业绩情况表</w:t>
      </w:r>
      <w:r/>
    </w:p>
    <w:p>
      <w:pPr>
        <w:jc w:val="both"/>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firstLine="240"/>
        <w:jc w:val="both"/>
        <w:spacing w:before="100" w:after="100"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项目名称</w:t>
      </w:r>
      <w:r>
        <w:rPr>
          <w:rFonts w:hint="eastAsia" w:ascii="宋体" w:hAnsi="宋体" w:eastAsia="宋体" w:cs="宋体"/>
          <w:color w:val="auto"/>
          <w:sz w:val="21"/>
          <w:szCs w:val="21"/>
        </w:rPr>
        <w:t xml:space="preserve">、分包号</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                                          </w:t>
      </w:r>
      <w:r>
        <w:rPr>
          <w:rFonts w:ascii="宋体" w:hAnsi="宋体" w:eastAsia="宋体" w:cs="宋体"/>
          <w:color w:val="auto"/>
          <w:sz w:val="21"/>
          <w:szCs w:val="21"/>
        </w:rPr>
        <w:t xml:space="preserve">项目编号：</w:t>
      </w:r>
      <w:r/>
    </w:p>
    <w:tbl>
      <w:tblPr>
        <w:tblStyle w:val="1236"/>
        <w:tblW w:w="0" w:type="auto"/>
        <w:tblInd w:w="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2"/>
        <w:gridCol w:w="1537"/>
        <w:gridCol w:w="1398"/>
        <w:gridCol w:w="978"/>
        <w:gridCol w:w="1019"/>
        <w:gridCol w:w="1495"/>
        <w:gridCol w:w="1118"/>
        <w:gridCol w:w="1118"/>
      </w:tblGrid>
      <w:tr>
        <w:trPr/>
        <w:tc>
          <w:tcPr>
            <w:tcMar>
              <w:left w:w="0" w:type="dxa"/>
              <w:top w:w="0" w:type="dxa"/>
              <w:right w:w="0" w:type="dxa"/>
              <w:bottom w:w="0" w:type="dxa"/>
            </w:tcMar>
            <w:tcW w:w="674"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合同</w:t>
            </w:r>
            <w:r/>
          </w:p>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项目</w:t>
            </w:r>
            <w:r/>
          </w:p>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内容</w:t>
            </w:r>
            <w:r/>
          </w:p>
        </w:tc>
        <w:tc>
          <w:tcPr>
            <w:tcMar>
              <w:left w:w="0" w:type="dxa"/>
              <w:top w:w="0" w:type="dxa"/>
              <w:right w:w="0" w:type="dxa"/>
              <w:bottom w:w="0" w:type="dxa"/>
            </w:tcMar>
            <w:tcW w:w="1498"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签约及服务</w:t>
            </w:r>
            <w:r/>
          </w:p>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时间</w:t>
            </w:r>
            <w:r/>
          </w:p>
        </w:tc>
        <w:tc>
          <w:tcPr>
            <w:tcMar>
              <w:left w:w="0" w:type="dxa"/>
              <w:top w:w="0" w:type="dxa"/>
              <w:right w:w="0" w:type="dxa"/>
              <w:bottom w:w="0" w:type="dxa"/>
            </w:tcMar>
            <w:tcW w:w="1120"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联系人及电话</w:t>
            </w:r>
            <w:r/>
          </w:p>
        </w:tc>
        <w:tc>
          <w:tcPr>
            <w:tcMar>
              <w:left w:w="0" w:type="dxa"/>
              <w:top w:w="0" w:type="dxa"/>
              <w:right w:w="0" w:type="dxa"/>
              <w:bottom w:w="0" w:type="dxa"/>
            </w:tcMar>
            <w:tcW w:w="1120" w:type="dxa"/>
            <w:vAlign w:val="center"/>
            <w:textDirection w:val="lrTb"/>
            <w:noWrap w:val="false"/>
          </w:tcPr>
          <w:p>
            <w:pPr>
              <w:jc w:val="center"/>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备注</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ind w:firstLine="120"/>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c>
          <w:tcPr>
            <w:tcMar>
              <w:left w:w="0" w:type="dxa"/>
              <w:top w:w="0" w:type="dxa"/>
              <w:right w:w="0" w:type="dxa"/>
              <w:bottom w:w="0" w:type="dxa"/>
            </w:tcMar>
            <w:tcW w:w="674"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54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0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98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021"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498"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0" w:type="dxa"/>
              <w:top w:w="0" w:type="dxa"/>
              <w:right w:w="0" w:type="dxa"/>
              <w:bottom w:w="0" w:type="dxa"/>
            </w:tcMar>
            <w:tcW w:w="1120" w:type="dxa"/>
            <w:vAlign w:val="top"/>
            <w:textDirection w:val="lrTb"/>
            <w:noWrap w:val="false"/>
          </w:tcPr>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bl>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投标单位（盖章）：</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授权代表（签字）：</w:t>
      </w:r>
      <w:r>
        <w:rPr>
          <w:rFonts w:ascii="Times New Roman" w:hAnsi="Times New Roman" w:eastAsia="宋体" w:cs="Times New Roman"/>
          <w:color w:val="auto"/>
          <w:sz w:val="21"/>
          <w:szCs w:val="21"/>
          <w:u w:val="single"/>
        </w:rPr>
        <w:t xml:space="preserve">                      </w:t>
      </w:r>
      <w:r/>
    </w:p>
    <w:p>
      <w:pPr>
        <w:jc w:val="both"/>
        <w:spacing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w:t>
      </w:r>
      <w:r>
        <w:rPr>
          <w:rFonts w:ascii="Times New Roman" w:hAnsi="Times New Roman" w:eastAsia="宋体" w:cs="Times New Roman"/>
          <w:color w:val="auto"/>
          <w:sz w:val="21"/>
          <w:szCs w:val="21"/>
          <w:u w:val="single"/>
        </w:rPr>
        <w:t xml:space="preserve">             </w:t>
      </w:r>
      <w:r/>
    </w:p>
    <w:p>
      <w:pPr>
        <w:jc w:val="both"/>
        <w:spacing w:line="85" w:lineRule="atLeas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说明：具体要求及需提交的证明材料详见评分标准。</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116"/>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jc w:val="both"/>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附件</w:t>
      </w:r>
      <w:r>
        <w:rPr>
          <w:rFonts w:hint="eastAsia" w:ascii="宋体" w:hAnsi="宋体" w:eastAsia="宋体" w:cs="宋体"/>
          <w:b/>
          <w:bCs/>
          <w:color w:val="auto"/>
          <w:sz w:val="24"/>
        </w:rPr>
        <w:t xml:space="preserve">八</w:t>
      </w:r>
      <w:r>
        <w:rPr>
          <w:rFonts w:ascii="宋体" w:hAnsi="宋体" w:eastAsia="宋体" w:cs="宋体"/>
          <w:b/>
          <w:bCs/>
          <w:color w:val="auto"/>
          <w:sz w:val="24"/>
        </w:rPr>
        <w:t xml:space="preserve">、无重大违法记录声明格式</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center"/>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无重大违法记录声明</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南京中医药大学：</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p>
      <w:pPr>
        <w:ind w:firstLine="48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我单位</w:t>
      </w:r>
      <w:r>
        <w:rPr>
          <w:rFonts w:hint="eastAsia" w:ascii="宋体" w:hAnsi="宋体" w:eastAsia="宋体" w:cs="宋体"/>
          <w:color w:val="auto"/>
          <w:u w:val="single"/>
        </w:rPr>
        <w:t xml:space="preserve">           </w:t>
      </w:r>
      <w:r>
        <w:rPr>
          <w:rFonts w:ascii="宋体" w:hAnsi="宋体" w:eastAsia="宋体" w:cs="宋体"/>
          <w:color w:val="auto"/>
        </w:rPr>
        <w:t xml:space="preserve">（</w:t>
      </w:r>
      <w:r>
        <w:rPr>
          <w:rFonts w:hint="eastAsia" w:ascii="宋体" w:hAnsi="宋体" w:eastAsia="宋体" w:cs="宋体"/>
          <w:color w:val="auto"/>
        </w:rPr>
        <w:t xml:space="preserve">投标供应商</w:t>
      </w:r>
      <w:r>
        <w:rPr>
          <w:rFonts w:ascii="宋体" w:hAnsi="宋体" w:eastAsia="宋体" w:cs="宋体"/>
          <w:color w:val="auto"/>
        </w:rPr>
        <w:t xml:space="preserve">名称）郑重声明：</w:t>
      </w:r>
      <w:r/>
    </w:p>
    <w:p>
      <w:pPr>
        <w:ind w:firstLine="48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参加政府采购活动前3年内在经营活动中</w:t>
      </w:r>
      <w:r>
        <w:rPr>
          <w:rFonts w:hint="eastAsia" w:ascii="宋体" w:hAnsi="宋体" w:eastAsia="宋体" w:cs="宋体"/>
          <w:color w:val="auto"/>
          <w:u w:val="single"/>
        </w:rPr>
        <w:t xml:space="preserve">        </w:t>
      </w:r>
      <w:r>
        <w:rPr>
          <w:rFonts w:ascii="宋体" w:hAnsi="宋体" w:eastAsia="宋体" w:cs="宋体"/>
          <w:color w:val="auto"/>
        </w:rPr>
        <w:t xml:space="preserve">（在下划线上如实填写：有或没有）重大违法记录。</w:t>
      </w:r>
      <w:r/>
    </w:p>
    <w:p>
      <w:pPr>
        <w:ind w:firstLine="36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（说明：政府采购法第二十二条第一款第五项所称重大违法记录，是指</w:t>
      </w:r>
      <w:r>
        <w:rPr>
          <w:rFonts w:hint="eastAsia" w:ascii="宋体" w:hAnsi="宋体" w:eastAsia="宋体" w:cs="宋体"/>
          <w:color w:val="auto"/>
        </w:rPr>
        <w:t xml:space="preserve">投标供应商</w:t>
      </w:r>
      <w:r>
        <w:rPr>
          <w:rFonts w:ascii="宋体" w:hAnsi="宋体" w:eastAsia="宋体" w:cs="宋体"/>
          <w:color w:val="auto"/>
        </w:rPr>
        <w:t xml:space="preserve">因违法经营受到刑事处罚或者责令停产停业、吊销许可证或者执照、较大数额罚款等行政处罚）</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 </w:t>
      </w:r>
      <w:r/>
    </w:p>
    <w:p>
      <w:pPr>
        <w:jc w:val="both"/>
        <w:spacing w:before="240" w:after="240" w:line="85" w:lineRule="atLeast"/>
        <w:shd w:val="clear" w:color="ffffff" w:fill="ffffff"/>
        <w:rPr>
          <w:color w:val="auto"/>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投标单位（盖章）：</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授权代表（签字）：</w:t>
      </w:r>
      <w:r>
        <w:rPr>
          <w:rFonts w:ascii="宋体" w:hAnsi="宋体" w:eastAsia="宋体" w:cs="宋体"/>
          <w:color w:val="auto"/>
          <w:u w:val="single"/>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日期： </w:t>
      </w:r>
      <w:r>
        <w:rPr>
          <w:rFonts w:ascii="宋体" w:hAnsi="宋体" w:eastAsia="宋体" w:cs="宋体"/>
          <w:color w:val="auto"/>
          <w:u w:val="single"/>
        </w:rPr>
        <w:t xml:space="preserve">           </w:t>
      </w:r>
      <w:r>
        <w:rPr>
          <w:rFonts w:ascii="宋体" w:hAnsi="宋体" w:eastAsia="宋体" w:cs="宋体"/>
          <w:color w:val="auto"/>
        </w:rPr>
        <w:t xml:space="preserve"> </w:t>
      </w:r>
      <w:r/>
    </w:p>
    <w:p>
      <w:pPr>
        <w:jc w:val="both"/>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right="480"/>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6"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jc w:val="both"/>
        <w:spacing w:before="26" w:line="85" w:lineRule="atLeast"/>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附件</w:t>
      </w:r>
      <w:r>
        <w:rPr>
          <w:rFonts w:hint="eastAsia" w:ascii="宋体" w:hAnsi="宋体" w:eastAsia="宋体" w:cs="宋体"/>
          <w:b/>
          <w:bCs/>
          <w:color w:val="auto"/>
          <w:sz w:val="24"/>
        </w:rPr>
        <w:t xml:space="preserve">九、</w:t>
      </w:r>
      <w:r>
        <w:rPr>
          <w:rFonts w:ascii="宋体" w:hAnsi="宋体" w:eastAsia="宋体" w:cs="宋体"/>
          <w:b/>
          <w:bCs/>
          <w:color w:val="auto"/>
          <w:sz w:val="24"/>
        </w:rPr>
        <w:t xml:space="preserve">具备履行合同所必需的设备和专业技术能力的声明格式</w:t>
      </w:r>
      <w:r/>
    </w:p>
    <w:p>
      <w:pPr>
        <w:jc w:val="both"/>
        <w:spacing w:before="26"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jc w:val="center"/>
        <w:spacing w:before="26"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具备履行合同所必需的设备和专业技术能力</w:t>
      </w:r>
      <w:r/>
    </w:p>
    <w:p>
      <w:pPr>
        <w:pStyle w:val="1240"/>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szCs w:val="24"/>
        </w:rPr>
        <w:t xml:space="preserve">南京中医药大学： </w:t>
      </w:r>
      <w:r/>
    </w:p>
    <w:p>
      <w:pPr>
        <w:jc w:val="both"/>
        <w:spacing w:before="26" w:after="120"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r>
      <w:r/>
    </w:p>
    <w:p>
      <w:pPr>
        <w:jc w:val="both"/>
        <w:spacing w:before="26"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我单位</w:t>
      </w:r>
      <w:r>
        <w:rPr>
          <w:rFonts w:hint="eastAsia" w:ascii="宋体" w:hAnsi="宋体" w:eastAsia="宋体" w:cs="宋体"/>
          <w:color w:val="auto"/>
          <w:u w:val="single"/>
        </w:rPr>
        <w:t xml:space="preserve">            </w:t>
      </w:r>
      <w:r>
        <w:rPr>
          <w:rFonts w:ascii="宋体" w:hAnsi="宋体" w:eastAsia="宋体" w:cs="宋体"/>
          <w:color w:val="auto"/>
        </w:rPr>
        <w:t xml:space="preserve">（</w:t>
      </w:r>
      <w:r>
        <w:rPr>
          <w:rFonts w:hint="eastAsia" w:ascii="宋体" w:hAnsi="宋体" w:eastAsia="宋体" w:cs="宋体"/>
          <w:color w:val="auto"/>
        </w:rPr>
        <w:t xml:space="preserve">投标供应商</w:t>
      </w:r>
      <w:r>
        <w:rPr>
          <w:rFonts w:ascii="宋体" w:hAnsi="宋体" w:eastAsia="宋体" w:cs="宋体"/>
          <w:color w:val="auto"/>
        </w:rPr>
        <w:t xml:space="preserve">名称）郑重声明：</w:t>
      </w:r>
      <w:r/>
    </w:p>
    <w:p>
      <w:pPr>
        <w:jc w:val="both"/>
        <w:spacing w:before="26" w:after="120"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r>
      <w:r/>
    </w:p>
    <w:p>
      <w:pPr>
        <w:jc w:val="both"/>
        <w:spacing w:before="26" w:after="120" w:line="85" w:lineRule="atLeast"/>
        <w:rPr>
          <w:rFonts w:hint="eastAsia" w:eastAsia="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我公司具备履行本项采购合同所必需的设备和专业技术能力</w:t>
      </w:r>
      <w:r>
        <w:rPr>
          <w:rFonts w:hint="eastAsia" w:ascii="宋体" w:hAnsi="宋体" w:eastAsia="宋体" w:cs="宋体"/>
          <w:color w:val="auto"/>
        </w:rPr>
        <w:t xml:space="preserve">。</w:t>
      </w:r>
      <w:r/>
    </w:p>
    <w:p>
      <w:pPr>
        <w:jc w:val="both"/>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投标单位（盖章）：</w:t>
      </w:r>
      <w:r/>
    </w:p>
    <w:p>
      <w:pPr>
        <w:jc w:val="both"/>
        <w:spacing w:before="240" w:after="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授权代表（签字）：</w:t>
      </w:r>
      <w:r>
        <w:rPr>
          <w:rFonts w:ascii="宋体" w:hAnsi="宋体" w:eastAsia="宋体" w:cs="宋体"/>
          <w:color w:val="auto"/>
          <w:u w:val="single"/>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日期： </w:t>
      </w:r>
      <w:r>
        <w:rPr>
          <w:rFonts w:ascii="宋体" w:hAnsi="宋体" w:eastAsia="宋体" w:cs="宋体"/>
          <w:color w:val="auto"/>
          <w:u w:val="single"/>
        </w:rPr>
        <w:t xml:space="preserve">           </w:t>
      </w:r>
      <w:r>
        <w:rPr>
          <w:rFonts w:ascii="宋体" w:hAnsi="宋体" w:eastAsia="宋体" w:cs="宋体"/>
          <w:color w:val="auto"/>
        </w:rPr>
        <w:t xml:space="preserve"> </w:t>
      </w:r>
      <w:r/>
    </w:p>
    <w:p>
      <w:pPr>
        <w:jc w:val="both"/>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jc w:val="both"/>
        <w:spacing w:line="85" w:lineRule="atLeast"/>
        <w:rPr>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szCs w:val="21"/>
        </w:rPr>
        <w:t xml:space="preserve">附件十</w:t>
      </w:r>
      <w:r>
        <w:rPr>
          <w:rFonts w:hint="eastAsia" w:ascii="宋体" w:hAnsi="宋体" w:eastAsia="宋体" w:cs="宋体"/>
          <w:b/>
          <w:bCs/>
          <w:color w:val="auto"/>
          <w:sz w:val="21"/>
          <w:szCs w:val="21"/>
        </w:rPr>
        <w:t xml:space="preserve">、</w:t>
      </w:r>
      <w:r>
        <w:rPr>
          <w:rFonts w:ascii="宋体" w:hAnsi="宋体" w:eastAsia="宋体" w:cs="宋体"/>
          <w:b/>
          <w:bCs/>
          <w:color w:val="auto"/>
          <w:sz w:val="21"/>
          <w:szCs w:val="21"/>
        </w:rPr>
        <w:t xml:space="preserve">资格证明文件</w:t>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br w:type="page" w:clear="all"/>
      </w:r>
      <w:r>
        <w:rPr>
          <w:rFonts w:ascii="宋体" w:hAnsi="宋体" w:eastAsia="宋体" w:cs="宋体"/>
          <w:b/>
          <w:color w:val="auto"/>
          <w:sz w:val="21"/>
          <w:szCs w:val="21"/>
        </w:rPr>
        <w:t xml:space="preserve">附件十</w:t>
      </w:r>
      <w:r>
        <w:rPr>
          <w:rFonts w:hint="eastAsia" w:ascii="宋体" w:hAnsi="宋体" w:eastAsia="宋体" w:cs="宋体"/>
          <w:b/>
          <w:color w:val="auto"/>
          <w:sz w:val="21"/>
          <w:szCs w:val="21"/>
        </w:rPr>
        <w:t xml:space="preserve">一</w:t>
      </w:r>
      <w:r>
        <w:rPr>
          <w:rFonts w:ascii="宋体" w:hAnsi="宋体" w:eastAsia="宋体" w:cs="宋体"/>
          <w:b/>
          <w:color w:val="auto"/>
          <w:sz w:val="21"/>
          <w:szCs w:val="21"/>
        </w:rPr>
        <w:t xml:space="preserve">、中小企业声明函</w:t>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pStyle w:val="1401"/>
        <w:widowControl/>
        <w:rPr>
          <w:color w:val="auto"/>
          <w:sz w:val="21"/>
          <w:szCs w:val="21"/>
        </w:rPr>
      </w:pPr>
      <w:r>
        <w:rPr>
          <w:color w:val="auto"/>
          <w:sz w:val="21"/>
          <w:szCs w:val="21"/>
        </w:rPr>
        <w:t xml:space="preserve">中小企业声明函（工程、服务）</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本公司（联合体）郑重声明，根据《政府采购促进中小企业发展管理办法》（财库﹝2020﹞46号）的规定，本公司（联合体）参加</w:t>
      </w:r>
      <w:r>
        <w:rPr>
          <w:rFonts w:ascii="Times New Roman" w:hAnsi="Times New Roman" w:eastAsia="宋体" w:cs="Times New Roman"/>
          <w:color w:val="auto"/>
          <w:sz w:val="21"/>
          <w:szCs w:val="21"/>
          <w:u w:val="single"/>
        </w:rPr>
        <w:t xml:space="preserve">（单位名称）</w:t>
      </w:r>
      <w:r>
        <w:rPr>
          <w:rFonts w:ascii="Times New Roman" w:hAnsi="Times New Roman" w:eastAsia="宋体" w:cs="Times New Roman"/>
          <w:color w:val="auto"/>
          <w:sz w:val="21"/>
          <w:szCs w:val="21"/>
        </w:rPr>
        <w:t xml:space="preserve">的</w:t>
      </w:r>
      <w:r>
        <w:rPr>
          <w:rFonts w:ascii="Times New Roman" w:hAnsi="Times New Roman" w:eastAsia="宋体" w:cs="Times New Roman"/>
          <w:color w:val="auto"/>
          <w:sz w:val="21"/>
          <w:szCs w:val="21"/>
          <w:u w:val="single"/>
        </w:rPr>
        <w:t xml:space="preserve">（项目名称）</w:t>
      </w:r>
      <w:r>
        <w:rPr>
          <w:rFonts w:ascii="Times New Roman" w:hAnsi="Times New Roman" w:eastAsia="宋体" w:cs="Times New Roman"/>
          <w:color w:val="auto"/>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40"/>
        <w:numPr>
          <w:ilvl w:val="0"/>
          <w:numId w:val="219"/>
        </w:numPr>
        <w:ind w:left="0" w:firstLine="480"/>
        <w:widowControl/>
        <w:rPr>
          <w:rFonts w:ascii="Times New Roman" w:hAnsi="Times New Roman" w:eastAsia="宋体" w:cs="Times New Roman"/>
          <w:b w:val="0"/>
          <w:color w:val="auto"/>
          <w:sz w:val="21"/>
          <w:szCs w:val="21"/>
          <w:u w:val="single"/>
        </w:rPr>
      </w:pPr>
      <w:r>
        <w:rPr>
          <w:rFonts w:ascii="Times New Roman" w:hAnsi="Times New Roman" w:eastAsia="宋体" w:cs="Times New Roman"/>
          <w:color w:val="auto"/>
          <w:sz w:val="21"/>
          <w:szCs w:val="21"/>
          <w:u w:val="single"/>
        </w:rPr>
        <w:t xml:space="preserve">（标的名称）</w:t>
      </w:r>
      <w:r>
        <w:rPr>
          <w:rFonts w:ascii="Times New Roman" w:hAnsi="Times New Roman" w:eastAsia="宋体" w:cs="Times New Roman"/>
          <w:color w:val="auto"/>
          <w:sz w:val="21"/>
          <w:szCs w:val="21"/>
        </w:rPr>
        <w:t xml:space="preserve">，属于</w:t>
      </w:r>
      <w:r>
        <w:rPr>
          <w:rFonts w:ascii="Times New Roman" w:hAnsi="Times New Roman" w:eastAsia="宋体" w:cs="Times New Roman"/>
          <w:color w:val="auto"/>
          <w:sz w:val="21"/>
          <w:szCs w:val="21"/>
          <w:u w:val="single"/>
        </w:rPr>
        <w:t xml:space="preserve">（采购文件中明确的所属行业）</w:t>
      </w:r>
      <w:r>
        <w:rPr>
          <w:rFonts w:ascii="Times New Roman" w:hAnsi="Times New Roman" w:eastAsia="宋体" w:cs="Times New Roman"/>
          <w:color w:val="auto"/>
          <w:sz w:val="21"/>
          <w:szCs w:val="21"/>
        </w:rPr>
        <w:t xml:space="preserve">；承建（承接）企业为</w:t>
      </w:r>
      <w:r>
        <w:rPr>
          <w:rFonts w:ascii="Times New Roman" w:hAnsi="Times New Roman" w:eastAsia="宋体" w:cs="Times New Roman"/>
          <w:color w:val="auto"/>
          <w:sz w:val="21"/>
          <w:szCs w:val="21"/>
          <w:u w:val="single"/>
        </w:rPr>
        <w:t xml:space="preserve">（企业名称）</w:t>
      </w:r>
      <w:r>
        <w:rPr>
          <w:rFonts w:ascii="Times New Roman" w:hAnsi="Times New Roman" w:eastAsia="宋体" w:cs="Times New Roman"/>
          <w:color w:val="auto"/>
          <w:sz w:val="21"/>
          <w:szCs w:val="21"/>
        </w:rPr>
        <w:t xml:space="preserve">，从业人员</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人，营业收入为</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万元，资产总额为</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万元，属于</w:t>
      </w:r>
      <w:r>
        <w:rPr>
          <w:rFonts w:ascii="Times New Roman" w:hAnsi="Times New Roman" w:eastAsia="宋体" w:cs="Times New Roman"/>
          <w:color w:val="auto"/>
          <w:sz w:val="21"/>
          <w:szCs w:val="21"/>
          <w:u w:val="single"/>
        </w:rPr>
        <w:t xml:space="preserve">（中型企业、小型企业、微型企业）；</w:t>
      </w:r>
      <w:r/>
    </w:p>
    <w:p>
      <w:pPr>
        <w:pStyle w:val="1240"/>
        <w:numPr>
          <w:ilvl w:val="0"/>
          <w:numId w:val="219"/>
        </w:numPr>
        <w:ind w:left="0" w:firstLine="480"/>
        <w:widowControl/>
        <w:rPr>
          <w:rFonts w:ascii="Times New Roman" w:hAnsi="Times New Roman" w:eastAsia="宋体" w:cs="Times New Roman"/>
          <w:b w:val="0"/>
          <w:color w:val="auto"/>
          <w:sz w:val="21"/>
          <w:szCs w:val="21"/>
        </w:rPr>
      </w:pPr>
      <w:r>
        <w:rPr>
          <w:rFonts w:ascii="Times New Roman" w:hAnsi="Times New Roman" w:eastAsia="宋体" w:cs="Times New Roman"/>
          <w:color w:val="auto"/>
          <w:sz w:val="21"/>
          <w:szCs w:val="21"/>
          <w:u w:val="single"/>
        </w:rPr>
        <w:t xml:space="preserve">（标的名称）</w:t>
      </w:r>
      <w:r>
        <w:rPr>
          <w:rFonts w:ascii="Times New Roman" w:hAnsi="Times New Roman" w:eastAsia="宋体" w:cs="Times New Roman"/>
          <w:color w:val="auto"/>
          <w:sz w:val="21"/>
          <w:szCs w:val="21"/>
        </w:rPr>
        <w:t xml:space="preserve">，属于</w:t>
      </w:r>
      <w:r>
        <w:rPr>
          <w:rFonts w:ascii="Times New Roman" w:hAnsi="Times New Roman" w:eastAsia="宋体" w:cs="Times New Roman"/>
          <w:color w:val="auto"/>
          <w:sz w:val="21"/>
          <w:szCs w:val="21"/>
          <w:u w:val="single"/>
        </w:rPr>
        <w:t xml:space="preserve">（采购文件中明确的所属行业）</w:t>
      </w:r>
      <w:r>
        <w:rPr>
          <w:rFonts w:ascii="Times New Roman" w:hAnsi="Times New Roman" w:eastAsia="宋体" w:cs="Times New Roman"/>
          <w:color w:val="auto"/>
          <w:sz w:val="21"/>
          <w:szCs w:val="21"/>
        </w:rPr>
        <w:t xml:space="preserve">；承建（承接）企业为</w:t>
      </w:r>
      <w:r>
        <w:rPr>
          <w:rFonts w:ascii="Times New Roman" w:hAnsi="Times New Roman" w:eastAsia="宋体" w:cs="Times New Roman"/>
          <w:color w:val="auto"/>
          <w:sz w:val="21"/>
          <w:szCs w:val="21"/>
          <w:u w:val="single"/>
        </w:rPr>
        <w:t xml:space="preserve">（企业名称）</w:t>
      </w:r>
      <w:r>
        <w:rPr>
          <w:rFonts w:ascii="Times New Roman" w:hAnsi="Times New Roman" w:eastAsia="宋体" w:cs="Times New Roman"/>
          <w:color w:val="auto"/>
          <w:sz w:val="21"/>
          <w:szCs w:val="21"/>
        </w:rPr>
        <w:t xml:space="preserve">，从业人员</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人，营业收入为</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万元，资产总额为</w:t>
      </w:r>
      <w:r>
        <w:rPr>
          <w:rFonts w:ascii="Times New Roman" w:hAnsi="Times New Roman" w:eastAsia="宋体" w:cs="Times New Roman"/>
          <w:color w:val="auto"/>
          <w:sz w:val="21"/>
          <w:szCs w:val="21"/>
          <w:u w:val="single"/>
        </w:rPr>
        <w:t xml:space="preserve">    </w:t>
      </w:r>
      <w:r>
        <w:rPr>
          <w:rFonts w:ascii="Times New Roman" w:hAnsi="Times New Roman" w:eastAsia="宋体" w:cs="Times New Roman"/>
          <w:color w:val="auto"/>
          <w:sz w:val="21"/>
          <w:szCs w:val="21"/>
        </w:rPr>
        <w:t xml:space="preserve">万元，属于</w:t>
      </w:r>
      <w:r>
        <w:rPr>
          <w:rFonts w:ascii="Times New Roman" w:hAnsi="Times New Roman" w:eastAsia="宋体" w:cs="Times New Roman"/>
          <w:color w:val="auto"/>
          <w:sz w:val="21"/>
          <w:szCs w:val="21"/>
          <w:u w:val="single"/>
        </w:rPr>
        <w:t xml:space="preserve">（中型企业、小型企业、微型企业）</w:t>
      </w:r>
      <w:r>
        <w:rPr>
          <w:rFonts w:ascii="Times New Roman" w:hAnsi="Times New Roman" w:eastAsia="宋体" w:cs="Times New Roman"/>
          <w:color w:val="auto"/>
          <w:sz w:val="21"/>
          <w:szCs w:val="21"/>
        </w:rPr>
        <w:t xml:space="preserve">；</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以上企业，不属于大企业的分支机构，不存在控股股东为大企业的情形，也不存在与大企业的负责人为同一人的情形。</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本企业对上述声明内容的真实性负责。如有虚假，将依法承担相应责任。</w:t>
      </w:r>
      <w:r/>
    </w:p>
    <w:p>
      <w:pPr>
        <w:ind w:firstLine="480"/>
        <w:jc w:val="both"/>
        <w:spacing w:line="360" w:lineRule="auto"/>
        <w:rPr>
          <w:rFonts w:hint="eastAsia" w:cs="宋体"/>
          <w:color w:val="auto"/>
          <w:sz w:val="21"/>
          <w:szCs w:val="21"/>
        </w:rPr>
      </w:pPr>
      <w:r>
        <w:rPr>
          <w:rFonts w:hint="eastAsia" w:cs="宋体"/>
          <w:color w:val="auto"/>
          <w:sz w:val="21"/>
          <w:szCs w:val="21"/>
        </w:rPr>
      </w:r>
      <w:r/>
    </w:p>
    <w:p>
      <w:pPr>
        <w:ind w:firstLine="480"/>
        <w:jc w:val="both"/>
        <w:spacing w:line="360" w:lineRule="auto"/>
        <w:rPr>
          <w:rFonts w:hint="eastAsia" w:cs="宋体"/>
          <w:color w:val="auto"/>
          <w:sz w:val="21"/>
          <w:szCs w:val="21"/>
        </w:rPr>
      </w:pPr>
      <w:r>
        <w:rPr>
          <w:rFonts w:hint="eastAsia" w:cs="宋体"/>
          <w:color w:val="auto"/>
          <w:sz w:val="21"/>
          <w:szCs w:val="21"/>
        </w:rPr>
      </w:r>
      <w:r/>
    </w:p>
    <w:p>
      <w:pPr>
        <w:ind w:right="720"/>
        <w:jc w:val="both"/>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企业名称（盖章）：</w:t>
      </w:r>
      <w:r/>
    </w:p>
    <w:p>
      <w:pPr>
        <w:ind w:right="720"/>
        <w:jc w:val="both"/>
        <w:spacing w:line="360" w:lineRule="auto"/>
        <w:rPr>
          <w:rFonts w:hint="eastAsia" w:cs="宋体"/>
          <w:color w:val="auto"/>
          <w:sz w:val="21"/>
          <w:szCs w:val="21"/>
        </w:rPr>
      </w:pPr>
      <w:r>
        <w:rPr>
          <w:rFonts w:hint="eastAsia" w:cs="宋体"/>
          <w:color w:val="auto"/>
          <w:sz w:val="21"/>
          <w:szCs w:val="21"/>
        </w:rPr>
      </w:r>
      <w:r/>
    </w:p>
    <w:p>
      <w:pPr>
        <w:ind w:right="1920"/>
        <w:jc w:val="both"/>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日</w:t>
      </w:r>
      <w:r>
        <w:rPr>
          <w:rFonts w:ascii="Times New Roman" w:hAnsi="Times New Roman" w:eastAsia="宋体" w:cs="Times New Roman"/>
          <w:color w:val="auto"/>
          <w:sz w:val="21"/>
          <w:szCs w:val="21"/>
        </w:rPr>
        <w:t xml:space="preserve">期：</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注：</w:t>
      </w:r>
      <w:r/>
    </w:p>
    <w:p>
      <w:pPr>
        <w:pStyle w:val="1240"/>
        <w:widowControl/>
        <w:rPr>
          <w:rFonts w:ascii="Times New Roman" w:hAnsi="Times New Roman" w:eastAsia="宋体" w:cs="Times New Roman"/>
          <w:b/>
          <w:color w:val="auto"/>
          <w:sz w:val="21"/>
          <w:szCs w:val="21"/>
        </w:rPr>
      </w:pPr>
      <w:r>
        <w:rPr>
          <w:rFonts w:ascii="Times New Roman" w:hAnsi="Times New Roman" w:eastAsia="宋体" w:cs="Times New Roman"/>
          <w:color w:val="auto"/>
          <w:sz w:val="21"/>
          <w:szCs w:val="21"/>
        </w:rPr>
        <w:t xml:space="preserve">以上内容须填写完整并盖章。</w:t>
      </w:r>
      <w:r/>
    </w:p>
    <w:p>
      <w:pPr>
        <w:pStyle w:val="1255"/>
        <w:shd w:val="clear" w:color="ffffff" w:fill="ffffff"/>
        <w:widowControl/>
        <w:rPr>
          <w:color w:val="auto"/>
          <w:sz w:val="21"/>
          <w:szCs w:val="21"/>
        </w:rPr>
      </w:pPr>
      <w:r>
        <w:rPr>
          <w:color w:val="auto"/>
          <w:sz w:val="21"/>
          <w:szCs w:val="21"/>
        </w:rPr>
        <w:br w:type="page" w:clear="all"/>
      </w:r>
      <w:r>
        <w:rPr>
          <w:color w:val="auto"/>
          <w:sz w:val="21"/>
          <w:szCs w:val="21"/>
        </w:rPr>
        <w:t xml:space="preserve">附件十二、残疾人福利性单位声明函格式（如投标供应商为残疾人福利性单位需提供此函）</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pStyle w:val="1401"/>
        <w:widowControl/>
        <w:rPr>
          <w:color w:val="auto"/>
          <w:sz w:val="21"/>
          <w:szCs w:val="21"/>
        </w:rPr>
      </w:pPr>
      <w:r>
        <w:rPr>
          <w:color w:val="auto"/>
          <w:sz w:val="21"/>
          <w:szCs w:val="21"/>
        </w:rPr>
        <w:t xml:space="preserve">残疾人福利性单位声明函</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本单位对上述声明的真实性负责。如有虚假，将依法承担相应责任。</w:t>
      </w:r>
      <w:r/>
    </w:p>
    <w:p>
      <w:pPr>
        <w:jc w:val="both"/>
        <w:spacing w:before="4"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投标单位（盖章）：</w:t>
      </w:r>
      <w:r>
        <w:rPr>
          <w:rFonts w:ascii="Times New Roman" w:hAnsi="Times New Roman" w:eastAsia="宋体" w:cs="Times New Roman"/>
          <w:color w:val="auto"/>
          <w:sz w:val="21"/>
          <w:szCs w:val="21"/>
          <w:u w:val="single"/>
        </w:rPr>
        <w:t xml:space="preserve">                      </w:t>
      </w:r>
      <w:r/>
    </w:p>
    <w:p>
      <w:pPr>
        <w:jc w:val="both"/>
        <w:spacing w:before="240" w:after="240" w:line="85" w:lineRule="atLeast"/>
        <w:shd w:val="clear" w:color="ffffff" w:fill="ffffff"/>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授权代表（签字）：</w:t>
      </w:r>
      <w:r>
        <w:rPr>
          <w:rFonts w:ascii="Times New Roman" w:hAnsi="Times New Roman" w:eastAsia="宋体" w:cs="Times New Roman"/>
          <w:color w:val="auto"/>
          <w:sz w:val="21"/>
          <w:szCs w:val="21"/>
          <w:u w:val="single"/>
        </w:rPr>
        <w:t xml:space="preserve">                      </w:t>
      </w:r>
      <w:r/>
    </w:p>
    <w:p>
      <w:pPr>
        <w:jc w:val="both"/>
        <w:spacing w:line="85" w:lineRule="atLeast"/>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日期：</w:t>
      </w:r>
      <w:r>
        <w:rPr>
          <w:rFonts w:ascii="Times New Roman" w:hAnsi="Times New Roman" w:eastAsia="宋体" w:cs="Times New Roman"/>
          <w:color w:val="auto"/>
          <w:sz w:val="21"/>
          <w:szCs w:val="21"/>
          <w:u w:val="single"/>
        </w:rPr>
        <w:t xml:space="preserve">             </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jc w:val="both"/>
        <w:spacing w:before="12"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ind w:right="112"/>
        <w:jc w:val="both"/>
        <w:spacing w:after="290"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ind w:right="112"/>
        <w:jc w:val="both"/>
        <w:spacing w:after="290"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pStyle w:val="1255"/>
        <w:widowControl/>
        <w:rPr>
          <w:color w:val="auto"/>
          <w:sz w:val="21"/>
          <w:szCs w:val="21"/>
        </w:rPr>
      </w:pPr>
      <w:r>
        <w:rPr>
          <w:color w:val="auto"/>
          <w:sz w:val="21"/>
          <w:szCs w:val="21"/>
        </w:rPr>
        <w:t xml:space="preserve">附件十三、属于监狱企业的证明文件（如投标供应商为监狱企业需提供相关证明文件）</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提供由省级以上监狱管理局、戒毒管理局（含新疆生产建设兵团）出具的属于监狱企业的证明文件。</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ind w:right="112"/>
        <w:jc w:val="both"/>
        <w:spacing w:before="154" w:after="290"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pStyle w:val="1255"/>
        <w:widowControl/>
        <w:rPr>
          <w:color w:val="auto"/>
          <w:sz w:val="21"/>
          <w:szCs w:val="21"/>
        </w:rPr>
      </w:pPr>
      <w:r>
        <w:rPr>
          <w:color w:val="auto"/>
          <w:sz w:val="21"/>
          <w:szCs w:val="21"/>
        </w:rPr>
        <w:t xml:space="preserve">附件十四、节能产品认证文件（如有需提供）</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以投标供应商提供经国家确定的认证机构出具的、处于有效期之内的节能产品认证证书扫描件为准。</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pStyle w:val="1255"/>
        <w:widowControl/>
        <w:rPr>
          <w:color w:val="auto"/>
          <w:sz w:val="21"/>
          <w:szCs w:val="21"/>
        </w:rPr>
      </w:pPr>
      <w:r>
        <w:rPr>
          <w:color w:val="auto"/>
          <w:sz w:val="21"/>
          <w:szCs w:val="21"/>
        </w:rPr>
        <w:t xml:space="preserve">附件十五、环境标志产品认证文件（如有需提供）</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以投标供应商提供经国家确定的认证机构出具的、处于有效期之内的环境标志产品认证证书扫描件为准。</w:t>
      </w:r>
      <w:r/>
    </w:p>
    <w:p>
      <w:pPr>
        <w:jc w:val="both"/>
        <w:spacing w:line="85"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 </w:t>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br w:type="page" w:clear="all"/>
      </w:r>
      <w:r/>
    </w:p>
    <w:p>
      <w:pPr>
        <w:pStyle w:val="1255"/>
        <w:widowControl/>
        <w:rPr>
          <w:color w:val="auto"/>
          <w:sz w:val="21"/>
          <w:szCs w:val="21"/>
        </w:rPr>
      </w:pPr>
      <w:r>
        <w:rPr>
          <w:color w:val="auto"/>
          <w:sz w:val="21"/>
          <w:szCs w:val="21"/>
        </w:rPr>
        <w:t xml:space="preserve">附件十六、其他</w:t>
      </w:r>
      <w:r/>
    </w:p>
    <w:p>
      <w:pPr>
        <w:ind w:right="633"/>
        <w:jc w:val="both"/>
        <w:spacing w:line="85" w:lineRule="atLeast"/>
        <w:shd w:val="clear" w:color="ffffff" w:fill="ffffff"/>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（各投标供应商根据采购文件规定的打分细则对应提供相关证明材料等，格式自拟）</w:t>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jc w:val="both"/>
        <w:spacing w:line="85" w:lineRule="atLeast"/>
        <w:rPr>
          <w:rFonts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r>
      <w:r/>
    </w:p>
    <w:p>
      <w:pPr>
        <w:pStyle w:val="1255"/>
        <w:widowControl/>
        <w:rPr>
          <w:color w:val="auto"/>
          <w:sz w:val="21"/>
          <w:szCs w:val="21"/>
        </w:rPr>
      </w:pPr>
      <w:r>
        <w:rPr>
          <w:color w:val="auto"/>
          <w:sz w:val="21"/>
          <w:szCs w:val="21"/>
        </w:rPr>
        <w:t xml:space="preserve">附件十七、技术部分</w:t>
      </w:r>
      <w:r/>
    </w:p>
    <w:p>
      <w:pPr>
        <w:pStyle w:val="1240"/>
        <w:widowControl/>
        <w:rPr>
          <w:rFonts w:ascii="Times New Roman" w:hAnsi="Times New Roman" w:eastAsia="宋体" w:cs="Times New Roman"/>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1"/>
        </w:rPr>
        <w:t xml:space="preserve">（技术部分应根据采购人对项目的要求、评标标准的要求及项目本身的特点编写）</w:t>
      </w:r>
      <w:r/>
    </w:p>
    <w:p>
      <w:pPr>
        <w:ind w:right="633"/>
        <w:jc w:val="both"/>
        <w:spacing w:before="240" w:after="240" w:line="85" w:lineRule="atLeast"/>
        <w:shd w:val="clear" w:color="ffffff" w:fill="ffffff"/>
        <w:rPr>
          <w:color w:val="auto"/>
          <w:sz w:val="21"/>
          <w:szCs w:val="21"/>
        </w:rPr>
        <w:pBdr>
          <w:top w:val="none" w:color="000000" w:sz="0" w:space="0"/>
          <w:left w:val="none" w:color="000000" w:sz="0" w:space="0"/>
          <w:bottom w:val="none" w:color="000000" w:sz="0" w:space="0"/>
          <w:right w:val="none" w:color="000000" w:sz="0" w:space="0"/>
        </w:pBdr>
      </w:pPr>
      <w:r>
        <w:rPr>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50"/>
        <w:ind w:left="0" w:right="1470"/>
        <w:jc w:val="both"/>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255"/>
        <w:widowControl/>
        <w:rPr>
          <w:color w:val="auto"/>
          <w:sz w:val="21"/>
          <w:szCs w:val="21"/>
        </w:rPr>
      </w:pPr>
      <w:r>
        <w:rPr>
          <w:color w:val="auto"/>
          <w:sz w:val="21"/>
          <w:szCs w:val="21"/>
        </w:rPr>
        <w:t xml:space="preserve">附件十八、相关承诺</w:t>
      </w:r>
      <w:r/>
    </w:p>
    <w:p>
      <w:pPr>
        <w:pStyle w:val="1240"/>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（该部分各投标供应商根据采购文件要求提供，格式自拟）</w:t>
      </w:r>
      <w:r/>
    </w:p>
    <w:p>
      <w:pPr>
        <w:pStyle w:val="1350"/>
        <w:ind w:left="0" w:right="1470"/>
        <w:jc w:val="both"/>
        <w:rPr>
          <w:rFonts w:hint="eastAsia" w:ascii="宋体" w:hAnsi="宋体" w:eastAsia="宋体" w:cs="宋体"/>
          <w:b/>
          <w:color w:val="auto"/>
        </w:rPr>
      </w:pPr>
      <w:r>
        <w:rPr>
          <w:rFonts w:hint="eastAsia" w:ascii="宋体" w:hAnsi="宋体" w:eastAsia="宋体" w:cs="宋体"/>
          <w:b/>
          <w:color w:val="auto"/>
        </w:rPr>
      </w:r>
      <w:r/>
    </w:p>
    <w:p>
      <w:pPr>
        <w:pStyle w:val="1350"/>
        <w:ind w:left="0" w:right="1470"/>
        <w:jc w:val="both"/>
        <w:rPr>
          <w:rFonts w:hint="eastAsia" w:ascii="宋体" w:hAnsi="宋体" w:eastAsia="宋体" w:cs="宋体"/>
          <w:b/>
          <w:color w:val="auto"/>
        </w:rPr>
      </w:pPr>
      <w:r>
        <w:rPr>
          <w:rFonts w:hint="eastAsia" w:ascii="宋体" w:hAnsi="宋体" w:eastAsia="宋体" w:cs="宋体"/>
          <w:b/>
          <w:color w:val="auto"/>
        </w:rPr>
      </w:r>
      <w:r/>
    </w:p>
    <w:p>
      <w:pPr>
        <w:pStyle w:val="1350"/>
        <w:ind w:left="0" w:right="1470"/>
        <w:jc w:val="both"/>
        <w:rPr>
          <w:rFonts w:hint="eastAsia" w:ascii="宋体" w:hAnsi="宋体" w:eastAsia="宋体" w:cs="宋体"/>
          <w:b/>
          <w:color w:val="auto"/>
        </w:rPr>
      </w:pPr>
      <w:r>
        <w:rPr>
          <w:rFonts w:hint="eastAsia" w:ascii="宋体" w:hAnsi="宋体" w:eastAsia="宋体" w:cs="宋体"/>
          <w:b/>
          <w:color w:val="auto"/>
        </w:rPr>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ind w:firstLine="360"/>
      <w:tabs>
        <w:tab w:val="center" w:pos="4153" w:leader="none"/>
        <w:tab w:val="right" w:pos="8306" w:leader="none"/>
      </w:tabs>
      <w:rPr>
        <w:rStyle w:val="1311"/>
      </w:rPr>
      <w:framePr w:wrap="around" w:vAnchor="text" w:hAnchor="margin" w:xAlign="center" w:y="1"/>
    </w:pPr>
    <w:r>
      <w:fldChar w:fldCharType="begin"/>
    </w:r>
    <w:r>
      <w:rPr>
        <w:rStyle w:val="1311"/>
      </w:rPr>
      <w:instrText xml:space="preserve">PAGE  </w:instrText>
    </w:r>
    <w:r>
      <w:fldChar w:fldCharType="separate"/>
    </w:r>
    <w:r>
      <w:rPr>
        <w:rStyle w:val="1311"/>
      </w:rPr>
      <w:t xml:space="preserve">33</w:t>
    </w:r>
    <w:r>
      <w:fldChar w:fldCharType="end"/>
    </w:r>
    <w:r/>
  </w:p>
  <w:p>
    <w:pPr>
      <w:pStyle w:val="1291"/>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ind w:firstLine="360"/>
      <w:tabs>
        <w:tab w:val="center" w:pos="4153" w:leader="none"/>
        <w:tab w:val="right" w:pos="8306" w:leader="none"/>
      </w:tabs>
      <w:rPr>
        <w:rStyle w:val="1311"/>
      </w:rPr>
      <w:framePr w:wrap="around" w:vAnchor="text" w:hAnchor="margin" w:xAlign="center" w:y="1"/>
    </w:pPr>
    <w:r>
      <w:fldChar w:fldCharType="begin"/>
    </w:r>
    <w:r>
      <w:rPr>
        <w:rStyle w:val="1311"/>
      </w:rPr>
      <w:instrText xml:space="preserve">PAGE  </w:instrText>
    </w:r>
    <w:r>
      <w:fldChar w:fldCharType="end"/>
    </w:r>
    <w:r/>
  </w:p>
  <w:p>
    <w:pPr>
      <w:pStyle w:val="129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8"/>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8"/>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rPr>
                              <w:lang w:eastAsia="zh-CN"/>
                            </w:rPr>
                          </w:pPr>
                          <w:r>
                            <w:rPr>
                              <w:lang w:eastAsia="zh-CN"/>
                            </w:rPr>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rPr>
                        <w:lang w:eastAsia="zh-CN"/>
                      </w:rPr>
                    </w:pPr>
                    <w:r>
                      <w:rPr>
                        <w:lang w:eastAsia="zh-CN"/>
                      </w:r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p>
                    <w:r/>
                    <w:r/>
                  </w:p>
                  <w:p>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9.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0.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3.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6.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space"/>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3.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1.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0.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7"/>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2"/>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7.%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3.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2.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EnclosedCircleChinese"/>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33"/>
      <w:numFmt w:val="chineseCounting"/>
      <w:isLgl w:val="false"/>
      <w:suff w:val="space"/>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22.2.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7"/>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24"/>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chineseCounting"/>
      <w:isLgl w:val="false"/>
      <w:suff w:val="space"/>
      <w:lvlText w:val="第%1部分"/>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space"/>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space"/>
      <w:lvlText w:val="3.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7"/>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space"/>
      <w:lvlText w:val="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EnclosedCircleChinese"/>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space"/>
      <w:lvlText w:val="1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space"/>
      <w:lvlText w:val="1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space"/>
      <w:lvlText w:val="6.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nothing"/>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space"/>
      <w:lvlText w:val="1.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0"/>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3"/>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space"/>
      <w:lvlText w:val="1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space"/>
      <w:lvlText w:val="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space"/>
      <w:lvlText w:val="2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space"/>
      <w:lvlText w:val="10.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space"/>
      <w:lvlText w:val="1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space"/>
      <w:lvlText w:val="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0"/>
      <w:numFmt w:val="decimal"/>
      <w:isLgl w:val="false"/>
      <w:suff w:val="tab"/>
      <w:lvlText w:val=""/>
      <w:lvlJc w:val="left"/>
      <w:pPr>
        <w:tabs>
          <w:tab w:val="left" w:pos="360" w:leader="none"/>
        </w:tabs>
      </w:pPr>
    </w:lvl>
    <w:lvl w:ilvl="1">
      <w:start w:val="1"/>
      <w:numFmt w:val="decimal"/>
      <w:isLgl w:val="false"/>
      <w:suff w:val="nothing"/>
      <w:lvlText w:val="%1%2　"/>
      <w:lvlJc w:val="left"/>
      <w:pPr>
        <w:ind w:left="0" w:firstLine="0"/>
      </w:pPr>
      <w:rPr>
        <w:rFonts w:hint="eastAsia" w:ascii="Tahoma" w:hAnsi="Tahoma" w:eastAsia="Tahoma"/>
        <w:b/>
        <w:i w:val="0"/>
        <w:sz w:val="21"/>
      </w:rPr>
    </w:lvl>
    <w:lvl w:ilvl="2">
      <w:start w:val="1"/>
      <w:numFmt w:val="decimal"/>
      <w:pStyle w:val="1400"/>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space"/>
      <w:lvlText w:val="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space"/>
      <w:lvlText w:val="7.5.%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space"/>
      <w:lvlText w:val="16.%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
      <w:isLgl w:val="false"/>
      <w:suff w:val="space"/>
      <w:lvlText w:val="7.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space"/>
      <w:lvlText w:val="15.%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space"/>
      <w:lvlText w:val="16.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EnclosedCircleChinese"/>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2">
    <w:multiLevelType w:val="hybridMultilevel"/>
    <w:lvl w:ilvl="0">
      <w:start w:val="1"/>
      <w:numFmt w:val="decimal"/>
      <w:isLgl w:val="false"/>
      <w:suff w:val="space"/>
      <w:lvlText w:val="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6">
    <w:multiLevelType w:val="hybridMultilevel"/>
    <w:lvl w:ilvl="0">
      <w:start w:val="1"/>
      <w:numFmt w:val="decimal"/>
      <w:isLgl w:val="false"/>
      <w:suff w:val="space"/>
      <w:lvlText w:val="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7">
    <w:multiLevelType w:val="hybridMultilevel"/>
    <w:lvl w:ilvl="0">
      <w:start w:val="1"/>
      <w:numFmt w:val="decimal"/>
      <w:isLgl w:val="false"/>
      <w:suff w:val="space"/>
      <w:lvlText w:val="1.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8">
    <w:multiLevelType w:val="hybridMultilevel"/>
    <w:lvl w:ilvl="0">
      <w:start w:val="1"/>
      <w:numFmt w:val="decimal"/>
      <w:isLgl w:val="false"/>
      <w:suff w:val="space"/>
      <w:lvlText w:val="20.%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9">
    <w:multiLevelType w:val="hybridMultilevel"/>
    <w:lvl w:ilvl="0">
      <w:start w:val="1"/>
      <w:numFmt w:val="decimal"/>
      <w:isLgl w:val="false"/>
      <w:suff w:val="space"/>
      <w:lvlText w:val="1.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4">
    <w:multiLevelType w:val="hybridMultilevel"/>
    <w:lvl w:ilvl="0">
      <w:start w:val="2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5">
    <w:multiLevelType w:val="hybridMultilevel"/>
    <w:lvl w:ilvl="0">
      <w:start w:val="1"/>
      <w:numFmt w:val="decimal"/>
      <w:isLgl w:val="false"/>
      <w:suff w:val="space"/>
      <w:lvlText w:val="18.%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6">
    <w:multiLevelType w:val="hybridMultilevel"/>
    <w:lvl w:ilvl="0">
      <w:start w:val="1"/>
      <w:numFmt w:val="decimal"/>
      <w:isLgl w:val="false"/>
      <w:suff w:val="nothing"/>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9">
    <w:multiLevelType w:val="hybridMultilevel"/>
    <w:lvl w:ilvl="0">
      <w:start w:val="1"/>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1">
    <w:multiLevelType w:val="hybridMultilevel"/>
    <w:lvl w:ilvl="0">
      <w:start w:val="1"/>
      <w:numFmt w:val="decimal"/>
      <w:isLgl w:val="false"/>
      <w:suff w:val="space"/>
      <w:lvlText w:val="15.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2">
    <w:multiLevelType w:val="hybridMultilevel"/>
    <w:lvl w:ilvl="0">
      <w:start w:val="1"/>
      <w:numFmt w:val="decimal"/>
      <w:isLgl w:val="false"/>
      <w:suff w:val="space"/>
      <w:lvlText w:val="10.%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3">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6">
    <w:multiLevelType w:val="hybridMultilevel"/>
    <w:lvl w:ilvl="0">
      <w:start w:val="1"/>
      <w:numFmt w:val="decimal"/>
      <w:isLgl w:val="false"/>
      <w:suff w:val="space"/>
      <w:lvlText w:val="1.1.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7">
    <w:multiLevelType w:val="hybridMultilevel"/>
    <w:lvl w:ilvl="0">
      <w:start w:val="1"/>
      <w:numFmt w:val="decimal"/>
      <w:isLgl w:val="false"/>
      <w:suff w:val="space"/>
      <w:lvlText w:val="2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8">
    <w:multiLevelType w:val="hybridMultilevel"/>
    <w:lvl w:ilvl="0">
      <w:start w:val="1"/>
      <w:numFmt w:val="decimal"/>
      <w:isLgl w:val="false"/>
      <w:suff w:val="space"/>
      <w:lvlText w:val="1.5.%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0">
    <w:multiLevelType w:val="hybridMultilevel"/>
    <w:lvl w:ilvl="0">
      <w:start w:val="1"/>
      <w:numFmt w:val="decimal"/>
      <w:isLgl w:val="false"/>
      <w:suff w:val="space"/>
      <w:lvlText w:val="2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1">
    <w:multiLevelType w:val="hybridMultilevel"/>
    <w:lvl w:ilvl="0">
      <w:start w:val="27"/>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2">
    <w:multiLevelType w:val="hybridMultilevel"/>
    <w:lvl w:ilvl="0">
      <w:start w:val="1"/>
      <w:numFmt w:val="lowerLetter"/>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3">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4">
    <w:multiLevelType w:val="hybridMultilevel"/>
    <w:lvl w:ilvl="0">
      <w:start w:val="1"/>
      <w:numFmt w:val="decimal"/>
      <w:isLgl w:val="false"/>
      <w:suff w:val="space"/>
      <w:lvlText w:val="19.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6">
    <w:multiLevelType w:val="hybridMultilevel"/>
    <w:lvl w:ilvl="0">
      <w:start w:val="1"/>
      <w:numFmt w:val="decimal"/>
      <w:isLgl w:val="false"/>
      <w:suff w:val="space"/>
      <w:lvlText w:val="5.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7">
    <w:multiLevelType w:val="hybridMultilevel"/>
    <w:lvl w:ilvl="0">
      <w:start w:val="1"/>
      <w:numFmt w:val="decimal"/>
      <w:isLgl w:val="false"/>
      <w:suff w:val="space"/>
      <w:lvlText w:val="3.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9">
    <w:multiLevelType w:val="hybridMultilevel"/>
    <w:lvl w:ilvl="0">
      <w:start w:val="14"/>
      <w:numFmt w:val="chineseCounting"/>
      <w:isLgl w:val="false"/>
      <w:suff w:val="space"/>
      <w:lvlText w:val="第%1条"/>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0">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3">
    <w:multiLevelType w:val="hybridMultilevel"/>
    <w:lvl w:ilvl="0">
      <w:start w:val="2"/>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6">
    <w:multiLevelType w:val="hybridMultilevel"/>
    <w:lvl w:ilvl="0">
      <w:start w:val="1"/>
      <w:numFmt w:val="decimal"/>
      <w:isLgl w:val="false"/>
      <w:suff w:val="space"/>
      <w:lvlText w:val="14.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9">
    <w:multiLevelType w:val="hybridMultilevel"/>
    <w:lvl w:ilvl="0">
      <w:start w:val="1"/>
      <w:numFmt w:val="decimal"/>
      <w:isLgl w:val="false"/>
      <w:suff w:val="space"/>
      <w:lvlText w:val="15.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0">
    <w:multiLevelType w:val="hybridMultilevel"/>
    <w:lvl w:ilvl="0">
      <w:start w:val="1"/>
      <w:numFmt w:val="decimal"/>
      <w:isLgl w:val="false"/>
      <w:suff w:val="space"/>
      <w:lvlText w:val="8.%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2">
    <w:multiLevelType w:val="hybridMultilevel"/>
    <w:lvl w:ilvl="0">
      <w:start w:val="7"/>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4">
    <w:multiLevelType w:val="hybridMultilevel"/>
    <w:lvl w:ilvl="0">
      <w:start w:val="1"/>
      <w:numFmt w:val="decimal"/>
      <w:isLgl w:val="false"/>
      <w:suff w:val="space"/>
      <w:lvlText w:val="1.1.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5">
    <w:multiLevelType w:val="hybridMultilevel"/>
    <w:lvl w:ilvl="0">
      <w:start w:val="1"/>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6">
    <w:multiLevelType w:val="hybridMultilevel"/>
    <w:lvl w:ilvl="0">
      <w:start w:val="1"/>
      <w:numFmt w:val="decimal"/>
      <w:isLgl w:val="false"/>
      <w:suff w:val="nothing"/>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8">
    <w:multiLevelType w:val="hybridMultilevel"/>
    <w:lvl w:ilvl="0">
      <w:start w:val="1"/>
      <w:numFmt w:val="decimal"/>
      <w:isLgl w:val="false"/>
      <w:suff w:val="space"/>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1">
    <w:multiLevelType w:val="hybridMultilevel"/>
    <w:lvl w:ilvl="0">
      <w:start w:val="1"/>
      <w:numFmt w:val="decimal"/>
      <w:isLgl w:val="false"/>
      <w:suff w:val="space"/>
      <w:lvlText w:val="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2">
    <w:multiLevelType w:val="hybridMultilevel"/>
    <w:lvl w:ilvl="0">
      <w:start w:val="1"/>
      <w:numFmt w:val="decimalEnclosedCircleChinese"/>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4">
    <w:multiLevelType w:val="hybridMultilevel"/>
    <w:lvl w:ilvl="0">
      <w:start w:val="1"/>
      <w:numFmt w:val="decimalEnclosedCircleChinese"/>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5">
    <w:multiLevelType w:val="hybridMultilevel"/>
    <w:lvl w:ilvl="0">
      <w:start w:val="1"/>
      <w:numFmt w:val="decimal"/>
      <w:isLgl w:val="false"/>
      <w:suff w:val="space"/>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6">
    <w:multiLevelType w:val="hybridMultilevel"/>
    <w:lvl w:ilvl="0">
      <w:start w:val="1"/>
      <w:numFmt w:val="decimalEnclosedCircleChinese"/>
      <w:isLgl w:val="false"/>
      <w:suff w:val="space"/>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0">
    <w:multiLevelType w:val="hybridMultilevel"/>
    <w:lvl w:ilvl="0">
      <w:start w:val="1"/>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1">
    <w:multiLevelType w:val="hybridMultilevel"/>
    <w:lvl w:ilvl="0">
      <w:start w:val="1"/>
      <w:numFmt w:val="decimal"/>
      <w:isLgl w:val="false"/>
      <w:suff w:val="space"/>
      <w:lvlText w:val="7.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3">
    <w:multiLevelType w:val="hybridMultilevel"/>
    <w:lvl w:ilvl="0">
      <w:start w:val="1"/>
      <w:numFmt w:val="decimal"/>
      <w:isLgl w:val="false"/>
      <w:suff w:val="space"/>
      <w:lvlText w:val="17.%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4">
    <w:multiLevelType w:val="hybridMultilevel"/>
    <w:lvl w:ilvl="0">
      <w:start w:val="1"/>
      <w:numFmt w:val="decimal"/>
      <w:isLgl w:val="false"/>
      <w:suff w:val="space"/>
      <w:lvlText w:val="5.%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6">
    <w:multiLevelType w:val="hybridMultilevel"/>
    <w:lvl w:ilvl="0">
      <w:start w:val="1"/>
      <w:numFmt w:val="decimal"/>
      <w:isLgl w:val="false"/>
      <w:suff w:val="space"/>
      <w:lvlText w:val="7.%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7">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8">
    <w:multiLevelType w:val="hybridMultilevel"/>
    <w:lvl w:ilvl="0">
      <w:start w:val="1"/>
      <w:numFmt w:val="decimal"/>
      <w:isLgl w:val="false"/>
      <w:suff w:val="space"/>
      <w:lvlText w:val="第%1种"/>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1">
    <w:multiLevelType w:val="hybridMultilevel"/>
    <w:lvl w:ilvl="0">
      <w:start w:val="1"/>
      <w:numFmt w:val="decimal"/>
      <w:isLgl w:val="false"/>
      <w:suff w:val="space"/>
      <w:lvlText w:val="9.%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3">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6">
    <w:multiLevelType w:val="hybridMultilevel"/>
    <w:lvl w:ilvl="0">
      <w:start w:val="5"/>
      <w:numFmt w:val="lowerLetter"/>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7">
    <w:multiLevelType w:val="hybridMultilevel"/>
    <w:lvl w:ilvl="0">
      <w:start w:val="1"/>
      <w:numFmt w:val="decimal"/>
      <w:isLgl w:val="false"/>
      <w:suff w:val="space"/>
      <w:lvlText w:val="12.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8">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4"/>
  </w:num>
  <w:num w:numId="2">
    <w:abstractNumId w:val="63"/>
  </w:num>
  <w:num w:numId="3">
    <w:abstractNumId w:val="171"/>
  </w:num>
  <w:num w:numId="4">
    <w:abstractNumId w:val="110"/>
  </w:num>
  <w:num w:numId="5">
    <w:abstractNumId w:val="191"/>
  </w:num>
  <w:num w:numId="6">
    <w:abstractNumId w:val="93"/>
  </w:num>
  <w:num w:numId="7">
    <w:abstractNumId w:val="111"/>
  </w:num>
  <w:num w:numId="8">
    <w:abstractNumId w:val="202"/>
  </w:num>
  <w:num w:numId="9">
    <w:abstractNumId w:val="47"/>
  </w:num>
  <w:num w:numId="10">
    <w:abstractNumId w:val="142"/>
  </w:num>
  <w:num w:numId="11">
    <w:abstractNumId w:val="165"/>
  </w:num>
  <w:num w:numId="12">
    <w:abstractNumId w:val="206"/>
  </w:num>
  <w:num w:numId="13">
    <w:abstractNumId w:val="42"/>
  </w:num>
  <w:num w:numId="14">
    <w:abstractNumId w:val="175"/>
  </w:num>
  <w:num w:numId="15">
    <w:abstractNumId w:val="103"/>
  </w:num>
  <w:num w:numId="16">
    <w:abstractNumId w:val="2"/>
  </w:num>
  <w:num w:numId="17">
    <w:abstractNumId w:val="101"/>
  </w:num>
  <w:num w:numId="18">
    <w:abstractNumId w:val="177"/>
  </w:num>
  <w:num w:numId="19">
    <w:abstractNumId w:val="112"/>
  </w:num>
  <w:num w:numId="20">
    <w:abstractNumId w:val="15"/>
  </w:num>
  <w:num w:numId="21">
    <w:abstractNumId w:val="105"/>
  </w:num>
  <w:num w:numId="22">
    <w:abstractNumId w:val="36"/>
  </w:num>
  <w:num w:numId="23">
    <w:abstractNumId w:val="136"/>
  </w:num>
  <w:num w:numId="24">
    <w:abstractNumId w:val="218"/>
  </w:num>
  <w:num w:numId="25">
    <w:abstractNumId w:val="181"/>
  </w:num>
  <w:num w:numId="26">
    <w:abstractNumId w:val="70"/>
  </w:num>
  <w:num w:numId="27">
    <w:abstractNumId w:val="153"/>
  </w:num>
  <w:num w:numId="28">
    <w:abstractNumId w:val="195"/>
  </w:num>
  <w:num w:numId="29">
    <w:abstractNumId w:val="75"/>
  </w:num>
  <w:num w:numId="30">
    <w:abstractNumId w:val="69"/>
  </w:num>
  <w:num w:numId="31">
    <w:abstractNumId w:val="164"/>
  </w:num>
  <w:num w:numId="32">
    <w:abstractNumId w:val="99"/>
  </w:num>
  <w:num w:numId="33">
    <w:abstractNumId w:val="7"/>
  </w:num>
  <w:num w:numId="34">
    <w:abstractNumId w:val="144"/>
  </w:num>
  <w:num w:numId="35">
    <w:abstractNumId w:val="19"/>
  </w:num>
  <w:num w:numId="36">
    <w:abstractNumId w:val="134"/>
  </w:num>
  <w:num w:numId="37">
    <w:abstractNumId w:val="160"/>
  </w:num>
  <w:num w:numId="38">
    <w:abstractNumId w:val="27"/>
  </w:num>
  <w:num w:numId="39">
    <w:abstractNumId w:val="43"/>
  </w:num>
  <w:num w:numId="40">
    <w:abstractNumId w:val="9"/>
  </w:num>
  <w:num w:numId="41">
    <w:abstractNumId w:val="48"/>
  </w:num>
  <w:num w:numId="42">
    <w:abstractNumId w:val="25"/>
  </w:num>
  <w:num w:numId="43">
    <w:abstractNumId w:val="106"/>
  </w:num>
  <w:num w:numId="44">
    <w:abstractNumId w:val="207"/>
  </w:num>
  <w:num w:numId="45">
    <w:abstractNumId w:val="66"/>
  </w:num>
  <w:num w:numId="46">
    <w:abstractNumId w:val="18"/>
  </w:num>
  <w:num w:numId="47">
    <w:abstractNumId w:val="113"/>
  </w:num>
  <w:num w:numId="48">
    <w:abstractNumId w:val="161"/>
  </w:num>
  <w:num w:numId="49">
    <w:abstractNumId w:val="157"/>
  </w:num>
  <w:num w:numId="50">
    <w:abstractNumId w:val="51"/>
  </w:num>
  <w:num w:numId="51">
    <w:abstractNumId w:val="44"/>
  </w:num>
  <w:num w:numId="52">
    <w:abstractNumId w:val="189"/>
  </w:num>
  <w:num w:numId="53">
    <w:abstractNumId w:val="125"/>
  </w:num>
  <w:num w:numId="54">
    <w:abstractNumId w:val="188"/>
  </w:num>
  <w:num w:numId="55">
    <w:abstractNumId w:val="205"/>
  </w:num>
  <w:num w:numId="56">
    <w:abstractNumId w:val="84"/>
  </w:num>
  <w:num w:numId="57">
    <w:abstractNumId w:val="74"/>
  </w:num>
  <w:num w:numId="58">
    <w:abstractNumId w:val="29"/>
  </w:num>
  <w:num w:numId="59">
    <w:abstractNumId w:val="197"/>
  </w:num>
  <w:num w:numId="60">
    <w:abstractNumId w:val="209"/>
  </w:num>
  <w:num w:numId="61">
    <w:abstractNumId w:val="133"/>
  </w:num>
  <w:num w:numId="62">
    <w:abstractNumId w:val="37"/>
  </w:num>
  <w:num w:numId="63">
    <w:abstractNumId w:val="31"/>
  </w:num>
  <w:num w:numId="64">
    <w:abstractNumId w:val="131"/>
  </w:num>
  <w:num w:numId="65">
    <w:abstractNumId w:val="174"/>
  </w:num>
  <w:num w:numId="66">
    <w:abstractNumId w:val="71"/>
  </w:num>
  <w:num w:numId="67">
    <w:abstractNumId w:val="4"/>
  </w:num>
  <w:num w:numId="68">
    <w:abstractNumId w:val="192"/>
  </w:num>
  <w:num w:numId="69">
    <w:abstractNumId w:val="32"/>
  </w:num>
  <w:num w:numId="70">
    <w:abstractNumId w:val="194"/>
  </w:num>
  <w:num w:numId="71">
    <w:abstractNumId w:val="78"/>
  </w:num>
  <w:num w:numId="72">
    <w:abstractNumId w:val="45"/>
  </w:num>
  <w:num w:numId="73">
    <w:abstractNumId w:val="127"/>
  </w:num>
  <w:num w:numId="74">
    <w:abstractNumId w:val="186"/>
  </w:num>
  <w:num w:numId="75">
    <w:abstractNumId w:val="104"/>
  </w:num>
  <w:num w:numId="76">
    <w:abstractNumId w:val="3"/>
  </w:num>
  <w:num w:numId="77">
    <w:abstractNumId w:val="50"/>
  </w:num>
  <w:num w:numId="78">
    <w:abstractNumId w:val="6"/>
  </w:num>
  <w:num w:numId="79">
    <w:abstractNumId w:val="139"/>
  </w:num>
  <w:num w:numId="80">
    <w:abstractNumId w:val="187"/>
  </w:num>
  <w:num w:numId="81">
    <w:abstractNumId w:val="60"/>
  </w:num>
  <w:num w:numId="82">
    <w:abstractNumId w:val="62"/>
  </w:num>
  <w:num w:numId="83">
    <w:abstractNumId w:val="146"/>
  </w:num>
  <w:num w:numId="84">
    <w:abstractNumId w:val="210"/>
  </w:num>
  <w:num w:numId="85">
    <w:abstractNumId w:val="196"/>
  </w:num>
  <w:num w:numId="86">
    <w:abstractNumId w:val="89"/>
  </w:num>
  <w:num w:numId="87">
    <w:abstractNumId w:val="1"/>
  </w:num>
  <w:num w:numId="88">
    <w:abstractNumId w:val="86"/>
  </w:num>
  <w:num w:numId="89">
    <w:abstractNumId w:val="67"/>
  </w:num>
  <w:num w:numId="90">
    <w:abstractNumId w:val="149"/>
  </w:num>
  <w:num w:numId="91">
    <w:abstractNumId w:val="95"/>
  </w:num>
  <w:num w:numId="92">
    <w:abstractNumId w:val="98"/>
  </w:num>
  <w:num w:numId="93">
    <w:abstractNumId w:val="185"/>
  </w:num>
  <w:num w:numId="94">
    <w:abstractNumId w:val="200"/>
  </w:num>
  <w:num w:numId="95">
    <w:abstractNumId w:val="123"/>
  </w:num>
  <w:num w:numId="96">
    <w:abstractNumId w:val="216"/>
  </w:num>
  <w:num w:numId="97">
    <w:abstractNumId w:val="182"/>
  </w:num>
  <w:num w:numId="98">
    <w:abstractNumId w:val="190"/>
  </w:num>
  <w:num w:numId="99">
    <w:abstractNumId w:val="26"/>
  </w:num>
  <w:num w:numId="100">
    <w:abstractNumId w:val="155"/>
  </w:num>
  <w:num w:numId="101">
    <w:abstractNumId w:val="211"/>
  </w:num>
  <w:num w:numId="102">
    <w:abstractNumId w:val="12"/>
  </w:num>
  <w:num w:numId="103">
    <w:abstractNumId w:val="22"/>
  </w:num>
  <w:num w:numId="104">
    <w:abstractNumId w:val="56"/>
  </w:num>
  <w:num w:numId="105">
    <w:abstractNumId w:val="85"/>
  </w:num>
  <w:num w:numId="106">
    <w:abstractNumId w:val="81"/>
  </w:num>
  <w:num w:numId="107">
    <w:abstractNumId w:val="57"/>
  </w:num>
  <w:num w:numId="108">
    <w:abstractNumId w:val="53"/>
  </w:num>
  <w:num w:numId="109">
    <w:abstractNumId w:val="172"/>
  </w:num>
  <w:num w:numId="110">
    <w:abstractNumId w:val="77"/>
  </w:num>
  <w:num w:numId="111">
    <w:abstractNumId w:val="173"/>
  </w:num>
  <w:num w:numId="112">
    <w:abstractNumId w:val="97"/>
  </w:num>
  <w:num w:numId="113">
    <w:abstractNumId w:val="0"/>
  </w:num>
  <w:num w:numId="114">
    <w:abstractNumId w:val="135"/>
  </w:num>
  <w:num w:numId="115">
    <w:abstractNumId w:val="87"/>
  </w:num>
  <w:num w:numId="116">
    <w:abstractNumId w:val="163"/>
  </w:num>
  <w:num w:numId="117">
    <w:abstractNumId w:val="76"/>
  </w:num>
  <w:num w:numId="118">
    <w:abstractNumId w:val="17"/>
  </w:num>
  <w:num w:numId="119">
    <w:abstractNumId w:val="184"/>
  </w:num>
  <w:num w:numId="120">
    <w:abstractNumId w:val="156"/>
  </w:num>
  <w:num w:numId="121">
    <w:abstractNumId w:val="23"/>
  </w:num>
  <w:num w:numId="122">
    <w:abstractNumId w:val="158"/>
  </w:num>
  <w:num w:numId="123">
    <w:abstractNumId w:val="90"/>
  </w:num>
  <w:num w:numId="124">
    <w:abstractNumId w:val="137"/>
  </w:num>
  <w:num w:numId="125">
    <w:abstractNumId w:val="35"/>
  </w:num>
  <w:num w:numId="126">
    <w:abstractNumId w:val="34"/>
  </w:num>
  <w:num w:numId="127">
    <w:abstractNumId w:val="132"/>
  </w:num>
  <w:num w:numId="128">
    <w:abstractNumId w:val="148"/>
  </w:num>
  <w:num w:numId="129">
    <w:abstractNumId w:val="13"/>
  </w:num>
  <w:num w:numId="130">
    <w:abstractNumId w:val="130"/>
  </w:num>
  <w:num w:numId="131">
    <w:abstractNumId w:val="167"/>
  </w:num>
  <w:num w:numId="132">
    <w:abstractNumId w:val="61"/>
  </w:num>
  <w:num w:numId="133">
    <w:abstractNumId w:val="41"/>
  </w:num>
  <w:num w:numId="134">
    <w:abstractNumId w:val="5"/>
  </w:num>
  <w:num w:numId="135">
    <w:abstractNumId w:val="116"/>
  </w:num>
  <w:num w:numId="136">
    <w:abstractNumId w:val="199"/>
  </w:num>
  <w:num w:numId="137">
    <w:abstractNumId w:val="204"/>
  </w:num>
  <w:num w:numId="138">
    <w:abstractNumId w:val="166"/>
  </w:num>
  <w:num w:numId="139">
    <w:abstractNumId w:val="141"/>
  </w:num>
  <w:num w:numId="140">
    <w:abstractNumId w:val="83"/>
  </w:num>
  <w:num w:numId="141">
    <w:abstractNumId w:val="168"/>
  </w:num>
  <w:num w:numId="142">
    <w:abstractNumId w:val="143"/>
  </w:num>
  <w:num w:numId="143">
    <w:abstractNumId w:val="40"/>
  </w:num>
  <w:num w:numId="144">
    <w:abstractNumId w:val="201"/>
  </w:num>
  <w:num w:numId="145">
    <w:abstractNumId w:val="121"/>
  </w:num>
  <w:num w:numId="146">
    <w:abstractNumId w:val="118"/>
  </w:num>
  <w:num w:numId="147">
    <w:abstractNumId w:val="147"/>
  </w:num>
  <w:num w:numId="148">
    <w:abstractNumId w:val="180"/>
  </w:num>
  <w:num w:numId="149">
    <w:abstractNumId w:val="21"/>
  </w:num>
  <w:num w:numId="150">
    <w:abstractNumId w:val="152"/>
  </w:num>
  <w:num w:numId="151">
    <w:abstractNumId w:val="11"/>
  </w:num>
  <w:num w:numId="152">
    <w:abstractNumId w:val="140"/>
  </w:num>
  <w:num w:numId="153">
    <w:abstractNumId w:val="108"/>
  </w:num>
  <w:num w:numId="154">
    <w:abstractNumId w:val="33"/>
  </w:num>
  <w:num w:numId="155">
    <w:abstractNumId w:val="65"/>
  </w:num>
  <w:num w:numId="156">
    <w:abstractNumId w:val="73"/>
  </w:num>
  <w:num w:numId="157">
    <w:abstractNumId w:val="162"/>
  </w:num>
  <w:num w:numId="158">
    <w:abstractNumId w:val="208"/>
  </w:num>
  <w:num w:numId="159">
    <w:abstractNumId w:val="38"/>
  </w:num>
  <w:num w:numId="160">
    <w:abstractNumId w:val="80"/>
  </w:num>
  <w:num w:numId="161">
    <w:abstractNumId w:val="79"/>
  </w:num>
  <w:num w:numId="162">
    <w:abstractNumId w:val="109"/>
  </w:num>
  <w:num w:numId="163">
    <w:abstractNumId w:val="193"/>
  </w:num>
  <w:num w:numId="164">
    <w:abstractNumId w:val="217"/>
  </w:num>
  <w:num w:numId="165">
    <w:abstractNumId w:val="159"/>
  </w:num>
  <w:num w:numId="166">
    <w:abstractNumId w:val="183"/>
  </w:num>
  <w:num w:numId="167">
    <w:abstractNumId w:val="117"/>
  </w:num>
  <w:num w:numId="168">
    <w:abstractNumId w:val="82"/>
  </w:num>
  <w:num w:numId="169">
    <w:abstractNumId w:val="30"/>
  </w:num>
  <w:num w:numId="170">
    <w:abstractNumId w:val="215"/>
  </w:num>
  <w:num w:numId="171">
    <w:abstractNumId w:val="14"/>
  </w:num>
  <w:num w:numId="172">
    <w:abstractNumId w:val="178"/>
  </w:num>
  <w:num w:numId="173">
    <w:abstractNumId w:val="102"/>
  </w:num>
  <w:num w:numId="174">
    <w:abstractNumId w:val="154"/>
  </w:num>
  <w:num w:numId="175">
    <w:abstractNumId w:val="176"/>
  </w:num>
  <w:num w:numId="176">
    <w:abstractNumId w:val="128"/>
  </w:num>
  <w:num w:numId="177">
    <w:abstractNumId w:val="122"/>
  </w:num>
  <w:num w:numId="178">
    <w:abstractNumId w:val="179"/>
  </w:num>
  <w:num w:numId="179">
    <w:abstractNumId w:val="28"/>
  </w:num>
  <w:num w:numId="180">
    <w:abstractNumId w:val="124"/>
  </w:num>
  <w:num w:numId="181">
    <w:abstractNumId w:val="151"/>
  </w:num>
  <w:num w:numId="182">
    <w:abstractNumId w:val="120"/>
  </w:num>
  <w:num w:numId="183">
    <w:abstractNumId w:val="24"/>
  </w:num>
  <w:num w:numId="184">
    <w:abstractNumId w:val="8"/>
  </w:num>
  <w:num w:numId="185">
    <w:abstractNumId w:val="126"/>
  </w:num>
  <w:num w:numId="186">
    <w:abstractNumId w:val="68"/>
  </w:num>
  <w:num w:numId="187">
    <w:abstractNumId w:val="203"/>
  </w:num>
  <w:num w:numId="188">
    <w:abstractNumId w:val="145"/>
  </w:num>
  <w:num w:numId="189">
    <w:abstractNumId w:val="170"/>
  </w:num>
  <w:num w:numId="190">
    <w:abstractNumId w:val="10"/>
  </w:num>
  <w:num w:numId="191">
    <w:abstractNumId w:val="58"/>
  </w:num>
  <w:num w:numId="192">
    <w:abstractNumId w:val="138"/>
  </w:num>
  <w:num w:numId="193">
    <w:abstractNumId w:val="54"/>
  </w:num>
  <w:num w:numId="194">
    <w:abstractNumId w:val="213"/>
  </w:num>
  <w:num w:numId="195">
    <w:abstractNumId w:val="39"/>
  </w:num>
  <w:num w:numId="196">
    <w:abstractNumId w:val="20"/>
  </w:num>
  <w:num w:numId="197">
    <w:abstractNumId w:val="91"/>
  </w:num>
  <w:num w:numId="198">
    <w:abstractNumId w:val="88"/>
  </w:num>
  <w:num w:numId="199">
    <w:abstractNumId w:val="16"/>
  </w:num>
  <w:num w:numId="200">
    <w:abstractNumId w:val="49"/>
  </w:num>
  <w:num w:numId="201">
    <w:abstractNumId w:val="150"/>
  </w:num>
  <w:num w:numId="202">
    <w:abstractNumId w:val="94"/>
  </w:num>
  <w:num w:numId="203">
    <w:abstractNumId w:val="169"/>
  </w:num>
  <w:num w:numId="204">
    <w:abstractNumId w:val="214"/>
  </w:num>
  <w:num w:numId="205">
    <w:abstractNumId w:val="55"/>
  </w:num>
  <w:num w:numId="206">
    <w:abstractNumId w:val="52"/>
  </w:num>
  <w:num w:numId="207">
    <w:abstractNumId w:val="72"/>
  </w:num>
  <w:num w:numId="208">
    <w:abstractNumId w:val="198"/>
  </w:num>
  <w:num w:numId="209">
    <w:abstractNumId w:val="92"/>
  </w:num>
  <w:num w:numId="210">
    <w:abstractNumId w:val="107"/>
  </w:num>
  <w:num w:numId="211">
    <w:abstractNumId w:val="59"/>
  </w:num>
  <w:num w:numId="212">
    <w:abstractNumId w:val="46"/>
  </w:num>
  <w:num w:numId="213">
    <w:abstractNumId w:val="100"/>
  </w:num>
  <w:num w:numId="214">
    <w:abstractNumId w:val="212"/>
  </w:num>
  <w:num w:numId="215">
    <w:abstractNumId w:val="119"/>
  </w:num>
  <w:num w:numId="216">
    <w:abstractNumId w:val="96"/>
  </w:num>
  <w:num w:numId="217">
    <w:abstractNumId w:val="64"/>
  </w:num>
  <w:num w:numId="218">
    <w:abstractNumId w:val="115"/>
  </w:num>
  <w:num w:numId="219">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25" w:default="1">
    <w:name w:val="Normal"/>
    <w:link w:val="1396"/>
    <w:uiPriority w:val="0"/>
    <w:qFormat/>
    <w:rPr>
      <w:rFonts w:hint="default" w:ascii="Times New Roman" w:hAnsi="Times New Roman" w:eastAsia="Arial" w:cs="Times New Roman"/>
      <w:sz w:val="21"/>
      <w:szCs w:val="22"/>
      <w:lang w:val="en-US" w:eastAsia="zh-CN" w:bidi="ar-SA"/>
    </w:rPr>
  </w:style>
  <w:style w:type="paragraph" w:styleId="1226">
    <w:name w:val="Heading 1"/>
    <w:next w:val="1225"/>
    <w:uiPriority w:val="9"/>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1227">
    <w:name w:val="Heading 2"/>
    <w:next w:val="1225"/>
    <w:uiPriority w:val="9"/>
    <w:unhideWhenUsed/>
    <w:qFormat/>
    <w:pPr>
      <w:jc w:val="both"/>
      <w:spacing w:before="280" w:line="300" w:lineRule="auto"/>
      <w:widowControl w:val="off"/>
      <w:outlineLvl w:val="1"/>
    </w:pPr>
    <w:rPr>
      <w:rFonts w:ascii="Times New Roman" w:hAnsi="Times New Roman" w:eastAsia="黑体" w:cs="Times New Roman"/>
      <w:sz w:val="30"/>
      <w:szCs w:val="32"/>
      <w:lang w:bidi="ar-SA"/>
    </w:rPr>
  </w:style>
  <w:style w:type="paragraph" w:styleId="1228">
    <w:name w:val="Heading 3"/>
    <w:next w:val="1225"/>
    <w:uiPriority w:val="9"/>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1229">
    <w:name w:val="Heading 4"/>
    <w:next w:val="1225"/>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paragraph" w:styleId="1230">
    <w:name w:val="Heading 5"/>
    <w:next w:val="1225"/>
    <w:uiPriority w:val="9"/>
    <w:unhideWhenUsed/>
    <w:qFormat/>
    <w:pPr>
      <w:jc w:val="both"/>
      <w:keepLines/>
      <w:keepNext/>
      <w:spacing w:before="160" w:line="300" w:lineRule="auto"/>
      <w:widowControl w:val="off"/>
      <w:outlineLvl w:val="4"/>
    </w:pPr>
    <w:rPr>
      <w:rFonts w:ascii="Times New Roman" w:hAnsi="Times New Roman" w:eastAsia="黑体" w:cs="Times New Roman"/>
      <w:bCs/>
      <w:sz w:val="28"/>
      <w:szCs w:val="28"/>
      <w:lang w:bidi="ar-SA"/>
    </w:rPr>
  </w:style>
  <w:style w:type="paragraph" w:styleId="1231">
    <w:name w:val="Heading 6"/>
    <w:next w:val="1225"/>
    <w:uiPriority w:val="9"/>
    <w:unhideWhenUsed/>
    <w:qFormat/>
    <w:pPr>
      <w:jc w:val="both"/>
      <w:keepLines/>
      <w:keepNext/>
      <w:spacing w:before="120" w:line="300" w:lineRule="auto"/>
      <w:widowControl w:val="off"/>
      <w:outlineLvl w:val="5"/>
    </w:pPr>
    <w:rPr>
      <w:rFonts w:ascii="Times New Roman" w:hAnsi="Times New Roman" w:eastAsia="黑体" w:cs="Times New Roman"/>
      <w:bCs/>
      <w:sz w:val="28"/>
      <w:szCs w:val="24"/>
      <w:lang w:bidi="ar-SA"/>
    </w:rPr>
  </w:style>
  <w:style w:type="paragraph" w:styleId="1232">
    <w:name w:val="Heading 7"/>
    <w:next w:val="1225"/>
    <w:uiPriority w:val="9"/>
    <w:unhideWhenUsed/>
    <w:qFormat/>
    <w:pPr>
      <w:jc w:val="both"/>
      <w:keepLines/>
      <w:keepNext/>
      <w:spacing w:before="120" w:line="300" w:lineRule="auto"/>
      <w:widowControl w:val="off"/>
      <w:outlineLvl w:val="6"/>
    </w:pPr>
    <w:rPr>
      <w:rFonts w:ascii="Times New Roman" w:hAnsi="Times New Roman" w:eastAsia="黑体" w:cs="Times New Roman"/>
      <w:bCs/>
      <w:sz w:val="24"/>
      <w:szCs w:val="24"/>
      <w:lang w:bidi="ar-SA"/>
    </w:rPr>
  </w:style>
  <w:style w:type="paragraph" w:styleId="1233">
    <w:name w:val="Heading 8"/>
    <w:next w:val="1225"/>
    <w:uiPriority w:val="9"/>
    <w:unhideWhenUsed/>
    <w:qFormat/>
    <w:pPr>
      <w:jc w:val="both"/>
      <w:keepLines/>
      <w:keepNext/>
      <w:spacing w:before="120" w:line="300" w:lineRule="auto"/>
      <w:widowControl w:val="off"/>
      <w:outlineLvl w:val="7"/>
    </w:pPr>
    <w:rPr>
      <w:rFonts w:ascii="Times New Roman" w:hAnsi="Times New Roman" w:eastAsia="黑体" w:cs="Times New Roman"/>
      <w:sz w:val="24"/>
      <w:szCs w:val="24"/>
      <w:lang w:bidi="ar-SA"/>
    </w:rPr>
  </w:style>
  <w:style w:type="paragraph" w:styleId="1234">
    <w:name w:val="Heading 9"/>
    <w:next w:val="1225"/>
    <w:uiPriority w:val="9"/>
    <w:unhideWhenUsed/>
    <w:qFormat/>
    <w:pPr>
      <w:jc w:val="both"/>
      <w:keepLines/>
      <w:keepNext/>
      <w:spacing w:before="120" w:line="300" w:lineRule="auto"/>
      <w:widowControl w:val="off"/>
      <w:outlineLvl w:val="8"/>
    </w:pPr>
    <w:rPr>
      <w:rFonts w:ascii="Times New Roman" w:hAnsi="Times New Roman" w:eastAsia="黑体" w:cs="Times New Roman"/>
      <w:sz w:val="21"/>
      <w:szCs w:val="21"/>
      <w:lang w:bidi="ar-SA"/>
    </w:rPr>
  </w:style>
  <w:style w:type="character" w:styleId="1235" w:default="1">
    <w:name w:val="Default Paragraph Font"/>
    <w:uiPriority w:val="1"/>
    <w:semiHidden/>
    <w:unhideWhenUsed/>
    <w:qFormat/>
  </w:style>
  <w:style w:type="table" w:styleId="1236" w:default="1">
    <w:name w:val="Normal Table"/>
    <w:uiPriority w:val="99"/>
    <w:semiHidden/>
    <w:unhideWhenUsed/>
    <w:qFormat/>
    <w:tblPr>
      <w:tblCellMar>
        <w:left w:w="108" w:type="dxa"/>
        <w:top w:w="0" w:type="dxa"/>
        <w:right w:w="108" w:type="dxa"/>
        <w:bottom w:w="0" w:type="dxa"/>
      </w:tblCellMar>
    </w:tblPr>
  </w:style>
  <w:style w:type="paragraph" w:styleId="1237">
    <w:name w:val="toc 7"/>
    <w:basedOn w:val="1225"/>
    <w:next w:val="1225"/>
    <w:uiPriority w:val="39"/>
    <w:unhideWhenUsed/>
    <w:qFormat/>
    <w:pPr>
      <w:ind w:left="1701" w:right="0" w:firstLine="0"/>
      <w:spacing w:after="57"/>
    </w:pPr>
  </w:style>
  <w:style w:type="paragraph" w:styleId="1238">
    <w:name w:val="Caption"/>
    <w:basedOn w:val="1225"/>
    <w:next w:val="122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39">
    <w:name w:val="annotation text"/>
    <w:basedOn w:val="1225"/>
    <w:link w:val="1553"/>
    <w:uiPriority w:val="99"/>
    <w:semiHidden/>
    <w:unhideWhenUsed/>
    <w:qFormat/>
    <w:pPr>
      <w:jc w:val="left"/>
    </w:pPr>
  </w:style>
  <w:style w:type="paragraph" w:styleId="1240">
    <w:name w:val="Body Text"/>
    <w:next w:val="1225"/>
    <w:uiPriority w:val="0"/>
    <w:qFormat/>
    <w:pPr>
      <w:ind w:firstLine="1044"/>
      <w:jc w:val="both"/>
      <w:spacing w:before="100" w:after="100" w:afterAutospacing="0" w:line="300" w:lineRule="auto"/>
      <w:widowControl w:val="off"/>
    </w:pPr>
    <w:rPr>
      <w:rFonts w:ascii="Times New Roman" w:hAnsi="Times New Roman" w:eastAsia="宋体" w:cs="Times New Roman"/>
      <w:sz w:val="24"/>
      <w:szCs w:val="24"/>
      <w:lang w:bidi="ar-SA"/>
    </w:rPr>
  </w:style>
  <w:style w:type="paragraph" w:styleId="1241">
    <w:name w:val="toc 5"/>
    <w:basedOn w:val="1225"/>
    <w:next w:val="1225"/>
    <w:uiPriority w:val="39"/>
    <w:unhideWhenUsed/>
    <w:qFormat/>
    <w:pPr>
      <w:ind w:left="1134" w:right="0" w:firstLine="0"/>
      <w:spacing w:after="57"/>
    </w:pPr>
  </w:style>
  <w:style w:type="paragraph" w:styleId="1242">
    <w:name w:val="toc 3"/>
    <w:basedOn w:val="1225"/>
    <w:next w:val="1225"/>
    <w:uiPriority w:val="39"/>
    <w:unhideWhenUsed/>
    <w:qFormat/>
    <w:pPr>
      <w:ind w:left="567" w:right="0" w:firstLine="0"/>
      <w:spacing w:after="57"/>
    </w:pPr>
  </w:style>
  <w:style w:type="paragraph" w:styleId="1243">
    <w:name w:val="toc 8"/>
    <w:basedOn w:val="1225"/>
    <w:next w:val="1225"/>
    <w:uiPriority w:val="39"/>
    <w:unhideWhenUsed/>
    <w:qFormat/>
    <w:pPr>
      <w:ind w:left="1984" w:right="0" w:firstLine="0"/>
      <w:spacing w:after="57"/>
    </w:pPr>
  </w:style>
  <w:style w:type="paragraph" w:styleId="1244">
    <w:name w:val="endnote text"/>
    <w:basedOn w:val="1225"/>
    <w:uiPriority w:val="99"/>
    <w:semiHidden/>
    <w:unhideWhenUsed/>
    <w:qFormat/>
    <w:pPr>
      <w:spacing w:after="0" w:line="240" w:lineRule="auto"/>
    </w:pPr>
    <w:rPr>
      <w:sz w:val="20"/>
    </w:rPr>
  </w:style>
  <w:style w:type="paragraph" w:styleId="1245">
    <w:name w:val="Footer"/>
    <w:basedOn w:val="1225"/>
    <w:uiPriority w:val="99"/>
    <w:unhideWhenUsed/>
    <w:qFormat/>
    <w:pPr>
      <w:spacing w:after="0" w:line="240" w:lineRule="auto"/>
      <w:tabs>
        <w:tab w:val="center" w:pos="7143" w:leader="none"/>
        <w:tab w:val="right" w:pos="14287" w:leader="none"/>
      </w:tabs>
    </w:pPr>
  </w:style>
  <w:style w:type="paragraph" w:styleId="1246">
    <w:name w:val="Header"/>
    <w:basedOn w:val="1225"/>
    <w:uiPriority w:val="99"/>
    <w:unhideWhenUsed/>
    <w:qFormat/>
    <w:pPr>
      <w:spacing w:after="0" w:line="240" w:lineRule="auto"/>
      <w:tabs>
        <w:tab w:val="center" w:pos="7143" w:leader="none"/>
        <w:tab w:val="right" w:pos="14287" w:leader="none"/>
      </w:tabs>
    </w:pPr>
  </w:style>
  <w:style w:type="paragraph" w:styleId="1247">
    <w:name w:val="toc 1"/>
    <w:basedOn w:val="1225"/>
    <w:next w:val="1225"/>
    <w:uiPriority w:val="39"/>
    <w:unhideWhenUsed/>
    <w:qFormat/>
    <w:pPr>
      <w:ind w:left="0" w:right="0" w:firstLine="0"/>
      <w:spacing w:after="57"/>
    </w:pPr>
  </w:style>
  <w:style w:type="paragraph" w:styleId="1248">
    <w:name w:val="toc 4"/>
    <w:basedOn w:val="1225"/>
    <w:next w:val="1225"/>
    <w:uiPriority w:val="39"/>
    <w:unhideWhenUsed/>
    <w:qFormat/>
    <w:pPr>
      <w:ind w:left="850" w:right="0" w:firstLine="0"/>
      <w:spacing w:after="57"/>
    </w:pPr>
  </w:style>
  <w:style w:type="paragraph" w:styleId="1249">
    <w:name w:val="Subtitle"/>
    <w:next w:val="1225"/>
    <w:uiPriority w:val="11"/>
    <w:qFormat/>
    <w:pPr>
      <w:jc w:val="center"/>
      <w:spacing w:before="100" w:after="100" w:line="240" w:lineRule="auto"/>
      <w:widowControl w:val="off"/>
      <w:outlineLvl w:val="9"/>
    </w:pPr>
    <w:rPr>
      <w:rFonts w:ascii="Times New Roman" w:hAnsi="Times New Roman" w:eastAsia="黑体" w:cs="Times New Roman"/>
      <w:sz w:val="32"/>
      <w:szCs w:val="24"/>
      <w:lang w:bidi="ar-SA"/>
    </w:rPr>
  </w:style>
  <w:style w:type="paragraph" w:styleId="1250">
    <w:name w:val="footnote text"/>
    <w:basedOn w:val="1225"/>
    <w:uiPriority w:val="99"/>
    <w:semiHidden/>
    <w:unhideWhenUsed/>
    <w:qFormat/>
    <w:pPr>
      <w:spacing w:after="40" w:line="240" w:lineRule="auto"/>
    </w:pPr>
    <w:rPr>
      <w:sz w:val="18"/>
    </w:rPr>
  </w:style>
  <w:style w:type="paragraph" w:styleId="1251">
    <w:name w:val="toc 6"/>
    <w:basedOn w:val="1225"/>
    <w:next w:val="1225"/>
    <w:uiPriority w:val="39"/>
    <w:unhideWhenUsed/>
    <w:qFormat/>
    <w:pPr>
      <w:ind w:left="1417" w:right="0" w:firstLine="0"/>
      <w:spacing w:after="57"/>
    </w:pPr>
  </w:style>
  <w:style w:type="paragraph" w:styleId="1252">
    <w:name w:val="table of figures"/>
    <w:basedOn w:val="1225"/>
    <w:next w:val="1225"/>
    <w:uiPriority w:val="99"/>
    <w:unhideWhenUsed/>
    <w:qFormat/>
    <w:pPr>
      <w:spacing w:after="0" w:afterAutospacing="0"/>
    </w:pPr>
  </w:style>
  <w:style w:type="paragraph" w:styleId="1253">
    <w:name w:val="toc 2"/>
    <w:basedOn w:val="1225"/>
    <w:next w:val="1225"/>
    <w:uiPriority w:val="39"/>
    <w:unhideWhenUsed/>
    <w:qFormat/>
    <w:pPr>
      <w:ind w:left="283" w:right="0" w:firstLine="0"/>
      <w:spacing w:after="57"/>
    </w:pPr>
  </w:style>
  <w:style w:type="paragraph" w:styleId="1254">
    <w:name w:val="toc 9"/>
    <w:basedOn w:val="1225"/>
    <w:next w:val="1225"/>
    <w:uiPriority w:val="39"/>
    <w:unhideWhenUsed/>
    <w:qFormat/>
    <w:pPr>
      <w:ind w:left="2268" w:right="0" w:firstLine="0"/>
      <w:spacing w:after="57"/>
    </w:pPr>
  </w:style>
  <w:style w:type="paragraph" w:styleId="1255">
    <w:name w:val="Title"/>
    <w:next w:val="1225"/>
    <w:uiPriority w:val="10"/>
    <w:qFormat/>
    <w:pPr>
      <w:jc w:val="center"/>
      <w:spacing w:before="100" w:beforeAutospacing="0" w:after="100" w:afterAutospacing="0" w:line="240" w:lineRule="auto"/>
      <w:widowControl w:val="off"/>
      <w:outlineLvl w:val="9"/>
    </w:pPr>
    <w:rPr>
      <w:rFonts w:ascii="Times New Roman" w:hAnsi="Times New Roman" w:eastAsia="黑体" w:cs="Times New Roman"/>
      <w:sz w:val="36"/>
      <w:szCs w:val="24"/>
      <w:lang w:bidi="ar-SA"/>
    </w:rPr>
  </w:style>
  <w:style w:type="paragraph" w:styleId="1256">
    <w:name w:val="Body Text First Indent"/>
    <w:basedOn w:val="1240"/>
    <w:uiPriority w:val="0"/>
    <w:qFormat/>
    <w:pPr>
      <w:ind w:firstLine="643"/>
    </w:pPr>
    <w:rPr>
      <w:b/>
      <w:color w:val="ff0000"/>
      <w:sz w:val="32"/>
      <w:szCs w:val="32"/>
      <w:lang w:val="zh-TW"/>
    </w:rPr>
  </w:style>
  <w:style w:type="table" w:styleId="12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8">
    <w:name w:val="endnote reference"/>
    <w:uiPriority w:val="99"/>
    <w:semiHidden/>
    <w:unhideWhenUsed/>
    <w:qFormat/>
    <w:rPr>
      <w:vertAlign w:val="superscript"/>
    </w:rPr>
  </w:style>
  <w:style w:type="character" w:styleId="1259">
    <w:name w:val="Hyperlink"/>
    <w:uiPriority w:val="99"/>
    <w:unhideWhenUsed/>
    <w:qFormat/>
    <w:rPr>
      <w:color w:val="0026e5" w:themeColor="hyperlink"/>
      <w:u w:val="single"/>
      <w14:textFill>
        <w14:solidFill>
          <w14:schemeClr w14:val="hlink"/>
        </w14:solidFill>
      </w14:textFill>
    </w:rPr>
  </w:style>
  <w:style w:type="character" w:styleId="1260">
    <w:name w:val="footnote reference"/>
    <w:uiPriority w:val="99"/>
    <w:unhideWhenUsed/>
    <w:qFormat/>
    <w:rPr>
      <w:vertAlign w:val="superscript"/>
    </w:rPr>
  </w:style>
  <w:style w:type="paragraph" w:styleId="1261" w:customStyle="1">
    <w:name w:val="标题 111"/>
    <w:basedOn w:val="1225"/>
    <w:next w:val="1225"/>
    <w:link w:val="1272"/>
    <w:uiPriority w:val="9"/>
    <w:qFormat/>
    <w:pPr>
      <w:keepLines/>
      <w:keepNext/>
      <w:spacing w:before="480" w:after="200"/>
      <w:outlineLvl w:val="0"/>
    </w:pPr>
    <w:rPr>
      <w:rFonts w:ascii="Arial" w:hAnsi="Arial" w:eastAsia="Arial" w:cs="Arial"/>
      <w:sz w:val="40"/>
      <w:szCs w:val="40"/>
    </w:rPr>
  </w:style>
  <w:style w:type="paragraph" w:styleId="1262" w:customStyle="1">
    <w:name w:val="标题 211"/>
    <w:basedOn w:val="1225"/>
    <w:next w:val="1225"/>
    <w:link w:val="1273"/>
    <w:uiPriority w:val="9"/>
    <w:unhideWhenUsed/>
    <w:qFormat/>
    <w:pPr>
      <w:keepLines/>
      <w:keepNext/>
      <w:spacing w:before="360" w:after="200"/>
      <w:outlineLvl w:val="1"/>
    </w:pPr>
    <w:rPr>
      <w:rFonts w:ascii="Arial" w:hAnsi="Arial" w:eastAsia="Arial" w:cs="Arial"/>
      <w:sz w:val="34"/>
    </w:rPr>
  </w:style>
  <w:style w:type="paragraph" w:styleId="1263" w:customStyle="1">
    <w:name w:val="标题 311"/>
    <w:basedOn w:val="1225"/>
    <w:next w:val="1225"/>
    <w:link w:val="1274"/>
    <w:uiPriority w:val="9"/>
    <w:unhideWhenUsed/>
    <w:qFormat/>
    <w:pPr>
      <w:keepLines/>
      <w:keepNext/>
      <w:spacing w:before="320" w:after="200"/>
      <w:outlineLvl w:val="2"/>
    </w:pPr>
    <w:rPr>
      <w:rFonts w:ascii="Arial" w:hAnsi="Arial" w:eastAsia="Arial" w:cs="Arial"/>
      <w:sz w:val="30"/>
      <w:szCs w:val="30"/>
    </w:rPr>
  </w:style>
  <w:style w:type="paragraph" w:styleId="1264" w:customStyle="1">
    <w:name w:val="标题 4111"/>
    <w:basedOn w:val="1225"/>
    <w:next w:val="1225"/>
    <w:link w:val="1275"/>
    <w:uiPriority w:val="9"/>
    <w:unhideWhenUsed/>
    <w:qFormat/>
    <w:pPr>
      <w:keepLines/>
      <w:keepNext/>
      <w:spacing w:before="320" w:after="200"/>
      <w:outlineLvl w:val="3"/>
    </w:pPr>
    <w:rPr>
      <w:rFonts w:ascii="Arial" w:hAnsi="Arial" w:eastAsia="Arial" w:cs="Arial"/>
      <w:b/>
      <w:bCs/>
      <w:sz w:val="26"/>
      <w:szCs w:val="26"/>
    </w:rPr>
  </w:style>
  <w:style w:type="paragraph" w:styleId="1265" w:customStyle="1">
    <w:name w:val="标题 511"/>
    <w:basedOn w:val="1225"/>
    <w:next w:val="1225"/>
    <w:link w:val="1276"/>
    <w:uiPriority w:val="9"/>
    <w:unhideWhenUsed/>
    <w:qFormat/>
    <w:pPr>
      <w:keepLines/>
      <w:keepNext/>
      <w:spacing w:before="320" w:after="200"/>
      <w:outlineLvl w:val="4"/>
    </w:pPr>
    <w:rPr>
      <w:rFonts w:ascii="Arial" w:hAnsi="Arial" w:eastAsia="Arial" w:cs="Arial"/>
      <w:b/>
      <w:bCs/>
      <w:sz w:val="24"/>
      <w:szCs w:val="24"/>
    </w:rPr>
  </w:style>
  <w:style w:type="paragraph" w:styleId="1266" w:customStyle="1">
    <w:name w:val="标题 611"/>
    <w:basedOn w:val="1225"/>
    <w:next w:val="1225"/>
    <w:link w:val="1277"/>
    <w:uiPriority w:val="9"/>
    <w:unhideWhenUsed/>
    <w:qFormat/>
    <w:pPr>
      <w:keepLines/>
      <w:keepNext/>
      <w:spacing w:before="320" w:after="200"/>
      <w:outlineLvl w:val="5"/>
    </w:pPr>
    <w:rPr>
      <w:rFonts w:ascii="Arial" w:hAnsi="Arial" w:eastAsia="Arial" w:cs="Arial"/>
      <w:b/>
      <w:bCs/>
      <w:sz w:val="22"/>
      <w:szCs w:val="22"/>
    </w:rPr>
  </w:style>
  <w:style w:type="paragraph" w:styleId="1267" w:customStyle="1">
    <w:name w:val="标题 711"/>
    <w:basedOn w:val="1225"/>
    <w:next w:val="1225"/>
    <w:link w:val="1278"/>
    <w:uiPriority w:val="9"/>
    <w:unhideWhenUsed/>
    <w:qFormat/>
    <w:pPr>
      <w:keepLines/>
      <w:keepNext/>
      <w:spacing w:before="320" w:after="200"/>
      <w:outlineLvl w:val="6"/>
    </w:pPr>
    <w:rPr>
      <w:rFonts w:ascii="Arial" w:hAnsi="Arial" w:eastAsia="Arial" w:cs="Arial"/>
      <w:b/>
      <w:bCs/>
      <w:i/>
      <w:iCs/>
      <w:sz w:val="22"/>
      <w:szCs w:val="22"/>
    </w:rPr>
  </w:style>
  <w:style w:type="paragraph" w:styleId="1268" w:customStyle="1">
    <w:name w:val="标题 811"/>
    <w:basedOn w:val="1225"/>
    <w:next w:val="1225"/>
    <w:link w:val="1279"/>
    <w:uiPriority w:val="9"/>
    <w:unhideWhenUsed/>
    <w:qFormat/>
    <w:pPr>
      <w:keepLines/>
      <w:keepNext/>
      <w:spacing w:before="320" w:after="200"/>
      <w:outlineLvl w:val="7"/>
    </w:pPr>
    <w:rPr>
      <w:rFonts w:ascii="Arial" w:hAnsi="Arial" w:eastAsia="Arial" w:cs="Arial"/>
      <w:i/>
      <w:iCs/>
      <w:sz w:val="22"/>
      <w:szCs w:val="22"/>
    </w:rPr>
  </w:style>
  <w:style w:type="paragraph" w:styleId="1269" w:customStyle="1">
    <w:name w:val="标题 911"/>
    <w:basedOn w:val="1225"/>
    <w:next w:val="1225"/>
    <w:link w:val="1280"/>
    <w:uiPriority w:val="9"/>
    <w:unhideWhenUsed/>
    <w:qFormat/>
    <w:pPr>
      <w:keepLines/>
      <w:keepNext/>
      <w:spacing w:before="320" w:after="200"/>
      <w:outlineLvl w:val="8"/>
    </w:pPr>
    <w:rPr>
      <w:rFonts w:ascii="Arial" w:hAnsi="Arial" w:eastAsia="Arial" w:cs="Arial"/>
      <w:i/>
      <w:iCs/>
      <w:sz w:val="21"/>
      <w:szCs w:val="21"/>
    </w:rPr>
  </w:style>
  <w:style w:type="character" w:styleId="1270" w:customStyle="1">
    <w:name w:val="默认段落字体11"/>
    <w:link w:val="1225"/>
    <w:uiPriority w:val="1"/>
    <w:unhideWhenUsed/>
    <w:qFormat/>
  </w:style>
  <w:style w:type="table" w:styleId="1271" w:customStyle="1">
    <w:name w:val="普通表格12"/>
    <w:uiPriority w:val="99"/>
    <w:unhideWhenUsed/>
    <w:qFormat/>
    <w:tblPr/>
  </w:style>
  <w:style w:type="character" w:styleId="1272" w:customStyle="1">
    <w:name w:val="Heading 1 Char"/>
    <w:link w:val="1261"/>
    <w:uiPriority w:val="9"/>
    <w:qFormat/>
    <w:rPr>
      <w:rFonts w:ascii="Arial" w:hAnsi="Arial" w:eastAsia="Arial" w:cs="Arial"/>
      <w:sz w:val="40"/>
      <w:szCs w:val="40"/>
    </w:rPr>
  </w:style>
  <w:style w:type="character" w:styleId="1273" w:customStyle="1">
    <w:name w:val="Heading 2 Char"/>
    <w:link w:val="1262"/>
    <w:uiPriority w:val="9"/>
    <w:qFormat/>
    <w:rPr>
      <w:rFonts w:ascii="Arial" w:hAnsi="Arial" w:eastAsia="Arial" w:cs="Arial"/>
      <w:sz w:val="34"/>
    </w:rPr>
  </w:style>
  <w:style w:type="character" w:styleId="1274" w:customStyle="1">
    <w:name w:val="Heading 3 Char"/>
    <w:link w:val="1263"/>
    <w:uiPriority w:val="9"/>
    <w:qFormat/>
    <w:rPr>
      <w:rFonts w:ascii="Arial" w:hAnsi="Arial" w:eastAsia="Arial" w:cs="Arial"/>
      <w:sz w:val="30"/>
      <w:szCs w:val="30"/>
    </w:rPr>
  </w:style>
  <w:style w:type="character" w:styleId="1275" w:customStyle="1">
    <w:name w:val="Heading 4 Char"/>
    <w:link w:val="1264"/>
    <w:uiPriority w:val="9"/>
    <w:qFormat/>
    <w:rPr>
      <w:rFonts w:ascii="Arial" w:hAnsi="Arial" w:eastAsia="Arial" w:cs="Arial"/>
      <w:b/>
      <w:bCs/>
      <w:sz w:val="26"/>
      <w:szCs w:val="26"/>
    </w:rPr>
  </w:style>
  <w:style w:type="character" w:styleId="1276" w:customStyle="1">
    <w:name w:val="Heading 5 Char"/>
    <w:link w:val="1265"/>
    <w:uiPriority w:val="9"/>
    <w:qFormat/>
    <w:rPr>
      <w:rFonts w:ascii="Arial" w:hAnsi="Arial" w:eastAsia="Arial" w:cs="Arial"/>
      <w:b/>
      <w:bCs/>
      <w:sz w:val="24"/>
      <w:szCs w:val="24"/>
    </w:rPr>
  </w:style>
  <w:style w:type="character" w:styleId="1277" w:customStyle="1">
    <w:name w:val="Heading 6 Char"/>
    <w:link w:val="1266"/>
    <w:uiPriority w:val="9"/>
    <w:qFormat/>
    <w:rPr>
      <w:rFonts w:ascii="Arial" w:hAnsi="Arial" w:eastAsia="Arial" w:cs="Arial"/>
      <w:b/>
      <w:bCs/>
      <w:sz w:val="22"/>
      <w:szCs w:val="22"/>
    </w:rPr>
  </w:style>
  <w:style w:type="character" w:styleId="1278" w:customStyle="1">
    <w:name w:val="Heading 7 Char"/>
    <w:link w:val="1267"/>
    <w:uiPriority w:val="9"/>
    <w:qFormat/>
    <w:rPr>
      <w:rFonts w:ascii="Arial" w:hAnsi="Arial" w:eastAsia="Arial" w:cs="Arial"/>
      <w:b/>
      <w:bCs/>
      <w:i/>
      <w:iCs/>
      <w:sz w:val="22"/>
      <w:szCs w:val="22"/>
    </w:rPr>
  </w:style>
  <w:style w:type="character" w:styleId="1279" w:customStyle="1">
    <w:name w:val="Heading 8 Char"/>
    <w:link w:val="1268"/>
    <w:uiPriority w:val="9"/>
    <w:qFormat/>
    <w:rPr>
      <w:rFonts w:ascii="Arial" w:hAnsi="Arial" w:eastAsia="Arial" w:cs="Arial"/>
      <w:i/>
      <w:iCs/>
      <w:sz w:val="22"/>
      <w:szCs w:val="22"/>
    </w:rPr>
  </w:style>
  <w:style w:type="character" w:styleId="1280" w:customStyle="1">
    <w:name w:val="Heading 9 Char"/>
    <w:link w:val="1269"/>
    <w:uiPriority w:val="9"/>
    <w:qFormat/>
    <w:rPr>
      <w:rFonts w:ascii="Arial" w:hAnsi="Arial" w:eastAsia="Arial" w:cs="Arial"/>
      <w:i/>
      <w:iCs/>
      <w:sz w:val="21"/>
      <w:szCs w:val="21"/>
    </w:rPr>
  </w:style>
  <w:style w:type="paragraph" w:styleId="1281" w:customStyle="1">
    <w:name w:val="目录 711"/>
    <w:basedOn w:val="1225"/>
    <w:next w:val="1225"/>
    <w:uiPriority w:val="39"/>
    <w:unhideWhenUsed/>
    <w:qFormat/>
    <w:pPr>
      <w:ind w:left="1701" w:right="0" w:firstLine="0"/>
      <w:spacing w:after="57"/>
    </w:pPr>
  </w:style>
  <w:style w:type="paragraph" w:styleId="1282" w:customStyle="1">
    <w:name w:val="正文缩进11"/>
    <w:basedOn w:val="1225"/>
    <w:uiPriority w:val="0"/>
    <w:qFormat/>
    <w:pPr>
      <w:ind w:firstLine="420"/>
      <w:jc w:val="both"/>
      <w:spacing w:line="360" w:lineRule="atLeast"/>
      <w:widowControl w:val="off"/>
    </w:pPr>
    <w:rPr>
      <w:rFonts w:ascii="Arial Unicode MS" w:hAnsi="Arial Unicode MS"/>
      <w:color w:val="000000"/>
      <w:sz w:val="21"/>
      <w:szCs w:val="21"/>
    </w:rPr>
  </w:style>
  <w:style w:type="paragraph" w:styleId="1283" w:customStyle="1">
    <w:name w:val="题注11"/>
    <w:basedOn w:val="1225"/>
    <w:next w:val="1225"/>
    <w:uiPriority w:val="35"/>
    <w:unhideWhenUsed/>
    <w:qFormat/>
    <w:pPr>
      <w:spacing w:line="276" w:lineRule="auto"/>
    </w:pPr>
    <w:rPr>
      <w:b/>
      <w:bCs/>
      <w:color w:val="4f81bd"/>
      <w:sz w:val="18"/>
      <w:szCs w:val="18"/>
    </w:rPr>
  </w:style>
  <w:style w:type="paragraph" w:styleId="1284" w:customStyle="1">
    <w:name w:val="批注文字11"/>
    <w:basedOn w:val="1225"/>
    <w:uiPriority w:val="99"/>
    <w:unhideWhenUsed/>
    <w:qFormat/>
    <w:pPr>
      <w:jc w:val="left"/>
    </w:pPr>
  </w:style>
  <w:style w:type="paragraph" w:styleId="1285" w:customStyle="1">
    <w:name w:val="正文文本13"/>
    <w:basedOn w:val="1225"/>
    <w:uiPriority w:val="0"/>
    <w:qFormat/>
    <w:pPr>
      <w:spacing w:after="120"/>
    </w:pPr>
    <w:rPr>
      <w:lang w:val="zh-CN"/>
    </w:rPr>
  </w:style>
  <w:style w:type="paragraph" w:styleId="1286" w:customStyle="1">
    <w:name w:val="目录 511"/>
    <w:basedOn w:val="1225"/>
    <w:next w:val="1225"/>
    <w:uiPriority w:val="39"/>
    <w:unhideWhenUsed/>
    <w:qFormat/>
    <w:pPr>
      <w:ind w:left="1134" w:right="0" w:firstLine="0"/>
      <w:spacing w:after="57"/>
    </w:pPr>
  </w:style>
  <w:style w:type="paragraph" w:styleId="1287" w:customStyle="1">
    <w:name w:val="目录 311"/>
    <w:basedOn w:val="1225"/>
    <w:next w:val="1225"/>
    <w:uiPriority w:val="39"/>
    <w:unhideWhenUsed/>
    <w:qFormat/>
    <w:pPr>
      <w:ind w:left="567" w:right="0" w:firstLine="0"/>
      <w:spacing w:after="57"/>
    </w:pPr>
  </w:style>
  <w:style w:type="paragraph" w:styleId="1288" w:customStyle="1">
    <w:name w:val="目录 811"/>
    <w:basedOn w:val="1225"/>
    <w:next w:val="1225"/>
    <w:uiPriority w:val="39"/>
    <w:unhideWhenUsed/>
    <w:qFormat/>
    <w:pPr>
      <w:ind w:left="1984" w:right="0" w:firstLine="0"/>
      <w:spacing w:after="57"/>
    </w:pPr>
  </w:style>
  <w:style w:type="paragraph" w:styleId="1289" w:customStyle="1">
    <w:name w:val="尾注文本11"/>
    <w:basedOn w:val="1225"/>
    <w:link w:val="1290"/>
    <w:uiPriority w:val="99"/>
    <w:unhideWhenUsed/>
    <w:qFormat/>
    <w:pPr>
      <w:spacing w:after="0" w:line="240" w:lineRule="auto"/>
    </w:pPr>
    <w:rPr>
      <w:sz w:val="20"/>
    </w:rPr>
  </w:style>
  <w:style w:type="character" w:styleId="1290" w:customStyle="1">
    <w:name w:val="Endnote Text Char"/>
    <w:link w:val="1289"/>
    <w:uiPriority w:val="99"/>
    <w:qFormat/>
    <w:rPr>
      <w:sz w:val="20"/>
    </w:rPr>
  </w:style>
  <w:style w:type="paragraph" w:styleId="1291" w:customStyle="1">
    <w:name w:val="页脚12"/>
    <w:basedOn w:val="1225"/>
    <w:link w:val="1315"/>
    <w:uiPriority w:val="99"/>
    <w:unhideWhenUsed/>
    <w:qFormat/>
    <w:pPr>
      <w:spacing w:after="0" w:line="240" w:lineRule="auto"/>
      <w:tabs>
        <w:tab w:val="center" w:pos="7143" w:leader="none"/>
        <w:tab w:val="right" w:pos="14287" w:leader="none"/>
      </w:tabs>
    </w:pPr>
  </w:style>
  <w:style w:type="character" w:styleId="1292" w:customStyle="1">
    <w:name w:val="Footer Char"/>
    <w:link w:val="1291"/>
    <w:uiPriority w:val="99"/>
    <w:qFormat/>
  </w:style>
  <w:style w:type="paragraph" w:styleId="1293" w:customStyle="1">
    <w:name w:val="页眉11"/>
    <w:basedOn w:val="1225"/>
    <w:link w:val="1294"/>
    <w:uiPriority w:val="99"/>
    <w:unhideWhenUsed/>
    <w:qFormat/>
    <w:pPr>
      <w:spacing w:after="0" w:line="240" w:lineRule="auto"/>
      <w:tabs>
        <w:tab w:val="center" w:pos="7143" w:leader="none"/>
        <w:tab w:val="right" w:pos="14287" w:leader="none"/>
      </w:tabs>
    </w:pPr>
  </w:style>
  <w:style w:type="character" w:styleId="1294" w:customStyle="1">
    <w:name w:val="Header Char"/>
    <w:link w:val="1293"/>
    <w:uiPriority w:val="99"/>
    <w:qFormat/>
  </w:style>
  <w:style w:type="paragraph" w:styleId="1295" w:customStyle="1">
    <w:name w:val="目录 111"/>
    <w:basedOn w:val="1225"/>
    <w:next w:val="1225"/>
    <w:uiPriority w:val="39"/>
    <w:unhideWhenUsed/>
    <w:qFormat/>
    <w:pPr>
      <w:ind w:left="0" w:right="0" w:firstLine="0"/>
      <w:spacing w:after="57"/>
    </w:pPr>
  </w:style>
  <w:style w:type="paragraph" w:styleId="1296" w:customStyle="1">
    <w:name w:val="目录 411"/>
    <w:basedOn w:val="1225"/>
    <w:next w:val="1225"/>
    <w:uiPriority w:val="39"/>
    <w:unhideWhenUsed/>
    <w:qFormat/>
    <w:pPr>
      <w:ind w:left="850" w:right="0" w:firstLine="0"/>
      <w:spacing w:after="57"/>
    </w:pPr>
  </w:style>
  <w:style w:type="paragraph" w:styleId="1297" w:customStyle="1">
    <w:name w:val="副标题11"/>
    <w:basedOn w:val="1225"/>
    <w:next w:val="1225"/>
    <w:link w:val="1298"/>
    <w:uiPriority w:val="11"/>
    <w:qFormat/>
    <w:pPr>
      <w:spacing w:before="200" w:after="200"/>
    </w:pPr>
    <w:rPr>
      <w:sz w:val="24"/>
      <w:szCs w:val="24"/>
    </w:rPr>
  </w:style>
  <w:style w:type="character" w:styleId="1298" w:customStyle="1">
    <w:name w:val="Subtitle Char"/>
    <w:link w:val="1297"/>
    <w:uiPriority w:val="11"/>
    <w:qFormat/>
    <w:rPr>
      <w:sz w:val="24"/>
      <w:szCs w:val="24"/>
    </w:rPr>
  </w:style>
  <w:style w:type="paragraph" w:styleId="1299" w:customStyle="1">
    <w:name w:val="脚注文本11"/>
    <w:basedOn w:val="1225"/>
    <w:link w:val="1300"/>
    <w:uiPriority w:val="99"/>
    <w:unhideWhenUsed/>
    <w:qFormat/>
    <w:pPr>
      <w:spacing w:after="40" w:line="240" w:lineRule="auto"/>
    </w:pPr>
    <w:rPr>
      <w:sz w:val="18"/>
    </w:rPr>
  </w:style>
  <w:style w:type="character" w:styleId="1300" w:customStyle="1">
    <w:name w:val="Footnote Text Char"/>
    <w:link w:val="1299"/>
    <w:uiPriority w:val="99"/>
    <w:qFormat/>
    <w:rPr>
      <w:sz w:val="18"/>
    </w:rPr>
  </w:style>
  <w:style w:type="paragraph" w:styleId="1301" w:customStyle="1">
    <w:name w:val="目录 611"/>
    <w:basedOn w:val="1225"/>
    <w:next w:val="1225"/>
    <w:uiPriority w:val="39"/>
    <w:unhideWhenUsed/>
    <w:qFormat/>
    <w:pPr>
      <w:ind w:left="1417" w:right="0" w:firstLine="0"/>
      <w:spacing w:after="57"/>
    </w:pPr>
  </w:style>
  <w:style w:type="paragraph" w:styleId="1302" w:customStyle="1">
    <w:name w:val="图表目录11"/>
    <w:basedOn w:val="1225"/>
    <w:next w:val="1225"/>
    <w:uiPriority w:val="99"/>
    <w:unhideWhenUsed/>
    <w:qFormat/>
    <w:pPr>
      <w:spacing w:after="0" w:afterAutospacing="0"/>
    </w:pPr>
  </w:style>
  <w:style w:type="paragraph" w:styleId="1303" w:customStyle="1">
    <w:name w:val="目录 211"/>
    <w:basedOn w:val="1225"/>
    <w:next w:val="1225"/>
    <w:uiPriority w:val="39"/>
    <w:unhideWhenUsed/>
    <w:qFormat/>
    <w:pPr>
      <w:ind w:left="283" w:right="0" w:firstLine="0"/>
      <w:spacing w:after="57"/>
    </w:pPr>
  </w:style>
  <w:style w:type="paragraph" w:styleId="1304" w:customStyle="1">
    <w:name w:val="目录 911"/>
    <w:basedOn w:val="1225"/>
    <w:next w:val="1225"/>
    <w:uiPriority w:val="39"/>
    <w:unhideWhenUsed/>
    <w:qFormat/>
    <w:pPr>
      <w:ind w:left="2268" w:right="0" w:firstLine="0"/>
      <w:spacing w:after="57"/>
    </w:pPr>
  </w:style>
  <w:style w:type="paragraph" w:styleId="1305" w:customStyle="1">
    <w:name w:val="标题11"/>
    <w:basedOn w:val="1225"/>
    <w:next w:val="1225"/>
    <w:link w:val="1306"/>
    <w:uiPriority w:val="10"/>
    <w:qFormat/>
    <w:pPr>
      <w:contextualSpacing/>
      <w:spacing w:before="300" w:after="200"/>
    </w:pPr>
    <w:rPr>
      <w:sz w:val="48"/>
      <w:szCs w:val="48"/>
    </w:rPr>
  </w:style>
  <w:style w:type="character" w:styleId="1306" w:customStyle="1">
    <w:name w:val="Title Char"/>
    <w:link w:val="1305"/>
    <w:uiPriority w:val="10"/>
    <w:qFormat/>
    <w:rPr>
      <w:sz w:val="48"/>
      <w:szCs w:val="48"/>
    </w:rPr>
  </w:style>
  <w:style w:type="paragraph" w:styleId="1307" w:customStyle="1">
    <w:name w:val="正文首行缩进11"/>
    <w:basedOn w:val="1285"/>
    <w:uiPriority w:val="0"/>
    <w:qFormat/>
    <w:pPr>
      <w:ind w:firstLine="643"/>
    </w:pPr>
    <w:rPr>
      <w:b/>
      <w:color w:val="ff0000"/>
      <w:sz w:val="32"/>
      <w:szCs w:val="32"/>
      <w:lang w:val="zh-TW"/>
    </w:rPr>
  </w:style>
  <w:style w:type="table" w:styleId="1308" w:customStyle="1">
    <w:name w:val="网格型12"/>
    <w:uiPriority w:val="59"/>
    <w:qFormat/>
    <w:pPr>
      <w:spacing w:after="0" w:line="240" w:lineRule="auto"/>
    </w:pPr>
    <w:tblPr/>
  </w:style>
  <w:style w:type="character" w:styleId="1309" w:customStyle="1">
    <w:name w:val="要点11"/>
    <w:basedOn w:val="1270"/>
    <w:link w:val="1225"/>
    <w:uiPriority w:val="0"/>
    <w:qFormat/>
    <w:rPr>
      <w:b/>
    </w:rPr>
  </w:style>
  <w:style w:type="character" w:styleId="1310" w:customStyle="1">
    <w:name w:val="尾注引用11"/>
    <w:link w:val="1225"/>
    <w:uiPriority w:val="99"/>
    <w:unhideWhenUsed/>
    <w:qFormat/>
    <w:rPr>
      <w:vertAlign w:val="superscript"/>
    </w:rPr>
  </w:style>
  <w:style w:type="character" w:styleId="1311" w:customStyle="1">
    <w:name w:val="页码1"/>
    <w:link w:val="1225"/>
    <w:uiPriority w:val="0"/>
    <w:qFormat/>
    <w:rPr>
      <w:rFonts w:cs="Times New Roman"/>
    </w:rPr>
  </w:style>
  <w:style w:type="character" w:styleId="1312" w:customStyle="1">
    <w:name w:val="强调11"/>
    <w:basedOn w:val="1270"/>
    <w:link w:val="1225"/>
    <w:uiPriority w:val="0"/>
    <w:qFormat/>
    <w:rPr>
      <w:i/>
    </w:rPr>
  </w:style>
  <w:style w:type="character" w:styleId="1313" w:customStyle="1">
    <w:name w:val="超链接11"/>
    <w:link w:val="1225"/>
    <w:uiPriority w:val="99"/>
    <w:unhideWhenUsed/>
    <w:qFormat/>
    <w:rPr>
      <w:color w:val="0000ff"/>
      <w:u w:val="single"/>
    </w:rPr>
  </w:style>
  <w:style w:type="character" w:styleId="1314" w:customStyle="1">
    <w:name w:val="脚注引用11"/>
    <w:link w:val="1225"/>
    <w:uiPriority w:val="99"/>
    <w:unhideWhenUsed/>
    <w:qFormat/>
    <w:rPr>
      <w:vertAlign w:val="superscript"/>
    </w:rPr>
  </w:style>
  <w:style w:type="character" w:styleId="1315" w:customStyle="1">
    <w:name w:val="Caption Char"/>
    <w:link w:val="1291"/>
    <w:uiPriority w:val="99"/>
    <w:qFormat/>
  </w:style>
  <w:style w:type="character" w:styleId="1316" w:customStyle="1">
    <w:name w:val="页脚 字符"/>
    <w:link w:val="1225"/>
    <w:uiPriority w:val="99"/>
    <w:qFormat/>
  </w:style>
  <w:style w:type="paragraph" w:styleId="1317">
    <w:name w:val="List Paragraph"/>
    <w:basedOn w:val="1225"/>
    <w:uiPriority w:val="34"/>
    <w:qFormat/>
    <w:pPr>
      <w:contextualSpacing/>
      <w:ind w:left="720"/>
    </w:pPr>
  </w:style>
  <w:style w:type="paragraph" w:styleId="1318">
    <w:name w:val="No Spacing"/>
    <w:uiPriority w:val="1"/>
    <w:qFormat/>
    <w:pPr>
      <w:spacing w:before="0" w:after="0" w:line="240" w:lineRule="auto"/>
    </w:pPr>
    <w:rPr>
      <w:rFonts w:hint="default" w:ascii="Times New Roman" w:hAnsi="Times New Roman" w:eastAsia="宋体" w:cs="Times New Roman"/>
    </w:rPr>
  </w:style>
  <w:style w:type="paragraph" w:styleId="1319">
    <w:name w:val="Quote"/>
    <w:basedOn w:val="1225"/>
    <w:next w:val="1225"/>
    <w:link w:val="1320"/>
    <w:uiPriority w:val="29"/>
    <w:qFormat/>
    <w:pPr>
      <w:ind w:left="720" w:right="720"/>
    </w:pPr>
    <w:rPr>
      <w:i/>
    </w:rPr>
  </w:style>
  <w:style w:type="character" w:styleId="1320" w:customStyle="1">
    <w:name w:val="Quote Char"/>
    <w:link w:val="1319"/>
    <w:uiPriority w:val="29"/>
    <w:qFormat/>
    <w:rPr>
      <w:i/>
    </w:rPr>
  </w:style>
  <w:style w:type="paragraph" w:styleId="1321">
    <w:name w:val="Intense Quote"/>
    <w:basedOn w:val="1225"/>
    <w:next w:val="1225"/>
    <w:link w:val="13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2" w:customStyle="1">
    <w:name w:val="Intense Quote Char"/>
    <w:link w:val="1321"/>
    <w:uiPriority w:val="30"/>
    <w:qFormat/>
    <w:rPr>
      <w:i/>
    </w:rPr>
  </w:style>
  <w:style w:type="paragraph" w:styleId="1323" w:customStyle="1">
    <w:name w:val="标题 11"/>
    <w:basedOn w:val="1225"/>
    <w:next w:val="1225"/>
    <w:link w:val="1324"/>
    <w:uiPriority w:val="9"/>
    <w:qFormat/>
    <w:pPr>
      <w:keepLines/>
      <w:keepNext/>
      <w:spacing w:before="480" w:after="200"/>
      <w:outlineLvl w:val="0"/>
    </w:pPr>
    <w:rPr>
      <w:rFonts w:ascii="Arial" w:hAnsi="Arial" w:eastAsia="Arial"/>
      <w:sz w:val="40"/>
      <w:szCs w:val="40"/>
      <w:lang w:val="en-US" w:eastAsia="zh-CN" w:bidi="ar-SA"/>
    </w:rPr>
  </w:style>
  <w:style w:type="character" w:styleId="1324" w:customStyle="1">
    <w:name w:val="标题 1 Char"/>
    <w:link w:val="1323"/>
    <w:uiPriority w:val="9"/>
    <w:qFormat/>
    <w:rPr>
      <w:rFonts w:ascii="Arial" w:hAnsi="Arial" w:eastAsia="Arial"/>
      <w:sz w:val="40"/>
      <w:szCs w:val="40"/>
      <w:lang w:bidi="ar-SA"/>
    </w:rPr>
  </w:style>
  <w:style w:type="paragraph" w:styleId="1325" w:customStyle="1">
    <w:name w:val="标题 21"/>
    <w:basedOn w:val="1225"/>
    <w:next w:val="1225"/>
    <w:link w:val="1326"/>
    <w:uiPriority w:val="9"/>
    <w:qFormat/>
    <w:pPr>
      <w:keepLines/>
      <w:keepNext/>
      <w:spacing w:before="360" w:after="200"/>
      <w:outlineLvl w:val="1"/>
    </w:pPr>
    <w:rPr>
      <w:rFonts w:ascii="Arial" w:hAnsi="Arial" w:eastAsia="Arial"/>
      <w:sz w:val="34"/>
      <w:lang w:val="en-US" w:eastAsia="zh-CN" w:bidi="ar-SA"/>
    </w:rPr>
  </w:style>
  <w:style w:type="character" w:styleId="1326" w:customStyle="1">
    <w:name w:val="标题 2 Char"/>
    <w:link w:val="1325"/>
    <w:uiPriority w:val="9"/>
    <w:qFormat/>
    <w:rPr>
      <w:rFonts w:ascii="Arial" w:hAnsi="Arial" w:eastAsia="Arial"/>
      <w:sz w:val="34"/>
      <w:lang w:bidi="ar-SA"/>
    </w:rPr>
  </w:style>
  <w:style w:type="paragraph" w:styleId="1327" w:customStyle="1">
    <w:name w:val="标题 31"/>
    <w:basedOn w:val="1225"/>
    <w:next w:val="1225"/>
    <w:link w:val="1328"/>
    <w:uiPriority w:val="9"/>
    <w:qFormat/>
    <w:pPr>
      <w:keepLines/>
      <w:keepNext/>
      <w:spacing w:before="320" w:after="200"/>
      <w:outlineLvl w:val="2"/>
    </w:pPr>
    <w:rPr>
      <w:rFonts w:ascii="Arial" w:hAnsi="Arial" w:eastAsia="Arial"/>
      <w:sz w:val="30"/>
      <w:szCs w:val="30"/>
      <w:lang w:val="en-US" w:eastAsia="zh-CN" w:bidi="ar-SA"/>
    </w:rPr>
  </w:style>
  <w:style w:type="character" w:styleId="1328" w:customStyle="1">
    <w:name w:val="标题 3 Char"/>
    <w:link w:val="1327"/>
    <w:uiPriority w:val="9"/>
    <w:qFormat/>
    <w:rPr>
      <w:rFonts w:ascii="Arial" w:hAnsi="Arial" w:eastAsia="Arial"/>
      <w:sz w:val="30"/>
      <w:szCs w:val="30"/>
      <w:lang w:bidi="ar-SA"/>
    </w:rPr>
  </w:style>
  <w:style w:type="paragraph" w:styleId="1329" w:customStyle="1">
    <w:name w:val="标题 41"/>
    <w:basedOn w:val="1225"/>
    <w:next w:val="1225"/>
    <w:link w:val="1330"/>
    <w:uiPriority w:val="9"/>
    <w:qFormat/>
    <w:pPr>
      <w:keepLines/>
      <w:keepNext/>
      <w:spacing w:before="320" w:after="200"/>
      <w:outlineLvl w:val="3"/>
    </w:pPr>
    <w:rPr>
      <w:rFonts w:ascii="Arial" w:hAnsi="Arial"/>
      <w:b/>
      <w:bCs/>
      <w:sz w:val="26"/>
      <w:szCs w:val="26"/>
    </w:rPr>
  </w:style>
  <w:style w:type="character" w:styleId="1330" w:customStyle="1">
    <w:name w:val="标题 4 Char"/>
    <w:link w:val="1329"/>
    <w:uiPriority w:val="9"/>
    <w:qFormat/>
    <w:rPr>
      <w:rFonts w:ascii="Arial" w:hAnsi="Arial" w:eastAsia="Arial" w:cs="Arial"/>
      <w:b/>
      <w:bCs/>
      <w:sz w:val="26"/>
      <w:szCs w:val="26"/>
    </w:rPr>
  </w:style>
  <w:style w:type="paragraph" w:styleId="1331" w:customStyle="1">
    <w:name w:val="标题 51"/>
    <w:next w:val="1225"/>
    <w:link w:val="1332"/>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1332" w:customStyle="1">
    <w:name w:val="标题 5 Char"/>
    <w:link w:val="1331"/>
    <w:uiPriority w:val="9"/>
    <w:qFormat/>
    <w:rPr>
      <w:rFonts w:ascii="Arial" w:hAnsi="Arial" w:eastAsia="Arial"/>
      <w:b/>
      <w:bCs/>
      <w:sz w:val="24"/>
      <w:szCs w:val="24"/>
      <w:lang w:bidi="ar-SA"/>
    </w:rPr>
  </w:style>
  <w:style w:type="paragraph" w:styleId="1333" w:customStyle="1">
    <w:name w:val="标题 61"/>
    <w:next w:val="1225"/>
    <w:link w:val="1334"/>
    <w:uiPriority w:val="9"/>
    <w:qFormat/>
    <w:pPr>
      <w:keepLines/>
      <w:keepNext/>
      <w:spacing w:before="320" w:after="200"/>
      <w:outlineLvl w:val="5"/>
    </w:pPr>
    <w:rPr>
      <w:rFonts w:hint="default" w:ascii="Arial" w:hAnsi="Arial" w:eastAsia="Arial" w:cs="Times New Roman"/>
      <w:b/>
      <w:bCs/>
      <w:sz w:val="22"/>
      <w:szCs w:val="22"/>
      <w:lang w:val="en-US" w:eastAsia="zh-CN" w:bidi="ar-SA"/>
    </w:rPr>
  </w:style>
  <w:style w:type="character" w:styleId="1334" w:customStyle="1">
    <w:name w:val="标题 6 Char"/>
    <w:link w:val="1333"/>
    <w:uiPriority w:val="9"/>
    <w:qFormat/>
    <w:rPr>
      <w:rFonts w:ascii="Arial" w:hAnsi="Arial" w:eastAsia="Arial"/>
      <w:b/>
      <w:bCs/>
      <w:sz w:val="22"/>
      <w:szCs w:val="22"/>
      <w:lang w:bidi="ar-SA"/>
    </w:rPr>
  </w:style>
  <w:style w:type="paragraph" w:styleId="1335" w:customStyle="1">
    <w:name w:val="标题 71"/>
    <w:next w:val="1225"/>
    <w:link w:val="1336"/>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1336" w:customStyle="1">
    <w:name w:val="标题 7 Char"/>
    <w:link w:val="1335"/>
    <w:uiPriority w:val="9"/>
    <w:qFormat/>
    <w:rPr>
      <w:rFonts w:ascii="Arial" w:hAnsi="Arial" w:eastAsia="Arial"/>
      <w:b/>
      <w:bCs/>
      <w:i/>
      <w:iCs/>
      <w:sz w:val="22"/>
      <w:szCs w:val="22"/>
      <w:lang w:bidi="ar-SA"/>
    </w:rPr>
  </w:style>
  <w:style w:type="paragraph" w:styleId="1337" w:customStyle="1">
    <w:name w:val="标题 81"/>
    <w:next w:val="1225"/>
    <w:link w:val="1338"/>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1338" w:customStyle="1">
    <w:name w:val="标题 8 Char"/>
    <w:link w:val="1337"/>
    <w:uiPriority w:val="9"/>
    <w:qFormat/>
    <w:rPr>
      <w:rFonts w:ascii="Arial" w:hAnsi="Arial" w:eastAsia="Arial"/>
      <w:i/>
      <w:iCs/>
      <w:sz w:val="22"/>
      <w:szCs w:val="22"/>
      <w:lang w:bidi="ar-SA"/>
    </w:rPr>
  </w:style>
  <w:style w:type="paragraph" w:styleId="1339" w:customStyle="1">
    <w:name w:val="标题 91"/>
    <w:next w:val="1225"/>
    <w:link w:val="1340"/>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340" w:customStyle="1">
    <w:name w:val="标题 9 Char"/>
    <w:link w:val="1339"/>
    <w:uiPriority w:val="9"/>
    <w:qFormat/>
    <w:rPr>
      <w:rFonts w:ascii="Arial" w:hAnsi="Arial" w:eastAsia="Arial"/>
      <w:i/>
      <w:iCs/>
      <w:sz w:val="21"/>
      <w:szCs w:val="21"/>
      <w:lang w:bidi="ar-SA"/>
    </w:rPr>
  </w:style>
  <w:style w:type="character" w:styleId="1341" w:customStyle="1">
    <w:name w:val="默认段落字体1"/>
    <w:link w:val="1225"/>
    <w:uiPriority w:val="1"/>
    <w:unhideWhenUsed/>
    <w:qFormat/>
  </w:style>
  <w:style w:type="table" w:styleId="1342" w:customStyle="1">
    <w:name w:val="普通表格11"/>
    <w:uiPriority w:val="99"/>
    <w:unhideWhenUsed/>
    <w:qFormat/>
    <w:tblPr/>
  </w:style>
  <w:style w:type="paragraph" w:styleId="1343" w:customStyle="1">
    <w:name w:val="目录 71"/>
    <w:next w:val="1225"/>
    <w:uiPriority w:val="39"/>
    <w:unhideWhenUsed/>
    <w:qFormat/>
    <w:pPr>
      <w:ind w:left="1701"/>
      <w:spacing w:after="57"/>
    </w:pPr>
    <w:rPr>
      <w:rFonts w:hint="default" w:ascii="Times New Roman" w:hAnsi="Times New Roman" w:eastAsia="Arial" w:cs="Times New Roman"/>
      <w:sz w:val="21"/>
      <w:szCs w:val="22"/>
      <w:lang w:val="en-US" w:eastAsia="zh-CN" w:bidi="ar-SA"/>
    </w:rPr>
  </w:style>
  <w:style w:type="paragraph" w:styleId="1344" w:customStyle="1">
    <w:name w:val="正文缩进1"/>
    <w:basedOn w:val="1225"/>
    <w:uiPriority w:val="0"/>
    <w:qFormat/>
    <w:pPr>
      <w:ind w:firstLine="420"/>
    </w:pPr>
    <w:rPr>
      <w:szCs w:val="20"/>
    </w:rPr>
  </w:style>
  <w:style w:type="paragraph" w:styleId="1345" w:customStyle="1">
    <w:name w:val="题注1"/>
    <w:next w:val="1225"/>
    <w:uiPriority w:val="35"/>
    <w:qFormat/>
    <w:pPr>
      <w:jc w:val="center"/>
      <w:spacing w:before="240" w:after="120" w:line="288" w:lineRule="auto"/>
      <w:widowControl w:val="off"/>
    </w:pPr>
    <w:rPr>
      <w:rFonts w:ascii="Times New Roman" w:hAnsi="Times New Roman" w:eastAsia="宋体" w:cs="宋体"/>
      <w:sz w:val="24"/>
      <w:szCs w:val="22"/>
      <w:lang w:bidi="ar-SA"/>
    </w:rPr>
  </w:style>
  <w:style w:type="paragraph" w:styleId="1346" w:customStyle="1">
    <w:name w:val="批注文字1"/>
    <w:basedOn w:val="1225"/>
    <w:link w:val="1347"/>
    <w:uiPriority w:val="99"/>
    <w:unhideWhenUsed/>
    <w:qFormat/>
  </w:style>
  <w:style w:type="character" w:styleId="1347" w:customStyle="1">
    <w:name w:val="批注文字 Char"/>
    <w:link w:val="1346"/>
    <w:uiPriority w:val="99"/>
    <w:qFormat/>
    <w:rPr>
      <w:rFonts w:eastAsia="Arial"/>
      <w:sz w:val="21"/>
      <w:szCs w:val="22"/>
    </w:rPr>
  </w:style>
  <w:style w:type="paragraph" w:styleId="1348" w:customStyle="1">
    <w:name w:val="正文文本11"/>
    <w:basedOn w:val="1225"/>
    <w:next w:val="1225"/>
    <w:link w:val="1349"/>
    <w:uiPriority w:val="0"/>
    <w:qFormat/>
    <w:pPr>
      <w:spacing w:after="120"/>
    </w:pPr>
    <w:rPr>
      <w:szCs w:val="20"/>
    </w:rPr>
  </w:style>
  <w:style w:type="character" w:styleId="1349" w:customStyle="1">
    <w:name w:val="正文文本 Char"/>
    <w:link w:val="1348"/>
    <w:uiPriority w:val="0"/>
    <w:qFormat/>
    <w:rPr>
      <w:rFonts w:eastAsia="Arial"/>
      <w:sz w:val="21"/>
    </w:rPr>
  </w:style>
  <w:style w:type="paragraph" w:styleId="1350" w:customStyle="1">
    <w:name w:val="文本块1"/>
    <w:basedOn w:val="1225"/>
    <w:uiPriority w:val="99"/>
    <w:unhideWhenUsed/>
    <w:qFormat/>
    <w:pPr>
      <w:ind w:left="1440" w:right="1440"/>
      <w:spacing w:after="120"/>
    </w:pPr>
    <w:rPr>
      <w:sz w:val="24"/>
    </w:rPr>
  </w:style>
  <w:style w:type="paragraph" w:styleId="1351" w:customStyle="1">
    <w:name w:val="索引 411"/>
    <w:basedOn w:val="1225"/>
    <w:next w:val="1225"/>
    <w:uiPriority w:val="0"/>
    <w:qFormat/>
    <w:pPr>
      <w:ind w:left="840" w:hanging="210"/>
    </w:pPr>
    <w:rPr>
      <w:sz w:val="20"/>
    </w:rPr>
  </w:style>
  <w:style w:type="paragraph" w:styleId="1352" w:customStyle="1">
    <w:name w:val="目录 51"/>
    <w:next w:val="1225"/>
    <w:uiPriority w:val="39"/>
    <w:unhideWhenUsed/>
    <w:qFormat/>
    <w:pPr>
      <w:ind w:left="1134"/>
      <w:spacing w:after="57"/>
    </w:pPr>
    <w:rPr>
      <w:rFonts w:hint="default" w:ascii="Times New Roman" w:hAnsi="Times New Roman" w:eastAsia="Arial" w:cs="Times New Roman"/>
      <w:sz w:val="21"/>
      <w:szCs w:val="22"/>
      <w:lang w:val="en-US" w:eastAsia="zh-CN" w:bidi="ar-SA"/>
    </w:rPr>
  </w:style>
  <w:style w:type="paragraph" w:styleId="1353" w:customStyle="1">
    <w:name w:val="目录 31"/>
    <w:next w:val="1225"/>
    <w:uiPriority w:val="39"/>
    <w:unhideWhenUsed/>
    <w:qFormat/>
    <w:pPr>
      <w:ind w:left="567"/>
      <w:spacing w:after="57"/>
    </w:pPr>
    <w:rPr>
      <w:rFonts w:hint="default" w:ascii="Times New Roman" w:hAnsi="Times New Roman" w:eastAsia="Arial" w:cs="Times New Roman"/>
      <w:sz w:val="21"/>
      <w:szCs w:val="22"/>
      <w:lang w:val="en-US" w:eastAsia="zh-CN" w:bidi="ar-SA"/>
    </w:rPr>
  </w:style>
  <w:style w:type="paragraph" w:styleId="1354" w:customStyle="1">
    <w:name w:val="目录 81"/>
    <w:next w:val="1225"/>
    <w:uiPriority w:val="39"/>
    <w:unhideWhenUsed/>
    <w:qFormat/>
    <w:pPr>
      <w:ind w:left="1984"/>
      <w:spacing w:after="57"/>
    </w:pPr>
    <w:rPr>
      <w:rFonts w:hint="default" w:ascii="Times New Roman" w:hAnsi="Times New Roman" w:eastAsia="Arial" w:cs="Times New Roman"/>
      <w:sz w:val="21"/>
      <w:szCs w:val="22"/>
      <w:lang w:val="en-US" w:eastAsia="zh-CN" w:bidi="ar-SA"/>
    </w:rPr>
  </w:style>
  <w:style w:type="paragraph" w:styleId="1355" w:customStyle="1">
    <w:name w:val="正文文本缩进 21"/>
    <w:basedOn w:val="1225"/>
    <w:next w:val="1356"/>
    <w:uiPriority w:val="0"/>
    <w:qFormat/>
    <w:pPr>
      <w:ind w:left="630" w:firstLine="645"/>
    </w:pPr>
    <w:rPr>
      <w:rFonts w:ascii="Arial" w:hAnsi="Arial" w:eastAsia="仿宋_GB2312"/>
      <w:sz w:val="32"/>
    </w:rPr>
  </w:style>
  <w:style w:type="paragraph" w:styleId="1356" w:customStyle="1">
    <w:name w:val="xl75"/>
    <w:basedOn w:val="1225"/>
    <w:next w:val="1357"/>
    <w:uiPriority w:val="0"/>
    <w:qFormat/>
    <w:pPr>
      <w:ind w:left="200" w:firstLine="5320"/>
      <w:jc w:val="center"/>
      <w:spacing w:before="280" w:after="280"/>
      <w:widowControl/>
    </w:pPr>
    <w:rPr>
      <w:rFonts w:ascii="宋体"/>
    </w:rPr>
  </w:style>
  <w:style w:type="paragraph" w:styleId="1357" w:customStyle="1">
    <w:name w:val="Test2"/>
    <w:basedOn w:val="1325"/>
    <w:next w:val="1358"/>
    <w:uiPriority w:val="0"/>
    <w:qFormat/>
    <w:pPr>
      <w:jc w:val="center"/>
      <w:spacing w:line="480" w:lineRule="exact"/>
      <w:widowControl/>
    </w:pPr>
    <w:rPr>
      <w:rFonts w:ascii="黑体" w:hAnsi="Arial" w:eastAsia="黑体"/>
      <w:bCs/>
      <w:sz w:val="24"/>
    </w:rPr>
  </w:style>
  <w:style w:type="paragraph" w:styleId="1358" w:customStyle="1">
    <w:name w:val="xl59"/>
    <w:basedOn w:val="1225"/>
    <w:next w:val="13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59" w:customStyle="1">
    <w:name w:val="方案正文"/>
    <w:basedOn w:val="1225"/>
    <w:next w:val="1360"/>
    <w:uiPriority w:val="0"/>
    <w:qFormat/>
    <w:pPr>
      <w:ind w:firstLine="359"/>
      <w:jc w:val="left"/>
      <w:spacing w:before="156" w:line="360" w:lineRule="auto"/>
    </w:pPr>
    <w:rPr>
      <w:rFonts w:ascii="Arial" w:hAnsi="Arial" w:cs="宋体"/>
      <w:sz w:val="24"/>
      <w:szCs w:val="21"/>
    </w:rPr>
  </w:style>
  <w:style w:type="paragraph" w:styleId="1360" w:customStyle="1">
    <w:name w:val="小四 段落 宋体 Char Char Char Char"/>
    <w:basedOn w:val="1225"/>
    <w:next w:val="1361"/>
    <w:uiPriority w:val="0"/>
    <w:qFormat/>
    <w:pPr>
      <w:ind w:right="-33" w:firstLine="480"/>
      <w:jc w:val="left"/>
      <w:spacing w:line="360" w:lineRule="auto"/>
    </w:pPr>
    <w:rPr>
      <w:sz w:val="24"/>
      <w:szCs w:val="24"/>
    </w:rPr>
  </w:style>
  <w:style w:type="paragraph" w:styleId="1361" w:customStyle="1">
    <w:name w:val="flType"/>
    <w:basedOn w:val="1362"/>
    <w:next w:val="1225"/>
    <w:uiPriority w:val="0"/>
    <w:qFormat/>
    <w:pPr>
      <w:spacing w:after="284"/>
    </w:pPr>
    <w:rPr>
      <w:rFonts w:eastAsia="宋体"/>
      <w:b w:val="0"/>
    </w:rPr>
  </w:style>
  <w:style w:type="paragraph" w:styleId="1362" w:customStyle="1">
    <w:name w:val="flName"/>
    <w:basedOn w:val="1363"/>
    <w:uiPriority w:val="0"/>
    <w:qFormat/>
    <w:pPr>
      <w:spacing w:before="0" w:line="113" w:lineRule="atLeast"/>
    </w:pPr>
  </w:style>
  <w:style w:type="paragraph" w:styleId="1363" w:customStyle="1">
    <w:name w:val="flNote"/>
    <w:basedOn w:val="1225"/>
    <w:uiPriority w:val="0"/>
    <w:qFormat/>
    <w:pPr>
      <w:jc w:val="center"/>
      <w:spacing w:before="567" w:line="360" w:lineRule="atLeast"/>
    </w:pPr>
    <w:rPr>
      <w:rFonts w:eastAsia="黑体"/>
      <w:b/>
      <w:sz w:val="24"/>
    </w:rPr>
  </w:style>
  <w:style w:type="paragraph" w:styleId="1364" w:customStyle="1">
    <w:name w:val="尾注文本1"/>
    <w:link w:val="1365"/>
    <w:uiPriority w:val="99"/>
    <w:unhideWhenUsed/>
    <w:qFormat/>
    <w:rPr>
      <w:rFonts w:hint="default" w:ascii="Times New Roman" w:hAnsi="Times New Roman" w:eastAsia="宋体" w:cs="Times New Roman"/>
      <w:lang w:val="en-US" w:eastAsia="zh-CN" w:bidi="ar-SA"/>
    </w:rPr>
  </w:style>
  <w:style w:type="character" w:styleId="1365" w:customStyle="1">
    <w:name w:val="尾注文本 Char"/>
    <w:link w:val="1364"/>
    <w:uiPriority w:val="99"/>
    <w:qFormat/>
    <w:rPr>
      <w:lang w:val="en-US" w:eastAsia="zh-CN" w:bidi="ar-SA"/>
    </w:rPr>
  </w:style>
  <w:style w:type="paragraph" w:styleId="1366" w:customStyle="1">
    <w:name w:val="批注框文本1"/>
    <w:basedOn w:val="1225"/>
    <w:link w:val="1367"/>
    <w:uiPriority w:val="99"/>
    <w:unhideWhenUsed/>
    <w:qFormat/>
    <w:rPr>
      <w:sz w:val="18"/>
      <w:szCs w:val="18"/>
    </w:rPr>
  </w:style>
  <w:style w:type="character" w:styleId="1367" w:customStyle="1">
    <w:name w:val="批注框文本 Char"/>
    <w:link w:val="1366"/>
    <w:uiPriority w:val="99"/>
    <w:semiHidden/>
    <w:qFormat/>
    <w:rPr>
      <w:rFonts w:eastAsia="Arial"/>
      <w:sz w:val="18"/>
      <w:szCs w:val="18"/>
    </w:rPr>
  </w:style>
  <w:style w:type="paragraph" w:styleId="1368" w:customStyle="1">
    <w:name w:val="页脚11"/>
    <w:link w:val="1369"/>
    <w:uiPriority w:val="99"/>
    <w:unhideWhenUsed/>
    <w:qFormat/>
    <w:pPr>
      <w:tabs>
        <w:tab w:val="center" w:pos="7143" w:leader="none"/>
        <w:tab w:val="right" w:pos="14287" w:leader="none"/>
      </w:tabs>
    </w:pPr>
    <w:rPr>
      <w:rFonts w:hint="default" w:ascii="Times New Roman" w:hAnsi="Times New Roman" w:eastAsia="Arial" w:cs="Times New Roman"/>
      <w:sz w:val="21"/>
      <w:szCs w:val="22"/>
      <w:lang w:val="en-US" w:eastAsia="zh-CN" w:bidi="ar-SA"/>
    </w:rPr>
  </w:style>
  <w:style w:type="character" w:styleId="1369" w:customStyle="1">
    <w:name w:val="页脚 Char"/>
    <w:link w:val="1368"/>
    <w:uiPriority w:val="99"/>
    <w:qFormat/>
    <w:rPr>
      <w:rFonts w:eastAsia="Arial"/>
      <w:sz w:val="21"/>
      <w:szCs w:val="22"/>
      <w:lang w:val="en-US" w:eastAsia="zh-CN" w:bidi="ar-SA"/>
    </w:rPr>
  </w:style>
  <w:style w:type="paragraph" w:styleId="1370" w:customStyle="1">
    <w:name w:val="页眉1"/>
    <w:basedOn w:val="1225"/>
    <w:link w:val="1371"/>
    <w:uiPriority w:val="99"/>
    <w:unhideWhenUsed/>
    <w:qFormat/>
    <w:pPr>
      <w:tabs>
        <w:tab w:val="center" w:pos="7143" w:leader="none"/>
        <w:tab w:val="right" w:pos="14287" w:leader="none"/>
      </w:tabs>
    </w:pPr>
  </w:style>
  <w:style w:type="character" w:styleId="1371" w:customStyle="1">
    <w:name w:val="页眉 Char"/>
    <w:link w:val="1370"/>
    <w:uiPriority w:val="99"/>
    <w:qFormat/>
  </w:style>
  <w:style w:type="paragraph" w:styleId="1372" w:customStyle="1">
    <w:name w:val="目录 11"/>
    <w:next w:val="1225"/>
    <w:uiPriority w:val="39"/>
    <w:unhideWhenUsed/>
    <w:qFormat/>
    <w:pPr>
      <w:spacing w:after="57"/>
    </w:pPr>
    <w:rPr>
      <w:rFonts w:hint="default" w:ascii="Times New Roman" w:hAnsi="Times New Roman" w:eastAsia="Arial" w:cs="Times New Roman"/>
      <w:sz w:val="21"/>
      <w:szCs w:val="22"/>
      <w:lang w:val="en-US" w:eastAsia="zh-CN" w:bidi="ar-SA"/>
    </w:rPr>
  </w:style>
  <w:style w:type="paragraph" w:styleId="1373" w:customStyle="1">
    <w:name w:val="目录 41"/>
    <w:next w:val="1225"/>
    <w:uiPriority w:val="39"/>
    <w:unhideWhenUsed/>
    <w:qFormat/>
    <w:pPr>
      <w:ind w:left="850"/>
      <w:spacing w:after="57"/>
    </w:pPr>
    <w:rPr>
      <w:rFonts w:hint="default" w:ascii="Times New Roman" w:hAnsi="Times New Roman" w:eastAsia="Arial" w:cs="Times New Roman"/>
      <w:sz w:val="21"/>
      <w:szCs w:val="22"/>
      <w:lang w:val="en-US" w:eastAsia="zh-CN" w:bidi="ar-SA"/>
    </w:rPr>
  </w:style>
  <w:style w:type="paragraph" w:styleId="1374" w:customStyle="1">
    <w:name w:val="副标题1"/>
    <w:link w:val="1375"/>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375" w:customStyle="1">
    <w:name w:val="副标题 Char"/>
    <w:link w:val="1374"/>
    <w:uiPriority w:val="11"/>
    <w:qFormat/>
    <w:rPr>
      <w:sz w:val="24"/>
      <w:szCs w:val="24"/>
      <w:lang w:bidi="ar-SA"/>
    </w:rPr>
  </w:style>
  <w:style w:type="paragraph" w:styleId="1376" w:customStyle="1">
    <w:name w:val="脚注文本1"/>
    <w:link w:val="1377"/>
    <w:uiPriority w:val="99"/>
    <w:unhideWhenUsed/>
    <w:qFormat/>
    <w:pPr>
      <w:spacing w:after="40"/>
    </w:pPr>
    <w:rPr>
      <w:rFonts w:hint="default" w:ascii="Times New Roman" w:hAnsi="Times New Roman" w:eastAsia="宋体" w:cs="Times New Roman"/>
      <w:sz w:val="18"/>
      <w:lang w:val="en-US" w:eastAsia="zh-CN" w:bidi="ar-SA"/>
    </w:rPr>
  </w:style>
  <w:style w:type="character" w:styleId="1377" w:customStyle="1">
    <w:name w:val="脚注文本 Char"/>
    <w:link w:val="1376"/>
    <w:uiPriority w:val="99"/>
    <w:qFormat/>
    <w:rPr>
      <w:sz w:val="18"/>
      <w:lang w:bidi="ar-SA"/>
    </w:rPr>
  </w:style>
  <w:style w:type="paragraph" w:styleId="1378" w:customStyle="1">
    <w:name w:val="目录 61"/>
    <w:next w:val="1225"/>
    <w:uiPriority w:val="39"/>
    <w:unhideWhenUsed/>
    <w:qFormat/>
    <w:pPr>
      <w:ind w:left="1417"/>
      <w:spacing w:after="57"/>
    </w:pPr>
    <w:rPr>
      <w:rFonts w:hint="default" w:ascii="Times New Roman" w:hAnsi="Times New Roman" w:eastAsia="Arial" w:cs="Times New Roman"/>
      <w:sz w:val="21"/>
      <w:szCs w:val="22"/>
      <w:lang w:val="en-US" w:eastAsia="zh-CN" w:bidi="ar-SA"/>
    </w:rPr>
  </w:style>
  <w:style w:type="paragraph" w:styleId="1379" w:customStyle="1">
    <w:name w:val="图表目录1"/>
    <w:next w:val="1225"/>
    <w:uiPriority w:val="99"/>
    <w:unhideWhenUsed/>
    <w:qFormat/>
    <w:rPr>
      <w:rFonts w:hint="default" w:ascii="Times New Roman" w:hAnsi="Times New Roman" w:eastAsia="Arial" w:cs="Times New Roman"/>
      <w:sz w:val="21"/>
      <w:szCs w:val="22"/>
      <w:lang w:val="en-US" w:eastAsia="zh-CN" w:bidi="ar-SA"/>
    </w:rPr>
  </w:style>
  <w:style w:type="paragraph" w:styleId="1380" w:customStyle="1">
    <w:name w:val="目录 21"/>
    <w:next w:val="1225"/>
    <w:uiPriority w:val="39"/>
    <w:unhideWhenUsed/>
    <w:qFormat/>
    <w:pPr>
      <w:ind w:left="283"/>
      <w:spacing w:after="57"/>
    </w:pPr>
    <w:rPr>
      <w:rFonts w:hint="default" w:ascii="Times New Roman" w:hAnsi="Times New Roman" w:eastAsia="Arial" w:cs="Times New Roman"/>
      <w:sz w:val="21"/>
      <w:szCs w:val="22"/>
      <w:lang w:val="en-US" w:eastAsia="zh-CN" w:bidi="ar-SA"/>
    </w:rPr>
  </w:style>
  <w:style w:type="paragraph" w:styleId="1381" w:customStyle="1">
    <w:name w:val="目录 91"/>
    <w:next w:val="1225"/>
    <w:uiPriority w:val="39"/>
    <w:unhideWhenUsed/>
    <w:qFormat/>
    <w:pPr>
      <w:ind w:left="2268"/>
      <w:spacing w:after="57"/>
    </w:pPr>
    <w:rPr>
      <w:rFonts w:hint="default" w:ascii="Times New Roman" w:hAnsi="Times New Roman" w:eastAsia="Arial" w:cs="Times New Roman"/>
      <w:sz w:val="21"/>
      <w:szCs w:val="22"/>
      <w:lang w:val="en-US" w:eastAsia="zh-CN" w:bidi="ar-SA"/>
    </w:rPr>
  </w:style>
  <w:style w:type="paragraph" w:styleId="1382" w:customStyle="1">
    <w:name w:val="普通(网站)1"/>
    <w:basedOn w:val="1225"/>
    <w:uiPriority w:val="99"/>
    <w:qFormat/>
    <w:pPr>
      <w:spacing w:before="100" w:beforeAutospacing="1" w:after="100" w:afterAutospacing="1"/>
      <w:widowControl/>
    </w:pPr>
    <w:rPr>
      <w:rFonts w:ascii="Times New Roman"/>
      <w:sz w:val="24"/>
      <w:szCs w:val="24"/>
    </w:rPr>
  </w:style>
  <w:style w:type="paragraph" w:styleId="1383" w:customStyle="1">
    <w:name w:val="标题1"/>
    <w:basedOn w:val="1225"/>
    <w:next w:val="1225"/>
    <w:link w:val="1384"/>
    <w:uiPriority w:val="10"/>
    <w:qFormat/>
    <w:pPr>
      <w:contextualSpacing/>
      <w:spacing w:before="300" w:after="200"/>
    </w:pPr>
    <w:rPr>
      <w:rFonts w:eastAsia="宋体"/>
      <w:sz w:val="48"/>
      <w:szCs w:val="48"/>
    </w:rPr>
  </w:style>
  <w:style w:type="character" w:styleId="1384" w:customStyle="1">
    <w:name w:val="标题 Char"/>
    <w:link w:val="1383"/>
    <w:uiPriority w:val="10"/>
    <w:qFormat/>
    <w:rPr>
      <w:sz w:val="48"/>
      <w:szCs w:val="48"/>
    </w:rPr>
  </w:style>
  <w:style w:type="paragraph" w:styleId="1385" w:customStyle="1">
    <w:name w:val="批注主题1"/>
    <w:basedOn w:val="1346"/>
    <w:next w:val="1346"/>
    <w:link w:val="1386"/>
    <w:uiPriority w:val="99"/>
    <w:unhideWhenUsed/>
    <w:qFormat/>
    <w:rPr>
      <w:b/>
      <w:bCs/>
    </w:rPr>
  </w:style>
  <w:style w:type="character" w:styleId="1386" w:customStyle="1">
    <w:name w:val="批注主题 Char"/>
    <w:link w:val="1385"/>
    <w:uiPriority w:val="99"/>
    <w:semiHidden/>
    <w:qFormat/>
    <w:rPr>
      <w:rFonts w:eastAsia="Arial"/>
      <w:b/>
      <w:bCs/>
      <w:sz w:val="21"/>
      <w:szCs w:val="22"/>
    </w:rPr>
  </w:style>
  <w:style w:type="paragraph" w:styleId="1387" w:customStyle="1">
    <w:name w:val="正文首行缩进1"/>
    <w:basedOn w:val="1348"/>
    <w:link w:val="1388"/>
    <w:uiPriority w:val="99"/>
    <w:unhideWhenUsed/>
    <w:qFormat/>
    <w:pPr>
      <w:ind w:firstLine="420"/>
    </w:pPr>
    <w:rPr>
      <w:szCs w:val="22"/>
    </w:rPr>
  </w:style>
  <w:style w:type="character" w:styleId="1388" w:customStyle="1">
    <w:name w:val="正文首行缩进 Char"/>
    <w:link w:val="1387"/>
    <w:uiPriority w:val="99"/>
    <w:qFormat/>
    <w:rPr>
      <w:rFonts w:eastAsia="Arial"/>
      <w:sz w:val="21"/>
      <w:szCs w:val="22"/>
    </w:rPr>
  </w:style>
  <w:style w:type="table" w:styleId="1389" w:customStyle="1">
    <w:name w:val="网格型11"/>
    <w:uiPriority w:val="59"/>
    <w:qFormat/>
    <w:rPr>
      <w:lang w:val="en-US" w:eastAsia="zh-CN" w:bidi="ar-SA"/>
    </w:rPr>
    <w:tblPr/>
  </w:style>
  <w:style w:type="character" w:styleId="1390" w:customStyle="1">
    <w:name w:val="要点1"/>
    <w:link w:val="1225"/>
    <w:uiPriority w:val="22"/>
    <w:qFormat/>
    <w:rPr>
      <w:b/>
    </w:rPr>
  </w:style>
  <w:style w:type="character" w:styleId="1391" w:customStyle="1">
    <w:name w:val="尾注引用1"/>
    <w:link w:val="1225"/>
    <w:uiPriority w:val="99"/>
    <w:unhideWhenUsed/>
    <w:qFormat/>
    <w:rPr>
      <w:vertAlign w:val="superscript"/>
    </w:rPr>
  </w:style>
  <w:style w:type="character" w:styleId="1392" w:customStyle="1">
    <w:name w:val="强调1"/>
    <w:link w:val="1225"/>
    <w:uiPriority w:val="20"/>
    <w:qFormat/>
    <w:rPr>
      <w:i/>
    </w:rPr>
  </w:style>
  <w:style w:type="character" w:styleId="1393" w:customStyle="1">
    <w:name w:val="超链接1"/>
    <w:link w:val="1225"/>
    <w:uiPriority w:val="99"/>
    <w:unhideWhenUsed/>
    <w:qFormat/>
    <w:rPr>
      <w:color w:val="0000ff"/>
      <w:u w:val="single"/>
    </w:rPr>
  </w:style>
  <w:style w:type="character" w:styleId="1394" w:customStyle="1">
    <w:name w:val="批注引用1"/>
    <w:link w:val="1225"/>
    <w:uiPriority w:val="99"/>
    <w:unhideWhenUsed/>
    <w:qFormat/>
    <w:rPr>
      <w:sz w:val="21"/>
      <w:szCs w:val="21"/>
    </w:rPr>
  </w:style>
  <w:style w:type="character" w:styleId="1395" w:customStyle="1">
    <w:name w:val="脚注引用1"/>
    <w:link w:val="1225"/>
    <w:uiPriority w:val="99"/>
    <w:unhideWhenUsed/>
    <w:qFormat/>
    <w:rPr>
      <w:vertAlign w:val="superscript"/>
    </w:rPr>
  </w:style>
  <w:style w:type="character" w:styleId="1396" w:customStyle="1">
    <w:name w:val="页码11"/>
    <w:link w:val="1225"/>
    <w:uiPriority w:val="0"/>
    <w:qFormat/>
    <w:rPr>
      <w:rFonts w:eastAsia="Arial"/>
      <w:sz w:val="21"/>
      <w:szCs w:val="22"/>
      <w:lang w:val="en-US" w:eastAsia="zh-CN" w:bidi="ar-SA"/>
    </w:rPr>
  </w:style>
  <w:style w:type="paragraph" w:styleId="1397" w:customStyle="1">
    <w:name w:val="正文文本12"/>
    <w:basedOn w:val="1225"/>
    <w:next w:val="1225"/>
    <w:uiPriority w:val="0"/>
    <w:unhideWhenUsed/>
    <w:qFormat/>
    <w:pPr>
      <w:spacing w:after="120"/>
    </w:pPr>
  </w:style>
  <w:style w:type="paragraph" w:styleId="1398" w:customStyle="1">
    <w:name w:val="列出段落"/>
    <w:basedOn w:val="1225"/>
    <w:link w:val="1399"/>
    <w:uiPriority w:val="34"/>
    <w:qFormat/>
    <w:pPr>
      <w:contextualSpacing/>
      <w:ind w:left="720"/>
    </w:pPr>
    <w:rPr>
      <w:rFonts w:eastAsia="Arial"/>
      <w:sz w:val="21"/>
      <w:szCs w:val="22"/>
      <w:lang w:val="en-US" w:eastAsia="zh-CN" w:bidi="ar-SA"/>
    </w:rPr>
  </w:style>
  <w:style w:type="character" w:styleId="1399" w:customStyle="1">
    <w:name w:val="列出段落 Char"/>
    <w:link w:val="1398"/>
    <w:uiPriority w:val="34"/>
    <w:qFormat/>
    <w:rPr>
      <w:rFonts w:eastAsia="Arial"/>
      <w:sz w:val="21"/>
      <w:szCs w:val="22"/>
    </w:rPr>
  </w:style>
  <w:style w:type="paragraph" w:styleId="1400" w:customStyle="1">
    <w:name w:val="一级条标题"/>
    <w:basedOn w:val="1401"/>
    <w:next w:val="1402"/>
    <w:uiPriority w:val="0"/>
    <w:qFormat/>
    <w:pPr>
      <w:numPr>
        <w:ilvl w:val="2"/>
        <w:numId w:val="1"/>
      </w:numPr>
    </w:pPr>
    <w:rPr>
      <w:rFonts w:ascii="Calibri" w:hAnsi="Calibri" w:eastAsia="宋体" w:cs="Times New Roman"/>
    </w:rPr>
  </w:style>
  <w:style w:type="paragraph" w:styleId="1401" w:customStyle="1">
    <w:name w:val="章标题"/>
    <w:next w:val="1225"/>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paragraph" w:styleId="1402" w:customStyle="1">
    <w:name w:val="段"/>
    <w:basedOn w:val="1225"/>
    <w:next w:val="1225"/>
    <w:uiPriority w:val="0"/>
    <w:qFormat/>
    <w:pPr>
      <w:ind w:firstLine="200"/>
      <w:widowControl/>
    </w:pPr>
    <w:rPr>
      <w:rFonts w:hint="eastAsia" w:ascii="宋体" w:hAnsi="Times New Roman" w:eastAsia="宋体" w:cs="Times New Roman"/>
      <w:szCs w:val="20"/>
    </w:rPr>
  </w:style>
  <w:style w:type="paragraph" w:styleId="1403" w:customStyle="1">
    <w:name w:val="正文首行缩进 21"/>
    <w:basedOn w:val="1404"/>
    <w:uiPriority w:val="0"/>
    <w:qFormat/>
    <w:pPr>
      <w:ind w:firstLine="420"/>
      <w:spacing w:line="360" w:lineRule="auto"/>
    </w:pPr>
    <w:rPr>
      <w:szCs w:val="20"/>
    </w:rPr>
  </w:style>
  <w:style w:type="paragraph" w:styleId="1404" w:customStyle="1">
    <w:name w:val="正文文本缩进1"/>
    <w:basedOn w:val="1225"/>
    <w:uiPriority w:val="0"/>
    <w:qFormat/>
    <w:pPr>
      <w:ind w:firstLine="403"/>
      <w:spacing w:line="440" w:lineRule="exact"/>
    </w:pPr>
    <w:rPr>
      <w:rFonts w:ascii="宋体" w:hAnsi="宋体" w:eastAsia="宋体"/>
      <w:sz w:val="20"/>
      <w:szCs w:val="21"/>
    </w:rPr>
  </w:style>
  <w:style w:type="paragraph" w:styleId="1405" w:customStyle="1">
    <w:name w:val="寄信人地址1"/>
    <w:basedOn w:val="1225"/>
    <w:uiPriority w:val="0"/>
    <w:qFormat/>
  </w:style>
  <w:style w:type="paragraph" w:styleId="1406" w:customStyle="1">
    <w:name w:val="无间隔"/>
    <w:uiPriority w:val="1"/>
    <w:qFormat/>
    <w:rPr>
      <w:rFonts w:hint="default" w:ascii="Times New Roman" w:hAnsi="Times New Roman" w:eastAsia="Arial" w:cs="Times New Roman"/>
      <w:sz w:val="21"/>
      <w:szCs w:val="22"/>
      <w:lang w:val="en-US" w:eastAsia="zh-CN" w:bidi="ar-SA"/>
    </w:rPr>
  </w:style>
  <w:style w:type="paragraph" w:styleId="1407" w:customStyle="1">
    <w:name w:val="引用"/>
    <w:link w:val="1408"/>
    <w:uiPriority w:val="29"/>
    <w:qFormat/>
    <w:pPr>
      <w:ind w:left="720" w:right="720"/>
    </w:pPr>
    <w:rPr>
      <w:rFonts w:hint="default" w:ascii="Times New Roman" w:hAnsi="Times New Roman" w:eastAsia="宋体" w:cs="Times New Roman"/>
      <w:i/>
      <w:lang w:val="en-US" w:eastAsia="zh-CN" w:bidi="ar-SA"/>
    </w:rPr>
  </w:style>
  <w:style w:type="character" w:styleId="1408" w:customStyle="1">
    <w:name w:val="引用 Char"/>
    <w:link w:val="1407"/>
    <w:uiPriority w:val="29"/>
    <w:qFormat/>
    <w:rPr>
      <w:i/>
      <w:lang w:val="en-US" w:eastAsia="zh-CN" w:bidi="ar-SA"/>
    </w:rPr>
  </w:style>
  <w:style w:type="paragraph" w:styleId="1409" w:customStyle="1">
    <w:name w:val="明显引用"/>
    <w:link w:val="14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410" w:customStyle="1">
    <w:name w:val="明显引用 Char"/>
    <w:link w:val="1409"/>
    <w:uiPriority w:val="30"/>
    <w:qFormat/>
    <w:rPr>
      <w:i/>
      <w:shd w:val="clear" w:color="auto" w:fill="f2f2f2"/>
      <w:lang w:val="en-US" w:eastAsia="zh-CN" w:bidi="ar-SA"/>
    </w:rPr>
  </w:style>
  <w:style w:type="table" w:styleId="1411" w:customStyle="1">
    <w:name w:val="Table Grid Light"/>
    <w:uiPriority w:val="59"/>
    <w:qFormat/>
    <w:rPr>
      <w:lang w:val="en-US" w:eastAsia="zh-CN" w:bidi="ar-SA"/>
    </w:rPr>
    <w:tblPr/>
  </w:style>
  <w:style w:type="table" w:styleId="1412" w:customStyle="1">
    <w:name w:val="Plain Table 1"/>
    <w:uiPriority w:val="59"/>
    <w:qFormat/>
    <w:rPr>
      <w:lang w:val="en-US" w:eastAsia="zh-CN" w:bidi="ar-SA"/>
    </w:rPr>
    <w:tblPr/>
  </w:style>
  <w:style w:type="table" w:styleId="1413" w:customStyle="1">
    <w:name w:val="Plain Table 2"/>
    <w:uiPriority w:val="59"/>
    <w:qFormat/>
    <w:rPr>
      <w:lang w:val="en-US" w:eastAsia="zh-CN" w:bidi="ar-SA"/>
    </w:rPr>
    <w:tblPr/>
  </w:style>
  <w:style w:type="table" w:styleId="1414" w:customStyle="1">
    <w:name w:val="Plain Table 3"/>
    <w:uiPriority w:val="99"/>
    <w:qFormat/>
    <w:rPr>
      <w:lang w:val="en-US" w:eastAsia="zh-CN" w:bidi="ar-SA"/>
    </w:rPr>
    <w:tblPr/>
  </w:style>
  <w:style w:type="table" w:styleId="1415" w:customStyle="1">
    <w:name w:val="Plain Table 4"/>
    <w:uiPriority w:val="99"/>
    <w:qFormat/>
    <w:rPr>
      <w:lang w:val="en-US" w:eastAsia="zh-CN" w:bidi="ar-SA"/>
    </w:rPr>
    <w:tblPr/>
  </w:style>
  <w:style w:type="table" w:styleId="1416" w:customStyle="1">
    <w:name w:val="Plain Table 5"/>
    <w:uiPriority w:val="99"/>
    <w:qFormat/>
    <w:rPr>
      <w:lang w:val="en-US" w:eastAsia="zh-CN" w:bidi="ar-SA"/>
    </w:rPr>
    <w:tblPr/>
  </w:style>
  <w:style w:type="table" w:styleId="1417" w:customStyle="1">
    <w:name w:val="Grid Table 1 Light"/>
    <w:uiPriority w:val="99"/>
    <w:qFormat/>
    <w:rPr>
      <w:lang w:val="en-US" w:eastAsia="zh-CN" w:bidi="ar-SA"/>
    </w:rPr>
    <w:tblPr/>
  </w:style>
  <w:style w:type="table" w:styleId="1418" w:customStyle="1">
    <w:name w:val="Grid Table 1 Light - Accent 1"/>
    <w:uiPriority w:val="99"/>
    <w:qFormat/>
    <w:rPr>
      <w:lang w:val="en-US" w:eastAsia="zh-CN" w:bidi="ar-SA"/>
    </w:rPr>
    <w:tblPr/>
  </w:style>
  <w:style w:type="table" w:styleId="1419" w:customStyle="1">
    <w:name w:val="Grid Table 1 Light - Accent 2"/>
    <w:uiPriority w:val="99"/>
    <w:qFormat/>
    <w:rPr>
      <w:lang w:val="en-US" w:eastAsia="zh-CN" w:bidi="ar-SA"/>
    </w:rPr>
    <w:tblPr/>
  </w:style>
  <w:style w:type="table" w:styleId="1420" w:customStyle="1">
    <w:name w:val="Grid Table 1 Light - Accent 3"/>
    <w:uiPriority w:val="99"/>
    <w:qFormat/>
    <w:rPr>
      <w:lang w:val="en-US" w:eastAsia="zh-CN" w:bidi="ar-SA"/>
    </w:rPr>
    <w:tblPr/>
  </w:style>
  <w:style w:type="table" w:styleId="1421" w:customStyle="1">
    <w:name w:val="Grid Table 1 Light - Accent 4"/>
    <w:uiPriority w:val="99"/>
    <w:qFormat/>
    <w:rPr>
      <w:lang w:val="en-US" w:eastAsia="zh-CN" w:bidi="ar-SA"/>
    </w:rPr>
    <w:tblPr/>
  </w:style>
  <w:style w:type="table" w:styleId="1422" w:customStyle="1">
    <w:name w:val="Grid Table 1 Light - Accent 5"/>
    <w:uiPriority w:val="99"/>
    <w:qFormat/>
    <w:rPr>
      <w:lang w:val="en-US" w:eastAsia="zh-CN" w:bidi="ar-SA"/>
    </w:rPr>
    <w:tblPr/>
  </w:style>
  <w:style w:type="table" w:styleId="1423" w:customStyle="1">
    <w:name w:val="Grid Table 1 Light - Accent 6"/>
    <w:uiPriority w:val="99"/>
    <w:qFormat/>
    <w:rPr>
      <w:lang w:val="en-US" w:eastAsia="zh-CN" w:bidi="ar-SA"/>
    </w:rPr>
    <w:tblPr/>
  </w:style>
  <w:style w:type="table" w:styleId="1424" w:customStyle="1">
    <w:name w:val="Grid Table 2"/>
    <w:uiPriority w:val="99"/>
    <w:qFormat/>
    <w:rPr>
      <w:lang w:val="en-US" w:eastAsia="zh-CN" w:bidi="ar-SA"/>
    </w:rPr>
    <w:tblPr/>
  </w:style>
  <w:style w:type="table" w:styleId="1425" w:customStyle="1">
    <w:name w:val="Grid Table 2 - Accent 1"/>
    <w:uiPriority w:val="99"/>
    <w:qFormat/>
    <w:rPr>
      <w:lang w:val="en-US" w:eastAsia="zh-CN" w:bidi="ar-SA"/>
    </w:rPr>
    <w:tblPr/>
  </w:style>
  <w:style w:type="table" w:styleId="1426" w:customStyle="1">
    <w:name w:val="Grid Table 2 - Accent 2"/>
    <w:uiPriority w:val="99"/>
    <w:qFormat/>
    <w:rPr>
      <w:lang w:val="en-US" w:eastAsia="zh-CN" w:bidi="ar-SA"/>
    </w:rPr>
    <w:tblPr/>
  </w:style>
  <w:style w:type="table" w:styleId="1427" w:customStyle="1">
    <w:name w:val="Grid Table 2 - Accent 3"/>
    <w:uiPriority w:val="99"/>
    <w:qFormat/>
    <w:rPr>
      <w:lang w:val="en-US" w:eastAsia="zh-CN" w:bidi="ar-SA"/>
    </w:rPr>
    <w:tblPr/>
  </w:style>
  <w:style w:type="table" w:styleId="1428" w:customStyle="1">
    <w:name w:val="Grid Table 2 - Accent 4"/>
    <w:uiPriority w:val="99"/>
    <w:qFormat/>
    <w:rPr>
      <w:lang w:val="en-US" w:eastAsia="zh-CN" w:bidi="ar-SA"/>
    </w:rPr>
    <w:tblPr/>
  </w:style>
  <w:style w:type="table" w:styleId="1429" w:customStyle="1">
    <w:name w:val="Grid Table 2 - Accent 5"/>
    <w:uiPriority w:val="99"/>
    <w:qFormat/>
    <w:rPr>
      <w:lang w:val="en-US" w:eastAsia="zh-CN" w:bidi="ar-SA"/>
    </w:rPr>
    <w:tblPr/>
  </w:style>
  <w:style w:type="table" w:styleId="1430" w:customStyle="1">
    <w:name w:val="Grid Table 2 - Accent 6"/>
    <w:uiPriority w:val="99"/>
    <w:qFormat/>
    <w:rPr>
      <w:lang w:val="en-US" w:eastAsia="zh-CN" w:bidi="ar-SA"/>
    </w:rPr>
    <w:tblPr/>
  </w:style>
  <w:style w:type="table" w:styleId="1431" w:customStyle="1">
    <w:name w:val="Grid Table 3"/>
    <w:uiPriority w:val="99"/>
    <w:qFormat/>
    <w:rPr>
      <w:lang w:val="en-US" w:eastAsia="zh-CN" w:bidi="ar-SA"/>
    </w:rPr>
    <w:tblPr/>
  </w:style>
  <w:style w:type="table" w:styleId="1432" w:customStyle="1">
    <w:name w:val="Grid Table 3 - Accent 1"/>
    <w:uiPriority w:val="99"/>
    <w:qFormat/>
    <w:rPr>
      <w:lang w:val="en-US" w:eastAsia="zh-CN" w:bidi="ar-SA"/>
    </w:rPr>
    <w:tblPr/>
  </w:style>
  <w:style w:type="table" w:styleId="1433" w:customStyle="1">
    <w:name w:val="Grid Table 3 - Accent 2"/>
    <w:uiPriority w:val="99"/>
    <w:qFormat/>
    <w:rPr>
      <w:lang w:val="en-US" w:eastAsia="zh-CN" w:bidi="ar-SA"/>
    </w:rPr>
    <w:tblPr/>
  </w:style>
  <w:style w:type="table" w:styleId="1434" w:customStyle="1">
    <w:name w:val="Grid Table 3 - Accent 3"/>
    <w:uiPriority w:val="99"/>
    <w:qFormat/>
    <w:rPr>
      <w:lang w:val="en-US" w:eastAsia="zh-CN" w:bidi="ar-SA"/>
    </w:rPr>
    <w:tblPr/>
  </w:style>
  <w:style w:type="table" w:styleId="1435" w:customStyle="1">
    <w:name w:val="Grid Table 3 - Accent 4"/>
    <w:uiPriority w:val="99"/>
    <w:qFormat/>
    <w:rPr>
      <w:lang w:val="en-US" w:eastAsia="zh-CN" w:bidi="ar-SA"/>
    </w:rPr>
    <w:tblPr/>
  </w:style>
  <w:style w:type="table" w:styleId="1436" w:customStyle="1">
    <w:name w:val="Grid Table 3 - Accent 5"/>
    <w:uiPriority w:val="99"/>
    <w:qFormat/>
    <w:rPr>
      <w:lang w:val="en-US" w:eastAsia="zh-CN" w:bidi="ar-SA"/>
    </w:rPr>
    <w:tblPr/>
  </w:style>
  <w:style w:type="table" w:styleId="1437" w:customStyle="1">
    <w:name w:val="Grid Table 3 - Accent 6"/>
    <w:uiPriority w:val="99"/>
    <w:qFormat/>
    <w:rPr>
      <w:lang w:val="en-US" w:eastAsia="zh-CN" w:bidi="ar-SA"/>
    </w:rPr>
    <w:tblPr/>
  </w:style>
  <w:style w:type="table" w:styleId="1438" w:customStyle="1">
    <w:name w:val="Grid Table 4"/>
    <w:uiPriority w:val="59"/>
    <w:qFormat/>
    <w:rPr>
      <w:lang w:val="en-US" w:eastAsia="zh-CN" w:bidi="ar-SA"/>
    </w:rPr>
    <w:tblPr/>
  </w:style>
  <w:style w:type="table" w:styleId="1439" w:customStyle="1">
    <w:name w:val="Grid Table 4 - Accent 1"/>
    <w:uiPriority w:val="59"/>
    <w:qFormat/>
    <w:rPr>
      <w:lang w:val="en-US" w:eastAsia="zh-CN" w:bidi="ar-SA"/>
    </w:rPr>
    <w:tblPr/>
  </w:style>
  <w:style w:type="table" w:styleId="1440" w:customStyle="1">
    <w:name w:val="Grid Table 4 - Accent 2"/>
    <w:uiPriority w:val="59"/>
    <w:qFormat/>
    <w:rPr>
      <w:lang w:val="en-US" w:eastAsia="zh-CN" w:bidi="ar-SA"/>
    </w:rPr>
    <w:tblPr/>
  </w:style>
  <w:style w:type="table" w:styleId="1441" w:customStyle="1">
    <w:name w:val="Grid Table 4 - Accent 3"/>
    <w:uiPriority w:val="59"/>
    <w:qFormat/>
    <w:rPr>
      <w:lang w:val="en-US" w:eastAsia="zh-CN" w:bidi="ar-SA"/>
    </w:rPr>
    <w:tblPr/>
  </w:style>
  <w:style w:type="table" w:styleId="1442" w:customStyle="1">
    <w:name w:val="Grid Table 4 - Accent 4"/>
    <w:uiPriority w:val="59"/>
    <w:qFormat/>
    <w:rPr>
      <w:lang w:val="en-US" w:eastAsia="zh-CN" w:bidi="ar-SA"/>
    </w:rPr>
    <w:tblPr/>
  </w:style>
  <w:style w:type="table" w:styleId="1443" w:customStyle="1">
    <w:name w:val="Grid Table 4 - Accent 5"/>
    <w:uiPriority w:val="59"/>
    <w:qFormat/>
    <w:rPr>
      <w:lang w:val="en-US" w:eastAsia="zh-CN" w:bidi="ar-SA"/>
    </w:rPr>
    <w:tblPr/>
  </w:style>
  <w:style w:type="table" w:styleId="1444" w:customStyle="1">
    <w:name w:val="Grid Table 4 - Accent 6"/>
    <w:uiPriority w:val="59"/>
    <w:qFormat/>
    <w:rPr>
      <w:lang w:val="en-US" w:eastAsia="zh-CN" w:bidi="ar-SA"/>
    </w:rPr>
    <w:tblPr/>
  </w:style>
  <w:style w:type="table" w:styleId="1445" w:customStyle="1">
    <w:name w:val="Grid Table 5 Dark"/>
    <w:uiPriority w:val="99"/>
    <w:qFormat/>
    <w:rPr>
      <w:lang w:val="en-US" w:eastAsia="zh-CN" w:bidi="ar-SA"/>
    </w:rPr>
    <w:tblPr/>
  </w:style>
  <w:style w:type="table" w:styleId="1446" w:customStyle="1">
    <w:name w:val="Grid Table 5 Dark- Accent 1"/>
    <w:uiPriority w:val="99"/>
    <w:qFormat/>
    <w:rPr>
      <w:lang w:val="en-US" w:eastAsia="zh-CN" w:bidi="ar-SA"/>
    </w:rPr>
    <w:tblPr/>
  </w:style>
  <w:style w:type="table" w:styleId="1447" w:customStyle="1">
    <w:name w:val="Grid Table 5 Dark - Accent 2"/>
    <w:uiPriority w:val="99"/>
    <w:qFormat/>
    <w:rPr>
      <w:lang w:val="en-US" w:eastAsia="zh-CN" w:bidi="ar-SA"/>
    </w:rPr>
    <w:tblPr/>
  </w:style>
  <w:style w:type="table" w:styleId="1448" w:customStyle="1">
    <w:name w:val="Grid Table 5 Dark - Accent 3"/>
    <w:uiPriority w:val="99"/>
    <w:qFormat/>
    <w:rPr>
      <w:lang w:val="en-US" w:eastAsia="zh-CN" w:bidi="ar-SA"/>
    </w:rPr>
    <w:tblPr/>
  </w:style>
  <w:style w:type="table" w:styleId="1449" w:customStyle="1">
    <w:name w:val="Grid Table 5 Dark- Accent 4"/>
    <w:uiPriority w:val="99"/>
    <w:qFormat/>
    <w:rPr>
      <w:lang w:val="en-US" w:eastAsia="zh-CN" w:bidi="ar-SA"/>
    </w:rPr>
    <w:tblPr/>
  </w:style>
  <w:style w:type="table" w:styleId="1450" w:customStyle="1">
    <w:name w:val="Grid Table 5 Dark - Accent 5"/>
    <w:uiPriority w:val="99"/>
    <w:qFormat/>
    <w:rPr>
      <w:lang w:val="en-US" w:eastAsia="zh-CN" w:bidi="ar-SA"/>
    </w:rPr>
    <w:tblPr/>
  </w:style>
  <w:style w:type="table" w:styleId="1451" w:customStyle="1">
    <w:name w:val="Grid Table 5 Dark - Accent 6"/>
    <w:uiPriority w:val="99"/>
    <w:qFormat/>
    <w:rPr>
      <w:lang w:val="en-US" w:eastAsia="zh-CN" w:bidi="ar-SA"/>
    </w:rPr>
    <w:tblPr/>
  </w:style>
  <w:style w:type="table" w:styleId="1452" w:customStyle="1">
    <w:name w:val="Grid Table 6 Colorful"/>
    <w:uiPriority w:val="99"/>
    <w:qFormat/>
    <w:rPr>
      <w:lang w:val="en-US" w:eastAsia="zh-CN" w:bidi="ar-SA"/>
    </w:rPr>
    <w:tblPr/>
  </w:style>
  <w:style w:type="table" w:styleId="1453" w:customStyle="1">
    <w:name w:val="Grid Table 6 Colorful - Accent 1"/>
    <w:uiPriority w:val="99"/>
    <w:qFormat/>
    <w:rPr>
      <w:lang w:val="en-US" w:eastAsia="zh-CN" w:bidi="ar-SA"/>
    </w:rPr>
    <w:tblPr/>
  </w:style>
  <w:style w:type="table" w:styleId="1454" w:customStyle="1">
    <w:name w:val="Grid Table 6 Colorful - Accent 2"/>
    <w:uiPriority w:val="99"/>
    <w:qFormat/>
    <w:rPr>
      <w:lang w:val="en-US" w:eastAsia="zh-CN" w:bidi="ar-SA"/>
    </w:rPr>
    <w:tblPr/>
  </w:style>
  <w:style w:type="table" w:styleId="1455" w:customStyle="1">
    <w:name w:val="Grid Table 6 Colorful - Accent 3"/>
    <w:uiPriority w:val="99"/>
    <w:qFormat/>
    <w:rPr>
      <w:lang w:val="en-US" w:eastAsia="zh-CN" w:bidi="ar-SA"/>
    </w:rPr>
    <w:tblPr/>
  </w:style>
  <w:style w:type="table" w:styleId="1456" w:customStyle="1">
    <w:name w:val="Grid Table 6 Colorful - Accent 4"/>
    <w:uiPriority w:val="99"/>
    <w:qFormat/>
    <w:rPr>
      <w:lang w:val="en-US" w:eastAsia="zh-CN" w:bidi="ar-SA"/>
    </w:rPr>
    <w:tblPr/>
  </w:style>
  <w:style w:type="table" w:styleId="1457" w:customStyle="1">
    <w:name w:val="Grid Table 6 Colorful - Accent 5"/>
    <w:uiPriority w:val="99"/>
    <w:qFormat/>
    <w:rPr>
      <w:lang w:val="en-US" w:eastAsia="zh-CN" w:bidi="ar-SA"/>
    </w:rPr>
    <w:tblPr/>
  </w:style>
  <w:style w:type="table" w:styleId="1458" w:customStyle="1">
    <w:name w:val="Grid Table 6 Colorful - Accent 6"/>
    <w:uiPriority w:val="99"/>
    <w:qFormat/>
    <w:rPr>
      <w:lang w:val="en-US" w:eastAsia="zh-CN" w:bidi="ar-SA"/>
    </w:rPr>
    <w:tblPr/>
  </w:style>
  <w:style w:type="table" w:styleId="1459" w:customStyle="1">
    <w:name w:val="Grid Table 7 Colorful"/>
    <w:uiPriority w:val="99"/>
    <w:qFormat/>
    <w:rPr>
      <w:lang w:val="en-US" w:eastAsia="zh-CN" w:bidi="ar-SA"/>
    </w:rPr>
    <w:tblPr/>
  </w:style>
  <w:style w:type="table" w:styleId="1460" w:customStyle="1">
    <w:name w:val="Grid Table 7 Colorful - Accent 1"/>
    <w:uiPriority w:val="99"/>
    <w:qFormat/>
    <w:rPr>
      <w:lang w:val="en-US" w:eastAsia="zh-CN" w:bidi="ar-SA"/>
    </w:rPr>
    <w:tblPr/>
  </w:style>
  <w:style w:type="table" w:styleId="1461" w:customStyle="1">
    <w:name w:val="Grid Table 7 Colorful - Accent 2"/>
    <w:uiPriority w:val="99"/>
    <w:qFormat/>
    <w:rPr>
      <w:lang w:val="en-US" w:eastAsia="zh-CN" w:bidi="ar-SA"/>
    </w:rPr>
    <w:tblPr/>
  </w:style>
  <w:style w:type="table" w:styleId="1462" w:customStyle="1">
    <w:name w:val="Grid Table 7 Colorful - Accent 3"/>
    <w:uiPriority w:val="99"/>
    <w:qFormat/>
    <w:rPr>
      <w:lang w:val="en-US" w:eastAsia="zh-CN" w:bidi="ar-SA"/>
    </w:rPr>
    <w:tblPr/>
  </w:style>
  <w:style w:type="table" w:styleId="1463" w:customStyle="1">
    <w:name w:val="Grid Table 7 Colorful - Accent 4"/>
    <w:uiPriority w:val="99"/>
    <w:qFormat/>
    <w:rPr>
      <w:lang w:val="en-US" w:eastAsia="zh-CN" w:bidi="ar-SA"/>
    </w:rPr>
    <w:tblPr/>
  </w:style>
  <w:style w:type="table" w:styleId="1464" w:customStyle="1">
    <w:name w:val="Grid Table 7 Colorful - Accent 5"/>
    <w:uiPriority w:val="99"/>
    <w:qFormat/>
    <w:rPr>
      <w:lang w:val="en-US" w:eastAsia="zh-CN" w:bidi="ar-SA"/>
    </w:rPr>
    <w:tblPr/>
  </w:style>
  <w:style w:type="table" w:styleId="1465" w:customStyle="1">
    <w:name w:val="Grid Table 7 Colorful - Accent 6"/>
    <w:uiPriority w:val="99"/>
    <w:qFormat/>
    <w:rPr>
      <w:lang w:val="en-US" w:eastAsia="zh-CN" w:bidi="ar-SA"/>
    </w:rPr>
    <w:tblPr/>
  </w:style>
  <w:style w:type="table" w:styleId="1466" w:customStyle="1">
    <w:name w:val="List Table 1 Light"/>
    <w:uiPriority w:val="99"/>
    <w:qFormat/>
    <w:rPr>
      <w:lang w:val="en-US" w:eastAsia="zh-CN" w:bidi="ar-SA"/>
    </w:rPr>
    <w:tblPr/>
  </w:style>
  <w:style w:type="table" w:styleId="1467" w:customStyle="1">
    <w:name w:val="List Table 1 Light - Accent 1"/>
    <w:uiPriority w:val="99"/>
    <w:qFormat/>
    <w:rPr>
      <w:lang w:val="en-US" w:eastAsia="zh-CN" w:bidi="ar-SA"/>
    </w:rPr>
    <w:tblPr/>
  </w:style>
  <w:style w:type="table" w:styleId="1468" w:customStyle="1">
    <w:name w:val="List Table 1 Light - Accent 2"/>
    <w:uiPriority w:val="99"/>
    <w:qFormat/>
    <w:rPr>
      <w:lang w:val="en-US" w:eastAsia="zh-CN" w:bidi="ar-SA"/>
    </w:rPr>
    <w:tblPr/>
  </w:style>
  <w:style w:type="table" w:styleId="1469" w:customStyle="1">
    <w:name w:val="List Table 1 Light - Accent 3"/>
    <w:uiPriority w:val="99"/>
    <w:qFormat/>
    <w:rPr>
      <w:lang w:val="en-US" w:eastAsia="zh-CN" w:bidi="ar-SA"/>
    </w:rPr>
    <w:tblPr/>
  </w:style>
  <w:style w:type="table" w:styleId="1470" w:customStyle="1">
    <w:name w:val="List Table 1 Light - Accent 4"/>
    <w:uiPriority w:val="99"/>
    <w:qFormat/>
    <w:rPr>
      <w:lang w:val="en-US" w:eastAsia="zh-CN" w:bidi="ar-SA"/>
    </w:rPr>
    <w:tblPr/>
  </w:style>
  <w:style w:type="table" w:styleId="1471" w:customStyle="1">
    <w:name w:val="List Table 1 Light - Accent 5"/>
    <w:uiPriority w:val="99"/>
    <w:qFormat/>
    <w:rPr>
      <w:lang w:val="en-US" w:eastAsia="zh-CN" w:bidi="ar-SA"/>
    </w:rPr>
    <w:tblPr/>
  </w:style>
  <w:style w:type="table" w:styleId="1472" w:customStyle="1">
    <w:name w:val="List Table 1 Light - Accent 6"/>
    <w:uiPriority w:val="99"/>
    <w:qFormat/>
    <w:rPr>
      <w:lang w:val="en-US" w:eastAsia="zh-CN" w:bidi="ar-SA"/>
    </w:rPr>
    <w:tblPr/>
  </w:style>
  <w:style w:type="table" w:styleId="1473" w:customStyle="1">
    <w:name w:val="List Table 2"/>
    <w:uiPriority w:val="99"/>
    <w:qFormat/>
    <w:rPr>
      <w:lang w:val="en-US" w:eastAsia="zh-CN" w:bidi="ar-SA"/>
    </w:rPr>
    <w:tblPr/>
  </w:style>
  <w:style w:type="table" w:styleId="1474" w:customStyle="1">
    <w:name w:val="List Table 2 - Accent 1"/>
    <w:uiPriority w:val="99"/>
    <w:qFormat/>
    <w:rPr>
      <w:lang w:val="en-US" w:eastAsia="zh-CN" w:bidi="ar-SA"/>
    </w:rPr>
    <w:tblPr/>
  </w:style>
  <w:style w:type="table" w:styleId="1475" w:customStyle="1">
    <w:name w:val="List Table 2 - Accent 2"/>
    <w:uiPriority w:val="99"/>
    <w:qFormat/>
    <w:rPr>
      <w:lang w:val="en-US" w:eastAsia="zh-CN" w:bidi="ar-SA"/>
    </w:rPr>
    <w:tblPr/>
  </w:style>
  <w:style w:type="table" w:styleId="1476" w:customStyle="1">
    <w:name w:val="List Table 2 - Accent 3"/>
    <w:uiPriority w:val="99"/>
    <w:qFormat/>
    <w:rPr>
      <w:lang w:val="en-US" w:eastAsia="zh-CN" w:bidi="ar-SA"/>
    </w:rPr>
    <w:tblPr/>
  </w:style>
  <w:style w:type="table" w:styleId="1477" w:customStyle="1">
    <w:name w:val="List Table 2 - Accent 4"/>
    <w:uiPriority w:val="99"/>
    <w:qFormat/>
    <w:rPr>
      <w:lang w:val="en-US" w:eastAsia="zh-CN" w:bidi="ar-SA"/>
    </w:rPr>
    <w:tblPr/>
  </w:style>
  <w:style w:type="table" w:styleId="1478" w:customStyle="1">
    <w:name w:val="List Table 2 - Accent 5"/>
    <w:uiPriority w:val="99"/>
    <w:qFormat/>
    <w:rPr>
      <w:lang w:val="en-US" w:eastAsia="zh-CN" w:bidi="ar-SA"/>
    </w:rPr>
    <w:tblPr/>
  </w:style>
  <w:style w:type="table" w:styleId="1479" w:customStyle="1">
    <w:name w:val="List Table 2 - Accent 6"/>
    <w:uiPriority w:val="99"/>
    <w:qFormat/>
    <w:rPr>
      <w:lang w:val="en-US" w:eastAsia="zh-CN" w:bidi="ar-SA"/>
    </w:rPr>
    <w:tblPr/>
  </w:style>
  <w:style w:type="table" w:styleId="1480" w:customStyle="1">
    <w:name w:val="List Table 3"/>
    <w:uiPriority w:val="99"/>
    <w:qFormat/>
    <w:rPr>
      <w:lang w:val="en-US" w:eastAsia="zh-CN" w:bidi="ar-SA"/>
    </w:rPr>
    <w:tblPr/>
  </w:style>
  <w:style w:type="table" w:styleId="1481" w:customStyle="1">
    <w:name w:val="List Table 3 - Accent 1"/>
    <w:uiPriority w:val="99"/>
    <w:qFormat/>
    <w:rPr>
      <w:lang w:val="en-US" w:eastAsia="zh-CN" w:bidi="ar-SA"/>
    </w:rPr>
    <w:tblPr/>
  </w:style>
  <w:style w:type="table" w:styleId="1482" w:customStyle="1">
    <w:name w:val="List Table 3 - Accent 2"/>
    <w:uiPriority w:val="99"/>
    <w:qFormat/>
    <w:rPr>
      <w:lang w:val="en-US" w:eastAsia="zh-CN" w:bidi="ar-SA"/>
    </w:rPr>
    <w:tblPr/>
  </w:style>
  <w:style w:type="table" w:styleId="1483" w:customStyle="1">
    <w:name w:val="List Table 3 - Accent 3"/>
    <w:uiPriority w:val="99"/>
    <w:qFormat/>
    <w:rPr>
      <w:lang w:val="en-US" w:eastAsia="zh-CN" w:bidi="ar-SA"/>
    </w:rPr>
    <w:tblPr/>
  </w:style>
  <w:style w:type="table" w:styleId="1484" w:customStyle="1">
    <w:name w:val="List Table 3 - Accent 4"/>
    <w:uiPriority w:val="99"/>
    <w:qFormat/>
    <w:rPr>
      <w:lang w:val="en-US" w:eastAsia="zh-CN" w:bidi="ar-SA"/>
    </w:rPr>
    <w:tblPr/>
  </w:style>
  <w:style w:type="table" w:styleId="1485" w:customStyle="1">
    <w:name w:val="List Table 3 - Accent 5"/>
    <w:uiPriority w:val="99"/>
    <w:qFormat/>
    <w:rPr>
      <w:lang w:val="en-US" w:eastAsia="zh-CN" w:bidi="ar-SA"/>
    </w:rPr>
    <w:tblPr/>
  </w:style>
  <w:style w:type="table" w:styleId="1486" w:customStyle="1">
    <w:name w:val="List Table 3 - Accent 6"/>
    <w:uiPriority w:val="99"/>
    <w:qFormat/>
    <w:rPr>
      <w:lang w:val="en-US" w:eastAsia="zh-CN" w:bidi="ar-SA"/>
    </w:rPr>
    <w:tblPr/>
  </w:style>
  <w:style w:type="table" w:styleId="1487" w:customStyle="1">
    <w:name w:val="List Table 4"/>
    <w:uiPriority w:val="99"/>
    <w:qFormat/>
    <w:rPr>
      <w:lang w:val="en-US" w:eastAsia="zh-CN" w:bidi="ar-SA"/>
    </w:rPr>
    <w:tblPr/>
  </w:style>
  <w:style w:type="table" w:styleId="1488" w:customStyle="1">
    <w:name w:val="List Table 4 - Accent 1"/>
    <w:uiPriority w:val="99"/>
    <w:qFormat/>
    <w:rPr>
      <w:lang w:val="en-US" w:eastAsia="zh-CN" w:bidi="ar-SA"/>
    </w:rPr>
    <w:tblPr/>
  </w:style>
  <w:style w:type="table" w:styleId="1489" w:customStyle="1">
    <w:name w:val="List Table 4 - Accent 2"/>
    <w:uiPriority w:val="99"/>
    <w:qFormat/>
    <w:rPr>
      <w:lang w:val="en-US" w:eastAsia="zh-CN" w:bidi="ar-SA"/>
    </w:rPr>
    <w:tblPr/>
  </w:style>
  <w:style w:type="table" w:styleId="1490" w:customStyle="1">
    <w:name w:val="List Table 4 - Accent 3"/>
    <w:uiPriority w:val="99"/>
    <w:qFormat/>
    <w:rPr>
      <w:lang w:val="en-US" w:eastAsia="zh-CN" w:bidi="ar-SA"/>
    </w:rPr>
    <w:tblPr/>
  </w:style>
  <w:style w:type="table" w:styleId="1491" w:customStyle="1">
    <w:name w:val="List Table 4 - Accent 4"/>
    <w:uiPriority w:val="99"/>
    <w:qFormat/>
    <w:rPr>
      <w:lang w:val="en-US" w:eastAsia="zh-CN" w:bidi="ar-SA"/>
    </w:rPr>
    <w:tblPr/>
  </w:style>
  <w:style w:type="table" w:styleId="1492" w:customStyle="1">
    <w:name w:val="List Table 4 - Accent 5"/>
    <w:uiPriority w:val="99"/>
    <w:qFormat/>
    <w:rPr>
      <w:lang w:val="en-US" w:eastAsia="zh-CN" w:bidi="ar-SA"/>
    </w:rPr>
    <w:tblPr/>
  </w:style>
  <w:style w:type="table" w:styleId="1493" w:customStyle="1">
    <w:name w:val="List Table 4 - Accent 6"/>
    <w:uiPriority w:val="99"/>
    <w:qFormat/>
    <w:rPr>
      <w:lang w:val="en-US" w:eastAsia="zh-CN" w:bidi="ar-SA"/>
    </w:rPr>
    <w:tblPr/>
  </w:style>
  <w:style w:type="table" w:styleId="1494" w:customStyle="1">
    <w:name w:val="List Table 5 Dark"/>
    <w:uiPriority w:val="99"/>
    <w:qFormat/>
    <w:rPr>
      <w:lang w:val="en-US" w:eastAsia="zh-CN" w:bidi="ar-SA"/>
    </w:rPr>
    <w:tblPr/>
  </w:style>
  <w:style w:type="table" w:styleId="1495" w:customStyle="1">
    <w:name w:val="List Table 5 Dark - Accent 1"/>
    <w:uiPriority w:val="99"/>
    <w:qFormat/>
    <w:rPr>
      <w:lang w:val="en-US" w:eastAsia="zh-CN" w:bidi="ar-SA"/>
    </w:rPr>
    <w:tblPr/>
  </w:style>
  <w:style w:type="table" w:styleId="1496" w:customStyle="1">
    <w:name w:val="List Table 5 Dark - Accent 2"/>
    <w:uiPriority w:val="99"/>
    <w:qFormat/>
    <w:rPr>
      <w:lang w:val="en-US" w:eastAsia="zh-CN" w:bidi="ar-SA"/>
    </w:rPr>
    <w:tblPr/>
  </w:style>
  <w:style w:type="table" w:styleId="1497" w:customStyle="1">
    <w:name w:val="List Table 5 Dark - Accent 3"/>
    <w:uiPriority w:val="99"/>
    <w:qFormat/>
    <w:rPr>
      <w:lang w:val="en-US" w:eastAsia="zh-CN" w:bidi="ar-SA"/>
    </w:rPr>
    <w:tblPr/>
  </w:style>
  <w:style w:type="table" w:styleId="1498" w:customStyle="1">
    <w:name w:val="List Table 5 Dark - Accent 4"/>
    <w:uiPriority w:val="99"/>
    <w:qFormat/>
    <w:rPr>
      <w:lang w:val="en-US" w:eastAsia="zh-CN" w:bidi="ar-SA"/>
    </w:rPr>
    <w:tblPr/>
  </w:style>
  <w:style w:type="table" w:styleId="1499" w:customStyle="1">
    <w:name w:val="List Table 5 Dark - Accent 5"/>
    <w:uiPriority w:val="99"/>
    <w:qFormat/>
    <w:rPr>
      <w:lang w:val="en-US" w:eastAsia="zh-CN" w:bidi="ar-SA"/>
    </w:rPr>
    <w:tblPr/>
  </w:style>
  <w:style w:type="table" w:styleId="1500" w:customStyle="1">
    <w:name w:val="List Table 5 Dark - Accent 6"/>
    <w:uiPriority w:val="99"/>
    <w:qFormat/>
    <w:rPr>
      <w:lang w:val="en-US" w:eastAsia="zh-CN" w:bidi="ar-SA"/>
    </w:rPr>
    <w:tblPr/>
  </w:style>
  <w:style w:type="table" w:styleId="1501" w:customStyle="1">
    <w:name w:val="List Table 6 Colorful"/>
    <w:uiPriority w:val="99"/>
    <w:qFormat/>
    <w:rPr>
      <w:lang w:val="en-US" w:eastAsia="zh-CN" w:bidi="ar-SA"/>
    </w:rPr>
    <w:tblPr/>
  </w:style>
  <w:style w:type="table" w:styleId="1502" w:customStyle="1">
    <w:name w:val="List Table 6 Colorful - Accent 1"/>
    <w:uiPriority w:val="99"/>
    <w:qFormat/>
    <w:rPr>
      <w:lang w:val="en-US" w:eastAsia="zh-CN" w:bidi="ar-SA"/>
    </w:rPr>
    <w:tblPr/>
  </w:style>
  <w:style w:type="table" w:styleId="1503" w:customStyle="1">
    <w:name w:val="List Table 6 Colorful - Accent 2"/>
    <w:uiPriority w:val="99"/>
    <w:qFormat/>
    <w:rPr>
      <w:lang w:val="en-US" w:eastAsia="zh-CN" w:bidi="ar-SA"/>
    </w:rPr>
    <w:tblPr/>
  </w:style>
  <w:style w:type="table" w:styleId="1504" w:customStyle="1">
    <w:name w:val="List Table 6 Colorful - Accent 3"/>
    <w:uiPriority w:val="99"/>
    <w:qFormat/>
    <w:rPr>
      <w:lang w:val="en-US" w:eastAsia="zh-CN" w:bidi="ar-SA"/>
    </w:rPr>
    <w:tblPr/>
  </w:style>
  <w:style w:type="table" w:styleId="1505" w:customStyle="1">
    <w:name w:val="List Table 6 Colorful - Accent 4"/>
    <w:uiPriority w:val="99"/>
    <w:qFormat/>
    <w:rPr>
      <w:lang w:val="en-US" w:eastAsia="zh-CN" w:bidi="ar-SA"/>
    </w:rPr>
    <w:tblPr/>
  </w:style>
  <w:style w:type="table" w:styleId="1506" w:customStyle="1">
    <w:name w:val="List Table 6 Colorful - Accent 5"/>
    <w:uiPriority w:val="99"/>
    <w:qFormat/>
    <w:rPr>
      <w:lang w:val="en-US" w:eastAsia="zh-CN" w:bidi="ar-SA"/>
    </w:rPr>
    <w:tblPr/>
  </w:style>
  <w:style w:type="table" w:styleId="1507" w:customStyle="1">
    <w:name w:val="List Table 6 Colorful - Accent 6"/>
    <w:uiPriority w:val="99"/>
    <w:qFormat/>
    <w:rPr>
      <w:lang w:val="en-US" w:eastAsia="zh-CN" w:bidi="ar-SA"/>
    </w:rPr>
    <w:tblPr/>
  </w:style>
  <w:style w:type="table" w:styleId="1508" w:customStyle="1">
    <w:name w:val="List Table 7 Colorful"/>
    <w:uiPriority w:val="99"/>
    <w:qFormat/>
    <w:rPr>
      <w:lang w:val="en-US" w:eastAsia="zh-CN" w:bidi="ar-SA"/>
    </w:rPr>
    <w:tblPr/>
  </w:style>
  <w:style w:type="table" w:styleId="1509" w:customStyle="1">
    <w:name w:val="List Table 7 Colorful - Accent 1"/>
    <w:uiPriority w:val="99"/>
    <w:qFormat/>
    <w:rPr>
      <w:lang w:val="en-US" w:eastAsia="zh-CN" w:bidi="ar-SA"/>
    </w:rPr>
    <w:tblPr/>
  </w:style>
  <w:style w:type="table" w:styleId="1510" w:customStyle="1">
    <w:name w:val="List Table 7 Colorful - Accent 2"/>
    <w:uiPriority w:val="99"/>
    <w:qFormat/>
    <w:rPr>
      <w:lang w:val="en-US" w:eastAsia="zh-CN" w:bidi="ar-SA"/>
    </w:rPr>
    <w:tblPr/>
  </w:style>
  <w:style w:type="table" w:styleId="1511" w:customStyle="1">
    <w:name w:val="List Table 7 Colorful - Accent 3"/>
    <w:uiPriority w:val="99"/>
    <w:qFormat/>
    <w:rPr>
      <w:lang w:val="en-US" w:eastAsia="zh-CN" w:bidi="ar-SA"/>
    </w:rPr>
    <w:tblPr/>
  </w:style>
  <w:style w:type="table" w:styleId="1512" w:customStyle="1">
    <w:name w:val="List Table 7 Colorful - Accent 4"/>
    <w:uiPriority w:val="99"/>
    <w:qFormat/>
    <w:rPr>
      <w:lang w:val="en-US" w:eastAsia="zh-CN" w:bidi="ar-SA"/>
    </w:rPr>
    <w:tblPr/>
  </w:style>
  <w:style w:type="table" w:styleId="1513" w:customStyle="1">
    <w:name w:val="List Table 7 Colorful - Accent 5"/>
    <w:uiPriority w:val="99"/>
    <w:qFormat/>
    <w:rPr>
      <w:lang w:val="en-US" w:eastAsia="zh-CN" w:bidi="ar-SA"/>
    </w:rPr>
    <w:tblPr/>
  </w:style>
  <w:style w:type="table" w:styleId="1514" w:customStyle="1">
    <w:name w:val="List Table 7 Colorful - Accent 6"/>
    <w:uiPriority w:val="99"/>
    <w:qFormat/>
    <w:rPr>
      <w:lang w:val="en-US" w:eastAsia="zh-CN" w:bidi="ar-SA"/>
    </w:rPr>
    <w:tblPr/>
  </w:style>
  <w:style w:type="table" w:styleId="1515" w:customStyle="1">
    <w:name w:val="Lined - Accent"/>
    <w:uiPriority w:val="99"/>
    <w:qFormat/>
    <w:rPr>
      <w:color w:val="404040"/>
      <w:lang w:val="en-US" w:eastAsia="zh-CN" w:bidi="ar-SA"/>
    </w:rPr>
    <w:tblPr/>
  </w:style>
  <w:style w:type="table" w:styleId="1516" w:customStyle="1">
    <w:name w:val="Lined - Accent 1"/>
    <w:uiPriority w:val="99"/>
    <w:qFormat/>
    <w:rPr>
      <w:color w:val="404040"/>
      <w:lang w:val="en-US" w:eastAsia="zh-CN" w:bidi="ar-SA"/>
    </w:rPr>
    <w:tblPr/>
  </w:style>
  <w:style w:type="table" w:styleId="1517" w:customStyle="1">
    <w:name w:val="Lined - Accent 2"/>
    <w:uiPriority w:val="99"/>
    <w:qFormat/>
    <w:rPr>
      <w:color w:val="404040"/>
      <w:lang w:val="en-US" w:eastAsia="zh-CN" w:bidi="ar-SA"/>
    </w:rPr>
    <w:tblPr/>
  </w:style>
  <w:style w:type="table" w:styleId="1518" w:customStyle="1">
    <w:name w:val="Lined - Accent 3"/>
    <w:uiPriority w:val="99"/>
    <w:qFormat/>
    <w:rPr>
      <w:color w:val="404040"/>
      <w:lang w:val="en-US" w:eastAsia="zh-CN" w:bidi="ar-SA"/>
    </w:rPr>
    <w:tblPr/>
  </w:style>
  <w:style w:type="table" w:styleId="1519" w:customStyle="1">
    <w:name w:val="Lined - Accent 4"/>
    <w:uiPriority w:val="99"/>
    <w:qFormat/>
    <w:rPr>
      <w:color w:val="404040"/>
      <w:lang w:val="en-US" w:eastAsia="zh-CN" w:bidi="ar-SA"/>
    </w:rPr>
    <w:tblPr/>
  </w:style>
  <w:style w:type="table" w:styleId="1520" w:customStyle="1">
    <w:name w:val="Lined - Accent 5"/>
    <w:uiPriority w:val="99"/>
    <w:qFormat/>
    <w:rPr>
      <w:color w:val="404040"/>
      <w:lang w:val="en-US" w:eastAsia="zh-CN" w:bidi="ar-SA"/>
    </w:rPr>
    <w:tblPr/>
  </w:style>
  <w:style w:type="table" w:styleId="1521" w:customStyle="1">
    <w:name w:val="Lined - Accent 6"/>
    <w:uiPriority w:val="99"/>
    <w:qFormat/>
    <w:rPr>
      <w:color w:val="404040"/>
      <w:lang w:val="en-US" w:eastAsia="zh-CN" w:bidi="ar-SA"/>
    </w:rPr>
    <w:tblPr/>
  </w:style>
  <w:style w:type="table" w:styleId="1522" w:customStyle="1">
    <w:name w:val="Bordered &amp; Lined - Accent"/>
    <w:uiPriority w:val="99"/>
    <w:qFormat/>
    <w:rPr>
      <w:color w:val="404040"/>
      <w:lang w:val="en-US" w:eastAsia="zh-CN" w:bidi="ar-SA"/>
    </w:rPr>
    <w:tblPr/>
  </w:style>
  <w:style w:type="table" w:styleId="1523" w:customStyle="1">
    <w:name w:val="Bordered &amp; Lined - Accent 1"/>
    <w:uiPriority w:val="99"/>
    <w:qFormat/>
    <w:rPr>
      <w:color w:val="404040"/>
      <w:lang w:val="en-US" w:eastAsia="zh-CN" w:bidi="ar-SA"/>
    </w:rPr>
    <w:tblPr/>
  </w:style>
  <w:style w:type="table" w:styleId="1524" w:customStyle="1">
    <w:name w:val="Bordered &amp; Lined - Accent 2"/>
    <w:uiPriority w:val="99"/>
    <w:qFormat/>
    <w:rPr>
      <w:color w:val="404040"/>
      <w:lang w:val="en-US" w:eastAsia="zh-CN" w:bidi="ar-SA"/>
    </w:rPr>
    <w:tblPr/>
  </w:style>
  <w:style w:type="table" w:styleId="1525" w:customStyle="1">
    <w:name w:val="Bordered &amp; Lined - Accent 3"/>
    <w:uiPriority w:val="99"/>
    <w:qFormat/>
    <w:rPr>
      <w:color w:val="404040"/>
      <w:lang w:val="en-US" w:eastAsia="zh-CN" w:bidi="ar-SA"/>
    </w:rPr>
    <w:tblPr/>
  </w:style>
  <w:style w:type="table" w:styleId="1526" w:customStyle="1">
    <w:name w:val="Bordered &amp; Lined - Accent 4"/>
    <w:uiPriority w:val="99"/>
    <w:qFormat/>
    <w:rPr>
      <w:color w:val="404040"/>
      <w:lang w:val="en-US" w:eastAsia="zh-CN" w:bidi="ar-SA"/>
    </w:rPr>
    <w:tblPr/>
  </w:style>
  <w:style w:type="table" w:styleId="1527" w:customStyle="1">
    <w:name w:val="Bordered &amp; Lined - Accent 5"/>
    <w:uiPriority w:val="99"/>
    <w:qFormat/>
    <w:rPr>
      <w:color w:val="404040"/>
      <w:lang w:val="en-US" w:eastAsia="zh-CN" w:bidi="ar-SA"/>
    </w:rPr>
    <w:tblPr/>
  </w:style>
  <w:style w:type="table" w:styleId="1528" w:customStyle="1">
    <w:name w:val="Bordered &amp; Lined - Accent 6"/>
    <w:uiPriority w:val="99"/>
    <w:qFormat/>
    <w:rPr>
      <w:color w:val="404040"/>
      <w:lang w:val="en-US" w:eastAsia="zh-CN" w:bidi="ar-SA"/>
    </w:rPr>
    <w:tblPr/>
  </w:style>
  <w:style w:type="table" w:styleId="1529" w:customStyle="1">
    <w:name w:val="Bordered"/>
    <w:uiPriority w:val="99"/>
    <w:qFormat/>
    <w:rPr>
      <w:lang w:val="en-US" w:eastAsia="zh-CN" w:bidi="ar-SA"/>
    </w:rPr>
    <w:tblPr/>
  </w:style>
  <w:style w:type="table" w:styleId="1530" w:customStyle="1">
    <w:name w:val="Bordered - Accent 1"/>
    <w:uiPriority w:val="99"/>
    <w:qFormat/>
    <w:rPr>
      <w:lang w:val="en-US" w:eastAsia="zh-CN" w:bidi="ar-SA"/>
    </w:rPr>
    <w:tblPr/>
  </w:style>
  <w:style w:type="table" w:styleId="1531" w:customStyle="1">
    <w:name w:val="Bordered - Accent 2"/>
    <w:uiPriority w:val="99"/>
    <w:qFormat/>
    <w:rPr>
      <w:lang w:val="en-US" w:eastAsia="zh-CN" w:bidi="ar-SA"/>
    </w:rPr>
    <w:tblPr/>
  </w:style>
  <w:style w:type="table" w:styleId="1532" w:customStyle="1">
    <w:name w:val="Bordered - Accent 3"/>
    <w:uiPriority w:val="99"/>
    <w:qFormat/>
    <w:rPr>
      <w:lang w:val="en-US" w:eastAsia="zh-CN" w:bidi="ar-SA"/>
    </w:rPr>
    <w:tblPr/>
  </w:style>
  <w:style w:type="table" w:styleId="1533" w:customStyle="1">
    <w:name w:val="Bordered - Accent 4"/>
    <w:uiPriority w:val="99"/>
    <w:qFormat/>
    <w:rPr>
      <w:lang w:val="en-US" w:eastAsia="zh-CN" w:bidi="ar-SA"/>
    </w:rPr>
    <w:tblPr/>
  </w:style>
  <w:style w:type="table" w:styleId="1534" w:customStyle="1">
    <w:name w:val="Bordered - Accent 5"/>
    <w:uiPriority w:val="99"/>
    <w:qFormat/>
    <w:rPr>
      <w:lang w:val="en-US" w:eastAsia="zh-CN" w:bidi="ar-SA"/>
    </w:rPr>
    <w:tblPr/>
  </w:style>
  <w:style w:type="table" w:styleId="1535" w:customStyle="1">
    <w:name w:val="Bordered - Accent 6"/>
    <w:uiPriority w:val="99"/>
    <w:qFormat/>
    <w:rPr>
      <w:lang w:val="en-US" w:eastAsia="zh-CN" w:bidi="ar-SA"/>
    </w:rPr>
    <w:tblPr/>
  </w:style>
  <w:style w:type="paragraph" w:styleId="1536" w:customStyle="1">
    <w:name w:val="TOC Heading"/>
    <w:uiPriority w:val="39"/>
    <w:unhideWhenUsed/>
    <w:qFormat/>
    <w:rPr>
      <w:rFonts w:hint="default" w:ascii="Times New Roman" w:hAnsi="Times New Roman" w:eastAsia="Arial" w:cs="Times New Roman"/>
      <w:sz w:val="21"/>
      <w:szCs w:val="22"/>
      <w:lang w:val="en-US" w:eastAsia="zh-CN" w:bidi="ar-SA"/>
    </w:rPr>
  </w:style>
  <w:style w:type="paragraph" w:styleId="1537" w:customStyle="1">
    <w:name w:val="纯文本1"/>
    <w:basedOn w:val="1225"/>
    <w:uiPriority w:val="0"/>
    <w:qFormat/>
    <w:rPr>
      <w:rFonts w:ascii="宋体" w:hAnsi="Courier New" w:eastAsia="宋体"/>
      <w:sz w:val="28"/>
      <w:szCs w:val="28"/>
    </w:rPr>
  </w:style>
  <w:style w:type="paragraph" w:styleId="1538" w:customStyle="1">
    <w:name w:val="索引 41"/>
    <w:basedOn w:val="1225"/>
    <w:next w:val="1225"/>
    <w:uiPriority w:val="99"/>
    <w:unhideWhenUsed/>
    <w:qFormat/>
    <w:pPr>
      <w:ind w:left="600"/>
    </w:pPr>
    <w:rPr>
      <w:rFonts w:ascii="Verdana" w:hAnsi="Verdana"/>
      <w:szCs w:val="20"/>
    </w:rPr>
  </w:style>
  <w:style w:type="paragraph" w:styleId="1539" w:customStyle="1">
    <w:name w:val="首行缩进"/>
    <w:basedOn w:val="1225"/>
    <w:uiPriority w:val="0"/>
    <w:qFormat/>
    <w:pPr>
      <w:ind w:firstLine="480"/>
      <w:spacing w:line="360" w:lineRule="auto"/>
    </w:pPr>
    <w:rPr>
      <w:rFonts w:ascii="宋体" w:hAnsi="宋体"/>
      <w:sz w:val="24"/>
      <w:szCs w:val="24"/>
    </w:rPr>
  </w:style>
  <w:style w:type="paragraph" w:styleId="1540" w:customStyle="1">
    <w:name w:val="修订"/>
    <w:uiPriority w:val="99"/>
    <w:unhideWhenUsed/>
    <w:qFormat/>
    <w:rPr>
      <w:rFonts w:hint="default" w:ascii="Times New Roman" w:hAnsi="Times New Roman" w:eastAsia="Arial" w:cs="Times New Roman"/>
      <w:sz w:val="21"/>
      <w:szCs w:val="22"/>
      <w:lang w:val="en-US" w:eastAsia="zh-CN" w:bidi="ar-SA"/>
    </w:rPr>
  </w:style>
  <w:style w:type="paragraph" w:styleId="15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542" w:customStyle="1">
    <w:name w:val="网格型1"/>
    <w:basedOn w:val="1543"/>
    <w:uiPriority w:val="59"/>
    <w:qFormat/>
    <w:tblPr/>
  </w:style>
  <w:style w:type="table" w:styleId="1543" w:customStyle="1">
    <w:name w:val="普通表格1"/>
    <w:uiPriority w:val="99"/>
    <w:unhideWhenUsed/>
    <w:qFormat/>
    <w:rPr>
      <w:lang w:val="en-US" w:eastAsia="zh-CN" w:bidi="ar-SA"/>
    </w:rPr>
    <w:tblPr/>
  </w:style>
  <w:style w:type="paragraph" w:styleId="1544" w:customStyle="1">
    <w:name w:val="标题 411"/>
    <w:basedOn w:val="1225"/>
    <w:next w:val="1225"/>
    <w:uiPriority w:val="0"/>
    <w:qFormat/>
    <w:pPr>
      <w:keepLines/>
      <w:keepNext/>
      <w:spacing w:before="280" w:after="290" w:line="376" w:lineRule="auto"/>
      <w:outlineLvl w:val="3"/>
    </w:pPr>
    <w:rPr>
      <w:rFonts w:ascii="Cambria" w:hAnsi="Cambria"/>
      <w:b/>
      <w:bCs/>
      <w:sz w:val="28"/>
      <w:szCs w:val="28"/>
    </w:rPr>
  </w:style>
  <w:style w:type="paragraph" w:styleId="1545" w:customStyle="1">
    <w:name w:val="正文文本1"/>
    <w:basedOn w:val="1225"/>
    <w:uiPriority w:val="0"/>
    <w:qFormat/>
    <w:pPr>
      <w:jc w:val="both"/>
      <w:spacing w:line="500" w:lineRule="exact"/>
      <w:tabs>
        <w:tab w:val="left" w:pos="993" w:leader="none"/>
        <w:tab w:val="left" w:pos="1134" w:leader="none"/>
      </w:tabs>
    </w:pPr>
  </w:style>
  <w:style w:type="paragraph" w:styleId="1546" w:customStyle="1">
    <w:name w:val="正文_0"/>
    <w:uiPriority w:val="0"/>
    <w:qFormat/>
    <w:pPr>
      <w:jc w:val="both"/>
      <w:widowControl w:val="off"/>
    </w:pPr>
    <w:rPr>
      <w:rFonts w:hint="default" w:ascii="Calibri" w:hAnsi="Calibri" w:eastAsia="宋体" w:cs="Calibri"/>
      <w:sz w:val="21"/>
      <w:szCs w:val="24"/>
      <w:lang w:val="en-US" w:eastAsia="zh-CN" w:bidi="ar-SA"/>
    </w:rPr>
  </w:style>
  <w:style w:type="paragraph" w:styleId="1547" w:customStyle="1">
    <w:name w:val="页脚1"/>
    <w:basedOn w:val="1225"/>
    <w:uiPriority w:val="99"/>
    <w:qFormat/>
    <w:pPr>
      <w:tabs>
        <w:tab w:val="center" w:pos="4153" w:leader="none"/>
        <w:tab w:val="right" w:pos="8306" w:leader="none"/>
      </w:tabs>
    </w:pPr>
    <w:rPr>
      <w:sz w:val="18"/>
      <w:szCs w:val="18"/>
    </w:rPr>
  </w:style>
  <w:style w:type="paragraph" w:styleId="1548" w:customStyle="1">
    <w:name w:val="Header or footer|1"/>
    <w:basedOn w:val="1225"/>
    <w:uiPriority w:val="0"/>
    <w:qFormat/>
    <w:pPr>
      <w:widowControl w:val="off"/>
    </w:pPr>
    <w:rPr>
      <w:sz w:val="17"/>
      <w:szCs w:val="17"/>
      <w:lang w:val="zh-TW" w:eastAsia="zh-TW" w:bidi="zh-TW"/>
    </w:rPr>
  </w:style>
  <w:style w:type="paragraph" w:styleId="1549" w:customStyle="1">
    <w:name w:val="null3"/>
    <w:uiPriority w:val="0"/>
    <w:qFormat/>
    <w:rPr>
      <w:rFonts w:hint="eastAsia" w:ascii="Calibri" w:hAnsi="Calibri" w:eastAsia="宋体" w:cs="Times New Roman"/>
      <w:lang w:val="en-US" w:eastAsia="en-US" w:bidi="ar-SA"/>
    </w:rPr>
  </w:style>
  <w:style w:type="character" w:styleId="1550" w:customStyle="1">
    <w:name w:val="font51"/>
    <w:basedOn w:val="1235"/>
    <w:uiPriority w:val="0"/>
    <w:qFormat/>
    <w:rPr>
      <w:rFonts w:hint="eastAsia" w:ascii="宋体" w:hAnsi="宋体" w:eastAsia="宋体" w:cs="宋体"/>
      <w:b/>
      <w:bCs/>
      <w:color w:val="000000"/>
      <w:sz w:val="20"/>
      <w:szCs w:val="20"/>
      <w:u w:val="none"/>
    </w:rPr>
  </w:style>
  <w:style w:type="character" w:styleId="1551" w:customStyle="1">
    <w:name w:val="NormalCharacter"/>
    <w:uiPriority w:val="0"/>
    <w:qFormat/>
  </w:style>
  <w:style w:type="paragraph" w:styleId="1552" w:customStyle="1">
    <w:name w:val="附录标题"/>
    <w:next w:val="1225"/>
    <w:uiPriority w:val="0"/>
    <w:pPr>
      <w:jc w:val="both"/>
      <w:spacing w:before="100" w:after="100" w:line="360" w:lineRule="auto"/>
      <w:widowControl w:val="off"/>
      <w:outlineLvl w:val="0"/>
    </w:pPr>
    <w:rPr>
      <w:rFonts w:ascii="Times New Roman" w:hAnsi="Times New Roman" w:eastAsia="黑体" w:cs="Times New Roman"/>
      <w:color w:val="000000"/>
      <w:sz w:val="36"/>
      <w:szCs w:val="44"/>
      <w:lang w:bidi="ar-SA"/>
    </w:rPr>
  </w:style>
  <w:style w:type="character" w:styleId="1553" w:customStyle="1">
    <w:name w:val="批注文字 Char1"/>
    <w:link w:val="1239"/>
    <w:uiPriority w:val="99"/>
  </w:style>
  <w:style w:type="numbering" w:styleId="1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10</cp:revision>
  <dcterms:created xsi:type="dcterms:W3CDTF">2026-05-18T07:27:00Z</dcterms:created>
  <dcterms:modified xsi:type="dcterms:W3CDTF">2026-07-30T10:01:03Z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eyJoZGlkIjoiMGY3OTg2ZDU2ZGI1NjE0NzU3ZDdkN2FlOGExZTI0ZmUiLCJ1c2VySWQiOiI0MjkzNjk5MzgifQ==</vt:lpwstr>
  </property>
  <property fmtid="{D5CDD505-2E9C-101B-9397-08002B2CF9AE}" pid="3" name="KSOProductBuildVer">
    <vt:lpwstr>2052-12.1.0.26895</vt:lpwstr>
  </property>
  <property fmtid="{D5CDD505-2E9C-101B-9397-08002B2CF9AE}" pid="4" name="ICV">
    <vt:lpwstr>BB87EB0FC85E46DDAB5105BBD764E50A_13</vt:lpwstr>
  </property>
</Properties>
</file>