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auto"/>
          <w:sz w:val="30"/>
          <w:highlight w:val="none"/>
        </w:rPr>
      </w:pPr>
      <w:r>
        <w:rPr>
          <w:rFonts w:ascii="Arial" w:hAnsi="Arial"/>
          <w:bCs/>
          <w:color w:val="auto"/>
          <w:sz w:val="30"/>
          <w:highlight w:val="none"/>
        </w:rPr>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Arial" w:hAnsi="Arial"/>
          <w:b/>
          <w:bCs/>
          <w:color w:val="auto"/>
          <w:sz w:val="30"/>
          <w:highlight w:val="none"/>
        </w:rPr>
      </w:pPr>
      <w:r>
        <w:rPr>
          <w:rFonts w:hint="eastAsia" w:ascii="Arial" w:hAnsi="Arial"/>
          <w:b/>
          <w:bCs/>
          <w:color w:val="auto"/>
          <w:sz w:val="30"/>
          <w:highlight w:val="none"/>
        </w:rPr>
        <w:t xml:space="preserve">（全流程电子化）</w:t>
      </w:r>
      <w:r/>
    </w:p>
    <w:p>
      <w:pPr>
        <w:spacing w:line="360" w:lineRule="auto"/>
        <w:rPr>
          <w:rFonts w:ascii="Arial" w:hAnsi="Arial"/>
          <w:b/>
          <w:bCs/>
          <w:color w:val="auto"/>
          <w:sz w:val="30"/>
          <w:highlight w:val="none"/>
        </w:rPr>
      </w:pPr>
      <w:r>
        <w:rPr>
          <w:rFonts w:ascii="Arial" w:hAnsi="Arial"/>
          <w:b/>
          <w:bCs/>
          <w:color w:val="auto"/>
          <w:sz w:val="30"/>
          <w:highlight w:val="none"/>
        </w:rPr>
      </w:r>
      <w:r/>
    </w:p>
    <w:p>
      <w:pPr>
        <w:jc w:val="center"/>
        <w:spacing w:line="360" w:lineRule="auto"/>
        <w:rPr>
          <w:rFonts w:ascii="Arial" w:hAnsi="Arial"/>
          <w:b/>
          <w:bCs/>
          <w:color w:val="auto"/>
          <w:spacing w:val="20"/>
          <w:sz w:val="52"/>
          <w:szCs w:val="52"/>
          <w:highlight w:val="none"/>
        </w:rPr>
      </w:pPr>
      <w:r>
        <w:rPr>
          <w:rFonts w:hint="eastAsia" w:ascii="Arial" w:hAnsi="Arial"/>
          <w:b/>
          <w:bCs/>
          <w:color w:val="auto"/>
          <w:spacing w:val="20"/>
          <w:sz w:val="52"/>
          <w:szCs w:val="52"/>
          <w:highlight w:val="none"/>
        </w:rPr>
        <w:t xml:space="preserve">公开</w:t>
      </w:r>
      <w:r>
        <w:rPr>
          <w:rFonts w:ascii="Arial" w:hAnsi="Arial"/>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2"/>
          <w:szCs w:val="52"/>
          <w:highlight w:val="none"/>
        </w:rPr>
        <w:t xml:space="preserve">招标文件</w:t>
      </w:r>
      <w:r/>
    </w:p>
    <w:p>
      <w:pPr>
        <w:pStyle w:val="1211"/>
        <w:ind w:firstLine="0"/>
        <w:jc w:val="center"/>
        <w:rPr>
          <w:b/>
          <w:bCs/>
          <w:color w:val="auto"/>
          <w:sz w:val="30"/>
          <w:highlight w:val="none"/>
        </w:rPr>
      </w:pPr>
      <w:r>
        <w:rPr>
          <w:rFonts w:hint="eastAsia" w:ascii="宋体" w:hAnsi="宋体" w:cs="宋体"/>
          <w:bCs/>
          <w:color w:val="auto"/>
          <w:spacing w:val="20"/>
          <w:sz w:val="52"/>
          <w:szCs w:val="52"/>
          <w:highlight w:val="none"/>
        </w:rPr>
        <w:t xml:space="preserve">（暗标）</w:t>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ind w:firstLine="1500"/>
        <w:spacing w:line="360" w:lineRule="auto"/>
        <w:rPr>
          <w:rFonts w:ascii="宋体" w:hAnsi="宋体" w:eastAsia="宋体" w:cs="宋体"/>
          <w:bCs/>
          <w:color w:val="auto"/>
          <w:sz w:val="30"/>
          <w:szCs w:val="30"/>
          <w:highlight w:val="none"/>
        </w:rPr>
      </w:pPr>
      <w:r>
        <w:rPr>
          <w:rFonts w:hint="eastAsia" w:ascii="Arial" w:hAnsi="Arial"/>
          <w:bCs/>
          <w:color w:val="auto"/>
          <w:sz w:val="30"/>
          <w:szCs w:val="30"/>
          <w:highlight w:val="none"/>
        </w:rPr>
        <w:t xml:space="preserve">采</w:t>
      </w:r>
      <w:r>
        <w:rPr>
          <w:rFonts w:hint="eastAsia" w:ascii="宋体" w:hAnsi="宋体" w:eastAsia="宋体" w:cs="宋体"/>
          <w:bCs/>
          <w:color w:val="auto"/>
          <w:sz w:val="30"/>
          <w:szCs w:val="30"/>
          <w:highlight w:val="none"/>
        </w:rPr>
        <w:t xml:space="preserve">购项目编号：JSZC-320200-PXGJ-G2026-0063</w:t>
      </w:r>
      <w:r/>
    </w:p>
    <w:p>
      <w:pPr>
        <w:ind w:firstLine="1500"/>
        <w:spacing w:line="360" w:lineRule="auto"/>
        <w:rPr>
          <w:rFonts w:hint="eastAsia" w:ascii="Arial" w:hAnsi="Arial"/>
          <w:bCs/>
          <w:color w:val="auto"/>
          <w:sz w:val="30"/>
          <w:szCs w:val="30"/>
          <w:highlight w:val="none"/>
        </w:rPr>
      </w:pPr>
      <w:r>
        <w:rPr>
          <w:rFonts w:hint="eastAsia" w:ascii="Arial" w:hAnsi="Arial"/>
          <w:bCs/>
          <w:color w:val="auto"/>
          <w:sz w:val="30"/>
          <w:szCs w:val="30"/>
          <w:highlight w:val="none"/>
        </w:rPr>
        <w:t xml:space="preserve">采购项目名称：</w:t>
      </w:r>
      <w:r>
        <w:rPr>
          <w:rFonts w:hint="eastAsia" w:ascii="宋体" w:hAnsi="宋体" w:eastAsia="宋体" w:cs="宋体"/>
          <w:bCs/>
          <w:color w:val="auto"/>
          <w:sz w:val="30"/>
          <w:szCs w:val="30"/>
          <w:highlight w:val="none"/>
        </w:rPr>
        <w:t xml:space="preserve">医院信息化建设2024项目（硬件）</w:t>
      </w:r>
      <w:r/>
    </w:p>
    <w:p>
      <w:pPr>
        <w:ind w:firstLine="1500"/>
        <w:spacing w:line="360" w:lineRule="auto"/>
        <w:rPr>
          <w:rFonts w:ascii="宋体" w:hAnsi="宋体" w:eastAsia="宋体" w:cs="宋体"/>
          <w:bCs/>
          <w:color w:val="auto"/>
          <w:sz w:val="30"/>
          <w:szCs w:val="30"/>
          <w:highlight w:val="none"/>
        </w:rPr>
      </w:pPr>
      <w:r>
        <w:rPr>
          <w:rFonts w:hint="eastAsia" w:ascii="宋体" w:hAnsi="宋体" w:cs="宋体"/>
          <w:bCs/>
          <w:color w:val="auto"/>
          <w:sz w:val="30"/>
          <w:szCs w:val="30"/>
          <w:highlight w:val="none"/>
        </w:rPr>
        <w:t xml:space="preserve">采   购   人：无锡市人民</w:t>
      </w:r>
      <w:r>
        <w:rPr>
          <w:rFonts w:hint="eastAsia" w:ascii="宋体" w:hAnsi="宋体" w:eastAsia="宋体" w:cs="宋体"/>
          <w:bCs/>
          <w:color w:val="auto"/>
          <w:sz w:val="30"/>
          <w:szCs w:val="30"/>
          <w:highlight w:val="none"/>
        </w:rPr>
        <w:t xml:space="preserve">医院</w:t>
      </w:r>
      <w:r/>
    </w:p>
    <w:p>
      <w:pPr>
        <w:ind w:firstLine="1500"/>
        <w:spacing w:line="360" w:lineRule="auto"/>
        <w:rPr>
          <w:rFonts w:ascii="Arial" w:hAnsi="Arial" w:eastAsia="宋体"/>
          <w:bCs/>
          <w:color w:val="auto"/>
          <w:sz w:val="30"/>
          <w:szCs w:val="30"/>
          <w:highlight w:val="none"/>
        </w:rPr>
      </w:pPr>
      <w:r>
        <w:rPr>
          <w:rFonts w:hint="eastAsia" w:ascii="Arial" w:hAnsi="Arial" w:eastAsia="宋体"/>
          <w:bCs/>
          <w:color w:val="auto"/>
          <w:sz w:val="30"/>
          <w:szCs w:val="30"/>
          <w:highlight w:val="none"/>
        </w:rPr>
        <w:t xml:space="preserve">采购代理机构：普信国际工程咨询有限公司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w:t>
      </w:r>
      <w:r>
        <w:rPr>
          <w:rFonts w:hint="eastAsia" w:ascii="宋体" w:hAnsi="宋体" w:eastAsia="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年</w:t>
      </w:r>
      <w:r>
        <w:rPr>
          <w:rFonts w:hint="eastAsia" w:ascii="宋体" w:hAnsi="宋体" w:eastAsia="宋体" w:cs="宋体"/>
          <w:bCs/>
          <w:color w:val="auto"/>
          <w:sz w:val="44"/>
          <w:szCs w:val="44"/>
          <w:highlight w:val="none"/>
          <w:lang w:val="en-US" w:eastAsia="zh-CN"/>
        </w:rPr>
        <w:t xml:space="preserve">七</w:t>
      </w:r>
      <w:r>
        <w:rPr>
          <w:rFonts w:hint="eastAsia" w:ascii="宋体" w:hAnsi="宋体" w:eastAsia="宋体" w:cs="宋体"/>
          <w:bCs/>
          <w:color w:val="auto"/>
          <w:sz w:val="44"/>
          <w:szCs w:val="44"/>
          <w:highlight w:val="none"/>
        </w:rPr>
        <w:t xml:space="preserve">月</w:t>
      </w:r>
      <w:r/>
    </w:p>
    <w:p>
      <w:pPr>
        <w:spacing w:line="360" w:lineRule="auto"/>
        <w:rPr>
          <w:rStyle w:val="904"/>
          <w:rFonts w:ascii="Arial" w:hAnsi="Arial"/>
          <w:bCs/>
          <w:color w:val="auto"/>
          <w:sz w:val="48"/>
          <w:highlight w:val="none"/>
        </w:rPr>
      </w:pPr>
      <w:r>
        <w:rPr>
          <w:rFonts w:ascii="Arial" w:hAnsi="Arial"/>
          <w:bCs/>
          <w:color w:val="auto"/>
          <w:sz w:val="48"/>
          <w:highlight w:val="none"/>
        </w:rPr>
      </w:r>
      <w:r/>
    </w:p>
    <w:p>
      <w:pPr>
        <w:jc w:val="center"/>
        <w:spacing w:line="360" w:lineRule="auto"/>
        <w:rPr>
          <w:rStyle w:val="904"/>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904"/>
          <w:rFonts w:ascii="Arial" w:hAnsi="Arial"/>
          <w:bCs/>
          <w:color w:val="auto"/>
          <w:sz w:val="48"/>
          <w:highlight w:val="none"/>
          <w:u w:val="none"/>
        </w:rPr>
        <w:sectPr>
          <w:headerReference w:type="first" r:id="rId9"/>
          <w:footerReference w:type="even" r:id="rId10"/>
          <w:footerReference w:type="first" r:id="rId11"/>
          <w:footnotePr/>
          <w:endnotePr/>
          <w:type w:val="nextPage"/>
          <w:pgSz w:w="11906" w:h="16838" w:orient="portrait"/>
          <w:pgMar w:top="850" w:right="851" w:bottom="850" w:left="1134" w:header="624" w:footer="907" w:gutter="0"/>
          <w:pgNumType w:start="0"/>
          <w:cols w:num="1" w:sep="0" w:space="720" w:equalWidth="1"/>
          <w:docGrid w:linePitch="360"/>
          <w:titlePg/>
        </w:sectPr>
      </w:pPr>
      <w:r>
        <w:rPr>
          <w:rFonts w:ascii="Arial" w:hAnsi="Arial"/>
          <w:bCs/>
          <w:color w:val="auto"/>
          <w:sz w:val="48"/>
          <w:highlight w:val="none"/>
          <w:u w:val="none"/>
        </w:rPr>
      </w:r>
      <w:r/>
    </w:p>
    <w:p>
      <w:pPr>
        <w:jc w:val="center"/>
        <w:spacing w:line="360" w:lineRule="auto"/>
        <w:rPr>
          <w:rStyle w:val="904"/>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904"/>
          <w:rFonts w:ascii="Arial" w:hAnsi="Arial"/>
          <w:bCs/>
          <w:color w:val="auto"/>
          <w:sz w:val="48"/>
          <w:highlight w:val="none"/>
          <w:u w:val="none"/>
        </w:rPr>
      </w:pPr>
      <w:r>
        <w:rPr>
          <w:rFonts w:ascii="Arial" w:hAnsi="Arial"/>
          <w:bCs/>
          <w:color w:val="auto"/>
          <w:sz w:val="48"/>
          <w:highlight w:val="none"/>
          <w:u w:val="none"/>
        </w:rPr>
      </w:r>
      <w:r/>
    </w:p>
    <w:p>
      <w:pPr>
        <w:pStyle w:val="1211"/>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spacing w:line="360" w:lineRule="auto"/>
        <w:rPr>
          <w:rFonts w:ascii="Arial" w:hAnsi="Arial"/>
          <w:bCs/>
          <w:color w:val="auto"/>
          <w:sz w:val="28"/>
          <w:szCs w:val="28"/>
          <w:highlight w:val="none"/>
        </w:rPr>
      </w:pPr>
      <w:r>
        <w:rPr>
          <w:rFonts w:ascii="Arial" w:hAnsi="Arial"/>
          <w:bCs/>
          <w:color w:val="auto"/>
          <w:sz w:val="28"/>
          <w:szCs w:val="28"/>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eastAsia="宋体"/>
          <w:bCs/>
          <w:color w:val="auto"/>
          <w:sz w:val="32"/>
          <w:highlight w:val="none"/>
        </w:rPr>
      </w:pPr>
      <w:r>
        <w:rPr>
          <w:rFonts w:hint="eastAsia" w:ascii="Arial" w:hAnsi="Arial" w:eastAsia="宋体"/>
          <w:bCs/>
          <w:color w:val="auto"/>
          <w:sz w:val="32"/>
          <w:highlight w:val="none"/>
        </w:rPr>
        <w:t xml:space="preserve">  </w:t>
      </w:r>
      <w:r/>
    </w:p>
    <w:p>
      <w:pPr>
        <w:spacing w:line="360" w:lineRule="auto"/>
        <w:rPr>
          <w:rFonts w:ascii="Arial" w:hAnsi="Arial"/>
          <w:color w:val="auto"/>
          <w:sz w:val="32"/>
          <w:szCs w:val="32"/>
          <w:highlight w:val="none"/>
        </w:rPr>
      </w:pPr>
      <w:r>
        <w:rPr>
          <w:rFonts w:ascii="Arial" w:hAnsi="Arial"/>
          <w:color w:val="auto"/>
          <w:sz w:val="32"/>
          <w:szCs w:val="32"/>
          <w:highlight w:val="none"/>
        </w:rPr>
      </w:r>
      <w:r/>
    </w:p>
    <w:p>
      <w:pPr>
        <w:spacing w:line="360" w:lineRule="auto"/>
        <w:rPr>
          <w:rFonts w:ascii="Arial" w:hAnsi="Arial"/>
          <w:color w:val="auto"/>
          <w:sz w:val="32"/>
          <w:szCs w:val="32"/>
          <w:highlight w:val="none"/>
        </w:rPr>
      </w:pPr>
      <w:r>
        <w:rPr>
          <w:rFonts w:ascii="Arial" w:hAnsi="Arial"/>
          <w:color w:val="auto"/>
          <w:sz w:val="32"/>
          <w:szCs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pStyle w:val="845"/>
        <w:ind w:firstLine="0"/>
        <w:jc w:val="both"/>
        <w:spacing w:line="360" w:lineRule="auto"/>
        <w:rPr>
          <w:color w:val="auto"/>
          <w:highlight w:val="none"/>
        </w:rPr>
      </w:pPr>
      <w:r/>
      <w:bookmarkStart w:id="0" w:name="报价方须知前附表"/>
      <w:r/>
      <w:bookmarkEnd w:id="0"/>
      <w:r/>
      <w:r/>
    </w:p>
    <w:p>
      <w:pPr>
        <w:jc w:val="center"/>
        <w:spacing w:line="360" w:lineRule="auto"/>
        <w:rPr>
          <w:rFonts w:ascii="Arial" w:hAnsi="Arial"/>
          <w:b/>
          <w:bCs/>
          <w:color w:val="auto"/>
          <w:sz w:val="28"/>
          <w:szCs w:val="28"/>
          <w:highlight w:val="none"/>
        </w:rPr>
      </w:pPr>
      <w:r>
        <w:rPr>
          <w:rFonts w:ascii="Arial" w:hAnsi="Arial"/>
          <w:b/>
          <w:bCs/>
          <w:color w:val="auto"/>
          <w:sz w:val="28"/>
          <w:szCs w:val="28"/>
          <w:highlight w:val="none"/>
        </w:rPr>
      </w:r>
      <w:r/>
    </w:p>
    <w:p>
      <w:pPr>
        <w:rPr>
          <w:rFonts w:ascii="Arial" w:hAnsi="Arial"/>
          <w:b/>
          <w:bCs/>
          <w:color w:val="auto"/>
          <w:sz w:val="28"/>
          <w:szCs w:val="28"/>
          <w:highlight w:val="none"/>
        </w:rPr>
        <w:sectPr>
          <w:footerReference w:type="default" r:id="rId12"/>
          <w:footerReference w:type="first" r:id="rId13"/>
          <w:footnotePr/>
          <w:endnotePr/>
          <w:type w:val="nextPage"/>
          <w:pgSz w:w="11906" w:h="16838" w:orient="portrait"/>
          <w:pgMar w:top="850" w:right="851" w:bottom="850" w:left="1134" w:header="624" w:footer="907" w:gutter="0"/>
          <w:pgNumType w:start="0"/>
          <w:cols w:num="1" w:sep="0" w:space="720" w:equalWidth="1"/>
          <w:docGrid w:linePitch="360"/>
          <w:titlePg/>
        </w:sectPr>
      </w:pPr>
      <w:r>
        <w:rPr>
          <w:rFonts w:ascii="Arial" w:hAnsi="Arial"/>
          <w:b/>
          <w:bCs/>
          <w:color w:val="auto"/>
          <w:sz w:val="28"/>
          <w:szCs w:val="28"/>
          <w:highlight w:val="none"/>
        </w:rPr>
      </w:r>
      <w:r/>
    </w:p>
    <w:p>
      <w:pPr>
        <w:rPr>
          <w:rFonts w:ascii="Arial" w:hAnsi="Arial"/>
          <w:b/>
          <w:bCs/>
          <w:color w:val="auto"/>
          <w:sz w:val="28"/>
          <w:szCs w:val="28"/>
          <w:highlight w:val="none"/>
        </w:rPr>
      </w:pPr>
      <w:r>
        <w:rPr>
          <w:rFonts w:ascii="Arial" w:hAnsi="Arial"/>
          <w:b/>
          <w:bCs/>
          <w:color w:val="auto"/>
          <w:sz w:val="28"/>
          <w:szCs w:val="28"/>
          <w:highlight w:val="none"/>
        </w:rPr>
      </w:r>
      <w:r/>
    </w:p>
    <w:p>
      <w:pPr>
        <w:jc w:val="center"/>
        <w:spacing w:line="360" w:lineRule="auto"/>
        <w:rPr>
          <w:rFonts w:ascii="Arial" w:hAnsi="Arial"/>
          <w:b/>
          <w:bCs/>
          <w:color w:val="auto"/>
          <w:sz w:val="28"/>
          <w:szCs w:val="28"/>
          <w:highlight w:val="none"/>
        </w:rPr>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auto"/>
          <w:sz w:val="24"/>
          <w:szCs w:val="24"/>
          <w:highlight w:val="none"/>
        </w:rPr>
      </w:pPr>
      <w:r>
        <w:rPr>
          <w:rFonts w:hint="eastAsia" w:ascii="Arial" w:hAnsi="Arial" w:eastAsia="宋体"/>
          <w:bCs/>
          <w:color w:val="auto"/>
          <w:sz w:val="24"/>
          <w:szCs w:val="24"/>
          <w:highlight w:val="none"/>
          <w:u w:val="single"/>
        </w:rPr>
        <w:t xml:space="preserve">普信国际工程咨询有限公司</w:t>
      </w:r>
      <w:r>
        <w:rPr>
          <w:rFonts w:hint="eastAsia" w:ascii="Arial" w:hAnsi="Arial"/>
          <w:bCs/>
          <w:color w:val="auto"/>
          <w:sz w:val="24"/>
          <w:szCs w:val="24"/>
          <w:highlight w:val="none"/>
        </w:rPr>
        <w:t xml:space="preserve">受</w:t>
      </w:r>
      <w:r>
        <w:rPr>
          <w:rFonts w:hint="eastAsia" w:ascii="Arial" w:hAnsi="Arial"/>
          <w:bCs/>
          <w:color w:val="auto"/>
          <w:sz w:val="24"/>
          <w:szCs w:val="24"/>
          <w:highlight w:val="none"/>
          <w:u w:val="single"/>
        </w:rPr>
        <w:t xml:space="preserve">无锡市人民医院</w:t>
      </w:r>
      <w:r>
        <w:rPr>
          <w:rFonts w:hint="eastAsia" w:ascii="Arial" w:hAnsi="Arial"/>
          <w:bCs/>
          <w:color w:val="auto"/>
          <w:sz w:val="24"/>
          <w:szCs w:val="24"/>
          <w:highlight w:val="none"/>
        </w:rPr>
        <w:t xml:space="preserve">的委托，对</w:t>
      </w:r>
      <w:r>
        <w:rPr>
          <w:rFonts w:hint="eastAsia" w:ascii="Arial" w:hAnsi="Arial"/>
          <w:bCs/>
          <w:color w:val="auto"/>
          <w:sz w:val="24"/>
          <w:szCs w:val="24"/>
          <w:highlight w:val="none"/>
          <w:u w:val="single"/>
        </w:rPr>
        <w:t xml:space="preserve">医院信息化建设</w:t>
      </w:r>
      <w:r>
        <w:rPr>
          <w:rFonts w:hint="eastAsia" w:asciiTheme="minorEastAsia" w:hAnsiTheme="minorEastAsia" w:eastAsiaTheme="minorEastAsia" w:cstheme="minorEastAsia"/>
          <w:color w:val="auto"/>
          <w:sz w:val="24"/>
          <w:szCs w:val="24"/>
          <w:highlight w:val="none"/>
          <w:u w:val="single"/>
          <w:lang w:val="en-US" w:eastAsia="zh-CN"/>
        </w:rPr>
        <w:t xml:space="preserve">2024项目</w:t>
      </w:r>
      <w:r>
        <w:rPr>
          <w:rFonts w:hint="eastAsia" w:ascii="Arial" w:hAnsi="Arial"/>
          <w:bCs/>
          <w:color w:val="auto"/>
          <w:sz w:val="24"/>
          <w:szCs w:val="24"/>
          <w:highlight w:val="none"/>
          <w:u w:val="single"/>
        </w:rPr>
        <w:t xml:space="preserve">（硬件</w:t>
      </w:r>
      <w:r>
        <w:rPr>
          <w:rFonts w:hint="eastAsia" w:ascii="Arial" w:hAnsi="Arial"/>
          <w:bCs/>
          <w:color w:val="auto"/>
          <w:sz w:val="24"/>
          <w:szCs w:val="24"/>
          <w:highlight w:val="none"/>
        </w:rPr>
        <w:t xml:space="preserve">）进行公开招标采购，欢迎符合相关条件的供应商参加投标。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rPr>
        <w:t xml:space="preserve">医院信息化建设2024项目（硬件）</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8</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20</w:t>
      </w:r>
      <w:r>
        <w:rPr>
          <w:rFonts w:hint="eastAsia" w:ascii="宋体" w:hAnsi="宋体"/>
          <w:b/>
          <w:bCs/>
          <w:color w:val="auto"/>
          <w:sz w:val="24"/>
          <w:szCs w:val="24"/>
          <w:highlight w:val="none"/>
        </w:rPr>
        <w:t xml:space="preserve">日13点</w:t>
      </w:r>
      <w:r>
        <w:rPr>
          <w:rFonts w:hint="eastAsia" w:ascii="宋体" w:hAnsi="宋体" w:eastAsia="宋体"/>
          <w:b/>
          <w:bCs/>
          <w:color w:val="auto"/>
          <w:sz w:val="24"/>
          <w:szCs w:val="24"/>
          <w:highlight w:val="none"/>
        </w:rPr>
        <w:t xml:space="preserve">3</w:t>
      </w:r>
      <w:r>
        <w:rPr>
          <w:rFonts w:hint="eastAsia" w:ascii="宋体" w:hAnsi="宋体"/>
          <w:b/>
          <w:bCs/>
          <w:color w:val="auto"/>
          <w:sz w:val="24"/>
          <w:szCs w:val="24"/>
          <w:highlight w:val="none"/>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241"/>
        <w:spacing w:line="360" w:lineRule="auto"/>
        <w:rPr>
          <w:rFonts w:ascii="Arial" w:hAnsi="Arial"/>
          <w:b/>
          <w:bCs/>
          <w:color w:val="auto"/>
          <w:sz w:val="24"/>
          <w:szCs w:val="24"/>
          <w:highlight w:val="none"/>
        </w:rPr>
      </w:pPr>
      <w:r>
        <w:rPr>
          <w:rFonts w:hint="eastAsia" w:ascii="Arial" w:hAnsi="Arial"/>
          <w:b/>
          <w:bCs/>
          <w:color w:val="auto"/>
          <w:sz w:val="24"/>
          <w:szCs w:val="24"/>
          <w:highlight w:val="none"/>
        </w:rPr>
        <w:t xml:space="preserve">（一）</w:t>
      </w:r>
      <w:r>
        <w:rPr>
          <w:rFonts w:hint="eastAsia" w:ascii="Arial" w:hAnsi="Arial" w:cs="宋体"/>
          <w:b/>
          <w:color w:val="auto"/>
          <w:sz w:val="24"/>
          <w:szCs w:val="24"/>
          <w:highlight w:val="none"/>
        </w:rPr>
        <w:t xml:space="preserve">招标项目信息</w:t>
      </w:r>
      <w:r/>
    </w:p>
    <w:p>
      <w:pPr>
        <w:ind w:firstLine="480"/>
        <w:jc w:val="left"/>
        <w:spacing w:line="360" w:lineRule="auto"/>
        <w:shd w:val="clear" w:color="auto" w:fill="ffffff"/>
        <w:widowControl/>
        <w:rPr>
          <w:rFonts w:hint="eastAsia" w:ascii="Arial" w:hAnsi="Arial" w:cs="宋体"/>
          <w:color w:val="auto"/>
          <w:sz w:val="24"/>
          <w:szCs w:val="24"/>
          <w:highlight w:val="none"/>
        </w:rPr>
      </w:pPr>
      <w:r>
        <w:rPr>
          <w:rFonts w:hint="eastAsia" w:ascii="Arial" w:hAnsi="Arial" w:cs="宋体"/>
          <w:color w:val="auto"/>
          <w:sz w:val="24"/>
          <w:szCs w:val="24"/>
          <w:highlight w:val="none"/>
        </w:rPr>
        <w:t xml:space="preserve">1.项目名称：</w:t>
      </w:r>
      <w:r>
        <w:rPr>
          <w:rFonts w:hint="eastAsia" w:ascii="宋体" w:hAnsi="宋体" w:eastAsia="宋体" w:cs="宋体"/>
          <w:color w:val="auto"/>
          <w:sz w:val="24"/>
          <w:szCs w:val="24"/>
          <w:highlight w:val="none"/>
        </w:rPr>
        <w:t xml:space="preserve">医院信息化</w:t>
      </w:r>
      <w:r>
        <w:rPr>
          <w:rFonts w:hint="eastAsia" w:ascii="宋体" w:hAnsi="宋体" w:eastAsia="宋体" w:cs="宋体"/>
          <w:color w:val="auto"/>
          <w:sz w:val="24"/>
          <w:szCs w:val="24"/>
          <w:highlight w:val="none"/>
          <w:lang w:val="en-US" w:eastAsia="zh-CN"/>
        </w:rPr>
        <w:t xml:space="preserve">建设2024项目（硬件</w:t>
      </w:r>
      <w:r>
        <w:rPr>
          <w:rFonts w:hint="eastAsia" w:ascii="宋体" w:hAnsi="宋体" w:eastAsia="宋体" w:cs="宋体"/>
          <w:color w:val="auto"/>
          <w:sz w:val="24"/>
          <w:szCs w:val="24"/>
          <w:highlight w:val="none"/>
        </w:rPr>
        <w:t xml:space="preserve">）</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Arial" w:hAnsi="Arial" w:cs="宋体"/>
          <w:color w:val="auto"/>
          <w:sz w:val="24"/>
          <w:szCs w:val="24"/>
          <w:highlight w:val="none"/>
        </w:rPr>
        <w:t xml:space="preserve">2.项目编号</w:t>
      </w:r>
      <w:r>
        <w:rPr>
          <w:rFonts w:hint="eastAsia" w:ascii="宋体" w:hAnsi="宋体" w:eastAsia="宋体" w:cs="宋体"/>
          <w:color w:val="auto"/>
          <w:sz w:val="24"/>
          <w:szCs w:val="24"/>
          <w:highlight w:val="none"/>
        </w:rPr>
        <w:t xml:space="preserve">：JSZC-320200-PXGJ-G2026-0063</w:t>
      </w:r>
      <w:r/>
    </w:p>
    <w:p>
      <w:pPr>
        <w:ind w:firstLine="480"/>
        <w:jc w:val="left"/>
        <w:spacing w:line="360" w:lineRule="auto"/>
        <w:shd w:val="clear" w:color="auto" w:fill="ffffff"/>
        <w:widowControl/>
        <w:rPr>
          <w:rFonts w:ascii="Arial" w:hAnsi="Arial" w:cs="宋体"/>
          <w:color w:val="auto"/>
          <w:sz w:val="24"/>
          <w:szCs w:val="24"/>
          <w:highlight w:val="none"/>
        </w:rPr>
      </w:pPr>
      <w:r>
        <w:rPr>
          <w:rFonts w:hint="eastAsia" w:ascii="Arial" w:hAnsi="Arial" w:cs="宋体"/>
          <w:color w:val="auto"/>
          <w:sz w:val="24"/>
          <w:szCs w:val="24"/>
          <w:highlight w:val="none"/>
        </w:rPr>
        <w:t xml:space="preserve">3.</w:t>
      </w:r>
      <w:r>
        <w:rPr>
          <w:rFonts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及最</w:t>
      </w:r>
      <w:r>
        <w:rPr>
          <w:rFonts w:hint="eastAsia" w:ascii="Arial" w:hAnsi="Arial" w:cs="宋体"/>
          <w:color w:val="auto"/>
          <w:sz w:val="24"/>
          <w:szCs w:val="24"/>
          <w:highlight w:val="none"/>
          <w:lang w:val="en-US" w:eastAsia="zh-CN"/>
        </w:rPr>
        <w:t xml:space="preserve">高限价</w:t>
      </w:r>
      <w:r>
        <w:rPr>
          <w:rFonts w:hint="eastAsia" w:ascii="Arial" w:hAnsi="Arial"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368.97</w:t>
      </w:r>
      <w:r>
        <w:rPr>
          <w:rFonts w:hint="eastAsia" w:ascii="Arial" w:hAnsi="Arial" w:eastAsia="Arial" w:cs="宋体"/>
          <w:color w:val="auto"/>
          <w:sz w:val="24"/>
          <w:szCs w:val="24"/>
          <w:highlight w:val="none"/>
          <w:lang w:val="en-US" w:eastAsia="zh-CN"/>
        </w:rPr>
        <w:t xml:space="preserve">万元</w:t>
      </w:r>
      <w:r>
        <w:rPr>
          <w:rFonts w:hint="eastAsia" w:ascii="Arial" w:hAnsi="Arial" w:cs="宋体"/>
          <w:color w:val="auto"/>
          <w:sz w:val="24"/>
          <w:szCs w:val="24"/>
          <w:highlight w:val="none"/>
          <w:lang w:val="en-US" w:eastAsia="zh-CN"/>
        </w:rPr>
        <w:t xml:space="preserve">，报价超过最高限价的</w:t>
      </w:r>
      <w:r>
        <w:rPr>
          <w:rFonts w:hint="eastAsia" w:ascii="Arial" w:hAnsi="Arial" w:eastAsia="宋体" w:cs="宋体"/>
          <w:color w:val="auto"/>
          <w:sz w:val="24"/>
          <w:szCs w:val="24"/>
          <w:highlight w:val="none"/>
          <w:lang w:val="en-US" w:eastAsia="zh-CN"/>
        </w:rPr>
        <w:t xml:space="preserve">按无效投标文件处理。</w:t>
      </w:r>
      <w:r/>
    </w:p>
    <w:p>
      <w:pPr>
        <w:ind w:firstLine="480"/>
        <w:jc w:val="left"/>
        <w:spacing w:line="360" w:lineRule="auto"/>
        <w:shd w:val="clear" w:color="auto" w:fill="ffffff"/>
        <w:widowControl/>
        <w:rPr>
          <w:rFonts w:ascii="Arial" w:hAnsi="Arial" w:cs="宋体"/>
          <w:color w:val="auto"/>
          <w:sz w:val="24"/>
          <w:szCs w:val="24"/>
          <w:highlight w:val="none"/>
        </w:rPr>
      </w:pPr>
      <w:r>
        <w:rPr>
          <w:rFonts w:hint="eastAsia" w:ascii="Arial" w:hAnsi="Arial" w:eastAsia="宋体" w:cs="宋体"/>
          <w:color w:val="auto"/>
          <w:sz w:val="24"/>
          <w:szCs w:val="24"/>
          <w:highlight w:val="none"/>
        </w:rPr>
        <w:t xml:space="preserve">4</w:t>
      </w:r>
      <w:r>
        <w:rPr>
          <w:rFonts w:hint="eastAsia" w:ascii="Arial" w:hAnsi="Arial" w:cs="宋体"/>
          <w:color w:val="auto"/>
          <w:sz w:val="24"/>
          <w:szCs w:val="24"/>
          <w:highlight w:val="none"/>
        </w:rPr>
        <w:t xml:space="preserve">.采购需求：</w:t>
      </w:r>
      <w:r>
        <w:rPr>
          <w:rFonts w:hint="eastAsia" w:ascii="宋体" w:hAnsi="宋体" w:cs="宋体"/>
          <w:color w:val="auto"/>
          <w:sz w:val="24"/>
          <w:szCs w:val="24"/>
          <w:highlight w:val="none"/>
        </w:rPr>
        <w:t xml:space="preserve">详见招标文件</w:t>
      </w:r>
      <w:r>
        <w:rPr>
          <w:rFonts w:hint="eastAsia" w:ascii="宋体" w:hAnsi="宋体" w:cs="宋体"/>
          <w:b/>
          <w:bCs/>
          <w:color w:val="auto"/>
          <w:sz w:val="24"/>
          <w:szCs w:val="24"/>
          <w:highlight w:val="none"/>
        </w:rPr>
        <w:t xml:space="preserve">第四章《采购需求》</w:t>
      </w:r>
      <w:r>
        <w:rPr>
          <w:rFonts w:hint="eastAsia" w:ascii="Arial" w:hAnsi="Arial"/>
          <w:color w:val="auto"/>
          <w:sz w:val="24"/>
          <w:highlight w:val="none"/>
        </w:rPr>
        <w:t xml:space="preserve">；</w:t>
      </w:r>
      <w:r/>
    </w:p>
    <w:p>
      <w:pPr>
        <w:ind w:firstLine="480"/>
        <w:jc w:val="left"/>
        <w:spacing w:line="360" w:lineRule="auto"/>
        <w:shd w:val="clear" w:color="auto" w:fill="ffffff"/>
        <w:widowControl/>
        <w:rPr>
          <w:rFonts w:ascii="Arial" w:hAnsi="Arial" w:eastAsia="宋体"/>
          <w:color w:val="auto"/>
          <w:sz w:val="24"/>
          <w:szCs w:val="24"/>
          <w:highlight w:val="none"/>
        </w:rPr>
      </w:pPr>
      <w:r>
        <w:rPr>
          <w:rFonts w:hint="eastAsia" w:ascii="Arial" w:hAnsi="Arial" w:eastAsia="宋体" w:cs="宋体"/>
          <w:color w:val="auto"/>
          <w:sz w:val="24"/>
          <w:szCs w:val="24"/>
          <w:highlight w:val="none"/>
        </w:rPr>
        <w:t xml:space="preserve">5</w:t>
      </w:r>
      <w:r>
        <w:rPr>
          <w:rFonts w:hint="eastAsia" w:ascii="Arial" w:hAnsi="Arial" w:cs="宋体"/>
          <w:color w:val="auto"/>
          <w:sz w:val="24"/>
          <w:szCs w:val="24"/>
          <w:highlight w:val="none"/>
        </w:rPr>
        <w:t xml:space="preserve">.</w:t>
      </w:r>
      <w:r>
        <w:rPr>
          <w:rFonts w:hint="eastAsia" w:ascii="Arial" w:hAnsi="Arial" w:eastAsia="宋体"/>
          <w:color w:val="auto"/>
          <w:sz w:val="24"/>
          <w:szCs w:val="24"/>
          <w:highlight w:val="none"/>
        </w:rPr>
        <w:t xml:space="preserve">服务期限：</w:t>
      </w:r>
      <w:r>
        <w:rPr>
          <w:rFonts w:hint="eastAsia" w:asciiTheme="minorEastAsia" w:hAnsiTheme="minorEastAsia" w:eastAsiaTheme="minorEastAsia" w:cstheme="minorEastAsia"/>
          <w:color w:val="auto"/>
          <w:sz w:val="24"/>
          <w:szCs w:val="24"/>
          <w:highlight w:val="none"/>
          <w:u w:val="none"/>
          <w:lang w:val="en-US" w:eastAsia="zh-CN"/>
        </w:rPr>
        <w:t xml:space="preserve">2年</w:t>
      </w:r>
      <w:r>
        <w:rPr>
          <w:rFonts w:hint="eastAsia" w:ascii="Arial" w:hAnsi="Arial" w:eastAsia="宋体"/>
          <w:color w:val="auto"/>
          <w:sz w:val="24"/>
          <w:szCs w:val="24"/>
          <w:highlight w:val="none"/>
        </w:rPr>
        <w:t xml:space="preserve">；</w:t>
      </w:r>
      <w:r/>
    </w:p>
    <w:p>
      <w:pPr>
        <w:ind w:firstLine="480"/>
        <w:jc w:val="left"/>
        <w:spacing w:line="360" w:lineRule="auto"/>
        <w:shd w:val="clear" w:color="auto" w:fill="ffffff"/>
        <w:widowControl/>
        <w:rPr>
          <w:rFonts w:ascii="Arial" w:hAnsi="Arial" w:cs="宋体"/>
          <w:color w:val="auto"/>
          <w:sz w:val="24"/>
          <w:szCs w:val="24"/>
          <w:highlight w:val="none"/>
        </w:rPr>
      </w:pPr>
      <w:r>
        <w:rPr>
          <w:rFonts w:hint="eastAsia" w:ascii="Arial" w:hAnsi="Arial" w:eastAsia="宋体" w:cs="宋体"/>
          <w:color w:val="auto"/>
          <w:sz w:val="24"/>
          <w:szCs w:val="24"/>
          <w:highlight w:val="none"/>
        </w:rPr>
        <w:t xml:space="preserve">6</w:t>
      </w:r>
      <w:r>
        <w:rPr>
          <w:rFonts w:hint="eastAsia" w:ascii="Arial" w:hAnsi="Arial" w:cs="宋体"/>
          <w:color w:val="auto"/>
          <w:sz w:val="24"/>
          <w:szCs w:val="24"/>
          <w:highlight w:val="none"/>
        </w:rPr>
        <w:t xml:space="preserve">.本项目标的所属行业：工业</w:t>
      </w:r>
      <w:r>
        <w:rPr>
          <w:rFonts w:hint="eastAsia" w:ascii="Arial" w:hAnsi="Arial" w:eastAsia="宋体" w:cs="宋体"/>
          <w:color w:val="auto"/>
          <w:sz w:val="24"/>
          <w:szCs w:val="24"/>
          <w:highlight w:val="none"/>
          <w:lang w:eastAsia="zh-CN"/>
        </w:rPr>
        <w:t xml:space="preserve">（</w:t>
      </w:r>
      <w:r>
        <w:rPr>
          <w:rFonts w:hint="eastAsia" w:ascii="Arial" w:hAnsi="Arial" w:eastAsia="宋体" w:cs="宋体"/>
          <w:color w:val="auto"/>
          <w:sz w:val="24"/>
          <w:szCs w:val="24"/>
          <w:highlight w:val="none"/>
          <w:lang w:val="en-US" w:eastAsia="zh-CN"/>
        </w:rPr>
        <w:t xml:space="preserve">制造业）</w:t>
      </w:r>
      <w:r>
        <w:rPr>
          <w:rFonts w:hint="eastAsia" w:ascii="Arial" w:hAnsi="Arial" w:cs="宋体"/>
          <w:color w:val="auto"/>
          <w:sz w:val="24"/>
          <w:szCs w:val="24"/>
          <w:highlight w:val="none"/>
        </w:rPr>
        <w:t xml:space="preserve">。根据《中小企业划型标准规定》工信部联企业</w:t>
      </w:r>
      <w:r>
        <w:rPr>
          <w:rFonts w:hint="eastAsia" w:ascii="Arial" w:hAnsi="Arial" w:eastAsia="宋体" w:cs="宋体"/>
          <w:color w:val="auto"/>
          <w:sz w:val="24"/>
          <w:szCs w:val="24"/>
          <w:highlight w:val="none"/>
        </w:rPr>
        <w:t xml:space="preserve">〔2011〕300号</w:t>
      </w:r>
      <w:r>
        <w:rPr>
          <w:rFonts w:hint="eastAsia" w:ascii="Arial" w:hAnsi="Arial" w:cs="宋体"/>
          <w:color w:val="auto"/>
          <w:sz w:val="24"/>
          <w:szCs w:val="24"/>
          <w:highlight w:val="none"/>
        </w:rPr>
        <w:t xml:space="preserve">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shd w:val="clear" w:color="auto" w:fill="ffffff"/>
        <w:widowControl/>
        <w:rPr>
          <w:rFonts w:ascii="Arial" w:hAnsi="Arial" w:cs="宋体"/>
          <w:color w:val="auto"/>
          <w:sz w:val="24"/>
          <w:szCs w:val="24"/>
          <w:highlight w:val="none"/>
        </w:rPr>
      </w:pPr>
      <w:r>
        <w:rPr>
          <w:rFonts w:hint="eastAsia" w:ascii="Arial" w:hAnsi="Arial" w:eastAsia="宋体" w:cs="宋体"/>
          <w:color w:val="auto"/>
          <w:sz w:val="24"/>
          <w:szCs w:val="24"/>
          <w:highlight w:val="none"/>
        </w:rPr>
        <w:t xml:space="preserve">7</w:t>
      </w:r>
      <w:r>
        <w:rPr>
          <w:rFonts w:hint="eastAsia" w:ascii="Arial" w:hAnsi="Arial" w:cs="宋体"/>
          <w:color w:val="auto"/>
          <w:sz w:val="24"/>
          <w:szCs w:val="24"/>
          <w:highlight w:val="none"/>
        </w:rPr>
        <w:t xml:space="preserve">.本项目</w:t>
      </w:r>
      <w:r>
        <w:rPr>
          <w:rFonts w:hint="eastAsia" w:ascii="Arial" w:hAnsi="Arial" w:cs="宋体"/>
          <w:b/>
          <w:bCs/>
          <w:color w:val="auto"/>
          <w:sz w:val="24"/>
          <w:szCs w:val="24"/>
          <w:highlight w:val="none"/>
          <w:u w:val="single"/>
        </w:rPr>
        <w:t xml:space="preserve">不接受 </w:t>
      </w:r>
      <w:r>
        <w:rPr>
          <w:rFonts w:hint="eastAsia" w:ascii="Arial" w:hAnsi="Arial" w:cs="宋体"/>
          <w:color w:val="auto"/>
          <w:sz w:val="24"/>
          <w:szCs w:val="24"/>
          <w:highlight w:val="none"/>
        </w:rPr>
        <w:t xml:space="preserve">联合投标。</w:t>
      </w:r>
      <w:r/>
    </w:p>
    <w:p>
      <w:pPr>
        <w:ind w:firstLine="480"/>
        <w:jc w:val="left"/>
        <w:spacing w:line="360" w:lineRule="auto"/>
        <w:shd w:val="clear" w:color="auto" w:fill="ffffff"/>
        <w:widowControl/>
        <w:rPr>
          <w:rFonts w:hint="eastAsia" w:ascii="Arial" w:hAnsi="Arial" w:eastAsia="宋体" w:cs="宋体"/>
          <w:color w:val="auto"/>
          <w:sz w:val="24"/>
          <w:szCs w:val="24"/>
          <w:highlight w:val="none"/>
        </w:rPr>
      </w:pPr>
      <w:r>
        <w:rPr>
          <w:rFonts w:hint="eastAsia" w:ascii="Arial" w:hAnsi="Arial" w:eastAsia="宋体" w:cs="宋体"/>
          <w:color w:val="auto"/>
          <w:sz w:val="24"/>
          <w:szCs w:val="24"/>
          <w:highlight w:val="none"/>
        </w:rPr>
        <w:t xml:space="preserve">8.本项目需</w:t>
      </w:r>
      <w:r>
        <w:rPr>
          <w:rFonts w:hint="eastAsia" w:ascii="Arial" w:hAnsi="Arial" w:eastAsia="宋体" w:cs="宋体"/>
          <w:color w:val="auto"/>
          <w:sz w:val="24"/>
          <w:szCs w:val="24"/>
          <w:highlight w:val="none"/>
          <w:lang w:val="en-US" w:eastAsia="zh-CN"/>
        </w:rPr>
        <w:t xml:space="preserve">缴纳</w:t>
      </w:r>
      <w:r>
        <w:rPr>
          <w:rFonts w:hint="eastAsia" w:ascii="Arial" w:hAnsi="Arial" w:eastAsia="宋体" w:cs="宋体"/>
          <w:color w:val="auto"/>
          <w:sz w:val="24"/>
          <w:szCs w:val="24"/>
          <w:highlight w:val="none"/>
        </w:rPr>
        <w:t xml:space="preserve">履约保证金。</w:t>
      </w:r>
      <w:r/>
    </w:p>
    <w:p>
      <w:pPr>
        <w:ind w:firstLine="480"/>
        <w:jc w:val="left"/>
        <w:spacing w:line="360" w:lineRule="auto"/>
        <w:shd w:val="clear" w:color="auto" w:fill="ffffff"/>
        <w:widowControl/>
        <w:rPr>
          <w:rFonts w:hint="default" w:ascii="Arial" w:hAnsi="Arial" w:eastAsia="宋体" w:cs="宋体"/>
          <w:color w:val="auto"/>
          <w:sz w:val="24"/>
          <w:szCs w:val="24"/>
          <w:highlight w:val="none"/>
          <w:lang w:val="en-US" w:eastAsia="zh-CN"/>
        </w:rPr>
      </w:pPr>
      <w:r>
        <w:rPr>
          <w:rFonts w:hint="eastAsia" w:ascii="Arial" w:hAnsi="Arial" w:eastAsia="宋体" w:cs="宋体"/>
          <w:color w:val="auto"/>
          <w:sz w:val="24"/>
          <w:szCs w:val="24"/>
          <w:highlight w:val="none"/>
          <w:lang w:val="en-US" w:eastAsia="zh-CN"/>
        </w:rPr>
        <w:t xml:space="preserve">9.本项目非专门面向中小企业。</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（二）投标人资格要求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2.1中小企业政策：无；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查询，无被列入失信被执行人、</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、政府采购严重失信行为记录名单及其他不符合《中华人民共和国政府采购法》第二十二条规定条件的信用记录；</w:t>
      </w:r>
      <w:r/>
    </w:p>
    <w:p>
      <w:pPr>
        <w:numPr>
          <w:ilvl w:val="0"/>
          <w:numId w:val="7"/>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本项目的特定资格要求：</w:t>
      </w:r>
      <w:r/>
    </w:p>
    <w:p>
      <w:pPr>
        <w:numPr>
          <w:ilvl w:val="0"/>
          <w:numId w:val="0"/>
        </w:num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1、多参数生命体征采集设备供应商资质</w:t>
      </w:r>
      <w:r/>
    </w:p>
    <w:p>
      <w:pPr>
        <w:numPr>
          <w:ilvl w:val="0"/>
          <w:numId w:val="0"/>
        </w:num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（1）投标供应商为产品生产企业：</w:t>
      </w:r>
      <w:r/>
    </w:p>
    <w:p>
      <w:pPr>
        <w:numPr>
          <w:ilvl w:val="0"/>
          <w:numId w:val="0"/>
        </w:num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①仅在其住所或者生产地址销售其注册、备案的医疗器械的，无需提供第二类医疗器械经营备案凭证，仅须提供有效期内相对应的《医疗器械生产许可证》；</w:t>
      </w:r>
      <w:r/>
    </w:p>
    <w:p>
      <w:pPr>
        <w:numPr>
          <w:ilvl w:val="0"/>
          <w:numId w:val="0"/>
        </w:num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②若在住所、生产地址以外其他场所贮存并销售医疗器械的，须同时提供有效期内相对应的《医疗器械生产许可证》及有效期内第二类医疗器械经营备案凭证。</w:t>
      </w:r>
      <w:r/>
    </w:p>
    <w:p>
      <w:pPr>
        <w:numPr>
          <w:ilvl w:val="0"/>
          <w:numId w:val="0"/>
        </w:num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（2）供应商为产品经销企业：须提供有效期内的第二类医疗器械经营备案凭证。</w:t>
      </w:r>
      <w:r/>
    </w:p>
    <w:p>
      <w:pPr>
        <w:numPr>
          <w:ilvl w:val="0"/>
          <w:numId w:val="0"/>
        </w:num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2、全自动台式血压计供应商资质（依据国家药监局 2021 年第 86 号《免于经营备案的第二类医疗器械产品目录》，电子血压计免于二类经营备案）</w:t>
      </w:r>
      <w:r/>
    </w:p>
    <w:p>
      <w:pPr>
        <w:numPr>
          <w:ilvl w:val="0"/>
          <w:numId w:val="0"/>
        </w:num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供应商为产品生产企业：提供有效期内相对应的《医疗器械生产许可证》；</w:t>
      </w:r>
      <w:r/>
    </w:p>
    <w:p>
      <w:pPr>
        <w:numPr>
          <w:ilvl w:val="0"/>
          <w:numId w:val="0"/>
        </w:num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3、产品注册证要求</w:t>
      </w:r>
      <w:r/>
    </w:p>
    <w:p>
      <w:pPr>
        <w:numPr>
          <w:ilvl w:val="0"/>
          <w:numId w:val="0"/>
        </w:numPr>
        <w:ind w:firstLine="480"/>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所投多参数生命体征采集设备、全自动台式血压计，均须提供有效期内、型号规格与投标产品完全一致的《医疗器械注册证》，注册证编号对应管理类别为第二类</w:t>
      </w:r>
      <w:bookmarkStart w:id="160" w:name="_GoBack"/>
      <w:r/>
      <w:bookmarkEnd w:id="160"/>
      <w:r>
        <w:rPr>
          <w:rFonts w:hint="eastAsia" w:ascii="宋体" w:hAnsi="宋体"/>
          <w:color w:val="auto"/>
          <w:sz w:val="24"/>
          <w:szCs w:val="24"/>
          <w:highlight w:val="none"/>
          <w:lang w:eastAsia="zh-CN"/>
        </w:rPr>
        <w:t xml:space="preserve">。</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（三）获取采购文件的时间期限</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（四）提交投标文件截止时间、开标时间和地点</w:t>
      </w:r>
      <w:r/>
    </w:p>
    <w:p>
      <w:pPr>
        <w:ind w:firstLine="480"/>
        <w:spacing w:line="360" w:lineRule="auto"/>
        <w:rPr>
          <w:rFonts w:ascii="Arial" w:hAnsi="Arial"/>
          <w:bCs/>
          <w:color w:val="auto"/>
          <w:sz w:val="24"/>
          <w:szCs w:val="24"/>
          <w:highlight w:val="none"/>
        </w:rPr>
      </w:pPr>
      <w:r>
        <w:rPr>
          <w:rFonts w:hint="eastAsia" w:ascii="Arial" w:hAnsi="Arial"/>
          <w:bCs/>
          <w:color w:val="auto"/>
          <w:sz w:val="24"/>
          <w:szCs w:val="24"/>
          <w:highlight w:val="none"/>
        </w:rPr>
        <w:t xml:space="preserve">1.时间：</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8</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20</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lang w:val="en-US" w:eastAsia="zh-CN"/>
        </w:rPr>
        <w:t xml:space="preserve">13</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rPr>
        <w:t xml:space="preserve">3</w:t>
      </w:r>
      <w:r>
        <w:rPr>
          <w:rFonts w:hint="eastAsia" w:ascii="宋体" w:hAnsi="宋体"/>
          <w:b/>
          <w:bCs/>
          <w:color w:val="auto"/>
          <w:sz w:val="24"/>
          <w:szCs w:val="24"/>
          <w:highlight w:val="none"/>
        </w:rPr>
        <w:t xml:space="preserve">0分</w:t>
      </w:r>
      <w:r>
        <w:rPr>
          <w:rFonts w:hint="eastAsia" w:ascii="Arial" w:hAnsi="Arial"/>
          <w:bCs/>
          <w:color w:val="auto"/>
          <w:sz w:val="24"/>
          <w:szCs w:val="24"/>
          <w:highlight w:val="none"/>
        </w:rPr>
        <w:t xml:space="preserve">（北京时间），截止时间后上传的任何投标文件恕不接受。</w:t>
      </w:r>
      <w:r/>
    </w:p>
    <w:p>
      <w:pPr>
        <w:ind w:firstLine="480"/>
        <w:spacing w:line="360" w:lineRule="auto"/>
        <w:rPr>
          <w:rFonts w:ascii="Arial" w:hAnsi="Arial"/>
          <w:bCs/>
          <w:color w:val="auto"/>
          <w:sz w:val="24"/>
          <w:szCs w:val="24"/>
          <w:highlight w:val="none"/>
        </w:rPr>
      </w:pPr>
      <w:r>
        <w:rPr>
          <w:rFonts w:hint="eastAsia" w:ascii="Arial" w:hAnsi="Arial"/>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72"/>
        <w:ind w:firstLine="452"/>
        <w:keepLines w:val="0"/>
        <w:keepNext w:val="0"/>
        <w:spacing w:before="0" w:after="0" w:line="360" w:lineRule="auto"/>
        <w:rPr>
          <w:rFonts w:ascii="Arial" w:hAnsi="Arial" w:eastAsia="Arial" w:cs="宋体"/>
          <w:bCs w:val="0"/>
          <w:color w:val="auto"/>
          <w:sz w:val="24"/>
          <w:szCs w:val="24"/>
          <w:highlight w:val="none"/>
          <w:lang w:eastAsia="zh-CN"/>
        </w:rPr>
      </w:pPr>
      <w:r>
        <w:rPr>
          <w:rFonts w:hint="eastAsia" w:ascii="Arial" w:hAnsi="Arial" w:eastAsia="Arial" w:cs="宋体"/>
          <w:bCs w:val="0"/>
          <w:color w:val="auto"/>
          <w:sz w:val="24"/>
          <w:szCs w:val="24"/>
          <w:highlight w:val="none"/>
          <w:lang w:eastAsia="zh-CN"/>
        </w:rPr>
        <w:t xml:space="preserve">（五）公告期限</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（招标公告及招标文件公告期限）自本公告发布之日起5个工作日。</w:t>
      </w:r>
      <w:r/>
    </w:p>
    <w:p>
      <w:pPr>
        <w:ind w:firstLine="48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ind w:firstLine="482"/>
        <w:spacing w:line="360" w:lineRule="auto"/>
        <w:rPr>
          <w:rFonts w:ascii="Arial" w:hAnsi="Arial"/>
          <w:b/>
          <w:bCs/>
          <w:color w:val="auto"/>
          <w:sz w:val="24"/>
          <w:szCs w:val="24"/>
          <w:highlight w:val="none"/>
        </w:rPr>
      </w:pPr>
      <w:r>
        <w:rPr>
          <w:rFonts w:hint="eastAsia" w:ascii="Arial" w:hAnsi="Arial" w:cs="宋体"/>
          <w:b/>
          <w:color w:val="auto"/>
          <w:sz w:val="24"/>
          <w:szCs w:val="24"/>
          <w:highlight w:val="none"/>
        </w:rPr>
        <w:t xml:space="preserve">（七）</w:t>
      </w:r>
      <w:r>
        <w:rPr>
          <w:rFonts w:hint="eastAsia" w:ascii="Arial" w:hAnsi="Arial"/>
          <w:b/>
          <w:bCs/>
          <w:color w:val="auto"/>
          <w:sz w:val="24"/>
          <w:szCs w:val="24"/>
          <w:highlight w:val="none"/>
        </w:rPr>
        <w:t xml:space="preserve">本次招标联系方式</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1.采购代理机构：</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名称：普信国际工程咨询有限公司</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项目联系人：施晓旻（项目负责人）、张玲玲</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电话：13914269285、15651504035               </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地址：无锡市蠡湖大道2018号普信COPO 2号楼2楼213</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邮箱：wxpx2b@163.com</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2.采购人：</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名称：无锡市人民医院</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联系人：夏勇</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联系电话：0510-85351862</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联系地址：无锡市梁溪区清扬路299号</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（八）其他</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（1）</w:t>
      </w:r>
      <w:r>
        <w:rPr>
          <w:rFonts w:ascii="宋体" w:hAnsi="宋体"/>
          <w:color w:val="auto"/>
          <w:sz w:val="24"/>
          <w:szCs w:val="24"/>
          <w:highlight w:val="none"/>
        </w:rPr>
        <w:t xml:space="preserve">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hint="eastAsia" w:ascii="宋体" w:hAnsi="宋体" w:eastAsia="宋体"/>
          <w:bCs/>
          <w:color w:val="auto"/>
          <w:sz w:val="24"/>
          <w:szCs w:val="24"/>
          <w:highlight w:val="none"/>
        </w:rPr>
        <w:t xml:space="preserve">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hint="eastAsia"/>
          <w:color w:val="auto"/>
          <w:highlight w:val="none"/>
        </w:rPr>
        <w:fldChar w:fldCharType="begin"/>
      </w:r>
      <w:r>
        <w:rPr>
          <w:color w:val="auto"/>
          <w:highlight w:val="none"/>
        </w:rPr>
        <w:instrText xml:space="preserve"> HYPERLINK "http://cz.wuxi.gov.cn/doc/2023/10/11/4080287.shtml" \o "http://cz.wuxi.gov.cn/doc/2023/10/11/4080287.shtml" </w:instrText>
      </w:r>
      <w:r>
        <w:rPr>
          <w:rFonts w:hint="eastAsia"/>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360" w:lineRule="auto"/>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在“江苏政府采购网”发布的更正公告。</w:t>
      </w:r>
      <w:r/>
    </w:p>
    <w:p>
      <w:pPr>
        <w:ind w:firstLine="480"/>
        <w:spacing w:line="360" w:lineRule="auto"/>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ind w:firstLine="480"/>
        <w:jc w:val="left"/>
        <w:spacing w:line="360" w:lineRule="auto"/>
        <w:shd w:val="clear" w:color="auto" w:fill="ffffff"/>
        <w:widowControl/>
        <w:rPr>
          <w:rFonts w:ascii="Arial" w:hAnsi="Arial" w:cs="宋体"/>
          <w:bCs/>
          <w:color w:val="auto"/>
          <w:sz w:val="24"/>
          <w:szCs w:val="24"/>
          <w:highlight w:val="none"/>
        </w:rPr>
      </w:pPr>
      <w:r>
        <w:rPr>
          <w:rFonts w:hint="eastAsia" w:ascii="Arial" w:hAnsi="Arial" w:cs="宋体"/>
          <w:bCs/>
          <w:color w:val="auto"/>
          <w:sz w:val="24"/>
          <w:szCs w:val="24"/>
          <w:highlight w:val="none"/>
        </w:rPr>
        <w:t xml:space="preserve">（五）其他事项</w:t>
      </w:r>
      <w:r/>
    </w:p>
    <w:p>
      <w:pPr>
        <w:ind w:firstLine="720"/>
        <w:spacing w:line="360" w:lineRule="auto"/>
        <w:rPr>
          <w:rFonts w:ascii="Arial" w:hAnsi="Arial" w:eastAsia="宋体"/>
          <w:color w:val="auto"/>
          <w:sz w:val="24"/>
          <w:szCs w:val="24"/>
          <w:highlight w:val="none"/>
        </w:rPr>
      </w:pPr>
      <w:r>
        <w:rPr>
          <w:rFonts w:hint="eastAsia" w:ascii="Arial" w:hAnsi="Arial"/>
          <w:color w:val="auto"/>
          <w:sz w:val="24"/>
          <w:szCs w:val="24"/>
          <w:highlight w:val="none"/>
        </w:rPr>
        <w:t xml:space="preserve">1）</w:t>
      </w:r>
      <w:r>
        <w:rPr>
          <w:rFonts w:hint="eastAsia" w:ascii="宋体" w:hAnsi="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 xml:space="preserve">。</w:t>
      </w:r>
      <w:r/>
    </w:p>
    <w:p>
      <w:pPr>
        <w:ind w:firstLine="720"/>
        <w:spacing w:line="360" w:lineRule="auto"/>
        <w:rPr>
          <w:rFonts w:ascii="Arial" w:hAnsi="Arial"/>
          <w:color w:val="auto"/>
          <w:sz w:val="24"/>
          <w:szCs w:val="24"/>
          <w:highlight w:val="none"/>
        </w:rPr>
      </w:pPr>
      <w:r>
        <w:rPr>
          <w:rFonts w:hint="eastAsia" w:ascii="Arial" w:hAnsi="Arial" w:eastAsia="宋体"/>
          <w:color w:val="auto"/>
          <w:sz w:val="24"/>
          <w:szCs w:val="24"/>
          <w:highlight w:val="none"/>
        </w:rPr>
        <w:t xml:space="preserve">2）</w:t>
      </w:r>
      <w:r>
        <w:rPr>
          <w:rFonts w:hint="eastAsia" w:ascii="Arial" w:hAnsi="Arial"/>
          <w:color w:val="auto"/>
          <w:sz w:val="24"/>
          <w:szCs w:val="24"/>
          <w:highlight w:val="none"/>
        </w:rPr>
        <w:t xml:space="preserve">纸质投标文件：本项目为不见面开标，</w:t>
      </w:r>
      <w:r>
        <w:rPr>
          <w:rFonts w:hint="eastAsia" w:ascii="Arial" w:hAnsi="Arial" w:eastAsia="宋体"/>
          <w:color w:val="auto"/>
          <w:sz w:val="24"/>
          <w:szCs w:val="24"/>
          <w:highlight w:val="none"/>
        </w:rPr>
        <w:t xml:space="preserve">投标</w:t>
      </w:r>
      <w:r>
        <w:rPr>
          <w:rFonts w:hint="eastAsia" w:ascii="Arial" w:hAnsi="Arial"/>
          <w:color w:val="auto"/>
          <w:sz w:val="24"/>
          <w:szCs w:val="24"/>
          <w:highlight w:val="none"/>
        </w:rPr>
        <w:t xml:space="preserve">人无需递交纸质投标文件至现场，</w:t>
      </w:r>
      <w:r>
        <w:rPr>
          <w:rFonts w:hint="eastAsia" w:ascii="Arial" w:hAnsi="Arial"/>
          <w:b/>
          <w:color w:val="auto"/>
          <w:sz w:val="24"/>
          <w:szCs w:val="24"/>
          <w:highlight w:val="none"/>
        </w:rPr>
        <w:t xml:space="preserve">中标后中标供应商向</w:t>
      </w:r>
      <w:r>
        <w:rPr>
          <w:rFonts w:hint="eastAsia" w:ascii="Arial" w:hAnsi="Arial" w:eastAsia="宋体"/>
          <w:b/>
          <w:color w:val="auto"/>
          <w:sz w:val="24"/>
          <w:szCs w:val="24"/>
          <w:highlight w:val="none"/>
        </w:rPr>
        <w:t xml:space="preserve">采购代理机构</w:t>
      </w:r>
      <w:r>
        <w:rPr>
          <w:rFonts w:hint="eastAsia" w:ascii="Arial" w:hAnsi="Arial"/>
          <w:b/>
          <w:color w:val="auto"/>
          <w:sz w:val="24"/>
          <w:szCs w:val="24"/>
          <w:highlight w:val="none"/>
        </w:rPr>
        <w:t xml:space="preserve">提供与电子投标文件完全一致的纸质投标文件（2份：一正、一副）。</w:t>
      </w:r>
      <w:r>
        <w:rPr>
          <w:rFonts w:hint="eastAsia" w:ascii="Arial" w:hAnsi="Arial" w:eastAsia="宋体"/>
          <w:b/>
          <w:color w:val="auto"/>
          <w:sz w:val="24"/>
          <w:szCs w:val="24"/>
          <w:highlight w:val="none"/>
        </w:rPr>
        <w:t xml:space="preserve">若最终纸质投标文件与电子投标文件不一致，以系统中提交的电子投标文件为准。</w:t>
      </w:r>
      <w:r/>
    </w:p>
    <w:p>
      <w:pPr>
        <w:ind w:firstLine="720"/>
        <w:spacing w:line="360" w:lineRule="auto"/>
        <w:rPr>
          <w:rFonts w:ascii="Arial" w:hAnsi="Arial"/>
          <w:color w:val="auto"/>
          <w:sz w:val="24"/>
          <w:szCs w:val="24"/>
          <w:highlight w:val="none"/>
        </w:rPr>
      </w:pPr>
      <w:r>
        <w:rPr>
          <w:rFonts w:hint="eastAsia" w:ascii="Arial" w:hAnsi="Arial" w:eastAsia="宋体"/>
          <w:color w:val="auto"/>
          <w:sz w:val="24"/>
          <w:szCs w:val="24"/>
          <w:highlight w:val="none"/>
        </w:rPr>
        <w:t xml:space="preserve">3</w:t>
      </w:r>
      <w:r>
        <w:rPr>
          <w:rFonts w:hint="eastAsia" w:ascii="Arial" w:hAnsi="Arial"/>
          <w:color w:val="auto"/>
          <w:sz w:val="24"/>
          <w:szCs w:val="24"/>
          <w:highlight w:val="none"/>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ascii="宋体" w:hAnsi="宋体" w:eastAsia="宋体" w:cs="宋体"/>
          <w:color w:val="auto"/>
          <w:sz w:val="24"/>
          <w:szCs w:val="24"/>
          <w:highlight w:val="none"/>
        </w:rPr>
      </w:pPr>
      <w:r>
        <w:rPr>
          <w:rFonts w:hint="eastAsia" w:ascii="Arial" w:hAnsi="Arial" w:eastAsia="宋体"/>
          <w:color w:val="auto"/>
          <w:sz w:val="24"/>
          <w:szCs w:val="24"/>
          <w:highlight w:val="none"/>
        </w:rPr>
        <w:t xml:space="preserve">4）</w:t>
      </w:r>
      <w:r>
        <w:rPr>
          <w:rFonts w:hint="eastAsia" w:ascii="宋体" w:hAnsi="宋体" w:eastAsia="宋体" w:cs="宋体"/>
          <w:color w:val="auto"/>
          <w:sz w:val="24"/>
          <w:szCs w:val="24"/>
          <w:highlight w:val="none"/>
        </w:rPr>
        <w:t xml:space="preserve">本招标文件中</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的盖章部分均可使用CA签章。</w:t>
      </w:r>
      <w:r/>
    </w:p>
    <w:p>
      <w:pPr>
        <w:ind w:firstLine="720"/>
        <w:spacing w:line="360" w:lineRule="auto"/>
        <w:rPr>
          <w:rFonts w:ascii="Arial" w:hAnsi="Arial" w:eastAsia="宋体"/>
          <w:color w:val="auto"/>
          <w:sz w:val="24"/>
          <w:szCs w:val="24"/>
          <w:highlight w:val="none"/>
        </w:rPr>
      </w:pPr>
      <w:r>
        <w:rPr>
          <w:rFonts w:ascii="Arial" w:hAnsi="Arial" w:eastAsia="宋体"/>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rPr>
          <w:rFonts w:hint="eastAsia" w:ascii="黑体" w:hAnsi="黑体" w:eastAsia="黑体"/>
          <w:color w:val="auto"/>
          <w:sz w:val="36"/>
          <w:szCs w:val="36"/>
          <w:highlight w:val="none"/>
        </w:rPr>
      </w:pPr>
      <w:r>
        <w:rPr>
          <w:rFonts w:hint="eastAsia" w:ascii="黑体" w:hAnsi="黑体" w:eastAsia="黑体"/>
          <w:color w:val="auto"/>
          <w:sz w:val="36"/>
          <w:szCs w:val="36"/>
          <w:highlight w:val="none"/>
        </w:rPr>
        <w:br w:type="page" w:clear="all"/>
      </w:r>
      <w:r/>
    </w:p>
    <w:p>
      <w:pPr>
        <w:jc w:val="center"/>
        <w:spacing w:line="360" w:lineRule="auto"/>
        <w:widowControl/>
        <w:rPr>
          <w:rFonts w:ascii="Arial" w:hAnsi="Arial"/>
          <w:b/>
          <w:bCs/>
          <w:color w:val="auto"/>
          <w:sz w:val="28"/>
          <w:szCs w:val="28"/>
          <w:highlight w:val="none"/>
        </w:rPr>
      </w:pPr>
      <w:r>
        <w:rPr>
          <w:rFonts w:hint="eastAsia" w:ascii="黑体" w:hAnsi="黑体" w:eastAsia="黑体"/>
          <w:color w:val="auto"/>
          <w:sz w:val="36"/>
          <w:szCs w:val="36"/>
          <w:highlight w:val="none"/>
        </w:rPr>
        <w:t xml:space="preserve">第二章  </w:t>
      </w:r>
      <w:bookmarkEnd w:id="1"/>
      <w:r/>
      <w:bookmarkStart w:id="2" w:name="_Toc120614213"/>
      <w:r/>
      <w:bookmarkStart w:id="3" w:name="_Toc20823274"/>
      <w:r/>
      <w:bookmarkStart w:id="4" w:name="_Toc513029202"/>
      <w:r/>
      <w:bookmarkStart w:id="5" w:name="_Toc16938518"/>
      <w:r>
        <w:rPr>
          <w:rFonts w:hint="eastAsia" w:ascii="黑体" w:hAnsi="黑体" w:eastAsia="黑体"/>
          <w:color w:val="auto"/>
          <w:sz w:val="36"/>
          <w:szCs w:val="36"/>
          <w:highlight w:val="none"/>
        </w:rPr>
        <w:t xml:space="preserve">投标人须知</w:t>
      </w:r>
      <w:bookmarkEnd w:id="2"/>
      <w:r/>
      <w:bookmarkEnd w:id="3"/>
      <w:r/>
      <w:bookmarkEnd w:id="4"/>
      <w:r/>
      <w:bookmarkEnd w:id="5"/>
      <w:r/>
      <w:r/>
    </w:p>
    <w:p>
      <w:pPr>
        <w:pStyle w:val="972"/>
        <w:ind w:firstLine="452"/>
        <w:keepLines w:val="0"/>
        <w:keepNext w:val="0"/>
        <w:spacing w:before="0" w:after="0" w:line="360" w:lineRule="auto"/>
        <w:rPr>
          <w:color w:val="auto"/>
          <w:sz w:val="30"/>
          <w:szCs w:val="30"/>
          <w:highlight w:val="none"/>
          <w:lang w:eastAsia="zh-CN"/>
        </w:rPr>
      </w:pPr>
      <w:r/>
      <w:bookmarkStart w:id="6" w:name="_Toc16938519"/>
      <w:r/>
      <w:bookmarkStart w:id="7" w:name="_Toc513029203"/>
      <w:r/>
      <w:bookmarkStart w:id="8" w:name="_Toc20823275"/>
      <w:r/>
      <w:bookmarkStart w:id="9" w:name="_Toc120614214"/>
      <w:r>
        <w:rPr>
          <w:rFonts w:hint="eastAsia"/>
          <w:color w:val="auto"/>
          <w:sz w:val="30"/>
          <w:szCs w:val="30"/>
          <w:highlight w:val="none"/>
          <w:lang w:eastAsia="zh-CN"/>
        </w:rPr>
        <w:t xml:space="preserve">一、总则</w:t>
      </w:r>
      <w:bookmarkEnd w:id="6"/>
      <w:r/>
      <w:bookmarkEnd w:id="7"/>
      <w:r/>
      <w:bookmarkEnd w:id="8"/>
      <w:r/>
      <w:bookmarkEnd w:id="9"/>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10" w:name="_Hlt16619475"/>
      <w:r/>
      <w:bookmarkEnd w:id="10"/>
      <w:r/>
      <w:bookmarkStart w:id="11" w:name="_Toc513029204"/>
      <w:r/>
      <w:bookmarkStart w:id="12" w:name="_Toc16938520"/>
      <w:r/>
      <w:bookmarkStart w:id="13" w:name="_Toc20823276"/>
      <w:r>
        <w:rPr>
          <w:rFonts w:hint="eastAsia" w:ascii="宋体" w:hAnsi="宋体" w:eastAsia="宋体"/>
          <w:bCs w:val="0"/>
          <w:color w:val="auto"/>
          <w:highlight w:val="none"/>
          <w:lang w:eastAsia="zh-CN"/>
        </w:rPr>
        <w:t xml:space="preserve">1.招标方式</w:t>
      </w:r>
      <w:bookmarkEnd w:id="11"/>
      <w:r/>
      <w:bookmarkEnd w:id="12"/>
      <w:r/>
      <w:bookmarkEnd w:id="1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14" w:name="_Toc20823277"/>
      <w:r/>
      <w:bookmarkStart w:id="15" w:name="_Toc16938521"/>
      <w:r/>
      <w:bookmarkStart w:id="16" w:name="_Toc513029205"/>
      <w:r>
        <w:rPr>
          <w:rFonts w:hint="eastAsia" w:ascii="宋体" w:hAnsi="宋体" w:eastAsia="宋体"/>
          <w:bCs w:val="0"/>
          <w:color w:val="auto"/>
          <w:highlight w:val="none"/>
          <w:lang w:eastAsia="zh-CN"/>
        </w:rPr>
        <w:t xml:space="preserve">2.</w:t>
      </w:r>
      <w:bookmarkEnd w:id="14"/>
      <w:r/>
      <w:bookmarkEnd w:id="15"/>
      <w:r/>
      <w:bookmarkEnd w:id="16"/>
      <w:r>
        <w:rPr>
          <w:rFonts w:hint="eastAsia" w:ascii="宋体" w:hAnsi="宋体" w:eastAsia="宋体"/>
          <w:bCs w:val="0"/>
          <w:color w:val="auto"/>
          <w:highlight w:val="none"/>
          <w:lang w:eastAsia="zh-CN"/>
        </w:rPr>
        <w:t xml:space="preserve">采购人、采购代理机构、投标人、联合体</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2.2投标人（也称“供应商</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17" w:name="_Toc513029206"/>
      <w:r/>
      <w:bookmarkStart w:id="18" w:name="_Toc16938522"/>
      <w:r/>
      <w:bookmarkStart w:id="19" w:name="_Toc20823278"/>
      <w:r>
        <w:rPr>
          <w:rFonts w:hint="eastAsia" w:ascii="宋体" w:hAnsi="宋体" w:eastAsia="宋体"/>
          <w:bCs w:val="0"/>
          <w:color w:val="auto"/>
          <w:highlight w:val="none"/>
          <w:lang w:eastAsia="zh-CN"/>
        </w:rPr>
        <w:t xml:space="preserve">3.适用法律</w:t>
      </w:r>
      <w:bookmarkEnd w:id="17"/>
      <w:r/>
      <w:bookmarkEnd w:id="18"/>
      <w:r/>
      <w:bookmarkEnd w:id="1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20" w:name="_Toc462564067"/>
      <w:r/>
      <w:bookmarkStart w:id="21" w:name="_Toc16938523"/>
      <w:r/>
      <w:bookmarkStart w:id="22" w:name="_Toc513029207"/>
      <w:r/>
      <w:bookmarkStart w:id="23" w:name="_Toc20823279"/>
      <w:r>
        <w:rPr>
          <w:rFonts w:hint="eastAsia" w:ascii="宋体" w:hAnsi="宋体" w:eastAsia="宋体"/>
          <w:bCs w:val="0"/>
          <w:color w:val="auto"/>
          <w:highlight w:val="none"/>
          <w:lang w:eastAsia="zh-CN"/>
        </w:rPr>
        <w:t xml:space="preserve">4.投标费用</w:t>
      </w:r>
      <w:bookmarkEnd w:id="20"/>
      <w:r/>
      <w:bookmarkEnd w:id="21"/>
      <w:r/>
      <w:bookmarkEnd w:id="22"/>
      <w:r/>
      <w:bookmarkEnd w:id="23"/>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eastAsia="宋体"/>
          <w:color w:val="auto"/>
          <w:sz w:val="24"/>
          <w:highlight w:val="none"/>
        </w:rPr>
        <w:t xml:space="preserve">普信国际工程咨询有限公司</w:t>
      </w:r>
      <w:r>
        <w:rPr>
          <w:rFonts w:hint="eastAsia" w:ascii="宋体" w:hAnsi="宋体"/>
          <w:color w:val="auto"/>
          <w:sz w:val="24"/>
          <w:highlight w:val="none"/>
        </w:rPr>
        <w:t xml:space="preserve">在任何情况下均无义务和责任承担这些费用。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4.2根据采购人与采购代理机构签署的代理协议中明确规定本项目采购代理服务费由中标人支付，投标单位的投标报价须足额包含该笔费用。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采购代理服务费公式：（100*1.5%+</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中标价-100</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w:t>
      </w:r>
      <w:r>
        <w:rPr>
          <w:rFonts w:hint="eastAsia" w:ascii="宋体" w:hAnsi="宋体" w:eastAsia="宋体"/>
          <w:color w:val="auto"/>
          <w:sz w:val="24"/>
          <w:highlight w:val="none"/>
          <w:lang w:val="en-US" w:eastAsia="zh-CN"/>
        </w:rPr>
        <w:t xml:space="preserve">1.1</w:t>
      </w:r>
      <w:r>
        <w:rPr>
          <w:rFonts w:hint="eastAsia" w:ascii="宋体" w:hAnsi="宋体"/>
          <w:color w:val="auto"/>
          <w:sz w:val="24"/>
          <w:highlight w:val="none"/>
        </w:rPr>
        <w:t xml:space="preserve">%）*</w:t>
      </w:r>
      <w:r>
        <w:rPr>
          <w:rFonts w:hint="eastAsia" w:ascii="宋体" w:hAnsi="宋体" w:eastAsia="宋体"/>
          <w:color w:val="auto"/>
          <w:sz w:val="24"/>
          <w:highlight w:val="none"/>
          <w:lang w:val="en-US" w:eastAsia="zh-CN"/>
        </w:rPr>
        <w:t xml:space="preserve">0.6</w:t>
      </w:r>
      <w:r>
        <w:rPr>
          <w:rFonts w:hint="eastAsia" w:ascii="宋体" w:hAnsi="宋体"/>
          <w:color w:val="auto"/>
          <w:sz w:val="24"/>
          <w:highlight w:val="none"/>
        </w:rPr>
        <w:t xml:space="preserve">（单位：万元）</w:t>
      </w:r>
      <w:r/>
    </w:p>
    <w:p>
      <w:pPr>
        <w:pStyle w:val="114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5.招标文件的约束力</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72"/>
        <w:ind w:firstLine="452"/>
        <w:keepLines w:val="0"/>
        <w:keepNext w:val="0"/>
        <w:spacing w:before="0" w:after="0" w:line="360" w:lineRule="auto"/>
        <w:rPr>
          <w:color w:val="auto"/>
          <w:sz w:val="30"/>
          <w:szCs w:val="30"/>
          <w:highlight w:val="none"/>
          <w:lang w:eastAsia="zh-CN"/>
        </w:rPr>
      </w:pPr>
      <w:r/>
      <w:bookmarkStart w:id="24" w:name="_Toc20823281"/>
      <w:r/>
      <w:bookmarkStart w:id="25" w:name="_Toc16938525"/>
      <w:r/>
      <w:bookmarkStart w:id="26" w:name="_Toc120614215"/>
      <w:r/>
      <w:bookmarkStart w:id="27" w:name="_Toc513029209"/>
      <w:r>
        <w:rPr>
          <w:rFonts w:hint="eastAsia"/>
          <w:color w:val="auto"/>
          <w:sz w:val="30"/>
          <w:szCs w:val="30"/>
          <w:highlight w:val="none"/>
          <w:lang w:eastAsia="zh-CN"/>
        </w:rPr>
        <w:t xml:space="preserve">二、招标文件</w:t>
      </w:r>
      <w:bookmarkEnd w:id="24"/>
      <w:r/>
      <w:bookmarkEnd w:id="25"/>
      <w:r/>
      <w:bookmarkEnd w:id="26"/>
      <w:r/>
      <w:bookmarkEnd w:id="27"/>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28" w:name="_Toc16938526"/>
      <w:r/>
      <w:bookmarkStart w:id="29" w:name="_Toc20823282"/>
      <w:r/>
      <w:bookmarkStart w:id="30" w:name="_Toc513029210"/>
      <w:r>
        <w:rPr>
          <w:rFonts w:hint="eastAsia" w:ascii="宋体" w:hAnsi="宋体" w:eastAsia="宋体"/>
          <w:bCs w:val="0"/>
          <w:color w:val="auto"/>
          <w:highlight w:val="none"/>
          <w:lang w:eastAsia="zh-CN"/>
        </w:rPr>
        <w:t xml:space="preserve">6.招标文件构成</w:t>
      </w:r>
      <w:bookmarkEnd w:id="28"/>
      <w:r/>
      <w:bookmarkEnd w:id="29"/>
      <w:r/>
      <w:bookmarkEnd w:id="30"/>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邀请</w:t>
      </w:r>
      <w:r>
        <w:rPr>
          <w:rFonts w:hint="eastAsia" w:ascii="宋体" w:hAnsi="宋体" w:eastAsia="宋体"/>
          <w:color w:val="auto"/>
          <w:sz w:val="24"/>
          <w:szCs w:val="24"/>
          <w:highlight w:val="none"/>
        </w:rPr>
        <w:t xml:space="preserve">函</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color w:val="auto"/>
          <w:sz w:val="24"/>
          <w:szCs w:val="24"/>
          <w:highlight w:val="none"/>
        </w:rPr>
        <w:t xml:space="preserve">投标人须知</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color w:val="auto"/>
          <w:sz w:val="24"/>
          <w:szCs w:val="24"/>
          <w:highlight w:val="none"/>
        </w:rPr>
        <w:t xml:space="preserve">合同文本</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（4）</w:t>
      </w:r>
      <w:r>
        <w:rPr>
          <w:rFonts w:hint="eastAsia" w:ascii="宋体" w:hAnsi="宋体"/>
          <w:color w:val="auto"/>
          <w:sz w:val="24"/>
          <w:szCs w:val="24"/>
          <w:highlight w:val="none"/>
        </w:rPr>
        <w:t xml:space="preserve">采购需求</w:t>
      </w:r>
      <w:r/>
    </w:p>
    <w:p>
      <w:pPr>
        <w:ind w:firstLine="480"/>
        <w:spacing w:line="360" w:lineRule="auto"/>
        <w:rPr>
          <w:color w:val="auto"/>
          <w:sz w:val="24"/>
          <w:szCs w:val="24"/>
          <w:highlight w:val="none"/>
        </w:rPr>
      </w:pPr>
      <w:r>
        <w:rPr>
          <w:rFonts w:hint="eastAsia" w:ascii="宋体" w:hAnsi="宋体" w:eastAsia="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（6）</w:t>
      </w:r>
      <w:r>
        <w:rPr>
          <w:rFonts w:hint="eastAsia" w:ascii="宋体" w:hAnsi="宋体"/>
          <w:color w:val="auto"/>
          <w:sz w:val="24"/>
          <w:szCs w:val="24"/>
          <w:highlight w:val="none"/>
        </w:rPr>
        <w:t xml:space="preserve">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联系解决。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31" w:name="_Toc16938527"/>
      <w:r/>
      <w:bookmarkStart w:id="32" w:name="_Toc20823283"/>
      <w:r/>
      <w:bookmarkStart w:id="33" w:name="_Toc462564070"/>
      <w:r/>
      <w:bookmarkStart w:id="34" w:name="_Toc513029211"/>
      <w:r>
        <w:rPr>
          <w:rFonts w:hint="eastAsia" w:ascii="宋体" w:hAnsi="宋体" w:eastAsia="宋体"/>
          <w:bCs w:val="0"/>
          <w:color w:val="auto"/>
          <w:highlight w:val="none"/>
          <w:lang w:eastAsia="zh-CN"/>
        </w:rPr>
        <w:t xml:space="preserve">7.招标文件的澄清</w:t>
      </w:r>
      <w:bookmarkEnd w:id="31"/>
      <w:r/>
      <w:bookmarkEnd w:id="32"/>
      <w:r/>
      <w:bookmarkEnd w:id="33"/>
      <w:r/>
      <w:bookmarkEnd w:id="34"/>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以书面形式提出。</w:t>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35" w:name="_Toc20823284"/>
      <w:r/>
      <w:bookmarkStart w:id="36" w:name="_Toc16938528"/>
      <w:r/>
      <w:bookmarkStart w:id="37" w:name="_Toc513029212"/>
      <w:r/>
      <w:bookmarkStart w:id="38" w:name="_Toc462564071"/>
      <w:r>
        <w:rPr>
          <w:rFonts w:hint="eastAsia" w:ascii="宋体" w:hAnsi="宋体" w:eastAsia="宋体"/>
          <w:bCs w:val="0"/>
          <w:color w:val="auto"/>
          <w:highlight w:val="none"/>
          <w:lang w:eastAsia="zh-CN"/>
        </w:rPr>
        <w:t xml:space="preserve">8.招标文件的修改</w:t>
      </w:r>
      <w:bookmarkEnd w:id="35"/>
      <w:r/>
      <w:bookmarkEnd w:id="36"/>
      <w:r/>
      <w:bookmarkEnd w:id="37"/>
      <w:r/>
      <w:bookmarkEnd w:id="38"/>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72"/>
        <w:ind w:firstLine="452"/>
        <w:keepLines w:val="0"/>
        <w:keepNext w:val="0"/>
        <w:spacing w:before="0" w:after="0" w:line="360" w:lineRule="auto"/>
        <w:rPr>
          <w:color w:val="auto"/>
          <w:sz w:val="30"/>
          <w:szCs w:val="30"/>
          <w:highlight w:val="none"/>
          <w:lang w:eastAsia="zh-CN"/>
        </w:rPr>
      </w:pPr>
      <w:r/>
      <w:bookmarkStart w:id="39" w:name="_Toc513029213"/>
      <w:r/>
      <w:bookmarkStart w:id="40" w:name="_Toc16938529"/>
      <w:r/>
      <w:bookmarkStart w:id="41" w:name="_Toc120614216"/>
      <w:r/>
      <w:bookmarkStart w:id="42" w:name="_Toc20823285"/>
      <w:r/>
      <w:bookmarkStart w:id="43" w:name="_Toc462564072"/>
      <w:r>
        <w:rPr>
          <w:rFonts w:hint="eastAsia"/>
          <w:color w:val="auto"/>
          <w:sz w:val="30"/>
          <w:szCs w:val="30"/>
          <w:highlight w:val="none"/>
          <w:lang w:eastAsia="zh-CN"/>
        </w:rPr>
        <w:t xml:space="preserve">三、投标文件的编制</w:t>
      </w:r>
      <w:bookmarkEnd w:id="39"/>
      <w:r/>
      <w:bookmarkEnd w:id="40"/>
      <w:r/>
      <w:bookmarkEnd w:id="41"/>
      <w:r/>
      <w:bookmarkEnd w:id="42"/>
      <w:r/>
      <w:bookmarkEnd w:id="43"/>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44" w:name="_Toc20823286"/>
      <w:r/>
      <w:bookmarkStart w:id="45" w:name="_Toc16938530"/>
      <w:r/>
      <w:bookmarkStart w:id="46" w:name="_Toc513029214"/>
      <w:r/>
      <w:bookmarkStart w:id="47" w:name="_Toc462564073"/>
      <w:r>
        <w:rPr>
          <w:rFonts w:hint="eastAsia" w:ascii="宋体" w:hAnsi="宋体" w:eastAsia="宋体"/>
          <w:bCs w:val="0"/>
          <w:color w:val="auto"/>
          <w:highlight w:val="none"/>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48" w:name="_Toc462564074"/>
      <w:r/>
      <w:bookmarkStart w:id="49" w:name="_Toc20823287"/>
      <w:r/>
      <w:bookmarkStart w:id="50" w:name="_Toc513029215"/>
      <w:r/>
      <w:bookmarkStart w:id="51" w:name="_Toc16938531"/>
      <w:r>
        <w:rPr>
          <w:rFonts w:hint="eastAsia" w:ascii="宋体" w:hAnsi="宋体" w:eastAsia="宋体"/>
          <w:bCs w:val="0"/>
          <w:color w:val="auto"/>
          <w:highlight w:val="none"/>
          <w:lang w:eastAsia="zh-CN"/>
        </w:rPr>
        <w:t xml:space="preserve">10.投标文件构成</w:t>
      </w:r>
      <w:bookmarkEnd w:id="48"/>
      <w:r/>
      <w:bookmarkEnd w:id="49"/>
      <w:r/>
      <w:bookmarkEnd w:id="50"/>
      <w:r/>
      <w:bookmarkEnd w:id="5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spacing w:line="360" w:lineRule="auto"/>
        <w:rPr>
          <w:rFonts w:ascii="宋体" w:hAnsi="宋体" w:eastAsia="宋体" w:cs="宋体"/>
          <w:b/>
          <w:color w:val="auto"/>
          <w:sz w:val="24"/>
          <w:highlight w:val="none"/>
          <w:u w:val="single"/>
        </w:rPr>
      </w:pPr>
      <w:r/>
      <w:bookmarkStart w:id="52" w:name="_Hlt26670360"/>
      <w:r/>
      <w:bookmarkEnd w:id="52"/>
      <w:r/>
      <w:bookmarkStart w:id="53" w:name="_Hlt26668975"/>
      <w:r/>
      <w:bookmarkEnd w:id="53"/>
      <w:r/>
      <w:bookmarkStart w:id="54" w:name="_Hlt26954838"/>
      <w:r/>
      <w:bookmarkEnd w:id="54"/>
      <w:r/>
      <w:bookmarkStart w:id="55" w:name="_Toc49090507"/>
      <w:r/>
      <w:bookmarkStart w:id="56" w:name="_Toc14577354"/>
      <w:r/>
      <w:bookmarkStart w:id="57" w:name="_Toc49090509"/>
      <w:r/>
      <w:bookmarkStart w:id="58" w:name="_Toc513029216"/>
      <w:r/>
      <w:bookmarkStart w:id="59" w:name="_Toc513029219"/>
      <w:r/>
      <w:bookmarkStart w:id="60" w:name="_Toc14577357"/>
      <w:r>
        <w:rPr>
          <w:rFonts w:hint="eastAsia" w:ascii="宋体" w:hAnsi="宋体" w:eastAsia="宋体" w:cs="宋体"/>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不得有体现投标人身份的内容是指：</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10.4.1技术部分不得出现能够体现投标人身份、名称的相关描述、材料、文件等内容；</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10.4.2技术部分不得更改，不得在其中涂改、标注或做任何可以辨认投标人及所属人员身份的名称、印章、商标等标记；</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10.4.4不得有其他体现投标人身份的内容。</w:t>
      </w:r>
      <w:r/>
    </w:p>
    <w:p>
      <w:pPr>
        <w:ind w:firstLine="480"/>
        <w:spacing w:line="360" w:lineRule="auto"/>
        <w:rPr>
          <w:color w:val="auto"/>
          <w:highlight w:val="none"/>
        </w:rPr>
      </w:pPr>
      <w:r>
        <w:rPr>
          <w:rFonts w:hint="eastAsia" w:ascii="宋体" w:hAnsi="宋体" w:eastAsia="宋体" w:cs="宋体"/>
          <w:b/>
          <w:color w:val="auto"/>
          <w:sz w:val="24"/>
          <w:szCs w:val="24"/>
          <w:highlight w:val="none"/>
        </w:rPr>
        <w:t xml:space="preserve">10.5暗标排版要求：（含标题等所有文字）字体为黑色、小四号宋体，不得出现手写，不得设置页眉，页脚，页码；如有表格，表格中字体用宋体字，字号不作限制。如有图片可为彩色，图片不得出现能显示企业特征或其他提示性的标记或标识。</w:t>
      </w:r>
      <w:r/>
    </w:p>
    <w:p>
      <w:pPr>
        <w:pStyle w:val="114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bCs/>
          <w:color w:val="auto"/>
          <w:sz w:val="24"/>
          <w:highlight w:val="none"/>
        </w:rPr>
      </w:pPr>
      <w:r/>
      <w:bookmarkStart w:id="61" w:name="_Toc14577355"/>
      <w:r/>
      <w:bookmarkStart w:id="62" w:name="_Toc49090508"/>
      <w:r>
        <w:rPr>
          <w:rFonts w:hint="eastAsia" w:ascii="宋体" w:hAnsi="宋体"/>
          <w:bCs/>
          <w:color w:val="auto"/>
          <w:sz w:val="24"/>
          <w:highlight w:val="none"/>
        </w:rPr>
        <w:t xml:space="preserve">11.1投标人应按照</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、规章和规范性文件以及招标文件要求提交证明文件，证明其及投标标的符合招标文件规定。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63" w:name="_Toc14577359"/>
      <w:r/>
      <w:bookmarkStart w:id="64" w:name="_Toc49090510"/>
      <w:r>
        <w:rPr>
          <w:rFonts w:hint="eastAsia" w:ascii="宋体" w:hAnsi="宋体" w:eastAsia="宋体"/>
          <w:bCs w:val="0"/>
          <w:color w:val="auto"/>
          <w:highlight w:val="none"/>
          <w:lang w:eastAsia="zh-CN"/>
        </w:rPr>
        <w:t xml:space="preserve">12.投标函、承诺书和开标一览表</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14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13.</w:t>
      </w:r>
      <w:bookmarkEnd w:id="61"/>
      <w:r/>
      <w:bookmarkEnd w:id="62"/>
      <w:r>
        <w:rPr>
          <w:rFonts w:hint="eastAsia" w:ascii="宋体" w:hAnsi="宋体" w:eastAsia="宋体"/>
          <w:bCs w:val="0"/>
          <w:color w:val="auto"/>
          <w:highlight w:val="none"/>
          <w:lang w:eastAsia="zh-CN"/>
        </w:rPr>
        <w:t xml:space="preserve">分项报价表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65" w:name="_Hlt26954840"/>
      <w:r/>
      <w:bookmarkEnd w:id="65"/>
      <w:r>
        <w:rPr>
          <w:rFonts w:hint="eastAsia" w:ascii="宋体" w:hAnsi="宋体"/>
          <w:color w:val="auto"/>
          <w:sz w:val="24"/>
          <w:highlight w:val="none"/>
        </w:rPr>
        <w:t xml:space="preserve">标人应按照招标文件规定格式填报</w:t>
      </w:r>
      <w:bookmarkStart w:id="66" w:name="_Hlt26670399"/>
      <w:r/>
      <w:bookmarkEnd w:id="66"/>
      <w:r>
        <w:rPr>
          <w:rFonts w:hint="eastAsia" w:ascii="宋体" w:hAnsi="宋体"/>
          <w:color w:val="auto"/>
          <w:sz w:val="24"/>
          <w:highlight w:val="none"/>
        </w:rPr>
        <w:t xml:space="preserve">分项报价表。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67" w:name="_Hlt26670425"/>
      <w:r/>
      <w:bookmarkEnd w:id="67"/>
      <w:r/>
      <w:bookmarkStart w:id="68" w:name="_Hlt26954844"/>
      <w:r/>
      <w:bookmarkEnd w:id="68"/>
      <w:r/>
      <w:bookmarkStart w:id="69" w:name="_Hlt26670403"/>
      <w:r/>
      <w:bookmarkEnd w:id="69"/>
      <w:r/>
      <w:bookmarkStart w:id="70" w:name="_Hlt26954846"/>
      <w:r/>
      <w:bookmarkEnd w:id="70"/>
      <w:r/>
      <w:bookmarkStart w:id="71" w:name="_Hlt26668983"/>
      <w:r/>
      <w:bookmarkEnd w:id="71"/>
      <w:r/>
      <w:bookmarkStart w:id="72" w:name="_Hlt26954842"/>
      <w:r/>
      <w:bookmarkEnd w:id="72"/>
      <w:r/>
      <w:bookmarkStart w:id="73" w:name="_Hlt26954848"/>
      <w:r/>
      <w:bookmarkEnd w:id="73"/>
      <w:r/>
      <w:bookmarkStart w:id="74" w:name="_Hlt26670482"/>
      <w:r/>
      <w:bookmarkEnd w:id="74"/>
      <w:r/>
      <w:bookmarkStart w:id="75" w:name="_Hlt26954731"/>
      <w:r/>
      <w:bookmarkEnd w:id="75"/>
      <w:r/>
      <w:bookmarkStart w:id="76" w:name="_Hlt26670486"/>
      <w:r/>
      <w:bookmarkEnd w:id="76"/>
      <w:r>
        <w:rPr>
          <w:rFonts w:hint="eastAsia" w:ascii="宋体" w:hAnsi="宋体" w:eastAsia="宋体"/>
          <w:bCs w:val="0"/>
          <w:color w:val="auto"/>
          <w:highlight w:val="none"/>
          <w:lang w:eastAsia="zh-CN"/>
        </w:rPr>
        <w:t xml:space="preserve">14.投标偏离表</w:t>
      </w:r>
      <w:r/>
    </w:p>
    <w:p>
      <w:pPr>
        <w:ind w:firstLine="480"/>
        <w:spacing w:line="360" w:lineRule="auto"/>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77" w:name="_Hlt26954850"/>
      <w:r/>
      <w:bookmarkEnd w:id="77"/>
      <w:r/>
      <w:bookmarkStart w:id="78" w:name="_Hlt26670489"/>
      <w:r/>
      <w:bookmarkEnd w:id="78"/>
      <w:r/>
      <w:bookmarkStart w:id="79" w:name="_Hlt26954734"/>
      <w:r/>
      <w:bookmarkEnd w:id="79"/>
      <w:r/>
      <w:bookmarkStart w:id="80" w:name="_Toc49090511"/>
      <w:r/>
      <w:bookmarkStart w:id="81" w:name="_Toc14577360"/>
      <w:r>
        <w:rPr>
          <w:rFonts w:hint="eastAsia" w:ascii="宋体" w:hAnsi="宋体" w:eastAsia="宋体"/>
          <w:bCs w:val="0"/>
          <w:color w:val="auto"/>
          <w:highlight w:val="none"/>
          <w:lang w:eastAsia="zh-CN"/>
        </w:rPr>
        <w:t xml:space="preserve">15.投标有效期</w:t>
      </w:r>
      <w:bookmarkEnd w:id="80"/>
      <w:r/>
      <w:bookmarkEnd w:id="81"/>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14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16.投标有效期的延长</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72"/>
        <w:ind w:firstLine="452"/>
        <w:keepLines w:val="0"/>
        <w:keepNext w:val="0"/>
        <w:spacing w:before="0" w:after="0" w:line="360" w:lineRule="auto"/>
        <w:rPr>
          <w:color w:val="auto"/>
          <w:sz w:val="30"/>
          <w:szCs w:val="30"/>
          <w:highlight w:val="none"/>
          <w:lang w:eastAsia="zh-CN"/>
        </w:rPr>
      </w:pPr>
      <w:r/>
      <w:bookmarkStart w:id="82" w:name="_Hlt26954739"/>
      <w:r/>
      <w:bookmarkEnd w:id="82"/>
      <w:r/>
      <w:bookmarkStart w:id="83" w:name="_Hlt26954852"/>
      <w:r/>
      <w:bookmarkEnd w:id="83"/>
      <w:r/>
      <w:bookmarkStart w:id="84" w:name="_Toc513029224"/>
      <w:r/>
      <w:bookmarkStart w:id="85" w:name="_Toc120614217"/>
      <w:r/>
      <w:bookmarkStart w:id="86" w:name="_Toc20823296"/>
      <w:r/>
      <w:bookmarkStart w:id="87" w:name="_Toc16938540"/>
      <w:r>
        <w:rPr>
          <w:rFonts w:hint="eastAsia"/>
          <w:color w:val="auto"/>
          <w:sz w:val="30"/>
          <w:szCs w:val="30"/>
          <w:highlight w:val="none"/>
          <w:lang w:eastAsia="zh-CN"/>
        </w:rPr>
        <w:t xml:space="preserve">四、投标文件的递交</w:t>
      </w:r>
      <w:bookmarkEnd w:id="84"/>
      <w:r/>
      <w:bookmarkEnd w:id="85"/>
      <w:r/>
      <w:bookmarkEnd w:id="86"/>
      <w:r/>
      <w:bookmarkEnd w:id="87"/>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88" w:name="_Toc462564084"/>
      <w:r/>
      <w:bookmarkStart w:id="89" w:name="_Toc16938541"/>
      <w:r/>
      <w:bookmarkStart w:id="90" w:name="_Toc20823297"/>
      <w:r/>
      <w:bookmarkStart w:id="91" w:name="_Toc513029225"/>
      <w:r>
        <w:rPr>
          <w:rFonts w:hint="eastAsia" w:ascii="宋体" w:hAnsi="宋体" w:eastAsia="宋体"/>
          <w:bCs w:val="0"/>
          <w:color w:val="auto"/>
          <w:highlight w:val="none"/>
          <w:lang w:eastAsia="zh-CN"/>
        </w:rPr>
        <w:t xml:space="preserve">17.投标文件</w:t>
      </w:r>
      <w:bookmarkEnd w:id="88"/>
      <w:r/>
      <w:bookmarkEnd w:id="89"/>
      <w:r/>
      <w:bookmarkEnd w:id="90"/>
      <w:r/>
      <w:bookmarkEnd w:id="91"/>
      <w:r>
        <w:rPr>
          <w:rFonts w:hint="eastAsia" w:ascii="宋体" w:hAnsi="宋体" w:eastAsia="宋体"/>
          <w:bCs w:val="0"/>
          <w:color w:val="auto"/>
          <w:highlight w:val="none"/>
          <w:lang w:eastAsia="zh-CN"/>
        </w:rPr>
        <w:t xml:space="preserve">的递交</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225"/>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92" w:name="_Toc20823298"/>
      <w:r/>
      <w:bookmarkStart w:id="93" w:name="_Toc513029226"/>
      <w:r/>
      <w:bookmarkStart w:id="94" w:name="_Toc16938542"/>
      <w:r/>
      <w:r/>
    </w:p>
    <w:p>
      <w:pPr>
        <w:pStyle w:val="114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18.投标截止</w:t>
      </w:r>
      <w:bookmarkEnd w:id="92"/>
      <w:r/>
      <w:bookmarkEnd w:id="93"/>
      <w:r/>
      <w:bookmarkEnd w:id="94"/>
      <w:r>
        <w:rPr>
          <w:rFonts w:hint="eastAsia" w:ascii="宋体" w:hAnsi="宋体" w:eastAsia="宋体"/>
          <w:bCs w:val="0"/>
          <w:color w:val="auto"/>
          <w:highlight w:val="none"/>
          <w:lang w:eastAsia="zh-CN"/>
        </w:rPr>
        <w:t xml:space="preserve">时间</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95" w:name="_Toc513029227"/>
      <w:r/>
      <w:bookmarkStart w:id="96" w:name="_Toc16938543"/>
      <w:r/>
      <w:bookmarkStart w:id="97" w:name="_Toc20823299"/>
      <w:r>
        <w:rPr>
          <w:rFonts w:hint="eastAsia" w:ascii="宋体" w:hAnsi="宋体" w:eastAsia="宋体"/>
          <w:bCs w:val="0"/>
          <w:color w:val="auto"/>
          <w:highlight w:val="none"/>
          <w:lang w:eastAsia="zh-CN"/>
        </w:rPr>
        <w:t xml:space="preserve">19.投标文件</w:t>
      </w:r>
      <w:bookmarkEnd w:id="95"/>
      <w:r/>
      <w:bookmarkEnd w:id="96"/>
      <w:r/>
      <w:bookmarkEnd w:id="97"/>
      <w:r>
        <w:rPr>
          <w:rFonts w:hint="eastAsia" w:ascii="宋体" w:hAnsi="宋体" w:eastAsia="宋体"/>
          <w:bCs w:val="0"/>
          <w:color w:val="auto"/>
          <w:highlight w:val="none"/>
          <w:lang w:eastAsia="zh-CN"/>
        </w:rPr>
        <w:t xml:space="preserve">的拒收</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拒绝接收在其规定的投标截止时间后上传的任何投标文件。</w:t>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98" w:name="_Toc513029228"/>
      <w:r/>
      <w:bookmarkStart w:id="99" w:name="_Toc16938544"/>
      <w:r/>
      <w:bookmarkStart w:id="100" w:name="_Toc20823300"/>
      <w:r>
        <w:rPr>
          <w:rFonts w:hint="eastAsia" w:ascii="宋体" w:hAnsi="宋体" w:eastAsia="宋体"/>
          <w:bCs w:val="0"/>
          <w:color w:val="auto"/>
          <w:highlight w:val="none"/>
          <w:lang w:eastAsia="zh-CN"/>
        </w:rPr>
        <w:t xml:space="preserve">20.投标文件的撤回和修改</w:t>
      </w:r>
      <w:bookmarkEnd w:id="98"/>
      <w:r/>
      <w:bookmarkEnd w:id="99"/>
      <w:r/>
      <w:bookmarkEnd w:id="10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72"/>
        <w:ind w:firstLine="452"/>
        <w:keepLines w:val="0"/>
        <w:keepNext w:val="0"/>
        <w:spacing w:before="0" w:after="0" w:line="360" w:lineRule="auto"/>
        <w:rPr>
          <w:color w:val="auto"/>
          <w:sz w:val="30"/>
          <w:szCs w:val="30"/>
          <w:highlight w:val="none"/>
          <w:lang w:eastAsia="zh-CN"/>
        </w:rPr>
      </w:pPr>
      <w:r/>
      <w:bookmarkStart w:id="101" w:name="_Toc20823301"/>
      <w:r/>
      <w:bookmarkStart w:id="102" w:name="_Toc120614218"/>
      <w:r/>
      <w:bookmarkStart w:id="103" w:name="_Toc513029229"/>
      <w:r/>
      <w:bookmarkStart w:id="104" w:name="_Toc16938545"/>
      <w:r>
        <w:rPr>
          <w:rFonts w:hint="eastAsia"/>
          <w:color w:val="auto"/>
          <w:sz w:val="30"/>
          <w:szCs w:val="30"/>
          <w:highlight w:val="none"/>
          <w:lang w:eastAsia="zh-CN"/>
        </w:rPr>
        <w:t xml:space="preserve">五、开标与评标</w:t>
      </w:r>
      <w:bookmarkEnd w:id="101"/>
      <w:r/>
      <w:bookmarkEnd w:id="102"/>
      <w:r/>
      <w:bookmarkEnd w:id="103"/>
      <w:r/>
      <w:bookmarkEnd w:id="104"/>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105" w:name="_Toc16938546"/>
      <w:r/>
      <w:bookmarkStart w:id="106" w:name="_Toc20823302"/>
      <w:r/>
      <w:bookmarkStart w:id="107" w:name="_Toc513029230"/>
      <w:r>
        <w:rPr>
          <w:rFonts w:hint="eastAsia" w:ascii="宋体" w:hAnsi="宋体" w:eastAsia="宋体"/>
          <w:bCs w:val="0"/>
          <w:color w:val="auto"/>
          <w:highlight w:val="none"/>
          <w:lang w:eastAsia="zh-CN"/>
        </w:rPr>
        <w:t xml:space="preserve">21.开标</w:t>
      </w:r>
      <w:bookmarkEnd w:id="105"/>
      <w:r/>
      <w:bookmarkEnd w:id="106"/>
      <w:r/>
      <w:bookmarkEnd w:id="107"/>
      <w:r/>
      <w:r/>
    </w:p>
    <w:p>
      <w:pPr>
        <w:ind w:firstLine="480"/>
        <w:spacing w:line="360" w:lineRule="auto"/>
        <w:rPr>
          <w:color w:val="auto"/>
          <w:highlight w:val="none"/>
        </w:rPr>
      </w:pPr>
      <w:r>
        <w:rPr>
          <w:rFonts w:hint="eastAsia" w:ascii="宋体" w:hAnsi="宋体"/>
          <w:color w:val="auto"/>
          <w:sz w:val="24"/>
          <w:highlight w:val="none"/>
        </w:rPr>
        <w:t xml:space="preserve">21.1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eastAsia="宋体"/>
          <w:color w:val="auto"/>
          <w:sz w:val="24"/>
          <w:highlight w:val="none"/>
        </w:rPr>
        <w:t xml:space="preserve">涉及的</w:t>
      </w:r>
      <w:r>
        <w:rPr>
          <w:rFonts w:hint="eastAsia" w:ascii="宋体" w:hAnsi="宋体"/>
          <w:color w:val="auto"/>
          <w:sz w:val="24"/>
          <w:highlight w:val="none"/>
        </w:rPr>
        <w:t xml:space="preserve">投标文件解密、开标结果确认等工作，应按照《操作手册》规定执行。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108" w:name="_Toc513029231"/>
      <w:r/>
      <w:bookmarkStart w:id="109" w:name="_Toc16938547"/>
      <w:r/>
      <w:bookmarkStart w:id="110" w:name="_Toc20823303"/>
      <w:r>
        <w:rPr>
          <w:rFonts w:hint="eastAsia" w:ascii="宋体" w:hAnsi="宋体" w:eastAsia="宋体"/>
          <w:bCs w:val="0"/>
          <w:color w:val="auto"/>
          <w:highlight w:val="none"/>
          <w:lang w:eastAsia="zh-CN"/>
        </w:rPr>
        <w:t xml:space="preserve">22.评标委员会</w:t>
      </w:r>
      <w:r/>
    </w:p>
    <w:p>
      <w:pPr>
        <w:ind w:firstLine="48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将立即组织评标委员会（以下简称评委会）进行评标。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114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23.评标过程的保密与公正</w:t>
      </w:r>
      <w:bookmarkEnd w:id="108"/>
      <w:r/>
      <w:bookmarkEnd w:id="109"/>
      <w:r/>
      <w:bookmarkEnd w:id="110"/>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均不得向投标人或与评标无关的其他人员透露。</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111" w:name="_Toc20823304"/>
      <w:r/>
      <w:bookmarkStart w:id="112" w:name="_Toc16938548"/>
      <w:r/>
      <w:bookmarkStart w:id="113" w:name="_Toc513029232"/>
      <w:r>
        <w:rPr>
          <w:rFonts w:hint="eastAsia" w:ascii="宋体" w:hAnsi="宋体" w:eastAsia="宋体"/>
          <w:bCs w:val="0"/>
          <w:color w:val="auto"/>
          <w:highlight w:val="none"/>
          <w:lang w:eastAsia="zh-CN"/>
        </w:rPr>
        <w:t xml:space="preserve">24.投标文件的澄清</w:t>
      </w:r>
      <w:bookmarkEnd w:id="111"/>
      <w:r/>
      <w:bookmarkEnd w:id="112"/>
      <w:r/>
      <w:bookmarkEnd w:id="113"/>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w:t>
      </w:r>
      <w:r>
        <w:rPr>
          <w:rFonts w:hint="eastAsia" w:ascii="宋体" w:hAnsi="宋体" w:eastAsia="宋体"/>
          <w:color w:val="auto"/>
          <w:sz w:val="24"/>
          <w:szCs w:val="24"/>
          <w:highlight w:val="none"/>
        </w:rPr>
        <w:t xml:space="preserve">作出</w:t>
      </w:r>
      <w:r>
        <w:rPr>
          <w:rFonts w:hint="eastAsia" w:ascii="宋体" w:hAnsi="宋体"/>
          <w:color w:val="auto"/>
          <w:sz w:val="24"/>
          <w:szCs w:val="24"/>
          <w:highlight w:val="none"/>
        </w:rPr>
        <w:t xml:space="preserve">澄清、说明和补正，其风险由投标人自行承担。</w:t>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114" w:name="_Toc16938549"/>
      <w:r/>
      <w:bookmarkStart w:id="115" w:name="_Toc20823305"/>
      <w:r/>
      <w:bookmarkStart w:id="116" w:name="_Toc513029233"/>
      <w:r>
        <w:rPr>
          <w:rFonts w:hint="eastAsia" w:ascii="宋体" w:hAnsi="宋体" w:eastAsia="宋体"/>
          <w:bCs w:val="0"/>
          <w:color w:val="auto"/>
          <w:highlight w:val="none"/>
          <w:lang w:eastAsia="zh-CN"/>
        </w:rPr>
        <w:t xml:space="preserve">25.对投标文件的初审</w:t>
      </w:r>
      <w:bookmarkEnd w:id="114"/>
      <w:r/>
      <w:bookmarkEnd w:id="115"/>
      <w:r/>
      <w:bookmarkEnd w:id="116"/>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www.ccgp.gov.cn</w:t>
      </w:r>
      <w:r>
        <w:rPr>
          <w:rFonts w:hint="eastAsia" w:ascii="宋体" w:hAnsi="宋体" w:eastAsia="宋体" w:cs="宋体"/>
          <w:color w:val="auto"/>
          <w:sz w:val="24"/>
          <w:szCs w:val="24"/>
          <w:highlight w:val="none"/>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w:t>
      </w:r>
      <w:r>
        <w:rPr>
          <w:rFonts w:hint="eastAsia" w:ascii="宋体" w:hAnsi="宋体" w:eastAsia="宋体" w:cs="宋体"/>
          <w:color w:val="auto"/>
          <w:sz w:val="24"/>
          <w:szCs w:val="24"/>
          <w:highlight w:val="none"/>
        </w:rPr>
        <w:t xml:space="preserve">重大税收违法失信主体</w:t>
      </w:r>
      <w:r>
        <w:rPr>
          <w:rFonts w:hint="eastAsia" w:ascii="宋体" w:hAnsi="宋体" w:cs="宋体"/>
          <w:color w:val="auto"/>
          <w:sz w:val="24"/>
          <w:szCs w:val="24"/>
          <w:highlight w:val="none"/>
        </w:rPr>
        <w:t xml:space="preserve">、政府采购严重违法失信行为记录名单，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rPr>
        <w:t xml:space="preserve">，</w:t>
      </w:r>
      <w:r>
        <w:rPr>
          <w:rFonts w:hint="eastAsia" w:ascii="宋体" w:hAnsi="宋体"/>
          <w:bCs/>
          <w:color w:val="auto"/>
          <w:sz w:val="24"/>
          <w:highlight w:val="none"/>
        </w:rPr>
        <w:t xml:space="preserve">联合体成员存在不良信用记录的，视同联合体存在不良应用记录。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w:t>
      </w:r>
      <w:r>
        <w:rPr>
          <w:rFonts w:hint="eastAsia" w:ascii="宋体" w:hAnsi="宋体" w:eastAsia="宋体"/>
          <w:color w:val="auto"/>
          <w:sz w:val="24"/>
          <w:highlight w:val="none"/>
          <w:lang w:eastAsia="zh-CN"/>
        </w:rPr>
        <w:t xml:space="preserve">不符</w:t>
      </w:r>
      <w:r>
        <w:rPr>
          <w:rFonts w:hint="eastAsia" w:ascii="宋体" w:hAnsi="宋体"/>
          <w:color w:val="auto"/>
          <w:sz w:val="24"/>
          <w:highlight w:val="none"/>
        </w:rPr>
        <w:t xml:space="preserve">合要求的偏离或保留而使其投标成为实质性响应的投标。</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（1）</w:t>
      </w:r>
      <w:r>
        <w:rPr>
          <w:rFonts w:hint="eastAsia" w:ascii="宋体" w:hAnsi="宋体"/>
          <w:bCs/>
          <w:color w:val="auto"/>
          <w:sz w:val="24"/>
          <w:highlight w:val="none"/>
        </w:rPr>
        <w:t xml:space="preserve">投标文件中开标一览表内容与投标文件中相应内容不一致的，以开标一览表为准。</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（2）</w:t>
      </w:r>
      <w:r>
        <w:rPr>
          <w:rFonts w:hint="eastAsia" w:ascii="宋体" w:hAnsi="宋体"/>
          <w:bCs/>
          <w:color w:val="auto"/>
          <w:sz w:val="24"/>
          <w:highlight w:val="none"/>
        </w:rPr>
        <w:t xml:space="preserve">大写金额和小写金额不一致的，以大写金额为准。</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（3）</w:t>
      </w:r>
      <w:r>
        <w:rPr>
          <w:rFonts w:hint="eastAsia" w:ascii="宋体" w:hAnsi="宋体"/>
          <w:bCs/>
          <w:color w:val="auto"/>
          <w:sz w:val="24"/>
          <w:highlight w:val="none"/>
        </w:rPr>
        <w:t xml:space="preserve">单价金额小数点或者百分比有明显错位的，以开标一览表的总价为准，并修改单价。</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（4）</w:t>
      </w:r>
      <w:r>
        <w:rPr>
          <w:rFonts w:hint="eastAsia" w:ascii="宋体" w:hAnsi="宋体"/>
          <w:bCs/>
          <w:color w:val="auto"/>
          <w:sz w:val="24"/>
          <w:highlight w:val="none"/>
        </w:rPr>
        <w:t xml:space="preserve">总价金额与按单价汇总金额不一致的，以单价金额计算结果为准。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auto"/>
          <w:sz w:val="24"/>
          <w:highlight w:val="none"/>
        </w:rPr>
      </w:pPr>
      <w:r/>
      <w:bookmarkStart w:id="117" w:name="_Toc20823306"/>
      <w:r/>
      <w:bookmarkStart w:id="118" w:name="_Toc16938550"/>
      <w:r/>
      <w:bookmarkStart w:id="119" w:name="_Toc513029234"/>
      <w:r>
        <w:rPr>
          <w:rFonts w:hint="eastAsia" w:ascii="宋体" w:hAnsi="宋体"/>
          <w:color w:val="auto"/>
          <w:sz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Cs/>
          <w:color w:val="auto"/>
          <w:sz w:val="24"/>
          <w:highlight w:val="none"/>
        </w:rPr>
        <w:t xml:space="preserve">25.7</w:t>
      </w:r>
      <w:r>
        <w:rPr>
          <w:rFonts w:hint="eastAsia" w:ascii="宋体" w:hAnsi="宋体"/>
          <w:b/>
          <w:color w:val="auto"/>
          <w:sz w:val="24"/>
          <w:highlight w:val="none"/>
        </w:rPr>
        <w:t xml:space="preserve">评审过程中出现下列情形之一的，评审委员会应当启动异常低价投标（响应）审查程序：</w:t>
      </w:r>
      <w:r>
        <w:rPr>
          <w:rFonts w:hint="eastAsia" w:ascii="宋体" w:hAnsi="宋体"/>
          <w:b/>
          <w:color w:val="auto"/>
          <w:sz w:val="24"/>
          <w:highlight w:val="none"/>
        </w:rPr>
        <w:br w:type="textWrapping" w:clear="all"/>
      </w:r>
      <w:r>
        <w:rPr>
          <w:rFonts w:hint="eastAsia" w:ascii="宋体" w:hAnsi="宋体" w:eastAsia="宋体"/>
          <w:b/>
          <w:color w:val="auto"/>
          <w:sz w:val="24"/>
          <w:highlight w:val="none"/>
        </w:rPr>
        <w:t xml:space="preserve">    </w:t>
      </w:r>
      <w:r>
        <w:rPr>
          <w:rFonts w:hint="eastAsia" w:ascii="宋体" w:hAnsi="宋体"/>
          <w:b/>
          <w:color w:val="auto"/>
          <w:sz w:val="24"/>
          <w:highlight w:val="none"/>
        </w:rPr>
        <w:t xml:space="preserve">1.投标（响应）报价低于全部通过符合性审查供应商投标（响应）报价平均值50%的，即投标（响应）报价</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全部通过符合性审查供应商投标（响应）报价平均值×50%； </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
          <w:color w:val="auto"/>
          <w:sz w:val="24"/>
          <w:highlight w:val="none"/>
        </w:rPr>
        <w:t xml:space="preserve">2.投标（响应）报价低于通过符合性审查的次低报价供应商投标（响应）报价50%的，即投标（响应）报价</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通过符合性审查的次低报价供应商投标（响应）报价×50%； </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
          <w:color w:val="auto"/>
          <w:sz w:val="24"/>
          <w:highlight w:val="none"/>
        </w:rPr>
        <w:t xml:space="preserve">3.投标（响应）报价低于采购项目最高限价45%的，即投标（响应）报价</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采购项目最高限价×45%； </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
          <w:color w:val="auto"/>
          <w:sz w:val="24"/>
          <w:highlight w:val="none"/>
        </w:rPr>
        <w:t xml:space="preserve">4.评审委员会基于专业判断，认为供应商报价过低，有可能影响产品质量或者不能诚信履约的其他情形。 </w:t>
      </w:r>
      <w:r>
        <w:rPr>
          <w:rFonts w:hint="eastAsia" w:ascii="宋体" w:hAnsi="宋体"/>
          <w:b/>
          <w:color w:val="auto"/>
          <w:sz w:val="24"/>
          <w:highlight w:val="none"/>
        </w:rPr>
        <w:br w:type="textWrapping" w:clear="all"/>
      </w:r>
      <w:r>
        <w:rPr>
          <w:rFonts w:hint="eastAsia" w:ascii="宋体" w:hAnsi="宋体"/>
          <w:b/>
          <w:color w:val="auto"/>
          <w:sz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jc w:val="left"/>
        <w:spacing w:line="360" w:lineRule="auto"/>
        <w:tabs>
          <w:tab w:val="left" w:pos="3360" w:leader="none"/>
        </w:tabs>
        <w:rPr>
          <w:rFonts w:hint="eastAsia" w:ascii="宋体" w:hAnsi="宋体"/>
          <w:b/>
          <w:color w:val="auto"/>
          <w:sz w:val="24"/>
          <w:highlight w:val="none"/>
        </w:rPr>
      </w:pPr>
      <w:r>
        <w:rPr>
          <w:rFonts w:hint="eastAsia" w:ascii="宋体" w:hAnsi="宋体"/>
          <w:b/>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jc w:val="left"/>
        <w:spacing w:line="360" w:lineRule="auto"/>
        <w:tabs>
          <w:tab w:val="left" w:pos="3360" w:leader="none"/>
        </w:tabs>
        <w:rPr>
          <w:rFonts w:hint="eastAsia" w:ascii="宋体" w:hAnsi="宋体"/>
          <w:color w:val="auto"/>
          <w:sz w:val="24"/>
          <w:highlight w:val="none"/>
        </w:rPr>
      </w:pPr>
      <w:r>
        <w:rPr>
          <w:rFonts w:hint="eastAsia" w:ascii="宋体" w:hAnsi="宋体"/>
          <w:b/>
          <w:color w:val="auto"/>
          <w:sz w:val="24"/>
          <w:highlight w:val="none"/>
        </w:rPr>
        <w:t xml:space="preserve"> 异常低价投标（响应）审查的启动原因、审查意见和审查结果应当在评审报告中记录，并随供应商提供的相关书面说明及证明材料，以及评审委员会有关互联网浏览、查询历史一并归档。 </w:t>
      </w:r>
      <w:r/>
    </w:p>
    <w:p>
      <w:pPr>
        <w:pStyle w:val="114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26</w:t>
      </w:r>
      <w:bookmarkEnd w:id="117"/>
      <w:r/>
      <w:bookmarkEnd w:id="118"/>
      <w:r/>
      <w:bookmarkEnd w:id="119"/>
      <w:r>
        <w:rPr>
          <w:rFonts w:hint="eastAsia" w:ascii="宋体" w:hAnsi="宋体" w:eastAsia="宋体"/>
          <w:bCs w:val="0"/>
          <w:color w:val="auto"/>
          <w:highlight w:val="none"/>
          <w:lang w:eastAsia="zh-CN"/>
        </w:rPr>
        <w:t xml:space="preserve">.无效投标条款和废标条款</w:t>
      </w:r>
      <w:r/>
    </w:p>
    <w:p>
      <w:pPr>
        <w:ind w:left="479"/>
        <w:spacing w:line="360" w:lineRule="auto"/>
        <w:rPr>
          <w:rFonts w:ascii="宋体" w:hAnsi="宋体"/>
          <w:bCs/>
          <w:color w:val="auto"/>
          <w:sz w:val="24"/>
          <w:highlight w:val="none"/>
        </w:rPr>
      </w:pPr>
      <w:r/>
      <w:bookmarkStart w:id="120" w:name="_Toc16938551"/>
      <w:r/>
      <w:bookmarkStart w:id="121" w:name="_Toc20823307"/>
      <w:r/>
      <w:bookmarkStart w:id="122" w:name="_Toc513029235"/>
      <w:r>
        <w:rPr>
          <w:rFonts w:hint="eastAsia" w:ascii="宋体" w:hAnsi="宋体"/>
          <w:bCs/>
          <w:color w:val="auto"/>
          <w:sz w:val="24"/>
          <w:highlight w:val="none"/>
        </w:rPr>
        <w:t xml:space="preserve">26.1无效投标条款</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列入失信被执行人或</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w:t>
      </w:r>
      <w:r>
        <w:rPr>
          <w:rFonts w:hint="eastAsia" w:ascii="宋体" w:hAnsi="宋体"/>
          <w:bCs/>
          <w:color w:val="auto"/>
          <w:sz w:val="24"/>
          <w:highlight w:val="none"/>
        </w:rPr>
        <w:t xml:space="preserve">，评标委员会应当将其作为无效投标处理。</w:t>
      </w:r>
      <w:r/>
    </w:p>
    <w:p>
      <w:pPr>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w:t>
      </w:r>
      <w:r>
        <w:rPr>
          <w:rFonts w:hint="eastAsia" w:ascii="宋体" w:hAnsi="宋体" w:eastAsia="宋体"/>
          <w:bCs/>
          <w:color w:val="auto"/>
          <w:sz w:val="24"/>
          <w:szCs w:val="24"/>
          <w:highlight w:val="none"/>
        </w:rPr>
        <w:t xml:space="preserve">的其他</w:t>
      </w:r>
      <w:r>
        <w:rPr>
          <w:rFonts w:hint="eastAsia" w:ascii="宋体" w:hAnsi="宋体"/>
          <w:bCs/>
          <w:color w:val="auto"/>
          <w:sz w:val="24"/>
          <w:szCs w:val="24"/>
          <w:highlight w:val="none"/>
        </w:rPr>
        <w:t xml:space="preserve">实质性要求和条件的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26.1.24其他</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及本招标文件规定的属无效投标的情形。</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26.2.2出现影响采购公正的违法、违规行为的。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ind w:left="479"/>
        <w:spacing w:line="360" w:lineRule="auto"/>
        <w:rPr>
          <w:rFonts w:ascii="宋体" w:hAnsi="宋体"/>
          <w:b/>
          <w:color w:val="auto"/>
          <w:sz w:val="24"/>
          <w:highlight w:val="none"/>
        </w:rPr>
      </w:pPr>
      <w:r>
        <w:rPr>
          <w:rFonts w:hint="eastAsia" w:ascii="宋体" w:hAnsi="宋体"/>
          <w:b/>
          <w:color w:val="auto"/>
          <w:sz w:val="24"/>
          <w:highlight w:val="none"/>
        </w:rPr>
        <w:t xml:space="preserve">26.4技术标（暗标）中出现该报价供应商单位名称、简称、人员姓名、Logo、商标、电话号码等任何标识标记及其他暗示性标志的；</w:t>
      </w:r>
      <w:r/>
    </w:p>
    <w:p>
      <w:pPr>
        <w:ind w:left="479"/>
        <w:spacing w:line="360" w:lineRule="auto"/>
        <w:rPr>
          <w:rFonts w:ascii="宋体" w:hAnsi="宋体"/>
          <w:b/>
          <w:color w:val="auto"/>
          <w:sz w:val="24"/>
          <w:highlight w:val="none"/>
        </w:rPr>
      </w:pPr>
      <w:r>
        <w:rPr>
          <w:rFonts w:hint="eastAsia" w:ascii="宋体" w:hAnsi="宋体"/>
          <w:b/>
          <w:color w:val="auto"/>
          <w:sz w:val="24"/>
          <w:highlight w:val="none"/>
        </w:rPr>
        <w:t xml:space="preserve">26.5商务标（明标）和技术标（暗标），其中某一标被本项目评委确认为无效响应文件的；</w:t>
      </w:r>
      <w:r/>
    </w:p>
    <w:p>
      <w:pPr>
        <w:ind w:left="479"/>
        <w:spacing w:line="360" w:lineRule="auto"/>
        <w:rPr>
          <w:color w:val="auto"/>
          <w:highlight w:val="none"/>
        </w:rPr>
      </w:pPr>
      <w:r>
        <w:rPr>
          <w:rFonts w:hint="eastAsia" w:ascii="宋体" w:hAnsi="宋体"/>
          <w:b/>
          <w:color w:val="auto"/>
          <w:sz w:val="24"/>
          <w:highlight w:val="none"/>
        </w:rPr>
        <w:t xml:space="preserve">26.6暗标未按要求编制，编制粗糙、格式混乱、条理不清的；</w:t>
      </w:r>
      <w:r/>
    </w:p>
    <w:p>
      <w:pPr>
        <w:pStyle w:val="972"/>
        <w:ind w:firstLine="452"/>
        <w:keepLines w:val="0"/>
        <w:keepNext w:val="0"/>
        <w:spacing w:before="0" w:after="0" w:line="360" w:lineRule="auto"/>
        <w:rPr>
          <w:color w:val="auto"/>
          <w:sz w:val="30"/>
          <w:szCs w:val="30"/>
          <w:highlight w:val="none"/>
          <w:lang w:eastAsia="zh-CN"/>
        </w:rPr>
      </w:pPr>
      <w:r/>
      <w:bookmarkStart w:id="123" w:name="_Toc120614219"/>
      <w:r>
        <w:rPr>
          <w:rFonts w:hint="eastAsia"/>
          <w:color w:val="auto"/>
          <w:sz w:val="30"/>
          <w:szCs w:val="30"/>
          <w:highlight w:val="none"/>
          <w:lang w:eastAsia="zh-CN"/>
        </w:rPr>
        <w:t xml:space="preserve">六、</w:t>
      </w:r>
      <w:bookmarkEnd w:id="120"/>
      <w:r/>
      <w:bookmarkEnd w:id="121"/>
      <w:r/>
      <w:bookmarkEnd w:id="122"/>
      <w:r>
        <w:rPr>
          <w:rFonts w:hint="eastAsia"/>
          <w:color w:val="auto"/>
          <w:sz w:val="30"/>
          <w:szCs w:val="30"/>
          <w:highlight w:val="none"/>
          <w:lang w:eastAsia="zh-CN"/>
        </w:rPr>
        <w:t xml:space="preserve">定标</w:t>
      </w:r>
      <w:bookmarkEnd w:id="123"/>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124" w:name="_Toc513029238"/>
      <w:r/>
      <w:bookmarkStart w:id="125" w:name="_Toc20823310"/>
      <w:r/>
      <w:bookmarkStart w:id="126" w:name="_Toc16938554"/>
      <w:r>
        <w:rPr>
          <w:rFonts w:hint="eastAsia" w:ascii="宋体" w:hAnsi="宋体" w:eastAsia="宋体"/>
          <w:bCs w:val="0"/>
          <w:color w:val="auto"/>
          <w:highlight w:val="none"/>
          <w:lang w:eastAsia="zh-CN"/>
        </w:rPr>
        <w:t xml:space="preserve">27</w:t>
      </w:r>
      <w:bookmarkEnd w:id="124"/>
      <w:r>
        <w:rPr>
          <w:rFonts w:hint="eastAsia" w:ascii="宋体" w:hAnsi="宋体" w:eastAsia="宋体"/>
          <w:bCs w:val="0"/>
          <w:color w:val="auto"/>
          <w:highlight w:val="none"/>
          <w:lang w:eastAsia="zh-CN"/>
        </w:rPr>
        <w:t xml:space="preserve">.确定</w:t>
      </w:r>
      <w:bookmarkEnd w:id="125"/>
      <w:r/>
      <w:bookmarkEnd w:id="126"/>
      <w:r>
        <w:rPr>
          <w:rFonts w:hint="eastAsia" w:ascii="宋体" w:hAnsi="宋体" w:eastAsia="宋体"/>
          <w:bCs w:val="0"/>
          <w:color w:val="auto"/>
          <w:highlight w:val="none"/>
          <w:lang w:eastAsia="zh-CN"/>
        </w:rPr>
        <w:t xml:space="preserve">中标单位</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 xml:space="preserve">第五章规定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将在“江苏政府采购网”发布中标公告，公告期限为1个工作日。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行贿或者提供其他不正当利益的。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ascii="宋体" w:hAnsi="宋体"/>
          <w:color w:val="auto"/>
          <w:sz w:val="24"/>
          <w:szCs w:val="24"/>
          <w:highlight w:val="none"/>
        </w:rPr>
      </w:pPr>
      <w:r/>
      <w:bookmarkStart w:id="127"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14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28.质疑处理</w:t>
      </w:r>
      <w:bookmarkEnd w:id="127"/>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 xml:space="preserve">28.4条款</w:t>
      </w:r>
      <w:r>
        <w:rPr>
          <w:rFonts w:hint="eastAsia" w:ascii="宋体" w:hAnsi="宋体"/>
          <w:color w:val="auto"/>
          <w:sz w:val="24"/>
          <w:szCs w:val="24"/>
          <w:highlight w:val="none"/>
        </w:rPr>
        <w:t xml:space="preserve">的规定向采购人或</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olor w:val="auto"/>
          <w:sz w:val="24"/>
          <w:szCs w:val="24"/>
          <w:highlight w:val="none"/>
        </w:rPr>
        <w:t xml:space="preserve">等</w:t>
      </w:r>
      <w:r>
        <w:rPr>
          <w:rFonts w:hint="eastAsia" w:ascii="宋体" w:hAnsi="宋体"/>
          <w:color w:val="auto"/>
          <w:sz w:val="24"/>
          <w:szCs w:val="24"/>
          <w:highlight w:val="none"/>
        </w:rPr>
        <w:t xml:space="preserve">请向采购</w:t>
      </w:r>
      <w:r>
        <w:rPr>
          <w:rFonts w:hint="eastAsia" w:ascii="宋体" w:hAnsi="宋体" w:eastAsia="宋体"/>
          <w:color w:val="auto"/>
          <w:sz w:val="24"/>
          <w:szCs w:val="24"/>
          <w:highlight w:val="none"/>
        </w:rPr>
        <w:t xml:space="preserve">代理机构或采购人</w:t>
      </w:r>
      <w:r>
        <w:rPr>
          <w:rFonts w:hint="eastAsia" w:ascii="宋体" w:hAnsi="宋体"/>
          <w:color w:val="auto"/>
          <w:sz w:val="24"/>
          <w:szCs w:val="24"/>
          <w:highlight w:val="none"/>
        </w:rPr>
        <w:t xml:space="preserve">提出，由</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负责答复。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只接收以纸质原件形式送达的质疑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质疑供应商可通过面交或邮寄方式送达（采购人和</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不接受未填写快递运单的快件）。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联系人、联系方式、通信地址见招标文件第一章。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114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29.中标通知书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将向中标人发出中标通知书。请中标人在中标结果公告届满之日起30日内</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因未及时下载而造成的不利后果由中标人自行承担。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72"/>
        <w:ind w:firstLine="452"/>
        <w:keepLines w:val="0"/>
        <w:keepNext w:val="0"/>
        <w:spacing w:before="0" w:after="0" w:line="360" w:lineRule="auto"/>
        <w:rPr>
          <w:color w:val="auto"/>
          <w:sz w:val="30"/>
          <w:szCs w:val="30"/>
          <w:highlight w:val="none"/>
          <w:lang w:eastAsia="zh-CN"/>
        </w:rPr>
      </w:pPr>
      <w:r/>
      <w:bookmarkStart w:id="128" w:name="_Toc513029236"/>
      <w:r/>
      <w:bookmarkStart w:id="129" w:name="_Toc120614220"/>
      <w:r/>
      <w:bookmarkStart w:id="130" w:name="_Toc20823308"/>
      <w:r/>
      <w:bookmarkStart w:id="131" w:name="_Toc16938552"/>
      <w:r>
        <w:rPr>
          <w:rFonts w:hint="eastAsia"/>
          <w:color w:val="auto"/>
          <w:sz w:val="30"/>
          <w:szCs w:val="30"/>
          <w:highlight w:val="none"/>
          <w:lang w:eastAsia="zh-CN"/>
        </w:rPr>
        <w:t xml:space="preserve">七、授予合同</w:t>
      </w:r>
      <w:bookmarkEnd w:id="128"/>
      <w:r/>
      <w:bookmarkEnd w:id="129"/>
      <w:r/>
      <w:bookmarkEnd w:id="130"/>
      <w:r/>
      <w:bookmarkEnd w:id="131"/>
      <w:r/>
      <w:r/>
    </w:p>
    <w:p>
      <w:pPr>
        <w:pStyle w:val="1141"/>
        <w:ind w:firstLine="422"/>
        <w:keepLines w:val="0"/>
        <w:keepNext w:val="0"/>
        <w:spacing w:before="0" w:after="0" w:line="360" w:lineRule="auto"/>
        <w:rPr>
          <w:rFonts w:ascii="宋体" w:hAnsi="宋体" w:eastAsia="宋体"/>
          <w:bCs w:val="0"/>
          <w:color w:val="auto"/>
          <w:highlight w:val="none"/>
          <w:lang w:eastAsia="zh-CN"/>
        </w:rPr>
      </w:pPr>
      <w:r/>
      <w:bookmarkStart w:id="132" w:name="_Toc513029237"/>
      <w:r/>
      <w:bookmarkStart w:id="133" w:name="_Toc20823309"/>
      <w:r/>
      <w:bookmarkStart w:id="134" w:name="_Toc16938553"/>
      <w:r>
        <w:rPr>
          <w:rFonts w:hint="eastAsia" w:ascii="宋体" w:hAnsi="宋体" w:eastAsia="宋体"/>
          <w:bCs w:val="0"/>
          <w:color w:val="auto"/>
          <w:highlight w:val="none"/>
          <w:lang w:eastAsia="zh-CN"/>
        </w:rPr>
        <w:t xml:space="preserve">30.签订合同</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将根据具体情况提请政府采购管理部门作出相应处理。</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14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31.服务（包含与服务相关的货物）的追加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rPr>
        <w:t xml:space="preserve">额的</w:t>
      </w:r>
      <w:r>
        <w:rPr>
          <w:rFonts w:hint="eastAsia" w:ascii="宋体" w:hAnsi="宋体"/>
          <w:color w:val="auto"/>
          <w:sz w:val="24"/>
          <w:szCs w:val="24"/>
          <w:highlight w:val="none"/>
        </w:rPr>
        <w:t xml:space="preserve">10%。</w:t>
      </w:r>
      <w:r/>
    </w:p>
    <w:p>
      <w:pPr>
        <w:pStyle w:val="1138"/>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bookmarkEnd w:id="132"/>
      <w:bookmarkEnd w:id="133"/>
      <w:bookmarkEnd w:id="134"/>
      <w:r/>
    </w:p>
    <w:p>
      <w:pPr>
        <w:pStyle w:val="1138"/>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r/>
    </w:p>
    <w:p>
      <w:pPr>
        <w:pStyle w:val="1138"/>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r/>
    </w:p>
    <w:p>
      <w:pPr>
        <w:pStyle w:val="1138"/>
        <w:ind w:firstLine="0"/>
        <w:spacing w:line="360" w:lineRule="auto"/>
        <w:rPr>
          <w:rFonts w:ascii="黑体" w:eastAsia="黑体"/>
          <w:bCs/>
          <w:color w:val="auto"/>
          <w:sz w:val="36"/>
          <w:szCs w:val="36"/>
          <w:highlight w:val="none"/>
          <w:lang w:eastAsia="zh-CN"/>
        </w:rPr>
      </w:pPr>
      <w:r/>
      <w:bookmarkStart w:id="135" w:name="_Toc513029242"/>
      <w:r/>
      <w:bookmarkStart w:id="136" w:name="_Toc16938558"/>
      <w:r/>
      <w:bookmarkStart w:id="137" w:name="_Toc20823314"/>
      <w:r/>
      <w:bookmarkStart w:id="138" w:name="_Toc120614221"/>
      <w:r/>
      <w:bookmarkStart w:id="139" w:name="_Toc479757207"/>
      <w:r/>
      <w:r/>
    </w:p>
    <w:p>
      <w:pPr>
        <w:rPr>
          <w:rFonts w:ascii="黑体" w:eastAsia="黑体"/>
          <w:bCs/>
          <w:color w:val="auto"/>
          <w:sz w:val="36"/>
          <w:szCs w:val="36"/>
          <w:highlight w:val="none"/>
        </w:rPr>
      </w:pPr>
      <w:r>
        <w:rPr>
          <w:rFonts w:hint="eastAsia" w:ascii="黑体" w:eastAsia="黑体"/>
          <w:bCs/>
          <w:color w:val="auto"/>
          <w:sz w:val="36"/>
          <w:szCs w:val="36"/>
          <w:highlight w:val="none"/>
        </w:rPr>
        <w:br w:type="page" w:clear="all"/>
      </w:r>
      <w:bookmarkEnd w:id="135"/>
      <w:r/>
      <w:bookmarkEnd w:id="136"/>
      <w:r/>
      <w:bookmarkEnd w:id="137"/>
      <w:r/>
      <w:bookmarkEnd w:id="138"/>
      <w:r/>
      <w:bookmarkEnd w:id="139"/>
      <w:r/>
      <w:r/>
    </w:p>
    <w:p>
      <w:pPr>
        <w:pStyle w:val="1138"/>
        <w:numPr>
          <w:ilvl w:val="0"/>
          <w:numId w:val="8"/>
        </w:numPr>
        <w:ind w:firstLine="0"/>
        <w:jc w:val="center"/>
        <w:spacing w:line="360" w:lineRule="auto"/>
        <w:rPr>
          <w:rFonts w:ascii="黑体" w:eastAsia="黑体"/>
          <w:bCs/>
          <w:color w:val="auto"/>
          <w:sz w:val="36"/>
          <w:szCs w:val="36"/>
          <w:highlight w:val="none"/>
          <w:lang w:eastAsia="zh-CN"/>
        </w:rPr>
      </w:pPr>
      <w:r/>
      <w:bookmarkStart w:id="140" w:name="_Toc16938559"/>
      <w:r/>
      <w:bookmarkStart w:id="141" w:name="_Toc20823315"/>
      <w:r/>
      <w:bookmarkStart w:id="142" w:name="_Toc513029243"/>
      <w:r>
        <w:rPr>
          <w:rFonts w:hint="eastAsia" w:ascii="黑体" w:eastAsia="黑体"/>
          <w:bCs/>
          <w:color w:val="auto"/>
          <w:sz w:val="36"/>
          <w:szCs w:val="36"/>
          <w:highlight w:val="none"/>
          <w:lang w:eastAsia="zh-CN"/>
        </w:rPr>
        <w:t xml:space="preserve"> 合同文本</w:t>
      </w:r>
      <w:r/>
    </w:p>
    <w:p>
      <w:pPr>
        <w:pStyle w:val="1135"/>
        <w:numPr>
          <w:ilvl w:val="0"/>
          <w:numId w:val="0"/>
        </w:numPr>
        <w:jc w:val="center"/>
        <w:rPr>
          <w:rFonts w:ascii="黑体" w:eastAsia="黑体"/>
          <w:bCs/>
          <w:color w:val="auto"/>
          <w:sz w:val="36"/>
          <w:szCs w:val="36"/>
          <w:highlight w:val="none"/>
          <w:lang w:eastAsia="zh-CN"/>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格式</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投标时不需填写）</w:t>
      </w:r>
      <w:bookmarkEnd w:id="140"/>
      <w:r/>
      <w:bookmarkEnd w:id="141"/>
      <w:r/>
      <w:bookmarkEnd w:id="142"/>
      <w:r/>
      <w:r/>
    </w:p>
    <w:p>
      <w:pPr>
        <w:ind w:left="0"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143" w:name="_Hlt16619350"/>
      <w:r/>
      <w:bookmarkStart w:id="144" w:name="_Toc120614244"/>
      <w:r/>
      <w:bookmarkStart w:id="145" w:name="_Toc16938590"/>
      <w:r/>
      <w:bookmarkStart w:id="146" w:name="_Toc20823346"/>
      <w:r>
        <w:rPr>
          <w:rFonts w:hint="eastAsia" w:ascii="宋体" w:hAnsi="宋体" w:eastAsia="宋体" w:cs="宋体"/>
          <w:b/>
          <w:color w:val="auto"/>
          <w:sz w:val="24"/>
          <w:szCs w:val="24"/>
          <w:highlight w:val="none"/>
        </w:rPr>
        <w:t xml:space="preserve">根据《中华人民共和国政府采购法》及相关法规、《中华人民共和国民法典》，遵循平等、自愿、公平和诚实信用的原则，</w:t>
      </w:r>
      <w:r>
        <w:rPr>
          <w:rFonts w:hint="eastAsia" w:ascii="宋体" w:hAnsi="宋体" w:eastAsia="宋体" w:cs="宋体"/>
          <w:b/>
          <w:color w:val="auto"/>
          <w:sz w:val="24"/>
          <w:szCs w:val="24"/>
          <w:highlight w:val="none"/>
          <w:lang w:val="en-US" w:eastAsia="zh-CN"/>
        </w:rPr>
        <w:t xml:space="preserve">甲乙</w:t>
      </w:r>
      <w:r>
        <w:rPr>
          <w:rFonts w:hint="eastAsia" w:ascii="宋体" w:hAnsi="宋体" w:eastAsia="宋体" w:cs="宋体"/>
          <w:b/>
          <w:color w:val="auto"/>
          <w:sz w:val="24"/>
          <w:szCs w:val="24"/>
          <w:highlight w:val="none"/>
        </w:rPr>
        <w:t xml:space="preserve">双方就</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项目名称：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项目编号：</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）采购及有关事项协商一致，共同达成如下协议：</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年  月  日</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签约地点：无锡市人民医院</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甲方（买方）：无锡市人民医院         乙方（卖方）</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地址：江苏省无锡市清扬路299号      地址： </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电话：0510-82700778                 电话：</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传真：</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                              邮箱：</w:t>
      </w:r>
      <w:r/>
    </w:p>
    <w:p>
      <w:pPr>
        <w:ind w:left="0"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1、设备及价款：</w:t>
      </w:r>
      <w:r/>
    </w:p>
    <w:tbl>
      <w:tblPr>
        <w:tblStyle w:val="822"/>
        <w:tblW w:w="931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40"/>
        <w:gridCol w:w="1430"/>
        <w:gridCol w:w="1220"/>
        <w:gridCol w:w="1310"/>
        <w:gridCol w:w="960"/>
        <w:gridCol w:w="960"/>
        <w:gridCol w:w="960"/>
        <w:gridCol w:w="1230"/>
      </w:tblGrid>
      <w:tr>
        <w:trPr>
          <w:jc w:val="center"/>
          <w:trHeight w:val="860"/>
        </w:trPr>
        <w:tc>
          <w:tcPr>
            <w:tcBorders>
              <w:top w:val="single" w:color="auto" w:sz="4" w:space="0"/>
              <w:left w:val="single" w:color="auto" w:sz="4" w:space="0"/>
              <w:bottom w:val="single" w:color="auto" w:sz="4" w:space="0"/>
              <w:right w:val="single" w:color="000000" w:sz="8"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产品名称</w:t>
            </w:r>
            <w:r/>
          </w:p>
        </w:tc>
        <w:tc>
          <w:tcPr>
            <w:tcBorders>
              <w:top w:val="single" w:color="auto" w:sz="4" w:space="0"/>
              <w:left w:val="single" w:color="000000" w:sz="8" w:space="0"/>
              <w:bottom w:val="single" w:color="auto" w:sz="4" w:space="0"/>
              <w:right w:val="single" w:color="000000" w:sz="8" w:space="0"/>
            </w:tcBorders>
            <w:tcW w:w="14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牌号商标</w:t>
            </w:r>
            <w:r/>
          </w:p>
        </w:tc>
        <w:tc>
          <w:tcPr>
            <w:tcBorders>
              <w:top w:val="single" w:color="auto" w:sz="4" w:space="0"/>
              <w:left w:val="single" w:color="000000" w:sz="8" w:space="0"/>
              <w:bottom w:val="single" w:color="auto" w:sz="4" w:space="0"/>
              <w:right w:val="single" w:color="000000" w:sz="8" w:space="0"/>
            </w:tcBorders>
            <w:tcW w:w="12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规格型号</w:t>
            </w:r>
            <w:r/>
          </w:p>
        </w:tc>
        <w:tc>
          <w:tcPr>
            <w:tcBorders>
              <w:top w:val="single" w:color="auto" w:sz="4" w:space="0"/>
              <w:left w:val="single" w:color="000000" w:sz="8" w:space="0"/>
              <w:bottom w:val="single" w:color="auto" w:sz="4" w:space="0"/>
              <w:right w:val="single" w:color="000000" w:sz="8" w:space="0"/>
            </w:tcBorders>
            <w:tcW w:w="13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生产厂家</w:t>
            </w:r>
            <w:r/>
          </w:p>
        </w:tc>
        <w:tc>
          <w:tcPr>
            <w:tcBorders>
              <w:top w:val="single" w:color="auto" w:sz="4" w:space="0"/>
              <w:left w:val="single" w:color="000000" w:sz="8" w:space="0"/>
              <w:bottom w:val="single" w:color="auto" w:sz="4"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tcBorders>
              <w:top w:val="single" w:color="auto" w:sz="4" w:space="0"/>
              <w:left w:val="single" w:color="000000" w:sz="8" w:space="0"/>
              <w:bottom w:val="single" w:color="auto" w:sz="4"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tcBorders>
              <w:top w:val="single" w:color="auto" w:sz="4" w:space="0"/>
              <w:left w:val="single" w:color="000000" w:sz="8" w:space="0"/>
              <w:bottom w:val="single" w:color="auto" w:sz="4"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单价</w:t>
            </w:r>
            <w:r/>
          </w:p>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（元）</w:t>
            </w:r>
            <w:r/>
          </w:p>
        </w:tc>
        <w:tc>
          <w:tcPr>
            <w:tcBorders>
              <w:top w:val="single" w:color="auto" w:sz="4" w:space="0"/>
              <w:left w:val="single" w:color="000000" w:sz="8" w:space="0"/>
              <w:bottom w:val="single" w:color="auto" w:sz="4" w:space="0"/>
              <w:right w:val="single" w:color="auto" w:sz="4" w:space="0"/>
            </w:tcBorders>
            <w:tcW w:w="12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总价</w:t>
            </w:r>
            <w:r/>
          </w:p>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（元）</w:t>
            </w:r>
            <w:r/>
          </w:p>
        </w:tc>
      </w:tr>
      <w:tr>
        <w:trPr>
          <w:jc w:val="center"/>
          <w:trHeight w:val="958"/>
        </w:trPr>
        <w:tc>
          <w:tcPr>
            <w:tcBorders>
              <w:top w:val="single" w:color="auto" w:sz="4" w:space="0"/>
              <w:left w:val="single" w:color="000000" w:sz="8" w:space="0"/>
              <w:bottom w:val="single" w:color="000000" w:sz="8" w:space="0"/>
              <w:right w:val="single" w:color="000000" w:sz="8" w:space="0"/>
            </w:tcBorders>
            <w:tcW w:w="12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000000" w:sz="8" w:space="0"/>
              <w:bottom w:val="single" w:color="000000" w:sz="8" w:space="0"/>
              <w:right w:val="single" w:color="000000" w:sz="8" w:space="0"/>
            </w:tcBorders>
            <w:tcW w:w="143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000000" w:sz="8" w:space="0"/>
              <w:bottom w:val="single" w:color="000000" w:sz="8" w:space="0"/>
              <w:right w:val="single" w:color="000000" w:sz="8" w:space="0"/>
            </w:tcBorders>
            <w:tcW w:w="122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000000" w:sz="8" w:space="0"/>
              <w:bottom w:val="single" w:color="000000" w:sz="8" w:space="0"/>
              <w:right w:val="single" w:color="000000" w:sz="8" w:space="0"/>
            </w:tcBorders>
            <w:tcW w:w="131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000000" w:sz="8" w:space="0"/>
              <w:bottom w:val="single" w:color="000000" w:sz="8" w:space="0"/>
              <w:right w:val="single" w:color="000000" w:sz="8"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000000" w:sz="8" w:space="0"/>
              <w:bottom w:val="single" w:color="000000" w:sz="8" w:space="0"/>
              <w:right w:val="single" w:color="000000" w:sz="8"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000000" w:sz="8" w:space="0"/>
              <w:bottom w:val="single" w:color="000000" w:sz="8" w:space="0"/>
              <w:right w:val="single" w:color="000000" w:sz="8" w:space="0"/>
            </w:tcBorders>
            <w:tcW w:w="9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000000" w:sz="8" w:space="0"/>
              <w:bottom w:val="single" w:color="000000" w:sz="8" w:space="0"/>
              <w:right w:val="single" w:color="000000" w:sz="8" w:space="0"/>
            </w:tcBorders>
            <w:tcW w:w="123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70"/>
        </w:trPr>
        <w:tc>
          <w:tcPr>
            <w:gridSpan w:val="8"/>
            <w:tcBorders>
              <w:top w:val="none" w:color="000000" w:sz="4" w:space="0"/>
              <w:left w:val="single" w:color="000000" w:sz="8" w:space="0"/>
              <w:bottom w:val="single" w:color="000000" w:sz="8" w:space="0"/>
              <w:right w:val="single" w:color="000000" w:sz="8" w:space="0"/>
            </w:tcBorders>
            <w:tcW w:w="93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合计金额（大写）：**元整</w:t>
            </w:r>
            <w:r/>
          </w:p>
        </w:tc>
      </w:tr>
    </w:tbl>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上述价款含运费、保险费。</w:t>
      </w:r>
      <w:r/>
    </w:p>
    <w:p>
      <w:pPr>
        <w:ind w:left="0"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2、到货时间：</w:t>
      </w:r>
      <w:r>
        <w:rPr>
          <w:rFonts w:hint="eastAsia" w:ascii="宋体" w:hAnsi="宋体" w:eastAsia="宋体" w:cs="宋体"/>
          <w:color w:val="auto"/>
          <w:sz w:val="24"/>
          <w:szCs w:val="24"/>
          <w:highlight w:val="none"/>
        </w:rPr>
        <w:t xml:space="preserve">为项目合同签订后的5个月。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left="0"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3、装运目的地： </w:t>
      </w:r>
      <w:r>
        <w:rPr>
          <w:rFonts w:hint="eastAsia" w:ascii="宋体" w:hAnsi="宋体" w:eastAsia="宋体" w:cs="宋体"/>
          <w:color w:val="auto"/>
          <w:sz w:val="24"/>
          <w:szCs w:val="24"/>
          <w:highlight w:val="none"/>
        </w:rPr>
        <w:t xml:space="preserve">无锡市人民医院指定地点。</w:t>
      </w:r>
      <w:r/>
    </w:p>
    <w:p>
      <w:pPr>
        <w:ind w:left="0"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4、质量保证：</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①乙方负责设备的免费安装、调试、培训等服务。设备安装、调试时间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天内，如乙方原因造成的调试时间延迟，乙方按合同款1%/天向甲方交纳滞纳金。</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②对于本项目涉及的硬件设备，所有交付设备自竣工验收合格之日起提供五年免费质保服务，在质保服务期内，免费更换保修需要的所有</w:t>
      </w:r>
      <w:r>
        <w:rPr>
          <w:rFonts w:hint="eastAsia" w:ascii="宋体" w:hAnsi="宋体" w:eastAsia="宋体" w:cs="宋体"/>
          <w:color w:val="auto"/>
          <w:sz w:val="24"/>
          <w:szCs w:val="24"/>
          <w:highlight w:val="none"/>
          <w:lang w:eastAsia="zh-CN"/>
        </w:rPr>
        <w:t xml:space="preserve">备件</w:t>
      </w:r>
      <w:r>
        <w:rPr>
          <w:rFonts w:hint="eastAsia" w:ascii="宋体" w:hAnsi="宋体" w:eastAsia="宋体" w:cs="宋体"/>
          <w:color w:val="auto"/>
          <w:sz w:val="24"/>
          <w:szCs w:val="24"/>
          <w:highlight w:val="none"/>
        </w:rPr>
        <w:t xml:space="preserve">及需要定期更换的耗品，包含所有人工及保养，对于上述硬件设备自带的微系统，</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应同步提供相应的调试、测试和维保服务。</w:t>
      </w:r>
      <w:r/>
    </w:p>
    <w:p>
      <w:pPr>
        <w:numPr>
          <w:ilvl w:val="0"/>
          <w:numId w:val="9"/>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自系统交付使用后，须指定专门运维人员，进行系统日常维护并随时响应甲方维护需求，如产品存在缺陷和漏洞的，须对相关问题提供免费技术维护和升级服务。</w:t>
      </w:r>
      <w:r/>
    </w:p>
    <w:p>
      <w:pPr>
        <w:numPr>
          <w:ilvl w:val="0"/>
          <w:numId w:val="9"/>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承诺7×24小时电话、远程响应及现场服务响应，0.5小时内做出明确响应安排，4小时内排除故障或采用应急替代方案。在远程支持难以满足服务要求需现场服务的，具有解决故障能力的工程师应在2小时内到达现场。</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c.及时提供设备附件及各类配件详细报价清单并列明各类配件的替代性，若为不可替代的专用产品，需特别标注并承诺价格浮动上限。</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③验收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双方约定按照国家技术质量检验标准实施验收。</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设备在安装或投入使用中未达到标书中的参数要求，乙方需全额退款并赔偿。</w:t>
      </w:r>
      <w:r/>
    </w:p>
    <w:p>
      <w:pPr>
        <w:ind w:left="0"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5、付款方式</w:t>
      </w:r>
      <w:r>
        <w:rPr>
          <w:rFonts w:hint="eastAsia" w:ascii="宋体" w:hAnsi="宋体" w:eastAsia="宋体" w:cs="宋体"/>
          <w:b/>
          <w:color w:val="auto"/>
          <w:sz w:val="24"/>
          <w:szCs w:val="24"/>
          <w:highlight w:val="none"/>
          <w:lang w:eastAsia="zh-CN"/>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合同签订生效后</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个工作日内，</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支付合同总额的30%作为首付款；初验合格后</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个工作日内，支付合同总额的40%；终验合格后</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个工作日内，支付合同总额的30%。</w:t>
      </w:r>
      <w:r/>
    </w:p>
    <w:p>
      <w:pPr>
        <w:ind w:left="0"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6、包装：</w:t>
      </w:r>
      <w:r>
        <w:rPr>
          <w:rFonts w:hint="eastAsia" w:ascii="宋体" w:hAnsi="宋体" w:eastAsia="宋体" w:cs="宋体"/>
          <w:color w:val="auto"/>
          <w:sz w:val="24"/>
          <w:szCs w:val="24"/>
          <w:highlight w:val="none"/>
        </w:rPr>
        <w:t xml:space="preserve">按买方确认的标准货物包装。</w:t>
      </w:r>
      <w:r/>
    </w:p>
    <w:p>
      <w:pPr>
        <w:ind w:left="0"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7、违约责任</w:t>
      </w:r>
      <w:r/>
    </w:p>
    <w:p>
      <w:pPr>
        <w:pStyle w:val="963"/>
        <w:numPr>
          <w:ilvl w:val="0"/>
          <w:numId w:val="0"/>
        </w:numPr>
        <w:ind w:left="0" w:righ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①在合同期及设备保修期内，乙方出现下列情况的，需向甲方支付合同总价1%/天的违约金。同时乙方同意上述违约金，甲方可以在支付货款时予以全额扣除，乙方不作任何异议。</w:t>
      </w:r>
      <w:r/>
    </w:p>
    <w:p>
      <w:pPr>
        <w:pStyle w:val="963"/>
        <w:numPr>
          <w:ilvl w:val="0"/>
          <w:numId w:val="0"/>
        </w:numPr>
        <w:ind w:left="0" w:righ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a.</w:t>
      </w:r>
      <w:r>
        <w:rPr>
          <w:rFonts w:hint="eastAsia" w:ascii="宋体" w:hAnsi="宋体" w:eastAsia="宋体" w:cs="宋体"/>
          <w:b w:val="0"/>
          <w:bCs/>
          <w:color w:val="auto"/>
          <w:sz w:val="24"/>
          <w:szCs w:val="24"/>
          <w:highlight w:val="none"/>
        </w:rPr>
        <w:t xml:space="preserve">乙方逾期交货的；</w:t>
      </w:r>
      <w:r/>
    </w:p>
    <w:p>
      <w:pPr>
        <w:pStyle w:val="963"/>
        <w:numPr>
          <w:ilvl w:val="0"/>
          <w:numId w:val="0"/>
        </w:numPr>
        <w:ind w:left="0" w:righ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b.</w:t>
      </w:r>
      <w:r>
        <w:rPr>
          <w:rFonts w:hint="eastAsia" w:ascii="宋体" w:hAnsi="宋体" w:eastAsia="宋体" w:cs="宋体"/>
          <w:b w:val="0"/>
          <w:bCs/>
          <w:color w:val="auto"/>
          <w:sz w:val="24"/>
          <w:szCs w:val="24"/>
          <w:highlight w:val="none"/>
        </w:rPr>
        <w:t xml:space="preserve">乙方逾期调试完毕的；</w:t>
      </w:r>
      <w:r/>
    </w:p>
    <w:p>
      <w:pPr>
        <w:pStyle w:val="963"/>
        <w:numPr>
          <w:ilvl w:val="0"/>
          <w:numId w:val="0"/>
        </w:numPr>
        <w:ind w:left="0" w:righ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c.</w:t>
      </w:r>
      <w:r>
        <w:rPr>
          <w:rFonts w:hint="eastAsia" w:ascii="宋体" w:hAnsi="宋体" w:eastAsia="宋体" w:cs="宋体"/>
          <w:b w:val="0"/>
          <w:bCs/>
          <w:color w:val="auto"/>
          <w:sz w:val="24"/>
          <w:szCs w:val="24"/>
          <w:highlight w:val="none"/>
        </w:rPr>
        <w:t xml:space="preserve">乙方设备未达到保证的正常使用率的；</w:t>
      </w:r>
      <w:r/>
    </w:p>
    <w:p>
      <w:pPr>
        <w:pStyle w:val="963"/>
        <w:numPr>
          <w:ilvl w:val="0"/>
          <w:numId w:val="0"/>
        </w:numPr>
        <w:ind w:left="0" w:righ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d.</w:t>
      </w:r>
      <w:r>
        <w:rPr>
          <w:rFonts w:hint="eastAsia" w:ascii="宋体" w:hAnsi="宋体" w:eastAsia="宋体" w:cs="宋体"/>
          <w:b w:val="0"/>
          <w:bCs/>
          <w:color w:val="auto"/>
          <w:sz w:val="24"/>
          <w:szCs w:val="24"/>
          <w:highlight w:val="none"/>
        </w:rPr>
        <w:t xml:space="preserve">乙方未按照要求在规定时间内维修完成的；</w:t>
      </w:r>
      <w:r/>
    </w:p>
    <w:p>
      <w:pPr>
        <w:pStyle w:val="963"/>
        <w:numPr>
          <w:ilvl w:val="0"/>
          <w:numId w:val="0"/>
        </w:numPr>
        <w:ind w:left="0" w:righ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e.</w:t>
      </w:r>
      <w:r>
        <w:rPr>
          <w:rFonts w:hint="eastAsia" w:ascii="宋体" w:hAnsi="宋体" w:eastAsia="宋体" w:cs="宋体"/>
          <w:b w:val="0"/>
          <w:bCs/>
          <w:color w:val="auto"/>
          <w:sz w:val="24"/>
          <w:szCs w:val="24"/>
          <w:highlight w:val="none"/>
        </w:rPr>
        <w:t xml:space="preserve">乙方违反其他合同约定的；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如因乙方违约导致甲方诉至法院的，乙方还应承担甲方为实现该债权所支出的所有费用（包括但不限于诉讼费、保全费、执行费、律师费、公告费、评估费、拍卖费、查档费等费用）。</w:t>
      </w:r>
      <w:r/>
    </w:p>
    <w:p>
      <w:pPr>
        <w:pStyle w:val="963"/>
        <w:numPr>
          <w:ilvl w:val="0"/>
          <w:numId w:val="0"/>
        </w:numPr>
        <w:ind w:left="0" w:righ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乙方承诺拥有所提供计算机软件、程序和知识库等的全部知识产权，且乙方保证所提供的软件、程序和知识库或其授予甲方的权利不会侵犯任何第三人的版权、专利权或商标权等知识产权或其他权利，不违反任何第三方的信息专有权，也没有其他针对乙方所提供的软件、程序和知识库等权利的未决诉讼。甲方行使乙方所授予的软件权利不会侵犯任何第三人的合法权利。若乙方向甲方提供的软件、程序和知识库等存在或发生知识产权、价值和成本等纠纷，一切责任均由乙方承担，甲方不承担任何责任。</w:t>
      </w:r>
      <w:r/>
    </w:p>
    <w:p>
      <w:pPr>
        <w:pStyle w:val="963"/>
        <w:numPr>
          <w:ilvl w:val="0"/>
          <w:numId w:val="0"/>
        </w:numPr>
        <w:ind w:left="0"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8、合同的解除</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有下列情形之一，甲方有权单方解除本合同，要求乙方退回已支付的设备款项并要求承担违约责任；</w:t>
      </w:r>
      <w:r/>
    </w:p>
    <w:p>
      <w:pPr>
        <w:pStyle w:val="963"/>
        <w:numPr>
          <w:ilvl w:val="0"/>
          <w:numId w:val="0"/>
        </w:numPr>
        <w:ind w:left="0" w:righ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①乙方设备因质量问题无法达到正常使用率，经乙方维修一次后仍无法达到标准的；</w:t>
      </w:r>
      <w:r/>
    </w:p>
    <w:p>
      <w:pPr>
        <w:pStyle w:val="963"/>
        <w:numPr>
          <w:ilvl w:val="0"/>
          <w:numId w:val="0"/>
        </w:numPr>
        <w:ind w:left="0" w:righ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②乙方设备存在缺陷的。</w:t>
      </w:r>
      <w:r/>
    </w:p>
    <w:p>
      <w:pPr>
        <w:ind w:left="0"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9、争议的解决：</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签约地点：无锡市人民医院。</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争议的解决：由本合同引起的任何争议，双方应尽量通过友好协商的方式解决。若争议发生后的三十天内双方仍未达成解决方案，则任何一方有权向甲方所在地的人民法院起诉。本合同适用中华人民共和国法律。</w:t>
      </w:r>
      <w:r/>
    </w:p>
    <w:p>
      <w:pPr>
        <w:ind w:left="0"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10、合同附件</w:t>
      </w:r>
      <w:r>
        <w:rPr>
          <w:rFonts w:hint="eastAsia" w:ascii="宋体" w:hAnsi="宋体" w:eastAsia="宋体" w:cs="宋体"/>
          <w:color w:val="auto"/>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廉政协议书。</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本合同的附件是合同的有机组成部分，具有补充、解释或修改合同的作用，对合同双方有约束力。其他事宜按投标书承诺执行。</w:t>
      </w:r>
      <w:r/>
    </w:p>
    <w:p>
      <w:pPr>
        <w:ind w:left="0"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w:t>
      </w:r>
      <w:r>
        <w:rPr>
          <w:rFonts w:hint="eastAsia" w:ascii="宋体" w:hAnsi="宋体" w:eastAsia="宋体" w:cs="宋体"/>
          <w:color w:val="auto"/>
          <w:sz w:val="24"/>
          <w:szCs w:val="24"/>
          <w:highlight w:val="none"/>
        </w:rPr>
        <w:t xml:space="preserve">本合同自双方签字盖章后生效，本合同一式伍份，甲方执叁份、乙方执</w:t>
      </w:r>
      <w:r>
        <w:rPr>
          <w:rFonts w:hint="eastAsia" w:ascii="宋体" w:hAnsi="宋体" w:eastAsia="宋体" w:cs="宋体"/>
          <w:color w:val="auto"/>
          <w:sz w:val="24"/>
          <w:szCs w:val="24"/>
          <w:highlight w:val="none"/>
          <w:lang w:eastAsia="zh-CN"/>
        </w:rPr>
        <w:t xml:space="preserve">贰</w:t>
      </w:r>
      <w:r>
        <w:rPr>
          <w:rFonts w:hint="eastAsia" w:ascii="宋体" w:hAnsi="宋体" w:eastAsia="宋体" w:cs="宋体"/>
          <w:color w:val="auto"/>
          <w:sz w:val="24"/>
          <w:szCs w:val="24"/>
          <w:highlight w:val="none"/>
        </w:rPr>
        <w:t xml:space="preserve">份。未尽事宜，双方应本着友好合作精神协商解决。</w:t>
      </w:r>
      <w:r/>
    </w:p>
    <w:p>
      <w:pPr>
        <w:ind w:left="0"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12、</w:t>
      </w:r>
      <w:r>
        <w:rPr>
          <w:rFonts w:hint="eastAsia" w:ascii="宋体" w:hAnsi="宋体" w:eastAsia="宋体" w:cs="宋体"/>
          <w:color w:val="auto"/>
          <w:sz w:val="24"/>
          <w:szCs w:val="24"/>
          <w:highlight w:val="none"/>
        </w:rPr>
        <w:t xml:space="preserve">本合同首部确定的各方联系方式为各方确定的合同履行期间相关材料及争议解决时法律文书的送达地址。送达地址如发生变化，应当在变更前五日内书面通知对方。本合同履行期间的相关材料及发生争议时的法律文书、诉讼文书达到合同首部明确的地址、联系人、邮箱时，视为相关材料送达完成。</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：无锡市人民医院</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乙方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委托代理人：</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经  办 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经  办 人：</w:t>
      </w:r>
      <w:r/>
    </w:p>
    <w:p>
      <w:pPr>
        <w:ind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日     期： </w:t>
      </w:r>
      <w:r/>
    </w:p>
    <w:p>
      <w:pPr>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开户银行：</w:t>
      </w:r>
      <w:r/>
    </w:p>
    <w:p>
      <w:pPr>
        <w:ind w:right="0" w:firstLine="552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账    号： </w:t>
      </w:r>
      <w:r/>
    </w:p>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附件1</w:t>
      </w:r>
      <w:r/>
    </w:p>
    <w:p>
      <w:pPr>
        <w:jc w:val="center"/>
        <w:keepLines w:val="0"/>
        <w:keepNext w:val="0"/>
        <w:pageBreakBefore w:val="0"/>
        <w:spacing w:line="59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廉政协议书</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加强公立医院采购活动中的廉政建设，规范双方的采购行为，防止发生各种谋取不正当利益的违法违纪行为，维护国家、集体和当事人的合法权益，根据国家有关法律法规和廉政建设的规定，经双方协商，特订立本廉政协议书。</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一、双方的责任</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严格遵守国家关于市场准入、产品采购、招标投标、生产销售和市场活动等有关</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，相关政策，以及廉政建设的各项规定。</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严格执行</w:t>
      </w:r>
      <w:r>
        <w:rPr>
          <w:rFonts w:hint="eastAsia" w:ascii="宋体" w:hAnsi="宋体" w:eastAsia="宋体" w:cs="宋体"/>
          <w:color w:val="auto"/>
          <w:sz w:val="24"/>
          <w:szCs w:val="24"/>
          <w:highlight w:val="none"/>
          <w:lang w:val="en-US" w:eastAsia="zh-CN"/>
        </w:rPr>
        <w:t xml:space="preserve">无锡市人民医院</w:t>
      </w:r>
      <w:r>
        <w:rPr>
          <w:rFonts w:hint="eastAsia" w:ascii="宋体" w:hAnsi="宋体" w:eastAsia="宋体" w:cs="宋体"/>
          <w:color w:val="auto"/>
          <w:sz w:val="24"/>
          <w:szCs w:val="24"/>
          <w:highlight w:val="none"/>
        </w:rPr>
        <w:t xml:space="preserve">的采购制度，自觉按采购程序办事。</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双方的业务活动坚持公开、公平、公正、诚信、透明的原则（法律认定的商业秘密和合同文件另有规定除外），不得为获取不正当的利益，损害国家、集体和对方利益，不得违反采购业务的规章制度。</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发现对方在业务活动中有违反廉政规定的行为，应及时提醒对方纠正。情节严重的，应向其上级有关部门举报，建议给予处理，并有权要求告知处理结果。</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二、甲方的义务</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甲方及其工作人员不得索要或接受乙方的礼金、有价证券、贵重物品及回扣、好处费、感谢费等。</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甲方及其工作人员不得在乙方报销任何应由甲方或个人支付的费用。</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 甲方及其工作人员不得参加乙方安排的可能影响公正采购的宴请、旅游和娱乐活动</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甲方及其工作人员不得接受乙方提供的通讯工具、交通工具和高档办公用品等。</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甲方及其工作人员不得要求或者接受乙方为其住房装修、婚丧嫁娶活动、配偶子女的工作安排以及出国出境、旅游等提供方便等。</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甲方及其工作人员不得向乙方介绍其家属、亲友从事与甲方业务有关的经济活动。</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甲方工作人员发现乙方</w:t>
      </w:r>
      <w:r>
        <w:rPr>
          <w:rFonts w:hint="eastAsia" w:ascii="宋体" w:hAnsi="宋体" w:eastAsia="宋体" w:cs="宋体"/>
          <w:color w:val="auto"/>
          <w:sz w:val="24"/>
          <w:szCs w:val="24"/>
          <w:highlight w:val="none"/>
          <w:lang w:val="en-US" w:eastAsia="zh-CN"/>
        </w:rPr>
        <w:t xml:space="preserve">有违反</w:t>
      </w:r>
      <w:r>
        <w:rPr>
          <w:rFonts w:hint="eastAsia" w:ascii="宋体" w:hAnsi="宋体" w:eastAsia="宋体" w:cs="宋体"/>
          <w:color w:val="auto"/>
          <w:sz w:val="24"/>
          <w:szCs w:val="24"/>
          <w:highlight w:val="none"/>
        </w:rPr>
        <w:t xml:space="preserve">廉洁</w:t>
      </w:r>
      <w:r>
        <w:rPr>
          <w:rFonts w:hint="eastAsia" w:ascii="宋体" w:hAnsi="宋体" w:eastAsia="宋体" w:cs="宋体"/>
          <w:color w:val="auto"/>
          <w:sz w:val="24"/>
          <w:szCs w:val="24"/>
          <w:highlight w:val="none"/>
          <w:lang w:val="en-US" w:eastAsia="zh-CN"/>
        </w:rPr>
        <w:t xml:space="preserve">要求的</w:t>
      </w:r>
      <w:r>
        <w:rPr>
          <w:rFonts w:hint="eastAsia" w:ascii="宋体" w:hAnsi="宋体" w:eastAsia="宋体" w:cs="宋体"/>
          <w:color w:val="auto"/>
          <w:sz w:val="24"/>
          <w:szCs w:val="24"/>
          <w:highlight w:val="none"/>
        </w:rPr>
        <w:t xml:space="preserve">行为，应及时提醒乙方纠正。情节严重的，应向领导或有关部门报告。</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三、乙方的义务</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乙方不得以任何理由向甲方及其工作人员行贿或馈赠礼金、有价证券、贵重礼品。</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乙方不得以任何名义为甲方及其工作人员报销应由甲方单位或个人支付的任何费用。</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乙方不得以任何理由安排甲方及其工作人员参加宴请、旅游和娱乐活动。</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乙方不得为甲方单位和个人购置或提供通讯工具、交通工具和高档办公用品等物品。</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 乙方</w:t>
      </w:r>
      <w:r>
        <w:rPr>
          <w:rFonts w:hint="eastAsia" w:ascii="宋体" w:hAnsi="宋体" w:eastAsia="宋体" w:cs="宋体"/>
          <w:color w:val="auto"/>
          <w:sz w:val="24"/>
          <w:szCs w:val="24"/>
          <w:highlight w:val="none"/>
          <w:lang w:val="en-US" w:eastAsia="zh-CN"/>
        </w:rPr>
        <w:t xml:space="preserve">自觉遵守《无锡市人民医院供应商管理办法》要求，如有违反自愿接受相应处理。</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若发现甲方工作人员有违反廉政规定的行为，应及时向</w:t>
      </w:r>
      <w:r>
        <w:rPr>
          <w:rFonts w:hint="eastAsia" w:ascii="宋体" w:hAnsi="宋体" w:eastAsia="宋体" w:cs="宋体"/>
          <w:color w:val="auto"/>
          <w:sz w:val="24"/>
          <w:szCs w:val="24"/>
          <w:highlight w:val="none"/>
          <w:lang w:val="en-US" w:eastAsia="zh-CN"/>
        </w:rPr>
        <w:t xml:space="preserve">医院行风、</w:t>
      </w:r>
      <w:r>
        <w:rPr>
          <w:rFonts w:hint="eastAsia" w:ascii="宋体" w:hAnsi="宋体" w:eastAsia="宋体" w:cs="宋体"/>
          <w:color w:val="auto"/>
          <w:sz w:val="24"/>
          <w:szCs w:val="24"/>
          <w:highlight w:val="none"/>
        </w:rPr>
        <w:t xml:space="preserve">纪检监察部门举报；如</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工作人员向乙方索贿，乙方应向</w:t>
      </w:r>
      <w:r>
        <w:rPr>
          <w:rFonts w:hint="eastAsia" w:ascii="宋体" w:hAnsi="宋体" w:eastAsia="宋体" w:cs="宋体"/>
          <w:color w:val="auto"/>
          <w:sz w:val="24"/>
          <w:szCs w:val="24"/>
          <w:highlight w:val="none"/>
          <w:lang w:val="en-US" w:eastAsia="zh-CN"/>
        </w:rPr>
        <w:t xml:space="preserve">医院行风、</w:t>
      </w:r>
      <w:r>
        <w:rPr>
          <w:rFonts w:hint="eastAsia" w:ascii="宋体" w:hAnsi="宋体" w:eastAsia="宋体" w:cs="宋体"/>
          <w:color w:val="auto"/>
          <w:sz w:val="24"/>
          <w:szCs w:val="24"/>
          <w:highlight w:val="none"/>
        </w:rPr>
        <w:t xml:space="preserve">纪检监察部门举报，不得迎合。</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 甲方工作人员或者其亲属、特定关系人等，不存在假借他人名义拥有乙方企业股份、担任企业实际控制人、法定代表人、董事、股东、监事等关系。</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四、违约责任</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甲方及其工作人员违反本廉政协议的，按管理权限，依据有关规定给予党纪、</w:t>
      </w:r>
      <w:r>
        <w:rPr>
          <w:rFonts w:hint="eastAsia" w:ascii="宋体" w:hAnsi="宋体" w:eastAsia="宋体" w:cs="宋体"/>
          <w:color w:val="auto"/>
          <w:sz w:val="24"/>
          <w:szCs w:val="24"/>
          <w:highlight w:val="none"/>
          <w:lang w:val="en-US" w:eastAsia="zh-CN"/>
        </w:rPr>
        <w:t xml:space="preserve">政务、行政处分</w:t>
      </w:r>
      <w:r>
        <w:rPr>
          <w:rFonts w:hint="eastAsia" w:ascii="宋体" w:hAnsi="宋体" w:eastAsia="宋体" w:cs="宋体"/>
          <w:color w:val="auto"/>
          <w:sz w:val="24"/>
          <w:szCs w:val="24"/>
          <w:highlight w:val="none"/>
        </w:rPr>
        <w:t xml:space="preserve">或组织处理；涉嫌犯罪的，移交司法机关追究刑事责任。</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 乙方及其工作人员违反本廉政协议的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依据情节严重程度，采取约谈，列入供应商黑名单管理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直至</w:t>
      </w:r>
      <w:r>
        <w:rPr>
          <w:rFonts w:hint="eastAsia" w:ascii="宋体" w:hAnsi="宋体" w:eastAsia="宋体" w:cs="宋体"/>
          <w:color w:val="auto"/>
          <w:sz w:val="24"/>
          <w:szCs w:val="24"/>
          <w:highlight w:val="none"/>
        </w:rPr>
        <w:t xml:space="preserve">取消其在</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的供应商资格；给</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造成经济损失的，应予以赔偿；情节严重的</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向</w:t>
      </w:r>
      <w:r>
        <w:rPr>
          <w:rFonts w:hint="eastAsia" w:ascii="宋体" w:hAnsi="宋体" w:eastAsia="宋体" w:cs="宋体"/>
          <w:color w:val="auto"/>
          <w:sz w:val="24"/>
          <w:szCs w:val="24"/>
          <w:highlight w:val="none"/>
        </w:rPr>
        <w:t xml:space="preserve">有关主管部门</w:t>
      </w:r>
      <w:r>
        <w:rPr>
          <w:rFonts w:hint="eastAsia" w:ascii="宋体" w:hAnsi="宋体" w:eastAsia="宋体" w:cs="宋体"/>
          <w:color w:val="auto"/>
          <w:sz w:val="24"/>
          <w:szCs w:val="24"/>
          <w:highlight w:val="none"/>
          <w:lang w:val="en-US" w:eastAsia="zh-CN"/>
        </w:rPr>
        <w:t xml:space="preserve">通报，建议</w:t>
      </w:r>
      <w:r>
        <w:rPr>
          <w:rFonts w:hint="eastAsia" w:ascii="宋体" w:hAnsi="宋体" w:eastAsia="宋体" w:cs="宋体"/>
          <w:color w:val="auto"/>
          <w:sz w:val="24"/>
          <w:szCs w:val="24"/>
          <w:highlight w:val="none"/>
        </w:rPr>
        <w:t xml:space="preserve">给予乙方相应的行政处罚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涉嫌犯罪的，移交司法机关追究刑事责任。</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五、争议解决</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本协议在履行过程中发生的争议，由双方协商解决；协商不成的，任何一方可向</w:t>
      </w:r>
      <w:r>
        <w:rPr>
          <w:rFonts w:hint="eastAsia" w:ascii="宋体" w:hAnsi="宋体" w:eastAsia="宋体" w:cs="宋体"/>
          <w:color w:val="auto"/>
          <w:sz w:val="24"/>
          <w:szCs w:val="24"/>
          <w:highlight w:val="none"/>
          <w:lang w:val="en-US" w:eastAsia="zh-CN"/>
        </w:rPr>
        <w:t xml:space="preserve">甲方所在地</w:t>
      </w:r>
      <w:r>
        <w:rPr>
          <w:rFonts w:hint="eastAsia" w:ascii="宋体" w:hAnsi="宋体" w:eastAsia="宋体" w:cs="宋体"/>
          <w:color w:val="auto"/>
          <w:sz w:val="24"/>
          <w:szCs w:val="24"/>
          <w:highlight w:val="none"/>
        </w:rPr>
        <w:t xml:space="preserve">人民法院提起诉讼。</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六、其他事项</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本协议书作为采购合同的附件，与采购合同具有同等法律效力。</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本协议书自双方签字（盖章）之日起生效，至采购合同履行完毕止。</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 本协议书</w:t>
      </w:r>
      <w:r>
        <w:rPr>
          <w:rFonts w:hint="eastAsia" w:ascii="宋体" w:hAnsi="宋体" w:eastAsia="宋体" w:cs="宋体"/>
          <w:color w:val="auto"/>
          <w:sz w:val="24"/>
          <w:szCs w:val="24"/>
          <w:highlight w:val="none"/>
          <w:lang w:eastAsia="zh-CN"/>
        </w:rPr>
        <w:t xml:space="preserve">一式两份，甲乙双方</w:t>
      </w:r>
      <w:r>
        <w:rPr>
          <w:rFonts w:hint="eastAsia" w:ascii="宋体" w:hAnsi="宋体" w:eastAsia="宋体" w:cs="宋体"/>
          <w:color w:val="auto"/>
          <w:sz w:val="24"/>
          <w:szCs w:val="24"/>
          <w:highlight w:val="none"/>
        </w:rPr>
        <w:t xml:space="preserve">各执一份</w:t>
      </w:r>
      <w:r>
        <w:rPr>
          <w:rFonts w:hint="eastAsia" w:ascii="宋体" w:hAnsi="宋体" w:eastAsia="宋体" w:cs="宋体"/>
          <w:color w:val="auto"/>
          <w:sz w:val="24"/>
          <w:szCs w:val="24"/>
          <w:highlight w:val="none"/>
          <w:lang w:eastAsia="zh-CN"/>
        </w:rPr>
        <w:t xml:space="preserve">。</w:t>
      </w:r>
      <w:r/>
    </w:p>
    <w:p>
      <w:pPr>
        <w:jc w:val="both"/>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甲方（盖章）：</w:t>
      </w:r>
      <w:r>
        <w:rPr>
          <w:rFonts w:hint="eastAsia" w:ascii="宋体" w:hAnsi="宋体" w:eastAsia="宋体" w:cs="宋体"/>
          <w:color w:val="auto"/>
          <w:sz w:val="24"/>
          <w:szCs w:val="24"/>
          <w:highlight w:val="none"/>
          <w:lang w:val="en-US" w:eastAsia="zh-CN"/>
        </w:rPr>
        <w:t xml:space="preserve">无锡市人民医院      乙方（盖章）：</w:t>
      </w:r>
      <w:r/>
    </w:p>
    <w:p>
      <w:pPr>
        <w:jc w:val="both"/>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代表人签字：</w:t>
      </w:r>
      <w:r>
        <w:rPr>
          <w:rFonts w:hint="eastAsia" w:ascii="宋体" w:hAnsi="宋体" w:eastAsia="宋体" w:cs="宋体"/>
          <w:color w:val="auto"/>
          <w:sz w:val="24"/>
          <w:szCs w:val="24"/>
          <w:highlight w:val="none"/>
          <w:lang w:val="en-US" w:eastAsia="zh-CN"/>
        </w:rPr>
        <w:t xml:space="preserve">                     代表人签字：</w:t>
      </w:r>
      <w:r/>
    </w:p>
    <w:p>
      <w:pPr>
        <w:jc w:val="both"/>
        <w:keepLines w:val="0"/>
        <w:keepNext w:val="0"/>
        <w:pageBreakBefore w:val="0"/>
        <w:spacing w:line="540" w:lineRule="exact"/>
        <w:widowControl w:val="off"/>
        <w:rPr>
          <w:rFonts w:hint="eastAsia" w:ascii="宋体" w:hAnsi="宋体" w:eastAsia="宋体" w:cs="宋体"/>
          <w:color w:val="auto"/>
          <w:sz w:val="24"/>
          <w:szCs w:val="24"/>
          <w:highlight w:val="none"/>
        </w:rPr>
        <w:sectPr>
          <w:footerReference w:type="default" r:id="rId14"/>
          <w:footnotePr/>
          <w:endnotePr/>
          <w:type w:val="nextPage"/>
          <w:pgSz w:w="11906" w:h="16838" w:orient="portrait"/>
          <w:pgMar w:top="1814" w:right="1531" w:bottom="1814" w:left="1531" w:header="851" w:footer="992" w:gutter="0"/>
          <w:pgNumType w:start="1"/>
          <w:cols w:num="1" w:sep="0" w:space="425" w:equalWidth="1"/>
          <w:docGrid w:linePitch="360"/>
        </w:sectPr>
      </w:pPr>
      <w:r>
        <w:rPr>
          <w:rFonts w:hint="eastAsia" w:ascii="宋体" w:hAnsi="宋体" w:eastAsia="宋体" w:cs="宋体"/>
          <w:color w:val="auto"/>
          <w:sz w:val="24"/>
          <w:szCs w:val="24"/>
          <w:highlight w:val="none"/>
        </w:rPr>
        <w:t xml:space="preserve">签订日期：___年___月___日</w:t>
      </w:r>
      <w:r>
        <w:rPr>
          <w:rFonts w:hint="eastAsia" w:ascii="宋体" w:hAnsi="宋体" w:eastAsia="宋体" w:cs="宋体"/>
          <w:color w:val="auto"/>
          <w:sz w:val="24"/>
          <w:szCs w:val="24"/>
          <w:highlight w:val="none"/>
          <w:lang w:val="en-US" w:eastAsia="zh-CN"/>
        </w:rPr>
        <w:t xml:space="preserve">      签订日期：</w:t>
      </w:r>
      <w:r>
        <w:rPr>
          <w:rFonts w:hint="eastAsia" w:ascii="宋体" w:hAnsi="宋体" w:eastAsia="宋体" w:cs="宋体"/>
          <w:color w:val="auto"/>
          <w:sz w:val="24"/>
          <w:szCs w:val="24"/>
          <w:highlight w:val="none"/>
        </w:rPr>
        <w:t xml:space="preserve">___年___月___日</w:t>
      </w:r>
      <w:r>
        <w:rPr>
          <w:rFonts w:hint="eastAsia" w:ascii="宋体" w:hAnsi="宋体" w:eastAsia="宋体" w:cs="宋体"/>
          <w:color w:val="auto"/>
          <w:sz w:val="24"/>
          <w:szCs w:val="24"/>
          <w:highlight w:val="none"/>
          <w:lang w:val="en-US" w:eastAsia="zh-CN"/>
        </w:rPr>
        <w:t xml:space="preserve"> </w:t>
      </w:r>
      <w:r/>
    </w:p>
    <w:p>
      <w:pPr>
        <w:jc w:val="center"/>
        <w:spacing w:line="360" w:lineRule="auto"/>
        <w:rPr>
          <w:rFonts w:hAnsi="宋体"/>
          <w:color w:val="auto"/>
          <w:sz w:val="36"/>
          <w:szCs w:val="36"/>
          <w:highlight w:val="none"/>
        </w:rPr>
      </w:pPr>
      <w:r>
        <w:rPr>
          <w:rFonts w:hint="eastAsia" w:ascii="黑体" w:eastAsia="黑体"/>
          <w:bCs/>
          <w:color w:val="auto"/>
          <w:sz w:val="36"/>
          <w:szCs w:val="36"/>
          <w:highlight w:val="none"/>
        </w:rPr>
        <w:t xml:space="preserve">第</w:t>
      </w:r>
      <w:bookmarkEnd w:id="143"/>
      <w:r>
        <w:rPr>
          <w:rFonts w:hint="eastAsia" w:ascii="黑体" w:eastAsia="黑体"/>
          <w:bCs/>
          <w:color w:val="auto"/>
          <w:sz w:val="36"/>
          <w:szCs w:val="36"/>
          <w:highlight w:val="none"/>
        </w:rPr>
        <w:t xml:space="preserve">四章 采购需求</w:t>
      </w:r>
      <w:bookmarkEnd w:id="144"/>
      <w:r/>
      <w:bookmarkEnd w:id="145"/>
      <w:r/>
      <w:bookmarkEnd w:id="146"/>
      <w:r/>
      <w:r/>
    </w:p>
    <w:p>
      <w:pPr>
        <w:ind w:firstLine="480"/>
        <w:jc w:val="left"/>
        <w:spacing w:line="360" w:lineRule="auto"/>
        <w:rPr>
          <w:rFonts w:hint="eastAsia" w:ascii="宋体" w:hAnsi="宋体" w:eastAsia="宋体" w:cs="宋体"/>
          <w:color w:val="auto"/>
          <w:sz w:val="24"/>
          <w:szCs w:val="24"/>
          <w:highlight w:val="none"/>
        </w:rPr>
      </w:pPr>
      <w:r/>
      <w:bookmarkStart w:id="147" w:name="_Toc49090575"/>
      <w:r/>
      <w:bookmarkStart w:id="148" w:name="_Toc120614281"/>
      <w:r/>
      <w:bookmarkStart w:id="149" w:name="_Toc26554093"/>
      <w:r>
        <w:rPr>
          <w:rFonts w:hint="eastAsia" w:ascii="宋体" w:hAnsi="宋体" w:eastAsia="宋体" w:cs="宋体"/>
          <w:color w:val="auto"/>
          <w:sz w:val="24"/>
          <w:szCs w:val="24"/>
          <w:highlight w:val="none"/>
        </w:rPr>
        <w:t xml:space="preserve">本项目属性：货物类项目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投标人所投内容必须满足以下要求，不得有负偏离。</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本项目标的物所属行业：工业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制造业）</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本项目核心产品为智能发鞋机、智能发衣机</w:t>
      </w:r>
      <w:r/>
    </w:p>
    <w:p>
      <w:pPr>
        <w:numPr>
          <w:ilvl w:val="1"/>
          <w:numId w:val="0"/>
        </w:numPr>
        <w:ind w:firstLine="480"/>
        <w:spacing w:line="360" w:lineRule="auto"/>
        <w:tabs>
          <w:tab w:val="left" w:pos="525" w:leader="none"/>
          <w:tab w:val="left" w:pos="945" w:leader="none"/>
        </w:tabs>
        <w:rPr>
          <w:rFonts w:hint="default" w:ascii="宋体" w:hAnsi="宋体" w:eastAsia="宋体" w:cs="宋体"/>
          <w:bCs/>
          <w:color w:val="auto"/>
          <w:sz w:val="24"/>
          <w:szCs w:val="24"/>
          <w:highlight w:val="none"/>
          <w:lang w:val="en-US" w:eastAsia="zh-CN"/>
        </w:rPr>
      </w:pPr>
      <w:r>
        <w:rPr>
          <w:rFonts w:hint="eastAsia" w:ascii="宋体"/>
          <w:bCs/>
          <w:color w:val="auto"/>
          <w:sz w:val="24"/>
          <w:szCs w:val="24"/>
          <w:highlight w:val="none"/>
        </w:rPr>
        <w:t xml:space="preserve">本项目不接受进口产品参与投标。</w:t>
      </w:r>
      <w:r>
        <w:rPr>
          <w:rFonts w:hint="eastAsia" w:ascii="宋体" w:hAnsi="宋体"/>
          <w:bCs/>
          <w:color w:val="auto"/>
          <w:sz w:val="24"/>
          <w:szCs w:val="24"/>
          <w:highlight w:val="none"/>
        </w:rPr>
        <w:t xml:space="preserve">注：进口产品是指通过中国海关报关验放进入中国境内且产自关境外的产品。</w:t>
      </w:r>
      <w:r/>
    </w:p>
    <w:p>
      <w:pPr>
        <w:numPr>
          <w:ilvl w:val="0"/>
          <w:numId w:val="1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 技术需求：项目配置、技术参数等</w:t>
      </w:r>
      <w:r/>
    </w:p>
    <w:p>
      <w:pPr>
        <w:pStyle w:val="816"/>
        <w:numPr>
          <w:ilvl w:val="0"/>
          <w:numId w:val="0"/>
        </w:numPr>
        <w:ind w:left="0" w:firstLine="480"/>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一、项目背景</w:t>
      </w:r>
      <w:r/>
    </w:p>
    <w:p>
      <w:pPr>
        <w:ind w:left="0" w:firstLine="480"/>
        <w:keepLines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医院信息化经过多年建设，对各项业务支撑已逐步覆盖，但过去的建设着重于各个单独的业务系统，随着公</w:t>
      </w:r>
      <w:r>
        <w:rPr>
          <w:rFonts w:hint="eastAsia" w:ascii="宋体" w:hAnsi="宋体" w:eastAsia="宋体" w:cs="宋体"/>
          <w:bCs/>
          <w:color w:val="auto"/>
          <w:sz w:val="24"/>
          <w:szCs w:val="24"/>
          <w:highlight w:val="none"/>
        </w:rPr>
        <w:t xml:space="preserve">立医院高质量发展要求的提出，智慧服务、智慧管理、电子病历评级、互联互通、三级医院评审等方面，对打破医院内部信息孤岛、数据互联互通、数据质量提升和全流程管控均提出了相关要求，同时随着大数据、5G、物联网、人工智能等新兴技术的普及，医院患者在看病过程中的流程优化和满意度提升也提出新挑战，项目建设将紧密围绕高质量发展目标，落实各项评审要求，显著推进医院“流程化、规范化、精准化、智能化、数字化、一体化”的进展，最终着力于医院管理提升、价值提升，实现智能互联、高效协同、智慧管理、智慧决策，提升患者和医务人员的满意度。</w:t>
      </w:r>
      <w:r/>
    </w:p>
    <w:p>
      <w:pPr>
        <w:pStyle w:val="816"/>
        <w:numPr>
          <w:ilvl w:val="0"/>
          <w:numId w:val="0"/>
        </w:numPr>
        <w:ind w:left="0" w:firstLine="480"/>
        <w:keepLines w:val="0"/>
        <w:pageBreakBefore w:val="0"/>
        <w:spacing w:line="360" w:lineRule="auto"/>
        <w:widowControl w:val="off"/>
        <w:tabs>
          <w:tab w:val="clear"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二、建设目标</w:t>
      </w:r>
      <w:r/>
    </w:p>
    <w:p>
      <w:pPr>
        <w:ind w:left="0" w:firstLine="480"/>
        <w:keepLines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根据《国务院办公厅关于推动公立医院高质量发展的意见》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国办发〔2021〕18号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、《关于开展公立医院高质量发展省级试点工作的通知》（苏医改办发〔2022〕11号）、《市政府办公室关于印发无锡市卫生健康医疗科技能力提升三年行动实施方案2023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2025年)的通知》（锡政办发〔2023〕17号）等文件要求，无锡市人民医院作为公立医</w:t>
      </w:r>
      <w:r>
        <w:rPr>
          <w:rFonts w:hint="eastAsia" w:ascii="宋体" w:hAnsi="宋体" w:eastAsia="宋体" w:cs="宋体"/>
          <w:bCs/>
          <w:color w:val="auto"/>
          <w:sz w:val="24"/>
          <w:szCs w:val="24"/>
          <w:highlight w:val="none"/>
        </w:rPr>
        <w:t xml:space="preserve">院高质量发展省级试点单位，积极落实文件相关要求，结合自身发展现状，拟建设医院信息化建设2024项目，项目内容涵盖护理文件书写信息系统、输血全过程管理信息系统、手术全流程管理系统、智慧护理系统、新增病理常规及细胞学综合报告工作站、药房管理、处方管理、药库管理等系统更换升级、智慧病房系统、急诊信息化智慧医疗服务系统、移动就医、医保DRG结算清单系统、智慧管理一期（质控管理）、云端资源服务采购多个板块。为后续医院电子病历6级评审、互联互通评级、智慧医院评级等提供信息化支持，助力医院2025年冲刺全国公立医院百强。</w:t>
      </w:r>
      <w:r/>
    </w:p>
    <w:p>
      <w:pPr>
        <w:ind w:left="0" w:firstLine="480"/>
        <w:keepLines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因业务数据交互模式及医用安全标准专门选型配置，与业务系统深度耦合，是软件功能实现的</w:t>
      </w:r>
      <w:r>
        <w:rPr>
          <w:rFonts w:hint="eastAsia" w:ascii="宋体" w:hAnsi="宋体" w:eastAsia="宋体" w:cs="宋体"/>
          <w:bCs/>
          <w:color w:val="auto"/>
          <w:sz w:val="24"/>
          <w:szCs w:val="24"/>
          <w:highlight w:val="none"/>
        </w:rPr>
        <w:t xml:space="preserve">物理载体与数据交互节点，不同厂商的硬件与应用系统之间存在兼容性壁垒，本次项目需要统一交互节点、协调部署包含：交换机、智慧病房交互大屏、急诊质控大屏、信息显示屏、医护主机、床头分机、门口分机、卫生间分机、走廊显示屏、多参数生命体征采集设备、串口数据采集器、全自动台式血压计、5GPDA、桌面式指纹人脸一体机、准入控制套件、桌面式读写器、RFID标签、智能发鞋机、智能收鞋机、智能发衣机、智能收衣机、智能更鞋柜控制主柜、智能更鞋柜、智能更衣柜控制主柜、智能更衣柜等关键设备，进行系统集成，确保业务系统的安全稳定运行。</w:t>
      </w:r>
      <w:r/>
    </w:p>
    <w:p>
      <w:pPr>
        <w:pStyle w:val="816"/>
        <w:numPr>
          <w:ilvl w:val="0"/>
          <w:numId w:val="0"/>
        </w:numPr>
        <w:ind w:left="0" w:firstLine="480"/>
        <w:keepLines w:val="0"/>
        <w:pageBreakBefore w:val="0"/>
        <w:spacing w:line="360" w:lineRule="auto"/>
        <w:widowControl w:val="off"/>
        <w:tabs>
          <w:tab w:val="clear"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三、建设清单</w:t>
      </w:r>
      <w:r/>
    </w:p>
    <w:tbl>
      <w:tblPr>
        <w:tblStyle w:val="822"/>
        <w:tblW w:w="865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22"/>
        <w:gridCol w:w="2380"/>
        <w:gridCol w:w="1660"/>
        <w:gridCol w:w="960"/>
        <w:gridCol w:w="960"/>
        <w:gridCol w:w="1970"/>
      </w:tblGrid>
      <w:tr>
        <w:trPr>
          <w:jc w:val="center"/>
          <w:trHeight w:val="615"/>
        </w:trPr>
        <w:tc>
          <w:tcPr>
            <w:tcBorders>
              <w:top w:val="single" w:color="000000" w:sz="8" w:space="0"/>
              <w:left w:val="single" w:color="000000" w:sz="8" w:space="0"/>
              <w:bottom w:val="single" w:color="000000" w:sz="8" w:space="0"/>
              <w:right w:val="single" w:color="000000" w:sz="8" w:space="0"/>
            </w:tcBorders>
            <w:tcW w:w="72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000000" w:sz="8" w:space="0"/>
              <w:left w:val="single" w:color="000000" w:sz="8" w:space="0"/>
              <w:bottom w:val="single" w:color="000000" w:sz="8" w:space="0"/>
              <w:right w:val="single" w:color="000000" w:sz="8" w:space="0"/>
            </w:tcBorders>
            <w:tcW w:w="238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分项名称</w:t>
            </w:r>
            <w:r/>
          </w:p>
        </w:tc>
        <w:tc>
          <w:tcPr>
            <w:tcBorders>
              <w:top w:val="single" w:color="000000" w:sz="8"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性能指标</w:t>
            </w:r>
            <w:r/>
          </w:p>
        </w:tc>
        <w:tc>
          <w:tcPr>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tcBorders>
              <w:top w:val="single" w:color="000000" w:sz="8"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所属行业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交换机</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智慧病房交互大屏</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急诊质控大屏</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信息显示屏</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医护主机</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床头分机</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门口分机</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卫生间分机</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走廊显示屏</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多参数生命体征采集设备</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串口数据采集器</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全自动台式血压计</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5GPDA</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桌面式指纹人脸一体机</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准入控制套件</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桌面式读写器</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RFID标签</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智能发鞋机</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智能收鞋机</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智能发衣机</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智能收衣机</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智能更鞋柜控制主柜</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智能更鞋柜</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520</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智能更衣柜控制主柜</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72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Borders>
              <w:top w:val="none" w:color="000000" w:sz="4" w:space="0"/>
              <w:left w:val="single" w:color="000000" w:sz="8" w:space="0"/>
              <w:bottom w:val="single" w:color="000000" w:sz="8" w:space="0"/>
              <w:right w:val="single" w:color="000000" w:sz="8" w:space="0"/>
            </w:tcBorders>
            <w:tcW w:w="23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智能更衣柜</w:t>
            </w:r>
            <w:r/>
          </w:p>
        </w:tc>
        <w:tc>
          <w:tcPr>
            <w:tcBorders>
              <w:top w:val="none" w:color="000000" w:sz="4" w:space="0"/>
              <w:left w:val="single" w:color="000000" w:sz="8" w:space="0"/>
              <w:bottom w:val="single" w:color="000000" w:sz="8" w:space="0"/>
              <w:right w:val="single" w:color="000000" w:sz="8" w:space="0"/>
            </w:tcBorders>
            <w:tcW w:w="16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528</w:t>
            </w:r>
            <w:r/>
          </w:p>
        </w:tc>
        <w:tc>
          <w:tcPr>
            <w:tcBorders>
              <w:top w:val="none" w:color="000000" w:sz="4" w:space="0"/>
              <w:left w:val="single" w:color="000000" w:sz="8" w:space="0"/>
              <w:bottom w:val="single" w:color="000000" w:sz="8" w:space="0"/>
              <w:right w:val="single" w:color="000000" w:sz="8" w:space="0"/>
            </w:tcBorders>
            <w:tcW w:w="19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工业（制造业）</w:t>
            </w:r>
            <w:r/>
          </w:p>
        </w:tc>
      </w:tr>
    </w:tbl>
    <w:p>
      <w:pPr>
        <w:rPr>
          <w:color w:val="auto"/>
          <w:highlight w:val="none"/>
        </w:rPr>
      </w:pPr>
      <w:r>
        <w:rPr>
          <w:color w:val="auto"/>
          <w:highlight w:val="none"/>
        </w:rPr>
      </w:r>
      <w:r/>
    </w:p>
    <w:p>
      <w:pPr>
        <w:pStyle w:val="816"/>
        <w:numPr>
          <w:ilvl w:val="0"/>
          <w:numId w:val="0"/>
        </w:numPr>
        <w:ind w:left="0" w:firstLine="480"/>
        <w:pageBreakBefore w:val="0"/>
        <w:spacing w:line="360" w:lineRule="auto"/>
        <w:widowControl w:val="off"/>
        <w:tabs>
          <w:tab w:val="clear"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四、技术要求</w:t>
      </w:r>
      <w:r/>
    </w:p>
    <w:p>
      <w:pPr>
        <w:pStyle w:val="963"/>
        <w:numPr>
          <w:ilvl w:val="0"/>
          <w:numId w:val="11"/>
        </w:numPr>
        <w:ind w:left="0" w:firstLine="482"/>
        <w:keepLines/>
        <w:keepNext/>
        <w:pageBreakBefore w:val="0"/>
        <w:spacing w:line="360" w:lineRule="auto"/>
        <w:widowControl w:val="off"/>
        <w:rPr>
          <w:rFonts w:hint="eastAsia" w:ascii="宋体" w:hAnsi="宋体" w:eastAsia="宋体" w:cs="宋体"/>
          <w:iCs/>
          <w:vanish/>
          <w:color w:val="auto"/>
          <w:sz w:val="24"/>
          <w:szCs w:val="24"/>
          <w:highlight w:val="none"/>
        </w:rPr>
        <w:outlineLvl w:val="5"/>
      </w:pPr>
      <w:r>
        <w:rPr>
          <w:rFonts w:hint="eastAsia" w:ascii="宋体" w:hAnsi="宋体" w:eastAsia="宋体" w:cs="宋体"/>
          <w:iCs/>
          <w:vanish/>
          <w:color w:val="auto"/>
          <w:sz w:val="24"/>
          <w:szCs w:val="24"/>
          <w:highlight w:val="none"/>
        </w:rPr>
      </w:r>
      <w:r/>
    </w:p>
    <w:p>
      <w:pPr>
        <w:pStyle w:val="963"/>
        <w:numPr>
          <w:ilvl w:val="0"/>
          <w:numId w:val="11"/>
        </w:numPr>
        <w:ind w:left="0" w:firstLine="482"/>
        <w:keepLines/>
        <w:keepNext/>
        <w:pageBreakBefore w:val="0"/>
        <w:spacing w:line="360" w:lineRule="auto"/>
        <w:widowControl w:val="off"/>
        <w:rPr>
          <w:rFonts w:hint="eastAsia" w:ascii="宋体" w:hAnsi="宋体" w:eastAsia="宋体" w:cs="宋体"/>
          <w:iCs/>
          <w:vanish/>
          <w:color w:val="auto"/>
          <w:sz w:val="24"/>
          <w:szCs w:val="24"/>
          <w:highlight w:val="none"/>
        </w:rPr>
        <w:outlineLvl w:val="5"/>
      </w:pPr>
      <w:r>
        <w:rPr>
          <w:rFonts w:hint="eastAsia" w:ascii="宋体" w:hAnsi="宋体" w:eastAsia="宋体" w:cs="宋体"/>
          <w:iCs/>
          <w:vanish/>
          <w:color w:val="auto"/>
          <w:sz w:val="24"/>
          <w:szCs w:val="24"/>
          <w:highlight w:val="none"/>
        </w:rPr>
      </w:r>
      <w:r/>
    </w:p>
    <w:p>
      <w:pPr>
        <w:pStyle w:val="963"/>
        <w:numPr>
          <w:ilvl w:val="0"/>
          <w:numId w:val="11"/>
        </w:numPr>
        <w:ind w:left="0" w:firstLine="482"/>
        <w:keepLines/>
        <w:keepNext/>
        <w:pageBreakBefore w:val="0"/>
        <w:spacing w:line="360" w:lineRule="auto"/>
        <w:widowControl w:val="off"/>
        <w:rPr>
          <w:rFonts w:hint="eastAsia" w:ascii="宋体" w:hAnsi="宋体" w:eastAsia="宋体" w:cs="宋体"/>
          <w:iCs/>
          <w:vanish/>
          <w:color w:val="auto"/>
          <w:sz w:val="24"/>
          <w:szCs w:val="24"/>
          <w:highlight w:val="none"/>
        </w:rPr>
        <w:outlineLvl w:val="5"/>
      </w:pPr>
      <w:r>
        <w:rPr>
          <w:rFonts w:hint="eastAsia" w:ascii="宋体" w:hAnsi="宋体" w:eastAsia="宋体" w:cs="宋体"/>
          <w:iCs/>
          <w:vanish/>
          <w:color w:val="auto"/>
          <w:sz w:val="24"/>
          <w:szCs w:val="24"/>
          <w:highlight w:val="none"/>
        </w:rPr>
      </w:r>
      <w:r/>
    </w:p>
    <w:p>
      <w:pPr>
        <w:pStyle w:val="817"/>
        <w:ind w:left="0" w:firstLine="482"/>
        <w:pageBreakBefore w:val="0"/>
        <w:spacing w:before="0"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设备兼容性与系统集成相关要求</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医护更鞋、更衣区设备</w:t>
      </w:r>
      <w:r>
        <w:rPr>
          <w:rFonts w:hint="eastAsia" w:ascii="宋体" w:hAnsi="宋体" w:eastAsia="宋体" w:cs="宋体"/>
          <w:bCs/>
          <w:color w:val="auto"/>
          <w:sz w:val="24"/>
          <w:szCs w:val="24"/>
          <w:highlight w:val="none"/>
        </w:rPr>
        <w:t xml:space="preserve">须与院内相关业务系统对接，具备对接护士站管理系统的统计查询、远程控制等功能。</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1、支持统计查询功能对接</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支持对接自动记录医护人员在进出大门，洗手衣鞋的领用、归还等重要的节点相关信息，需支持手术室管理人员随时统计并查询一个完整流程中各个环节、各个控制点的信息数据，如洗手衣、拖鞋使用数据、污衣回收数据等。</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2）支持对接衣物发放量统计：系统需支持根据时间统计各区域的发放量及占比或统计各型号的衣物发放量及占比。</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3）支持对接衣物违规占用信息统计：系统需支持对衣物的领用归还信息统计，如各科室违规占用衣物的人员数量及各科室的违规次数占比，对衣物的领用信息统计各区域各时间段的人员数量。</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2、支持远程控制功能对接</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1）支持对接远程控制所有接入系统的发鞋机、发衣机，对洗手衣、鞋的发放进行管理，低于一定数量进行报警。</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2）支持对接远程控制所有接入系统的回收机，领取洗手衣鞋的人员离开手术室时需进行衣、鞋的归还、系统自动解除人员名下领取的衣、鞋。</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3）支持对接远程控制所有接入系统的衣、鞋柜，医护人员在衣、鞋柜的刷卡区域刷卡、人脸、指纹，系统自动根据使用者的身份权限就近开启自动换鞋柜的柜门或进行相应的提示，并自动记录柜门开启时间。</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4）支持对接软件远程控制衣柜、鞋柜的远程开关，在设备损坏的情况下，通过软件可以将坏的柜子锁掉，不让其他人员误用。</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支持对接实时查看衣鞋发放设备的发放量及剩余存储量等信息，也可以查询到鞋柜使用情况，如：多少空闲鞋柜、有多少鞋柜被占用及等待维修等信息，同时可以检测回收设备当前回收了多少数量的衣、鞋等数据，所有产生的信息都将保存在数据库中。</w:t>
      </w:r>
      <w:r/>
    </w:p>
    <w:p>
      <w:pPr>
        <w:pStyle w:val="817"/>
        <w:ind w:left="0" w:firstLine="482"/>
        <w:pageBreakBefore w:val="0"/>
        <w:spacing w:before="0"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）医护更鞋、更衣区设备功能</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1、智能更鞋柜控制</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医护人员在换鞋柜的权限区域刷IC卡、指纹、人脸系统自动根据身份权限分配鞋柜并进行相应的提示，系统自动记录柜门开启时间。</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2、智能发鞋机控制</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1）智能发鞋机是在计算机软件工作下的智能化发放设备，系统基于IP 网络的中央自动化控制构架，医护人员在任何一台智能发鞋机的权限区域刷IC卡、人脸、指纹系统会自动与控制服务器比对识别人员身份，并做出发鞋提示。</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系统需具有群组管理能力，手术室内所有的智能发鞋机都在一个平台上进行控制及管理，具有鞋子数量告警功能，当智能发鞋机中某种型号的鞋子低于设定的数量，系统会自动进行提示，提醒工作人员及时补充鞋，保证各种型号手术鞋的充足发放。</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3）系统具备在断网状态下工作的能力，脱机完成发放并记录，检测项目至少包含离线加鞋、离线发鞋等。</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3、智能发衣机控制</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1）在更衣室内，通过在智能发衣机权限区域刷卡、人脸、指纹根据预先维护的信息按尺码领取含 RFID 芯片的洗手衣，系统自动进行衣物与领物人信息的关联登记。</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中文操作界面并支持中文语音提示，手术室内所有的智能发衣机在一个平台上进行控制及管理，医护人员可在任何一台智能发衣机权限区域刷卡、指纹、人脸识别领取自动发放的匹配人员身材的洗手衣，设备具有衣物数量告警功能。</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3）智能发衣机是在计算机软件工作下的智能化发放设备。系统基于IP 网络的中央自动化控制</w:t>
      </w:r>
      <w:r>
        <w:rPr>
          <w:rFonts w:hint="eastAsia" w:ascii="宋体" w:hAnsi="宋体" w:eastAsia="宋体" w:cs="宋体"/>
          <w:bCs/>
          <w:color w:val="auto"/>
          <w:sz w:val="24"/>
          <w:szCs w:val="24"/>
          <w:highlight w:val="none"/>
          <w:lang w:eastAsia="zh-CN"/>
        </w:rPr>
        <w:t xml:space="preserve">架构</w:t>
      </w:r>
      <w:r>
        <w:rPr>
          <w:rFonts w:hint="eastAsia" w:ascii="宋体" w:hAnsi="宋体" w:eastAsia="宋体" w:cs="宋体"/>
          <w:bCs/>
          <w:color w:val="auto"/>
          <w:sz w:val="24"/>
          <w:szCs w:val="24"/>
          <w:highlight w:val="none"/>
        </w:rPr>
        <w:t xml:space="preserve">，医护人员在任何一台智能发衣机的权限区域刷IC卡或人脸或指纹系统会自动与控制服务器比对识别人员身份，并做出发衣提示。</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4、智能收衣鞋机控制</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结合智能收衣鞋机，通过手术室行为管理系统，在医护人员领手术鞋开始，就把手术衣鞋与医护人员进行信息绑定，医护人员在出手术室之前，需将其名下所领的手术衣鞋投入收衣鞋机，智能收衣鞋机会通过红外物品检测装置启动 RFID 检测装置对手术衣鞋进行识别并自动回收，并自动解除医护人员名下所领手术衣鞋，以便具有权限开启手术室大门或下次领衣鞋权限。</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2）每次回收都有记录，当回收数量到达警戒值时发出溢满提示。</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3）系统具备在断网状态下工作的能力，脱机完成衣鞋回收并记录。</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5、智能更衣柜控制</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1）在任意智能更衣柜主柜上的权限区域刷卡、指纹、人脸识别可提示自己更衣柜的号码。</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2）需支持更衣柜分配给手术室固定人员使用，设置为固定柜和流动柜、规培柜等，支持横向开柜同时支持根据身高信息分配柜子。</w:t>
      </w:r>
      <w:r/>
    </w:p>
    <w:p>
      <w:pPr>
        <w:ind w:left="0"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3）需支持应急开锁等方式，打开并使用柜子。并同时具备断网离线模式下，正常使用设备的功能。</w:t>
      </w:r>
      <w:r/>
    </w:p>
    <w:p>
      <w:pPr>
        <w:pStyle w:val="817"/>
        <w:ind w:left="0" w:firstLine="482"/>
        <w:pageBreakBefore w:val="0"/>
        <w:spacing w:before="0" w:after="0"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项目设备技术性能指标要求</w:t>
      </w:r>
      <w:r/>
    </w:p>
    <w:tbl>
      <w:tblPr>
        <w:tblStyle w:val="8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1819"/>
        <w:gridCol w:w="5870"/>
        <w:gridCol w:w="670"/>
        <w:gridCol w:w="765"/>
      </w:tblGrid>
      <w:tr>
        <w:trPr>
          <w:jc w:val="center"/>
          <w:trHeight w:val="280"/>
        </w:trPr>
        <w:tc>
          <w:tcPr>
            <w:tcW w:w="585"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537"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分项名称</w:t>
            </w:r>
            <w:r/>
          </w:p>
        </w:tc>
        <w:tc>
          <w:tcPr>
            <w:tcW w:w="4961"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性能指标</w:t>
            </w:r>
            <w:r/>
          </w:p>
        </w:tc>
        <w:tc>
          <w:tcPr>
            <w:tcW w:w="567"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W w:w="646"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交换机（POE，48口，含交换机模块）</w:t>
            </w:r>
            <w:r/>
          </w:p>
        </w:tc>
        <w:tc>
          <w:tcPr>
            <w:tcW w:w="496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1）交换容量：432Gbps/4.32Tbps</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2）包转发率：144Mpps/166Mpps</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3）业务端口描述：48个10/100/1000Base-T自适应以太网端口，4个万兆SFP+口</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4）重量≤6kg</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5）整机功耗：AC MIN:37W MAX:478W；DC MIN:29W MAX:825W</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6）链路聚合：支持GE端口聚合；支持10GE端口聚合；支持静态聚合；支持动态聚合；支持跨设备聚合；</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7）流量控制：支持802.3x流控及半双工背压流控</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8）MAC地址表：支持黑洞MAC地址；支持设置端口MAC地址学习个数</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9）VLAN：支持基于端口的VLAN；支持QinQ、灵活QinQ；支持Voice VLAN；支持协议VLAN；支持MAC VLAN；</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10）单播路由：支持IPv4/IPv6静态路由；支持RIP/RIPng，OSPF v2/v3</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11）二层环网协议：支持STP/RSTP/MSTP协议；支持STP Root Protection；支持BPDU Protection；G.8032以太网环保护协议ERPS，切换时间&lt;50ms；可兼容其他支持该协议的产品；支持RRPP</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符合国家信创要求</w:t>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智慧病房交互大屏（55寸）</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1)CPU：四核A73、GPU：Mail-G52</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RAM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运行内存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：8GB</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ROM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机身存储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：64GB</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屏幕尺寸：≥55英寸</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分辨率：1920×1080</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多点触控：支持20点触控</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急诊质控大屏</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LED液晶屏体，显示尺寸≥55英寸，屏幕使用4K A级硬屏；</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显示比例：16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9，产品分辨率：3840*2160，4K超高清显示，对比度：≥1200:1；</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亮度：≥350cd/㎡，使用寿命≥30000hrs，面板亮度均匀度≥80%；</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屏幕显示灰度分辨率等级达到128灰阶以上，最高可达256；</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整机外壳采用铝型材设计，抗撞抗划抗腐蚀，降低使用过程中的损坏，散热性能良好，且转角处采用弧形无尖锐边缘连接；</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高精度红外触摸框，最高支持二十点触控，触控分辨率32768*32768；</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整机表面采用钢化玻璃，可承受1kg钢球1.5m高度自由下落撞击玻璃表面无损伤破裂，确保使用安全；</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整机具备防强光干扰性能，整机面板表面具备防眩光涂层，在100KLUX的强光照射下，产品各项书写、触控功能正常；</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安卓系统采用新一代机芯，四核CPU（主频1.5GHZ以上），Mali-G51GPU，RAM≥3G，ROM≥32G的硬件配置；</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双网口设计，支持网络桥接功能，可以为下一级设备提供网络，在高保密场合无需外接其他网络设备；</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一键</w:t>
            </w:r>
            <w:r>
              <w:rPr>
                <w:rFonts w:hint="eastAsia" w:ascii="宋体" w:hAnsi="宋体" w:eastAsia="宋体" w:cs="宋体"/>
                <w:color w:val="auto"/>
                <w:sz w:val="24"/>
                <w:szCs w:val="24"/>
                <w:highlight w:val="none"/>
                <w:lang w:eastAsia="zh-CN"/>
              </w:rPr>
              <w:t xml:space="preserve">熄</w:t>
            </w:r>
            <w:r>
              <w:rPr>
                <w:rFonts w:hint="eastAsia" w:ascii="宋体" w:hAnsi="宋体" w:eastAsia="宋体" w:cs="宋体"/>
                <w:color w:val="auto"/>
                <w:sz w:val="24"/>
                <w:szCs w:val="24"/>
                <w:highlight w:val="none"/>
              </w:rPr>
              <w:t xml:space="preserve">屏：产品短时间不使用或休息时可以一键关闭液晶屏背光，有效降低功耗超</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过85%；</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采用安卓8.0及以上版本的触控大屏操作系统，支持多任务分屏协作一屏双显功能；</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触摸响应时间≤10ms，90%以上触摸区域精度为±1mm，触摸有效识别高度≤2mm</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信息显示屏</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1）屏幕尺寸：≥55英寸</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2）分辨率：4K（3840*2160）及以上</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3）内存：2+16G及以上</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4）HDMI接口：2*HDMI2.0USB接口2×USB2.0接口其他接口1×AV输入数字RF接口</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5）背光灯类型：LED发光二极管</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6）网络功能：有线/</w:t>
            </w:r>
            <w:r>
              <w:rPr>
                <w:rFonts w:hint="eastAsia" w:ascii="宋体" w:hAnsi="宋体" w:eastAsia="宋体" w:cs="宋体"/>
                <w:color w:val="auto"/>
                <w:sz w:val="24"/>
                <w:szCs w:val="24"/>
                <w:highlight w:val="none"/>
                <w:lang w:eastAsia="zh-CN"/>
              </w:rPr>
              <w:t xml:space="preserve">Wi-Fi</w:t>
            </w:r>
            <w:r>
              <w:rPr>
                <w:rFonts w:hint="eastAsia" w:ascii="宋体" w:hAnsi="宋体" w:eastAsia="宋体" w:cs="宋体"/>
                <w:color w:val="auto"/>
                <w:sz w:val="24"/>
                <w:szCs w:val="24"/>
                <w:highlight w:val="none"/>
              </w:rPr>
              <w:t xml:space="preserve">（2.4GHz）网络接口1×网络接口</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w:t>
            </w:r>
            <w:r/>
          </w:p>
        </w:tc>
        <w:tc>
          <w:tcPr>
            <w:tcW w:w="1537"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医护主机</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采用安卓7.1及以上版本的操作系统，10.1英寸高清液晶屏，电容式液晶屏，分辨率1920*1080；500万像素摄像头，支持前后翻转，可调角度（相对屏幕-30度～+180度）；</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采用8核CPU，主频可达1.8GHz，搭配2G+16G的内存存储组合，保证运行更流畅；</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支持HDMI</w:t>
            </w:r>
            <w:r>
              <w:rPr>
                <w:rFonts w:hint="eastAsia" w:ascii="宋体" w:hAnsi="宋体" w:eastAsia="宋体" w:cs="宋体"/>
                <w:color w:val="auto"/>
                <w:sz w:val="24"/>
                <w:szCs w:val="24"/>
                <w:highlight w:val="none"/>
                <w:lang w:eastAsia="zh-CN"/>
              </w:rPr>
              <w:t xml:space="preserve">串流</w:t>
            </w:r>
            <w:r>
              <w:rPr>
                <w:rFonts w:hint="eastAsia" w:ascii="宋体" w:hAnsi="宋体" w:eastAsia="宋体" w:cs="宋体"/>
                <w:color w:val="auto"/>
                <w:sz w:val="24"/>
                <w:szCs w:val="24"/>
                <w:highlight w:val="none"/>
              </w:rPr>
              <w:t xml:space="preserve">输入和HDMI双屏扩展；</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磁感应设计，听筒叉簧、home键都采用磁感应设计，可靠性更高；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支持双频</w:t>
            </w:r>
            <w:r>
              <w:rPr>
                <w:rFonts w:hint="eastAsia" w:ascii="宋体" w:hAnsi="宋体" w:eastAsia="宋体" w:cs="宋体"/>
                <w:color w:val="auto"/>
                <w:sz w:val="24"/>
                <w:szCs w:val="24"/>
                <w:highlight w:val="none"/>
                <w:lang w:eastAsia="zh-CN"/>
              </w:rPr>
              <w:t xml:space="preserve">Wi-Fi</w:t>
            </w:r>
            <w:r>
              <w:rPr>
                <w:rFonts w:hint="eastAsia" w:ascii="宋体" w:hAnsi="宋体" w:eastAsia="宋体" w:cs="宋体"/>
                <w:color w:val="auto"/>
                <w:sz w:val="24"/>
                <w:szCs w:val="24"/>
                <w:highlight w:val="none"/>
              </w:rPr>
              <w:t xml:space="preserve">与10M/100M/1000M有线两种网络形式，组网方式灵活；</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支持POE供电、电源适配器单独供电两种供电方式。</w:t>
            </w:r>
            <w:r/>
          </w:p>
          <w:p>
            <w:pPr>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软件功能：呼叫患者、呼叫医护、接收呼叫、多路通话、患者监护、宕机呼叫、呼叫托管、忙音反馈、录音录像、语音播报、未处理提醒、一键清除、呼叫记录、床位信息卡、病区统计、显示模式、患者详情、话筒广播、音频广播、闹钟提醒、护士定位、屏幕亮度调整、终端音量调整、回音消除、自动增益、噪音抑制、网络抖动抑制、硬件看门狗功能、硬件重启、延时上电。</w:t>
            </w:r>
            <w:r/>
          </w:p>
        </w:tc>
        <w:tc>
          <w:tcPr>
            <w:tcW w:w="567"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w:t>
            </w:r>
            <w:r/>
          </w:p>
        </w:tc>
        <w:tc>
          <w:tcPr>
            <w:tcW w:w="646"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床头分机</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采用安卓11.0及以上版本的操作系统，10.1英寸液晶屏，多点式电容触摸屏，分辨率1024*600；</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金属抗菌外壳，集成呼叫状态指示灯；</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采用4核1.8GHz的CPU搭配2G+16G的内存存储组合，保证程序稳定运行；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支持IC卡刷卡模块，支持护理、增援、呼叫物理按键；</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支持连接卫生间分机，在为卫生间分机供电的同时转发呼叫信息；</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支持POE供电、电源适配器单独供电两种供电方式。</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软件功能：患者信息床头卡、宣教文章、接听处理呼叫、播放广播联动、护士定位、呼叫转移、菜单信息、定时息屏、分时音量控制、闹钟计时器</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门口分机</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采用安卓11.0及以上版本的操作系统，15.6英寸竖屏全触摸操作，分辨率1920*1080；</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采用4核1.8GHz的CPU搭配2G+16G的内存存储组合，保证程序稳定运行；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内置刷卡模块，护士刷卡后进入护士进入模式，方便护士日常定位；</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集成7色门灯，可设置对应的呼叫类型，醒目提醒房间内患者呼叫；</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内置NFC模块，护士刷卡后进入护士进入模式，方便护士日常定位；</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以太网支持10/100/1000Mbps自适应；</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支持连接卫生间分机，在为卫生间分机供电的同时转发呼叫信息；</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支持POE供电、电源适配器单独供电两种供电方式；</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软件功能：房间信息展示、患者信息展示、护士进入、宣教文章展示、医护列表、发起呼叫、呼叫响应、门灯颜色配置、护士查房、模式切换。</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卫生间分机</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超大红色显著紧急呼叫按钮及拉绳设计，更便于患者在紧急情</w:t>
            </w:r>
            <w:r>
              <w:rPr>
                <w:rFonts w:hint="eastAsia" w:ascii="宋体" w:hAnsi="宋体" w:eastAsia="宋体" w:cs="宋体"/>
                <w:color w:val="auto"/>
                <w:sz w:val="24"/>
                <w:szCs w:val="24"/>
                <w:highlight w:val="none"/>
                <w:lang w:eastAsia="zh-CN"/>
              </w:rPr>
              <w:t xml:space="preserve">况下</w:t>
            </w:r>
            <w:r>
              <w:rPr>
                <w:rFonts w:hint="eastAsia" w:ascii="宋体" w:hAnsi="宋体" w:eastAsia="宋体" w:cs="宋体"/>
                <w:color w:val="auto"/>
                <w:sz w:val="24"/>
                <w:szCs w:val="24"/>
                <w:highlight w:val="none"/>
              </w:rPr>
              <w:t xml:space="preserve">进行操作；</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呼叫时有明显的声光报警提示，并在病区中有广播提示，便于医护人员快速响应；</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防尘、防水工艺设计，适合卫生间、淋浴间等潮湿环境使用；</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IP68防水等级，最高级别防水，品质可靠。</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走廊显示屏</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双面28.6英寸1920*540及以上高分辨率显示屏幕，方便用户从走廊两侧观看；</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呼叫时显示患者房间号和床位号等信息，支持语音播报；</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无呼叫时可显示温馨提示内容，支持图文、视频等格式素材的信息发布。</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多参数生命体征采集设备</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物理特性：手持设备，便于携带，体积小，抗跌落；</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屏幕尺寸≥5英寸，亮度（typ）350cd/m2，可视角度≥178°；</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屏幕分辨率1280×720及以上，满足高清显示要求；</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电容触摸屏，支持最大10点触摸；</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5）Wi-Fi</w:t>
            </w:r>
            <w:r>
              <w:rPr>
                <w:rFonts w:hint="eastAsia" w:ascii="宋体" w:hAnsi="宋体" w:eastAsia="宋体" w:cs="宋体"/>
                <w:color w:val="auto"/>
                <w:sz w:val="24"/>
                <w:szCs w:val="24"/>
                <w:highlight w:val="none"/>
              </w:rPr>
              <w:t xml:space="preserve">：支持2.4GHz/5GHz频段</w:t>
            </w:r>
            <w:r>
              <w:rPr>
                <w:rFonts w:hint="eastAsia" w:ascii="宋体" w:hAnsi="宋体" w:eastAsia="宋体" w:cs="宋体"/>
                <w:color w:val="auto"/>
                <w:sz w:val="24"/>
                <w:szCs w:val="24"/>
                <w:highlight w:val="none"/>
                <w:lang w:eastAsia="zh-CN"/>
              </w:rPr>
              <w:t xml:space="preserve">Wi-Fi</w:t>
            </w:r>
            <w:r>
              <w:rPr>
                <w:rFonts w:hint="eastAsia" w:ascii="宋体" w:hAnsi="宋体" w:eastAsia="宋体" w:cs="宋体"/>
                <w:color w:val="auto"/>
                <w:sz w:val="24"/>
                <w:szCs w:val="24"/>
                <w:highlight w:val="none"/>
              </w:rPr>
              <w:t xml:space="preserve">，支持如下路由协议标准：IEEE802.11a/b/g/n/ac；</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Android7.0及以上版本的；</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处理器：8核处理器，主频2GHz；</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内存：2GRAM，存储：16GROM；</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内置锂聚合物电池，电池容量2900mAh；</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整机集成光线传感器，可根据环境光强度调节屏幕亮度；</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内置麦克风，可语音拾取；</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内置1W扬声器，可用于播放声音，如播放提示音、报警音、通话等；</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内置前置摄像头，像素500W，可满足人脸识别或视频通话；</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整机支持重力感应功能，可根据设备方向，调整显示方向；</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左右对称按键设计，满足左右手使用；</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条码扫描：内置一维码和二维码的扫描模块，可识别全部码制和所有特殊字符；</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测量参数：主机身内置无创血压、血氧饱和度、脉率、红外体温检测模块；</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血压测量规格：采用上臂式测量压力测量范围：0mmHg(0kPa)～300mmHg(40.0kPa</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；压力精度：±3mmHg(±0.4kPa</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，分辨率：1mmHg(0.1kPa</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rPr>
              <w:t xml:space="preserve">脉搏测量规格：测量范围：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30～250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bpm；精度：脉搏精度：±3bpm；</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血氧测量规格：测量范围：0%～100%。精度：70%～100%：±2%；</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红外体温测量规格：测量范围：表温范围：22.0℃～43.0℃；体温范围：32.0℃～42.9℃；测量精度：35℃～42℃的测量范围内：±0.2℃；35℃～42℃的测量范围外：±0.3℃；</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包含移动台车。</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串口数据采集器</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以太网端口数量：1；</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速率：10/100Mbps，适应MDI/MDIX；</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串口端口数量：1；串口类型：RS-232；</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接头：8针RJ45；</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电磁隔离保护：内建1.5KV；</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接头：DB9针式；</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支持LinuxCOM/TTY串口驱动程序模式，支持有线网络；</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全自动台式血压计</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测量方法：脉搏波智能升压示波法；</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收缩压测量范围：40-260mmHg</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舒张压测量范围：20-210mmHg</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心率范围：40-200bpm</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准确性：±3mmHg</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安全系统：双重安全保护，当检测压力达到或超过290mmHg时，电磁阀自动松开并释放压力。紧急状态下，按下“急停”按钮时压力快速释放</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数据储存：9999组血压和脉率数据</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电源：AC220V±10%，50/60Hz</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打印机：热敏打印；纸张尺寸58mm</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测量臂围：17cm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42cm</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语音播报：指示操作说明及测量结果，语言选项：中，英文。可选择开，关</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外型尺寸：宽：310mm，长：476mm，高：300mm</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电击保护方式：I类</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使用环境：温度+5℃-+40℃，相对湿度</w:t>
            </w:r>
            <w:r>
              <w:rPr>
                <w:rFonts w:hint="eastAsia" w:ascii="宋体" w:hAnsi="宋体" w:eastAsia="宋体" w:cs="宋体"/>
                <w:color w:val="auto"/>
                <w:sz w:val="24"/>
                <w:szCs w:val="24"/>
                <w:highlight w:val="none"/>
                <w:lang w:eastAsia="zh-CN"/>
              </w:rPr>
              <w:t xml:space="preserve">10%—95%</w:t>
            </w:r>
            <w:r>
              <w:rPr>
                <w:rFonts w:hint="eastAsia" w:ascii="宋体" w:hAnsi="宋体" w:eastAsia="宋体" w:cs="宋体"/>
                <w:color w:val="auto"/>
                <w:sz w:val="24"/>
                <w:szCs w:val="24"/>
                <w:highlight w:val="none"/>
              </w:rPr>
              <w:t xml:space="preserve">，大气压力70-106Kpa</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红外感应节能装置</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肘部位置传感器，测量时主动提醒肘部位置是否正确</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臂筒角度调节。可上下，左右调节，自动适应用户身高和角度</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USB-A，USB-B，RS232，以太网，SD卡多种接口存储方式</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rPr>
              <w:t xml:space="preserve">气囊更换方便，袖带寿命到期后无需返厂维修</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静音，测量过程中，噪音不超过45分贝</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5GPDA</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八核处理器，CPU主频≥2.0GHz；RAM≥4GB；ROM≥64GB；</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操作系统：安卓12.0及以上版本；</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显示屏幕≥6.0英寸FHD显示屏，分辨率≥1440×720及以上，电容式触摸，支持戴手套/带水触摸；电源≥5000mAh锂离子充电电池；电池不可拆卸，支持快充QC3.0；</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广域网传输：5G全网通，支持双卡双待；</w:t>
            </w:r>
            <w:r>
              <w:rPr>
                <w:rFonts w:hint="eastAsia" w:ascii="宋体" w:hAnsi="宋体" w:eastAsia="宋体" w:cs="宋体"/>
                <w:color w:val="auto"/>
                <w:sz w:val="24"/>
                <w:szCs w:val="24"/>
                <w:highlight w:val="none"/>
                <w:lang w:eastAsia="zh-CN"/>
              </w:rPr>
              <w:t xml:space="preserve">Wi-Fi</w:t>
            </w:r>
            <w:r>
              <w:rPr>
                <w:rFonts w:hint="eastAsia" w:ascii="宋体" w:hAnsi="宋体" w:eastAsia="宋体" w:cs="宋体"/>
                <w:color w:val="auto"/>
                <w:sz w:val="24"/>
                <w:szCs w:val="24"/>
                <w:highlight w:val="none"/>
              </w:rPr>
              <w:t xml:space="preserve">传输：支持2.4G和5G双频通信，支持IEEE802.11a/b/g/n/ac；蓝牙：采用Bluetooth5.1技术；</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重量≤270g；拍照：后置摄像头≥1600万像素，前摄像头置≥500万像素；</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6）搭载专用扫描引擎；支持NFC模块，方便读取操作；USBTYPEC接口；</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材质：外壳为抑菌材料，可耐受酒精、过氧化氢、丙乙醇、聚维酮碘等化学品擦拭消毒；湿度：5%to95%RH无凝露状态；</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抗震和抗冲击：≥1000次0.5米滚动；静电放电（ESD）：±15kV空气放电，±8V直接放电；</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9）防水防尘工业等级≥IP67；跌落测试：经受多次从1.5米高度坠落；</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产品证书：CCC、ROHS证书，入网许可证。</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桌面式指纹人脸一体机</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1）摄像头：红外+彩色双高清摄像头</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2）用户容量：≥10000人</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3）指纹容量：≥20000枚</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4）记录容量：20万</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5）显示屏：2.8寸及以上液晶显示屏</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6）操作按键：触控式4*4按键</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7）通讯方式：USB、U盘、TCP/IP</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准入控制套件</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1、与手术排班系统关联，通过身份识别方式决定是否有进入手术室的权限，支持人脸指纹识别和刷卡。</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1）显示屏尺寸：5英寸及以上LCD触摸显示屏</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2）屏幕比例：16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9</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3）分辨率：1024*600及以上</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4）卡类型13.56MHz，Mifare、CPU序列号、CPU内容（需插PSAM卡）</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5）刷脸验证时间：1：N人脸比对时间≤0.5S/人</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2、医护入口协同一体机</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1）手术排班提醒（集成手术排班系统，可通过是否有手术安排判断有无进入手术室的权限，同时提醒医护人员其当天手术安排情况，支持语音和画面显示）。</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2）医师资格识别（集成HIS系统，识别医师资格，如住院医师、主治医师、主任医师等，对于高级别医师或指定医师，可分配高级权限）</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桌面式读写器</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支持的协议：ISO14443A、ISO14443B、ISO15693及915B</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RFID标签</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1)865-928MHZ协议ISO-18000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6C</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重量净重：0.70G内存≥96bits</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温度适用范围-40℃--180℃/40分钟耐压范围0-60bar供电方式无源卡</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读取距离0-2000MM</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2000</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智能发鞋机</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1）智能控制主机：采用低功耗无风扇CPU、4G内存+64G硬盘</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2）供电单元：AC220V±10%，500W以上供电模块，防浪涌及雷击功能。</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3）识别模块：人脸、指纹、掌静脉、IC\ID卡、NFC、二维码扫描器</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4）单台设备4个取鞋口，每个取鞋口离地不小于1100mm，无需弯腰取鞋，环形LED灯光及语音提示。</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5）手术鞋存贮数量：108双/台</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功能：支持自动选择大、中、小号手术鞋类型自动发放，在自助取鞋机上刷IC卡或指纹或人脸或二维码权限后对应尺码的手术鞋，并自动关联登记。有良好的人机操作界面，可对于手术鞋按大、中、小号类别进行综合的管理。当各尺码手术鞋存仓数量低于设定值时，在管理系统中要弹出提醒信息框，提醒工作人员及时</w:t>
            </w:r>
            <w:r>
              <w:rPr>
                <w:rFonts w:hint="eastAsia" w:ascii="宋体" w:hAnsi="宋体" w:eastAsia="宋体" w:cs="宋体"/>
                <w:color w:val="auto"/>
                <w:sz w:val="24"/>
                <w:szCs w:val="24"/>
                <w:highlight w:val="none"/>
                <w:lang w:eastAsia="zh-CN"/>
              </w:rPr>
              <w:t xml:space="preserve">添加</w:t>
            </w:r>
            <w:r>
              <w:rPr>
                <w:rFonts w:hint="eastAsia" w:ascii="宋体" w:hAnsi="宋体" w:eastAsia="宋体" w:cs="宋体"/>
                <w:color w:val="auto"/>
                <w:sz w:val="24"/>
                <w:szCs w:val="24"/>
                <w:highlight w:val="none"/>
              </w:rPr>
              <w:t xml:space="preserve">类别及数量。</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智能收鞋机</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1）智能控制主机：采用低功耗无风扇CPU、≥4G内存+64G硬盘</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2）传感单元：回收通道光幕感应功能、自动扫描功能，鞋子数量提示功能</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3）识别模块：人脸、指纹、掌静脉、IC\ID卡、NFC、二维码扫描器</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4）显示模块：15.6寸及以上液晶十指电容触摸屏</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5）外部接口要求：RJ45，RS485，DCOUT，ACOUT</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6）超频天线：支持18000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6C超高频近场协议</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回收口离地800mm8）回收数量100双9）功能：自动回收使用过的手术鞋，回收机自动记录鞋的归还信息，并将信息回传至管理系统。手术鞋自动回收机超量提醒功能：超过设定值时，在管理系统中要弹出提醒信息框，提醒工作人员及时清理对应回收机内的污鞋。</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智能发衣机</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1）智能控制主机：采用低功耗无风扇CPU、4G内存+64G硬盘</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2）供电单元：AC220V±10%，500W以上供电模块，防浪涌及雷击功能。</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3）识别模块：人脸、指纹、掌静脉、IC\ID卡、NFC、二维码扫描器</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4）主界面显示屏：21.5英寸及以上液晶十指电容触摸屏</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5）单台设备4个取衣口，每个取衣口离地1100mm，无需弯腰取衣，环形LED灯光及语音提示，开门后自动推出</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6）衣物存贮：120套/台。</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7）发衣方式：使用翻转货仓和精准推送发衣。</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功能：支持自动选择大、中、小号手术衣类型自动发放手术衣，在自助取衣机上刷IC卡或指纹或人脸或二维码权限后对应尺码的手术衣，并自动关联登记。有良好的人机操作界面，可对于手术衣按大、中、小号类别进行综合的管理。手术衣自助取放机库存提醒功能：当各尺码衣服库存数量低于设定值时，在管理系统中要弹出提醒信息框，提醒工作人员及时添加衣物的类别及数量。</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智能收衣机</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1）智能控制主机：采用低功耗无风扇CPU、4G内存+64G硬盘</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2）传感单元：回收通道光幕感应功能、自动扫描功能，鞋子数量提示功能</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3）识别模块：人脸、指纹、掌静脉、IC\ID卡、NFC、二维码扫描器</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4）显示模块：15.6寸及以上液晶十指电容触摸屏</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5）外部接口要求：RJ45，RS485，DCOUT，ACOUT</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6）超频天线：支持18000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6C超高频近场协议</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7）回收口离地800mm</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8）回收数量80套</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功能：自动回收使用过的洗手衣，回收机自动记录洗手衣的归还信息，并将信息回传至管理系统。洗手衣自动回收机超量提醒功能：超过设定值时，在管理系统中要弹出提醒信息框，提醒工作人员及时清理对应回收机内的污衣。</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智能更鞋柜控制主柜</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智能控制主机：采用低功耗无风扇CPU、4G内存+64G硬盘</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显示模块：15英寸及以上液晶电阻触摸屏</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供电单元：AC220V±10%，500W以上供电模块，防浪涌及雷击功能</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识别模块：标配人脸、指纹、IC卡、二维码模块</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通讯及管理要求：使用医院局域网通过TCP/IP协议实现远程通讯和管理，读取IC卡开柜。</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6）柜体尺寸：（高*宽*深）（1900-2100）*（300-390）*（400-450）mm；具体尺寸如有特殊调动，可根据现场实际情况定制。</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智能更鞋柜</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柜体指标：柜体外观、颜色可定制；选用优质镀锌钢板，柜体钢板厚度不低于0.8mm；表面经去油、去酸、磷化、防锈处理最后静电喷涂。</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箱门指标：箱门采用镀锌钢板制作；钢板厚度要求不低于0.8mm；背面增加加强筋。</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电控锁：360度防撬、防软片插入，寿命≥70万次以上。</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鞋柜内部有臭氧发生装置</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鞋柜内部有红外检测装置。</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单箱内部规格（宽*深）：270-320*（400-450）mm，高度根据实际需要设计，柜子总体高度不高于2000mm。</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7）每套辅柜都需要配置机械锁，以便管理员能够在特殊情况下采取有效的应急措施，及时开锁。</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520</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智能更衣柜控制主柜</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智能控制主机：采用低功耗无风扇CPU、4G内存+64G硬盘</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显示模块：15英寸及以上液晶电阻触摸屏</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供电单元：AC220V±10%，500W以上供电模块，防浪涌及雷击功能</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识别模块：标配人脸、指纹、IC卡、二维码模块</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通讯及管理要求：使用医院局域网通过TCP/IP协议实现远程通讯和管理，读取IC卡开柜。</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6）柜体尺寸：（高*宽*深）（1900-2100）*（300-390）*（400-450）mm；尺寸如有特殊调动，可根据现场实际情况定制。</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智能更衣柜</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1）柜体要求：箱门内部有一到两层；柜体外观、颜色可定制；选用优质镀锌钢板，柜体钢板厚度不低于0.8mm；表面经去油、去酸、磷化、防锈处理最后静电喷涂。</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2）箱门要求：箱门采用镀锌钢板制作；钢板厚度要求不低于0.8mm；背面增加加强筋。</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3）电控锁：360度防撬、防软片插入，寿命70万次以上</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4）衣柜内部有红外检测装置。</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5）更衣柜单箱内部规格（宽*深）：（270-320）*（400-450）mm，高度根据实际需要设计，柜子总体高度不高于2000mm。</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6）衣柜配备层板及挂衣杆、挂衣钩、面容镜等。</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7）每套主辅柜都需要配置机械锁，以便管理员能够在特殊情况下采取有效的应急措施，及时开锁。</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528</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0"/>
        </w:trPr>
        <w:tc>
          <w:tcPr>
            <w:tcW w:w="5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p>
        </w:tc>
        <w:tc>
          <w:tcPr>
            <w:tcW w:w="153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系统集成</w:t>
            </w:r>
            <w:r/>
          </w:p>
        </w:tc>
        <w:tc>
          <w:tcPr>
            <w:tcW w:w="4961"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对信息系统的软件、信息、数据和技术的集成及系统调试、测试等。</w:t>
            </w:r>
            <w:r/>
          </w:p>
        </w:tc>
        <w:tc>
          <w:tcPr>
            <w:tcW w:w="56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4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163"/>
        <w:rPr>
          <w:rFonts w:hint="eastAsia" w:ascii="宋体" w:hAnsi="宋体" w:eastAsia="宋体" w:cs="宋体"/>
          <w:color w:val="auto"/>
          <w:sz w:val="24"/>
          <w:highlight w:val="none"/>
          <w:lang w:eastAsia="zh-CN"/>
        </w:rPr>
      </w:pPr>
      <w:r>
        <w:rPr>
          <w:rFonts w:hint="eastAsia" w:ascii="宋体" w:hAnsi="宋体" w:eastAsia="宋体" w:cs="宋体"/>
          <w:color w:val="auto"/>
          <w:highlight w:val="none"/>
          <w:lang w:eastAsia="zh-CN"/>
        </w:rPr>
        <w:t xml:space="preserve">  </w:t>
      </w:r>
      <w:r/>
    </w:p>
    <w:p>
      <w:pPr>
        <w:numPr>
          <w:ilvl w:val="0"/>
          <w:numId w:val="12"/>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 商务需求</w:t>
      </w:r>
      <w:r/>
    </w:p>
    <w:p>
      <w:pPr>
        <w:pStyle w:val="817"/>
        <w:numPr>
          <w:ilvl w:val="1"/>
          <w:numId w:val="0"/>
        </w:numPr>
        <w:ind w:left="0" w:firstLine="482"/>
        <w:pageBreakBefore w:val="0"/>
        <w:spacing w:before="0" w:after="0"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24"/>
          <w:szCs w:val="22"/>
          <w:highlight w:val="none"/>
          <w:lang w:val="en-US" w:eastAsia="zh-CN" w:bidi="ar-SA"/>
        </w:rPr>
        <w:t xml:space="preserve">（一）</w:t>
      </w:r>
      <w:r>
        <w:rPr>
          <w:rFonts w:hint="eastAsia" w:ascii="宋体" w:hAnsi="宋体" w:eastAsia="宋体" w:cs="宋体"/>
          <w:color w:val="auto"/>
          <w:sz w:val="24"/>
          <w:highlight w:val="none"/>
          <w:lang w:eastAsia="zh-CN"/>
        </w:rPr>
        <w:t xml:space="preserve">服务要求</w:t>
      </w:r>
      <w:r/>
    </w:p>
    <w:p>
      <w:pPr>
        <w:contextualSpacing/>
        <w:ind w:firstLine="48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1）提供全方位、及时而有效的技术支持和服务。</w:t>
      </w:r>
      <w:r/>
    </w:p>
    <w:p>
      <w:pPr>
        <w:contextualSpacing/>
        <w:ind w:firstLine="48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于本项目涉及的硬件设备，所有交付设备自竣工验收合格之日起提供五年免费质保服务，在质保服务期内，免费更换保修需要的所有备件及需要定期更换的耗品，包含所有人工及保养，对于上述硬件设备自带的微系统，中标人应同步提供相应的调试、测试和维保服务。</w:t>
      </w:r>
      <w:r/>
    </w:p>
    <w:p>
      <w:pPr>
        <w:contextualSpacing/>
        <w:ind w:firstLine="48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服务响应要求：中标人应承诺7×24小时电话、远程响应及现场服务响应，0.5小时内做出明确响应安排，4小时内排除故障或采用应急替代方案。在远程支持难以满足服务要求需现场服务的，具有解决故障能力的工程师应在2小时内到达现场。</w:t>
      </w:r>
      <w:r/>
    </w:p>
    <w:p>
      <w:pPr>
        <w:contextualSpacing/>
        <w:ind w:firstLine="48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4）应定期征求采购人的意见，反馈采购人的建议，对客户系统运行提供合理化建议。</w:t>
      </w:r>
      <w:r/>
    </w:p>
    <w:p>
      <w:pPr>
        <w:contextualSpacing/>
        <w:ind w:firstLine="48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5）提供完善的系统使用培训服务，包括对系统管理人员、系统使用人员、系统维护人员等进行必要的使用培训。</w:t>
      </w:r>
      <w:r/>
    </w:p>
    <w:p>
      <w:pPr>
        <w:contextualSpacing/>
        <w:ind w:firstLine="48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6）自系统交付使用后</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须指定专门运维人员，进行系统日常维护并随时响应采购人维护需求，如产品存在缺陷和漏洞的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须对相关问题提供免费技术维护和升级服务。</w:t>
      </w:r>
      <w:r/>
    </w:p>
    <w:p>
      <w:pPr>
        <w:contextualSpacing/>
        <w:ind w:firstLine="48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中标供应商提供1年7*24小时热线服务响应和支持，维保人员到场后，1小时内应排查出原因并拿出维修方案。硬件故障应在到场后4小时内进行备件（如现场有备件）更换。现场无法修复的故障，可将故障设备外带修理，但应提供替代设备，保证系统业务的正常工作。外带设备维修后应承担安装及调试的义务，并在维修后7日内回访一次，确保维保后系统的正常工作。所有软硬件设备均提供免费维修，故障修复后，需由院方或者使用方签字确认。对于影响到医院业务正常运行的各类故障，能提供条件允许的最快现场响应与技术支持。</w:t>
      </w:r>
      <w:r/>
    </w:p>
    <w:p>
      <w:pPr>
        <w:pStyle w:val="817"/>
        <w:numPr>
          <w:ilvl w:val="1"/>
          <w:numId w:val="0"/>
        </w:numPr>
        <w:ind w:left="0" w:firstLine="482"/>
        <w:pageBreakBefore w:val="0"/>
        <w:spacing w:before="0" w:after="0"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24"/>
          <w:szCs w:val="22"/>
          <w:highlight w:val="none"/>
          <w:lang w:val="en-US" w:eastAsia="zh-CN" w:bidi="ar-SA"/>
        </w:rPr>
        <w:t xml:space="preserve">（二）</w:t>
      </w:r>
      <w:r>
        <w:rPr>
          <w:rFonts w:hint="eastAsia" w:ascii="宋体" w:hAnsi="宋体" w:eastAsia="宋体" w:cs="宋体"/>
          <w:color w:val="auto"/>
          <w:sz w:val="24"/>
          <w:highlight w:val="none"/>
          <w:lang w:eastAsia="zh-CN"/>
        </w:rPr>
        <w:t xml:space="preserve">运维服务及应急响应要求</w:t>
      </w:r>
      <w:r/>
    </w:p>
    <w:p>
      <w:pPr>
        <w:contextualSpacing/>
        <w:ind w:firstLine="48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应有良好的服务理念和完整的售后服务体系，能够提供完善的运维服务和应急响应。对于运维服务，投标人应就日常保养工作的处理周期作出说明，提供完整可行的维护保养具体工作方案，包括机械设备润滑保养、设备除尘保养、易损件检查、设备使用频率动态调整实施方案，在预防、预警信息的报告工作方面，投标人应具备合理的分级响应程序，为突发事件提供科学的应急响应预案及有效的处置方案。</w:t>
      </w:r>
      <w:r/>
    </w:p>
    <w:p>
      <w:pPr>
        <w:contextualSpacing/>
        <w:ind w:firstLine="480"/>
        <w:pageBreakBefore w:val="0"/>
        <w:spacing w:line="360" w:lineRule="auto"/>
        <w:widowControl/>
        <w:rPr>
          <w:rFonts w:hint="eastAsia" w:ascii="宋体" w:hAnsi="宋体"/>
          <w:color w:val="auto"/>
          <w:sz w:val="24"/>
          <w:highlight w:val="none"/>
        </w:rPr>
      </w:pPr>
      <w:r>
        <w:rPr>
          <w:rFonts w:hint="eastAsia" w:ascii="宋体" w:hAnsi="宋体" w:eastAsia="宋体" w:cs="宋体"/>
          <w:color w:val="auto"/>
          <w:sz w:val="24"/>
          <w:highlight w:val="none"/>
        </w:rPr>
        <w:t xml:space="preserve">2）投标人应参照项目运维服务及应急响应的时限要求、“医院信息化建设2024项目”绩效要求，进行量化考核评价，相关指标与标准如下：</w:t>
      </w:r>
      <w:r/>
    </w:p>
    <w:tbl>
      <w:tblPr>
        <w:tblStyle w:val="822"/>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0"/>
        <w:gridCol w:w="1628"/>
        <w:gridCol w:w="1801"/>
        <w:gridCol w:w="2488"/>
        <w:gridCol w:w="2347"/>
        <w:gridCol w:w="1104"/>
      </w:tblGrid>
      <w:tr>
        <w:trPr>
          <w:trHeight w:val="300"/>
        </w:trPr>
        <w:tc>
          <w:tcPr>
            <w:tcW w:w="230" w:type="pct"/>
            <w:vAlign w:val="center"/>
            <w:vMerge w:val="restart"/>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绩效指标</w:t>
            </w:r>
            <w:r/>
          </w:p>
        </w:tc>
        <w:tc>
          <w:tcPr>
            <w:tcW w:w="829"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一级指标</w:t>
            </w:r>
            <w:r/>
          </w:p>
        </w:tc>
        <w:tc>
          <w:tcPr>
            <w:tcW w:w="91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二级指标</w:t>
            </w:r>
            <w:r/>
          </w:p>
        </w:tc>
        <w:tc>
          <w:tcPr>
            <w:tcW w:w="126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三级指标</w:t>
            </w:r>
            <w:r/>
          </w:p>
        </w:tc>
        <w:tc>
          <w:tcPr>
            <w:tcW w:w="119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实现指标值</w:t>
            </w:r>
            <w:r/>
          </w:p>
        </w:tc>
        <w:tc>
          <w:tcPr>
            <w:tcW w:w="56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w:t>
            </w:r>
            <w:r/>
          </w:p>
        </w:tc>
      </w:tr>
      <w:tr>
        <w:trPr>
          <w:trHeight w:val="270"/>
        </w:trPr>
        <w:tc>
          <w:tcPr>
            <w:tcW w:w="23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9" w:type="pct"/>
            <w:vAlign w:val="center"/>
            <w:vMerge w:val="restart"/>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设备使用及维保指标（60分）</w:t>
            </w:r>
            <w:r/>
          </w:p>
        </w:tc>
        <w:tc>
          <w:tcPr>
            <w:tcW w:w="91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设备使用情况（20分）</w:t>
            </w:r>
            <w:r/>
          </w:p>
        </w:tc>
        <w:tc>
          <w:tcPr>
            <w:tcW w:w="1267" w:type="pct"/>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提供不少于2次现场使用人员培训后，受训人员能够快速掌握设备使用方法，并能及时为新的使用人员提供培训支持，保障设备正常使用。</w:t>
            </w:r>
            <w:r/>
          </w:p>
        </w:tc>
        <w:tc>
          <w:tcPr>
            <w:tcW w:w="119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确保系统稳定、安全、高效运行，及时支持培训使用工作，按季度评价使用情况，每接到一次设备故障投诉扣2分。</w:t>
            </w:r>
            <w:r/>
          </w:p>
        </w:tc>
        <w:tc>
          <w:tcPr>
            <w:tcW w:w="56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10"/>
        </w:trPr>
        <w:tc>
          <w:tcPr>
            <w:tcW w:w="23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9"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1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日常维保服务（20分）</w:t>
            </w:r>
            <w:r/>
          </w:p>
        </w:tc>
        <w:tc>
          <w:tcPr>
            <w:tcW w:w="1267" w:type="pct"/>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提供7×24小时多种方式的维保服务响应，包括在线申报受理及技术支持服务、全天候电话响应、网上咨询、远程升级技术支持。</w:t>
            </w:r>
            <w:r/>
          </w:p>
        </w:tc>
        <w:tc>
          <w:tcPr>
            <w:tcW w:w="119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系统和设备实际运行稳定性评价，按季度评价维保服务工作，每接到一次日常维保工作缺位投诉扣2分。</w:t>
            </w:r>
            <w:r/>
          </w:p>
        </w:tc>
        <w:tc>
          <w:tcPr>
            <w:tcW w:w="56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70"/>
        </w:trPr>
        <w:tc>
          <w:tcPr>
            <w:tcW w:w="23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9"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1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应急响应工作（20分）</w:t>
            </w:r>
            <w:r/>
          </w:p>
        </w:tc>
        <w:tc>
          <w:tcPr>
            <w:tcW w:w="1267" w:type="pct"/>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应急报修在15分钟内响应共同协商解决方案，2小时内到达指定现场，落实故障排除工作。</w:t>
            </w:r>
            <w:r/>
          </w:p>
        </w:tc>
        <w:tc>
          <w:tcPr>
            <w:tcW w:w="119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按季度评价应急响应工作，每接到一次应急响应工作延时投诉扣2分。</w:t>
            </w:r>
            <w:r/>
          </w:p>
        </w:tc>
        <w:tc>
          <w:tcPr>
            <w:tcW w:w="56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00"/>
        </w:trPr>
        <w:tc>
          <w:tcPr>
            <w:tcW w:w="23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9" w:type="pct"/>
            <w:vAlign w:val="center"/>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效益指标（20分）</w:t>
            </w:r>
            <w:r/>
          </w:p>
        </w:tc>
        <w:tc>
          <w:tcPr>
            <w:tcW w:w="91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可持续影响指标（20分）</w:t>
            </w:r>
            <w:r/>
          </w:p>
        </w:tc>
        <w:tc>
          <w:tcPr>
            <w:tcW w:w="126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系统正常使用年限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=5年</w:t>
            </w:r>
            <w:r/>
          </w:p>
        </w:tc>
        <w:tc>
          <w:tcPr>
            <w:tcW w:w="119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按季度评价可持续运行指标，超过1次系统宕机，未及时排除导致影响工作，扣5分。</w:t>
            </w:r>
            <w:r/>
          </w:p>
        </w:tc>
        <w:tc>
          <w:tcPr>
            <w:tcW w:w="56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00"/>
        </w:trPr>
        <w:tc>
          <w:tcPr>
            <w:tcW w:w="23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9" w:type="pct"/>
            <w:vAlign w:val="center"/>
            <w:vMerge w:val="restart"/>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满意度指标（20分）</w:t>
            </w:r>
            <w:r/>
          </w:p>
        </w:tc>
        <w:tc>
          <w:tcPr>
            <w:tcW w:w="91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服务对象满意度指标（10分）</w:t>
            </w:r>
            <w:r/>
          </w:p>
        </w:tc>
        <w:tc>
          <w:tcPr>
            <w:tcW w:w="126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使用人员满意度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=95%</w:t>
            </w:r>
            <w:r/>
          </w:p>
        </w:tc>
        <w:tc>
          <w:tcPr>
            <w:tcW w:w="119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通过问卷形式，按季度评价，平均满意度＜95%，扣5分。</w:t>
            </w:r>
            <w:r/>
          </w:p>
        </w:tc>
        <w:tc>
          <w:tcPr>
            <w:tcW w:w="56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70"/>
        </w:trPr>
        <w:tc>
          <w:tcPr>
            <w:tcW w:w="23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9"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1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服务对象满意度指标（10分）</w:t>
            </w:r>
            <w:r/>
          </w:p>
        </w:tc>
        <w:tc>
          <w:tcPr>
            <w:tcW w:w="126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管理部门满意度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=98%</w:t>
            </w:r>
            <w:r/>
          </w:p>
        </w:tc>
        <w:tc>
          <w:tcPr>
            <w:tcW w:w="119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通过问卷形式，按季度评价，平均满意度＜95%，扣5分。</w:t>
            </w:r>
            <w:r/>
          </w:p>
        </w:tc>
        <w:tc>
          <w:tcPr>
            <w:tcW w:w="56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contextualSpacing/>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运维服务期内，采购人每半年对</w:t>
      </w:r>
      <w:r>
        <w:rPr>
          <w:rFonts w:hint="eastAsia" w:ascii="宋体" w:hAnsi="宋体" w:eastAsia="宋体"/>
          <w:color w:val="auto"/>
          <w:sz w:val="24"/>
          <w:highlight w:val="none"/>
          <w:lang w:val="en-US" w:eastAsia="zh-CN"/>
        </w:rPr>
        <w:t xml:space="preserve">中标</w:t>
      </w:r>
      <w:r>
        <w:rPr>
          <w:rFonts w:hint="eastAsia" w:ascii="宋体" w:hAnsi="宋体"/>
          <w:color w:val="auto"/>
          <w:sz w:val="24"/>
          <w:highlight w:val="none"/>
        </w:rPr>
        <w:t xml:space="preserve">供应商的运维服务工作</w:t>
      </w:r>
      <w:r>
        <w:rPr>
          <w:rFonts w:hint="eastAsia" w:ascii="宋体" w:hAnsi="宋体" w:eastAsia="宋体"/>
          <w:color w:val="auto"/>
          <w:sz w:val="24"/>
          <w:highlight w:val="none"/>
          <w:lang w:eastAsia="zh-CN"/>
        </w:rPr>
        <w:t xml:space="preserve">开展</w:t>
      </w:r>
      <w:r>
        <w:rPr>
          <w:rFonts w:hint="eastAsia" w:ascii="宋体" w:hAnsi="宋体"/>
          <w:color w:val="auto"/>
          <w:sz w:val="24"/>
          <w:highlight w:val="none"/>
        </w:rPr>
        <w:t xml:space="preserve">综合考核，考核内容见上表。考核结果按得分划档并执行相应处理措施，考核结果将作为供应商履约评价的核心依据：</w:t>
      </w:r>
      <w:r/>
    </w:p>
    <w:p>
      <w:pPr>
        <w:contextualSpacing/>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考核得分≥90分：评定为合格等次；</w:t>
      </w:r>
      <w:r/>
    </w:p>
    <w:p>
      <w:pPr>
        <w:contextualSpacing/>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考核得分＜90分：评定为不合格等次，</w:t>
      </w:r>
      <w:r>
        <w:rPr>
          <w:rFonts w:hint="eastAsia" w:ascii="宋体" w:hAnsi="宋体" w:eastAsia="宋体"/>
          <w:color w:val="auto"/>
          <w:sz w:val="24"/>
          <w:highlight w:val="none"/>
          <w:lang w:val="en-US" w:eastAsia="zh-CN"/>
        </w:rPr>
        <w:t xml:space="preserve">中标</w:t>
      </w:r>
      <w:r>
        <w:rPr>
          <w:rFonts w:hint="eastAsia" w:ascii="宋体" w:hAnsi="宋体"/>
          <w:color w:val="auto"/>
          <w:sz w:val="24"/>
          <w:highlight w:val="none"/>
        </w:rPr>
        <w:t xml:space="preserve">供应商需在5个工作日内针对考核发现的问题提交书面整改报告及整改计划，明确整改措施、责任人和完成时限，采购人跟踪验证整改落实情况。</w:t>
      </w:r>
      <w:r/>
    </w:p>
    <w:p>
      <w:pPr>
        <w:contextualSpacing/>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维保期满考核合格的，按合同约定返还履约保证金；免费运维维保期间每出现一次考核不合格情况，相应扣除履约保证金5000元。</w:t>
      </w:r>
      <w:r/>
    </w:p>
    <w:p>
      <w:pPr>
        <w:contextualSpacing/>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因</w:t>
      </w:r>
      <w:r>
        <w:rPr>
          <w:rFonts w:hint="eastAsia" w:ascii="宋体" w:hAnsi="宋体" w:eastAsia="宋体"/>
          <w:color w:val="auto"/>
          <w:sz w:val="24"/>
          <w:highlight w:val="none"/>
          <w:lang w:val="en-US" w:eastAsia="zh-CN"/>
        </w:rPr>
        <w:t xml:space="preserve">中标供应商</w:t>
      </w:r>
      <w:r>
        <w:rPr>
          <w:rFonts w:hint="eastAsia" w:ascii="宋体" w:hAnsi="宋体"/>
          <w:color w:val="auto"/>
          <w:sz w:val="24"/>
          <w:highlight w:val="none"/>
        </w:rPr>
        <w:t xml:space="preserve">运维不当导致系统故障、数据</w:t>
      </w:r>
      <w:r>
        <w:rPr>
          <w:rFonts w:hint="eastAsia" w:ascii="宋体" w:hAnsi="宋体" w:eastAsia="宋体"/>
          <w:color w:val="auto"/>
          <w:sz w:val="24"/>
          <w:highlight w:val="none"/>
          <w:lang w:eastAsia="zh-CN"/>
        </w:rPr>
        <w:t xml:space="preserve">泄漏</w:t>
      </w:r>
      <w:r>
        <w:rPr>
          <w:rFonts w:hint="eastAsia" w:ascii="宋体" w:hAnsi="宋体"/>
          <w:color w:val="auto"/>
          <w:sz w:val="24"/>
          <w:highlight w:val="none"/>
        </w:rPr>
        <w:t xml:space="preserve">等问题，除按本办法扣罚外，</w:t>
      </w:r>
      <w:r>
        <w:rPr>
          <w:rFonts w:hint="eastAsia" w:ascii="宋体" w:hAnsi="宋体" w:eastAsia="宋体"/>
          <w:color w:val="auto"/>
          <w:sz w:val="24"/>
          <w:highlight w:val="none"/>
          <w:lang w:val="en-US" w:eastAsia="zh-CN"/>
        </w:rPr>
        <w:t xml:space="preserve">中标供应商</w:t>
      </w:r>
      <w:r>
        <w:rPr>
          <w:rFonts w:hint="eastAsia" w:ascii="宋体" w:hAnsi="宋体"/>
          <w:color w:val="auto"/>
          <w:sz w:val="24"/>
          <w:highlight w:val="none"/>
        </w:rPr>
        <w:t xml:space="preserve">需承担招标人全部直接经济损失；情节严重的，追究其法律责任。</w:t>
      </w:r>
      <w:r/>
    </w:p>
    <w:p>
      <w:pPr>
        <w:contextualSpacing/>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 运维服务期内，提供7×24小时故障申报受理及技术在线支持服务。全天候电话响应、网上咨询、远程升级技术支持。如系统出现故障不能正常运行，公司在接到医院故障通知后，将在15分钟内安排技术人员进行软件维护，按照国家及行业标准对故障进行及时处理，30分钟内完成故障恢复，确保系统正常运行。</w:t>
      </w:r>
      <w:r/>
    </w:p>
    <w:p>
      <w:pPr>
        <w:contextualSpacing/>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4）运维服务期内，承诺现场服务：自收到采购人电话等维修要求后，报修响应时间15分钟内，共同协商解决方案。若需要工程师前往现场，除约定到达时间外，一般在2小时内到达指定现场。工程师在到达现场后，经现场调查后，除约定时间外，一般在2小时内排除故障。</w:t>
      </w:r>
      <w:r/>
    </w:p>
    <w:p>
      <w:pPr>
        <w:contextualSpacing/>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5） 运维服务期内，承诺设立本地化售后服务机构及配备常驻工程师：投标人在本市设有售后服务机构，后期可根据采购人需求，为本次项目配置专属技术工程师，提供专属优质维保服务；提供合同约定的技术支持、服务请求、故障报修、技术咨询的单点专员联系，同时加强系统的监控、巡检及管理。对所有问题的记录、分派、跟踪和管理、分析和报告。</w:t>
      </w:r>
      <w:r/>
    </w:p>
    <w:p>
      <w:pPr>
        <w:pStyle w:val="817"/>
        <w:numPr>
          <w:ilvl w:val="1"/>
          <w:numId w:val="0"/>
        </w:numPr>
        <w:ind w:left="0" w:firstLine="482"/>
        <w:jc w:val="both"/>
        <w:pageBreakBefore w:val="0"/>
        <w:spacing w:before="0" w:after="0"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24"/>
          <w:szCs w:val="22"/>
          <w:highlight w:val="none"/>
          <w:lang w:val="en-US" w:eastAsia="zh-CN" w:bidi="ar-SA"/>
        </w:rPr>
        <w:t xml:space="preserve">（三）</w:t>
      </w:r>
      <w:r>
        <w:rPr>
          <w:rFonts w:hint="eastAsia" w:ascii="宋体" w:hAnsi="宋体" w:eastAsia="宋体" w:cs="宋体"/>
          <w:color w:val="auto"/>
          <w:sz w:val="24"/>
          <w:highlight w:val="none"/>
          <w:lang w:eastAsia="zh-CN"/>
        </w:rPr>
        <w:t xml:space="preserve">保密责任要求</w:t>
      </w:r>
      <w:r/>
    </w:p>
    <w:p>
      <w:pPr>
        <w:contextualSpacing/>
        <w:ind w:firstLine="480"/>
        <w:jc w:val="both"/>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在本次招标及服务履行期间了解到的采购人信息，包括标书中提供的采购人系统信息及数据信息等内容，未经采购人书面同意，不得泄露于第三者。服务期满或终止后亦同。双方应另行签订保密及网络安全协议。</w:t>
      </w:r>
      <w:r/>
    </w:p>
    <w:p>
      <w:pPr>
        <w:pStyle w:val="817"/>
        <w:numPr>
          <w:ilvl w:val="1"/>
          <w:numId w:val="0"/>
        </w:numPr>
        <w:ind w:left="0" w:firstLine="482"/>
        <w:jc w:val="both"/>
        <w:pageBreakBefore w:val="0"/>
        <w:spacing w:before="0" w:after="0" w:line="360" w:lineRule="auto"/>
        <w:tabs>
          <w:tab w:val="left" w:pos="210" w:leader="none"/>
        </w:tabs>
        <w:rPr>
          <w:rFonts w:hint="eastAsia" w:ascii="宋体" w:hAnsi="宋体" w:eastAsia="宋体" w:cs="宋体"/>
          <w:color w:val="auto"/>
          <w:sz w:val="24"/>
          <w:highlight w:val="none"/>
          <w:lang w:eastAsia="zh-CN"/>
        </w:rPr>
      </w:pPr>
      <w:r>
        <w:rPr>
          <w:rFonts w:hint="eastAsia" w:ascii="宋体" w:hAnsi="宋体" w:eastAsia="宋体" w:cs="宋体"/>
          <w:b/>
          <w:bCs/>
          <w:color w:val="auto"/>
          <w:sz w:val="24"/>
          <w:szCs w:val="22"/>
          <w:highlight w:val="none"/>
          <w:lang w:val="en-US" w:eastAsia="zh-CN" w:bidi="ar-SA"/>
        </w:rPr>
        <w:t xml:space="preserve">（四）</w:t>
      </w:r>
      <w:r>
        <w:rPr>
          <w:rFonts w:hint="eastAsia" w:ascii="宋体" w:hAnsi="宋体" w:eastAsia="宋体" w:cs="宋体"/>
          <w:color w:val="auto"/>
          <w:sz w:val="24"/>
          <w:highlight w:val="none"/>
          <w:lang w:eastAsia="zh-CN"/>
        </w:rPr>
        <w:t xml:space="preserve">培训要求</w:t>
      </w:r>
      <w:r/>
    </w:p>
    <w:p>
      <w:pPr>
        <w:contextualSpacing/>
        <w:ind w:firstLine="480"/>
        <w:jc w:val="both"/>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提供完善的培训方案，培训方案包含培训内容、培训课时等。系统的培训工作要在系统上线试运行前实施，并在培训实施前编制专门的培训材料。投标人应承诺在设备上线阶段和验收阶段，提供不低于2次现场培训，受训人员应覆盖全面，包括主要技术人员、骨干用户、普通用户和运维期间的新用户。</w:t>
      </w:r>
      <w:r/>
    </w:p>
    <w:p>
      <w:pPr>
        <w:contextualSpacing/>
        <w:ind w:firstLine="480"/>
        <w:jc w:val="both"/>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1）对采购人主要技术人员和骨干用户提供使用及维护培训，对普通用户提供临床医药护技分批使用培训；</w:t>
      </w:r>
      <w:r/>
    </w:p>
    <w:p>
      <w:pPr>
        <w:contextualSpacing/>
        <w:ind w:firstLine="480"/>
        <w:jc w:val="both"/>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2）所提供的培训课程表随投标文件一起提交；</w:t>
      </w:r>
      <w:r/>
    </w:p>
    <w:p>
      <w:pPr>
        <w:contextualSpacing/>
        <w:ind w:firstLine="480"/>
        <w:jc w:val="both"/>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3）投标人必须为所有被培训人员提供培训用文字资料和讲义等相关用品，所有的资料必须是中文书写。</w:t>
      </w:r>
      <w:r/>
    </w:p>
    <w:p>
      <w:pPr>
        <w:pStyle w:val="817"/>
        <w:numPr>
          <w:ilvl w:val="1"/>
          <w:numId w:val="0"/>
        </w:numPr>
        <w:ind w:left="0" w:firstLine="482"/>
        <w:jc w:val="both"/>
        <w:pageBreakBefore w:val="0"/>
        <w:spacing w:before="0" w:after="0"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24"/>
          <w:szCs w:val="22"/>
          <w:highlight w:val="none"/>
          <w:lang w:val="en-US" w:eastAsia="zh-CN" w:bidi="ar-SA"/>
        </w:rPr>
        <w:t xml:space="preserve">（五）</w:t>
      </w:r>
      <w:r>
        <w:rPr>
          <w:rFonts w:hint="eastAsia" w:ascii="宋体" w:hAnsi="宋体" w:eastAsia="宋体" w:cs="宋体"/>
          <w:color w:val="auto"/>
          <w:sz w:val="24"/>
          <w:highlight w:val="none"/>
          <w:lang w:eastAsia="zh-CN"/>
        </w:rPr>
        <w:t xml:space="preserve">交货条件及供货期要求</w:t>
      </w:r>
      <w:r/>
    </w:p>
    <w:p>
      <w:pPr>
        <w:ind w:firstLine="480"/>
        <w:jc w:val="both"/>
        <w:pageBreakBefore w:val="0"/>
        <w:spacing w:line="360" w:lineRule="auto"/>
        <w:shd w:val="clear" w:color="auto" w:fill="ffffff"/>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供货期为项目合同签订后的5个月。货物的外观、包装、运输应按国家有关规定或相关部颁标准执行。如因</w:t>
      </w:r>
      <w:r>
        <w:rPr>
          <w:rFonts w:hint="eastAsia" w:ascii="宋体" w:hAnsi="宋体" w:eastAsia="宋体" w:cs="宋体"/>
          <w:bCs/>
          <w:color w:val="auto"/>
          <w:sz w:val="24"/>
          <w:highlight w:val="none"/>
          <w:lang w:val="en-US" w:eastAsia="zh-CN"/>
        </w:rPr>
        <w:t xml:space="preserve">中标供应商</w:t>
      </w:r>
      <w:r>
        <w:rPr>
          <w:rFonts w:hint="eastAsia" w:ascii="宋体" w:hAnsi="宋体" w:eastAsia="宋体" w:cs="宋体"/>
          <w:bCs/>
          <w:color w:val="auto"/>
          <w:sz w:val="24"/>
          <w:highlight w:val="none"/>
        </w:rPr>
        <w:t xml:space="preserve">包装或运输不当等原因造成损坏或丢失，应由</w:t>
      </w:r>
      <w:r>
        <w:rPr>
          <w:rFonts w:hint="eastAsia" w:ascii="宋体" w:hAnsi="宋体" w:eastAsia="宋体" w:cs="宋体"/>
          <w:bCs/>
          <w:color w:val="auto"/>
          <w:sz w:val="24"/>
          <w:highlight w:val="none"/>
          <w:lang w:val="en-US" w:eastAsia="zh-CN"/>
        </w:rPr>
        <w:t xml:space="preserve">中标供应商</w:t>
      </w:r>
      <w:r>
        <w:rPr>
          <w:rFonts w:hint="eastAsia" w:ascii="宋体" w:hAnsi="宋体" w:eastAsia="宋体" w:cs="宋体"/>
          <w:bCs/>
          <w:color w:val="auto"/>
          <w:sz w:val="24"/>
          <w:highlight w:val="none"/>
        </w:rPr>
        <w:t xml:space="preserve">负责调换或补缺，如因此导致</w:t>
      </w:r>
      <w:r>
        <w:rPr>
          <w:rFonts w:hint="eastAsia" w:ascii="宋体" w:hAnsi="宋体" w:eastAsia="宋体" w:cs="宋体"/>
          <w:bCs/>
          <w:color w:val="auto"/>
          <w:sz w:val="24"/>
          <w:highlight w:val="none"/>
          <w:lang w:val="en-US" w:eastAsia="zh-CN"/>
        </w:rPr>
        <w:t xml:space="preserve">中标供应商</w:t>
      </w:r>
      <w:r>
        <w:rPr>
          <w:rFonts w:hint="eastAsia" w:ascii="宋体" w:hAnsi="宋体" w:eastAsia="宋体" w:cs="宋体"/>
          <w:bCs/>
          <w:color w:val="auto"/>
          <w:sz w:val="24"/>
          <w:highlight w:val="none"/>
        </w:rPr>
        <w:t xml:space="preserve">逾期交付货物的，</w:t>
      </w:r>
      <w:r>
        <w:rPr>
          <w:rFonts w:hint="eastAsia" w:ascii="宋体" w:hAnsi="宋体" w:eastAsia="宋体" w:cs="宋体"/>
          <w:bCs/>
          <w:color w:val="auto"/>
          <w:sz w:val="24"/>
          <w:highlight w:val="none"/>
          <w:lang w:val="en-US" w:eastAsia="zh-CN"/>
        </w:rPr>
        <w:t xml:space="preserve">中标供应商</w:t>
      </w:r>
      <w:r>
        <w:rPr>
          <w:rFonts w:hint="eastAsia" w:ascii="宋体" w:hAnsi="宋体" w:eastAsia="宋体" w:cs="宋体"/>
          <w:bCs/>
          <w:color w:val="auto"/>
          <w:sz w:val="24"/>
          <w:highlight w:val="none"/>
        </w:rPr>
        <w:t xml:space="preserve">还应承担逾期交付的违约责任。</w:t>
      </w:r>
      <w:r/>
    </w:p>
    <w:p>
      <w:pPr>
        <w:ind w:firstLine="480"/>
        <w:jc w:val="both"/>
        <w:pageBreakBefore w:val="0"/>
        <w:spacing w:line="360" w:lineRule="auto"/>
        <w:shd w:val="clear" w:color="auto" w:fill="ffffff"/>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运输及到货地点：由</w:t>
      </w:r>
      <w:r>
        <w:rPr>
          <w:rFonts w:hint="eastAsia" w:ascii="宋体" w:hAnsi="宋体" w:eastAsia="宋体" w:cs="宋体"/>
          <w:bCs/>
          <w:color w:val="auto"/>
          <w:sz w:val="24"/>
          <w:highlight w:val="none"/>
          <w:lang w:val="en-US" w:eastAsia="zh-CN"/>
        </w:rPr>
        <w:t xml:space="preserve">中标供应商</w:t>
      </w:r>
      <w:r>
        <w:rPr>
          <w:rFonts w:hint="eastAsia" w:ascii="宋体" w:hAnsi="宋体" w:eastAsia="宋体" w:cs="宋体"/>
          <w:bCs/>
          <w:color w:val="auto"/>
          <w:sz w:val="24"/>
          <w:highlight w:val="none"/>
        </w:rPr>
        <w:t xml:space="preserve">负责办理运输并承担所有费用，直接送到</w:t>
      </w:r>
      <w:r>
        <w:rPr>
          <w:rFonts w:hint="eastAsia" w:ascii="宋体" w:hAnsi="宋体" w:eastAsia="宋体" w:cs="宋体"/>
          <w:bCs/>
          <w:color w:val="auto"/>
          <w:sz w:val="24"/>
          <w:highlight w:val="none"/>
          <w:lang w:val="en-US" w:eastAsia="zh-CN"/>
        </w:rPr>
        <w:t xml:space="preserve">采购人</w:t>
      </w:r>
      <w:r>
        <w:rPr>
          <w:rFonts w:hint="eastAsia" w:ascii="宋体" w:hAnsi="宋体" w:eastAsia="宋体" w:cs="宋体"/>
          <w:bCs/>
          <w:color w:val="auto"/>
          <w:sz w:val="24"/>
          <w:highlight w:val="none"/>
        </w:rPr>
        <w:t xml:space="preserve">指定地点，即：以合同书上的地点为准。</w:t>
      </w:r>
      <w:r/>
    </w:p>
    <w:p>
      <w:pPr>
        <w:pStyle w:val="817"/>
        <w:numPr>
          <w:ilvl w:val="1"/>
          <w:numId w:val="0"/>
        </w:numPr>
        <w:ind w:left="0" w:firstLine="482"/>
        <w:jc w:val="both"/>
        <w:pageBreakBefore w:val="0"/>
        <w:spacing w:before="0" w:after="0"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24"/>
          <w:szCs w:val="22"/>
          <w:highlight w:val="none"/>
          <w:lang w:val="en-US" w:eastAsia="zh-CN" w:bidi="ar-SA"/>
        </w:rPr>
        <w:t xml:space="preserve">（六）</w:t>
      </w:r>
      <w:r>
        <w:rPr>
          <w:rFonts w:hint="eastAsia" w:ascii="宋体" w:hAnsi="宋体" w:eastAsia="宋体" w:cs="宋体"/>
          <w:color w:val="auto"/>
          <w:sz w:val="24"/>
          <w:highlight w:val="none"/>
          <w:lang w:eastAsia="zh-CN"/>
        </w:rPr>
        <w:t xml:space="preserve">其他要求</w:t>
      </w:r>
      <w:r/>
    </w:p>
    <w:p>
      <w:pPr>
        <w:contextualSpacing/>
        <w:ind w:firstLine="480"/>
        <w:jc w:val="both"/>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投标人供货前先与采购人联系商量送货时间和地点，经同意后方可送货。</w:t>
      </w:r>
      <w:r/>
    </w:p>
    <w:p>
      <w:pPr>
        <w:contextualSpacing/>
        <w:ind w:firstLine="480"/>
        <w:jc w:val="both"/>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w:t>
      </w:r>
      <w:r>
        <w:rPr>
          <w:rFonts w:ascii="宋体" w:hAnsi="宋体" w:eastAsia="宋体" w:cs="宋体"/>
          <w:color w:val="auto"/>
          <w:sz w:val="24"/>
          <w:szCs w:val="24"/>
          <w:highlight w:val="none"/>
        </w:rPr>
        <w:t xml:space="preserve">中标单位</w:t>
      </w:r>
      <w:r>
        <w:rPr>
          <w:rFonts w:hint="eastAsia" w:ascii="宋体" w:hAnsi="宋体" w:eastAsia="宋体" w:cs="宋体"/>
          <w:color w:val="auto"/>
          <w:sz w:val="24"/>
          <w:szCs w:val="24"/>
          <w:highlight w:val="none"/>
          <w:lang w:val="en-US" w:eastAsia="zh-CN"/>
        </w:rPr>
        <w:t xml:space="preserve">中标后需按照</w:t>
      </w:r>
      <w:r>
        <w:rPr>
          <w:rFonts w:ascii="宋体" w:hAnsi="宋体" w:eastAsia="宋体" w:cs="宋体"/>
          <w:color w:val="auto"/>
          <w:sz w:val="24"/>
          <w:szCs w:val="24"/>
          <w:highlight w:val="none"/>
        </w:rPr>
        <w:t xml:space="preserve">中标金额的 10%缴纳履约保证金；项目服务周期届满且中标单位完全履约无违约情形的，采购人在收到退还申请及验收合格证明后全额无息退还</w:t>
      </w:r>
      <w:r>
        <w:rPr>
          <w:rFonts w:hint="eastAsia" w:ascii="宋体" w:hAnsi="宋体" w:eastAsia="宋体" w:cs="宋体"/>
          <w:color w:val="auto"/>
          <w:sz w:val="24"/>
          <w:szCs w:val="24"/>
          <w:highlight w:val="none"/>
          <w:lang w:eastAsia="zh-CN"/>
        </w:rPr>
        <w:t xml:space="preserve">。</w:t>
      </w:r>
      <w:r/>
    </w:p>
    <w:p>
      <w:pPr>
        <w:pStyle w:val="817"/>
        <w:numPr>
          <w:ilvl w:val="1"/>
          <w:numId w:val="0"/>
        </w:numPr>
        <w:ind w:left="0" w:firstLine="482"/>
        <w:jc w:val="both"/>
        <w:pageBreakBefore w:val="0"/>
        <w:spacing w:before="0" w:after="0"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（七）付款方式：</w:t>
      </w:r>
      <w:r/>
    </w:p>
    <w:p>
      <w:pPr>
        <w:ind w:firstLine="480"/>
        <w:jc w:val="both"/>
        <w:pageBreakBefore w:val="0"/>
        <w:spacing w:line="360" w:lineRule="auto"/>
        <w:shd w:val="clear" w:color="auto" w:fill="ffffff"/>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合同签订生效后</w:t>
      </w:r>
      <w:r>
        <w:rPr>
          <w:rFonts w:hint="eastAsia" w:ascii="宋体" w:hAnsi="宋体" w:eastAsia="宋体" w:cs="宋体"/>
          <w:bCs/>
          <w:color w:val="auto"/>
          <w:sz w:val="24"/>
          <w:highlight w:val="none"/>
          <w:lang w:val="en-US" w:eastAsia="zh-CN"/>
        </w:rPr>
        <w:t xml:space="preserve">30</w:t>
      </w:r>
      <w:r>
        <w:rPr>
          <w:rFonts w:hint="eastAsia" w:ascii="宋体" w:hAnsi="宋体" w:eastAsia="宋体" w:cs="宋体"/>
          <w:bCs/>
          <w:color w:val="auto"/>
          <w:sz w:val="24"/>
          <w:highlight w:val="none"/>
        </w:rPr>
        <w:t xml:space="preserve">个工作日内，采购人向中标人支付合同总额的30%作为首付款；初验合格后</w:t>
      </w:r>
      <w:r>
        <w:rPr>
          <w:rFonts w:hint="eastAsia" w:ascii="宋体" w:hAnsi="宋体" w:eastAsia="宋体" w:cs="宋体"/>
          <w:bCs/>
          <w:color w:val="auto"/>
          <w:sz w:val="24"/>
          <w:highlight w:val="none"/>
          <w:lang w:val="en-US" w:eastAsia="zh-CN"/>
        </w:rPr>
        <w:t xml:space="preserve">30</w:t>
      </w:r>
      <w:r>
        <w:rPr>
          <w:rFonts w:hint="eastAsia" w:ascii="宋体" w:hAnsi="宋体" w:eastAsia="宋体" w:cs="宋体"/>
          <w:bCs/>
          <w:color w:val="auto"/>
          <w:sz w:val="24"/>
          <w:highlight w:val="none"/>
        </w:rPr>
        <w:t xml:space="preserve">个工作日内，支付合同总额的40%；终验合格后</w:t>
      </w:r>
      <w:r>
        <w:rPr>
          <w:rFonts w:hint="eastAsia" w:ascii="宋体" w:hAnsi="宋体" w:eastAsia="宋体" w:cs="宋体"/>
          <w:bCs/>
          <w:color w:val="auto"/>
          <w:sz w:val="24"/>
          <w:highlight w:val="none"/>
          <w:lang w:val="en-US" w:eastAsia="zh-CN"/>
        </w:rPr>
        <w:t xml:space="preserve">30</w:t>
      </w:r>
      <w:r>
        <w:rPr>
          <w:rFonts w:hint="eastAsia" w:ascii="宋体" w:hAnsi="宋体" w:eastAsia="宋体" w:cs="宋体"/>
          <w:bCs/>
          <w:color w:val="auto"/>
          <w:sz w:val="24"/>
          <w:highlight w:val="none"/>
        </w:rPr>
        <w:t xml:space="preserve">个工作日内，支付合同总额的30%。</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第三部分  政府采购政策（包括但不限于下列具体政策要求）</w:t>
      </w:r>
      <w:r/>
    </w:p>
    <w:p>
      <w:pPr>
        <w:numPr>
          <w:ilvl w:val="1"/>
          <w:numId w:val="13"/>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3"/>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3"/>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3"/>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有关中小企业政策，如</w:t>
      </w:r>
      <w:r>
        <w:rPr>
          <w:rFonts w:hint="eastAsia" w:ascii="宋体" w:hAnsi="宋体" w:eastAsia="宋体" w:cs="宋体"/>
          <w:color w:val="auto"/>
          <w:sz w:val="24"/>
          <w:szCs w:val="24"/>
          <w:highlight w:val="none"/>
        </w:rPr>
        <w:t xml:space="preserve">落实政府采购政策需满足的资格要求以及落实政府采购政策的价格调整的相关内容可详见本文件其他章节。</w:t>
      </w:r>
      <w:r/>
    </w:p>
    <w:p>
      <w:pPr>
        <w:numPr>
          <w:ilvl w:val="1"/>
          <w:numId w:val="13"/>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13"/>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13"/>
        </w:numPr>
        <w:ind w:left="0"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 xml:space="preserve">采购人可在合同中约定，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13"/>
        </w:numPr>
        <w:ind w:left="0"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en"/>
        </w:rPr>
        <w:t xml:space="preserve">.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w:t>
      </w:r>
      <w:r>
        <w:rPr>
          <w:rFonts w:hint="eastAsia" w:ascii="宋体" w:hAnsi="宋体"/>
          <w:bCs/>
          <w:color w:val="auto"/>
          <w:sz w:val="24"/>
          <w:highlight w:val="none"/>
        </w:rPr>
        <w:t xml:space="preserve">适用本国产品标准的货物具体是指《政</w:t>
      </w:r>
      <w:r>
        <w:rPr>
          <w:rFonts w:hint="eastAsia" w:ascii="宋体" w:hAnsi="宋体"/>
          <w:bCs/>
          <w:color w:val="auto"/>
          <w:sz w:val="24"/>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auto"/>
          <w:sz w:val="24"/>
          <w:szCs w:val="24"/>
          <w:highlight w:val="none"/>
          <w:lang w:val="en"/>
        </w:rPr>
        <w:t xml:space="preserve">关于对本国产品的支持政策详见第五章，如采购项目或者采购包中仅有服务的，则该采购项目或者采购包将不涉及本国产品的支持政策。</w:t>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hint="eastAsia" w:ascii="黑体" w:hAnsi="黑体" w:eastAsia="黑体"/>
          <w:bCs/>
          <w:color w:val="auto"/>
          <w:sz w:val="36"/>
          <w:szCs w:val="36"/>
          <w:highlight w:val="none"/>
        </w:rPr>
        <w:br w:type="page" w:clear="all"/>
      </w: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1211"/>
        <w:ind w:firstLine="602"/>
        <w:spacing w:before="0" w:after="0"/>
        <w:rPr>
          <w:rFonts w:cs="Arial"/>
          <w:b/>
          <w:color w:val="auto"/>
          <w:sz w:val="30"/>
          <w:szCs w:val="30"/>
          <w:highlight w:val="none"/>
        </w:rPr>
      </w:pPr>
      <w:r>
        <w:rPr>
          <w:rFonts w:hint="eastAsia" w:cs="Arial"/>
          <w:b/>
          <w:color w:val="auto"/>
          <w:sz w:val="30"/>
          <w:szCs w:val="30"/>
          <w:highlight w:val="none"/>
        </w:rPr>
        <w:t xml:space="preserve">第一部分评标方法</w:t>
      </w:r>
      <w:r/>
    </w:p>
    <w:p>
      <w:pPr>
        <w:pStyle w:val="1211"/>
        <w:spacing w:before="0" w:after="0"/>
        <w:rPr>
          <w:rFonts w:cs="Arial"/>
          <w:color w:val="auto"/>
          <w:highlight w:val="none"/>
        </w:rPr>
      </w:pPr>
      <w:r>
        <w:rPr>
          <w:rFonts w:hint="eastAsia" w:cs="Arial"/>
          <w:color w:val="auto"/>
          <w:highlight w:val="none"/>
        </w:rPr>
        <w:t xml:space="preserve">投标人通过初审的，方可进入比较与评价程序。</w:t>
      </w:r>
      <w:r/>
    </w:p>
    <w:p>
      <w:pPr>
        <w:pStyle w:val="1211"/>
        <w:spacing w:before="0" w:after="0"/>
        <w:rPr>
          <w:rFonts w:cs="Arial"/>
          <w:color w:val="auto"/>
          <w:highlight w:val="none"/>
        </w:rPr>
      </w:pPr>
      <w:r>
        <w:rPr>
          <w:rFonts w:hint="eastAsia" w:cs="Arial"/>
          <w:color w:val="auto"/>
          <w:highlight w:val="none"/>
        </w:rPr>
        <w:t xml:space="preserve">比较与评价采用综合评分法。</w:t>
      </w:r>
      <w:r/>
    </w:p>
    <w:p>
      <w:pPr>
        <w:pStyle w:val="1211"/>
        <w:spacing w:before="0" w:after="0"/>
        <w:rPr>
          <w:rStyle w:val="905"/>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211"/>
        <w:spacing w:before="0" w:after="0"/>
        <w:rPr>
          <w:rFonts w:cs="Arial"/>
          <w:b/>
          <w:bCs w:val="0"/>
          <w:color w:val="auto"/>
          <w:highlight w:val="none"/>
          <w:shd w:val="clear" w:color="ffffff" w:fill="d9d9d9"/>
        </w:rPr>
      </w:pPr>
      <w:r>
        <w:rPr>
          <w:rFonts w:hint="eastAsia" w:ascii="宋体" w:hAnsi="宋体"/>
          <w:b/>
          <w:bCs w:val="0"/>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0"/>
        <w:jc w:val="left"/>
        <w:spacing w:line="360" w:lineRule="auto"/>
        <w:widowControl/>
        <w:rPr>
          <w:rFonts w:cs="Arial"/>
          <w:b/>
          <w:color w:val="auto"/>
          <w:sz w:val="30"/>
          <w:szCs w:val="30"/>
          <w:highlight w:val="none"/>
        </w:rPr>
      </w:pPr>
      <w:r>
        <w:rPr>
          <w:rFonts w:hint="eastAsia" w:cs="Arial"/>
          <w:b/>
          <w:color w:val="auto"/>
          <w:sz w:val="30"/>
          <w:szCs w:val="30"/>
          <w:highlight w:val="none"/>
        </w:rPr>
        <w:t xml:space="preserve">第二部分评标标准</w:t>
      </w:r>
      <w:r/>
    </w:p>
    <w:p>
      <w:pPr>
        <w:pStyle w:val="1211"/>
        <w:ind w:firstLine="562"/>
        <w:spacing w:before="0" w:after="0"/>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highlight w:val="none"/>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含新疆生产建设兵团</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w:t>
      </w:r>
      <w:r>
        <w:rPr>
          <w:rFonts w:hint="eastAsia" w:ascii="宋体" w:hAnsi="宋体"/>
          <w:bCs/>
          <w:color w:val="auto"/>
          <w:sz w:val="24"/>
          <w:szCs w:val="24"/>
          <w:highlight w:val="none"/>
        </w:rPr>
        <w:t xml:space="preserve">价格扣除。投标人须在《联合体各方共同投标协议》中明确联合体各方是否存在上述关系，如未进行明确的亦不得享受价格扣除。</w:t>
      </w:r>
      <w:r/>
    </w:p>
    <w:p>
      <w:pPr>
        <w:ind w:firstLine="480"/>
        <w:jc w:val="left"/>
        <w:spacing w:line="360" w:lineRule="auto"/>
        <w:rPr>
          <w:rFonts w:hint="eastAsia" w:ascii="宋体" w:hAnsi="宋体"/>
          <w:b/>
          <w:bCs/>
          <w:color w:val="auto"/>
          <w:sz w:val="24"/>
          <w:szCs w:val="24"/>
          <w:highlight w:val="none"/>
        </w:rPr>
      </w:pPr>
      <w:r>
        <w:rPr>
          <w:rFonts w:hint="eastAsia" w:ascii="宋体" w:hAnsi="宋体"/>
          <w:b/>
          <w:bCs w:val="0"/>
          <w:color w:val="auto"/>
          <w:sz w:val="24"/>
          <w:szCs w:val="24"/>
          <w:highlight w:val="none"/>
          <w:lang w:val="en-US" w:eastAsia="zh-CN"/>
        </w:rPr>
        <w:t xml:space="preserve">6</w:t>
      </w:r>
      <w:r>
        <w:rPr>
          <w:rFonts w:hint="eastAsia" w:ascii="宋体" w:hAnsi="宋体"/>
          <w:b/>
          <w:bCs w:val="0"/>
          <w:color w:val="auto"/>
          <w:sz w:val="24"/>
          <w:szCs w:val="24"/>
          <w:highlight w:val="none"/>
        </w:rPr>
        <w:t xml:space="preserve">.对本国产品的支持政策：根据《国务院</w:t>
      </w:r>
      <w:r>
        <w:rPr>
          <w:rFonts w:hint="eastAsia" w:ascii="宋体"/>
          <w:b/>
          <w:bCs w:val="0"/>
          <w:color w:val="auto"/>
          <w:sz w:val="24"/>
          <w:szCs w:val="24"/>
          <w:highlight w:val="none"/>
        </w:rPr>
        <w:t xml:space="preserve">办公厅关于在政府采购</w:t>
      </w:r>
      <w:r>
        <w:rPr>
          <w:rFonts w:hint="eastAsia" w:ascii="宋体"/>
          <w:b/>
          <w:bCs/>
          <w:color w:val="auto"/>
          <w:sz w:val="24"/>
          <w:szCs w:val="24"/>
          <w:highlight w:val="none"/>
        </w:rPr>
        <w:t xml:space="preserve">中实施本国产品标准及相关政策的通知》（国办发〔2025〕34号）要求，</w:t>
      </w:r>
      <w:r>
        <w:rPr>
          <w:rFonts w:hint="eastAsia" w:ascii="宋体" w:hAnsi="宋体"/>
          <w:b/>
          <w:bCs/>
          <w:color w:val="auto"/>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auto"/>
          <w:sz w:val="24"/>
          <w:szCs w:val="24"/>
          <w:highlight w:val="none"/>
        </w:rPr>
      </w:pPr>
      <w:r>
        <w:rPr>
          <w:rFonts w:hint="eastAsia" w:ascii="宋体" w:hAnsi="宋体" w:eastAsia="宋体"/>
          <w:bCs/>
          <w:color w:val="auto"/>
          <w:sz w:val="24"/>
          <w:szCs w:val="24"/>
          <w:highlight w:val="none"/>
          <w:lang w:val="en-US" w:eastAsia="zh-CN"/>
        </w:rPr>
        <w:t xml:space="preserve">6</w:t>
      </w:r>
      <w:r>
        <w:rPr>
          <w:rFonts w:hint="eastAsia" w:ascii="宋体" w:hAnsi="宋体"/>
          <w:bCs/>
          <w:color w:val="auto"/>
          <w:sz w:val="24"/>
          <w:szCs w:val="24"/>
          <w:highlight w:val="none"/>
        </w:rPr>
        <w:t xml:space="preserve">.1本国产品价格扣除政策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eastAsia="宋体"/>
          <w:bCs/>
          <w:color w:val="auto"/>
          <w:sz w:val="24"/>
          <w:szCs w:val="24"/>
          <w:highlight w:val="none"/>
          <w:lang w:val="en-US" w:eastAsia="zh-CN"/>
        </w:rPr>
        <w:t xml:space="preserve">6</w:t>
      </w:r>
      <w:r>
        <w:rPr>
          <w:rFonts w:hint="eastAsia" w:ascii="宋体" w:hAnsi="宋体"/>
          <w:bCs/>
          <w:color w:val="auto"/>
          <w:sz w:val="24"/>
          <w:szCs w:val="24"/>
          <w:highlight w:val="none"/>
        </w:rPr>
        <w:t xml:space="preserve">.2注意事项</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（1）提供本国产品进行投标（报价）的供应商需在其</w:t>
      </w:r>
      <w:r>
        <w:rPr>
          <w:rFonts w:hint="eastAsia" w:ascii="宋体" w:hAnsi="宋体"/>
          <w:bCs/>
          <w:color w:val="auto"/>
          <w:sz w:val="24"/>
          <w:szCs w:val="24"/>
          <w:highlight w:val="none"/>
        </w:rPr>
        <w:t xml:space="preserve">投标（响应）文件中提供《关于符合本国产品标准的声明函》（格式见第六章）或财政部门会同有关部门规定的有关证明文件。供应商提供的《关于符合本国产品标准的声明函》应按要求逐一、准确填写“产品名称”、“厂名”、“生产厂址”三项信息（斜线划除的地方无需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（2）当采购项目或者采购包中含有多种产品，除按上述要求提供《关于符合本国产品标准的声明函》外，供应商还应在《</w:t>
      </w:r>
      <w:r>
        <w:rPr>
          <w:rFonts w:hint="eastAsia" w:ascii="宋体" w:hAnsi="宋体" w:eastAsia="宋体"/>
          <w:bCs/>
          <w:color w:val="auto"/>
          <w:sz w:val="24"/>
          <w:szCs w:val="24"/>
          <w:highlight w:val="none"/>
          <w:lang w:val="en-US" w:eastAsia="zh-CN"/>
        </w:rPr>
        <w:t xml:space="preserve">细目</w:t>
      </w:r>
      <w:r>
        <w:rPr>
          <w:rFonts w:hint="eastAsia" w:ascii="宋体" w:hAnsi="宋体"/>
          <w:bCs/>
          <w:color w:val="auto"/>
          <w:sz w:val="24"/>
          <w:szCs w:val="24"/>
          <w:highlight w:val="none"/>
        </w:rPr>
        <w:t xml:space="preserve">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w:t>
      </w:r>
      <w:r>
        <w:rPr>
          <w:rFonts w:hint="eastAsia" w:ascii="宋体" w:hAnsi="宋体"/>
          <w:b/>
          <w:bCs/>
          <w:color w:val="auto"/>
          <w:sz w:val="24"/>
          <w:szCs w:val="24"/>
          <w:highlight w:val="none"/>
        </w:rPr>
        <w:t xml:space="preserve">货物成本之和</w:t>
      </w:r>
      <w:r>
        <w:rPr>
          <w:rFonts w:hint="eastAsia" w:ascii="宋体" w:hAnsi="宋体"/>
          <w:bCs/>
          <w:color w:val="auto"/>
          <w:sz w:val="24"/>
          <w:szCs w:val="24"/>
          <w:highlight w:val="none"/>
        </w:rPr>
        <w:t xml:space="preserve">；“全部产品成本之和”是指货物或服务项目（或者采购包）中包含的</w:t>
      </w:r>
      <w:r>
        <w:rPr>
          <w:rFonts w:hint="eastAsia" w:ascii="宋体" w:hAnsi="宋体"/>
          <w:b/>
          <w:bCs/>
          <w:color w:val="auto"/>
          <w:sz w:val="24"/>
          <w:szCs w:val="24"/>
          <w:highlight w:val="none"/>
        </w:rPr>
        <w:t xml:space="preserve">全部货物、服务产品的成本之和</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1000000×[1-（10%+20%）]=700000元</w:t>
      </w:r>
      <w:r/>
    </w:p>
    <w:p>
      <w:pPr>
        <w:pStyle w:val="1211"/>
        <w:numPr>
          <w:ilvl w:val="0"/>
          <w:numId w:val="14"/>
        </w:numPr>
        <w:ind w:firstLine="360"/>
        <w:spacing w:before="0" w:after="0"/>
        <w:rPr>
          <w:rFonts w:ascii="宋体" w:hAnsi="宋体"/>
          <w:b/>
          <w:color w:val="auto"/>
          <w:sz w:val="28"/>
          <w:szCs w:val="28"/>
          <w:highlight w:val="none"/>
        </w:rPr>
      </w:pPr>
      <w:r>
        <w:rPr>
          <w:rFonts w:hint="eastAsia" w:ascii="宋体" w:hAnsi="宋体"/>
          <w:b/>
          <w:color w:val="auto"/>
          <w:sz w:val="28"/>
          <w:szCs w:val="28"/>
          <w:highlight w:val="none"/>
        </w:rPr>
        <w:br w:type="page" w:clear="all"/>
      </w:r>
      <w:r>
        <w:rPr>
          <w:rFonts w:hint="eastAsia" w:ascii="宋体" w:hAnsi="宋体"/>
          <w:b/>
          <w:color w:val="auto"/>
          <w:sz w:val="28"/>
          <w:szCs w:val="28"/>
          <w:highlight w:val="none"/>
        </w:rPr>
        <w:t xml:space="preserve">评分标准</w:t>
      </w:r>
      <w:r/>
    </w:p>
    <w:p>
      <w:pPr>
        <w:pStyle w:val="1211"/>
        <w:ind w:firstLine="422"/>
        <w:spacing w:before="0" w:after="0" w:line="360" w:lineRule="auto"/>
        <w:rPr>
          <w:rFonts w:hint="eastAsia" w:ascii="宋体" w:hAnsi="宋体" w:eastAsia="宋体" w:cs="宋体"/>
          <w:b/>
          <w:color w:val="auto"/>
          <w:sz w:val="28"/>
          <w:szCs w:val="28"/>
          <w:highlight w:val="none"/>
        </w:rPr>
      </w:pPr>
      <w:r>
        <w:rPr>
          <w:rFonts w:hint="eastAsia" w:ascii="宋体" w:hAnsi="宋体" w:eastAsia="宋体" w:cs="宋体"/>
          <w:b/>
          <w:color w:val="auto"/>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numPr>
          <w:ilvl w:val="0"/>
          <w:numId w:val="0"/>
        </w:numPr>
        <w:spacing w:line="360" w:lineRule="auto"/>
        <w:tabs>
          <w:tab w:val="left" w:pos="525" w:leader="none"/>
          <w:tab w:val="left" w:pos="945" w:leader="none"/>
          <w:tab w:val="left" w:pos="1155" w:leader="none"/>
          <w:tab w:val="left" w:pos="3823" w:leader="none"/>
        </w:tabs>
        <w:rPr>
          <w:rFonts w:hint="eastAsia" w:ascii="宋体" w:hAnsi="宋体"/>
          <w:b/>
          <w:bCs/>
          <w:color w:val="auto"/>
          <w:sz w:val="24"/>
          <w:highlight w:val="none"/>
        </w:rPr>
      </w:pPr>
      <w:r>
        <w:rPr>
          <w:rFonts w:hint="eastAsia" w:ascii="宋体" w:hAnsi="宋体"/>
          <w:b/>
          <w:bCs/>
          <w:color w:val="auto"/>
          <w:sz w:val="24"/>
          <w:highlight w:val="none"/>
        </w:rPr>
        <w:t xml:space="preserve">1、价格分（3</w:t>
      </w:r>
      <w:r>
        <w:rPr>
          <w:rFonts w:ascii="宋体" w:hAnsi="宋体"/>
          <w:b/>
          <w:bCs/>
          <w:color w:val="auto"/>
          <w:sz w:val="24"/>
          <w:highlight w:val="none"/>
        </w:rPr>
        <w:t xml:space="preserve">0</w:t>
      </w:r>
      <w:r>
        <w:rPr>
          <w:rFonts w:hint="eastAsia" w:ascii="宋体" w:hAnsi="宋体"/>
          <w:b/>
          <w:bCs/>
          <w:color w:val="auto"/>
          <w:sz w:val="24"/>
          <w:highlight w:val="none"/>
        </w:rPr>
        <w:t xml:space="preserve">分）：</w:t>
      </w:r>
      <w:r/>
    </w:p>
    <w:p>
      <w:pPr>
        <w:ind w:firstLine="480"/>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采用低价优先法计算，即满足招标文件要求且投标价格最低的投标报价为评标基准价，其价格分为满分。其他投标人的投标报价得分统一按照下列公式计算：</w:t>
      </w:r>
      <w:r/>
    </w:p>
    <w:p>
      <w:pPr>
        <w:ind w:firstLine="480"/>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投标报价得分</w:t>
      </w:r>
      <w:r>
        <w:rPr>
          <w:rFonts w:ascii="宋体" w:hAnsi="宋体"/>
          <w:bCs/>
          <w:color w:val="auto"/>
          <w:sz w:val="24"/>
          <w:highlight w:val="none"/>
        </w:rPr>
        <w:t xml:space="preserve">=</w:t>
      </w:r>
      <w:r>
        <w:rPr>
          <w:rFonts w:hint="eastAsia" w:ascii="宋体" w:hAnsi="宋体"/>
          <w:bCs/>
          <w:color w:val="auto"/>
          <w:sz w:val="24"/>
          <w:highlight w:val="none"/>
        </w:rPr>
        <w:t xml:space="preserve">（评标基准价／投标报价）×价格权值×</w:t>
      </w:r>
      <w:r>
        <w:rPr>
          <w:rFonts w:ascii="宋体" w:hAnsi="宋体"/>
          <w:bCs/>
          <w:color w:val="auto"/>
          <w:sz w:val="24"/>
          <w:highlight w:val="none"/>
        </w:rPr>
        <w:t xml:space="preserve">100</w:t>
      </w:r>
      <w:r>
        <w:rPr>
          <w:rFonts w:hint="eastAsia" w:ascii="宋体" w:hAnsi="宋体"/>
          <w:bCs/>
          <w:color w:val="auto"/>
          <w:sz w:val="24"/>
          <w:highlight w:val="none"/>
        </w:rPr>
        <w:t xml:space="preserve">。</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关于价格扣除详见本章第二部分“一、落实政府采购政策的价格调整”。</w:t>
      </w:r>
      <w:r/>
    </w:p>
    <w:p>
      <w:pPr>
        <w:numPr>
          <w:ilvl w:val="4"/>
          <w:numId w:val="0"/>
        </w:numPr>
        <w:spacing w:line="360" w:lineRule="auto"/>
        <w:tabs>
          <w:tab w:val="left" w:pos="525" w:leader="none"/>
          <w:tab w:val="left" w:pos="945" w:leader="none"/>
          <w:tab w:val="left" w:pos="1155" w:leader="none"/>
          <w:tab w:val="left" w:pos="3823" w:leader="none"/>
        </w:tabs>
        <w:rPr>
          <w:rFonts w:hint="eastAsia" w:ascii="宋体" w:hAnsi="宋体" w:eastAsia="Arial" w:cs="Times New Roman"/>
          <w:b/>
          <w:bCs/>
          <w:color w:val="auto"/>
          <w:sz w:val="24"/>
          <w:szCs w:val="22"/>
          <w:highlight w:val="none"/>
          <w:lang w:val="en-US" w:eastAsia="zh-CN" w:bidi="ar-SA"/>
        </w:rPr>
      </w:pPr>
      <w:r>
        <w:rPr>
          <w:rFonts w:hint="eastAsia" w:ascii="宋体" w:hAnsi="宋体" w:eastAsia="宋体" w:cs="宋体"/>
          <w:b/>
          <w:bCs/>
          <w:color w:val="auto"/>
          <w:sz w:val="24"/>
          <w:szCs w:val="24"/>
          <w:highlight w:val="none"/>
        </w:rPr>
        <w:t xml:space="preserve">2、商务标部分</w:t>
      </w:r>
      <w:r>
        <w:rPr>
          <w:rFonts w:hint="eastAsia" w:ascii="宋体" w:hAnsi="宋体"/>
          <w:b/>
          <w:bCs/>
          <w:color w:val="auto"/>
          <w:sz w:val="24"/>
          <w:highlight w:val="none"/>
        </w:rPr>
        <w:t xml:space="preserve">（</w:t>
      </w:r>
      <w:r>
        <w:rPr>
          <w:rFonts w:hint="eastAsia" w:ascii="宋体" w:hAnsi="宋体" w:eastAsia="宋体"/>
          <w:b/>
          <w:bCs/>
          <w:color w:val="auto"/>
          <w:sz w:val="24"/>
          <w:highlight w:val="none"/>
          <w:lang w:val="en-US" w:eastAsia="zh-CN"/>
        </w:rPr>
        <w:t xml:space="preserve">30</w:t>
      </w:r>
      <w:r>
        <w:rPr>
          <w:rFonts w:hint="eastAsia" w:ascii="宋体" w:hAnsi="宋体"/>
          <w:b/>
          <w:bCs/>
          <w:color w:val="auto"/>
          <w:sz w:val="24"/>
          <w:highlight w:val="none"/>
        </w:rPr>
        <w:t xml:space="preserve">分）：</w:t>
      </w:r>
      <w:r/>
    </w:p>
    <w:p>
      <w:pPr>
        <w:numPr>
          <w:ilvl w:val="4"/>
          <w:numId w:val="0"/>
        </w:numPr>
        <w:ind w:left="0" w:firstLine="482"/>
        <w:spacing w:line="360" w:lineRule="auto"/>
        <w:tabs>
          <w:tab w:val="left" w:pos="525" w:leader="none"/>
          <w:tab w:val="left" w:pos="945" w:leader="none"/>
          <w:tab w:val="left" w:pos="1155" w:leader="none"/>
          <w:tab w:val="left" w:pos="3823" w:leader="none"/>
        </w:tabs>
        <w:rPr>
          <w:rFonts w:hint="eastAsia" w:ascii="宋体" w:hAnsi="宋体"/>
          <w:b/>
          <w:bCs/>
          <w:color w:val="auto"/>
          <w:sz w:val="24"/>
          <w:highlight w:val="none"/>
        </w:rPr>
      </w:pPr>
      <w:r>
        <w:rPr>
          <w:rFonts w:hint="eastAsia" w:ascii="宋体" w:hAnsi="宋体"/>
          <w:b/>
          <w:bCs/>
          <w:color w:val="auto"/>
          <w:sz w:val="24"/>
          <w:highlight w:val="none"/>
          <w:lang w:val="zh-CN"/>
        </w:rPr>
        <w:t xml:space="preserve">（1）</w:t>
      </w:r>
      <w:r>
        <w:rPr>
          <w:rFonts w:hint="eastAsia" w:ascii="宋体" w:hAnsi="宋体"/>
          <w:b/>
          <w:bCs/>
          <w:color w:val="auto"/>
          <w:sz w:val="24"/>
          <w:highlight w:val="none"/>
        </w:rPr>
        <w:t xml:space="preserve">项目人员配置情况（1</w:t>
      </w:r>
      <w:r>
        <w:rPr>
          <w:rFonts w:hint="eastAsia" w:ascii="宋体" w:hAnsi="宋体" w:eastAsia="宋体"/>
          <w:b/>
          <w:bCs/>
          <w:color w:val="auto"/>
          <w:sz w:val="24"/>
          <w:highlight w:val="none"/>
          <w:lang w:val="en-US" w:eastAsia="zh-CN"/>
        </w:rPr>
        <w:t xml:space="preserve">0</w:t>
      </w:r>
      <w:r>
        <w:rPr>
          <w:rFonts w:hint="eastAsia" w:ascii="宋体" w:hAnsi="宋体"/>
          <w:b/>
          <w:bCs/>
          <w:color w:val="auto"/>
          <w:sz w:val="24"/>
          <w:highlight w:val="none"/>
        </w:rPr>
        <w:t xml:space="preserve">分）：</w:t>
      </w:r>
      <w:r>
        <w:rPr>
          <w:rFonts w:hint="eastAsia" w:ascii="宋体" w:hAnsi="宋体"/>
          <w:bCs/>
          <w:color w:val="auto"/>
          <w:sz w:val="24"/>
          <w:highlight w:val="none"/>
        </w:rPr>
        <w:t xml:space="preserve">考察投标人为本项目配备的人员情况，人员以填列的《项目人员配置清单》为准（格式见附件），并按评分标准要求提供相应证明材料及表格要求提供所填人员社保证明，否则不得分。</w:t>
      </w:r>
      <w:r/>
    </w:p>
    <w:p>
      <w:pPr>
        <w:ind w:firstLine="480"/>
        <w:spacing w:line="360" w:lineRule="auto"/>
        <w:rPr>
          <w:rFonts w:hint="eastAsia" w:ascii="宋体" w:hAnsi="宋体"/>
          <w:color w:val="auto"/>
          <w:sz w:val="24"/>
          <w:highlight w:val="none"/>
        </w:rPr>
      </w:pPr>
      <w:r>
        <w:rPr>
          <w:rFonts w:hint="eastAsia" w:ascii="宋体" w:hAnsi="宋体" w:eastAsia="宋体" w:cs="宋体"/>
          <w:bCs/>
          <w:color w:val="auto"/>
          <w:sz w:val="24"/>
          <w:szCs w:val="20"/>
          <w:highlight w:val="none"/>
          <w:lang w:val="zh-CN"/>
        </w:rPr>
        <w:t xml:space="preserve">①</w:t>
      </w:r>
      <w:r>
        <w:rPr>
          <w:rFonts w:hint="eastAsia" w:ascii="宋体" w:hAnsi="宋体"/>
          <w:color w:val="auto"/>
          <w:sz w:val="24"/>
          <w:highlight w:val="none"/>
        </w:rPr>
        <w:t xml:space="preserve">项目经理（4分）：投标人拟派项目负责人（项目经理）须具备相关专业能力，该项目经理具有人力资源和社会保障部门或其他国家行政事业部门颁发的信息系统项目管理师证书、网络工程师证书、通信专业技术人员证书、IT服务项目经理证书，每有一个证书得1分，本项最高得4分。提供证明材料扫描上传至投标系统中并加盖公章，不提供或提供不符合要求均不得分。</w:t>
      </w:r>
      <w:r/>
    </w:p>
    <w:p>
      <w:pPr>
        <w:ind w:firstLine="480"/>
        <w:spacing w:line="360" w:lineRule="auto"/>
        <w:rPr>
          <w:rFonts w:hint="eastAsia" w:ascii="宋体" w:hAnsi="宋体"/>
          <w:color w:val="auto"/>
          <w:sz w:val="24"/>
          <w:highlight w:val="none"/>
        </w:rPr>
      </w:pPr>
      <w:r>
        <w:rPr>
          <w:rFonts w:hint="default" w:ascii="宋体" w:hAnsi="宋体"/>
          <w:color w:val="auto"/>
          <w:sz w:val="24"/>
          <w:highlight w:val="none"/>
          <w:lang w:val="en-US" w:eastAsia="zh-CN"/>
        </w:rPr>
        <w:t xml:space="preserve">②</w:t>
      </w:r>
      <w:r>
        <w:rPr>
          <w:rFonts w:hint="eastAsia" w:ascii="宋体" w:hAnsi="宋体"/>
          <w:color w:val="auto"/>
          <w:sz w:val="24"/>
          <w:highlight w:val="none"/>
        </w:rPr>
        <w:t xml:space="preserve">运维服务负责人（2分）：投标人为本项目配备运维服务负责人一名，该负责人具有人力资源和社会保障部门颁发的信息系统项目管理师证书得1分、系统集成项目管理工程师证书得1分，本项最高得2分。提供证明材料扫描上传至投标系统中并加盖公章，不提供或提供不符合要求均不得分。</w:t>
      </w:r>
      <w:r/>
    </w:p>
    <w:p>
      <w:pPr>
        <w:ind w:firstLine="480"/>
        <w:spacing w:line="360" w:lineRule="auto"/>
        <w:rPr>
          <w:rFonts w:ascii="宋体" w:hAnsi="宋体"/>
          <w:color w:val="auto"/>
          <w:sz w:val="24"/>
          <w:highlight w:val="none"/>
        </w:rPr>
      </w:pPr>
      <w:r>
        <w:rPr>
          <w:rFonts w:hint="default" w:ascii="宋体" w:hAnsi="宋体"/>
          <w:color w:val="auto"/>
          <w:sz w:val="24"/>
          <w:highlight w:val="none"/>
          <w:lang w:val="en-US" w:eastAsia="zh-CN"/>
        </w:rPr>
        <w:t xml:space="preserve">③</w:t>
      </w:r>
      <w:r>
        <w:rPr>
          <w:rFonts w:hint="eastAsia" w:ascii="宋体" w:hAnsi="宋体"/>
          <w:color w:val="auto"/>
          <w:sz w:val="24"/>
          <w:highlight w:val="none"/>
        </w:rPr>
        <w:t xml:space="preserve">项目组成员（4分）：投标人拟投入本项目组的人员应配置合理，其他成员（不含项目负责人和运维服务负责人）具有人力资源和社会保障部门或其他国家行政事业部门颁发的信息系统项目管理师证书、系统集成项目管理工程师证书、电子信息工程系列（专业）工程师证书、注册信息安全专业人员（CISP）证书，每有一个证书得1分，本项最高得4分，项目组成员（不含项目负责人和运维服务负责人）同一成员具有不同种类证书或不同成员具有同一种类证书，均不可累加得分。提供证明材料扫描上传至投标系统中并加盖公章，不提供或提供不符合要求均不得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注：提供上述人员相关证书和与企业签订的劳动合同或由有关部门出具的近六个月（不含投标当月）任意一个月的社保缴费证明（新成立的企业若不满足六个月（不含投标当月），提供成立之后相关人员的相关月份的社保缴费证明）。</w:t>
      </w:r>
      <w:r/>
    </w:p>
    <w:p>
      <w:pPr>
        <w:numPr>
          <w:ilvl w:val="4"/>
          <w:numId w:val="0"/>
        </w:numPr>
        <w:ind w:left="0" w:firstLine="482"/>
        <w:spacing w:line="360" w:lineRule="auto"/>
        <w:tabs>
          <w:tab w:val="left" w:pos="525" w:leader="none"/>
          <w:tab w:val="left" w:pos="945" w:leader="none"/>
          <w:tab w:val="left" w:pos="1155" w:leader="none"/>
          <w:tab w:val="left" w:pos="3823" w:leader="none"/>
        </w:tabs>
        <w:rPr>
          <w:rFonts w:hint="eastAsia" w:ascii="宋体" w:hAnsi="宋体"/>
          <w:b/>
          <w:bCs/>
          <w:color w:val="auto"/>
          <w:sz w:val="24"/>
          <w:highlight w:val="none"/>
        </w:rPr>
      </w:pPr>
      <w:r>
        <w:rPr>
          <w:rFonts w:hint="eastAsia" w:ascii="宋体" w:hAnsi="宋体"/>
          <w:b/>
          <w:bCs/>
          <w:color w:val="auto"/>
          <w:sz w:val="24"/>
          <w:highlight w:val="none"/>
          <w:lang w:val="zh-CN"/>
        </w:rPr>
        <w:t xml:space="preserve">（</w:t>
      </w:r>
      <w:r>
        <w:rPr>
          <w:rFonts w:hint="eastAsia" w:ascii="宋体" w:hAnsi="宋体"/>
          <w:b/>
          <w:bCs/>
          <w:color w:val="auto"/>
          <w:sz w:val="24"/>
          <w:highlight w:val="none"/>
          <w:lang w:val="en-US" w:eastAsia="zh-CN"/>
        </w:rPr>
        <w:t xml:space="preserve">2</w:t>
      </w:r>
      <w:r>
        <w:rPr>
          <w:rFonts w:hint="eastAsia" w:ascii="宋体" w:hAnsi="宋体"/>
          <w:b/>
          <w:bCs/>
          <w:color w:val="auto"/>
          <w:sz w:val="24"/>
          <w:highlight w:val="none"/>
          <w:lang w:val="zh-CN"/>
        </w:rPr>
        <w:t xml:space="preserve">）</w:t>
      </w:r>
      <w:r>
        <w:rPr>
          <w:rFonts w:hint="eastAsia" w:ascii="宋体" w:hAnsi="宋体"/>
          <w:b/>
          <w:bCs/>
          <w:color w:val="auto"/>
          <w:sz w:val="24"/>
          <w:highlight w:val="none"/>
        </w:rPr>
        <w:t xml:space="preserve">投标人综合情况（6分）：</w:t>
      </w:r>
      <w:r/>
    </w:p>
    <w:p>
      <w:pPr>
        <w:ind w:firstLine="480"/>
        <w:spacing w:line="360" w:lineRule="auto"/>
        <w:rPr>
          <w:rFonts w:hint="eastAsia" w:ascii="宋体" w:hAnsi="宋体"/>
          <w:color w:val="auto"/>
          <w:sz w:val="24"/>
          <w:highlight w:val="none"/>
        </w:rPr>
      </w:pPr>
      <w:r>
        <w:rPr>
          <w:rFonts w:hint="eastAsia" w:ascii="宋体" w:hAnsi="宋体" w:eastAsia="宋体" w:cs="宋体"/>
          <w:bCs/>
          <w:color w:val="auto"/>
          <w:sz w:val="24"/>
          <w:szCs w:val="20"/>
          <w:highlight w:val="none"/>
          <w:lang w:val="zh-CN"/>
        </w:rPr>
        <w:t xml:space="preserve">①</w:t>
      </w:r>
      <w:r>
        <w:rPr>
          <w:rFonts w:hint="eastAsia" w:ascii="宋体" w:hAnsi="宋体"/>
          <w:color w:val="auto"/>
          <w:sz w:val="24"/>
          <w:highlight w:val="none"/>
        </w:rPr>
        <w:t xml:space="preserve">业绩（4分）：投标人自2023年1月1日以来（以合同签订日期为准）具有与本项目同类的业绩，每提供一份得2分，最高得4分。须提供相应有效合同扫描件扫描上传至投标系统中并加盖公章，不提供或提供不符合要求均不得分。</w:t>
      </w:r>
      <w:r/>
    </w:p>
    <w:p>
      <w:pPr>
        <w:ind w:firstLine="480"/>
        <w:spacing w:line="360" w:lineRule="auto"/>
        <w:rPr>
          <w:rFonts w:hint="eastAsia" w:ascii="宋体" w:hAnsi="宋体"/>
          <w:color w:val="auto"/>
          <w:sz w:val="24"/>
          <w:highlight w:val="none"/>
        </w:rPr>
      </w:pPr>
      <w:r>
        <w:rPr>
          <w:rFonts w:hint="default" w:ascii="宋体" w:hAnsi="宋体"/>
          <w:color w:val="auto"/>
          <w:sz w:val="24"/>
          <w:highlight w:val="none"/>
          <w:lang w:val="en-US" w:eastAsia="zh-CN"/>
        </w:rPr>
        <w:t xml:space="preserve">②</w:t>
      </w:r>
      <w:r>
        <w:rPr>
          <w:rFonts w:hint="eastAsia" w:ascii="宋体" w:hAnsi="宋体"/>
          <w:color w:val="auto"/>
          <w:sz w:val="24"/>
          <w:highlight w:val="none"/>
        </w:rPr>
        <w:t xml:space="preserve">体系认证（2分）：投标人具有有效期内的质量管理体系认证证书、信息安全管理体系认证证书、信息技术服务管理体系、隐私信息管理体系认证证书的，每有一项的得0.5分，最高得2分。投标文件中须提供相应证书扫描件和该证书在“国家市场监督管理总局-全国认证认可信息公共服务平台”网站查询到的有效认证截图扫描上传至投标系统中并加盖公章，不提供或提供不符合要求均不得分，否则不得分。</w:t>
      </w:r>
      <w:bookmarkStart w:id="150" w:name="OLE_LINK2"/>
      <w:r/>
      <w:bookmarkEnd w:id="150"/>
      <w:r/>
      <w:r/>
    </w:p>
    <w:p>
      <w:pPr>
        <w:numPr>
          <w:ilvl w:val="4"/>
          <w:numId w:val="0"/>
        </w:numPr>
        <w:ind w:left="0" w:firstLine="482"/>
        <w:spacing w:line="360" w:lineRule="auto"/>
        <w:tabs>
          <w:tab w:val="left" w:pos="525" w:leader="none"/>
          <w:tab w:val="left" w:pos="945" w:leader="none"/>
          <w:tab w:val="left" w:pos="1155" w:leader="none"/>
          <w:tab w:val="left" w:pos="3823" w:leader="none"/>
        </w:tabs>
        <w:rPr>
          <w:rFonts w:hint="eastAsia" w:ascii="宋体" w:hAnsi="宋体"/>
          <w:b/>
          <w:bCs/>
          <w:color w:val="auto"/>
          <w:sz w:val="24"/>
          <w:highlight w:val="none"/>
        </w:rPr>
      </w:pPr>
      <w:r>
        <w:rPr>
          <w:rFonts w:hint="eastAsia" w:ascii="宋体" w:hAnsi="宋体"/>
          <w:b/>
          <w:bCs/>
          <w:color w:val="auto"/>
          <w:sz w:val="24"/>
          <w:highlight w:val="none"/>
          <w:lang w:val="zh-CN"/>
        </w:rPr>
        <w:t xml:space="preserve">（</w:t>
      </w:r>
      <w:r>
        <w:rPr>
          <w:rFonts w:hint="eastAsia" w:ascii="宋体" w:hAnsi="宋体" w:eastAsia="宋体"/>
          <w:b/>
          <w:bCs/>
          <w:color w:val="auto"/>
          <w:sz w:val="24"/>
          <w:highlight w:val="none"/>
          <w:lang w:val="en-US" w:eastAsia="zh-CN"/>
        </w:rPr>
        <w:t xml:space="preserve">3</w:t>
      </w:r>
      <w:r>
        <w:rPr>
          <w:rFonts w:hint="eastAsia" w:ascii="宋体" w:hAnsi="宋体"/>
          <w:b/>
          <w:bCs/>
          <w:color w:val="auto"/>
          <w:sz w:val="24"/>
          <w:highlight w:val="none"/>
          <w:lang w:val="zh-CN"/>
        </w:rPr>
        <w:t xml:space="preserve">）</w:t>
      </w:r>
      <w:r>
        <w:rPr>
          <w:rFonts w:hint="eastAsia" w:ascii="宋体" w:hAnsi="宋体"/>
          <w:b/>
          <w:bCs/>
          <w:color w:val="auto"/>
          <w:sz w:val="24"/>
          <w:highlight w:val="none"/>
        </w:rPr>
        <w:t xml:space="preserve">设备原厂技术保障能力（</w:t>
      </w:r>
      <w:r>
        <w:rPr>
          <w:rFonts w:hint="eastAsia" w:ascii="宋体" w:hAnsi="宋体" w:eastAsia="宋体"/>
          <w:b/>
          <w:bCs/>
          <w:color w:val="auto"/>
          <w:sz w:val="24"/>
          <w:highlight w:val="none"/>
          <w:lang w:val="en-US" w:eastAsia="zh-CN"/>
        </w:rPr>
        <w:t xml:space="preserve">6</w:t>
      </w:r>
      <w:r>
        <w:rPr>
          <w:rFonts w:hint="eastAsia" w:ascii="宋体" w:hAnsi="宋体"/>
          <w:b/>
          <w:bCs/>
          <w:color w:val="auto"/>
          <w:sz w:val="24"/>
          <w:highlight w:val="none"/>
        </w:rPr>
        <w:t xml:space="preserve">分）：</w:t>
      </w:r>
      <w:r/>
    </w:p>
    <w:p>
      <w:pPr>
        <w:ind w:firstLine="480"/>
        <w:spacing w:line="360" w:lineRule="auto"/>
        <w:tabs>
          <w:tab w:val="left" w:pos="510" w:leader="none"/>
          <w:tab w:val="left" w:pos="945" w:leader="none"/>
          <w:tab w:val="left" w:pos="1155" w:leader="none"/>
          <w:tab w:val="left" w:pos="3823" w:leader="none"/>
        </w:tabs>
        <w:rPr>
          <w:rFonts w:hint="eastAsia" w:ascii="宋体" w:hAnsi="宋体"/>
          <w:color w:val="auto"/>
          <w:sz w:val="24"/>
          <w:highlight w:val="none"/>
        </w:rPr>
      </w:pPr>
      <w:r>
        <w:rPr>
          <w:rFonts w:hint="eastAsia" w:ascii="宋体" w:hAnsi="宋体"/>
          <w:color w:val="auto"/>
          <w:sz w:val="24"/>
          <w:highlight w:val="none"/>
        </w:rPr>
        <w:t xml:space="preserve">投标人所投设备的质保和实施服务均能有原厂商工程师提供现场支持的，包括：交换机、手术行为管理设备（智能收/发衣机、智能更衣柜）、手术行为管理设备（智能收/发鞋机、智能更鞋柜）、智慧病房设备（医护主机、床头分机、门口分机、卫生间分机）、多参数生命体征采集设备、全自动台式血压计。以上内容每有一类的得1分，最高6分。投标文件中须提供设备原厂商针对本项目的售后服务承诺函扫描件并加盖公章，否则不得分。</w:t>
      </w:r>
      <w:r/>
    </w:p>
    <w:p>
      <w:pPr>
        <w:numPr>
          <w:ilvl w:val="4"/>
          <w:numId w:val="0"/>
        </w:numPr>
        <w:ind w:left="0" w:firstLine="482"/>
        <w:spacing w:line="360" w:lineRule="auto"/>
        <w:tabs>
          <w:tab w:val="left" w:pos="510" w:leader="none"/>
          <w:tab w:val="left" w:pos="945" w:leader="none"/>
          <w:tab w:val="left" w:pos="1155" w:leader="none"/>
          <w:tab w:val="left" w:pos="3823" w:leader="none"/>
        </w:tabs>
        <w:rPr>
          <w:rFonts w:hint="eastAsia" w:ascii="宋体" w:hAnsi="宋体"/>
          <w:b/>
          <w:bCs/>
          <w:color w:val="auto"/>
          <w:sz w:val="24"/>
          <w:highlight w:val="none"/>
        </w:rPr>
      </w:pPr>
      <w:r>
        <w:rPr>
          <w:rFonts w:hint="eastAsia" w:ascii="宋体" w:hAnsi="宋体"/>
          <w:b/>
          <w:bCs/>
          <w:color w:val="auto"/>
          <w:sz w:val="24"/>
          <w:highlight w:val="none"/>
          <w:lang w:val="zh-CN"/>
        </w:rPr>
        <w:t xml:space="preserve">（</w:t>
      </w:r>
      <w:r>
        <w:rPr>
          <w:rFonts w:hint="eastAsia" w:ascii="宋体" w:hAnsi="宋体" w:eastAsia="宋体"/>
          <w:b/>
          <w:bCs/>
          <w:color w:val="auto"/>
          <w:sz w:val="24"/>
          <w:highlight w:val="none"/>
          <w:lang w:val="en-US" w:eastAsia="zh-CN"/>
        </w:rPr>
        <w:t xml:space="preserve">4</w:t>
      </w:r>
      <w:r>
        <w:rPr>
          <w:rFonts w:hint="eastAsia" w:ascii="宋体" w:hAnsi="宋体"/>
          <w:b/>
          <w:bCs/>
          <w:color w:val="auto"/>
          <w:sz w:val="24"/>
          <w:highlight w:val="none"/>
          <w:lang w:val="zh-CN"/>
        </w:rPr>
        <w:t xml:space="preserve">）</w:t>
      </w:r>
      <w:r>
        <w:rPr>
          <w:rFonts w:hint="eastAsia" w:ascii="宋体" w:hAnsi="宋体"/>
          <w:b/>
          <w:bCs/>
          <w:color w:val="auto"/>
          <w:sz w:val="24"/>
          <w:highlight w:val="none"/>
        </w:rPr>
        <w:t xml:space="preserve">技术响应（6分）</w:t>
      </w:r>
      <w:r/>
    </w:p>
    <w:p>
      <w:pPr>
        <w:ind w:firstLine="480"/>
        <w:spacing w:line="360" w:lineRule="auto"/>
        <w:tabs>
          <w:tab w:val="left" w:pos="510" w:leader="none"/>
          <w:tab w:val="left" w:pos="945" w:leader="none"/>
          <w:tab w:val="left" w:pos="1155" w:leader="none"/>
          <w:tab w:val="left" w:pos="3823" w:leader="none"/>
        </w:tabs>
        <w:rPr>
          <w:rFonts w:hint="eastAsia" w:ascii="宋体" w:hAnsi="宋体"/>
          <w:color w:val="auto"/>
          <w:sz w:val="24"/>
          <w:highlight w:val="none"/>
        </w:rPr>
      </w:pPr>
      <w:r>
        <w:rPr>
          <w:rFonts w:hint="eastAsia" w:ascii="宋体" w:hAnsi="宋体"/>
          <w:color w:val="auto"/>
          <w:sz w:val="24"/>
          <w:highlight w:val="none"/>
        </w:rPr>
        <w:t xml:space="preserve">针对本项目核心产品，投标人所投产品具备原厂授权证明资料和相应产品的第三方检测报告扫描上传至投标系统中并加盖公章，不提供或提供不符合要求均不得分。</w:t>
      </w:r>
      <w:r/>
    </w:p>
    <w:p>
      <w:pPr>
        <w:ind w:firstLine="480"/>
        <w:spacing w:line="360" w:lineRule="auto"/>
        <w:tabs>
          <w:tab w:val="left" w:pos="510" w:leader="none"/>
          <w:tab w:val="left" w:pos="945" w:leader="none"/>
          <w:tab w:val="left" w:pos="1155" w:leader="none"/>
          <w:tab w:val="left" w:pos="3823" w:leader="none"/>
        </w:tabs>
        <w:rPr>
          <w:rFonts w:hint="eastAsia" w:ascii="宋体" w:hAnsi="宋体"/>
          <w:color w:val="auto"/>
          <w:sz w:val="24"/>
          <w:highlight w:val="none"/>
        </w:rPr>
      </w:pPr>
      <w:r>
        <w:rPr>
          <w:rFonts w:hint="eastAsia" w:ascii="宋体" w:hAnsi="宋体" w:eastAsia="宋体" w:cs="宋体"/>
          <w:bCs/>
          <w:color w:val="auto"/>
          <w:sz w:val="24"/>
          <w:szCs w:val="20"/>
          <w:highlight w:val="none"/>
          <w:lang w:val="zh-CN"/>
        </w:rPr>
        <w:t xml:space="preserve">①</w:t>
      </w:r>
      <w:r>
        <w:rPr>
          <w:rFonts w:hint="eastAsia" w:ascii="宋体" w:hAnsi="宋体"/>
          <w:color w:val="auto"/>
          <w:sz w:val="24"/>
          <w:highlight w:val="none"/>
        </w:rPr>
        <w:t xml:space="preserve">智能发鞋机（3分）：</w:t>
      </w:r>
      <w:r/>
    </w:p>
    <w:p>
      <w:pPr>
        <w:ind w:firstLine="480"/>
        <w:spacing w:line="360" w:lineRule="auto"/>
        <w:tabs>
          <w:tab w:val="left" w:pos="510" w:leader="none"/>
          <w:tab w:val="left" w:pos="945" w:leader="none"/>
          <w:tab w:val="left" w:pos="1155" w:leader="none"/>
          <w:tab w:val="left" w:pos="3823" w:leader="none"/>
        </w:tabs>
        <w:rPr>
          <w:rFonts w:hint="eastAsia" w:ascii="宋体" w:hAnsi="宋体"/>
          <w:color w:val="auto"/>
          <w:sz w:val="24"/>
          <w:highlight w:val="none"/>
        </w:rPr>
      </w:pPr>
      <w:r>
        <w:rPr>
          <w:rFonts w:hint="eastAsia" w:ascii="宋体" w:hAnsi="宋体"/>
          <w:color w:val="auto"/>
          <w:sz w:val="24"/>
          <w:highlight w:val="none"/>
        </w:rPr>
        <w:t xml:space="preserve">1）投标人所投产品具备加盖原厂公章的授权证明，得1分；</w:t>
      </w:r>
      <w:r/>
    </w:p>
    <w:p>
      <w:pPr>
        <w:ind w:firstLine="480"/>
        <w:spacing w:line="360" w:lineRule="auto"/>
        <w:tabs>
          <w:tab w:val="left" w:pos="510" w:leader="none"/>
          <w:tab w:val="left" w:pos="945" w:leader="none"/>
          <w:tab w:val="left" w:pos="1155" w:leader="none"/>
          <w:tab w:val="left" w:pos="3823" w:leader="none"/>
        </w:tabs>
        <w:rPr>
          <w:rFonts w:hint="eastAsia" w:ascii="宋体" w:hAnsi="宋体"/>
          <w:color w:val="auto"/>
          <w:sz w:val="24"/>
          <w:highlight w:val="none"/>
        </w:rPr>
      </w:pPr>
      <w:r>
        <w:rPr>
          <w:rFonts w:hint="eastAsia" w:ascii="宋体" w:hAnsi="宋体"/>
          <w:color w:val="auto"/>
          <w:sz w:val="24"/>
          <w:highlight w:val="none"/>
        </w:rPr>
        <w:t xml:space="preserve">2）电气安全认证（1分）：产品满足国标（GB9706.1–2020医用电气设备第1部分：基本安全和基本性能的通用要求）医用电气设备通用要求，提供电气安全检测证书，提供由第三方检验检测机构出具的检验检测报告，得1分；</w:t>
      </w:r>
      <w:r/>
    </w:p>
    <w:p>
      <w:pPr>
        <w:ind w:firstLine="480"/>
        <w:spacing w:line="360" w:lineRule="auto"/>
        <w:tabs>
          <w:tab w:val="left" w:pos="510" w:leader="none"/>
          <w:tab w:val="left" w:pos="945" w:leader="none"/>
          <w:tab w:val="left" w:pos="1155" w:leader="none"/>
          <w:tab w:val="left" w:pos="3823" w:leader="none"/>
        </w:tabs>
        <w:rPr>
          <w:rFonts w:hint="eastAsia" w:ascii="宋体" w:hAnsi="宋体"/>
          <w:color w:val="auto"/>
          <w:sz w:val="24"/>
          <w:highlight w:val="none"/>
        </w:rPr>
      </w:pPr>
      <w:r>
        <w:rPr>
          <w:rFonts w:hint="eastAsia" w:ascii="宋体" w:hAnsi="宋体"/>
          <w:color w:val="auto"/>
          <w:sz w:val="24"/>
          <w:highlight w:val="none"/>
        </w:rPr>
        <w:t xml:space="preserve">3）电磁兼容性认证（1分）：产品满足医用电气设备通用要求：（YY 9706.102–2021 医用电气设备第1-2部分：基本安全和基本性能的通用要求并列标准：电磁兼容要求和试验）医用电气设备通用要求，提供电磁兼容性检测证书，提供由第三方检验检测机构出具的检验检测报告，得1分。</w:t>
      </w:r>
      <w:r/>
    </w:p>
    <w:p>
      <w:pPr>
        <w:ind w:firstLine="480"/>
        <w:spacing w:line="360" w:lineRule="auto"/>
        <w:tabs>
          <w:tab w:val="left" w:pos="510" w:leader="none"/>
          <w:tab w:val="left" w:pos="945" w:leader="none"/>
          <w:tab w:val="left" w:pos="1155" w:leader="none"/>
          <w:tab w:val="left" w:pos="3823" w:leader="none"/>
        </w:tabs>
        <w:rPr>
          <w:rFonts w:hint="eastAsia" w:ascii="宋体" w:hAnsi="宋体"/>
          <w:color w:val="auto"/>
          <w:sz w:val="24"/>
          <w:highlight w:val="none"/>
        </w:rPr>
      </w:pPr>
      <w:r>
        <w:rPr>
          <w:rFonts w:hint="default" w:ascii="宋体" w:hAnsi="宋体"/>
          <w:color w:val="auto"/>
          <w:sz w:val="24"/>
          <w:highlight w:val="none"/>
          <w:lang w:val="en-US" w:eastAsia="zh-CN"/>
        </w:rPr>
        <w:t xml:space="preserve">②</w:t>
      </w:r>
      <w:r>
        <w:rPr>
          <w:rFonts w:hint="eastAsia" w:ascii="宋体" w:hAnsi="宋体"/>
          <w:color w:val="auto"/>
          <w:sz w:val="24"/>
          <w:highlight w:val="none"/>
        </w:rPr>
        <w:t xml:space="preserve">智能发衣机（3分）：</w:t>
      </w:r>
      <w:r/>
    </w:p>
    <w:p>
      <w:pPr>
        <w:ind w:firstLine="480"/>
        <w:spacing w:line="360" w:lineRule="auto"/>
        <w:tabs>
          <w:tab w:val="left" w:pos="510" w:leader="none"/>
          <w:tab w:val="left" w:pos="945" w:leader="none"/>
          <w:tab w:val="left" w:pos="1155" w:leader="none"/>
          <w:tab w:val="left" w:pos="3823" w:leader="none"/>
        </w:tabs>
        <w:rPr>
          <w:rFonts w:hint="eastAsia" w:ascii="宋体" w:hAnsi="宋体"/>
          <w:color w:val="auto"/>
          <w:sz w:val="24"/>
          <w:highlight w:val="none"/>
        </w:rPr>
      </w:pPr>
      <w:r>
        <w:rPr>
          <w:rFonts w:hint="eastAsia" w:ascii="宋体" w:hAnsi="宋体"/>
          <w:color w:val="auto"/>
          <w:sz w:val="24"/>
          <w:highlight w:val="none"/>
        </w:rPr>
        <w:t xml:space="preserve">1）投标人所投产品具备加盖原厂公章的授权证明，得1分；</w:t>
      </w:r>
      <w:r/>
    </w:p>
    <w:p>
      <w:pPr>
        <w:ind w:firstLine="480"/>
        <w:spacing w:line="360" w:lineRule="auto"/>
        <w:tabs>
          <w:tab w:val="left" w:pos="510" w:leader="none"/>
          <w:tab w:val="left" w:pos="945" w:leader="none"/>
          <w:tab w:val="left" w:pos="1155" w:leader="none"/>
          <w:tab w:val="left" w:pos="3823" w:leader="none"/>
        </w:tabs>
        <w:rPr>
          <w:rFonts w:hint="eastAsia" w:ascii="宋体" w:hAnsi="宋体"/>
          <w:color w:val="auto"/>
          <w:sz w:val="24"/>
          <w:highlight w:val="none"/>
        </w:rPr>
      </w:pPr>
      <w:r>
        <w:rPr>
          <w:rFonts w:hint="eastAsia" w:ascii="宋体" w:hAnsi="宋体"/>
          <w:color w:val="auto"/>
          <w:sz w:val="24"/>
          <w:highlight w:val="none"/>
        </w:rPr>
        <w:t xml:space="preserve">2）电气安全认证（1分）：产品满足国标（GB 9706.1–2020 医用电气设备 第1部分：基本安全和基本性能的通用要求）医用电气设备通用要求，提供电气安全检测证书，提供由第三方检验检测机构</w:t>
      </w:r>
      <w:r>
        <w:rPr>
          <w:rFonts w:hint="eastAsia" w:ascii="宋体" w:hAnsi="宋体" w:eastAsia="宋体"/>
          <w:color w:val="auto"/>
          <w:sz w:val="24"/>
          <w:highlight w:val="none"/>
          <w:lang w:eastAsia="zh-CN"/>
        </w:rPr>
        <w:t xml:space="preserve">出具</w:t>
      </w:r>
      <w:r>
        <w:rPr>
          <w:rFonts w:hint="eastAsia" w:ascii="宋体" w:hAnsi="宋体"/>
          <w:color w:val="auto"/>
          <w:sz w:val="24"/>
          <w:highlight w:val="none"/>
        </w:rPr>
        <w:t xml:space="preserve">的检验检测报告，得1分；</w:t>
      </w:r>
      <w:r/>
    </w:p>
    <w:p>
      <w:pPr>
        <w:ind w:firstLine="480"/>
        <w:spacing w:line="360" w:lineRule="auto"/>
        <w:tabs>
          <w:tab w:val="left" w:pos="510" w:leader="none"/>
          <w:tab w:val="left" w:pos="945" w:leader="none"/>
          <w:tab w:val="left" w:pos="1155" w:leader="none"/>
          <w:tab w:val="left" w:pos="3823" w:leader="none"/>
        </w:tabs>
        <w:rPr>
          <w:rFonts w:hint="eastAsia" w:ascii="宋体" w:hAnsi="宋体"/>
          <w:color w:val="auto"/>
          <w:sz w:val="24"/>
          <w:highlight w:val="none"/>
        </w:rPr>
      </w:pPr>
      <w:r>
        <w:rPr>
          <w:rFonts w:hint="eastAsia" w:ascii="宋体" w:hAnsi="宋体" w:eastAsia="宋体"/>
          <w:color w:val="auto"/>
          <w:sz w:val="24"/>
          <w:highlight w:val="none"/>
          <w:lang w:val="en-US" w:eastAsia="zh-CN"/>
        </w:rPr>
        <w:t xml:space="preserve">3</w:t>
      </w:r>
      <w:r>
        <w:rPr>
          <w:rFonts w:hint="eastAsia" w:ascii="宋体" w:hAnsi="宋体"/>
          <w:color w:val="auto"/>
          <w:sz w:val="24"/>
          <w:highlight w:val="none"/>
        </w:rPr>
        <w:t xml:space="preserve">）电磁兼容性认证（1分）：产品满足医用电气设备通用要求：（YY 9706.102–2021 医用电气设备 第1-2部分</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基本安全和基本性能的通用要求并列标准</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 电磁兼容要求和试验）医用电气设备通用要求，提供电磁兼容性检测证书，提供由第三方检验检测机构出具的检验检测报告，得1分。</w:t>
      </w:r>
      <w:r/>
    </w:p>
    <w:p>
      <w:pPr>
        <w:numPr>
          <w:ilvl w:val="4"/>
          <w:numId w:val="0"/>
        </w:numPr>
        <w:ind w:firstLine="240"/>
        <w:spacing w:line="360" w:lineRule="auto"/>
        <w:tabs>
          <w:tab w:val="left" w:pos="525" w:leader="none"/>
          <w:tab w:val="left" w:pos="945" w:leader="none"/>
          <w:tab w:val="left" w:pos="1155" w:leader="none"/>
          <w:tab w:val="left" w:pos="3823" w:leader="none"/>
        </w:tabs>
        <w:rPr>
          <w:rFonts w:hint="eastAsia" w:ascii="宋体" w:hAnsi="宋体"/>
          <w:b/>
          <w:bCs/>
          <w:color w:val="auto"/>
          <w:sz w:val="24"/>
          <w:highlight w:val="none"/>
        </w:rPr>
      </w:pPr>
      <w:r>
        <w:rPr>
          <w:rFonts w:hint="eastAsia" w:ascii="宋体" w:hAnsi="宋体"/>
          <w:b/>
          <w:bCs/>
          <w:color w:val="auto"/>
          <w:sz w:val="24"/>
          <w:highlight w:val="none"/>
          <w:lang w:val="zh-CN"/>
        </w:rPr>
        <w:t xml:space="preserve">（</w:t>
      </w:r>
      <w:r>
        <w:rPr>
          <w:rFonts w:hint="eastAsia" w:ascii="宋体" w:hAnsi="宋体" w:eastAsia="宋体"/>
          <w:b/>
          <w:bCs/>
          <w:color w:val="auto"/>
          <w:sz w:val="24"/>
          <w:highlight w:val="none"/>
          <w:lang w:val="en-US" w:eastAsia="zh-CN"/>
        </w:rPr>
        <w:t xml:space="preserve">5</w:t>
      </w:r>
      <w:r>
        <w:rPr>
          <w:rFonts w:hint="eastAsia" w:ascii="宋体" w:hAnsi="宋体"/>
          <w:b/>
          <w:bCs/>
          <w:color w:val="auto"/>
          <w:sz w:val="24"/>
          <w:highlight w:val="none"/>
          <w:lang w:val="zh-CN"/>
        </w:rPr>
        <w:t xml:space="preserve">）</w:t>
      </w:r>
      <w:r>
        <w:rPr>
          <w:rFonts w:hint="eastAsia" w:ascii="宋体" w:hAnsi="宋体"/>
          <w:b/>
          <w:bCs/>
          <w:color w:val="auto"/>
          <w:sz w:val="24"/>
          <w:highlight w:val="none"/>
        </w:rPr>
        <w:t xml:space="preserve">节能、环保产品（</w:t>
      </w:r>
      <w:r>
        <w:rPr>
          <w:rFonts w:hint="eastAsia" w:ascii="宋体" w:hAnsi="宋体" w:eastAsia="宋体"/>
          <w:b/>
          <w:bCs/>
          <w:color w:val="auto"/>
          <w:sz w:val="24"/>
          <w:highlight w:val="none"/>
          <w:lang w:val="en-US" w:eastAsia="zh-CN"/>
        </w:rPr>
        <w:t xml:space="preserve">2</w:t>
      </w:r>
      <w:r>
        <w:rPr>
          <w:rFonts w:hint="eastAsia" w:ascii="宋体" w:hAnsi="宋体"/>
          <w:b/>
          <w:bCs/>
          <w:color w:val="auto"/>
          <w:sz w:val="24"/>
          <w:highlight w:val="none"/>
        </w:rPr>
        <w:t xml:space="preserve">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依据财政部、发展改革委发布的《节能产品政府采购品目清单》和财政部、生态环境部发布的《环境标志产品政府采购品目清单》以及</w:t>
      </w:r>
      <w:r>
        <w:rPr>
          <w:rFonts w:ascii="宋体" w:hAnsi="宋体"/>
          <w:color w:val="auto"/>
          <w:sz w:val="24"/>
          <w:highlight w:val="none"/>
        </w:rPr>
        <w:t xml:space="preserve">《江苏省财政厅关于加强政府绿色采购有关事项的通知》（苏财购〔2023〕65号）</w:t>
      </w:r>
      <w:r>
        <w:rPr>
          <w:rFonts w:hint="eastAsia" w:ascii="宋体" w:hAnsi="宋体"/>
          <w:color w:val="auto"/>
          <w:sz w:val="24"/>
          <w:highlight w:val="none"/>
        </w:rPr>
        <w:t xml:space="preserve">，投标人能够提供所投产品为政府采购节能（政府强制采购节能产品除外）产品的得</w:t>
      </w:r>
      <w:r>
        <w:rPr>
          <w:rFonts w:hint="eastAsia" w:ascii="宋体" w:hAnsi="宋体" w:eastAsia="宋体"/>
          <w:color w:val="auto"/>
          <w:sz w:val="24"/>
          <w:highlight w:val="none"/>
          <w:lang w:val="en-US" w:eastAsia="zh-CN"/>
        </w:rPr>
        <w:t xml:space="preserve">0.5</w:t>
      </w:r>
      <w:r>
        <w:rPr>
          <w:rFonts w:hint="eastAsia" w:ascii="宋体" w:hAnsi="宋体"/>
          <w:color w:val="auto"/>
          <w:sz w:val="24"/>
          <w:highlight w:val="none"/>
        </w:rPr>
        <w:t xml:space="preserve">分、能够提供所投产品为环保产品的得</w:t>
      </w:r>
      <w:r>
        <w:rPr>
          <w:rFonts w:hint="eastAsia" w:ascii="宋体" w:hAnsi="宋体" w:eastAsia="宋体"/>
          <w:color w:val="auto"/>
          <w:sz w:val="24"/>
          <w:highlight w:val="none"/>
          <w:lang w:val="en-US" w:eastAsia="zh-CN"/>
        </w:rPr>
        <w:t xml:space="preserve">0.5</w:t>
      </w:r>
      <w:r>
        <w:rPr>
          <w:rFonts w:hint="eastAsia" w:ascii="宋体" w:hAnsi="宋体"/>
          <w:color w:val="auto"/>
          <w:sz w:val="24"/>
          <w:highlight w:val="none"/>
        </w:rPr>
        <w:t xml:space="preserve">分、能够提供所投产品符合国家和江苏省VOCs含量限制标准或推荐性标准产品证明的得1分（投标时须提供所投产品由国家确定的认证机构出具的、处于有效期之内的节能产品认证证书复印件、环境标志产品认证证书复印件、相应使用低VOCs 含量的有效证明材料，否则不得分）。</w:t>
      </w:r>
      <w:r/>
    </w:p>
    <w:p>
      <w:pPr>
        <w:numPr>
          <w:ilvl w:val="4"/>
          <w:numId w:val="0"/>
        </w:numPr>
        <w:spacing w:line="360" w:lineRule="auto"/>
        <w:tabs>
          <w:tab w:val="left" w:pos="525" w:leader="none"/>
          <w:tab w:val="left" w:pos="945" w:leader="none"/>
          <w:tab w:val="left" w:pos="1155" w:leader="none"/>
          <w:tab w:val="left" w:pos="3823" w:leader="none"/>
        </w:tabs>
        <w:rPr>
          <w:rFonts w:hint="eastAsia" w:ascii="宋体" w:hAnsi="宋体"/>
          <w:b/>
          <w:bCs/>
          <w:color w:val="auto"/>
          <w:sz w:val="24"/>
          <w:highlight w:val="none"/>
        </w:rPr>
      </w:pPr>
      <w:r>
        <w:rPr>
          <w:rFonts w:hint="eastAsia" w:ascii="宋体" w:hAnsi="宋体"/>
          <w:b/>
          <w:bCs/>
          <w:color w:val="auto"/>
          <w:sz w:val="24"/>
          <w:highlight w:val="none"/>
        </w:rPr>
        <w:t xml:space="preserve">3、技术标部分（</w:t>
      </w:r>
      <w:r>
        <w:rPr>
          <w:rFonts w:hint="eastAsia" w:ascii="宋体" w:hAnsi="宋体" w:eastAsia="宋体"/>
          <w:b/>
          <w:bCs/>
          <w:color w:val="auto"/>
          <w:sz w:val="24"/>
          <w:highlight w:val="none"/>
          <w:lang w:val="en-US" w:eastAsia="zh-CN"/>
        </w:rPr>
        <w:t xml:space="preserve">40</w:t>
      </w:r>
      <w:r>
        <w:rPr>
          <w:rFonts w:hint="eastAsia" w:ascii="宋体" w:hAnsi="宋体"/>
          <w:b/>
          <w:bCs/>
          <w:color w:val="auto"/>
          <w:sz w:val="24"/>
          <w:highlight w:val="none"/>
        </w:rPr>
        <w:t xml:space="preserve">分）：无方案不得分</w:t>
      </w:r>
      <w:r/>
    </w:p>
    <w:p>
      <w:pPr>
        <w:ind w:firstLine="480"/>
        <w:spacing w:line="360" w:lineRule="auto"/>
        <w:rPr>
          <w:rFonts w:hint="eastAsia" w:ascii="宋体" w:hAnsi="宋体"/>
          <w:color w:val="auto"/>
          <w:sz w:val="24"/>
          <w:highlight w:val="none"/>
        </w:rPr>
      </w:pPr>
      <w:r>
        <w:rPr>
          <w:rFonts w:hint="eastAsia" w:ascii="宋体" w:hAnsi="宋体"/>
          <w:b w:val="0"/>
          <w:bCs w:val="0"/>
          <w:color w:val="auto"/>
          <w:sz w:val="24"/>
          <w:highlight w:val="none"/>
          <w:lang w:val="zh-CN"/>
        </w:rPr>
        <w:t xml:space="preserve">（1）</w:t>
      </w:r>
      <w:r>
        <w:rPr>
          <w:rFonts w:ascii="宋体" w:hAnsi="宋体" w:cs="宋体"/>
          <w:b w:val="0"/>
          <w:bCs w:val="0"/>
          <w:color w:val="auto"/>
          <w:sz w:val="24"/>
          <w:highlight w:val="none"/>
        </w:rPr>
        <w:t xml:space="preserve">总体</w:t>
      </w:r>
      <w:r>
        <w:rPr>
          <w:rFonts w:hint="eastAsia" w:ascii="宋体" w:hAnsi="宋体" w:cs="宋体"/>
          <w:color w:val="auto"/>
          <w:sz w:val="24"/>
          <w:highlight w:val="none"/>
        </w:rPr>
        <w:t xml:space="preserve">技术</w:t>
      </w:r>
      <w:r>
        <w:rPr>
          <w:rFonts w:ascii="宋体" w:hAnsi="宋体" w:cs="宋体"/>
          <w:color w:val="auto"/>
          <w:sz w:val="24"/>
          <w:highlight w:val="none"/>
        </w:rPr>
        <w:t xml:space="preserve">方案（</w:t>
      </w:r>
      <w:r>
        <w:rPr>
          <w:rFonts w:hint="eastAsia" w:ascii="宋体" w:hAnsi="宋体" w:eastAsia="宋体" w:cs="宋体"/>
          <w:color w:val="auto"/>
          <w:sz w:val="24"/>
          <w:highlight w:val="none"/>
          <w:lang w:val="en-US" w:eastAsia="zh-CN"/>
        </w:rPr>
        <w:t xml:space="preserve">8</w:t>
      </w:r>
      <w:r>
        <w:rPr>
          <w:rFonts w:ascii="宋体" w:hAnsi="宋体" w:cs="宋体"/>
          <w:color w:val="auto"/>
          <w:sz w:val="24"/>
          <w:highlight w:val="none"/>
        </w:rPr>
        <w:t xml:space="preserve">分）：投标人需提供</w:t>
      </w:r>
      <w:r>
        <w:rPr>
          <w:rFonts w:ascii="宋体" w:hAnsi="宋体"/>
          <w:color w:val="auto"/>
          <w:sz w:val="24"/>
          <w:highlight w:val="none"/>
        </w:rPr>
        <w:t xml:space="preserve">总体方案，包括规划依据、需求分析、</w:t>
      </w:r>
      <w:r>
        <w:rPr>
          <w:rFonts w:hint="eastAsia" w:ascii="宋体" w:hAnsi="宋体"/>
          <w:color w:val="auto"/>
          <w:sz w:val="24"/>
          <w:highlight w:val="none"/>
        </w:rPr>
        <w:t xml:space="preserve">一体化</w:t>
      </w:r>
      <w:r>
        <w:rPr>
          <w:rFonts w:ascii="宋体" w:hAnsi="宋体"/>
          <w:color w:val="auto"/>
          <w:sz w:val="24"/>
          <w:highlight w:val="none"/>
        </w:rPr>
        <w:t xml:space="preserve">设计原则</w:t>
      </w:r>
      <w:r>
        <w:rPr>
          <w:rFonts w:hint="eastAsia" w:ascii="宋体" w:hAnsi="宋体"/>
          <w:color w:val="auto"/>
          <w:sz w:val="24"/>
          <w:highlight w:val="none"/>
        </w:rPr>
        <w:t xml:space="preserve">、安全设计</w:t>
      </w:r>
      <w:r>
        <w:rPr>
          <w:rFonts w:ascii="宋体" w:hAnsi="宋体"/>
          <w:color w:val="auto"/>
          <w:sz w:val="24"/>
          <w:highlight w:val="none"/>
        </w:rPr>
        <w:t xml:space="preserve">等内容。</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方案完整，科学合理，设计清晰详细，完全符合本项目需求，且能够提供上述</w:t>
      </w:r>
      <w:r>
        <w:rPr>
          <w:rFonts w:hint="eastAsia" w:ascii="宋体" w:hAnsi="宋体"/>
          <w:color w:val="auto"/>
          <w:sz w:val="24"/>
          <w:highlight w:val="none"/>
        </w:rPr>
        <w:t xml:space="preserve">4</w:t>
      </w:r>
      <w:r>
        <w:rPr>
          <w:rFonts w:ascii="宋体" w:hAnsi="宋体"/>
          <w:color w:val="auto"/>
          <w:sz w:val="24"/>
          <w:highlight w:val="none"/>
        </w:rPr>
        <w:t xml:space="preserve">项全部方案的，得</w:t>
      </w:r>
      <w:r>
        <w:rPr>
          <w:rFonts w:hint="eastAsia" w:ascii="宋体" w:hAnsi="宋体" w:eastAsia="宋体"/>
          <w:color w:val="auto"/>
          <w:sz w:val="24"/>
          <w:highlight w:val="none"/>
          <w:lang w:val="en-US" w:eastAsia="zh-CN"/>
        </w:rPr>
        <w:t xml:space="preserve">8</w:t>
      </w:r>
      <w:r>
        <w:rPr>
          <w:rFonts w:ascii="宋体" w:hAnsi="宋体"/>
          <w:color w:val="auto"/>
          <w:sz w:val="24"/>
          <w:highlight w:val="none"/>
        </w:rPr>
        <w:t xml:space="preserve">分；方案较完整，科学合理性较强，设计较清晰详细，能够符合本项目需求，</w:t>
      </w:r>
      <w:r>
        <w:rPr>
          <w:rFonts w:hint="eastAsia" w:ascii="宋体" w:hAnsi="宋体"/>
          <w:color w:val="auto"/>
          <w:sz w:val="24"/>
          <w:highlight w:val="none"/>
        </w:rPr>
        <w:t xml:space="preserve">缺失</w:t>
      </w:r>
      <w:r>
        <w:rPr>
          <w:rFonts w:ascii="宋体" w:hAnsi="宋体"/>
          <w:color w:val="auto"/>
          <w:sz w:val="24"/>
          <w:highlight w:val="none"/>
        </w:rPr>
        <w:t xml:space="preserve">上述</w:t>
      </w:r>
      <w:r>
        <w:rPr>
          <w:rFonts w:hint="eastAsia" w:ascii="宋体" w:hAnsi="宋体"/>
          <w:color w:val="auto"/>
          <w:sz w:val="24"/>
          <w:highlight w:val="none"/>
        </w:rPr>
        <w:t xml:space="preserve">1</w:t>
      </w:r>
      <w:r>
        <w:rPr>
          <w:rFonts w:ascii="宋体" w:hAnsi="宋体"/>
          <w:color w:val="auto"/>
          <w:sz w:val="24"/>
          <w:highlight w:val="none"/>
        </w:rPr>
        <w:t xml:space="preserve">项方案的，得</w:t>
      </w:r>
      <w:r>
        <w:rPr>
          <w:rFonts w:hint="eastAsia" w:ascii="宋体" w:hAnsi="宋体"/>
          <w:color w:val="auto"/>
          <w:sz w:val="24"/>
          <w:highlight w:val="none"/>
        </w:rPr>
        <w:t xml:space="preserve">5</w:t>
      </w:r>
      <w:r>
        <w:rPr>
          <w:rFonts w:ascii="宋体" w:hAnsi="宋体"/>
          <w:color w:val="auto"/>
          <w:sz w:val="24"/>
          <w:highlight w:val="none"/>
        </w:rPr>
        <w:t xml:space="preserve">分；方案完整性、科学合理性、设计的清晰详细程度等只能基本满足要求，</w:t>
      </w:r>
      <w:r>
        <w:rPr>
          <w:rFonts w:hint="eastAsia" w:ascii="宋体" w:hAnsi="宋体"/>
          <w:color w:val="auto"/>
          <w:sz w:val="24"/>
          <w:highlight w:val="none"/>
        </w:rPr>
        <w:t xml:space="preserve">缺失</w:t>
      </w:r>
      <w:r>
        <w:rPr>
          <w:rFonts w:ascii="宋体" w:hAnsi="宋体"/>
          <w:color w:val="auto"/>
          <w:sz w:val="24"/>
          <w:highlight w:val="none"/>
        </w:rPr>
        <w:t xml:space="preserve">上述</w:t>
      </w:r>
      <w:r>
        <w:rPr>
          <w:rFonts w:hint="eastAsia" w:ascii="宋体" w:hAnsi="宋体"/>
          <w:color w:val="auto"/>
          <w:sz w:val="24"/>
          <w:highlight w:val="none"/>
        </w:rPr>
        <w:t xml:space="preserve">2</w:t>
      </w:r>
      <w:r>
        <w:rPr>
          <w:rFonts w:ascii="宋体" w:hAnsi="宋体"/>
          <w:color w:val="auto"/>
          <w:sz w:val="24"/>
          <w:highlight w:val="none"/>
        </w:rPr>
        <w:t xml:space="preserve">项方案</w:t>
      </w:r>
      <w:r>
        <w:rPr>
          <w:rFonts w:hint="eastAsia" w:ascii="宋体" w:hAnsi="宋体"/>
          <w:color w:val="auto"/>
          <w:sz w:val="24"/>
          <w:highlight w:val="none"/>
        </w:rPr>
        <w:t xml:space="preserve">的</w:t>
      </w:r>
      <w:r>
        <w:rPr>
          <w:rFonts w:ascii="宋体" w:hAnsi="宋体"/>
          <w:color w:val="auto"/>
          <w:sz w:val="24"/>
          <w:highlight w:val="none"/>
        </w:rPr>
        <w:t xml:space="preserve">，得</w:t>
      </w:r>
      <w:r>
        <w:rPr>
          <w:rFonts w:hint="eastAsia" w:ascii="宋体" w:hAnsi="宋体"/>
          <w:color w:val="auto"/>
          <w:sz w:val="24"/>
          <w:highlight w:val="none"/>
        </w:rPr>
        <w:t xml:space="preserve">3</w:t>
      </w:r>
      <w:r>
        <w:rPr>
          <w:rFonts w:ascii="宋体" w:hAnsi="宋体"/>
          <w:color w:val="auto"/>
          <w:sz w:val="24"/>
          <w:highlight w:val="none"/>
        </w:rPr>
        <w:t xml:space="preserve">分；提供方案不足2项或无方案的，不得分。</w:t>
      </w:r>
      <w:r/>
    </w:p>
    <w:p>
      <w:pPr>
        <w:ind w:firstLine="480"/>
        <w:spacing w:line="360" w:lineRule="auto"/>
        <w:rPr>
          <w:rFonts w:hint="eastAsia" w:ascii="宋体" w:hAnsi="宋体"/>
          <w:color w:val="auto"/>
          <w:sz w:val="24"/>
          <w:highlight w:val="none"/>
        </w:rPr>
      </w:pPr>
      <w:r>
        <w:rPr>
          <w:rFonts w:hint="eastAsia" w:ascii="宋体" w:hAnsi="宋体"/>
          <w:b w:val="0"/>
          <w:bCs w:val="0"/>
          <w:color w:val="auto"/>
          <w:sz w:val="24"/>
          <w:highlight w:val="none"/>
          <w:lang w:val="zh-CN"/>
        </w:rPr>
        <w:t xml:space="preserve">（</w:t>
      </w:r>
      <w:r>
        <w:rPr>
          <w:rFonts w:hint="eastAsia" w:ascii="宋体" w:hAnsi="宋体" w:eastAsia="宋体"/>
          <w:b w:val="0"/>
          <w:bCs w:val="0"/>
          <w:color w:val="auto"/>
          <w:sz w:val="24"/>
          <w:highlight w:val="none"/>
          <w:lang w:val="en-US" w:eastAsia="zh-CN"/>
        </w:rPr>
        <w:t xml:space="preserve">2</w:t>
      </w:r>
      <w:r>
        <w:rPr>
          <w:rFonts w:hint="eastAsia" w:ascii="宋体" w:hAnsi="宋体"/>
          <w:b w:val="0"/>
          <w:bCs w:val="0"/>
          <w:color w:val="auto"/>
          <w:sz w:val="24"/>
          <w:highlight w:val="none"/>
          <w:lang w:val="zh-CN"/>
        </w:rPr>
        <w:t xml:space="preserve">）</w:t>
      </w:r>
      <w:r>
        <w:rPr>
          <w:rFonts w:ascii="宋体" w:hAnsi="宋体"/>
          <w:color w:val="auto"/>
          <w:sz w:val="24"/>
          <w:highlight w:val="none"/>
        </w:rPr>
        <w:t xml:space="preserve">项目实施方案（</w:t>
      </w:r>
      <w:r>
        <w:rPr>
          <w:rFonts w:hint="eastAsia" w:ascii="宋体" w:hAnsi="宋体"/>
          <w:color w:val="auto"/>
          <w:sz w:val="24"/>
          <w:highlight w:val="none"/>
        </w:rPr>
        <w:t xml:space="preserve">9</w:t>
      </w:r>
      <w:r>
        <w:rPr>
          <w:rFonts w:ascii="宋体" w:hAnsi="宋体"/>
          <w:color w:val="auto"/>
          <w:sz w:val="24"/>
          <w:highlight w:val="none"/>
        </w:rPr>
        <w:t xml:space="preserve">分）：投标人需提供项目实施方案，包括实施组织、进度计划、质量管理、风险管理、</w:t>
      </w:r>
      <w:r>
        <w:rPr>
          <w:rFonts w:hint="eastAsia" w:ascii="宋体" w:hAnsi="宋体"/>
          <w:color w:val="auto"/>
          <w:sz w:val="24"/>
          <w:highlight w:val="none"/>
        </w:rPr>
        <w:t xml:space="preserve">设备</w:t>
      </w:r>
      <w:r>
        <w:rPr>
          <w:rFonts w:ascii="宋体" w:hAnsi="宋体"/>
          <w:color w:val="auto"/>
          <w:sz w:val="24"/>
          <w:highlight w:val="none"/>
        </w:rPr>
        <w:t xml:space="preserve">测试与试运行等内容。</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方案完整，科学合理，设计清晰详细，完全符合本项目需求，且能够提供上述</w:t>
      </w:r>
      <w:r>
        <w:rPr>
          <w:rFonts w:hint="eastAsia" w:ascii="宋体" w:hAnsi="宋体"/>
          <w:color w:val="auto"/>
          <w:sz w:val="24"/>
          <w:highlight w:val="none"/>
        </w:rPr>
        <w:t xml:space="preserve">6</w:t>
      </w:r>
      <w:r>
        <w:rPr>
          <w:rFonts w:ascii="宋体" w:hAnsi="宋体"/>
          <w:color w:val="auto"/>
          <w:sz w:val="24"/>
          <w:highlight w:val="none"/>
        </w:rPr>
        <w:t xml:space="preserve">项全部方案的，得</w:t>
      </w:r>
      <w:r>
        <w:rPr>
          <w:rFonts w:hint="eastAsia" w:ascii="宋体" w:hAnsi="宋体"/>
          <w:color w:val="auto"/>
          <w:sz w:val="24"/>
          <w:highlight w:val="none"/>
        </w:rPr>
        <w:t xml:space="preserve">9</w:t>
      </w:r>
      <w:r>
        <w:rPr>
          <w:rFonts w:ascii="宋体" w:hAnsi="宋体"/>
          <w:color w:val="auto"/>
          <w:sz w:val="24"/>
          <w:highlight w:val="none"/>
        </w:rPr>
        <w:t xml:space="preserve">分；方案较完整，科学合理性较强，设计较清晰详细，能够符合本项目需求，</w:t>
      </w:r>
      <w:r>
        <w:rPr>
          <w:rFonts w:hint="eastAsia" w:ascii="宋体" w:hAnsi="宋体"/>
          <w:color w:val="auto"/>
          <w:sz w:val="24"/>
          <w:highlight w:val="none"/>
        </w:rPr>
        <w:t xml:space="preserve">缺失</w:t>
      </w:r>
      <w:r>
        <w:rPr>
          <w:rFonts w:ascii="宋体" w:hAnsi="宋体"/>
          <w:color w:val="auto"/>
          <w:sz w:val="24"/>
          <w:highlight w:val="none"/>
        </w:rPr>
        <w:t xml:space="preserve">上述</w:t>
      </w:r>
      <w:r>
        <w:rPr>
          <w:rFonts w:hint="eastAsia" w:ascii="宋体" w:hAnsi="宋体"/>
          <w:color w:val="auto"/>
          <w:sz w:val="24"/>
          <w:highlight w:val="none"/>
        </w:rPr>
        <w:t xml:space="preserve">1-2</w:t>
      </w:r>
      <w:r>
        <w:rPr>
          <w:rFonts w:ascii="宋体" w:hAnsi="宋体"/>
          <w:color w:val="auto"/>
          <w:sz w:val="24"/>
          <w:highlight w:val="none"/>
        </w:rPr>
        <w:t xml:space="preserve">项方案的，得</w:t>
      </w:r>
      <w:r>
        <w:rPr>
          <w:rFonts w:hint="eastAsia" w:ascii="宋体" w:hAnsi="宋体"/>
          <w:color w:val="auto"/>
          <w:sz w:val="24"/>
          <w:highlight w:val="none"/>
        </w:rPr>
        <w:t xml:space="preserve">7</w:t>
      </w:r>
      <w:r>
        <w:rPr>
          <w:rFonts w:ascii="宋体" w:hAnsi="宋体"/>
          <w:color w:val="auto"/>
          <w:sz w:val="24"/>
          <w:highlight w:val="none"/>
        </w:rPr>
        <w:t xml:space="preserve">分；方案完整性、科学合理性、设计的清晰详细程度等只能基本满足要求，</w:t>
      </w:r>
      <w:r>
        <w:rPr>
          <w:rFonts w:hint="eastAsia" w:ascii="宋体" w:hAnsi="宋体"/>
          <w:color w:val="auto"/>
          <w:sz w:val="24"/>
          <w:highlight w:val="none"/>
        </w:rPr>
        <w:t xml:space="preserve">缺失</w:t>
      </w:r>
      <w:r>
        <w:rPr>
          <w:rFonts w:ascii="宋体" w:hAnsi="宋体"/>
          <w:color w:val="auto"/>
          <w:sz w:val="24"/>
          <w:highlight w:val="none"/>
        </w:rPr>
        <w:t xml:space="preserve">上述</w:t>
      </w:r>
      <w:r>
        <w:rPr>
          <w:rFonts w:hint="eastAsia" w:ascii="宋体" w:hAnsi="宋体"/>
          <w:color w:val="auto"/>
          <w:sz w:val="24"/>
          <w:highlight w:val="none"/>
        </w:rPr>
        <w:t xml:space="preserve">3-4</w:t>
      </w:r>
      <w:r>
        <w:rPr>
          <w:rFonts w:ascii="宋体" w:hAnsi="宋体"/>
          <w:color w:val="auto"/>
          <w:sz w:val="24"/>
          <w:highlight w:val="none"/>
        </w:rPr>
        <w:t xml:space="preserve">项方案</w:t>
      </w:r>
      <w:r>
        <w:rPr>
          <w:rFonts w:hint="eastAsia" w:ascii="宋体" w:hAnsi="宋体"/>
          <w:color w:val="auto"/>
          <w:sz w:val="24"/>
          <w:highlight w:val="none"/>
        </w:rPr>
        <w:t xml:space="preserve">的</w:t>
      </w:r>
      <w:r>
        <w:rPr>
          <w:rFonts w:ascii="宋体" w:hAnsi="宋体"/>
          <w:color w:val="auto"/>
          <w:sz w:val="24"/>
          <w:highlight w:val="none"/>
        </w:rPr>
        <w:t xml:space="preserve">，得</w:t>
      </w:r>
      <w:r>
        <w:rPr>
          <w:rFonts w:hint="eastAsia" w:ascii="宋体" w:hAnsi="宋体"/>
          <w:color w:val="auto"/>
          <w:sz w:val="24"/>
          <w:highlight w:val="none"/>
        </w:rPr>
        <w:t xml:space="preserve">5</w:t>
      </w:r>
      <w:r>
        <w:rPr>
          <w:rFonts w:ascii="宋体" w:hAnsi="宋体"/>
          <w:color w:val="auto"/>
          <w:sz w:val="24"/>
          <w:highlight w:val="none"/>
        </w:rPr>
        <w:t xml:space="preserve">分；提供方案不足2项或无方案的，不得分。</w:t>
      </w:r>
      <w:r/>
    </w:p>
    <w:p>
      <w:pPr>
        <w:ind w:firstLine="480"/>
        <w:spacing w:line="360" w:lineRule="auto"/>
        <w:rPr>
          <w:rFonts w:hint="eastAsia" w:ascii="宋体" w:hAnsi="宋体"/>
          <w:color w:val="auto"/>
          <w:sz w:val="24"/>
          <w:highlight w:val="none"/>
        </w:rPr>
      </w:pPr>
      <w:r>
        <w:rPr>
          <w:rFonts w:hint="eastAsia" w:ascii="宋体" w:hAnsi="宋体"/>
          <w:b w:val="0"/>
          <w:bCs w:val="0"/>
          <w:color w:val="auto"/>
          <w:sz w:val="24"/>
          <w:highlight w:val="none"/>
          <w:lang w:val="zh-CN"/>
        </w:rPr>
        <w:t xml:space="preserve">（</w:t>
      </w:r>
      <w:r>
        <w:rPr>
          <w:rFonts w:hint="eastAsia" w:ascii="宋体" w:hAnsi="宋体" w:eastAsia="宋体"/>
          <w:b w:val="0"/>
          <w:bCs w:val="0"/>
          <w:color w:val="auto"/>
          <w:sz w:val="24"/>
          <w:highlight w:val="none"/>
          <w:lang w:val="en-US" w:eastAsia="zh-CN"/>
        </w:rPr>
        <w:t xml:space="preserve">3</w:t>
      </w:r>
      <w:r>
        <w:rPr>
          <w:rFonts w:hint="eastAsia" w:ascii="宋体" w:hAnsi="宋体"/>
          <w:b w:val="0"/>
          <w:bCs w:val="0"/>
          <w:color w:val="auto"/>
          <w:sz w:val="24"/>
          <w:highlight w:val="none"/>
          <w:lang w:val="zh-CN"/>
        </w:rPr>
        <w:t xml:space="preserve">）</w:t>
      </w:r>
      <w:r>
        <w:rPr>
          <w:rFonts w:hint="eastAsia" w:ascii="宋体" w:hAnsi="宋体"/>
          <w:color w:val="auto"/>
          <w:sz w:val="24"/>
          <w:highlight w:val="none"/>
        </w:rPr>
        <w:t xml:space="preserve">培训</w:t>
      </w:r>
      <w:r>
        <w:rPr>
          <w:rFonts w:ascii="宋体" w:hAnsi="宋体"/>
          <w:color w:val="auto"/>
          <w:sz w:val="24"/>
          <w:highlight w:val="none"/>
        </w:rPr>
        <w:t xml:space="preserve">服务方案（</w:t>
      </w:r>
      <w:r>
        <w:rPr>
          <w:rFonts w:hint="eastAsia" w:ascii="宋体" w:hAnsi="宋体"/>
          <w:color w:val="auto"/>
          <w:sz w:val="24"/>
          <w:highlight w:val="none"/>
        </w:rPr>
        <w:t xml:space="preserve">7</w:t>
      </w:r>
      <w:r>
        <w:rPr>
          <w:rFonts w:ascii="宋体" w:hAnsi="宋体"/>
          <w:color w:val="auto"/>
          <w:sz w:val="24"/>
          <w:highlight w:val="none"/>
        </w:rPr>
        <w:t xml:space="preserve">分）：投标人需提供售后服务方案，包括培训目标、培训对象、培训方式、培训</w:t>
      </w:r>
      <w:r>
        <w:rPr>
          <w:rFonts w:hint="eastAsia" w:ascii="宋体" w:hAnsi="宋体"/>
          <w:color w:val="auto"/>
          <w:sz w:val="24"/>
          <w:highlight w:val="none"/>
        </w:rPr>
        <w:t xml:space="preserve">计划与培训内容</w:t>
      </w:r>
      <w:r>
        <w:rPr>
          <w:rFonts w:ascii="宋体" w:hAnsi="宋体"/>
          <w:color w:val="auto"/>
          <w:sz w:val="24"/>
          <w:highlight w:val="none"/>
        </w:rPr>
        <w:t xml:space="preserve">等内容。</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方案完整，科学合理，设计清晰详细，完全符合本项目需求，且能够提供上述</w:t>
      </w:r>
      <w:r>
        <w:rPr>
          <w:rFonts w:hint="eastAsia" w:ascii="宋体" w:hAnsi="宋体"/>
          <w:color w:val="auto"/>
          <w:sz w:val="24"/>
          <w:highlight w:val="none"/>
        </w:rPr>
        <w:t xml:space="preserve">5</w:t>
      </w:r>
      <w:r>
        <w:rPr>
          <w:rFonts w:ascii="宋体" w:hAnsi="宋体"/>
          <w:color w:val="auto"/>
          <w:sz w:val="24"/>
          <w:highlight w:val="none"/>
        </w:rPr>
        <w:t xml:space="preserve">项全部方案的，得</w:t>
      </w:r>
      <w:r>
        <w:rPr>
          <w:rFonts w:hint="eastAsia" w:ascii="宋体" w:hAnsi="宋体"/>
          <w:color w:val="auto"/>
          <w:sz w:val="24"/>
          <w:highlight w:val="none"/>
        </w:rPr>
        <w:t xml:space="preserve">7</w:t>
      </w:r>
      <w:r>
        <w:rPr>
          <w:rFonts w:ascii="宋体" w:hAnsi="宋体"/>
          <w:color w:val="auto"/>
          <w:sz w:val="24"/>
          <w:highlight w:val="none"/>
        </w:rPr>
        <w:t xml:space="preserve">分；方案较完整，科学合理性较强，设计较清晰详细，能够符合本项目需求，</w:t>
      </w:r>
      <w:r>
        <w:rPr>
          <w:rFonts w:hint="eastAsia" w:ascii="宋体" w:hAnsi="宋体"/>
          <w:color w:val="auto"/>
          <w:sz w:val="24"/>
          <w:highlight w:val="none"/>
        </w:rPr>
        <w:t xml:space="preserve">缺失</w:t>
      </w:r>
      <w:r>
        <w:rPr>
          <w:rFonts w:ascii="宋体" w:hAnsi="宋体"/>
          <w:color w:val="auto"/>
          <w:sz w:val="24"/>
          <w:highlight w:val="none"/>
        </w:rPr>
        <w:t xml:space="preserve">上述</w:t>
      </w:r>
      <w:r>
        <w:rPr>
          <w:rFonts w:hint="eastAsia" w:ascii="宋体" w:hAnsi="宋体"/>
          <w:color w:val="auto"/>
          <w:sz w:val="24"/>
          <w:highlight w:val="none"/>
        </w:rPr>
        <w:t xml:space="preserve">1-2</w:t>
      </w:r>
      <w:r>
        <w:rPr>
          <w:rFonts w:ascii="宋体" w:hAnsi="宋体"/>
          <w:color w:val="auto"/>
          <w:sz w:val="24"/>
          <w:highlight w:val="none"/>
        </w:rPr>
        <w:t xml:space="preserve">项方案的，得</w:t>
      </w:r>
      <w:r>
        <w:rPr>
          <w:rFonts w:hint="eastAsia" w:ascii="宋体" w:hAnsi="宋体"/>
          <w:color w:val="auto"/>
          <w:sz w:val="24"/>
          <w:highlight w:val="none"/>
        </w:rPr>
        <w:t xml:space="preserve">5</w:t>
      </w:r>
      <w:r>
        <w:rPr>
          <w:rFonts w:ascii="宋体" w:hAnsi="宋体"/>
          <w:color w:val="auto"/>
          <w:sz w:val="24"/>
          <w:highlight w:val="none"/>
        </w:rPr>
        <w:t xml:space="preserve">分；方案完整性、科学合理性、设计的清晰详细程度等只能基本满足要求，</w:t>
      </w:r>
      <w:r>
        <w:rPr>
          <w:rFonts w:hint="eastAsia" w:ascii="宋体" w:hAnsi="宋体"/>
          <w:color w:val="auto"/>
          <w:sz w:val="24"/>
          <w:highlight w:val="none"/>
        </w:rPr>
        <w:t xml:space="preserve">缺失</w:t>
      </w:r>
      <w:r>
        <w:rPr>
          <w:rFonts w:ascii="宋体" w:hAnsi="宋体"/>
          <w:color w:val="auto"/>
          <w:sz w:val="24"/>
          <w:highlight w:val="none"/>
        </w:rPr>
        <w:t xml:space="preserve">上述</w:t>
      </w:r>
      <w:r>
        <w:rPr>
          <w:rFonts w:hint="eastAsia" w:ascii="宋体" w:hAnsi="宋体"/>
          <w:color w:val="auto"/>
          <w:sz w:val="24"/>
          <w:highlight w:val="none"/>
        </w:rPr>
        <w:t xml:space="preserve">3-4</w:t>
      </w:r>
      <w:r>
        <w:rPr>
          <w:rFonts w:ascii="宋体" w:hAnsi="宋体"/>
          <w:color w:val="auto"/>
          <w:sz w:val="24"/>
          <w:highlight w:val="none"/>
        </w:rPr>
        <w:t xml:space="preserve">项方案</w:t>
      </w:r>
      <w:r>
        <w:rPr>
          <w:rFonts w:hint="eastAsia" w:ascii="宋体" w:hAnsi="宋体"/>
          <w:color w:val="auto"/>
          <w:sz w:val="24"/>
          <w:highlight w:val="none"/>
        </w:rPr>
        <w:t xml:space="preserve">的</w:t>
      </w:r>
      <w:r>
        <w:rPr>
          <w:rFonts w:ascii="宋体" w:hAnsi="宋体"/>
          <w:color w:val="auto"/>
          <w:sz w:val="24"/>
          <w:highlight w:val="none"/>
        </w:rPr>
        <w:t xml:space="preserve">，得</w:t>
      </w:r>
      <w:r>
        <w:rPr>
          <w:rFonts w:hint="eastAsia" w:ascii="宋体" w:hAnsi="宋体"/>
          <w:color w:val="auto"/>
          <w:sz w:val="24"/>
          <w:highlight w:val="none"/>
        </w:rPr>
        <w:t xml:space="preserve">3</w:t>
      </w:r>
      <w:r>
        <w:rPr>
          <w:rFonts w:ascii="宋体" w:hAnsi="宋体"/>
          <w:color w:val="auto"/>
          <w:sz w:val="24"/>
          <w:highlight w:val="none"/>
        </w:rPr>
        <w:t xml:space="preserve">分；提供方案不足</w:t>
      </w:r>
      <w:r>
        <w:rPr>
          <w:rFonts w:hint="eastAsia" w:ascii="宋体" w:hAnsi="宋体"/>
          <w:color w:val="auto"/>
          <w:sz w:val="24"/>
          <w:highlight w:val="none"/>
        </w:rPr>
        <w:t xml:space="preserve">2</w:t>
      </w:r>
      <w:r>
        <w:rPr>
          <w:rFonts w:ascii="宋体" w:hAnsi="宋体"/>
          <w:color w:val="auto"/>
          <w:sz w:val="24"/>
          <w:highlight w:val="none"/>
        </w:rPr>
        <w:t xml:space="preserve">项或无方案的，不得分。</w:t>
      </w:r>
      <w:r/>
    </w:p>
    <w:p>
      <w:pPr>
        <w:ind w:firstLine="480"/>
        <w:spacing w:line="360" w:lineRule="auto"/>
        <w:rPr>
          <w:rFonts w:hint="eastAsia" w:ascii="宋体" w:hAnsi="宋体"/>
          <w:color w:val="auto"/>
          <w:sz w:val="24"/>
          <w:highlight w:val="none"/>
        </w:rPr>
      </w:pPr>
      <w:r>
        <w:rPr>
          <w:rFonts w:hint="eastAsia" w:ascii="宋体" w:hAnsi="宋体"/>
          <w:b w:val="0"/>
          <w:bCs w:val="0"/>
          <w:color w:val="auto"/>
          <w:sz w:val="24"/>
          <w:highlight w:val="none"/>
          <w:lang w:val="zh-CN"/>
        </w:rPr>
        <w:t xml:space="preserve">（</w:t>
      </w:r>
      <w:r>
        <w:rPr>
          <w:rFonts w:hint="eastAsia" w:ascii="宋体" w:hAnsi="宋体" w:eastAsia="宋体"/>
          <w:b w:val="0"/>
          <w:bCs w:val="0"/>
          <w:color w:val="auto"/>
          <w:sz w:val="24"/>
          <w:highlight w:val="none"/>
          <w:lang w:val="en-US" w:eastAsia="zh-CN"/>
        </w:rPr>
        <w:t xml:space="preserve">4</w:t>
      </w:r>
      <w:r>
        <w:rPr>
          <w:rFonts w:hint="eastAsia" w:ascii="宋体" w:hAnsi="宋体"/>
          <w:b w:val="0"/>
          <w:bCs w:val="0"/>
          <w:color w:val="auto"/>
          <w:sz w:val="24"/>
          <w:highlight w:val="none"/>
          <w:lang w:val="zh-CN"/>
        </w:rPr>
        <w:t xml:space="preserve">）</w:t>
      </w:r>
      <w:r>
        <w:rPr>
          <w:rFonts w:hint="eastAsia" w:ascii="宋体" w:hAnsi="宋体"/>
          <w:color w:val="auto"/>
          <w:sz w:val="24"/>
          <w:highlight w:val="none"/>
        </w:rPr>
        <w:t xml:space="preserve">售后及运维</w:t>
      </w:r>
      <w:r>
        <w:rPr>
          <w:rFonts w:ascii="宋体" w:hAnsi="宋体"/>
          <w:color w:val="auto"/>
          <w:sz w:val="24"/>
          <w:highlight w:val="none"/>
        </w:rPr>
        <w:t xml:space="preserve">服务方案（</w:t>
      </w:r>
      <w:r>
        <w:rPr>
          <w:rFonts w:hint="eastAsia" w:ascii="宋体" w:hAnsi="宋体"/>
          <w:color w:val="auto"/>
          <w:sz w:val="24"/>
          <w:highlight w:val="none"/>
        </w:rPr>
        <w:t xml:space="preserve">9</w:t>
      </w:r>
      <w:r>
        <w:rPr>
          <w:rFonts w:ascii="宋体" w:hAnsi="宋体"/>
          <w:color w:val="auto"/>
          <w:sz w:val="24"/>
          <w:highlight w:val="none"/>
        </w:rPr>
        <w:t xml:space="preserve">分）：投标人需提供</w:t>
      </w:r>
      <w:r>
        <w:rPr>
          <w:rFonts w:hint="eastAsia" w:ascii="宋体" w:hAnsi="宋体"/>
          <w:color w:val="auto"/>
          <w:sz w:val="24"/>
          <w:highlight w:val="none"/>
        </w:rPr>
        <w:t xml:space="preserve">售后及运维</w:t>
      </w:r>
      <w:r>
        <w:rPr>
          <w:rFonts w:ascii="宋体" w:hAnsi="宋体"/>
          <w:color w:val="auto"/>
          <w:sz w:val="24"/>
          <w:highlight w:val="none"/>
        </w:rPr>
        <w:t xml:space="preserve">服务方案，包括售后服务承诺、</w:t>
      </w:r>
      <w:r>
        <w:rPr>
          <w:rFonts w:hint="eastAsia" w:ascii="宋体" w:hAnsi="宋体"/>
          <w:color w:val="auto"/>
          <w:sz w:val="24"/>
          <w:highlight w:val="none"/>
        </w:rPr>
        <w:t xml:space="preserve">售后服务体系、</w:t>
      </w:r>
      <w:r>
        <w:rPr>
          <w:rFonts w:ascii="宋体" w:hAnsi="宋体"/>
          <w:color w:val="auto"/>
          <w:sz w:val="24"/>
          <w:highlight w:val="none"/>
        </w:rPr>
        <w:t xml:space="preserve">售后</w:t>
      </w:r>
      <w:r>
        <w:rPr>
          <w:rFonts w:hint="eastAsia" w:ascii="宋体" w:hAnsi="宋体"/>
          <w:color w:val="auto"/>
          <w:sz w:val="24"/>
          <w:highlight w:val="none"/>
        </w:rPr>
        <w:t xml:space="preserve">服务</w:t>
      </w:r>
      <w:r>
        <w:rPr>
          <w:rFonts w:ascii="宋体" w:hAnsi="宋体"/>
          <w:color w:val="auto"/>
          <w:sz w:val="24"/>
          <w:highlight w:val="none"/>
        </w:rPr>
        <w:t xml:space="preserve">响应、</w:t>
      </w:r>
      <w:r>
        <w:rPr>
          <w:rFonts w:hint="eastAsia" w:ascii="宋体" w:hAnsi="宋体"/>
          <w:color w:val="auto"/>
          <w:sz w:val="24"/>
          <w:highlight w:val="none"/>
        </w:rPr>
        <w:t xml:space="preserve">运维服务思路、运维响应时间、运维服务评价、技术支持及服务方式、设备</w:t>
      </w:r>
      <w:r>
        <w:rPr>
          <w:rFonts w:ascii="宋体" w:hAnsi="宋体"/>
          <w:color w:val="auto"/>
          <w:sz w:val="24"/>
          <w:highlight w:val="none"/>
        </w:rPr>
        <w:t xml:space="preserve">软件升级服务承诺等内容。</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方案完整，科学合理，设计清晰详细，完全符合本项目需求，且能够提供上述</w:t>
      </w:r>
      <w:r>
        <w:rPr>
          <w:rFonts w:hint="eastAsia" w:ascii="宋体" w:hAnsi="宋体"/>
          <w:color w:val="auto"/>
          <w:sz w:val="24"/>
          <w:highlight w:val="none"/>
        </w:rPr>
        <w:t xml:space="preserve">8</w:t>
      </w:r>
      <w:r>
        <w:rPr>
          <w:rFonts w:ascii="宋体" w:hAnsi="宋体"/>
          <w:color w:val="auto"/>
          <w:sz w:val="24"/>
          <w:highlight w:val="none"/>
        </w:rPr>
        <w:t xml:space="preserve">项全部方案的，得</w:t>
      </w:r>
      <w:r>
        <w:rPr>
          <w:rFonts w:hint="eastAsia" w:ascii="宋体" w:hAnsi="宋体"/>
          <w:color w:val="auto"/>
          <w:sz w:val="24"/>
          <w:highlight w:val="none"/>
        </w:rPr>
        <w:t xml:space="preserve">9</w:t>
      </w:r>
      <w:r>
        <w:rPr>
          <w:rFonts w:ascii="宋体" w:hAnsi="宋体"/>
          <w:color w:val="auto"/>
          <w:sz w:val="24"/>
          <w:highlight w:val="none"/>
        </w:rPr>
        <w:t xml:space="preserve">分；方案较完整，科学合理性较强，设计较清晰详细，能够符合本项目需求，</w:t>
      </w:r>
      <w:r>
        <w:rPr>
          <w:rFonts w:hint="eastAsia" w:ascii="宋体" w:hAnsi="宋体"/>
          <w:color w:val="auto"/>
          <w:sz w:val="24"/>
          <w:highlight w:val="none"/>
        </w:rPr>
        <w:t xml:space="preserve">缺失</w:t>
      </w:r>
      <w:r>
        <w:rPr>
          <w:rFonts w:ascii="宋体" w:hAnsi="宋体"/>
          <w:color w:val="auto"/>
          <w:sz w:val="24"/>
          <w:highlight w:val="none"/>
        </w:rPr>
        <w:t xml:space="preserve">上述</w:t>
      </w:r>
      <w:r>
        <w:rPr>
          <w:rFonts w:hint="eastAsia" w:ascii="宋体" w:hAnsi="宋体"/>
          <w:color w:val="auto"/>
          <w:sz w:val="24"/>
          <w:highlight w:val="none"/>
        </w:rPr>
        <w:t xml:space="preserve">1-2</w:t>
      </w:r>
      <w:r>
        <w:rPr>
          <w:rFonts w:ascii="宋体" w:hAnsi="宋体"/>
          <w:color w:val="auto"/>
          <w:sz w:val="24"/>
          <w:highlight w:val="none"/>
        </w:rPr>
        <w:t xml:space="preserve">项方案的，得</w:t>
      </w:r>
      <w:r>
        <w:rPr>
          <w:rFonts w:hint="eastAsia" w:ascii="宋体" w:hAnsi="宋体"/>
          <w:color w:val="auto"/>
          <w:sz w:val="24"/>
          <w:highlight w:val="none"/>
        </w:rPr>
        <w:t xml:space="preserve">7</w:t>
      </w:r>
      <w:r>
        <w:rPr>
          <w:rFonts w:ascii="宋体" w:hAnsi="宋体"/>
          <w:color w:val="auto"/>
          <w:sz w:val="24"/>
          <w:highlight w:val="none"/>
        </w:rPr>
        <w:t xml:space="preserve">分；方案完整性、科学合理性、设计的清晰详细程度等只能基本满足要求，</w:t>
      </w:r>
      <w:r>
        <w:rPr>
          <w:rFonts w:hint="eastAsia" w:ascii="宋体" w:hAnsi="宋体"/>
          <w:color w:val="auto"/>
          <w:sz w:val="24"/>
          <w:highlight w:val="none"/>
        </w:rPr>
        <w:t xml:space="preserve">缺失</w:t>
      </w:r>
      <w:r>
        <w:rPr>
          <w:rFonts w:ascii="宋体" w:hAnsi="宋体"/>
          <w:color w:val="auto"/>
          <w:sz w:val="24"/>
          <w:highlight w:val="none"/>
        </w:rPr>
        <w:t xml:space="preserve">上述</w:t>
      </w:r>
      <w:r>
        <w:rPr>
          <w:rFonts w:hint="eastAsia" w:ascii="宋体" w:hAnsi="宋体"/>
          <w:color w:val="auto"/>
          <w:sz w:val="24"/>
          <w:highlight w:val="none"/>
        </w:rPr>
        <w:t xml:space="preserve">3-5</w:t>
      </w:r>
      <w:r>
        <w:rPr>
          <w:rFonts w:ascii="宋体" w:hAnsi="宋体"/>
          <w:color w:val="auto"/>
          <w:sz w:val="24"/>
          <w:highlight w:val="none"/>
        </w:rPr>
        <w:t xml:space="preserve">项方案</w:t>
      </w:r>
      <w:r>
        <w:rPr>
          <w:rFonts w:hint="eastAsia" w:ascii="宋体" w:hAnsi="宋体"/>
          <w:color w:val="auto"/>
          <w:sz w:val="24"/>
          <w:highlight w:val="none"/>
        </w:rPr>
        <w:t xml:space="preserve">的</w:t>
      </w:r>
      <w:r>
        <w:rPr>
          <w:rFonts w:ascii="宋体" w:hAnsi="宋体"/>
          <w:color w:val="auto"/>
          <w:sz w:val="24"/>
          <w:highlight w:val="none"/>
        </w:rPr>
        <w:t xml:space="preserve">，得</w:t>
      </w:r>
      <w:r>
        <w:rPr>
          <w:rFonts w:hint="eastAsia" w:ascii="宋体" w:hAnsi="宋体"/>
          <w:color w:val="auto"/>
          <w:sz w:val="24"/>
          <w:highlight w:val="none"/>
        </w:rPr>
        <w:t xml:space="preserve">5</w:t>
      </w:r>
      <w:r>
        <w:rPr>
          <w:rFonts w:ascii="宋体" w:hAnsi="宋体"/>
          <w:color w:val="auto"/>
          <w:sz w:val="24"/>
          <w:highlight w:val="none"/>
        </w:rPr>
        <w:t xml:space="preserve">分；提供方案不足</w:t>
      </w:r>
      <w:r>
        <w:rPr>
          <w:rFonts w:hint="eastAsia" w:ascii="宋体" w:hAnsi="宋体"/>
          <w:color w:val="auto"/>
          <w:sz w:val="24"/>
          <w:highlight w:val="none"/>
        </w:rPr>
        <w:t xml:space="preserve">3</w:t>
      </w:r>
      <w:r>
        <w:rPr>
          <w:rFonts w:ascii="宋体" w:hAnsi="宋体"/>
          <w:color w:val="auto"/>
          <w:sz w:val="24"/>
          <w:highlight w:val="none"/>
        </w:rPr>
        <w:t xml:space="preserve">项或无方案的，不得分。</w:t>
      </w:r>
      <w:r/>
    </w:p>
    <w:p>
      <w:pPr>
        <w:ind w:firstLine="480"/>
        <w:spacing w:line="360" w:lineRule="auto"/>
        <w:rPr>
          <w:rFonts w:hint="eastAsia" w:ascii="宋体" w:hAnsi="宋体"/>
          <w:color w:val="auto"/>
          <w:sz w:val="24"/>
          <w:highlight w:val="none"/>
        </w:rPr>
      </w:pPr>
      <w:r>
        <w:rPr>
          <w:rFonts w:hint="eastAsia" w:ascii="宋体" w:hAnsi="宋体"/>
          <w:b w:val="0"/>
          <w:bCs w:val="0"/>
          <w:color w:val="auto"/>
          <w:sz w:val="24"/>
          <w:highlight w:val="none"/>
          <w:lang w:val="zh-CN"/>
        </w:rPr>
        <w:t xml:space="preserve">（</w:t>
      </w:r>
      <w:r>
        <w:rPr>
          <w:rFonts w:hint="eastAsia" w:ascii="宋体" w:hAnsi="宋体" w:eastAsia="宋体"/>
          <w:b w:val="0"/>
          <w:bCs w:val="0"/>
          <w:color w:val="auto"/>
          <w:sz w:val="24"/>
          <w:highlight w:val="none"/>
          <w:lang w:val="en-US" w:eastAsia="zh-CN"/>
        </w:rPr>
        <w:t xml:space="preserve">5</w:t>
      </w:r>
      <w:r>
        <w:rPr>
          <w:rFonts w:hint="eastAsia" w:ascii="宋体" w:hAnsi="宋体"/>
          <w:b w:val="0"/>
          <w:bCs w:val="0"/>
          <w:color w:val="auto"/>
          <w:sz w:val="24"/>
          <w:highlight w:val="none"/>
          <w:lang w:val="zh-CN"/>
        </w:rPr>
        <w:t xml:space="preserve">）</w:t>
      </w:r>
      <w:r>
        <w:rPr>
          <w:rFonts w:hint="eastAsia" w:ascii="宋体" w:hAnsi="宋体"/>
          <w:color w:val="auto"/>
          <w:sz w:val="24"/>
          <w:highlight w:val="none"/>
        </w:rPr>
        <w:t xml:space="preserve">应急保障</w:t>
      </w:r>
      <w:r>
        <w:rPr>
          <w:rFonts w:ascii="宋体" w:hAnsi="宋体"/>
          <w:color w:val="auto"/>
          <w:sz w:val="24"/>
          <w:highlight w:val="none"/>
        </w:rPr>
        <w:t xml:space="preserve">方案（</w:t>
      </w:r>
      <w:r>
        <w:rPr>
          <w:rFonts w:hint="eastAsia" w:ascii="宋体" w:hAnsi="宋体"/>
          <w:color w:val="auto"/>
          <w:sz w:val="24"/>
          <w:highlight w:val="none"/>
        </w:rPr>
        <w:t xml:space="preserve">7</w:t>
      </w:r>
      <w:r>
        <w:rPr>
          <w:rFonts w:ascii="宋体" w:hAnsi="宋体"/>
          <w:color w:val="auto"/>
          <w:sz w:val="24"/>
          <w:highlight w:val="none"/>
        </w:rPr>
        <w:t xml:space="preserve">分）：投标人需提供</w:t>
      </w:r>
      <w:r>
        <w:rPr>
          <w:rFonts w:hint="eastAsia" w:ascii="宋体" w:hAnsi="宋体"/>
          <w:color w:val="auto"/>
          <w:sz w:val="24"/>
          <w:highlight w:val="none"/>
        </w:rPr>
        <w:t xml:space="preserve">应急保障</w:t>
      </w:r>
      <w:r>
        <w:rPr>
          <w:rFonts w:ascii="宋体" w:hAnsi="宋体"/>
          <w:color w:val="auto"/>
          <w:sz w:val="24"/>
          <w:highlight w:val="none"/>
        </w:rPr>
        <w:t xml:space="preserve">方案，包括</w:t>
      </w:r>
      <w:r>
        <w:rPr>
          <w:rFonts w:hint="eastAsia" w:ascii="宋体" w:hAnsi="宋体"/>
          <w:color w:val="auto"/>
          <w:sz w:val="24"/>
          <w:highlight w:val="none"/>
        </w:rPr>
        <w:t xml:space="preserve">突发事件预案、应急组织体系、应急响应与处置、预防预警信息报告、应急预案、后期处置</w:t>
      </w:r>
      <w:r>
        <w:rPr>
          <w:rFonts w:ascii="宋体" w:hAnsi="宋体"/>
          <w:color w:val="auto"/>
          <w:sz w:val="24"/>
          <w:highlight w:val="none"/>
        </w:rPr>
        <w:t xml:space="preserve">等内容。</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方案完整，科学合理，设计清晰详细，完全符合本项目需求，且能够提供上述</w:t>
      </w:r>
      <w:r>
        <w:rPr>
          <w:rFonts w:hint="eastAsia" w:ascii="宋体" w:hAnsi="宋体"/>
          <w:color w:val="auto"/>
          <w:sz w:val="24"/>
          <w:highlight w:val="none"/>
        </w:rPr>
        <w:t xml:space="preserve">6</w:t>
      </w:r>
      <w:r>
        <w:rPr>
          <w:rFonts w:ascii="宋体" w:hAnsi="宋体"/>
          <w:color w:val="auto"/>
          <w:sz w:val="24"/>
          <w:highlight w:val="none"/>
        </w:rPr>
        <w:t xml:space="preserve">项全部方案的，得</w:t>
      </w:r>
      <w:r>
        <w:rPr>
          <w:rFonts w:hint="eastAsia" w:ascii="宋体" w:hAnsi="宋体"/>
          <w:color w:val="auto"/>
          <w:sz w:val="24"/>
          <w:highlight w:val="none"/>
        </w:rPr>
        <w:t xml:space="preserve">7</w:t>
      </w:r>
      <w:r>
        <w:rPr>
          <w:rFonts w:ascii="宋体" w:hAnsi="宋体"/>
          <w:color w:val="auto"/>
          <w:sz w:val="24"/>
          <w:highlight w:val="none"/>
        </w:rPr>
        <w:t xml:space="preserve">分；方案较完整，科学合理性较强，设计较清晰详细，能够符合本项目需求，</w:t>
      </w:r>
      <w:r>
        <w:rPr>
          <w:rFonts w:hint="eastAsia" w:ascii="宋体" w:hAnsi="宋体"/>
          <w:color w:val="auto"/>
          <w:sz w:val="24"/>
          <w:highlight w:val="none"/>
        </w:rPr>
        <w:t xml:space="preserve">缺失</w:t>
      </w:r>
      <w:r>
        <w:rPr>
          <w:rFonts w:ascii="宋体" w:hAnsi="宋体"/>
          <w:color w:val="auto"/>
          <w:sz w:val="24"/>
          <w:highlight w:val="none"/>
        </w:rPr>
        <w:t xml:space="preserve">上述</w:t>
      </w:r>
      <w:r>
        <w:rPr>
          <w:rFonts w:hint="eastAsia" w:ascii="宋体" w:hAnsi="宋体"/>
          <w:color w:val="auto"/>
          <w:sz w:val="24"/>
          <w:highlight w:val="none"/>
        </w:rPr>
        <w:t xml:space="preserve">1-2</w:t>
      </w:r>
      <w:r>
        <w:rPr>
          <w:rFonts w:ascii="宋体" w:hAnsi="宋体"/>
          <w:color w:val="auto"/>
          <w:sz w:val="24"/>
          <w:highlight w:val="none"/>
        </w:rPr>
        <w:t xml:space="preserve">项方案的，得</w:t>
      </w:r>
      <w:r>
        <w:rPr>
          <w:rFonts w:hint="eastAsia" w:ascii="宋体" w:hAnsi="宋体"/>
          <w:color w:val="auto"/>
          <w:sz w:val="24"/>
          <w:highlight w:val="none"/>
        </w:rPr>
        <w:t xml:space="preserve">5</w:t>
      </w:r>
      <w:r>
        <w:rPr>
          <w:rFonts w:ascii="宋体" w:hAnsi="宋体"/>
          <w:color w:val="auto"/>
          <w:sz w:val="24"/>
          <w:highlight w:val="none"/>
        </w:rPr>
        <w:t xml:space="preserve">分；方案完整性、科学合理性、设计的清晰详细程度等只能基本满足要求，</w:t>
      </w:r>
      <w:r>
        <w:rPr>
          <w:rFonts w:hint="eastAsia" w:ascii="宋体" w:hAnsi="宋体"/>
          <w:color w:val="auto"/>
          <w:sz w:val="24"/>
          <w:highlight w:val="none"/>
        </w:rPr>
        <w:t xml:space="preserve">缺失</w:t>
      </w:r>
      <w:r>
        <w:rPr>
          <w:rFonts w:ascii="宋体" w:hAnsi="宋体"/>
          <w:color w:val="auto"/>
          <w:sz w:val="24"/>
          <w:highlight w:val="none"/>
        </w:rPr>
        <w:t xml:space="preserve">上述</w:t>
      </w:r>
      <w:r>
        <w:rPr>
          <w:rFonts w:hint="eastAsia" w:ascii="宋体" w:hAnsi="宋体"/>
          <w:color w:val="auto"/>
          <w:sz w:val="24"/>
          <w:highlight w:val="none"/>
        </w:rPr>
        <w:t xml:space="preserve">3-4</w:t>
      </w:r>
      <w:r>
        <w:rPr>
          <w:rFonts w:ascii="宋体" w:hAnsi="宋体"/>
          <w:color w:val="auto"/>
          <w:sz w:val="24"/>
          <w:highlight w:val="none"/>
        </w:rPr>
        <w:t xml:space="preserve">项方案</w:t>
      </w:r>
      <w:r>
        <w:rPr>
          <w:rFonts w:hint="eastAsia" w:ascii="宋体" w:hAnsi="宋体"/>
          <w:color w:val="auto"/>
          <w:sz w:val="24"/>
          <w:highlight w:val="none"/>
        </w:rPr>
        <w:t xml:space="preserve">的</w:t>
      </w:r>
      <w:r>
        <w:rPr>
          <w:rFonts w:ascii="宋体" w:hAnsi="宋体"/>
          <w:color w:val="auto"/>
          <w:sz w:val="24"/>
          <w:highlight w:val="none"/>
        </w:rPr>
        <w:t xml:space="preserve">，得</w:t>
      </w:r>
      <w:r>
        <w:rPr>
          <w:rFonts w:hint="eastAsia" w:ascii="宋体" w:hAnsi="宋体"/>
          <w:color w:val="auto"/>
          <w:sz w:val="24"/>
          <w:highlight w:val="none"/>
        </w:rPr>
        <w:t xml:space="preserve">3</w:t>
      </w:r>
      <w:r>
        <w:rPr>
          <w:rFonts w:ascii="宋体" w:hAnsi="宋体"/>
          <w:color w:val="auto"/>
          <w:sz w:val="24"/>
          <w:highlight w:val="none"/>
        </w:rPr>
        <w:t xml:space="preserve">分；提供方案不足</w:t>
      </w:r>
      <w:r>
        <w:rPr>
          <w:rFonts w:hint="eastAsia" w:ascii="宋体" w:hAnsi="宋体"/>
          <w:color w:val="auto"/>
          <w:sz w:val="24"/>
          <w:highlight w:val="none"/>
        </w:rPr>
        <w:t xml:space="preserve">2</w:t>
      </w:r>
      <w:r>
        <w:rPr>
          <w:rFonts w:ascii="宋体" w:hAnsi="宋体"/>
          <w:color w:val="auto"/>
          <w:sz w:val="24"/>
          <w:highlight w:val="none"/>
        </w:rPr>
        <w:t xml:space="preserve">项或无方案的，不得分。</w:t>
      </w:r>
      <w:r/>
    </w:p>
    <w:p>
      <w:pPr>
        <w:ind w:firstLine="480"/>
        <w:spacing w:line="420" w:lineRule="exact"/>
        <w:rPr>
          <w:rFonts w:ascii="宋体" w:hAnsi="宋体" w:eastAsia="宋体" w:cs="宋体"/>
          <w:sz w:val="24"/>
          <w:szCs w:val="24"/>
        </w:rPr>
      </w:pPr>
      <w:r>
        <w:rPr>
          <w:rFonts w:hint="eastAsia" w:ascii="宋体" w:hAnsi="宋体" w:eastAsia="宋体" w:cs="宋体"/>
          <w:sz w:val="24"/>
          <w:szCs w:val="24"/>
        </w:rPr>
        <w:t xml:space="preserve">注：除招标文件“26.无效投标条款和废标条款”中涉及本项评分的情况外评委在5人及5人以上的，取所有成员的平均值。评委一般按照上述评分要求及投标文件实际内容酌情评分。评分办法及评分细则的解释权属采购人。未列入本评分细则的其他条件不作为评分内容。</w:t>
      </w:r>
      <w:r/>
    </w:p>
    <w:p>
      <w:pPr>
        <w:pStyle w:val="823"/>
        <w:rPr>
          <w:rFonts w:hint="eastAsia"/>
        </w:rPr>
      </w:pPr>
      <w:r>
        <w:rPr>
          <w:rFonts w:hint="eastAsia"/>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720"/>
        <w:jc w:val="left"/>
        <w:keepLines w:val="0"/>
        <w:keepNext w:val="0"/>
        <w:pageBreakBefore w:val="0"/>
        <w:spacing w:line="360" w:lineRule="auto"/>
        <w:widowControl w:val="off"/>
        <w:rPr>
          <w:rFonts w:ascii="黑体" w:eastAsia="黑体"/>
          <w:bCs/>
          <w:color w:val="auto"/>
          <w:sz w:val="36"/>
          <w:szCs w:val="36"/>
          <w:highlight w:val="none"/>
        </w:rPr>
      </w:pPr>
      <w:r>
        <w:rPr>
          <w:rFonts w:ascii="黑体" w:eastAsia="黑体"/>
          <w:bCs/>
          <w:color w:val="auto"/>
          <w:sz w:val="36"/>
          <w:szCs w:val="36"/>
          <w:highlight w:val="none"/>
        </w:rPr>
      </w:r>
      <w:r/>
    </w:p>
    <w:p>
      <w:pPr>
        <w:ind w:firstLine="720"/>
        <w:jc w:val="left"/>
        <w:keepLines w:val="0"/>
        <w:keepNext w:val="0"/>
        <w:pageBreakBefore w:val="0"/>
        <w:spacing w:line="360" w:lineRule="auto"/>
        <w:widowControl w:val="off"/>
        <w:rPr>
          <w:rFonts w:ascii="黑体" w:eastAsia="黑体"/>
          <w:bCs/>
          <w:color w:val="auto"/>
          <w:sz w:val="36"/>
          <w:szCs w:val="36"/>
          <w:highlight w:val="none"/>
        </w:rPr>
      </w:pPr>
      <w:r>
        <w:rPr>
          <w:rFonts w:ascii="黑体" w:eastAsia="黑体"/>
          <w:bCs/>
          <w:color w:val="auto"/>
          <w:sz w:val="36"/>
          <w:szCs w:val="36"/>
          <w:highlight w:val="none"/>
        </w:rPr>
      </w:r>
      <w:r/>
    </w:p>
    <w:p>
      <w:pPr>
        <w:ind w:firstLine="720"/>
        <w:jc w:val="left"/>
        <w:keepLines w:val="0"/>
        <w:keepNext w:val="0"/>
        <w:pageBreakBefore w:val="0"/>
        <w:spacing w:line="360" w:lineRule="auto"/>
        <w:widowControl w:val="off"/>
        <w:rPr>
          <w:rFonts w:ascii="黑体" w:eastAsia="黑体"/>
          <w:bCs/>
          <w:color w:val="auto"/>
          <w:sz w:val="36"/>
          <w:szCs w:val="36"/>
          <w:highlight w:val="none"/>
        </w:rPr>
      </w:pPr>
      <w:r>
        <w:rPr>
          <w:rFonts w:ascii="黑体" w:eastAsia="黑体"/>
          <w:bCs/>
          <w:color w:val="auto"/>
          <w:sz w:val="36"/>
          <w:szCs w:val="36"/>
          <w:highlight w:val="none"/>
        </w:rPr>
      </w:r>
      <w:r/>
    </w:p>
    <w:p>
      <w:pPr>
        <w:ind w:firstLine="720"/>
        <w:jc w:val="left"/>
        <w:keepLines w:val="0"/>
        <w:keepNext w:val="0"/>
        <w:pageBreakBefore w:val="0"/>
        <w:spacing w:line="360" w:lineRule="auto"/>
        <w:widowControl w:val="off"/>
        <w:rPr>
          <w:rFonts w:ascii="黑体" w:eastAsia="黑体"/>
          <w:bCs/>
          <w:color w:val="auto"/>
          <w:sz w:val="36"/>
          <w:szCs w:val="36"/>
          <w:highlight w:val="none"/>
        </w:rPr>
      </w:pPr>
      <w:r>
        <w:rPr>
          <w:rFonts w:ascii="黑体" w:eastAsia="黑体"/>
          <w:bCs/>
          <w:color w:val="auto"/>
          <w:sz w:val="36"/>
          <w:szCs w:val="36"/>
          <w:highlight w:val="none"/>
        </w:rPr>
      </w:r>
      <w:r/>
    </w:p>
    <w:p>
      <w:pPr>
        <w:jc w:val="center"/>
        <w:spacing w:line="360" w:lineRule="auto"/>
        <w:rPr>
          <w:rFonts w:ascii="黑体" w:eastAsia="黑体"/>
          <w:bCs/>
          <w:color w:val="auto"/>
          <w:sz w:val="36"/>
          <w:szCs w:val="36"/>
          <w:highlight w:val="none"/>
        </w:rPr>
      </w:pPr>
      <w:r>
        <w:rPr>
          <w:rFonts w:hint="eastAsia" w:ascii="黑体" w:eastAsia="黑体"/>
          <w:bCs/>
          <w:color w:val="auto"/>
          <w:sz w:val="36"/>
          <w:szCs w:val="36"/>
          <w:highlight w:val="none"/>
        </w:rPr>
        <w:br w:type="page" w:clear="all"/>
      </w:r>
      <w:r>
        <w:rPr>
          <w:rFonts w:hint="eastAsia" w:ascii="黑体" w:eastAsia="黑体"/>
          <w:bCs/>
          <w:color w:val="auto"/>
          <w:sz w:val="36"/>
          <w:szCs w:val="36"/>
          <w:highlight w:val="none"/>
        </w:rPr>
        <w:t xml:space="preserve">第六章  </w:t>
      </w:r>
      <w:bookmarkEnd w:id="147"/>
      <w:r/>
      <w:bookmarkEnd w:id="148"/>
      <w:r/>
      <w:bookmarkEnd w:id="149"/>
      <w:r>
        <w:rPr>
          <w:rFonts w:hint="eastAsia" w:ascii="黑体" w:eastAsia="黑体"/>
          <w:bCs/>
          <w:color w:val="auto"/>
          <w:sz w:val="36"/>
          <w:szCs w:val="36"/>
          <w:highlight w:val="none"/>
        </w:rPr>
        <w:t xml:space="preserve">投标文件内容与格式</w:t>
      </w:r>
      <w:r/>
    </w:p>
    <w:p>
      <w:pPr>
        <w:pStyle w:val="1211"/>
        <w:ind w:firstLine="602"/>
        <w:spacing w:before="0" w:after="0"/>
        <w:rPr>
          <w:rFonts w:cs="Arial"/>
          <w:b/>
          <w:color w:val="auto"/>
          <w:sz w:val="30"/>
          <w:szCs w:val="30"/>
          <w:highlight w:val="none"/>
        </w:rPr>
      </w:pPr>
      <w:r/>
      <w:bookmarkStart w:id="151" w:name="_Hlt26671244"/>
      <w:r/>
      <w:bookmarkEnd w:id="151"/>
      <w:r/>
      <w:bookmarkStart w:id="152" w:name="_Hlt26955039"/>
      <w:r/>
      <w:bookmarkEnd w:id="152"/>
      <w:r>
        <w:rPr>
          <w:rFonts w:hint="eastAsia" w:cs="Arial"/>
          <w:b/>
          <w:color w:val="auto"/>
          <w:sz w:val="30"/>
          <w:szCs w:val="30"/>
          <w:highlight w:val="none"/>
        </w:rPr>
        <w:t xml:space="preserve">第一部分投标文件内容</w:t>
      </w:r>
      <w:r/>
    </w:p>
    <w:p>
      <w:pPr>
        <w:pStyle w:val="1211"/>
        <w:ind w:firstLine="0"/>
        <w:spacing w:before="0" w:after="0"/>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82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211"/>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211"/>
              <w:jc w:val="center"/>
              <w:spacing w:before="0" w:after="0"/>
              <w:rPr>
                <w:rFonts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211"/>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21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211"/>
              <w:ind w:firstLine="0"/>
              <w:jc w:val="both"/>
              <w:spacing w:before="0" w:after="0"/>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211"/>
              <w:ind w:firstLine="0"/>
              <w:spacing w:before="0" w:after="0"/>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21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211"/>
              <w:ind w:firstLine="0"/>
              <w:jc w:val="both"/>
              <w:spacing w:before="0" w:after="0"/>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21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21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ascii="宋体" w:hAnsi="宋体" w:cs="宋体"/>
                <w:color w:val="auto"/>
                <w:highlight w:val="none"/>
              </w:rPr>
            </w:pPr>
            <w:r>
              <w:rPr>
                <w:rFonts w:hint="eastAsia" w:ascii="宋体" w:hAnsi="宋体" w:eastAsia="宋体" w:cs="宋体"/>
                <w:bCs/>
                <w:color w:val="auto"/>
                <w:sz w:val="24"/>
                <w:highlight w:val="none"/>
              </w:rPr>
              <w:t xml:space="preserve">被授权人</w:t>
            </w:r>
            <w:r>
              <w:rPr>
                <w:rFonts w:hint="eastAsia" w:ascii="宋体" w:hAnsi="宋体" w:cs="宋体"/>
                <w:bCs/>
                <w:color w:val="auto"/>
                <w:sz w:val="24"/>
                <w:highlight w:val="none"/>
              </w:rPr>
              <w:t xml:space="preserve">具有与本企业签订的劳动合同或供应商为其缴纳的由相关部门出具的近</w:t>
            </w:r>
            <w:r>
              <w:rPr>
                <w:rFonts w:hint="eastAsia" w:ascii="宋体" w:hAnsi="宋体" w:eastAsia="宋体" w:cs="宋体"/>
                <w:bCs/>
                <w:color w:val="auto"/>
                <w:sz w:val="24"/>
                <w:highlight w:val="none"/>
              </w:rPr>
              <w:t xml:space="preserve">六</w:t>
            </w:r>
            <w:r>
              <w:rPr>
                <w:rFonts w:hint="eastAsia" w:ascii="宋体" w:hAnsi="宋体" w:cs="宋体"/>
                <w:bCs/>
                <w:color w:val="auto"/>
                <w:sz w:val="24"/>
                <w:highlight w:val="none"/>
              </w:rPr>
              <w:t xml:space="preserve">个月中任意一个月份（不含投标当月）</w:t>
            </w:r>
            <w:r>
              <w:rPr>
                <w:rFonts w:hint="eastAsia" w:ascii="宋体" w:hAnsi="宋体" w:eastAsia="宋体" w:cs="宋体"/>
                <w:bCs/>
                <w:color w:val="auto"/>
                <w:sz w:val="24"/>
                <w:highlight w:val="none"/>
              </w:rPr>
              <w:t xml:space="preserve">的</w:t>
            </w:r>
            <w:r>
              <w:rPr>
                <w:rFonts w:hint="eastAsia" w:ascii="宋体" w:hAnsi="宋体" w:cs="宋体"/>
                <w:bCs/>
                <w:color w:val="auto"/>
                <w:sz w:val="24"/>
                <w:highlight w:val="none"/>
              </w:rPr>
              <w:t xml:space="preserve">社保缴费证明（新成立的企业若不满足</w:t>
            </w:r>
            <w:r>
              <w:rPr>
                <w:rFonts w:hint="eastAsia" w:ascii="宋体" w:hAnsi="宋体" w:eastAsia="宋体" w:cs="宋体"/>
                <w:bCs/>
                <w:color w:val="auto"/>
                <w:sz w:val="24"/>
                <w:highlight w:val="none"/>
              </w:rPr>
              <w:t xml:space="preserve">六</w:t>
            </w:r>
            <w:r>
              <w:rPr>
                <w:rFonts w:hint="eastAsia" w:ascii="宋体" w:hAnsi="宋体" w:cs="宋体"/>
                <w:bCs/>
                <w:color w:val="auto"/>
                <w:sz w:val="24"/>
                <w:highlight w:val="none"/>
              </w:rPr>
              <w:t xml:space="preserve">个月，提供成立之后</w:t>
            </w:r>
            <w:r>
              <w:rPr>
                <w:rFonts w:hint="eastAsia" w:ascii="宋体" w:hAnsi="宋体" w:eastAsia="宋体" w:cs="宋体"/>
                <w:bCs/>
                <w:color w:val="auto"/>
                <w:sz w:val="24"/>
                <w:highlight w:val="none"/>
              </w:rPr>
              <w:t xml:space="preserve">被授权人</w:t>
            </w:r>
            <w:r>
              <w:rPr>
                <w:rFonts w:hint="eastAsia" w:ascii="宋体" w:hAnsi="宋体" w:cs="宋体"/>
                <w:bCs/>
                <w:color w:val="auto"/>
                <w:sz w:val="24"/>
                <w:highlight w:val="none"/>
              </w:rPr>
              <w:t xml:space="preserve">相关月份的社保缴费证明）；</w:t>
            </w:r>
            <w:r/>
          </w:p>
        </w:tc>
        <w:tc>
          <w:tcPr>
            <w:tcW w:w="2449" w:type="dxa"/>
            <w:vAlign w:val="center"/>
            <w:vMerge w:val="continue"/>
            <w:textDirection w:val="lrTb"/>
            <w:noWrap w:val="false"/>
          </w:tcPr>
          <w:p>
            <w:pPr>
              <w:pStyle w:val="121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21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211"/>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投标人近六个月中任意一个月份（不含投标当月）的财务状况报告（资产负债表和利润表）或由会计师事务所出具的2024年度</w:t>
            </w:r>
            <w:r>
              <w:rPr>
                <w:rFonts w:hint="eastAsia" w:ascii="宋体" w:hAnsi="宋体" w:cs="宋体"/>
                <w:color w:val="auto"/>
                <w:highlight w:val="none"/>
                <w:lang w:val="en-US" w:eastAsia="zh-CN"/>
              </w:rPr>
              <w:t xml:space="preserve">或2025年度</w:t>
            </w:r>
            <w:r>
              <w:rPr>
                <w:rFonts w:hint="eastAsia" w:ascii="宋体" w:hAnsi="宋体" w:cs="宋体"/>
                <w:color w:val="auto"/>
                <w:highlight w:val="none"/>
              </w:rPr>
              <w:t xml:space="preserve">的审计报告和所附已审财务报告（投标人如是自然人情形的，没有经审计的财务报告的，可以提供银行出具的资信证明）</w:t>
            </w:r>
            <w:r>
              <w:rPr>
                <w:rStyle w:val="905"/>
                <w:rFonts w:hint="eastAsia" w:ascii="宋体" w:hAnsi="宋体" w:cs="宋体"/>
                <w:color w:val="auto"/>
                <w:highlight w:val="none"/>
              </w:rPr>
              <w:t xml:space="preserve">。</w:t>
            </w:r>
            <w:r/>
          </w:p>
        </w:tc>
        <w:tc>
          <w:tcPr>
            <w:tcW w:w="2449" w:type="dxa"/>
            <w:vAlign w:val="center"/>
            <w:vMerge w:val="continue"/>
            <w:textDirection w:val="lrTb"/>
            <w:noWrap w:val="false"/>
          </w:tcPr>
          <w:p>
            <w:pPr>
              <w:pStyle w:val="121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21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211"/>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投标人近六个月任意一个月份（不含投标当月）的依法缴纳税收的相关材料（提供相关主管部门证明或银行代扣证明）。</w:t>
            </w:r>
            <w:r/>
          </w:p>
        </w:tc>
        <w:tc>
          <w:tcPr>
            <w:tcW w:w="2449" w:type="dxa"/>
            <w:vAlign w:val="center"/>
            <w:vMerge w:val="continue"/>
            <w:textDirection w:val="lrTb"/>
            <w:noWrap w:val="false"/>
          </w:tcPr>
          <w:p>
            <w:pPr>
              <w:pStyle w:val="121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21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211"/>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21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W w:w="719" w:type="dxa"/>
            <w:vAlign w:val="center"/>
            <w:textDirection w:val="lrTb"/>
            <w:noWrap w:val="false"/>
          </w:tcPr>
          <w:p>
            <w:pPr>
              <w:pStyle w:val="121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1211"/>
              <w:ind w:firstLine="0"/>
              <w:jc w:val="both"/>
              <w:spacing w:before="0" w:after="0"/>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21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1211"/>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val="false"/>
          </w:tcPr>
          <w:p>
            <w:pPr>
              <w:pStyle w:val="1211"/>
              <w:ind w:firstLine="0"/>
              <w:spacing w:before="0" w:after="0"/>
              <w:rPr>
                <w:rFonts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1211"/>
              <w:ind w:firstLine="0"/>
              <w:spacing w:before="0" w:after="0"/>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211"/>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211"/>
              <w:ind w:firstLine="0"/>
              <w:jc w:val="both"/>
              <w:spacing w:before="0" w:after="0"/>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p>
        </w:tc>
        <w:tc>
          <w:tcPr>
            <w:tcW w:w="2449" w:type="dxa"/>
            <w:vAlign w:val="center"/>
            <w:textDirection w:val="lrTb"/>
            <w:noWrap w:val="false"/>
          </w:tcPr>
          <w:p>
            <w:pPr>
              <w:pStyle w:val="1211"/>
              <w:ind w:firstLine="0"/>
              <w:spacing w:before="0" w:after="0"/>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211"/>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10</w:t>
            </w:r>
            <w:r/>
          </w:p>
        </w:tc>
        <w:tc>
          <w:tcPr>
            <w:gridSpan w:val="2"/>
            <w:tcW w:w="8553" w:type="dxa"/>
            <w:vAlign w:val="center"/>
            <w:textDirection w:val="lrTb"/>
            <w:noWrap w:val="false"/>
          </w:tcPr>
          <w:p>
            <w:pPr>
              <w:pStyle w:val="1211"/>
              <w:ind w:firstLine="0"/>
              <w:spacing w:before="0" w:after="0"/>
              <w:rPr>
                <w:rFonts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5"/>
        </w:numPr>
        <w:ind w:firstLine="480"/>
        <w:spacing w:line="360" w:lineRule="auto"/>
        <w:rPr>
          <w:rFonts w:ascii="宋体" w:hAnsi="宋体"/>
          <w:sz w:val="24"/>
          <w:szCs w:val="24"/>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1～7项必须全部按要求提供（有给定格式的，必须按给定格式的要求正确填报并提供，相应格式见本章第二部分），否则投标文件无效。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sz w:val="24"/>
          <w:szCs w:val="24"/>
        </w:rPr>
        <w:t xml:space="preserve">其中第3项若被授权人为法定代表人或负责人或经营者（法定代表人或负责人或经营者姓名必须与营业执照上的一致）亲自参加投标不需提供有关法定代表人的劳动合同和社保证明，只需提供身份证明与营业执照即可。</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firstLine="480"/>
        <w:spacing w:line="360" w:lineRule="auto"/>
        <w:rPr>
          <w:rFonts w:ascii="宋体" w:hAnsi="宋体"/>
          <w:color w:val="auto"/>
          <w:sz w:val="24"/>
          <w:szCs w:val="24"/>
          <w:highlight w:val="none"/>
        </w:rPr>
      </w:pPr>
      <w:r>
        <w:rPr>
          <w:rFonts w:ascii="宋体" w:hAnsi="宋体" w:eastAsia="Arial" w:cs="Times New Roman"/>
          <w:color w:val="auto"/>
          <w:sz w:val="24"/>
          <w:szCs w:val="24"/>
          <w:lang w:val="en-US" w:eastAsia="zh-CN" w:bidi="ar-SA"/>
        </w:rPr>
        <w:t xml:space="preserve">（2）</w:t>
      </w: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0"/>
        </w:numPr>
        <w:ind w:firstLine="480"/>
        <w:spacing w:line="360" w:lineRule="auto"/>
        <w:rPr>
          <w:rFonts w:ascii="宋体" w:hAnsi="宋体"/>
          <w:color w:val="auto"/>
          <w:sz w:val="24"/>
          <w:szCs w:val="24"/>
          <w:highlight w:val="none"/>
        </w:rPr>
      </w:pPr>
      <w:r>
        <w:rPr>
          <w:rFonts w:ascii="宋体" w:hAnsi="宋体" w:eastAsia="Arial" w:cs="Times New Roman"/>
          <w:color w:val="auto"/>
          <w:sz w:val="24"/>
          <w:szCs w:val="24"/>
          <w:lang w:val="en-US" w:eastAsia="zh-CN" w:bidi="ar-SA"/>
        </w:rPr>
        <w:t xml:space="preserve">（3）</w:t>
      </w: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9项，如本项目有特定资格要求的（详见第一章《投标邀请》），须提供相应的特定资格证明文件。</w:t>
      </w:r>
      <w:r/>
    </w:p>
    <w:p>
      <w:pPr>
        <w:numPr>
          <w:ilvl w:val="0"/>
          <w:numId w:val="0"/>
        </w:numPr>
        <w:ind w:firstLine="480"/>
        <w:spacing w:line="360" w:lineRule="auto"/>
        <w:rPr>
          <w:rFonts w:ascii="宋体" w:hAnsi="宋体"/>
          <w:color w:val="auto"/>
          <w:sz w:val="24"/>
          <w:szCs w:val="24"/>
          <w:highlight w:val="none"/>
        </w:rPr>
      </w:pPr>
      <w:r>
        <w:rPr>
          <w:rFonts w:ascii="宋体" w:hAnsi="宋体" w:eastAsia="Arial" w:cs="Times New Roman"/>
          <w:color w:val="auto"/>
          <w:sz w:val="24"/>
          <w:szCs w:val="24"/>
          <w:lang w:val="en-US" w:eastAsia="zh-CN" w:bidi="ar-SA"/>
        </w:rPr>
        <w:t xml:space="preserve">（4）</w:t>
      </w: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10项，如本项目接受联合体投标的（详见第一章《投标邀</w:t>
      </w:r>
      <w:r>
        <w:rPr>
          <w:rFonts w:hint="eastAsia" w:ascii="宋体" w:hAnsi="宋体" w:eastAsia="宋体"/>
          <w:color w:val="auto"/>
          <w:sz w:val="24"/>
          <w:szCs w:val="24"/>
          <w:highlight w:val="none"/>
        </w:rPr>
        <w:t xml:space="preserve">请书</w:t>
      </w:r>
      <w:r>
        <w:rPr>
          <w:rFonts w:hint="eastAsia" w:ascii="宋体" w:hAnsi="宋体"/>
          <w:color w:val="auto"/>
          <w:sz w:val="24"/>
          <w:szCs w:val="24"/>
          <w:highlight w:val="none"/>
        </w:rPr>
        <w:t xml:space="preserve">》），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中：第2、7项可由联合体主体单位（即联合体牵头人）代表联合体提供；第1、4、5、6、8（如有要求）、9（如有要求）项，联合体各方均须提供。</w:t>
      </w:r>
      <w:r/>
    </w:p>
    <w:p>
      <w:pPr>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spacing w:line="360" w:lineRule="auto"/>
        <w:rPr>
          <w:b/>
          <w:bCs/>
          <w:color w:val="auto"/>
          <w:sz w:val="28"/>
          <w:szCs w:val="28"/>
          <w:highlight w:val="none"/>
        </w:rPr>
      </w:pPr>
      <w:r>
        <w:rPr>
          <w:rFonts w:hint="eastAsia"/>
          <w:b/>
          <w:color w:val="auto"/>
          <w:sz w:val="28"/>
          <w:szCs w:val="28"/>
          <w:highlight w:val="none"/>
        </w:rPr>
        <w:t xml:space="preserve">二、符合性证明文件及其他证明文件</w:t>
      </w:r>
      <w:r/>
    </w:p>
    <w:tbl>
      <w:tblPr>
        <w:tblStyle w:val="8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211"/>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211"/>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211"/>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211"/>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211"/>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211"/>
              <w:ind w:firstLine="0"/>
              <w:jc w:val="center"/>
              <w:spacing w:before="0" w:after="0" w:line="240" w:lineRule="auto"/>
              <w:rPr>
                <w:rFonts w:cs="Arial"/>
                <w:color w:val="auto"/>
                <w:highlight w:val="none"/>
              </w:rPr>
            </w:pPr>
            <w:r>
              <w:rPr>
                <w:rFonts w:hint="eastAsia" w:cs="Arial"/>
                <w:color w:val="auto"/>
                <w:highlight w:val="none"/>
              </w:rPr>
              <w:t xml:space="preserve">商务符合性</w:t>
            </w:r>
            <w:r/>
          </w:p>
        </w:tc>
      </w:tr>
      <w:tr>
        <w:trPr>
          <w:cantSplit/>
          <w:jc w:val="center"/>
          <w:trHeight w:val="567"/>
        </w:trPr>
        <w:tc>
          <w:tcPr>
            <w:tcW w:w="823" w:type="dxa"/>
            <w:vAlign w:val="center"/>
            <w:textDirection w:val="lrTb"/>
            <w:noWrap w:val="false"/>
          </w:tcPr>
          <w:p>
            <w:pPr>
              <w:pStyle w:val="1211"/>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211"/>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211"/>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211"/>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211"/>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restart"/>
            <w:textDirection w:val="lrTb"/>
            <w:noWrap w:val="false"/>
          </w:tcPr>
          <w:p>
            <w:pPr>
              <w:pStyle w:val="1211"/>
              <w:ind w:firstLine="0"/>
              <w:jc w:val="center"/>
              <w:spacing w:before="0" w:after="0" w:line="240" w:lineRule="auto"/>
              <w:rPr>
                <w:rFonts w:cs="Arial"/>
                <w:color w:val="auto"/>
                <w:highlight w:val="none"/>
              </w:rPr>
            </w:pPr>
            <w:r>
              <w:rPr>
                <w:rFonts w:hint="eastAsia" w:cs="Arial"/>
                <w:color w:val="auto"/>
                <w:highlight w:val="none"/>
              </w:rPr>
              <w:t xml:space="preserve">报价符合性</w:t>
            </w:r>
            <w:r/>
          </w:p>
        </w:tc>
      </w:tr>
      <w:tr>
        <w:trPr>
          <w:cantSplit/>
          <w:jc w:val="center"/>
          <w:trHeight w:val="567"/>
        </w:trPr>
        <w:tc>
          <w:tcPr>
            <w:tcW w:w="823" w:type="dxa"/>
            <w:vAlign w:val="center"/>
            <w:textDirection w:val="lrTb"/>
            <w:noWrap w:val="false"/>
          </w:tcPr>
          <w:p>
            <w:pPr>
              <w:pStyle w:val="1211"/>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211"/>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细目报价表（给定格式）</w:t>
            </w:r>
            <w:r/>
          </w:p>
        </w:tc>
        <w:tc>
          <w:tcPr>
            <w:tcW w:w="1979" w:type="dxa"/>
            <w:vAlign w:val="center"/>
            <w:vMerge w:val="continue"/>
            <w:textDirection w:val="lrTb"/>
            <w:noWrap w:val="false"/>
          </w:tcPr>
          <w:p>
            <w:pPr>
              <w:pStyle w:val="1211"/>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211"/>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211"/>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1211"/>
              <w:ind w:firstLine="0"/>
              <w:jc w:val="center"/>
              <w:spacing w:before="0" w:after="0" w:line="240" w:lineRule="auto"/>
              <w:rPr>
                <w:rFonts w:cs="Arial"/>
                <w:color w:val="auto"/>
                <w:highlight w:val="none"/>
              </w:rPr>
            </w:pPr>
            <w:r>
              <w:rPr>
                <w:rFonts w:hint="eastAsia" w:cs="Arial"/>
                <w:color w:val="auto"/>
                <w:highlight w:val="none"/>
              </w:rPr>
              <w:t xml:space="preserve">技术符合性</w:t>
            </w:r>
            <w:r/>
          </w:p>
        </w:tc>
      </w:tr>
      <w:tr>
        <w:trPr>
          <w:cantSplit/>
          <w:jc w:val="center"/>
          <w:trHeight w:val="567"/>
        </w:trPr>
        <w:tc>
          <w:tcPr>
            <w:tcW w:w="823" w:type="dxa"/>
            <w:vAlign w:val="center"/>
            <w:textDirection w:val="lrTb"/>
            <w:noWrap w:val="false"/>
          </w:tcPr>
          <w:p>
            <w:pPr>
              <w:pStyle w:val="1211"/>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211"/>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val="false"/>
          </w:tcPr>
          <w:p>
            <w:pPr>
              <w:pStyle w:val="1211"/>
              <w:ind w:firstLine="0"/>
              <w:jc w:val="center"/>
              <w:spacing w:before="0" w:after="0" w:line="240" w:lineRule="auto"/>
              <w:rPr>
                <w:rFonts w:cs="Arial"/>
                <w:color w:val="auto"/>
                <w:highlight w:val="none"/>
              </w:rPr>
            </w:pPr>
            <w:r>
              <w:rPr>
                <w:rFonts w:cs="Arial"/>
                <w:color w:val="auto"/>
                <w:highlight w:val="none"/>
              </w:rPr>
            </w:r>
            <w:r/>
          </w:p>
        </w:tc>
      </w:tr>
    </w:tbl>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6"/>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eastAsia="宋体"/>
          <w:color w:val="auto"/>
          <w:sz w:val="24"/>
          <w:szCs w:val="24"/>
          <w:highlight w:val="none"/>
        </w:rPr>
        <w:t xml:space="preserve">6</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numPr>
          <w:ilvl w:val="0"/>
          <w:numId w:val="16"/>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spacing w:line="360" w:lineRule="auto"/>
        <w:rPr>
          <w:rFonts w:hint="eastAsia" w:cs="Arial"/>
          <w:b/>
          <w:color w:val="auto"/>
          <w:sz w:val="30"/>
          <w:szCs w:val="30"/>
          <w:highlight w:val="none"/>
        </w:rPr>
      </w:pPr>
      <w:r>
        <w:rPr>
          <w:rFonts w:hint="eastAsia" w:cs="Arial"/>
          <w:b/>
          <w:color w:val="auto"/>
          <w:sz w:val="30"/>
          <w:szCs w:val="30"/>
          <w:highlight w:val="none"/>
        </w:rPr>
      </w:r>
      <w:r/>
    </w:p>
    <w:p>
      <w:pPr>
        <w:ind w:firstLine="480"/>
        <w:spacing w:line="360" w:lineRule="auto"/>
        <w:rPr>
          <w:rFonts w:hint="eastAsia" w:cs="Arial"/>
          <w:b/>
          <w:color w:val="auto"/>
          <w:sz w:val="30"/>
          <w:szCs w:val="30"/>
          <w:highlight w:val="none"/>
        </w:rPr>
      </w:pPr>
      <w:r>
        <w:rPr>
          <w:rFonts w:hint="eastAsia" w:cs="Arial"/>
          <w:b/>
          <w:color w:val="auto"/>
          <w:sz w:val="30"/>
          <w:szCs w:val="30"/>
          <w:highlight w:val="none"/>
        </w:rPr>
      </w:r>
      <w:r/>
    </w:p>
    <w:p>
      <w:pPr>
        <w:ind w:firstLine="480"/>
        <w:spacing w:line="360" w:lineRule="auto"/>
        <w:rPr>
          <w:rFonts w:hint="eastAsia" w:cs="Arial"/>
          <w:b/>
          <w:color w:val="auto"/>
          <w:sz w:val="30"/>
          <w:szCs w:val="30"/>
          <w:highlight w:val="none"/>
        </w:rPr>
      </w:pPr>
      <w:r>
        <w:rPr>
          <w:rFonts w:hint="eastAsia" w:cs="Arial"/>
          <w:b/>
          <w:color w:val="auto"/>
          <w:sz w:val="30"/>
          <w:szCs w:val="30"/>
          <w:highlight w:val="none"/>
        </w:rPr>
      </w:r>
      <w:r/>
    </w:p>
    <w:p>
      <w:pPr>
        <w:ind w:firstLine="480"/>
        <w:spacing w:line="360" w:lineRule="auto"/>
        <w:rPr>
          <w:rFonts w:hint="eastAsia" w:cs="Arial"/>
          <w:b/>
          <w:color w:val="auto"/>
          <w:sz w:val="30"/>
          <w:szCs w:val="30"/>
          <w:highlight w:val="none"/>
        </w:rPr>
      </w:pPr>
      <w:r>
        <w:rPr>
          <w:rFonts w:hint="eastAsia" w:cs="Arial"/>
          <w:b/>
          <w:color w:val="auto"/>
          <w:sz w:val="30"/>
          <w:szCs w:val="30"/>
          <w:highlight w:val="none"/>
        </w:rPr>
      </w:r>
      <w:r/>
    </w:p>
    <w:p>
      <w:pPr>
        <w:ind w:firstLine="480"/>
        <w:spacing w:line="360" w:lineRule="auto"/>
        <w:rPr>
          <w:rFonts w:hint="eastAsia" w:cs="Arial"/>
          <w:b/>
          <w:color w:val="auto"/>
          <w:sz w:val="30"/>
          <w:szCs w:val="30"/>
          <w:highlight w:val="none"/>
        </w:rPr>
      </w:pPr>
      <w:r>
        <w:rPr>
          <w:rFonts w:hint="eastAsia" w:cs="Arial"/>
          <w:b/>
          <w:color w:val="auto"/>
          <w:sz w:val="30"/>
          <w:szCs w:val="30"/>
          <w:highlight w:val="none"/>
        </w:rPr>
      </w:r>
      <w:r/>
    </w:p>
    <w:p>
      <w:pPr>
        <w:ind w:firstLine="480"/>
        <w:spacing w:line="360" w:lineRule="auto"/>
        <w:rPr>
          <w:rFonts w:hint="eastAsia" w:cs="Arial"/>
          <w:b/>
          <w:color w:val="auto"/>
          <w:sz w:val="30"/>
          <w:szCs w:val="30"/>
          <w:highlight w:val="none"/>
        </w:rPr>
      </w:pPr>
      <w:r>
        <w:rPr>
          <w:rFonts w:hint="eastAsia" w:cs="Arial"/>
          <w:b/>
          <w:color w:val="auto"/>
          <w:sz w:val="30"/>
          <w:szCs w:val="30"/>
          <w:highlight w:val="none"/>
        </w:rPr>
      </w:r>
      <w:r/>
    </w:p>
    <w:p>
      <w:pPr>
        <w:ind w:firstLine="480"/>
        <w:spacing w:line="360" w:lineRule="auto"/>
        <w:rPr>
          <w:rFonts w:hint="eastAsia" w:cs="Arial"/>
          <w:b/>
          <w:color w:val="auto"/>
          <w:sz w:val="30"/>
          <w:szCs w:val="30"/>
          <w:highlight w:val="none"/>
        </w:rPr>
      </w:pPr>
      <w:r>
        <w:rPr>
          <w:rFonts w:hint="eastAsia" w:cs="Arial"/>
          <w:b/>
          <w:color w:val="auto"/>
          <w:sz w:val="30"/>
          <w:szCs w:val="30"/>
          <w:highlight w:val="none"/>
        </w:rPr>
      </w:r>
      <w:r/>
    </w:p>
    <w:p>
      <w:pPr>
        <w:spacing w:line="360" w:lineRule="auto"/>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br w:type="page" w:clear="all"/>
      </w:r>
      <w:r/>
    </w:p>
    <w:p>
      <w:pPr>
        <w:ind w:firstLine="480"/>
        <w:spacing w:line="360" w:lineRule="auto"/>
        <w:rPr>
          <w:rFonts w:cs="Arial"/>
          <w:b/>
          <w:color w:val="auto"/>
          <w:sz w:val="30"/>
          <w:szCs w:val="30"/>
          <w:highlight w:val="none"/>
        </w:rPr>
      </w:pPr>
      <w:r>
        <w:rPr>
          <w:rFonts w:hint="eastAsia" w:cs="Arial"/>
          <w:b/>
          <w:color w:val="auto"/>
          <w:sz w:val="30"/>
          <w:szCs w:val="30"/>
          <w:highlight w:val="none"/>
        </w:rPr>
        <w:t xml:space="preserve">第二部分投标文件格式</w:t>
      </w:r>
      <w:r/>
    </w:p>
    <w:p>
      <w:pPr>
        <w:pStyle w:val="1211"/>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left"/>
        <w:spacing w:line="360" w:lineRule="auto"/>
        <w:widowControl/>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投</w:t>
      </w:r>
      <w:r/>
    </w:p>
    <w:p>
      <w:pPr>
        <w:jc w:val="center"/>
        <w:spacing w:line="360" w:lineRule="auto"/>
        <w:rPr>
          <w:rFonts w:ascii="Arial" w:hAnsi="Arial"/>
          <w:bCs/>
          <w:color w:val="auto"/>
          <w:sz w:val="72"/>
          <w:highlight w:val="none"/>
        </w:rPr>
      </w:pPr>
      <w:r>
        <w:rPr>
          <w:rFonts w:ascii="Arial" w:hAnsi="Arial"/>
          <w:bCs/>
          <w:color w:val="auto"/>
          <w:sz w:val="7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标</w:t>
      </w:r>
      <w:r/>
    </w:p>
    <w:p>
      <w:pPr>
        <w:jc w:val="center"/>
        <w:spacing w:line="360" w:lineRule="auto"/>
        <w:rPr>
          <w:rFonts w:ascii="Arial" w:hAnsi="Arial"/>
          <w:bCs/>
          <w:color w:val="auto"/>
          <w:sz w:val="72"/>
          <w:highlight w:val="none"/>
        </w:rPr>
      </w:pPr>
      <w:r>
        <w:rPr>
          <w:rFonts w:ascii="Arial" w:hAnsi="Arial"/>
          <w:bCs/>
          <w:color w:val="auto"/>
          <w:sz w:val="7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文</w:t>
      </w:r>
      <w:r/>
    </w:p>
    <w:p>
      <w:pPr>
        <w:jc w:val="center"/>
        <w:spacing w:line="360" w:lineRule="auto"/>
        <w:rPr>
          <w:rFonts w:ascii="Arial" w:hAnsi="Arial"/>
          <w:bCs/>
          <w:color w:val="auto"/>
          <w:sz w:val="52"/>
          <w:szCs w:val="52"/>
          <w:highlight w:val="none"/>
        </w:rPr>
      </w:pPr>
      <w:r>
        <w:rPr>
          <w:rFonts w:ascii="Arial" w:hAnsi="Arial"/>
          <w:bCs/>
          <w:color w:val="auto"/>
          <w:sz w:val="52"/>
          <w:szCs w:val="5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件</w:t>
      </w:r>
      <w:r/>
    </w:p>
    <w:p>
      <w:pPr>
        <w:spacing w:line="360" w:lineRule="auto"/>
        <w:rPr>
          <w:rFonts w:ascii="Arial" w:hAnsi="Arial"/>
          <w:bCs/>
          <w:color w:val="auto"/>
          <w:sz w:val="28"/>
          <w:highlight w:val="none"/>
        </w:rPr>
      </w:pPr>
      <w:r>
        <w:rPr>
          <w:rFonts w:ascii="Arial" w:hAnsi="Arial"/>
          <w:bCs/>
          <w:color w:val="auto"/>
          <w:sz w:val="28"/>
          <w:highlight w:val="none"/>
        </w:rPr>
      </w:r>
      <w:r/>
    </w:p>
    <w:p>
      <w:pPr>
        <w:ind w:firstLine="2715"/>
        <w:spacing w:line="360" w:lineRule="auto"/>
        <w:rPr>
          <w:rFonts w:ascii="Arial" w:hAnsi="Arial"/>
          <w:bCs/>
          <w:color w:val="auto"/>
          <w:sz w:val="28"/>
          <w:szCs w:val="28"/>
          <w:highlight w:val="none"/>
        </w:rPr>
      </w:pPr>
      <w:r/>
      <w:bookmarkStart w:id="153" w:name="_Hlk165208193"/>
      <w:r>
        <w:rPr>
          <w:rFonts w:hint="eastAsia" w:ascii="Arial" w:hAnsi="Arial"/>
          <w:bCs/>
          <w:color w:val="auto"/>
          <w:sz w:val="28"/>
          <w:szCs w:val="28"/>
          <w:highlight w:val="none"/>
        </w:rPr>
        <w:t xml:space="preserve">采购项目编号： </w:t>
      </w:r>
      <w:r/>
    </w:p>
    <w:p>
      <w:pPr>
        <w:ind w:firstLine="2703"/>
        <w:spacing w:line="360" w:lineRule="auto"/>
        <w:rPr>
          <w:rFonts w:ascii="Arial" w:hAnsi="Arial"/>
          <w:bCs/>
          <w:color w:val="auto"/>
          <w:sz w:val="28"/>
          <w:szCs w:val="28"/>
          <w:highlight w:val="none"/>
        </w:rPr>
      </w:pPr>
      <w:r>
        <w:rPr>
          <w:rFonts w:hint="eastAsia" w:ascii="Arial" w:hAnsi="Arial"/>
          <w:bCs/>
          <w:color w:val="auto"/>
          <w:sz w:val="28"/>
          <w:szCs w:val="28"/>
          <w:highlight w:val="none"/>
        </w:rPr>
        <w:t xml:space="preserve">采购项目名称： </w:t>
      </w:r>
      <w:r/>
    </w:p>
    <w:p>
      <w:pPr>
        <w:ind w:firstLine="2703"/>
        <w:spacing w:line="360" w:lineRule="auto"/>
        <w:rPr>
          <w:rFonts w:hint="eastAsia" w:ascii="Arial" w:hAnsi="Arial"/>
          <w:bCs/>
          <w:color w:val="auto"/>
          <w:sz w:val="28"/>
          <w:szCs w:val="28"/>
          <w:highlight w:val="none"/>
        </w:rPr>
      </w:pPr>
      <w:r>
        <w:rPr>
          <w:rFonts w:hint="eastAsia" w:ascii="Arial" w:hAnsi="Arial"/>
          <w:bCs/>
          <w:color w:val="auto"/>
          <w:sz w:val="28"/>
          <w:szCs w:val="28"/>
          <w:highlight w:val="none"/>
        </w:rPr>
        <w:t xml:space="preserve">投标人： </w:t>
      </w:r>
      <w:r/>
    </w:p>
    <w:p>
      <w:pPr>
        <w:ind w:firstLine="2703"/>
        <w:spacing w:line="360" w:lineRule="auto"/>
        <w:rPr>
          <w:rFonts w:hint="eastAsia" w:ascii="Arial" w:hAnsi="Arial"/>
          <w:bCs/>
          <w:color w:val="auto"/>
          <w:sz w:val="28"/>
          <w:szCs w:val="28"/>
          <w:highlight w:val="none"/>
        </w:rPr>
      </w:pPr>
      <w:r>
        <w:rPr>
          <w:rFonts w:hint="eastAsia" w:ascii="Arial" w:hAnsi="Arial"/>
          <w:bCs/>
          <w:color w:val="auto"/>
          <w:sz w:val="28"/>
          <w:szCs w:val="28"/>
          <w:highlight w:val="none"/>
        </w:rPr>
      </w:r>
      <w:r/>
    </w:p>
    <w:p>
      <w:pPr>
        <w:jc w:val="center"/>
        <w:spacing w:line="360" w:lineRule="auto"/>
        <w:rPr>
          <w:rFonts w:ascii="Arial" w:hAnsi="Arial"/>
          <w:bCs/>
          <w:color w:val="auto"/>
          <w:sz w:val="28"/>
          <w:szCs w:val="28"/>
          <w:highlight w:val="none"/>
        </w:rPr>
        <w:outlineLvl w:val="0"/>
      </w:pPr>
      <w:r>
        <w:rPr>
          <w:rFonts w:hint="eastAsia" w:ascii="Arial" w:hAnsi="Arial"/>
          <w:bCs/>
          <w:color w:val="auto"/>
          <w:sz w:val="28"/>
          <w:szCs w:val="28"/>
          <w:highlight w:val="none"/>
        </w:rPr>
        <w:t xml:space="preserve">20   年   月</w:t>
      </w:r>
      <w:bookmarkEnd w:id="153"/>
      <w:r/>
      <w:r/>
    </w:p>
    <w:p>
      <w:pPr>
        <w:spacing w:line="360" w:lineRule="auto"/>
        <w:rPr>
          <w:rFonts w:ascii="Arial" w:hAnsi="Arial"/>
          <w:color w:val="auto"/>
          <w:sz w:val="24"/>
          <w:szCs w:val="24"/>
          <w:highlight w:val="none"/>
        </w:rPr>
        <w:outlineLvl w:val="0"/>
      </w:pPr>
      <w:r>
        <w:rPr>
          <w:rFonts w:ascii="Arial" w:hAnsi="Arial"/>
          <w:color w:val="auto"/>
          <w:sz w:val="24"/>
          <w:szCs w:val="24"/>
          <w:highlight w:val="none"/>
        </w:rPr>
      </w:r>
      <w:r/>
    </w:p>
    <w:p>
      <w:pPr>
        <w:spacing w:line="360" w:lineRule="auto"/>
        <w:rPr>
          <w:rFonts w:ascii="Arial" w:hAnsi="Arial"/>
          <w:b/>
          <w:color w:val="auto"/>
          <w:sz w:val="28"/>
          <w:szCs w:val="28"/>
          <w:highlight w:val="none"/>
        </w:rPr>
      </w:pPr>
      <w:r>
        <w:rPr>
          <w:rFonts w:hint="eastAsia" w:ascii="宋体" w:hAnsi="宋体" w:cs="宋体"/>
          <w:b/>
          <w:color w:val="auto"/>
          <w:sz w:val="28"/>
          <w:szCs w:val="28"/>
          <w:highlight w:val="none"/>
        </w:rPr>
        <w:t xml:space="preserve">二、授权委托书（给定格式）：</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21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21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21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21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1210"/>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121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1210"/>
        <w:ind w:firstLine="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1210"/>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1210"/>
        <w:ind w:firstLine="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（被授权人身份证原件扫描件附后）</w:t>
      </w:r>
      <w:r/>
    </w:p>
    <w:p>
      <w:pPr>
        <w:pStyle w:val="1210"/>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1210"/>
        <w:numPr>
          <w:ilvl w:val="0"/>
          <w:numId w:val="17"/>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若投标人为事业单位或其他组织或分支机构，则法定代表人处的签字人可为单位负责人。</w:t>
      </w:r>
      <w:r/>
    </w:p>
    <w:p>
      <w:pPr>
        <w:pStyle w:val="1210"/>
        <w:numPr>
          <w:ilvl w:val="0"/>
          <w:numId w:val="17"/>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当被授权人为法定代表人（或上述情况的单位负责人）时，只需在法定代表人处签字或盖章即可。</w:t>
      </w:r>
      <w:r/>
    </w:p>
    <w:p>
      <w:pPr>
        <w:pStyle w:val="1210"/>
        <w:numPr>
          <w:ilvl w:val="0"/>
          <w:numId w:val="17"/>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供应商为自然人情形的，可不提供本《授权委托书》。</w:t>
      </w:r>
      <w:r/>
    </w:p>
    <w:p>
      <w:pPr>
        <w:pStyle w:val="1210"/>
        <w:numPr>
          <w:ilvl w:val="0"/>
          <w:numId w:val="17"/>
        </w:num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cs="宋体"/>
          <w:bCs/>
          <w:color w:val="auto"/>
          <w:sz w:val="24"/>
          <w:szCs w:val="24"/>
          <w:highlight w:val="none"/>
          <w:lang w:eastAsia="zh-CN"/>
        </w:rPr>
        <w:t xml:space="preserve">其他</w:t>
      </w:r>
      <w:r>
        <w:rPr>
          <w:rFonts w:hint="eastAsia" w:ascii="宋体" w:hAnsi="宋体" w:cs="宋体"/>
          <w:bCs/>
          <w:color w:val="auto"/>
          <w:sz w:val="24"/>
          <w:szCs w:val="24"/>
          <w:highlight w:val="none"/>
        </w:rPr>
        <w:t xml:space="preserve">可在中国大陆有效居留的许可证明。</w:t>
      </w:r>
      <w:r/>
    </w:p>
    <w:p>
      <w:pPr>
        <w:pStyle w:val="1210"/>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54" w:name="报价方关于资格的声明函（格式）"/>
      <w:r/>
      <w:bookmarkEnd w:id="154"/>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进行投标，并作如下声明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3.本公司（单位、联合体）</w:t>
      </w:r>
      <w:r>
        <w:rPr>
          <w:rFonts w:hint="eastAsia" w:ascii="宋体" w:hAnsi="宋体" w:eastAsia="宋体"/>
          <w:bCs/>
          <w:color w:val="auto"/>
          <w:sz w:val="24"/>
          <w:szCs w:val="24"/>
          <w:highlight w:val="none"/>
        </w:rPr>
        <w:t xml:space="preserve">未</w:t>
      </w:r>
      <w:r>
        <w:rPr>
          <w:rFonts w:hint="eastAsia" w:ascii="宋体" w:hAnsi="宋体"/>
          <w:bCs/>
          <w:color w:val="auto"/>
          <w:sz w:val="24"/>
          <w:szCs w:val="24"/>
          <w:highlight w:val="none"/>
        </w:rPr>
        <w:t xml:space="preserve">被“信用中国”网站（www.creditchina.gov.cn）、中国政府采购网</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www.ccgp.gov.cn</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列入失信被执行人、</w:t>
      </w:r>
      <w:r>
        <w:rPr>
          <w:rFonts w:hint="eastAsia" w:ascii="宋体" w:hAnsi="宋体" w:eastAsia="宋体"/>
          <w:bCs/>
          <w:color w:val="auto"/>
          <w:sz w:val="24"/>
          <w:szCs w:val="24"/>
          <w:highlight w:val="none"/>
        </w:rPr>
        <w:t xml:space="preserve">重大税收违法失信主体</w:t>
      </w:r>
      <w:r>
        <w:rPr>
          <w:rFonts w:hint="eastAsia" w:ascii="宋体" w:hAnsi="宋体"/>
          <w:bCs/>
          <w:color w:val="auto"/>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jc w:val="left"/>
        <w:spacing w:line="360" w:lineRule="auto"/>
        <w:rPr>
          <w:rFonts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eastAsia="宋体" w:cs="宋体"/>
          <w:color w:val="auto"/>
          <w:sz w:val="24"/>
          <w:highlight w:val="none"/>
        </w:rPr>
        <w:t xml:space="preserve"> </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r/>
    </w:p>
    <w:p>
      <w:pPr>
        <w:jc w:val="center"/>
        <w:spacing w:line="360" w:lineRule="auto"/>
        <w:rPr>
          <w:rFonts w:ascii="宋体" w:hAnsi="宋体" w:cs="宋体"/>
          <w:color w:val="auto"/>
          <w:sz w:val="30"/>
          <w:szCs w:val="30"/>
          <w:highlight w:val="none"/>
        </w:rPr>
      </w:pPr>
      <w:r>
        <w:rPr>
          <w:rFonts w:hint="eastAsia" w:ascii="宋体" w:hAnsi="宋体" w:cs="宋体"/>
          <w:b/>
          <w:bCs/>
          <w:color w:val="auto"/>
          <w:sz w:val="30"/>
          <w:szCs w:val="30"/>
          <w:highlight w:val="none"/>
        </w:rPr>
        <w:t xml:space="preserve">中小企业声明函（货物</w:t>
      </w:r>
      <w:r>
        <w:rPr>
          <w:rFonts w:hint="eastAsia" w:ascii="宋体" w:hAnsi="宋体" w:cs="宋体"/>
          <w:color w:val="auto"/>
          <w:sz w:val="30"/>
          <w:szCs w:val="30"/>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 企业发展管理办法》（财库﹝2020﹞46 号）的规定，本公司（联合体）参加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采购活动，提供的货物全部由符合政策要求的中小企业制造。相关企业（含联合体中的中小企业、签订分包意向协议的中小企业）的具体情况如下： </w:t>
      </w:r>
      <w:r/>
    </w:p>
    <w:p>
      <w:pPr>
        <w:numPr>
          <w:ilvl w:val="0"/>
          <w:numId w:val="18"/>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交换机 </w:t>
      </w:r>
      <w:r>
        <w:rPr>
          <w:rFonts w:hint="eastAsia" w:ascii="宋体" w:hAnsi="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工业（制造业）</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numPr>
          <w:ilvl w:val="0"/>
          <w:numId w:val="18"/>
        </w:numPr>
        <w:ind w:firstLine="480"/>
        <w:spacing w:line="360" w:lineRule="auto"/>
        <w:rPr>
          <w:rFonts w:ascii="宋体" w:hAnsi="宋体" w:cs="宋体"/>
          <w:bCs/>
          <w:color w:val="auto"/>
          <w:sz w:val="24"/>
          <w:highlight w:val="none"/>
        </w:rPr>
      </w:pPr>
      <w:r>
        <w:rPr>
          <w:rFonts w:hint="eastAsia" w:ascii="宋体" w:hAnsi="宋体" w:cs="宋体"/>
          <w:color w:val="auto"/>
          <w:sz w:val="24"/>
          <w:szCs w:val="24"/>
          <w:highlight w:val="none"/>
          <w:u w:val="single"/>
        </w:rPr>
        <w:t xml:space="preserve">智慧病房交互大屏</w:t>
      </w:r>
      <w:r>
        <w:rPr>
          <w:rFonts w:hint="eastAsia" w:ascii="宋体" w:hAnsi="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工业（制造业）</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 </w:t>
      </w:r>
      <w:r/>
    </w:p>
    <w:p>
      <w:pPr>
        <w:numPr>
          <w:ilvl w:val="0"/>
          <w:numId w:val="18"/>
        </w:numPr>
        <w:ind w:firstLine="480"/>
        <w:spacing w:line="360" w:lineRule="auto"/>
        <w:rPr>
          <w:rFonts w:ascii="宋体" w:hAnsi="宋体" w:cs="宋体"/>
          <w:color w:val="auto"/>
          <w:sz w:val="24"/>
          <w:szCs w:val="24"/>
          <w:highlight w:val="none"/>
        </w:rPr>
      </w:pPr>
      <w:r>
        <w:rPr>
          <w:rFonts w:ascii="宋体" w:hAnsi="宋体"/>
          <w:bCs/>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工业（制造业）</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numPr>
          <w:ilvl w:val="0"/>
          <w:numId w:val="18"/>
        </w:numPr>
        <w:ind w:firstLine="480"/>
        <w:spacing w:line="360" w:lineRule="auto"/>
        <w:rPr>
          <w:rFonts w:ascii="宋体" w:hAnsi="宋体" w:cs="宋体"/>
          <w:bCs/>
          <w:color w:val="auto"/>
          <w:sz w:val="24"/>
          <w:highlight w:val="none"/>
        </w:rPr>
      </w:pPr>
      <w:r>
        <w:rPr>
          <w:rFonts w:ascii="宋体" w:hAnsi="宋体"/>
          <w:bCs/>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工业（制造业）</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上述内容填写按照第四章 采购需求里采购清单中的各项名称与规格进行一一填写</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 </w:t>
      </w:r>
      <w:r/>
    </w:p>
    <w:p>
      <w:pPr>
        <w:ind w:firstLine="480"/>
        <w:jc w:val="righ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企业名称（盖章）： </w:t>
      </w:r>
      <w:r/>
    </w:p>
    <w:p>
      <w:pPr>
        <w:ind w:firstLine="480"/>
        <w:jc w:val="right"/>
        <w:spacing w:line="360" w:lineRule="auto"/>
        <w:rPr>
          <w:rFonts w:ascii="宋体" w:hAnsi="宋体" w:cs="宋体"/>
          <w:bCs/>
          <w:color w:val="auto"/>
          <w:sz w:val="24"/>
          <w:highlight w:val="none"/>
        </w:rPr>
      </w:pPr>
      <w:r>
        <w:rPr>
          <w:rFonts w:hint="eastAsia" w:ascii="宋体" w:hAnsi="宋体" w:cs="宋体"/>
          <w:color w:val="auto"/>
          <w:sz w:val="24"/>
          <w:szCs w:val="24"/>
          <w:highlight w:val="none"/>
        </w:rPr>
        <w:t xml:space="preserve">日 期：</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numPr>
          <w:ilvl w:val="0"/>
          <w:numId w:val="19"/>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从业人员、营业收入、资产总额填报上一年度数据，无上一年度数据的新成立企业可不填报。</w:t>
      </w:r>
      <w:r/>
    </w:p>
    <w:p>
      <w:pPr>
        <w:numPr>
          <w:ilvl w:val="0"/>
          <w:numId w:val="19"/>
        </w:numPr>
        <w:spacing w:line="360" w:lineRule="auto"/>
        <w:rPr>
          <w:rFonts w:ascii="宋体" w:hAnsi="宋体" w:cs="宋体"/>
          <w:bCs/>
          <w:color w:val="auto"/>
          <w:sz w:val="24"/>
          <w:szCs w:val="24"/>
          <w:highlight w:val="none"/>
        </w:rPr>
      </w:pPr>
      <w:r>
        <w:rPr>
          <w:rFonts w:hint="eastAsia" w:ascii="宋体" w:hAnsi="宋体" w:cs="宋体"/>
          <w:color w:val="auto"/>
          <w:spacing w:val="8"/>
          <w:sz w:val="24"/>
          <w:szCs w:val="24"/>
          <w:highlight w:val="none"/>
          <w:shd w:val="clear" w:color="auto" w:fill="ffffff"/>
        </w:rPr>
        <w:t xml:space="preserve">在</w:t>
      </w:r>
      <w:r>
        <w:rPr>
          <w:rFonts w:hint="eastAsia" w:ascii="宋体" w:hAnsi="宋体" w:eastAsia="宋体" w:cs="宋体"/>
          <w:color w:val="auto"/>
          <w:sz w:val="24"/>
          <w:szCs w:val="24"/>
          <w:highlight w:val="none"/>
        </w:rPr>
        <w:t xml:space="preserve">货物采购项目中，在货物采购项目中，供应商提供的货物既有中小企业制造货物，也有大型企业制造货物的，不享受《政府采购促进中小企业发展管理办法》（财库〔2020〕46号）规定的小微企业扶持政策。</w:t>
      </w:r>
      <w:r/>
    </w:p>
    <w:p>
      <w:pPr>
        <w:numPr>
          <w:ilvl w:val="0"/>
          <w:numId w:val="19"/>
        </w:numPr>
        <w:spacing w:line="360" w:lineRule="auto"/>
        <w:rPr>
          <w:rFonts w:hint="eastAsia" w:ascii="宋体" w:hAnsi="宋体" w:cs="宋体"/>
          <w:color w:val="auto"/>
          <w:spacing w:val="8"/>
          <w:sz w:val="24"/>
          <w:szCs w:val="24"/>
          <w:highlight w:val="none"/>
          <w:shd w:val="clear" w:color="auto" w:fill="ffffff"/>
        </w:rPr>
      </w:pPr>
      <w:r>
        <w:rPr>
          <w:rFonts w:hint="eastAsia" w:ascii="宋体" w:hAnsi="宋体" w:cs="宋体"/>
          <w:color w:val="auto"/>
          <w:spacing w:val="8"/>
          <w:sz w:val="24"/>
          <w:szCs w:val="24"/>
          <w:highlight w:val="none"/>
          <w:shd w:val="clear" w:color="auto" w:fill="ffffff"/>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bCs/>
          <w:color w:val="auto"/>
          <w:sz w:val="24"/>
          <w:szCs w:val="24"/>
          <w:highlight w:val="none"/>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hint="eastAsia" w:eastAsia="宋体"/>
          <w:b/>
          <w:color w:val="auto"/>
          <w:sz w:val="30"/>
          <w:szCs w:val="30"/>
          <w:highlight w:val="none"/>
          <w:lang w:eastAsia="zh-CN"/>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right="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     年　  月　  日         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rFonts w:hint="eastAsia" w:eastAsia="宋体"/>
          <w:b/>
          <w:color w:val="auto"/>
          <w:sz w:val="28"/>
          <w:szCs w:val="28"/>
          <w:highlight w:val="none"/>
          <w:lang w:val="en-US" w:eastAsia="zh-CN"/>
        </w:rPr>
      </w:pPr>
      <w:r>
        <w:rPr>
          <w:rFonts w:hint="eastAsia" w:eastAsia="宋体"/>
          <w:b/>
          <w:color w:val="auto"/>
          <w:sz w:val="28"/>
          <w:szCs w:val="28"/>
          <w:highlight w:val="none"/>
          <w:lang w:val="en-US" w:eastAsia="zh-CN"/>
        </w:rPr>
      </w:r>
      <w:r/>
    </w:p>
    <w:p>
      <w:pPr>
        <w:spacing w:line="360" w:lineRule="auto"/>
        <w:rPr>
          <w:b/>
          <w:bCs/>
          <w:color w:val="auto"/>
          <w:sz w:val="28"/>
          <w:szCs w:val="28"/>
          <w:highlight w:val="none"/>
        </w:rPr>
      </w:pPr>
      <w:r>
        <w:rPr>
          <w:b/>
          <w:bCs/>
          <w:color w:val="auto"/>
          <w:sz w:val="28"/>
          <w:szCs w:val="28"/>
          <w:highlight w:val="none"/>
        </w:rPr>
      </w:r>
      <w:r/>
    </w:p>
    <w:p>
      <w:pPr>
        <w:spacing w:line="360" w:lineRule="auto"/>
        <w:rPr>
          <w:rFonts w:hint="eastAsia"/>
          <w:b/>
          <w:bCs/>
          <w:color w:val="auto"/>
          <w:sz w:val="28"/>
          <w:szCs w:val="28"/>
          <w:highlight w:val="none"/>
        </w:rPr>
      </w:pPr>
      <w:r>
        <w:rPr>
          <w:rFonts w:hint="eastAsia" w:eastAsia="宋体"/>
          <w:b/>
          <w:color w:val="auto"/>
          <w:sz w:val="28"/>
          <w:szCs w:val="28"/>
          <w:highlight w:val="none"/>
          <w:lang w:val="en-US" w:eastAsia="zh-CN"/>
        </w:rPr>
        <w:t xml:space="preserve">七、</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b/>
          <w:color w:val="auto"/>
          <w:sz w:val="30"/>
          <w:szCs w:val="30"/>
          <w:highlight w:val="none"/>
        </w:rPr>
      </w:pPr>
      <w:r>
        <w:rPr>
          <w:b/>
          <w:color w:val="auto"/>
          <w:sz w:val="30"/>
          <w:szCs w:val="30"/>
          <w:highlight w:val="none"/>
        </w:rPr>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招标文件，经仔细阅读和研究，我方决定参加此项目的投标。</w:t>
      </w:r>
      <w:r/>
    </w:p>
    <w:p>
      <w:pPr>
        <w:numPr>
          <w:ilvl w:val="0"/>
          <w:numId w:val="20"/>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20"/>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205"/>
          <w:bCs/>
          <w:color w:val="auto"/>
          <w:highlight w:val="none"/>
        </w:rPr>
      </w:pPr>
      <w:r>
        <w:rPr>
          <w:rFonts w:hint="eastAsia" w:ascii="宋体" w:hAnsi="宋体"/>
          <w:bCs/>
          <w:color w:val="auto"/>
          <w:sz w:val="24"/>
          <w:szCs w:val="24"/>
          <w:highlight w:val="none"/>
        </w:rPr>
        <w:t xml:space="preserve">我方愿意提供</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在招标文件中要求的文件、资料。</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eastAsia="宋体"/>
          <w:bCs/>
          <w:color w:val="auto"/>
          <w:sz w:val="24"/>
          <w:szCs w:val="24"/>
          <w:highlight w:val="none"/>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w:t>
      </w:r>
      <w:r>
        <w:rPr>
          <w:rFonts w:hint="eastAsia" w:ascii="宋体" w:hAnsi="宋体" w:eastAsia="宋体"/>
          <w:bCs/>
          <w:color w:val="auto"/>
          <w:sz w:val="24"/>
          <w:szCs w:val="24"/>
          <w:highlight w:val="none"/>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bCs/>
          <w:color w:val="auto"/>
          <w:sz w:val="24"/>
          <w:szCs w:val="24"/>
          <w:highlight w:val="none"/>
        </w:rPr>
        <w:t xml:space="preserve">其他</w:t>
      </w:r>
      <w:r>
        <w:rPr>
          <w:rFonts w:hint="eastAsia" w:ascii="宋体" w:hAnsi="宋体"/>
          <w:bCs/>
          <w:color w:val="auto"/>
          <w:sz w:val="24"/>
          <w:szCs w:val="24"/>
          <w:highlight w:val="none"/>
        </w:rPr>
        <w:t xml:space="preserve">供应商或者</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恶意串通、决不向采购人、</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eastAsia="zh-CN"/>
        </w:rPr>
        <w:t xml:space="preserve">我方知情并同意执行</w:t>
      </w:r>
      <w:r>
        <w:rPr>
          <w:rFonts w:hint="eastAsia" w:ascii="宋体" w:hAnsi="宋体" w:eastAsia="宋体" w:cs="Times New Roman"/>
          <w:bCs/>
          <w:color w:val="auto"/>
          <w:sz w:val="24"/>
          <w:szCs w:val="24"/>
          <w:highlight w:val="none"/>
        </w:rPr>
        <w:t xml:space="preserve">《无锡市人民医院供应商管理办法》</w:t>
      </w:r>
      <w:r>
        <w:rPr>
          <w:rFonts w:hint="eastAsia" w:ascii="宋体" w:hAnsi="宋体" w:eastAsia="宋体" w:cs="Times New Roman"/>
          <w:bCs/>
          <w:color w:val="auto"/>
          <w:sz w:val="24"/>
          <w:szCs w:val="24"/>
          <w:highlight w:val="none"/>
          <w:lang w:eastAsia="zh-CN"/>
        </w:rPr>
        <w:t xml:space="preserve">（文件附后）</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；传真：</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left="0" w:firstLine="420"/>
        <w:jc w:val="center"/>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lang w:val="en-US" w:eastAsia="zh-CN"/>
        </w:rPr>
        <w:t xml:space="preserve">附件：</w:t>
      </w:r>
      <w:r>
        <w:rPr>
          <w:rFonts w:hint="eastAsia" w:ascii="宋体" w:hAnsi="宋体" w:cs="宋体"/>
          <w:b w:val="0"/>
          <w:bCs/>
          <w:color w:val="auto"/>
          <w:sz w:val="24"/>
          <w:highlight w:val="none"/>
        </w:rPr>
        <w:t xml:space="preserve">无锡市人民医院供应商管理办法</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第一条 为进一步加强对供应商的监督管理，建立安全稳定的供应商队伍，确保医院能得到及时、长期、稳定的高质量服务，同时进一步加强党风廉政建设、行风建设，防范业务活动中不规范和违纪违法行为的发生，规范对供应商违约失信行为的惩戒标准和工作程序，预防商业贿赂行为，根据中央纪委国家监委会同有关单位联合印发的《关于进一步推进受贿行贿一起查的意见》等有关规定，特制订本办法。</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第二条 本办法适用于参与医院各类采购及在一定时期内持续提供药品、耗材、设备、试剂、信息产品以及办公用品、后勤物资等商品、服务的供应商。</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第三条 本办法所称黑名单供应商是指在医院院内采购项目（非招标投标法和政府采购法相关规范适用范围）及履约过程中，发生违纪违法和违反招投标规则和本单位相关规定、不遵守合同与承诺、利用商业贿赂及其他不正当手段等谋取利益的相关供应商及相关人员。</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第四条 供应商要严格遵守国家《药品管理法》、《医疗器械监督管理条例》等国家相关法律法规开展经营活动，按照《药品经营许可证</w:t>
      </w:r>
      <w:r>
        <w:rPr>
          <w:rFonts w:hint="eastAsia" w:ascii="宋体" w:hAnsi="宋体" w:eastAsia="宋体" w:cs="宋体"/>
          <w:b w:val="0"/>
          <w:bCs/>
          <w:color w:val="auto"/>
          <w:sz w:val="24"/>
          <w:highlight w:val="none"/>
          <w:lang w:eastAsia="zh-CN"/>
        </w:rPr>
        <w:t xml:space="preserve">》《</w:t>
      </w:r>
      <w:r>
        <w:rPr>
          <w:rFonts w:hint="eastAsia" w:ascii="宋体" w:hAnsi="宋体" w:cs="宋体"/>
          <w:b w:val="0"/>
          <w:bCs/>
          <w:color w:val="auto"/>
          <w:sz w:val="24"/>
          <w:highlight w:val="none"/>
        </w:rPr>
        <w:t xml:space="preserve">医疗器械经营许可证》等相关证照核准的经营范围、经营方式开展业务往来，绝不经营假冒伪劣产品。</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第五条 供应商不得以现金、有价证券、实物或变相组织旅游和娱乐活动等形式贿赂医院人员；不以任何名义为我院工作人员报销应由个人支付的任何费用；不以任何理由安排我院工作人员参加高消费宴请及娱乐活动；不为我院工作人员及其家属购置或提供通讯工具、交通工具、高档办公用品和一些其他服务；不得要求医院任何部门、任何个人对药品、器械的使用情况进行统计。</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第六条 遵守“两指”制度，供应商必须在指定时间、指定地点开展活动。</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第七条 供应商划入黑名单的依据和标准</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（一）涉及一切商业贿赂行为，包含有明确司法判决书、行政处罚决定书、行风办查实的、审计发现的问题以及</w:t>
      </w:r>
      <w:r>
        <w:rPr>
          <w:rFonts w:hint="eastAsia" w:ascii="宋体" w:hAnsi="宋体" w:eastAsia="宋体" w:cs="宋体"/>
          <w:b w:val="0"/>
          <w:bCs/>
          <w:color w:val="auto"/>
          <w:sz w:val="24"/>
          <w:highlight w:val="none"/>
          <w:lang w:eastAsia="zh-CN"/>
        </w:rPr>
        <w:t xml:space="preserve">其他商业</w:t>
      </w:r>
      <w:r>
        <w:rPr>
          <w:rFonts w:hint="eastAsia" w:ascii="宋体" w:hAnsi="宋体" w:cs="宋体"/>
          <w:b w:val="0"/>
          <w:bCs/>
          <w:color w:val="auto"/>
          <w:sz w:val="24"/>
          <w:highlight w:val="none"/>
        </w:rPr>
        <w:t xml:space="preserve">贿赂行为。</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（二）在招投标过程中或物资采购过程中相互串通投标、非法以他人名义投标和以其他方式弄虚作假骗取中标的行为。</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（三）严重违反投标承诺、中标后不按</w:t>
      </w:r>
      <w:r>
        <w:rPr>
          <w:rFonts w:hint="eastAsia" w:ascii="宋体" w:hAnsi="宋体" w:cs="宋体"/>
          <w:b w:val="0"/>
          <w:bCs/>
          <w:color w:val="auto"/>
          <w:sz w:val="24"/>
          <w:highlight w:val="none"/>
          <w:lang w:eastAsia="zh-CN"/>
        </w:rPr>
        <w:t xml:space="preserve">响应文件</w:t>
      </w:r>
      <w:r>
        <w:rPr>
          <w:rFonts w:hint="eastAsia" w:ascii="宋体" w:hAnsi="宋体" w:cs="宋体"/>
          <w:b w:val="0"/>
          <w:bCs/>
          <w:color w:val="auto"/>
          <w:sz w:val="24"/>
          <w:highlight w:val="none"/>
        </w:rPr>
        <w:t xml:space="preserve">签订合同或不按合同约定，有提高价格、降低质量、拖延工期或供货时间的不诚信行为。</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（四）在履行投标承诺或合同过程中，出现严重的质量问题或给本单位造成重大经济损失、安全事故以及不良社会影响的。</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（五）不遵守招投标法律法规，在招标采购过程中有恶意诽谤、诬告或陷害其他竞争对手的不良行为。</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（六）有其他违反国家法律法规及招投标管理相关规定的。</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第八条 供应商黑名单的建立</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（一）采购中心与纪委监察办负责供应商黑名单的建立。</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（二）采购中心负责供应商的日常管理，建立供应商考核权重表，定期召集各相关职能部门和使用部门对供应商进行考核。</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（三）供应商考核结果分优秀（90分以上）、良好（75</w:t>
      </w:r>
      <w:r>
        <w:rPr>
          <w:rFonts w:hint="eastAsia" w:ascii="宋体" w:hAnsi="宋体" w:eastAsia="宋体" w:cs="宋体"/>
          <w:b w:val="0"/>
          <w:bCs/>
          <w:color w:val="auto"/>
          <w:sz w:val="24"/>
          <w:highlight w:val="none"/>
          <w:lang w:eastAsia="zh-CN"/>
        </w:rPr>
        <w:t xml:space="preserve">—</w:t>
      </w:r>
      <w:r>
        <w:rPr>
          <w:rFonts w:hint="eastAsia" w:ascii="宋体" w:hAnsi="宋体" w:cs="宋体"/>
          <w:b w:val="0"/>
          <w:bCs/>
          <w:color w:val="auto"/>
          <w:sz w:val="24"/>
          <w:highlight w:val="none"/>
        </w:rPr>
        <w:t xml:space="preserve">89分）合格（60</w:t>
      </w:r>
      <w:r>
        <w:rPr>
          <w:rFonts w:hint="eastAsia" w:ascii="宋体" w:hAnsi="宋体" w:eastAsia="宋体" w:cs="宋体"/>
          <w:b w:val="0"/>
          <w:bCs/>
          <w:color w:val="auto"/>
          <w:sz w:val="24"/>
          <w:highlight w:val="none"/>
          <w:lang w:eastAsia="zh-CN"/>
        </w:rPr>
        <w:t xml:space="preserve">—</w:t>
      </w:r>
      <w:r>
        <w:rPr>
          <w:rFonts w:hint="eastAsia" w:ascii="宋体" w:hAnsi="宋体" w:cs="宋体"/>
          <w:b w:val="0"/>
          <w:bCs/>
          <w:color w:val="auto"/>
          <w:sz w:val="24"/>
          <w:highlight w:val="none"/>
        </w:rPr>
        <w:t xml:space="preserve">75分）和不合格</w:t>
      </w:r>
      <w:r>
        <w:rPr>
          <w:rFonts w:hint="eastAsia" w:ascii="宋体" w:hAnsi="宋体" w:eastAsia="宋体" w:cs="宋体"/>
          <w:b w:val="0"/>
          <w:bCs/>
          <w:color w:val="auto"/>
          <w:sz w:val="24"/>
          <w:highlight w:val="none"/>
          <w:lang w:eastAsia="zh-CN"/>
        </w:rPr>
        <w:t xml:space="preserve">（</w:t>
      </w:r>
      <w:r>
        <w:rPr>
          <w:rFonts w:hint="eastAsia" w:ascii="宋体" w:hAnsi="宋体" w:cs="宋体"/>
          <w:b w:val="0"/>
          <w:bCs/>
          <w:color w:val="auto"/>
          <w:sz w:val="24"/>
          <w:highlight w:val="none"/>
        </w:rPr>
        <w:t xml:space="preserve">60分以下</w:t>
      </w:r>
      <w:r>
        <w:rPr>
          <w:rFonts w:hint="eastAsia" w:ascii="宋体" w:hAnsi="宋体" w:eastAsia="宋体" w:cs="宋体"/>
          <w:b w:val="0"/>
          <w:bCs/>
          <w:color w:val="auto"/>
          <w:sz w:val="24"/>
          <w:highlight w:val="none"/>
          <w:lang w:eastAsia="zh-CN"/>
        </w:rPr>
        <w:t xml:space="preserve">）</w:t>
      </w:r>
      <w:r>
        <w:rPr>
          <w:rFonts w:hint="eastAsia" w:ascii="宋体" w:hAnsi="宋体" w:cs="宋体"/>
          <w:b w:val="0"/>
          <w:bCs/>
          <w:color w:val="auto"/>
          <w:sz w:val="24"/>
          <w:highlight w:val="none"/>
        </w:rPr>
        <w:t xml:space="preserve">四类，年度评审，对评审合格以上的供货商可续签供货协议，但评审合格的供货商需提交书面整改意见；评审不合格的供货商，需经谈话提出整改意见，供货商提交整改方案后可续签供货协议，连续二次以上评审不合格取消下一阶段的供货资格，采购中心重新进行招标确定新供货商。        </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第九条 供应商黑名单的处理</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对于列入黑名单的供应商，医院有权采取以下部分或全部处理措施：</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（一）约谈、告诫。</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（二）对于只有唯一授权的产品，通过实施二轮谈价的方式，来挤压隐性利润、强化成本把控。</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（三）对于开放的、通用的产品，相关职能部门提供遴选规则及参数需求，采购中心用公开遴选的方式引入充分竞争，打破固定合作壁垒，引入更具性价比的供应商。</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（四）根据法律规定或合同约定要求供应商承担违约责任。</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（五）解除合同。</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（六）禁止后续三年内参加本办法所涉及的采购项目。</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第十条 本办法将作为院内采购投标文件或长期供货协议的附件，要求供应商明确“知情并执行”并遵守该管理办法。</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outlineLvl w:val="0"/>
      </w:pPr>
      <w:r>
        <w:rPr>
          <w:rFonts w:hint="eastAsia" w:ascii="宋体" w:hAnsi="宋体" w:cs="宋体"/>
          <w:b w:val="0"/>
          <w:bCs/>
          <w:color w:val="auto"/>
          <w:sz w:val="24"/>
          <w:highlight w:val="none"/>
        </w:rPr>
        <w:t xml:space="preserve">第十一条 本办法自发布之日起施行，由采购中心负责解释。</w:t>
      </w:r>
      <w:r/>
    </w:p>
    <w:p>
      <w:pPr>
        <w:ind w:left="0" w:firstLine="420"/>
        <w:jc w:val="left"/>
        <w:keepLines w:val="0"/>
        <w:keepNext w:val="0"/>
        <w:pageBreakBefore w:val="0"/>
        <w:spacing w:line="360" w:lineRule="auto"/>
        <w:widowControl w:val="off"/>
        <w:rPr>
          <w:rFonts w:hint="eastAsia" w:ascii="宋体" w:hAnsi="宋体" w:cs="宋体"/>
          <w:b w:val="0"/>
          <w:bCs/>
          <w:color w:val="auto"/>
          <w:sz w:val="24"/>
          <w:highlight w:val="none"/>
        </w:rPr>
        <w:sectPr>
          <w:footerReference w:type="default" r:id="rId15"/>
          <w:footnotePr/>
          <w:endnotePr/>
          <w:type w:val="nextPage"/>
          <w:pgSz w:w="11906" w:h="16838" w:orient="portrait"/>
          <w:pgMar w:top="1440" w:right="1286" w:bottom="1440" w:left="1020" w:header="851" w:footer="567" w:gutter="0"/>
          <w:cols w:num="1" w:sep="0" w:space="720" w:equalWidth="1"/>
          <w:docGrid w:linePitch="360"/>
        </w:sectPr>
        <w:outlineLvl w:val="0"/>
      </w:pPr>
      <w:r>
        <w:rPr>
          <w:rFonts w:hint="eastAsia" w:ascii="宋体" w:hAnsi="宋体" w:cs="宋体"/>
          <w:b w:val="0"/>
          <w:bCs/>
          <w:color w:val="auto"/>
          <w:sz w:val="24"/>
          <w:highlight w:val="none"/>
        </w:rPr>
        <w:t xml:space="preserve">                                 2026年1月4日印</w:t>
      </w:r>
      <w:r/>
    </w:p>
    <w:p>
      <w:pPr>
        <w:spacing w:line="360" w:lineRule="auto"/>
        <w:rPr>
          <w:b/>
          <w:color w:val="auto"/>
          <w:sz w:val="28"/>
          <w:szCs w:val="28"/>
          <w:highlight w:val="none"/>
        </w:rPr>
      </w:pPr>
      <w:r>
        <w:rPr>
          <w:rFonts w:hint="eastAsia" w:eastAsia="宋体"/>
          <w:b/>
          <w:color w:val="auto"/>
          <w:sz w:val="28"/>
          <w:szCs w:val="28"/>
          <w:highlight w:val="none"/>
          <w:lang w:val="en-US" w:eastAsia="zh-CN"/>
        </w:rPr>
        <w:t xml:space="preserve">八</w:t>
      </w:r>
      <w:r>
        <w:rPr>
          <w:rFonts w:hint="eastAsia"/>
          <w:b/>
          <w:color w:val="auto"/>
          <w:sz w:val="28"/>
          <w:szCs w:val="28"/>
          <w:highlight w:val="none"/>
        </w:rPr>
        <w:t xml:space="preserve">、承诺书（给定格式）：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ind w:firstLine="240"/>
        <w:spacing w:line="360" w:lineRule="auto"/>
        <w:rPr>
          <w:rFonts w:ascii="宋体" w:hAnsi="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color w:val="auto"/>
          <w:sz w:val="24"/>
          <w:highlight w:val="none"/>
          <w:u w:val="single"/>
        </w:rPr>
        <w:t xml:space="preserve">投标人</w:t>
      </w:r>
      <w:r>
        <w:rPr>
          <w:rFonts w:hint="eastAsia" w:ascii="宋体" w:hAnsi="宋体"/>
          <w:color w:val="auto"/>
          <w:sz w:val="24"/>
          <w:szCs w:val="24"/>
          <w:highlight w:val="none"/>
          <w:u w:val="single"/>
        </w:rPr>
        <w:t xml:space="preserve">名称）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rPr>
        <w:t xml:space="preserve">针对本项目</w:t>
      </w:r>
      <w:r>
        <w:rPr>
          <w:rFonts w:hint="eastAsia" w:ascii="宋体" w:hAnsi="宋体"/>
          <w:bCs/>
          <w:color w:val="auto"/>
          <w:sz w:val="24"/>
          <w:szCs w:val="24"/>
          <w:highlight w:val="none"/>
        </w:rPr>
        <w:t xml:space="preserve">编号</w:t>
      </w:r>
      <w:r>
        <w:rPr>
          <w:rFonts w:hint="eastAsia" w:ascii="宋体" w:hAnsi="宋体" w:eastAsia="宋体"/>
          <w:bCs/>
          <w:color w:val="auto"/>
          <w:sz w:val="24"/>
          <w:szCs w:val="24"/>
          <w:highlight w:val="none"/>
          <w:u w:val="single"/>
        </w:rPr>
        <w:t xml:space="preserve">                 </w:t>
      </w:r>
      <w:r>
        <w:rPr>
          <w:rFonts w:hint="eastAsia" w:ascii="宋体" w:hAnsi="宋体"/>
          <w:color w:val="auto"/>
          <w:sz w:val="24"/>
          <w:szCs w:val="24"/>
          <w:highlight w:val="none"/>
        </w:rPr>
        <w:t xml:space="preserve">在此承诺：</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2.本项目中如有</w:t>
      </w:r>
      <w:r>
        <w:rPr>
          <w:rFonts w:hint="eastAsia" w:ascii="宋体" w:eastAsia="宋体"/>
          <w:bCs/>
          <w:color w:val="auto"/>
          <w:sz w:val="24"/>
          <w:szCs w:val="24"/>
          <w:highlight w:val="none"/>
        </w:rPr>
        <w:t xml:space="preserve">涉及</w:t>
      </w:r>
      <w:r>
        <w:rPr>
          <w:rFonts w:hint="eastAsia" w:ascii="宋体"/>
          <w:bCs/>
          <w:color w:val="auto"/>
          <w:sz w:val="24"/>
          <w:szCs w:val="24"/>
          <w:highlight w:val="none"/>
        </w:rPr>
        <w:t xml:space="preserve">商品包装、快递包装要求的，本公司（单位）对于中标产品的包装将严格</w:t>
      </w:r>
      <w:r>
        <w:rPr>
          <w:rFonts w:hint="eastAsia" w:ascii="宋体" w:eastAsia="宋体"/>
          <w:bCs/>
          <w:color w:val="auto"/>
          <w:sz w:val="24"/>
          <w:szCs w:val="24"/>
          <w:highlight w:val="none"/>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color w:val="auto"/>
          <w:sz w:val="24"/>
          <w:szCs w:val="24"/>
          <w:highlight w:val="none"/>
        </w:rPr>
      </w:pPr>
      <w:r>
        <w:rPr>
          <w:rFonts w:hint="eastAsia" w:ascii="宋体"/>
          <w:bCs/>
          <w:color w:val="auto"/>
          <w:sz w:val="24"/>
          <w:szCs w:val="24"/>
          <w:highlight w:val="none"/>
        </w:rPr>
        <w:t xml:space="preserve">4.</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b/>
          <w:color w:val="auto"/>
          <w:sz w:val="28"/>
          <w:szCs w:val="28"/>
          <w:highlight w:val="none"/>
        </w:rPr>
      </w:pPr>
      <w:r>
        <w:rPr>
          <w:rFonts w:hint="eastAsia" w:eastAsia="宋体"/>
          <w:b/>
          <w:color w:val="auto"/>
          <w:sz w:val="28"/>
          <w:szCs w:val="28"/>
          <w:highlight w:val="none"/>
          <w:lang w:val="en-US" w:eastAsia="zh-CN"/>
        </w:rPr>
        <w:t xml:space="preserve">九</w:t>
      </w:r>
      <w:r>
        <w:rPr>
          <w:rFonts w:hint="eastAsia"/>
          <w:b/>
          <w:color w:val="auto"/>
          <w:sz w:val="28"/>
          <w:szCs w:val="28"/>
          <w:highlight w:val="none"/>
        </w:rPr>
        <w:t xml:space="preserve">、开标一览表（给定格式）：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项目编号：</w:t>
      </w:r>
      <w:r/>
    </w:p>
    <w:p>
      <w:pPr>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lang w:val="en-US" w:eastAsia="zh-CN"/>
        </w:rPr>
        <w:t xml:space="preserve">货币单位：人民币元</w:t>
      </w:r>
      <w:r/>
    </w:p>
    <w:tbl>
      <w:tblPr>
        <w:tblStyle w:val="822"/>
        <w:tblW w:w="9304"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1836"/>
        <w:gridCol w:w="4539"/>
      </w:tblGrid>
      <w:tr>
        <w:trPr>
          <w:cantSplit/>
          <w:trHeight w:val="567"/>
        </w:trPr>
        <w:tc>
          <w:tcPr>
            <w:tcW w:w="2929"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1836" w:type="dxa"/>
            <w:vAlign w:val="center"/>
            <w:textDirection w:val="lrTb"/>
            <w:noWrap w:val="false"/>
          </w:tcPr>
          <w:p>
            <w:pPr>
              <w:jc w:val="center"/>
              <w:spacing w:line="360" w:lineRule="auto"/>
              <w:rPr>
                <w:rFonts w:hint="default"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项目内容</w:t>
            </w:r>
            <w:r/>
          </w:p>
        </w:tc>
        <w:tc>
          <w:tcPr>
            <w:tcW w:w="4539"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总价</w:t>
            </w:r>
            <w:r>
              <w:rPr>
                <w:rFonts w:hint="eastAsia" w:ascii="宋体" w:hAnsi="宋体" w:eastAsia="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hint="eastAsia" w:ascii="宋体" w:hAnsi="宋体" w:eastAsia="宋体"/>
                <w:b/>
                <w:bCs/>
                <w:color w:val="auto"/>
                <w:sz w:val="24"/>
                <w:szCs w:val="24"/>
                <w:highlight w:val="none"/>
              </w:rPr>
              <w:t xml:space="preserve">）</w:t>
            </w:r>
            <w:r/>
          </w:p>
        </w:tc>
      </w:tr>
      <w:tr>
        <w:trPr>
          <w:cantSplit/>
          <w:trHeight w:val="1630"/>
        </w:trPr>
        <w:tc>
          <w:tcPr>
            <w:tcW w:w="2929" w:type="dxa"/>
            <w:vAlign w:val="center"/>
            <w:textDirection w:val="lrTb"/>
            <w:noWrap w:val="false"/>
          </w:tcPr>
          <w:p>
            <w:pPr>
              <w:pStyle w:val="959"/>
              <w:jc w:val="center"/>
              <w:spacing w:line="360" w:lineRule="auto"/>
              <w:rPr>
                <w:rFonts w:hAnsi="宋体"/>
                <w:bCs/>
                <w:color w:val="auto"/>
                <w:szCs w:val="24"/>
                <w:highlight w:val="none"/>
              </w:rPr>
            </w:pPr>
            <w:r>
              <w:rPr>
                <w:rFonts w:hAnsi="宋体"/>
                <w:bCs/>
                <w:color w:val="auto"/>
                <w:szCs w:val="24"/>
                <w:highlight w:val="none"/>
              </w:rPr>
            </w:r>
            <w:r/>
          </w:p>
        </w:tc>
        <w:tc>
          <w:tcPr>
            <w:tcW w:w="1836" w:type="dxa"/>
            <w:vAlign w:val="center"/>
            <w:textDirection w:val="lrTb"/>
            <w:noWrap w:val="false"/>
          </w:tcPr>
          <w:p>
            <w:pPr>
              <w:jc w:val="center"/>
              <w:spacing w:line="360" w:lineRule="auto"/>
              <w:rPr>
                <w:rFonts w:hint="default"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详见投标文件</w:t>
            </w:r>
            <w:r/>
          </w:p>
        </w:tc>
        <w:tc>
          <w:tcPr>
            <w:tcW w:w="4539" w:type="dxa"/>
            <w:vAlign w:val="center"/>
            <w:textDirection w:val="lrTb"/>
            <w:noWrap w:val="false"/>
          </w:tcPr>
          <w:p>
            <w:pPr>
              <w:jc w:val="cente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r>
            <w:r/>
          </w:p>
        </w:tc>
      </w:tr>
      <w:tr>
        <w:trPr>
          <w:cantSplit/>
          <w:trHeight w:val="780"/>
        </w:trPr>
        <w:tc>
          <w:tcPr>
            <w:tcW w:w="2929" w:type="dxa"/>
            <w:vAlign w:val="center"/>
            <w:textDirection w:val="lrTb"/>
            <w:noWrap w:val="false"/>
          </w:tcPr>
          <w:p>
            <w:pPr>
              <w:jc w:val="cente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总价（大写）</w:t>
            </w:r>
            <w:r/>
          </w:p>
        </w:tc>
        <w:tc>
          <w:tcPr>
            <w:gridSpan w:val="2"/>
            <w:tcW w:w="6375" w:type="dxa"/>
            <w:vAlign w:val="center"/>
            <w:textDirection w:val="lrTb"/>
            <w:noWrap w:val="false"/>
          </w:tcPr>
          <w:p>
            <w:pPr>
              <w:jc w:val="both"/>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填写说明：</w:t>
      </w:r>
      <w:r/>
    </w:p>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spacing w:line="360" w:lineRule="auto"/>
        <w:rPr>
          <w:rFonts w:ascii="宋体" w:hAnsi="宋体"/>
          <w:b/>
          <w:color w:val="auto"/>
          <w:sz w:val="24"/>
          <w:highlight w:val="none"/>
        </w:rPr>
      </w:pPr>
      <w:r>
        <w:rPr>
          <w:rFonts w:ascii="宋体" w:hAnsi="宋体"/>
          <w:b/>
          <w:color w:val="auto"/>
          <w:sz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Times New Roman" w:eastAsia="宋体"/>
          <w:b/>
          <w:color w:val="auto"/>
          <w:sz w:val="28"/>
          <w:szCs w:val="28"/>
          <w:highlight w:val="none"/>
        </w:rPr>
      </w:pPr>
      <w:r>
        <w:rPr>
          <w:rFonts w:hint="eastAsia" w:ascii="黑体" w:eastAsia="黑体"/>
          <w:bCs/>
          <w:color w:val="auto"/>
          <w:sz w:val="24"/>
          <w:szCs w:val="24"/>
          <w:highlight w:val="none"/>
        </w:rPr>
        <w:br w:type="page" w:clear="all"/>
      </w:r>
      <w:r>
        <w:rPr>
          <w:rFonts w:hint="eastAsia" w:ascii="黑体" w:eastAsia="黑体"/>
          <w:bCs/>
          <w:color w:val="auto"/>
          <w:sz w:val="24"/>
          <w:szCs w:val="24"/>
          <w:highlight w:val="none"/>
          <w:lang w:val="en-US" w:eastAsia="zh-CN"/>
        </w:rPr>
        <w:t xml:space="preserve">十</w:t>
      </w:r>
      <w:r>
        <w:rPr>
          <w:rFonts w:hint="eastAsia"/>
          <w:b/>
          <w:color w:val="auto"/>
          <w:sz w:val="28"/>
          <w:szCs w:val="28"/>
          <w:highlight w:val="none"/>
        </w:rPr>
        <w:t xml:space="preserve">、</w:t>
      </w:r>
      <w:r>
        <w:rPr>
          <w:rFonts w:hint="eastAsia" w:eastAsia="宋体"/>
          <w:b/>
          <w:color w:val="auto"/>
          <w:sz w:val="28"/>
          <w:szCs w:val="28"/>
          <w:highlight w:val="none"/>
          <w:lang w:val="en-US" w:eastAsia="zh-CN"/>
        </w:rPr>
        <w:t xml:space="preserve">细目报价表</w:t>
      </w:r>
      <w:r>
        <w:rPr>
          <w:rFonts w:hint="eastAsia"/>
          <w:b/>
          <w:color w:val="auto"/>
          <w:sz w:val="28"/>
          <w:szCs w:val="28"/>
          <w:highlight w:val="none"/>
        </w:rPr>
        <w:t xml:space="preserve">（给定格式）：</w:t>
      </w:r>
      <w:bookmarkStart w:id="155" w:name="_Toc120614284"/>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8"/>
          <w:szCs w:val="28"/>
          <w:highlight w:val="none"/>
          <w:lang w:val="en-US" w:eastAsia="zh-CN"/>
        </w:rPr>
        <w:t xml:space="preserve">细目</w:t>
      </w:r>
      <w:r>
        <w:rPr>
          <w:rFonts w:hint="eastAsia" w:ascii="黑体" w:eastAsia="黑体"/>
          <w:bCs/>
          <w:color w:val="auto"/>
          <w:sz w:val="28"/>
          <w:szCs w:val="28"/>
          <w:highlight w:val="none"/>
        </w:rPr>
        <w:t xml:space="preserve">报价表</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highlight w:val="none"/>
        </w:rPr>
        <w:t xml:space="preserve">项目编号：</w:t>
      </w:r>
      <w:r/>
    </w:p>
    <w:tbl>
      <w:tblPr>
        <w:tblStyle w:val="822"/>
        <w:tblW w:w="1013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270"/>
        <w:gridCol w:w="1508"/>
        <w:gridCol w:w="885"/>
        <w:gridCol w:w="901"/>
        <w:gridCol w:w="1817"/>
        <w:gridCol w:w="1817"/>
      </w:tblGrid>
      <w:tr>
        <w:trPr>
          <w:jc w:val="center"/>
          <w:trHeight w:val="615"/>
        </w:trPr>
        <w:tc>
          <w:tcPr>
            <w:tcBorders>
              <w:top w:val="single" w:color="auto" w:sz="4" w:space="0"/>
              <w:left w:val="single" w:color="auto" w:sz="4" w:space="0"/>
              <w:bottom w:val="single" w:color="auto" w:sz="4" w:space="0"/>
              <w:right w:val="single" w:color="auto" w:sz="4" w:space="0"/>
            </w:tcBorders>
            <w:tcW w:w="93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分项名称</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性能指标</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default" w:ascii="宋体" w:hAnsi="宋体" w:eastAsia="宋体" w:cs="宋体"/>
                <w:b/>
                <w:bCs/>
                <w:i w:val="0"/>
                <w:iCs w:val="0"/>
                <w:color w:val="auto"/>
                <w:sz w:val="24"/>
                <w:szCs w:val="24"/>
                <w:highlight w:val="none"/>
                <w:u w:val="none"/>
                <w:lang w:val="en-US"/>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单价（元）</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default"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小计（元）</w:t>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交换机</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智慧病房交互大屏</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急诊质控大屏</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信息显示屏</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医护主机</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床头分机</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门口分机</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卫生间分机</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走廊显示屏</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多参数生命体征采集设备</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串口数据采集器</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全自动台式血压计</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5GPDA</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桌面式指纹人脸一体机</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准入控制套件</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桌面式读写器</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RFID标签</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智能发鞋机</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智能收鞋机</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智能发衣机</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智能收衣机</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智能更鞋柜控制主柜</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智能更鞋柜</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520</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智能更衣柜控制主柜</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智能更衣柜</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528</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系统集成</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详见技术要求</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gridSpan w:val="6"/>
            <w:tcBorders>
              <w:top w:val="single" w:color="auto" w:sz="4" w:space="0"/>
              <w:left w:val="single" w:color="auto" w:sz="4" w:space="0"/>
              <w:bottom w:val="single" w:color="auto" w:sz="4" w:space="0"/>
              <w:right w:val="single" w:color="auto" w:sz="4" w:space="0"/>
            </w:tcBorders>
            <w:tcW w:w="83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总价（元）</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jc w:val="center"/>
          <w:trHeight w:val="680"/>
        </w:trPr>
        <w:tc>
          <w:tcPr>
            <w:gridSpan w:val="7"/>
            <w:tcBorders>
              <w:top w:val="single" w:color="auto" w:sz="4" w:space="0"/>
              <w:left w:val="single" w:color="auto" w:sz="4" w:space="0"/>
              <w:bottom w:val="single" w:color="auto" w:sz="4" w:space="0"/>
              <w:right w:val="single" w:color="auto" w:sz="4" w:space="0"/>
            </w:tcBorders>
            <w:tcW w:w="1013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投标人承诺：</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本采购项目或采购包中提供的符合本国产品标准的产品成本之和占提供的全部产品成本之和的比例：</w:t>
            </w:r>
            <w:r>
              <w:rPr>
                <w:rFonts w:hint="eastAsia" w:ascii="宋体" w:hAnsi="宋体" w:eastAsia="宋体" w:cs="宋体"/>
                <w:i w:val="0"/>
                <w:iCs w:val="0"/>
                <w:color w:val="auto"/>
                <w:sz w:val="24"/>
                <w:szCs w:val="24"/>
                <w:highlight w:val="none"/>
                <w:u w:val="single"/>
                <w:lang w:val="en-US" w:eastAsia="zh-CN" w:bidi="ar"/>
              </w:rPr>
              <w:t xml:space="preserve">      </w:t>
            </w:r>
            <w:r>
              <w:rPr>
                <w:rFonts w:hint="eastAsia" w:ascii="宋体" w:hAnsi="宋体" w:eastAsia="宋体" w:cs="宋体"/>
                <w:i w:val="0"/>
                <w:iCs w:val="0"/>
                <w:color w:val="auto"/>
                <w:sz w:val="24"/>
                <w:szCs w:val="24"/>
                <w:highlight w:val="none"/>
                <w:u w:val="none"/>
                <w:lang w:val="en-US" w:eastAsia="zh-CN" w:bidi="ar"/>
              </w:rPr>
              <w:t xml:space="preserve">%</w:t>
            </w:r>
            <w:r/>
          </w:p>
        </w:tc>
      </w:tr>
    </w:tbl>
    <w:p>
      <w:pPr>
        <w:spacing w:before="5"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spacing w:before="5"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4"/>
          <w:szCs w:val="24"/>
          <w:highlight w:val="none"/>
        </w:rPr>
        <w:t xml:space="preserve">投标人名称（盖章）：</w:t>
      </w:r>
      <w:r/>
    </w:p>
    <w:p>
      <w:pPr>
        <w:spacing w:line="400" w:lineRule="exact"/>
        <w:rPr>
          <w:rFonts w:hint="eastAsia" w:ascii="宋体" w:hAnsi="宋体" w:eastAsia="宋体" w:cs="宋体"/>
          <w:b/>
          <w:color w:val="auto"/>
          <w:highlight w:val="none"/>
        </w:rPr>
        <w:outlineLvl w:val="0"/>
      </w:pPr>
      <w:r>
        <w:rPr>
          <w:rFonts w:hint="eastAsia" w:ascii="宋体" w:hAnsi="宋体" w:eastAsia="宋体" w:cs="宋体"/>
          <w:b/>
          <w:color w:val="auto"/>
          <w:highlight w:val="none"/>
        </w:rPr>
        <w:t xml:space="preserve">注：</w:t>
      </w:r>
      <w:r/>
    </w:p>
    <w:p>
      <w:pPr>
        <w:spacing w:line="400" w:lineRule="exact"/>
        <w:rPr>
          <w:rFonts w:ascii="宋体" w:hAnsi="宋体" w:eastAsia="宋体" w:cs="宋体"/>
          <w:bCs/>
          <w:color w:val="auto"/>
          <w:highlight w:val="none"/>
        </w:rPr>
        <w:outlineLvl w:val="0"/>
      </w:pPr>
      <w:r>
        <w:rPr>
          <w:rFonts w:hint="eastAsia" w:ascii="宋体" w:hAnsi="宋体" w:eastAsia="宋体" w:cs="宋体"/>
          <w:bCs/>
          <w:color w:val="auto"/>
          <w:highlight w:val="none"/>
        </w:rPr>
        <w:t xml:space="preserve">（1）投标人本项目提供的服务全部由符合政策要求的中小企业承接的，须提供按格式填写的《中小企业声明函》；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普信国际工程咨询有限公司有权将相关内容进行公示；</w:t>
      </w:r>
      <w:r/>
    </w:p>
    <w:p>
      <w:pPr>
        <w:spacing w:line="400" w:lineRule="exact"/>
        <w:rPr>
          <w:rFonts w:ascii="宋体" w:hAnsi="宋体" w:eastAsia="宋体" w:cs="宋体"/>
          <w:bCs/>
          <w:color w:val="auto"/>
          <w:highlight w:val="none"/>
        </w:rPr>
        <w:outlineLvl w:val="0"/>
      </w:pPr>
      <w:r>
        <w:rPr>
          <w:rFonts w:hint="eastAsia" w:ascii="宋体" w:hAnsi="宋体" w:eastAsia="宋体" w:cs="宋体"/>
          <w:bCs/>
          <w:color w:val="auto"/>
          <w:highlight w:val="none"/>
        </w:rPr>
        <w:t xml:space="preserve">（2）投标人应当根据“采购需求”的内容在上表中详细填写；</w:t>
      </w:r>
      <w:r/>
    </w:p>
    <w:p>
      <w:pPr>
        <w:spacing w:line="400" w:lineRule="exact"/>
        <w:rPr>
          <w:rFonts w:ascii="宋体" w:hAnsi="宋体" w:eastAsia="宋体" w:cs="宋体"/>
          <w:bCs/>
          <w:color w:val="auto"/>
          <w:highlight w:val="none"/>
        </w:rPr>
        <w:outlineLvl w:val="0"/>
      </w:pPr>
      <w:r>
        <w:rPr>
          <w:rFonts w:hint="eastAsia" w:ascii="宋体" w:hAnsi="宋体" w:eastAsia="宋体" w:cs="宋体"/>
          <w:bCs/>
          <w:color w:val="auto"/>
          <w:highlight w:val="none"/>
        </w:rPr>
        <w:t xml:space="preserve">（3）表格不够可自行延长。</w:t>
      </w:r>
      <w:r/>
    </w:p>
    <w:p>
      <w:pPr>
        <w:spacing w:line="400" w:lineRule="exact"/>
        <w:rPr>
          <w:rFonts w:hint="eastAsia" w:ascii="宋体" w:hAnsi="宋体"/>
          <w:bCs/>
          <w:color w:val="auto"/>
          <w:highlight w:val="none"/>
        </w:rPr>
        <w:outlineLvl w:val="0"/>
      </w:pPr>
      <w:r>
        <w:rPr>
          <w:rFonts w:hint="eastAsia" w:ascii="宋体" w:hAnsi="宋体"/>
          <w:bCs/>
          <w:color w:val="auto"/>
          <w:highlight w:val="none"/>
        </w:rPr>
        <w:t xml:space="preserve">（4）</w:t>
      </w:r>
      <w:r>
        <w:rPr>
          <w:rFonts w:hint="eastAsia" w:ascii="宋体" w:hAnsi="宋体"/>
          <w:bCs/>
          <w:color w:val="auto"/>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auto"/>
          <w:highlight w:val="none"/>
          <w:u w:val="single"/>
        </w:rPr>
        <w:outlineLvl w:val="0"/>
      </w:pPr>
      <w:r>
        <w:rPr>
          <w:rFonts w:hint="eastAsia" w:ascii="宋体" w:hAnsi="宋体"/>
          <w:bCs/>
          <w:color w:val="auto"/>
          <w:highlight w:val="none"/>
          <w:u w:val="single"/>
        </w:rPr>
        <w:t xml:space="preserve">特别注意！！“符合本国产品标准的产品成本之和”是指本项目或采购包中符合本国产品标准的</w:t>
      </w:r>
      <w:r>
        <w:rPr>
          <w:rFonts w:hint="eastAsia" w:ascii="宋体" w:hAnsi="宋体"/>
          <w:b/>
          <w:bCs/>
          <w:color w:val="auto"/>
          <w:highlight w:val="none"/>
          <w:u w:val="single"/>
        </w:rPr>
        <w:t xml:space="preserve">货物成本之和</w:t>
      </w:r>
      <w:r>
        <w:rPr>
          <w:rFonts w:hint="eastAsia" w:ascii="宋体" w:hAnsi="宋体"/>
          <w:bCs/>
          <w:color w:val="auto"/>
          <w:highlight w:val="none"/>
          <w:u w:val="single"/>
        </w:rPr>
        <w:t xml:space="preserve">；“全部产品成本之和”是指货物或服务项目（或者采购包）中包含的</w:t>
      </w:r>
      <w:r>
        <w:rPr>
          <w:rFonts w:hint="eastAsia" w:ascii="宋体" w:hAnsi="宋体"/>
          <w:b/>
          <w:bCs/>
          <w:color w:val="auto"/>
          <w:highlight w:val="none"/>
          <w:u w:val="single"/>
        </w:rPr>
        <w:t xml:space="preserve">全部货物、服务产品的成本之和</w:t>
      </w:r>
      <w:r>
        <w:rPr>
          <w:rFonts w:hint="eastAsia" w:ascii="宋体" w:hAnsi="宋体"/>
          <w:bCs/>
          <w:color w:val="auto"/>
          <w:highlight w:val="none"/>
          <w:u w:val="single"/>
        </w:rPr>
        <w:t xml:space="preserve">。</w:t>
      </w:r>
      <w:r/>
    </w:p>
    <w:p>
      <w:pPr>
        <w:spacing w:line="400" w:lineRule="exact"/>
        <w:rPr>
          <w:rFonts w:ascii="宋体" w:hAnsi="宋体" w:cs="宋体"/>
          <w:b/>
          <w:bCs/>
          <w:color w:val="auto"/>
          <w:sz w:val="22"/>
          <w:highlight w:val="none"/>
        </w:rPr>
        <w:outlineLvl w:val="0"/>
      </w:pPr>
      <w:r>
        <w:rPr>
          <w:rFonts w:ascii="宋体" w:hAnsi="宋体" w:cs="宋体"/>
          <w:b/>
          <w:bCs/>
          <w:color w:val="auto"/>
          <w:sz w:val="22"/>
          <w:highlight w:val="none"/>
        </w:rPr>
      </w:r>
      <w:r/>
    </w:p>
    <w:p>
      <w:pPr>
        <w:spacing w:line="360" w:lineRule="auto"/>
        <w:rPr>
          <w:b/>
          <w:color w:val="auto"/>
          <w:sz w:val="28"/>
          <w:szCs w:val="28"/>
          <w:highlight w:val="none"/>
        </w:rPr>
      </w:pPr>
      <w:r>
        <w:rPr>
          <w:rFonts w:hint="eastAsia" w:eastAsia="宋体"/>
          <w:b/>
          <w:color w:val="auto"/>
          <w:sz w:val="28"/>
          <w:szCs w:val="28"/>
          <w:highlight w:val="none"/>
          <w:lang w:val="en-US" w:eastAsia="zh-CN"/>
        </w:rPr>
        <w:t xml:space="preserve">十一</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822"/>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注：（1）本表不得删除；</w:t>
      </w:r>
      <w:r/>
    </w:p>
    <w:p>
      <w:pPr>
        <w:ind w:firstLine="480"/>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（2）如无任何偏离，请于本表 “偏离说明”中注明“无偏离”；</w:t>
      </w:r>
      <w:r/>
    </w:p>
    <w:p>
      <w:pPr>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w:t>
      </w:r>
      <w:r>
        <w:rPr>
          <w:rFonts w:hint="eastAsia" w:ascii="宋体" w:hAnsi="宋体" w:eastAsia="宋体"/>
          <w:bCs/>
          <w:color w:val="auto"/>
          <w:sz w:val="24"/>
          <w:szCs w:val="24"/>
          <w:highlight w:val="none"/>
        </w:rPr>
        <w:t xml:space="preserve">任何</w:t>
      </w:r>
      <w:r>
        <w:rPr>
          <w:rFonts w:hint="eastAsia" w:ascii="宋体" w:hAnsi="宋体"/>
          <w:bCs/>
          <w:color w:val="auto"/>
          <w:sz w:val="24"/>
          <w:szCs w:val="24"/>
          <w:highlight w:val="none"/>
        </w:rPr>
        <w:t xml:space="preserve">偏离项，请于本表中列明偏离内容，如需要可自行延长，其余无偏离内容不须赘述。</w:t>
      </w:r>
      <w:bookmarkEnd w:id="155"/>
      <w:r/>
      <w:bookmarkStart w:id="156" w:name="_Hlt26955066"/>
      <w:r/>
      <w:bookmarkEnd w:id="156"/>
      <w:r/>
      <w:bookmarkStart w:id="157" w:name="_Hlt26609389"/>
      <w:r/>
      <w:bookmarkEnd w:id="157"/>
      <w:r/>
      <w:bookmarkStart w:id="158" w:name="_Hlt26671374"/>
      <w:r/>
      <w:bookmarkEnd w:id="158"/>
      <w:r/>
      <w:bookmarkStart w:id="159" w:name="_格式2__法定代表人授权书"/>
      <w:r/>
      <w:bookmarkEnd w:id="159"/>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color w:val="auto"/>
          <w:highlight w:val="none"/>
        </w:rPr>
      </w:pPr>
      <w:r>
        <w:rPr>
          <w:color w:val="auto"/>
          <w:highlight w:val="none"/>
        </w:rPr>
      </w:r>
      <w:r/>
    </w:p>
    <w:p>
      <w:pPr>
        <w:spacing w:line="360" w:lineRule="auto"/>
        <w:rPr>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十</w:t>
      </w:r>
      <w:r>
        <w:rPr>
          <w:rFonts w:hint="eastAsia" w:eastAsia="宋体"/>
          <w:b/>
          <w:color w:val="auto"/>
          <w:sz w:val="28"/>
          <w:szCs w:val="28"/>
          <w:highlight w:val="none"/>
          <w:lang w:val="en-US" w:eastAsia="zh-CN"/>
        </w:rPr>
        <w:t xml:space="preserve">二</w:t>
      </w:r>
      <w:r>
        <w:rPr>
          <w:rFonts w:hint="eastAsia"/>
          <w:b/>
          <w:color w:val="auto"/>
          <w:sz w:val="28"/>
          <w:szCs w:val="28"/>
          <w:highlight w:val="none"/>
        </w:rPr>
        <w:t xml:space="preserve">、项目人员配置表（格式）</w:t>
      </w:r>
      <w:r/>
    </w:p>
    <w:p>
      <w:pPr>
        <w:ind w:firstLine="420"/>
        <w:spacing w:line="360" w:lineRule="auto"/>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90"/>
        <w:jc w:val="center"/>
        <w:spacing w:line="360" w:lineRule="auto"/>
        <w:rPr>
          <w:rFonts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项目人员配置表</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8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ind w:firstLine="72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hint="eastAsia" w:ascii="宋体" w:hAnsi="宋体"/>
          <w:bCs/>
          <w:color w:val="auto"/>
          <w:highlight w:val="none"/>
        </w:rPr>
        <w:t xml:space="preserve">注：本表对应项目人员配置情况，表格不够可自行延长。</w:t>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400" w:lineRule="exact"/>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lang w:val="en-US" w:eastAsia="zh-CN"/>
        </w:rPr>
        <w:t xml:space="preserve">十三、</w:t>
      </w:r>
      <w:r>
        <w:rPr>
          <w:rFonts w:hint="eastAsia" w:ascii="宋体" w:hAnsi="宋体" w:eastAsia="宋体" w:cs="宋体"/>
          <w:b/>
          <w:color w:val="auto"/>
          <w:sz w:val="28"/>
          <w:szCs w:val="28"/>
          <w:highlight w:val="none"/>
        </w:rPr>
        <w:t xml:space="preserve">《能确保设备正常使用的，随机所需配备耗材清单》（格式可自拟）</w:t>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spacing w:line="400" w:lineRule="exact"/>
        <w:rPr>
          <w:rFonts w:hint="eastAsia" w:ascii="宋体" w:hAnsi="宋体" w:eastAsia="宋体" w:cs="宋体"/>
          <w:b/>
          <w:color w:val="auto"/>
          <w:sz w:val="28"/>
          <w:szCs w:val="28"/>
          <w:highlight w:val="none"/>
          <w:lang w:val="en-US" w:eastAsia="zh-CN"/>
        </w:rPr>
        <w:outlineLvl w:val="0"/>
      </w:pPr>
      <w:r>
        <w:rPr>
          <w:rFonts w:hint="eastAsia" w:ascii="宋体" w:hAnsi="宋体" w:eastAsia="宋体" w:cs="宋体"/>
          <w:b/>
          <w:color w:val="auto"/>
          <w:sz w:val="28"/>
          <w:szCs w:val="28"/>
          <w:highlight w:val="none"/>
          <w:lang w:val="en-US" w:eastAsia="zh-CN"/>
        </w:rPr>
        <w:br w:type="page" w:clear="all"/>
      </w:r>
      <w:r>
        <w:rPr>
          <w:rFonts w:hint="eastAsia" w:ascii="宋体" w:hAnsi="宋体" w:eastAsia="宋体" w:cs="宋体"/>
          <w:b/>
          <w:color w:val="auto"/>
          <w:sz w:val="28"/>
          <w:szCs w:val="28"/>
          <w:highlight w:val="none"/>
          <w:lang w:val="en-US" w:eastAsia="zh-CN"/>
        </w:rPr>
        <w:t xml:space="preserve">十四</w:t>
      </w:r>
      <w:r>
        <w:rPr>
          <w:rFonts w:hint="eastAsia" w:ascii="宋体" w:hAnsi="宋体" w:cs="宋体"/>
          <w:b/>
          <w:color w:val="auto"/>
          <w:sz w:val="28"/>
          <w:szCs w:val="28"/>
          <w:highlight w:val="none"/>
          <w:lang w:val="en-US" w:eastAsia="zh-CN"/>
        </w:rPr>
        <w:t xml:space="preserve">、</w:t>
      </w:r>
      <w:r>
        <w:rPr>
          <w:rFonts w:hint="eastAsia" w:ascii="宋体" w:hAnsi="宋体" w:eastAsia="宋体" w:cs="宋体"/>
          <w:b/>
          <w:color w:val="auto"/>
          <w:sz w:val="28"/>
          <w:szCs w:val="28"/>
          <w:highlight w:val="none"/>
          <w:lang w:val="en-US" w:eastAsia="zh-CN"/>
        </w:rPr>
        <w:t xml:space="preserve">产品售后服务方案及保障体系 </w:t>
      </w:r>
      <w:r>
        <w:rPr>
          <w:rFonts w:hint="eastAsia" w:ascii="宋体" w:hAnsi="宋体" w:cs="宋体"/>
          <w:b/>
          <w:color w:val="auto"/>
          <w:sz w:val="28"/>
          <w:szCs w:val="28"/>
          <w:highlight w:val="none"/>
          <w:lang w:val="en-US" w:eastAsia="zh-CN"/>
        </w:rPr>
        <w:t xml:space="preserve">（</w:t>
      </w:r>
      <w:r>
        <w:rPr>
          <w:rFonts w:hint="eastAsia" w:ascii="宋体" w:hAnsi="宋体" w:eastAsia="宋体" w:cs="宋体"/>
          <w:b/>
          <w:color w:val="auto"/>
          <w:sz w:val="28"/>
          <w:szCs w:val="28"/>
          <w:highlight w:val="none"/>
          <w:lang w:val="en-US" w:eastAsia="zh-CN"/>
        </w:rPr>
        <w:t xml:space="preserve">格式</w:t>
      </w:r>
      <w:r>
        <w:rPr>
          <w:rFonts w:hint="eastAsia" w:ascii="宋体" w:hAnsi="宋体" w:cs="宋体"/>
          <w:b/>
          <w:color w:val="auto"/>
          <w:sz w:val="28"/>
          <w:szCs w:val="28"/>
          <w:highlight w:val="none"/>
          <w:lang w:val="en-US" w:eastAsia="zh-CN"/>
        </w:rPr>
        <w:t xml:space="preserve">）</w:t>
      </w:r>
      <w:r/>
    </w:p>
    <w:p>
      <w:pPr>
        <w:spacing w:line="480" w:lineRule="auto"/>
        <w:rPr>
          <w:rFonts w:ascii="黑体" w:hAnsi="黑体" w:eastAsia="黑体"/>
          <w:color w:val="auto"/>
          <w:sz w:val="28"/>
          <w:szCs w:val="28"/>
          <w:highlight w:val="none"/>
          <w:u w:val="single"/>
        </w:rPr>
      </w:pPr>
      <w:r>
        <w:rPr>
          <w:rFonts w:ascii="黑体" w:hAnsi="黑体" w:eastAsia="黑体"/>
          <w:color w:val="auto"/>
          <w:sz w:val="28"/>
          <w:szCs w:val="28"/>
          <w:highlight w:val="none"/>
          <w:u w:val="single"/>
        </w:rPr>
      </w:r>
      <w:r/>
    </w:p>
    <w:p>
      <w:pPr>
        <w:jc w:val="center"/>
        <w:spacing w:line="360" w:lineRule="auto"/>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产品售后服务方案及保障体系</w:t>
      </w:r>
      <w:r/>
    </w:p>
    <w:p>
      <w:pPr>
        <w:ind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（一）基本承诺</w:t>
      </w:r>
      <w:r/>
    </w:p>
    <w:p>
      <w:pPr>
        <w:ind w:firstLine="480"/>
        <w:spacing w:line="360" w:lineRule="auto"/>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．本公司（单位）对本项目（</w:t>
      </w:r>
      <w:r>
        <w:rPr>
          <w:rFonts w:hint="eastAsia" w:ascii="宋体" w:hAnsi="宋体" w:cs="宋体"/>
          <w:color w:val="auto"/>
          <w:sz w:val="24"/>
          <w:szCs w:val="24"/>
          <w:highlight w:val="none"/>
          <w:lang w:val="en-US" w:eastAsia="zh-CN"/>
        </w:rPr>
        <w:t xml:space="preserve">项目编号：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）所提供的货物均为原厂全新合格品。</w:t>
      </w:r>
      <w:r/>
    </w:p>
    <w:p>
      <w:pPr>
        <w:ind w:firstLine="480"/>
        <w:spacing w:line="360" w:lineRule="auto"/>
        <w:rPr>
          <w:rFonts w:ascii="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．本公司（单位）具备履行合同所必需的设备和专业技术能力；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3.（制造厂商）保证（投标供应商）在本项目所投的涉及本公司的产品质量，并提供</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年原厂商上门免费保修。</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 本公司（单位）确保所提供的设备在设备使用年限（</w:t>
      </w:r>
      <w:r>
        <w:rPr>
          <w:rFonts w:ascii="宋体" w:hAnsi="宋体" w:cs="宋体"/>
          <w:color w:val="auto"/>
          <w:sz w:val="24"/>
          <w:szCs w:val="24"/>
          <w:highlight w:val="none"/>
        </w:rPr>
        <w:t xml:space="preserve">自</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之日算起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年</w:t>
      </w:r>
      <w:r>
        <w:rPr>
          <w:rFonts w:hint="eastAsia" w:ascii="宋体" w:hAnsi="宋体" w:cs="宋体"/>
          <w:color w:val="auto"/>
          <w:sz w:val="24"/>
          <w:szCs w:val="24"/>
          <w:highlight w:val="none"/>
        </w:rPr>
        <w:t xml:space="preserve">）内的配件、耗材的正常供应；如因设备升级等原因而导致配件、耗材价格提高，且采购人无法接受时；或已无法正常供应配件、耗材时，本公司（单位）同意按折旧后的价格将设备回购（折旧方法：直线折旧法）。</w:t>
      </w:r>
      <w:r/>
    </w:p>
    <w:p>
      <w:pPr>
        <w:ind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（二）其他承诺</w:t>
      </w:r>
      <w:r/>
    </w:p>
    <w:p>
      <w:pPr>
        <w:ind w:firstLine="480"/>
        <w:spacing w:line="360" w:lineRule="auto"/>
        <w:tabs>
          <w:tab w:val="left" w:pos="0" w:leader="none"/>
        </w:tabs>
        <w:rPr>
          <w:rFonts w:ascii="宋体" w:cs="宋体"/>
          <w:color w:val="auto"/>
          <w:sz w:val="24"/>
          <w:szCs w:val="24"/>
          <w:highlight w:val="none"/>
        </w:rPr>
      </w:pPr>
      <w:r>
        <w:rPr>
          <w:rFonts w:hint="eastAsia" w:ascii="宋体" w:hAnsi="宋体" w:cs="宋体"/>
          <w:color w:val="auto"/>
          <w:sz w:val="24"/>
          <w:szCs w:val="24"/>
          <w:highlight w:val="none"/>
        </w:rPr>
        <w:t xml:space="preserve">1.针对本项目的售后服务方案（指保障采购项目能够达到招标文件设定的使用和运行状态而提供的配送、安装、调试、培训、响应时间、技术支持、维修以及应急保障措施</w:t>
      </w:r>
      <w:r>
        <w:rPr>
          <w:rFonts w:hint="eastAsia" w:ascii="宋体" w:cs="宋体"/>
          <w:color w:val="auto"/>
          <w:sz w:val="24"/>
          <w:szCs w:val="24"/>
          <w:highlight w:val="none"/>
        </w:rPr>
        <w:t xml:space="preserve">等一系列服务方案）。本公司承诺：</w:t>
      </w:r>
      <w:r/>
    </w:p>
    <w:p>
      <w:pPr>
        <w:ind w:firstLine="480"/>
        <w:spacing w:line="360" w:lineRule="auto"/>
        <w:tabs>
          <w:tab w:val="left" w:pos="0" w:leader="none"/>
        </w:tabs>
        <w:rPr>
          <w:rFonts w:ascii="宋体"/>
          <w:color w:val="auto"/>
          <w:sz w:val="24"/>
          <w:szCs w:val="24"/>
          <w:highlight w:val="none"/>
        </w:rPr>
      </w:pPr>
      <w:r>
        <w:rPr>
          <w:rFonts w:hint="eastAsia" w:ascii="宋体" w:cs="宋体"/>
          <w:color w:val="auto"/>
          <w:sz w:val="24"/>
          <w:szCs w:val="24"/>
          <w:highlight w:val="none"/>
        </w:rPr>
        <w:t xml:space="preserve">2. 针对本项目的服务保障体系（指保障服务方案的实施而设立的服务机构、配备的相应服务人员、设施装备，以及相应的服务细则和规范的管理制度，保证服务质量的措施）。本公司承诺：</w:t>
      </w:r>
      <w:r/>
    </w:p>
    <w:p>
      <w:pPr>
        <w:spacing w:line="360" w:lineRule="auto"/>
        <w:rPr>
          <w:rFonts w:ascii="宋体"/>
          <w:color w:val="auto"/>
          <w:sz w:val="24"/>
          <w:szCs w:val="24"/>
          <w:highlight w:val="none"/>
        </w:rPr>
      </w:pPr>
      <w:r>
        <w:rPr>
          <w:rFonts w:ascii="宋体"/>
          <w:color w:val="auto"/>
          <w:sz w:val="24"/>
          <w:szCs w:val="24"/>
          <w:highlight w:val="none"/>
        </w:rPr>
      </w:r>
      <w:r/>
    </w:p>
    <w:p>
      <w:pPr>
        <w:spacing w:line="360" w:lineRule="auto"/>
        <w:rPr>
          <w:rFonts w:ascii="宋体"/>
          <w:color w:val="auto"/>
          <w:sz w:val="24"/>
          <w:szCs w:val="24"/>
          <w:highlight w:val="none"/>
        </w:rPr>
      </w:pPr>
      <w:r>
        <w:rPr>
          <w:rFonts w:ascii="宋体"/>
          <w:color w:val="auto"/>
          <w:sz w:val="24"/>
          <w:szCs w:val="24"/>
          <w:highlight w:val="none"/>
        </w:rPr>
      </w:r>
      <w:r/>
    </w:p>
    <w:p>
      <w:pPr>
        <w:ind w:firstLine="5400"/>
        <w:spacing w:line="360" w:lineRule="auto"/>
        <w:rPr>
          <w:rFonts w:ascii="宋体"/>
          <w:color w:val="auto"/>
          <w:sz w:val="24"/>
          <w:szCs w:val="24"/>
          <w:highlight w:val="none"/>
        </w:rPr>
      </w:pPr>
      <w:r>
        <w:rPr>
          <w:rFonts w:hint="eastAsia" w:ascii="宋体" w:cs="宋体"/>
          <w:color w:val="auto"/>
          <w:sz w:val="24"/>
          <w:szCs w:val="24"/>
          <w:highlight w:val="none"/>
        </w:rPr>
        <w:t xml:space="preserve">制造厂商（盖章）：</w:t>
      </w:r>
      <w:r/>
    </w:p>
    <w:p>
      <w:pPr>
        <w:ind w:firstLine="540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投标供应商（盖章）：</w:t>
      </w:r>
      <w:r/>
    </w:p>
    <w:p>
      <w:pPr>
        <w:ind w:firstLine="6720"/>
        <w:spacing w:line="360" w:lineRule="auto"/>
        <w:rPr>
          <w:rFonts w:ascii="宋体"/>
          <w:color w:val="auto"/>
          <w:sz w:val="24"/>
          <w:szCs w:val="24"/>
          <w:highlight w:val="none"/>
        </w:rPr>
      </w:pPr>
      <w:r>
        <w:rPr>
          <w:rFonts w:hint="eastAsia" w:ascii="宋体" w:cs="宋体"/>
          <w:color w:val="auto"/>
          <w:sz w:val="24"/>
          <w:szCs w:val="24"/>
          <w:highlight w:val="none"/>
        </w:rPr>
        <w:t xml:space="preserve">日期：</w:t>
      </w:r>
      <w:r/>
    </w:p>
    <w:p>
      <w:pPr>
        <w:spacing w:line="360" w:lineRule="auto"/>
        <w:rPr>
          <w:rFonts w:ascii="宋体" w:hAnsi="宋体"/>
          <w:bCs/>
          <w:color w:val="auto"/>
          <w:sz w:val="30"/>
          <w:highlight w:val="none"/>
        </w:rPr>
      </w:pPr>
      <w:r>
        <w:rPr>
          <w:rFonts w:ascii="宋体" w:hAnsi="宋体"/>
          <w:bCs/>
          <w:color w:val="auto"/>
          <w:sz w:val="30"/>
          <w:highlight w:val="none"/>
        </w:rPr>
      </w:r>
      <w:r/>
    </w:p>
    <w:p>
      <w:pPr>
        <w:spacing w:line="360" w:lineRule="auto"/>
        <w:rPr>
          <w:rFonts w:ascii="宋体" w:hAnsi="宋体"/>
          <w:bCs/>
          <w:color w:val="auto"/>
          <w:sz w:val="30"/>
          <w:highlight w:val="none"/>
        </w:rPr>
      </w:pPr>
      <w:r>
        <w:rPr>
          <w:rFonts w:ascii="宋体" w:hAnsi="宋体"/>
          <w:bCs/>
          <w:color w:val="auto"/>
          <w:sz w:val="30"/>
          <w:highlight w:val="none"/>
        </w:rPr>
      </w:r>
      <w:r/>
    </w:p>
    <w:p>
      <w:pPr>
        <w:rPr>
          <w:rFonts w:hint="eastAsia" w:ascii="宋体" w:hAnsi="宋体"/>
          <w:b/>
          <w:bCs/>
          <w:color w:val="auto"/>
          <w:sz w:val="24"/>
          <w:szCs w:val="24"/>
          <w:highlight w:val="none"/>
          <w:lang w:eastAsia="zh-CN"/>
        </w:rPr>
      </w:pPr>
      <w:r>
        <w:rPr>
          <w:rFonts w:hint="eastAsia" w:ascii="宋体" w:hAnsi="宋体"/>
          <w:b/>
          <w:bCs/>
          <w:color w:val="auto"/>
          <w:sz w:val="24"/>
          <w:szCs w:val="24"/>
          <w:highlight w:val="none"/>
          <w:lang w:eastAsia="zh-CN"/>
        </w:rPr>
        <w:br w:type="page" w:clear="all"/>
      </w:r>
      <w:r/>
    </w:p>
    <w:p>
      <w:pPr>
        <w:spacing w:line="400" w:lineRule="exact"/>
        <w:rPr>
          <w:rFonts w:hint="eastAsia" w:ascii="宋体" w:hAnsi="宋体" w:eastAsia="宋体" w:cs="宋体"/>
          <w:b/>
          <w:color w:val="auto"/>
          <w:sz w:val="28"/>
          <w:szCs w:val="28"/>
          <w:highlight w:val="none"/>
          <w:lang w:val="en-US" w:eastAsia="zh-CN"/>
        </w:rPr>
        <w:outlineLvl w:val="0"/>
      </w:pPr>
      <w:r>
        <w:rPr>
          <w:rFonts w:hint="eastAsia" w:ascii="宋体" w:hAnsi="宋体" w:eastAsia="宋体" w:cs="宋体"/>
          <w:b/>
          <w:color w:val="auto"/>
          <w:sz w:val="28"/>
          <w:szCs w:val="28"/>
          <w:highlight w:val="none"/>
          <w:lang w:val="en-US" w:eastAsia="zh-CN"/>
        </w:rPr>
        <w:t xml:space="preserve">十五</w:t>
      </w:r>
      <w:r>
        <w:rPr>
          <w:rFonts w:hint="eastAsia" w:ascii="宋体" w:hAnsi="宋体" w:cs="宋体"/>
          <w:b/>
          <w:color w:val="auto"/>
          <w:sz w:val="28"/>
          <w:szCs w:val="28"/>
          <w:highlight w:val="none"/>
          <w:lang w:val="en-US" w:eastAsia="zh-CN"/>
        </w:rPr>
        <w:t xml:space="preserve">、</w:t>
      </w:r>
      <w:r>
        <w:rPr>
          <w:rFonts w:hint="eastAsia" w:ascii="宋体" w:hAnsi="宋体" w:eastAsia="宋体" w:cs="宋体"/>
          <w:b/>
          <w:color w:val="auto"/>
          <w:sz w:val="28"/>
          <w:szCs w:val="28"/>
          <w:highlight w:val="none"/>
          <w:lang w:val="en-US" w:eastAsia="zh-CN"/>
        </w:rPr>
        <w:t xml:space="preserve">制造商出具的授权函（格式）</w:t>
      </w:r>
      <w:r/>
    </w:p>
    <w:p>
      <w:pPr>
        <w:spacing w:line="360" w:lineRule="auto"/>
        <w:rPr>
          <w:rFonts w:ascii="宋体"/>
          <w:color w:val="auto"/>
          <w:sz w:val="24"/>
          <w:szCs w:val="24"/>
          <w:highlight w:val="none"/>
        </w:rPr>
        <w:outlineLvl w:val="0"/>
      </w:pPr>
      <w:r>
        <w:rPr>
          <w:rFonts w:ascii="宋体"/>
          <w:color w:val="auto"/>
          <w:sz w:val="24"/>
          <w:szCs w:val="24"/>
          <w:highlight w:val="none"/>
        </w:rPr>
      </w:r>
      <w:r/>
    </w:p>
    <w:p>
      <w:pPr>
        <w:jc w:val="center"/>
        <w:spacing w:line="360" w:lineRule="auto"/>
        <w:rPr>
          <w:rFonts w:ascii="黑体" w:hAnsi="黑体" w:eastAsia="黑体"/>
          <w:color w:val="auto"/>
          <w:sz w:val="28"/>
          <w:szCs w:val="28"/>
          <w:highlight w:val="none"/>
        </w:rPr>
        <w:outlineLvl w:val="0"/>
      </w:pPr>
      <w:r>
        <w:rPr>
          <w:rFonts w:hint="eastAsia" w:ascii="黑体" w:hAnsi="黑体" w:eastAsia="黑体" w:cs="黑体"/>
          <w:color w:val="auto"/>
          <w:sz w:val="28"/>
          <w:szCs w:val="28"/>
          <w:highlight w:val="none"/>
        </w:rPr>
        <w:t xml:space="preserve">制造商出具的授权函</w:t>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hint="eastAsia" w:ascii="宋体" w:eastAsia="宋体"/>
          <w:color w:val="auto"/>
          <w:sz w:val="24"/>
          <w:szCs w:val="24"/>
          <w:highlight w:val="none"/>
          <w:lang w:eastAsia="zh-CN"/>
        </w:rPr>
        <w:outlineLvl w:val="0"/>
      </w:pPr>
      <w:r>
        <w:rPr>
          <w:rFonts w:hint="eastAsia" w:ascii="宋体" w:cs="宋体"/>
          <w:color w:val="auto"/>
          <w:sz w:val="24"/>
          <w:szCs w:val="24"/>
          <w:highlight w:val="none"/>
        </w:rPr>
        <w:t xml:space="preserve">致：</w:t>
      </w:r>
      <w:r>
        <w:rPr>
          <w:rFonts w:hint="eastAsia" w:ascii="宋体" w:cs="宋体"/>
          <w:color w:val="auto"/>
          <w:sz w:val="24"/>
          <w:szCs w:val="24"/>
          <w:highlight w:val="none"/>
          <w:lang w:eastAsia="zh-CN"/>
        </w:rPr>
        <w:t xml:space="preserve">普信国际工程咨询有限公司</w:t>
      </w:r>
      <w:r/>
    </w:p>
    <w:p>
      <w:pPr>
        <w:spacing w:line="360" w:lineRule="auto"/>
        <w:rPr>
          <w:rFonts w:ascii="宋体"/>
          <w:color w:val="auto"/>
          <w:sz w:val="24"/>
          <w:szCs w:val="24"/>
          <w:highlight w:val="none"/>
        </w:rPr>
        <w:outlineLvl w:val="0"/>
      </w:pPr>
      <w:r>
        <w:rPr>
          <w:rFonts w:ascii="宋体"/>
          <w:color w:val="auto"/>
          <w:sz w:val="24"/>
          <w:szCs w:val="24"/>
          <w:highlight w:val="none"/>
        </w:rPr>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们（制造商名称）根据（国家名称）法律正式成立的一家制造商，其主要营业地点设在（制造商地址）。兹指派按（国家名称）的法律正式成立的，其主要营业地点设在（报价供应商地址）的（报价供应商名称）作为我方真正的合法代理人进行下列有效的活动：</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1</w:t>
      </w:r>
      <w:r>
        <w:rPr>
          <w:rFonts w:hint="eastAsia" w:ascii="宋体" w:cs="宋体"/>
          <w:color w:val="auto"/>
          <w:sz w:val="24"/>
          <w:szCs w:val="24"/>
          <w:highlight w:val="none"/>
        </w:rPr>
        <w:t xml:space="preserve">、代表我方在中华人民共和国办理贵方（项目名称）（采购编号）要求提供的由我方制造的货物的有关事宜，并对我方具有约束力。</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2</w:t>
      </w:r>
      <w:r>
        <w:rPr>
          <w:rFonts w:hint="eastAsia" w:ascii="宋体" w:cs="宋体"/>
          <w:color w:val="auto"/>
          <w:sz w:val="24"/>
          <w:szCs w:val="24"/>
          <w:highlight w:val="none"/>
        </w:rPr>
        <w:t xml:space="preserve">、作为制造商，我方保证以报价合作者来约束自己，并对该报价共同和分别承担采购文件中所规定的义务。</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3</w:t>
      </w:r>
      <w:r>
        <w:rPr>
          <w:rFonts w:hint="eastAsia" w:ascii="宋体" w:cs="宋体"/>
          <w:color w:val="auto"/>
          <w:sz w:val="24"/>
          <w:szCs w:val="24"/>
          <w:highlight w:val="none"/>
        </w:rPr>
        <w:t xml:space="preserve">、我方兹授予（报价供应商名称）全权办理和履行上述我方为完成上述各点所必须的事宜，且有替换或</w:t>
      </w:r>
      <w:r>
        <w:rPr>
          <w:rFonts w:hint="eastAsia" w:ascii="宋体" w:cs="宋体"/>
          <w:color w:val="auto"/>
          <w:sz w:val="24"/>
          <w:szCs w:val="24"/>
          <w:highlight w:val="none"/>
          <w:lang w:eastAsia="zh-CN"/>
        </w:rPr>
        <w:t xml:space="preserve">撤销</w:t>
      </w:r>
      <w:r>
        <w:rPr>
          <w:rFonts w:hint="eastAsia" w:ascii="宋体" w:cs="宋体"/>
          <w:color w:val="auto"/>
          <w:sz w:val="24"/>
          <w:szCs w:val="24"/>
          <w:highlight w:val="none"/>
        </w:rPr>
        <w:t xml:space="preserve">或另行授权的全权。兹确认（报价供应商名称）或正式授权代表依此合法办理一切事宜。</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我方于</w:t>
      </w:r>
      <w:r>
        <w:rPr>
          <w:rFonts w:ascii="宋体" w:cs="宋体"/>
          <w:color w:val="auto"/>
          <w:sz w:val="24"/>
          <w:szCs w:val="24"/>
          <w:highlight w:val="none"/>
          <w:u w:val="single"/>
        </w:rPr>
        <w:t xml:space="preserve">    </w:t>
      </w:r>
      <w:r>
        <w:rPr>
          <w:rFonts w:hint="eastAsia" w:ascii="宋体" w:cs="宋体"/>
          <w:color w:val="auto"/>
          <w:sz w:val="24"/>
          <w:szCs w:val="24"/>
          <w:highlight w:val="none"/>
        </w:rPr>
        <w:t xml:space="preserve">年</w:t>
      </w:r>
      <w:r>
        <w:rPr>
          <w:rFonts w:ascii="宋体" w:cs="宋体"/>
          <w:color w:val="auto"/>
          <w:sz w:val="24"/>
          <w:szCs w:val="24"/>
          <w:highlight w:val="none"/>
          <w:u w:val="single"/>
        </w:rPr>
        <w:t xml:space="preserve">  </w:t>
      </w:r>
      <w:r>
        <w:rPr>
          <w:rFonts w:hint="eastAsia" w:ascii="宋体" w:cs="宋体"/>
          <w:color w:val="auto"/>
          <w:sz w:val="24"/>
          <w:szCs w:val="24"/>
          <w:highlight w:val="none"/>
        </w:rPr>
        <w:t xml:space="preserve">月</w:t>
      </w:r>
      <w:r>
        <w:rPr>
          <w:rFonts w:ascii="宋体" w:cs="宋体"/>
          <w:color w:val="auto"/>
          <w:sz w:val="24"/>
          <w:szCs w:val="24"/>
          <w:highlight w:val="none"/>
          <w:u w:val="single"/>
        </w:rPr>
        <w:t xml:space="preserve">  </w:t>
      </w:r>
      <w:r>
        <w:rPr>
          <w:rFonts w:hint="eastAsia" w:ascii="宋体" w:cs="宋体"/>
          <w:color w:val="auto"/>
          <w:sz w:val="24"/>
          <w:szCs w:val="24"/>
          <w:highlight w:val="none"/>
        </w:rPr>
        <w:t xml:space="preserve">日签署本文件，（报价供应商名称）于</w:t>
      </w:r>
      <w:r>
        <w:rPr>
          <w:rFonts w:ascii="宋体" w:cs="宋体"/>
          <w:color w:val="auto"/>
          <w:sz w:val="24"/>
          <w:szCs w:val="24"/>
          <w:highlight w:val="none"/>
          <w:u w:val="single"/>
        </w:rPr>
        <w:t xml:space="preserve">    </w:t>
      </w:r>
      <w:r>
        <w:rPr>
          <w:rFonts w:hint="eastAsia" w:ascii="宋体" w:cs="宋体"/>
          <w:color w:val="auto"/>
          <w:sz w:val="24"/>
          <w:szCs w:val="24"/>
          <w:highlight w:val="none"/>
        </w:rPr>
        <w:t xml:space="preserve">年</w:t>
      </w:r>
      <w:r>
        <w:rPr>
          <w:rFonts w:ascii="宋体" w:cs="宋体"/>
          <w:color w:val="auto"/>
          <w:sz w:val="24"/>
          <w:szCs w:val="24"/>
          <w:highlight w:val="none"/>
          <w:u w:val="single"/>
        </w:rPr>
        <w:t xml:space="preserve">  </w:t>
      </w:r>
      <w:r>
        <w:rPr>
          <w:rFonts w:hint="eastAsia" w:ascii="宋体" w:cs="宋体"/>
          <w:color w:val="auto"/>
          <w:sz w:val="24"/>
          <w:szCs w:val="24"/>
          <w:highlight w:val="none"/>
        </w:rPr>
        <w:t xml:space="preserve">月</w:t>
      </w:r>
      <w:r>
        <w:rPr>
          <w:rFonts w:ascii="宋体" w:cs="宋体"/>
          <w:color w:val="auto"/>
          <w:sz w:val="24"/>
          <w:szCs w:val="24"/>
          <w:highlight w:val="none"/>
          <w:u w:val="single"/>
        </w:rPr>
        <w:t xml:space="preserve">  </w:t>
      </w:r>
      <w:r>
        <w:rPr>
          <w:rFonts w:hint="eastAsia" w:ascii="宋体" w:cs="宋体"/>
          <w:color w:val="auto"/>
          <w:sz w:val="24"/>
          <w:szCs w:val="24"/>
          <w:highlight w:val="none"/>
        </w:rPr>
        <w:t xml:space="preserve">日接受此件，以此为证。</w:t>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s="宋体"/>
          <w:color w:val="auto"/>
          <w:sz w:val="24"/>
          <w:szCs w:val="24"/>
          <w:highlight w:val="none"/>
        </w:rPr>
        <w:outlineLvl w:val="0"/>
      </w:pPr>
      <w:r>
        <w:rPr>
          <w:rFonts w:ascii="宋体" w:cs="宋体"/>
          <w:color w:val="auto"/>
          <w:sz w:val="24"/>
          <w:szCs w:val="24"/>
          <w:highlight w:val="none"/>
        </w:rPr>
        <w:t xml:space="preserve">                               </w:t>
      </w:r>
      <w:r>
        <w:rPr>
          <w:rFonts w:hint="eastAsia" w:ascii="宋体" w:cs="宋体"/>
          <w:color w:val="auto"/>
          <w:sz w:val="24"/>
          <w:szCs w:val="24"/>
          <w:highlight w:val="none"/>
        </w:rPr>
        <w:t xml:space="preserve">出具授权书的制造商名称（盖章）：</w:t>
      </w:r>
      <w:r>
        <w:rPr>
          <w:rFonts w:ascii="宋体" w:cs="宋体"/>
          <w:color w:val="auto"/>
          <w:sz w:val="24"/>
          <w:szCs w:val="24"/>
          <w:highlight w:val="none"/>
        </w:rPr>
        <w:t xml:space="preserve">                           </w:t>
      </w:r>
      <w:r/>
    </w:p>
    <w:p>
      <w:pPr>
        <w:spacing w:line="360" w:lineRule="auto"/>
        <w:rPr>
          <w:rFonts w:ascii="宋体"/>
          <w:color w:val="auto"/>
          <w:sz w:val="24"/>
          <w:szCs w:val="24"/>
          <w:highlight w:val="none"/>
        </w:rPr>
        <w:outlineLvl w:val="0"/>
      </w:pPr>
      <w:r>
        <w:rPr>
          <w:rFonts w:ascii="宋体" w:cs="宋体"/>
          <w:color w:val="auto"/>
          <w:sz w:val="24"/>
          <w:szCs w:val="24"/>
          <w:highlight w:val="none"/>
        </w:rPr>
        <w:t xml:space="preserve">                                        </w:t>
      </w:r>
      <w:r>
        <w:rPr>
          <w:rFonts w:hint="eastAsia" w:ascii="宋体" w:cs="宋体"/>
          <w:color w:val="auto"/>
          <w:sz w:val="24"/>
          <w:szCs w:val="24"/>
          <w:highlight w:val="none"/>
        </w:rPr>
        <w:t xml:space="preserve">制造商授权代表的签字：</w:t>
      </w:r>
      <w:r/>
    </w:p>
    <w:p>
      <w:pPr>
        <w:spacing w:line="360" w:lineRule="auto"/>
        <w:rPr>
          <w:rFonts w:ascii="宋体"/>
          <w:color w:val="auto"/>
          <w:sz w:val="24"/>
          <w:szCs w:val="24"/>
          <w:highlight w:val="none"/>
        </w:rPr>
        <w:outlineLvl w:val="0"/>
      </w:pPr>
      <w:r>
        <w:rPr>
          <w:rFonts w:ascii="宋体" w:cs="宋体"/>
          <w:color w:val="auto"/>
          <w:sz w:val="24"/>
          <w:szCs w:val="24"/>
          <w:highlight w:val="none"/>
        </w:rPr>
        <w:t xml:space="preserve">                                            </w:t>
      </w:r>
      <w:r>
        <w:rPr>
          <w:rFonts w:hint="eastAsia" w:ascii="宋体" w:cs="宋体"/>
          <w:color w:val="auto"/>
          <w:sz w:val="24"/>
          <w:szCs w:val="24"/>
          <w:highlight w:val="none"/>
        </w:rPr>
        <w:t xml:space="preserve">姓名、职务和部门：</w:t>
      </w:r>
      <w:r/>
    </w:p>
    <w:p>
      <w:pPr>
        <w:spacing w:line="360" w:lineRule="auto"/>
        <w:rPr>
          <w:rFonts w:ascii="宋体"/>
          <w:color w:val="auto"/>
          <w:sz w:val="24"/>
          <w:szCs w:val="24"/>
          <w:highlight w:val="none"/>
        </w:rPr>
        <w:outlineLvl w:val="0"/>
      </w:pPr>
      <w:r>
        <w:rPr>
          <w:rFonts w:ascii="宋体" w:cs="宋体"/>
          <w:color w:val="auto"/>
          <w:sz w:val="24"/>
          <w:szCs w:val="24"/>
          <w:highlight w:val="none"/>
        </w:rPr>
        <w:t xml:space="preserve">                                                        </w:t>
      </w:r>
      <w:r>
        <w:rPr>
          <w:rFonts w:hint="eastAsia" w:ascii="宋体" w:cs="宋体"/>
          <w:color w:val="auto"/>
          <w:sz w:val="24"/>
          <w:szCs w:val="24"/>
          <w:highlight w:val="none"/>
        </w:rPr>
        <w:t xml:space="preserve">日期：</w:t>
      </w:r>
      <w:r/>
    </w:p>
    <w:p>
      <w:pPr>
        <w:spacing w:line="360" w:lineRule="auto"/>
        <w:rPr>
          <w:rFonts w:ascii="Arial" w:hAnsi="Arial"/>
          <w:bCs/>
          <w:color w:val="auto"/>
          <w:sz w:val="30"/>
          <w:highlight w:val="none"/>
        </w:rPr>
      </w:pPr>
      <w:r>
        <w:rPr>
          <w:rFonts w:ascii="Arial" w:hAnsi="Arial"/>
          <w:bCs/>
          <w:color w:val="auto"/>
          <w:sz w:val="30"/>
          <w:highlight w:val="none"/>
        </w:rPr>
      </w:r>
      <w:r/>
    </w:p>
    <w:sectPr>
      <w:footerReference w:type="default" r:id="rId16"/>
      <w:footerReference w:type="first" r:id="rId17"/>
      <w:footnotePr/>
      <w:endnotePr/>
      <w:type w:val="nextPage"/>
      <w:pgSz w:w="11906" w:h="16838" w:orient="portrait"/>
      <w:pgMar w:top="850" w:right="851" w:bottom="850" w:left="1134" w:header="62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rPr>
        <w:rStyle w:val="860"/>
      </w:rPr>
      <w:framePr w:wrap="around" w:vAnchor="text" w:hAnchor="margin" w:xAlign="center" w:y="1"/>
    </w:pPr>
    <w:r>
      <w:rPr>
        <w:rStyle w:val="860"/>
      </w:rPr>
      <w:fldChar w:fldCharType="begin"/>
    </w:r>
    <w:r>
      <w:rPr>
        <w:rStyle w:val="860"/>
      </w:rPr>
      <w:instrText xml:space="preserve">PAGE  </w:instrText>
    </w:r>
    <w:r>
      <w:rPr>
        <w:rStyle w:val="860"/>
      </w:rPr>
      <w:fldChar w:fldCharType="separate"/>
    </w:r>
    <w:r>
      <w:rPr>
        <w:rStyle w:val="860"/>
      </w:rPr>
      <w:t xml:space="preserve">1</w:t>
    </w:r>
    <w:r>
      <w:rPr>
        <w:rStyle w:val="860"/>
      </w:rPr>
      <w:fldChar w:fldCharType="end"/>
    </w:r>
    <w:r/>
  </w:p>
  <w:p>
    <w:pPr>
      <w:pStyle w:val="84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50495" cy="131445"/>
              <wp:effectExtent l="3175" t="3175" r="3175" b="3175"/>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50392"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8pt;height:10.3pt;mso-wrap-distance-left:9.0pt;mso-wrap-distance-top:0.0pt;mso-wrap-distance-right:9.0pt;mso-wrap-distance-bottom:0.0pt;v-text-anchor:top;visibility:visible;" filled="f" stroked="f" strokeweight="0.50pt">
              <v:textbox inset="0,0,0,0">
                <w:txbxContent>
                  <w:p>
                    <w:pPr>
                      <w:pStyle w:val="841"/>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6690" cy="196850"/>
              <wp:effectExtent l="3175" t="3175" r="3175" b="3175"/>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6995" cy="19708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7pt;height:15.5pt;mso-wrap-distance-left:9.0pt;mso-wrap-distance-top:0.0pt;mso-wrap-distance-right:9.0pt;mso-wrap-distance-bottom:0.0pt;v-text-anchor:top;visibility:visible;" filled="f" stroked="f" strokeweight="0.50pt">
              <v:textbox inset="0,0,0,0">
                <w:txbxContent>
                  <w:p>
                    <w:pPr>
                      <w:pStyle w:val="841"/>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1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120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japaneseCounting"/>
      <w:pStyle w:val="963"/>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upperLetter"/>
      <w:pStyle w:val="816"/>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5.%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45"/>
      <w:isLgl w:val="false"/>
      <w:suff w:val="nothing"/>
      <w:lvlText w:val=""/>
      <w:lvlJc w:val="left"/>
      <w:pPr>
        <w:ind w:left="0" w:firstLine="0"/>
      </w:pPr>
      <w:rPr>
        <w:rFonts w:hint="eastAsia"/>
      </w:rPr>
    </w:lvl>
    <w:lvl w:ilvl="6">
      <w:start w:val="1"/>
      <w:numFmt w:val="decimal"/>
      <w:pStyle w:val="1147"/>
      <w:isLgl w:val="false"/>
      <w:suff w:val="nothing"/>
      <w:lvlText w:val=""/>
      <w:lvlJc w:val="left"/>
      <w:pPr>
        <w:ind w:left="0" w:firstLine="0"/>
      </w:pPr>
      <w:rPr>
        <w:rFonts w:hint="eastAsia"/>
      </w:rPr>
    </w:lvl>
    <w:lvl w:ilvl="7">
      <w:start w:val="1"/>
      <w:numFmt w:val="decimal"/>
      <w:pStyle w:val="1149"/>
      <w:isLgl w:val="false"/>
      <w:suff w:val="nothing"/>
      <w:lvlText w:val=""/>
      <w:lvlJc w:val="left"/>
      <w:pPr>
        <w:ind w:left="0" w:firstLine="0"/>
      </w:pPr>
      <w:rPr>
        <w:rFonts w:hint="eastAsia"/>
      </w:rPr>
    </w:lvl>
    <w:lvl w:ilvl="8">
      <w:start w:val="1"/>
      <w:numFmt w:val="decimal"/>
      <w:pStyle w:val="1151"/>
      <w:isLgl w:val="false"/>
      <w:suff w:val="nothing"/>
      <w:lvlText w:val=""/>
      <w:lvlJc w:val="left"/>
      <w:pPr>
        <w:ind w:left="0" w:firstLine="0"/>
      </w:pPr>
      <w:rPr>
        <w:rFonts w:hint="eastAsia"/>
      </w:rPr>
    </w:lvl>
  </w:abstractNum>
  <w:abstractNum w:abstractNumId="18">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7"/>
  </w:num>
  <w:num w:numId="4">
    <w:abstractNumId w:val="3"/>
  </w:num>
  <w:num w:numId="5">
    <w:abstractNumId w:val="2"/>
  </w:num>
  <w:num w:numId="6">
    <w:abstractNumId w:val="11"/>
  </w:num>
  <w:num w:numId="7">
    <w:abstractNumId w:val="13"/>
  </w:num>
  <w:num w:numId="8">
    <w:abstractNumId w:val="19"/>
  </w:num>
  <w:num w:numId="9">
    <w:abstractNumId w:val="10"/>
  </w:num>
  <w:num w:numId="10">
    <w:abstractNumId w:val="0"/>
  </w:num>
  <w:num w:numId="11">
    <w:abstractNumId w:val="14"/>
  </w:num>
  <w:num w:numId="12">
    <w:abstractNumId w:val="18"/>
  </w:num>
  <w:num w:numId="13">
    <w:abstractNumId w:val="4"/>
  </w:num>
  <w:num w:numId="14">
    <w:abstractNumId w:val="16"/>
  </w:num>
  <w:num w:numId="15">
    <w:abstractNumId w:val="8"/>
  </w:num>
  <w:num w:numId="16">
    <w:abstractNumId w:val="12"/>
  </w:num>
  <w:num w:numId="17">
    <w:abstractNumId w:val="7"/>
  </w:num>
  <w:num w:numId="18">
    <w:abstractNumId w:val="6"/>
  </w:num>
  <w:num w:numId="19">
    <w:abstractNumId w:val="1"/>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1" w:default="1">
    <w:name w:val="Normal"/>
    <w:next w:val="823"/>
    <w:uiPriority w:val="0"/>
    <w:qFormat/>
    <w:pPr>
      <w:jc w:val="both"/>
      <w:widowControl w:val="off"/>
    </w:pPr>
    <w:rPr>
      <w:rFonts w:hint="default" w:ascii="Calibri" w:hAnsi="Calibri" w:eastAsia="Arial" w:cs="Times New Roman"/>
      <w:sz w:val="21"/>
      <w:szCs w:val="22"/>
      <w:lang w:val="en-US" w:eastAsia="zh-CN" w:bidi="ar-SA"/>
    </w:rPr>
  </w:style>
  <w:style w:type="paragraph" w:styleId="812">
    <w:name w:val="Heading 1"/>
    <w:basedOn w:val="811"/>
    <w:next w:val="811"/>
    <w:link w:val="867"/>
    <w:uiPriority w:val="9"/>
    <w:qFormat/>
    <w:pPr>
      <w:jc w:val="center"/>
      <w:keepNext/>
      <w:outlineLvl w:val="0"/>
    </w:pPr>
    <w:rPr>
      <w:rFonts w:ascii="楷体_GB2312" w:hAnsi="Times New Roman" w:eastAsia="楷体_GB2312"/>
      <w:b/>
      <w:sz w:val="28"/>
      <w:szCs w:val="20"/>
    </w:rPr>
  </w:style>
  <w:style w:type="paragraph" w:styleId="813">
    <w:name w:val="Heading 2"/>
    <w:basedOn w:val="811"/>
    <w:next w:val="811"/>
    <w:link w:val="868"/>
    <w:uiPriority w:val="9"/>
    <w:qFormat/>
    <w:pPr>
      <w:jc w:val="center"/>
      <w:keepNext/>
      <w:outlineLvl w:val="1"/>
    </w:pPr>
    <w:rPr>
      <w:rFonts w:ascii="楷体_GB2312" w:hAnsi="Times New Roman" w:eastAsia="楷体_GB2312"/>
      <w:b/>
      <w:bCs/>
      <w:sz w:val="18"/>
      <w:szCs w:val="20"/>
    </w:rPr>
  </w:style>
  <w:style w:type="paragraph" w:styleId="814">
    <w:name w:val="Heading 3"/>
    <w:basedOn w:val="824"/>
    <w:next w:val="811"/>
    <w:link w:val="870"/>
    <w:uiPriority w:val="9"/>
    <w:qFormat/>
    <w:pPr>
      <w:jc w:val="left"/>
      <w:keepNext/>
      <w:outlineLvl w:val="2"/>
    </w:pPr>
    <w:rPr>
      <w:rFonts w:ascii="Arial" w:hAnsi="Arial" w:eastAsia="Arial"/>
      <w:bCs/>
      <w:sz w:val="24"/>
      <w:szCs w:val="24"/>
      <w:lang w:eastAsia="zh-CN"/>
    </w:rPr>
  </w:style>
  <w:style w:type="paragraph" w:styleId="815">
    <w:name w:val="Heading 4"/>
    <w:basedOn w:val="811"/>
    <w:next w:val="811"/>
    <w:link w:val="871"/>
    <w:uiPriority w:val="9"/>
    <w:qFormat/>
    <w:pPr>
      <w:keepNext/>
      <w:outlineLvl w:val="3"/>
    </w:pPr>
    <w:rPr>
      <w:rFonts w:ascii="Times New Roman" w:hAnsi="Times New Roman" w:eastAsia="楷体_GB2312"/>
      <w:b/>
      <w:bCs/>
      <w:sz w:val="15"/>
      <w:szCs w:val="20"/>
    </w:rPr>
  </w:style>
  <w:style w:type="paragraph" w:styleId="816">
    <w:name w:val="Heading 5"/>
    <w:basedOn w:val="811"/>
    <w:next w:val="811"/>
    <w:link w:val="872"/>
    <w:uiPriority w:val="9"/>
    <w:qFormat/>
    <w:pPr>
      <w:numPr>
        <w:ilvl w:val="0"/>
        <w:numId w:val="1"/>
      </w:numPr>
      <w:keepNext/>
      <w:outlineLvl w:val="4"/>
    </w:pPr>
    <w:rPr>
      <w:rFonts w:ascii="楷体_GB2312" w:hAnsi="Times New Roman" w:eastAsia="楷体_GB2312"/>
      <w:bCs/>
      <w:sz w:val="28"/>
      <w:szCs w:val="20"/>
    </w:rPr>
  </w:style>
  <w:style w:type="paragraph" w:styleId="817">
    <w:name w:val="Heading 6"/>
    <w:basedOn w:val="811"/>
    <w:next w:val="811"/>
    <w:link w:val="873"/>
    <w:uiPriority w:val="9"/>
    <w:qFormat/>
    <w:pPr>
      <w:keepLines/>
      <w:keepNext/>
      <w:spacing w:before="320" w:after="200"/>
      <w:outlineLvl w:val="5"/>
    </w:pPr>
    <w:rPr>
      <w:rFonts w:ascii="Arial" w:hAnsi="Arial" w:cs="Arial"/>
      <w:b/>
      <w:bCs/>
      <w:sz w:val="22"/>
    </w:rPr>
  </w:style>
  <w:style w:type="paragraph" w:styleId="818">
    <w:name w:val="Heading 7"/>
    <w:basedOn w:val="811"/>
    <w:next w:val="811"/>
    <w:link w:val="874"/>
    <w:uiPriority w:val="9"/>
    <w:qFormat/>
    <w:pPr>
      <w:keepLines/>
      <w:keepNext/>
      <w:spacing w:before="320" w:after="200"/>
      <w:outlineLvl w:val="6"/>
    </w:pPr>
    <w:rPr>
      <w:rFonts w:ascii="Arial" w:hAnsi="Arial" w:cs="Arial"/>
      <w:b/>
      <w:bCs/>
      <w:i/>
      <w:iCs/>
      <w:sz w:val="22"/>
    </w:rPr>
  </w:style>
  <w:style w:type="paragraph" w:styleId="819">
    <w:name w:val="Heading 8"/>
    <w:basedOn w:val="811"/>
    <w:next w:val="811"/>
    <w:link w:val="875"/>
    <w:uiPriority w:val="9"/>
    <w:qFormat/>
    <w:pPr>
      <w:keepLines/>
      <w:keepNext/>
      <w:spacing w:before="320" w:after="200"/>
      <w:outlineLvl w:val="7"/>
    </w:pPr>
    <w:rPr>
      <w:rFonts w:ascii="Arial" w:hAnsi="Arial" w:cs="Arial"/>
      <w:i/>
      <w:iCs/>
      <w:sz w:val="22"/>
    </w:rPr>
  </w:style>
  <w:style w:type="paragraph" w:styleId="820">
    <w:name w:val="Heading 9"/>
    <w:basedOn w:val="811"/>
    <w:next w:val="811"/>
    <w:link w:val="876"/>
    <w:uiPriority w:val="9"/>
    <w:qFormat/>
    <w:pPr>
      <w:keepLines/>
      <w:keepNext/>
      <w:spacing w:before="320" w:after="200"/>
      <w:outlineLvl w:val="8"/>
    </w:pPr>
    <w:rPr>
      <w:rFonts w:ascii="Arial" w:hAnsi="Arial" w:cs="Arial"/>
      <w:i/>
      <w:iCs/>
      <w:szCs w:val="21"/>
    </w:rPr>
  </w:style>
  <w:style w:type="character" w:styleId="821" w:default="1">
    <w:name w:val="Default Paragraph Font"/>
    <w:uiPriority w:val="1"/>
    <w:unhideWhenUsed/>
    <w:qFormat/>
  </w:style>
  <w:style w:type="table" w:styleId="822" w:default="1">
    <w:name w:val="Normal Table"/>
    <w:uiPriority w:val="99"/>
    <w:unhideWhenUsed/>
    <w:qFormat/>
    <w:tblPr>
      <w:tblCellMar>
        <w:left w:w="108" w:type="dxa"/>
        <w:top w:w="0" w:type="dxa"/>
        <w:right w:w="108" w:type="dxa"/>
        <w:bottom w:w="0" w:type="dxa"/>
      </w:tblCellMar>
    </w:tblPr>
  </w:style>
  <w:style w:type="paragraph" w:styleId="823">
    <w:name w:val="Body Text"/>
    <w:basedOn w:val="811"/>
    <w:link w:val="866"/>
    <w:uiPriority w:val="99"/>
    <w:qFormat/>
    <w:rPr>
      <w:rFonts w:ascii="华文中宋" w:hAnsi="Times New Roman" w:eastAsia="华文中宋"/>
      <w:bCs/>
      <w:sz w:val="28"/>
      <w:szCs w:val="20"/>
    </w:rPr>
  </w:style>
  <w:style w:type="paragraph" w:styleId="824" w:customStyle="1">
    <w:name w:val="Cn Heading3"/>
    <w:basedOn w:val="825"/>
    <w:uiPriority w:val="0"/>
    <w:qFormat/>
    <w:pPr>
      <w:ind w:firstLine="0"/>
      <w:spacing w:line="480" w:lineRule="auto"/>
      <w:outlineLvl w:val="2"/>
    </w:pPr>
    <w:rPr>
      <w:rFonts w:ascii="微软雅黑" w:hAnsi="微软雅黑" w:eastAsia="微软雅黑"/>
      <w:b/>
      <w:sz w:val="28"/>
      <w:szCs w:val="28"/>
      <w:lang w:eastAsia="ja-JP"/>
    </w:rPr>
  </w:style>
  <w:style w:type="paragraph" w:styleId="825" w:customStyle="1">
    <w:name w:val="列出段落1"/>
    <w:basedOn w:val="811"/>
    <w:link w:val="869"/>
    <w:uiPriority w:val="0"/>
    <w:qFormat/>
    <w:pPr>
      <w:ind w:firstLine="420"/>
      <w:spacing w:before="120" w:after="120" w:line="360" w:lineRule="auto"/>
    </w:pPr>
    <w:rPr>
      <w:rFonts w:eastAsia="宋体"/>
      <w:sz w:val="24"/>
    </w:rPr>
  </w:style>
  <w:style w:type="paragraph" w:styleId="826">
    <w:name w:val="toc 7"/>
    <w:basedOn w:val="811"/>
    <w:next w:val="811"/>
    <w:uiPriority w:val="39"/>
    <w:unhideWhenUsed/>
    <w:qFormat/>
    <w:pPr>
      <w:ind w:left="1701"/>
      <w:spacing w:after="57"/>
    </w:pPr>
  </w:style>
  <w:style w:type="paragraph" w:styleId="827">
    <w:name w:val="Normal Indent"/>
    <w:basedOn w:val="811"/>
    <w:uiPriority w:val="99"/>
    <w:qFormat/>
    <w:pPr>
      <w:ind w:firstLine="420"/>
    </w:pPr>
    <w:rPr>
      <w:rFonts w:ascii="Times New Roman" w:hAnsi="Times New Roman" w:eastAsia="宋体"/>
      <w:szCs w:val="20"/>
    </w:rPr>
  </w:style>
  <w:style w:type="paragraph" w:styleId="828">
    <w:name w:val="Caption"/>
    <w:basedOn w:val="811"/>
    <w:next w:val="811"/>
    <w:uiPriority w:val="35"/>
    <w:qFormat/>
    <w:pPr>
      <w:spacing w:line="276" w:lineRule="auto"/>
    </w:pPr>
    <w:rPr>
      <w:rFonts w:ascii="Times New Roman" w:hAnsi="Times New Roman" w:eastAsia="宋体"/>
      <w:b/>
      <w:bCs/>
      <w:color w:val="4f81bd"/>
      <w:sz w:val="18"/>
      <w:szCs w:val="18"/>
    </w:rPr>
  </w:style>
  <w:style w:type="paragraph" w:styleId="829">
    <w:name w:val="Document Map"/>
    <w:basedOn w:val="811"/>
    <w:link w:val="877"/>
    <w:uiPriority w:val="99"/>
    <w:semiHidden/>
    <w:qFormat/>
    <w:pPr>
      <w:shd w:val="clear" w:color="auto" w:fill="000080"/>
    </w:pPr>
    <w:rPr>
      <w:rFonts w:ascii="Times New Roman" w:hAnsi="Times New Roman" w:eastAsia="宋体"/>
      <w:sz w:val="20"/>
      <w:szCs w:val="20"/>
    </w:rPr>
  </w:style>
  <w:style w:type="paragraph" w:styleId="830">
    <w:name w:val="annotation text"/>
    <w:basedOn w:val="811"/>
    <w:link w:val="878"/>
    <w:uiPriority w:val="99"/>
    <w:unhideWhenUsed/>
    <w:qFormat/>
    <w:pPr>
      <w:jc w:val="left"/>
    </w:pPr>
  </w:style>
  <w:style w:type="paragraph" w:styleId="831">
    <w:name w:val="Body Text Indent"/>
    <w:basedOn w:val="811"/>
    <w:link w:val="879"/>
    <w:uiPriority w:val="99"/>
    <w:qFormat/>
    <w:pPr>
      <w:ind w:firstLine="576"/>
    </w:pPr>
    <w:rPr>
      <w:rFonts w:ascii="Times New Roman" w:hAnsi="Times New Roman" w:eastAsia="宋体"/>
      <w:b/>
      <w:sz w:val="30"/>
      <w:szCs w:val="20"/>
    </w:rPr>
  </w:style>
  <w:style w:type="paragraph" w:styleId="832">
    <w:name w:val="index 4"/>
    <w:basedOn w:val="811"/>
    <w:next w:val="811"/>
    <w:uiPriority w:val="99"/>
    <w:qFormat/>
    <w:pPr>
      <w:ind w:left="600"/>
    </w:pPr>
    <w:rPr>
      <w:szCs w:val="24"/>
    </w:rPr>
  </w:style>
  <w:style w:type="paragraph" w:styleId="833">
    <w:name w:val="toc 5"/>
    <w:basedOn w:val="811"/>
    <w:next w:val="811"/>
    <w:uiPriority w:val="39"/>
    <w:unhideWhenUsed/>
    <w:qFormat/>
    <w:pPr>
      <w:ind w:left="1134"/>
      <w:spacing w:after="57"/>
    </w:pPr>
  </w:style>
  <w:style w:type="paragraph" w:styleId="834">
    <w:name w:val="toc 3"/>
    <w:basedOn w:val="811"/>
    <w:next w:val="811"/>
    <w:uiPriority w:val="39"/>
    <w:unhideWhenUsed/>
    <w:qFormat/>
    <w:pPr>
      <w:ind w:left="567"/>
      <w:spacing w:after="57"/>
    </w:pPr>
  </w:style>
  <w:style w:type="paragraph" w:styleId="835">
    <w:name w:val="Plain Text"/>
    <w:basedOn w:val="811"/>
    <w:uiPriority w:val="0"/>
    <w:qFormat/>
    <w:rPr>
      <w:rFonts w:ascii="黑体"/>
      <w:szCs w:val="21"/>
    </w:rPr>
  </w:style>
  <w:style w:type="paragraph" w:styleId="836">
    <w:name w:val="toc 8"/>
    <w:basedOn w:val="811"/>
    <w:next w:val="811"/>
    <w:uiPriority w:val="39"/>
    <w:unhideWhenUsed/>
    <w:qFormat/>
    <w:pPr>
      <w:ind w:left="1984"/>
      <w:spacing w:after="57"/>
    </w:pPr>
  </w:style>
  <w:style w:type="paragraph" w:styleId="837">
    <w:name w:val="Date"/>
    <w:basedOn w:val="811"/>
    <w:next w:val="811"/>
    <w:link w:val="880"/>
    <w:uiPriority w:val="99"/>
    <w:qFormat/>
    <w:rPr>
      <w:rFonts w:ascii="Times New Roman" w:hAnsi="Times New Roman" w:eastAsia="黑体"/>
      <w:b/>
      <w:sz w:val="36"/>
      <w:szCs w:val="20"/>
    </w:rPr>
  </w:style>
  <w:style w:type="paragraph" w:styleId="838">
    <w:name w:val="Body Text Indent 2"/>
    <w:basedOn w:val="811"/>
    <w:link w:val="881"/>
    <w:uiPriority w:val="99"/>
    <w:qFormat/>
    <w:pPr>
      <w:ind w:left="900"/>
    </w:pPr>
    <w:rPr>
      <w:rFonts w:ascii="楷体_GB2312" w:hAnsi="Times New Roman" w:eastAsia="楷体_GB2312"/>
      <w:b/>
      <w:sz w:val="28"/>
      <w:szCs w:val="20"/>
    </w:rPr>
  </w:style>
  <w:style w:type="paragraph" w:styleId="839">
    <w:name w:val="endnote text"/>
    <w:basedOn w:val="811"/>
    <w:link w:val="882"/>
    <w:uiPriority w:val="99"/>
    <w:unhideWhenUsed/>
    <w:qFormat/>
    <w:rPr>
      <w:rFonts w:ascii="Times New Roman" w:hAnsi="Times New Roman" w:eastAsia="宋体"/>
      <w:sz w:val="20"/>
      <w:szCs w:val="21"/>
    </w:rPr>
  </w:style>
  <w:style w:type="paragraph" w:styleId="840">
    <w:name w:val="Balloon Text"/>
    <w:basedOn w:val="811"/>
    <w:link w:val="883"/>
    <w:uiPriority w:val="99"/>
    <w:unhideWhenUsed/>
    <w:qFormat/>
    <w:rPr>
      <w:rFonts w:ascii="Times New Roman" w:hAnsi="Times New Roman" w:eastAsia="宋体"/>
      <w:sz w:val="18"/>
      <w:szCs w:val="18"/>
    </w:rPr>
  </w:style>
  <w:style w:type="paragraph" w:styleId="841">
    <w:name w:val="Footer"/>
    <w:basedOn w:val="811"/>
    <w:link w:val="884"/>
    <w:uiPriority w:val="99"/>
    <w:qFormat/>
    <w:pPr>
      <w:jc w:val="left"/>
      <w:tabs>
        <w:tab w:val="center" w:pos="4153" w:leader="none"/>
        <w:tab w:val="right" w:pos="8306" w:leader="none"/>
      </w:tabs>
    </w:pPr>
    <w:rPr>
      <w:rFonts w:ascii="Times New Roman" w:hAnsi="Times New Roman" w:eastAsia="宋体"/>
      <w:sz w:val="18"/>
      <w:szCs w:val="20"/>
    </w:rPr>
  </w:style>
  <w:style w:type="paragraph" w:styleId="842">
    <w:name w:val="Header"/>
    <w:basedOn w:val="811"/>
    <w:link w:val="885"/>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paragraph" w:styleId="843">
    <w:name w:val="toc 1"/>
    <w:basedOn w:val="811"/>
    <w:next w:val="811"/>
    <w:uiPriority w:val="39"/>
    <w:unhideWhenUsed/>
    <w:qFormat/>
    <w:pPr>
      <w:spacing w:after="57"/>
    </w:pPr>
  </w:style>
  <w:style w:type="paragraph" w:styleId="844">
    <w:name w:val="toc 4"/>
    <w:basedOn w:val="811"/>
    <w:next w:val="811"/>
    <w:uiPriority w:val="39"/>
    <w:unhideWhenUsed/>
    <w:qFormat/>
    <w:pPr>
      <w:ind w:left="850"/>
      <w:spacing w:after="57"/>
    </w:pPr>
  </w:style>
  <w:style w:type="paragraph" w:styleId="845">
    <w:name w:val="Subtitle"/>
    <w:basedOn w:val="811"/>
    <w:next w:val="811"/>
    <w:link w:val="886"/>
    <w:uiPriority w:val="11"/>
    <w:qFormat/>
    <w:pPr>
      <w:ind w:firstLine="471"/>
      <w:jc w:val="center"/>
      <w:spacing w:before="240" w:after="60" w:line="312" w:lineRule="atLeast"/>
      <w:outlineLvl w:val="1"/>
    </w:pPr>
    <w:rPr>
      <w:rFonts w:ascii="Arial" w:hAnsi="Arial"/>
      <w:b/>
      <w:bCs/>
      <w:sz w:val="32"/>
      <w:szCs w:val="32"/>
    </w:rPr>
  </w:style>
  <w:style w:type="paragraph" w:styleId="846">
    <w:name w:val="List"/>
    <w:basedOn w:val="811"/>
    <w:uiPriority w:val="0"/>
    <w:qFormat/>
    <w:pPr>
      <w:ind w:firstLine="480"/>
      <w:spacing w:after="20" w:line="360" w:lineRule="auto"/>
      <w:tabs>
        <w:tab w:val="left" w:pos="420" w:leader="none"/>
      </w:tabs>
    </w:pPr>
    <w:rPr>
      <w:rFonts w:ascii="宋体" w:hAnsi="宋体" w:eastAsia="宋体" w:cs="宋体"/>
      <w:sz w:val="24"/>
      <w:szCs w:val="24"/>
    </w:rPr>
  </w:style>
  <w:style w:type="paragraph" w:styleId="847">
    <w:name w:val="footnote text"/>
    <w:basedOn w:val="811"/>
    <w:link w:val="887"/>
    <w:uiPriority w:val="99"/>
    <w:unhideWhenUsed/>
    <w:qFormat/>
    <w:pPr>
      <w:spacing w:after="40"/>
    </w:pPr>
    <w:rPr>
      <w:rFonts w:ascii="Times New Roman" w:hAnsi="Times New Roman" w:eastAsia="宋体"/>
      <w:sz w:val="18"/>
      <w:szCs w:val="21"/>
    </w:rPr>
  </w:style>
  <w:style w:type="paragraph" w:styleId="848">
    <w:name w:val="toc 6"/>
    <w:basedOn w:val="811"/>
    <w:next w:val="811"/>
    <w:uiPriority w:val="39"/>
    <w:unhideWhenUsed/>
    <w:qFormat/>
    <w:pPr>
      <w:ind w:left="1417"/>
      <w:spacing w:after="57"/>
    </w:pPr>
  </w:style>
  <w:style w:type="paragraph" w:styleId="849">
    <w:name w:val="Body Text Indent 3"/>
    <w:basedOn w:val="811"/>
    <w:link w:val="888"/>
    <w:uiPriority w:val="99"/>
    <w:qFormat/>
    <w:pPr>
      <w:ind w:left="359" w:firstLine="359"/>
    </w:pPr>
    <w:rPr>
      <w:rFonts w:ascii="Times New Roman" w:hAnsi="Times New Roman" w:eastAsia="宋体"/>
      <w:sz w:val="20"/>
      <w:szCs w:val="20"/>
    </w:rPr>
  </w:style>
  <w:style w:type="paragraph" w:styleId="850">
    <w:name w:val="table of figures"/>
    <w:basedOn w:val="811"/>
    <w:next w:val="811"/>
    <w:uiPriority w:val="99"/>
    <w:unhideWhenUsed/>
    <w:qFormat/>
    <w:rPr>
      <w:rFonts w:ascii="Times New Roman" w:hAnsi="Times New Roman" w:eastAsia="宋体"/>
      <w:szCs w:val="21"/>
    </w:rPr>
  </w:style>
  <w:style w:type="paragraph" w:styleId="851">
    <w:name w:val="toc 2"/>
    <w:basedOn w:val="811"/>
    <w:next w:val="811"/>
    <w:uiPriority w:val="39"/>
    <w:unhideWhenUsed/>
    <w:qFormat/>
    <w:pPr>
      <w:ind w:left="283"/>
      <w:spacing w:after="57"/>
    </w:pPr>
  </w:style>
  <w:style w:type="paragraph" w:styleId="852">
    <w:name w:val="toc 9"/>
    <w:basedOn w:val="811"/>
    <w:next w:val="811"/>
    <w:uiPriority w:val="39"/>
    <w:unhideWhenUsed/>
    <w:qFormat/>
    <w:pPr>
      <w:ind w:left="2268"/>
      <w:spacing w:after="57"/>
    </w:pPr>
  </w:style>
  <w:style w:type="paragraph" w:styleId="853">
    <w:name w:val="Body Text 2"/>
    <w:basedOn w:val="811"/>
    <w:link w:val="889"/>
    <w:uiPriority w:val="99"/>
    <w:qFormat/>
    <w:pPr>
      <w:spacing w:after="120" w:line="480" w:lineRule="auto"/>
    </w:pPr>
    <w:rPr>
      <w:rFonts w:ascii="Times New Roman" w:hAnsi="Times New Roman" w:eastAsia="宋体"/>
      <w:sz w:val="20"/>
      <w:szCs w:val="20"/>
    </w:rPr>
  </w:style>
  <w:style w:type="paragraph" w:styleId="854">
    <w:name w:val="Normal (Web)"/>
    <w:basedOn w:val="811"/>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55">
    <w:name w:val="Title"/>
    <w:basedOn w:val="811"/>
    <w:next w:val="811"/>
    <w:link w:val="890"/>
    <w:uiPriority w:val="10"/>
    <w:qFormat/>
    <w:pPr>
      <w:contextualSpacing/>
      <w:spacing w:before="300" w:after="200"/>
    </w:pPr>
    <w:rPr>
      <w:rFonts w:ascii="Times New Roman" w:hAnsi="Times New Roman" w:eastAsia="宋体"/>
      <w:sz w:val="48"/>
      <w:szCs w:val="48"/>
    </w:rPr>
  </w:style>
  <w:style w:type="paragraph" w:styleId="856">
    <w:name w:val="annotation subject"/>
    <w:basedOn w:val="830"/>
    <w:next w:val="830"/>
    <w:link w:val="891"/>
    <w:uiPriority w:val="99"/>
    <w:unhideWhenUsed/>
    <w:qFormat/>
    <w:rPr>
      <w:b/>
      <w:bCs/>
    </w:rPr>
  </w:style>
  <w:style w:type="table" w:styleId="857">
    <w:name w:val="Table Grid"/>
    <w:basedOn w:val="822"/>
    <w:uiPriority w:val="59"/>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8">
    <w:name w:val="Strong"/>
    <w:uiPriority w:val="99"/>
    <w:qFormat/>
    <w:rPr>
      <w:rFonts w:cs="Times New Roman"/>
      <w:b/>
      <w:bCs/>
    </w:rPr>
  </w:style>
  <w:style w:type="character" w:styleId="859">
    <w:name w:val="endnote reference"/>
    <w:uiPriority w:val="99"/>
    <w:unhideWhenUsed/>
    <w:qFormat/>
    <w:rPr>
      <w:vertAlign w:val="superscript"/>
    </w:rPr>
  </w:style>
  <w:style w:type="character" w:styleId="860">
    <w:name w:val="page number"/>
    <w:uiPriority w:val="99"/>
    <w:qFormat/>
    <w:rPr>
      <w:rFonts w:cs="Times New Roman"/>
    </w:rPr>
  </w:style>
  <w:style w:type="character" w:styleId="861">
    <w:name w:val="HTML Typewriter"/>
    <w:uiPriority w:val="99"/>
    <w:qFormat/>
    <w:rPr>
      <w:rFonts w:ascii="宋体" w:hAnsi="宋体" w:eastAsia="宋体" w:cs="宋体"/>
      <w:sz w:val="24"/>
      <w:szCs w:val="24"/>
    </w:rPr>
  </w:style>
  <w:style w:type="character" w:styleId="862">
    <w:name w:val="Hyperlink"/>
    <w:uiPriority w:val="99"/>
    <w:qFormat/>
    <w:rPr>
      <w:rFonts w:cs="Times New Roman"/>
      <w:color w:val="000000"/>
      <w:u w:val="none"/>
    </w:rPr>
  </w:style>
  <w:style w:type="character" w:styleId="863">
    <w:name w:val="annotation reference"/>
    <w:basedOn w:val="821"/>
    <w:uiPriority w:val="0"/>
    <w:unhideWhenUsed/>
    <w:qFormat/>
    <w:rPr>
      <w:sz w:val="21"/>
      <w:szCs w:val="21"/>
    </w:rPr>
  </w:style>
  <w:style w:type="character" w:styleId="864">
    <w:name w:val="footnote reference"/>
    <w:uiPriority w:val="99"/>
    <w:unhideWhenUsed/>
    <w:qFormat/>
    <w:rPr>
      <w:vertAlign w:val="superscript"/>
    </w:rPr>
  </w:style>
  <w:style w:type="paragraph" w:styleId="865" w:customStyle="1">
    <w:name w:val="明显引用1"/>
    <w:next w:val="811"/>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866" w:customStyle="1">
    <w:name w:val="正文文本 字符"/>
    <w:basedOn w:val="821"/>
    <w:link w:val="823"/>
    <w:uiPriority w:val="99"/>
    <w:qFormat/>
    <w:rPr>
      <w:rFonts w:ascii="华文中宋" w:hAnsi="Times New Roman" w:eastAsia="华文中宋" w:cs="Times New Roman"/>
      <w:bCs/>
      <w:sz w:val="28"/>
      <w:szCs w:val="20"/>
    </w:rPr>
  </w:style>
  <w:style w:type="character" w:styleId="867" w:customStyle="1">
    <w:name w:val="标题 1 字符"/>
    <w:basedOn w:val="821"/>
    <w:link w:val="812"/>
    <w:uiPriority w:val="9"/>
    <w:qFormat/>
    <w:rPr>
      <w:rFonts w:ascii="楷体_GB2312" w:hAnsi="Times New Roman" w:eastAsia="楷体_GB2312" w:cs="Times New Roman"/>
      <w:b/>
      <w:sz w:val="28"/>
      <w:szCs w:val="20"/>
    </w:rPr>
  </w:style>
  <w:style w:type="character" w:styleId="868" w:customStyle="1">
    <w:name w:val="标题 2 字符"/>
    <w:basedOn w:val="821"/>
    <w:link w:val="813"/>
    <w:uiPriority w:val="9"/>
    <w:qFormat/>
    <w:rPr>
      <w:rFonts w:ascii="楷体_GB2312" w:hAnsi="Times New Roman" w:eastAsia="楷体_GB2312" w:cs="Times New Roman"/>
      <w:b/>
      <w:bCs/>
      <w:sz w:val="18"/>
      <w:szCs w:val="20"/>
    </w:rPr>
  </w:style>
  <w:style w:type="character" w:styleId="869" w:customStyle="1">
    <w:name w:val="列出段落 Char"/>
    <w:link w:val="825"/>
    <w:uiPriority w:val="0"/>
    <w:qFormat/>
    <w:rPr>
      <w:rFonts w:ascii="Calibri" w:hAnsi="Calibri" w:eastAsia="宋体" w:cs="Times New Roman"/>
      <w:sz w:val="24"/>
      <w:szCs w:val="22"/>
    </w:rPr>
  </w:style>
  <w:style w:type="character" w:styleId="870" w:customStyle="1">
    <w:name w:val="标题 3 字符"/>
    <w:basedOn w:val="821"/>
    <w:link w:val="814"/>
    <w:uiPriority w:val="9"/>
    <w:qFormat/>
    <w:rPr>
      <w:rFonts w:ascii="Arial" w:hAnsi="Arial"/>
      <w:b/>
      <w:bCs/>
      <w:sz w:val="24"/>
      <w:szCs w:val="24"/>
    </w:rPr>
  </w:style>
  <w:style w:type="character" w:styleId="871" w:customStyle="1">
    <w:name w:val="标题 4 字符"/>
    <w:basedOn w:val="821"/>
    <w:link w:val="815"/>
    <w:uiPriority w:val="9"/>
    <w:qFormat/>
    <w:rPr>
      <w:rFonts w:ascii="Times New Roman" w:hAnsi="Times New Roman" w:eastAsia="楷体_GB2312" w:cs="Times New Roman"/>
      <w:b/>
      <w:bCs/>
      <w:sz w:val="15"/>
    </w:rPr>
  </w:style>
  <w:style w:type="character" w:styleId="872" w:customStyle="1">
    <w:name w:val="标题 5 字符"/>
    <w:basedOn w:val="821"/>
    <w:link w:val="816"/>
    <w:uiPriority w:val="9"/>
    <w:qFormat/>
    <w:rPr>
      <w:rFonts w:ascii="楷体_GB2312" w:hAnsi="Times New Roman" w:eastAsia="楷体_GB2312" w:cs="Times New Roman"/>
      <w:bCs/>
      <w:sz w:val="28"/>
    </w:rPr>
  </w:style>
  <w:style w:type="character" w:styleId="873" w:customStyle="1">
    <w:name w:val="标题 6 字符"/>
    <w:basedOn w:val="821"/>
    <w:link w:val="817"/>
    <w:uiPriority w:val="9"/>
    <w:qFormat/>
    <w:rPr>
      <w:rFonts w:ascii="Arial" w:hAnsi="Arial" w:eastAsia="Arial" w:cs="Arial"/>
      <w:b/>
      <w:bCs/>
      <w:sz w:val="22"/>
      <w:szCs w:val="22"/>
    </w:rPr>
  </w:style>
  <w:style w:type="character" w:styleId="874" w:customStyle="1">
    <w:name w:val="标题 7 字符"/>
    <w:basedOn w:val="821"/>
    <w:link w:val="818"/>
    <w:uiPriority w:val="9"/>
    <w:qFormat/>
    <w:rPr>
      <w:rFonts w:ascii="Arial" w:hAnsi="Arial" w:eastAsia="Arial" w:cs="Arial"/>
      <w:b/>
      <w:bCs/>
      <w:i/>
      <w:iCs/>
      <w:sz w:val="22"/>
      <w:szCs w:val="22"/>
    </w:rPr>
  </w:style>
  <w:style w:type="character" w:styleId="875" w:customStyle="1">
    <w:name w:val="标题 8 字符"/>
    <w:basedOn w:val="821"/>
    <w:link w:val="819"/>
    <w:uiPriority w:val="9"/>
    <w:qFormat/>
    <w:rPr>
      <w:rFonts w:ascii="Arial" w:hAnsi="Arial" w:eastAsia="Arial" w:cs="Arial"/>
      <w:i/>
      <w:iCs/>
      <w:sz w:val="22"/>
      <w:szCs w:val="22"/>
    </w:rPr>
  </w:style>
  <w:style w:type="character" w:styleId="876" w:customStyle="1">
    <w:name w:val="标题 9 字符"/>
    <w:basedOn w:val="821"/>
    <w:link w:val="820"/>
    <w:uiPriority w:val="9"/>
    <w:qFormat/>
    <w:rPr>
      <w:rFonts w:ascii="Arial" w:hAnsi="Arial" w:eastAsia="Arial" w:cs="Arial"/>
      <w:i/>
      <w:iCs/>
      <w:sz w:val="21"/>
      <w:szCs w:val="21"/>
    </w:rPr>
  </w:style>
  <w:style w:type="character" w:styleId="877" w:customStyle="1">
    <w:name w:val="文档结构图 字符"/>
    <w:basedOn w:val="821"/>
    <w:link w:val="829"/>
    <w:uiPriority w:val="99"/>
    <w:semiHidden/>
    <w:qFormat/>
    <w:rPr>
      <w:rFonts w:ascii="Times New Roman" w:hAnsi="Times New Roman" w:eastAsia="宋体" w:cs="Times New Roman"/>
      <w:sz w:val="20"/>
      <w:szCs w:val="20"/>
      <w:shd w:val="clear" w:color="auto" w:fill="000080"/>
    </w:rPr>
  </w:style>
  <w:style w:type="character" w:styleId="878" w:customStyle="1">
    <w:name w:val="批注文字 字符"/>
    <w:basedOn w:val="821"/>
    <w:link w:val="830"/>
    <w:uiPriority w:val="99"/>
    <w:semiHidden/>
    <w:qFormat/>
  </w:style>
  <w:style w:type="character" w:styleId="879" w:customStyle="1">
    <w:name w:val="正文文本缩进 字符"/>
    <w:basedOn w:val="821"/>
    <w:link w:val="831"/>
    <w:uiPriority w:val="99"/>
    <w:qFormat/>
    <w:rPr>
      <w:rFonts w:ascii="Times New Roman" w:hAnsi="Times New Roman" w:eastAsia="宋体" w:cs="Times New Roman"/>
      <w:b/>
      <w:sz w:val="30"/>
      <w:szCs w:val="20"/>
    </w:rPr>
  </w:style>
  <w:style w:type="character" w:styleId="880" w:customStyle="1">
    <w:name w:val="日期 字符"/>
    <w:basedOn w:val="821"/>
    <w:link w:val="837"/>
    <w:uiPriority w:val="99"/>
    <w:qFormat/>
    <w:rPr>
      <w:rFonts w:ascii="Times New Roman" w:hAnsi="Times New Roman" w:eastAsia="黑体" w:cs="Times New Roman"/>
      <w:b/>
      <w:sz w:val="36"/>
      <w:szCs w:val="20"/>
    </w:rPr>
  </w:style>
  <w:style w:type="character" w:styleId="881" w:customStyle="1">
    <w:name w:val="正文文本缩进 2 字符"/>
    <w:basedOn w:val="821"/>
    <w:link w:val="838"/>
    <w:uiPriority w:val="99"/>
    <w:qFormat/>
    <w:rPr>
      <w:rFonts w:ascii="楷体_GB2312" w:hAnsi="Times New Roman" w:eastAsia="楷体_GB2312" w:cs="Times New Roman"/>
      <w:b/>
      <w:sz w:val="28"/>
      <w:szCs w:val="20"/>
    </w:rPr>
  </w:style>
  <w:style w:type="character" w:styleId="882" w:customStyle="1">
    <w:name w:val="尾注文本 字符"/>
    <w:basedOn w:val="821"/>
    <w:link w:val="839"/>
    <w:uiPriority w:val="99"/>
    <w:qFormat/>
    <w:rPr>
      <w:rFonts w:ascii="Times New Roman" w:hAnsi="Times New Roman" w:eastAsia="宋体" w:cs="Times New Roman"/>
      <w:szCs w:val="21"/>
    </w:rPr>
  </w:style>
  <w:style w:type="character" w:styleId="883" w:customStyle="1">
    <w:name w:val="批注框文本 字符"/>
    <w:basedOn w:val="821"/>
    <w:link w:val="840"/>
    <w:uiPriority w:val="99"/>
    <w:semiHidden/>
    <w:qFormat/>
    <w:rPr>
      <w:rFonts w:ascii="Times New Roman" w:hAnsi="Times New Roman" w:eastAsia="宋体" w:cs="Times New Roman"/>
      <w:sz w:val="18"/>
      <w:szCs w:val="18"/>
    </w:rPr>
  </w:style>
  <w:style w:type="character" w:styleId="884" w:customStyle="1">
    <w:name w:val="页脚 字符"/>
    <w:basedOn w:val="821"/>
    <w:link w:val="841"/>
    <w:uiPriority w:val="99"/>
    <w:qFormat/>
    <w:rPr>
      <w:rFonts w:ascii="Times New Roman" w:hAnsi="Times New Roman" w:eastAsia="宋体" w:cs="Times New Roman"/>
      <w:sz w:val="18"/>
      <w:szCs w:val="20"/>
    </w:rPr>
  </w:style>
  <w:style w:type="character" w:styleId="885" w:customStyle="1">
    <w:name w:val="页眉 字符"/>
    <w:basedOn w:val="821"/>
    <w:link w:val="842"/>
    <w:uiPriority w:val="99"/>
    <w:qFormat/>
    <w:rPr>
      <w:rFonts w:ascii="Times New Roman" w:hAnsi="Times New Roman" w:eastAsia="宋体" w:cs="Times New Roman"/>
      <w:sz w:val="18"/>
      <w:szCs w:val="20"/>
    </w:rPr>
  </w:style>
  <w:style w:type="character" w:styleId="886" w:customStyle="1">
    <w:name w:val="副标题 字符"/>
    <w:link w:val="845"/>
    <w:uiPriority w:val="11"/>
    <w:qFormat/>
    <w:rPr>
      <w:rFonts w:ascii="Arial" w:hAnsi="Arial"/>
      <w:b/>
      <w:bCs/>
      <w:sz w:val="32"/>
      <w:szCs w:val="32"/>
    </w:rPr>
  </w:style>
  <w:style w:type="character" w:styleId="887" w:customStyle="1">
    <w:name w:val="脚注文本 字符"/>
    <w:basedOn w:val="821"/>
    <w:link w:val="847"/>
    <w:uiPriority w:val="99"/>
    <w:qFormat/>
    <w:rPr>
      <w:rFonts w:ascii="Times New Roman" w:hAnsi="Times New Roman" w:eastAsia="宋体" w:cs="Times New Roman"/>
      <w:sz w:val="18"/>
      <w:szCs w:val="21"/>
    </w:rPr>
  </w:style>
  <w:style w:type="character" w:styleId="888" w:customStyle="1">
    <w:name w:val="正文文本缩进 3 字符"/>
    <w:basedOn w:val="821"/>
    <w:link w:val="849"/>
    <w:uiPriority w:val="99"/>
    <w:qFormat/>
    <w:rPr>
      <w:rFonts w:ascii="Times New Roman" w:hAnsi="Times New Roman" w:eastAsia="宋体" w:cs="Times New Roman"/>
      <w:sz w:val="20"/>
      <w:szCs w:val="20"/>
    </w:rPr>
  </w:style>
  <w:style w:type="character" w:styleId="889" w:customStyle="1">
    <w:name w:val="正文文本 2 字符"/>
    <w:basedOn w:val="821"/>
    <w:link w:val="853"/>
    <w:uiPriority w:val="99"/>
    <w:qFormat/>
    <w:rPr>
      <w:rFonts w:ascii="Times New Roman" w:hAnsi="Times New Roman" w:eastAsia="宋体" w:cs="Times New Roman"/>
      <w:sz w:val="20"/>
      <w:szCs w:val="20"/>
    </w:rPr>
  </w:style>
  <w:style w:type="character" w:styleId="890" w:customStyle="1">
    <w:name w:val="标题 字符"/>
    <w:basedOn w:val="821"/>
    <w:link w:val="855"/>
    <w:uiPriority w:val="10"/>
    <w:qFormat/>
    <w:rPr>
      <w:rFonts w:ascii="Times New Roman" w:hAnsi="Times New Roman" w:eastAsia="宋体" w:cs="Times New Roman"/>
      <w:sz w:val="48"/>
      <w:szCs w:val="48"/>
    </w:rPr>
  </w:style>
  <w:style w:type="character" w:styleId="891" w:customStyle="1">
    <w:name w:val="批注主题 字符"/>
    <w:basedOn w:val="878"/>
    <w:link w:val="856"/>
    <w:uiPriority w:val="99"/>
    <w:semiHidden/>
    <w:qFormat/>
    <w:rPr>
      <w:b/>
      <w:bCs/>
    </w:rPr>
  </w:style>
  <w:style w:type="paragraph" w:styleId="892" w:customStyle="1">
    <w:name w:val="目录 7111"/>
    <w:basedOn w:val="811"/>
    <w:next w:val="811"/>
    <w:uiPriority w:val="39"/>
    <w:unhideWhenUsed/>
    <w:qFormat/>
    <w:pPr>
      <w:ind w:left="1701"/>
      <w:spacing w:after="57"/>
    </w:pPr>
    <w:rPr>
      <w:rFonts w:ascii="Times New Roman" w:hAnsi="Times New Roman" w:eastAsia="宋体"/>
      <w:szCs w:val="21"/>
    </w:rPr>
  </w:style>
  <w:style w:type="paragraph" w:styleId="893" w:customStyle="1">
    <w:name w:val="目录 5111"/>
    <w:basedOn w:val="811"/>
    <w:next w:val="811"/>
    <w:uiPriority w:val="39"/>
    <w:unhideWhenUsed/>
    <w:qFormat/>
    <w:pPr>
      <w:ind w:left="1134"/>
      <w:spacing w:after="57"/>
    </w:pPr>
    <w:rPr>
      <w:rFonts w:ascii="Times New Roman" w:hAnsi="Times New Roman" w:eastAsia="宋体"/>
      <w:szCs w:val="21"/>
    </w:rPr>
  </w:style>
  <w:style w:type="paragraph" w:styleId="894" w:customStyle="1">
    <w:name w:val="目录 3111"/>
    <w:basedOn w:val="811"/>
    <w:next w:val="811"/>
    <w:uiPriority w:val="39"/>
    <w:unhideWhenUsed/>
    <w:qFormat/>
    <w:pPr>
      <w:ind w:left="567"/>
      <w:spacing w:after="57"/>
    </w:pPr>
    <w:rPr>
      <w:rFonts w:ascii="Times New Roman" w:hAnsi="Times New Roman" w:eastAsia="宋体"/>
      <w:szCs w:val="21"/>
    </w:rPr>
  </w:style>
  <w:style w:type="paragraph" w:styleId="895" w:customStyle="1">
    <w:name w:val="目录 8111"/>
    <w:basedOn w:val="811"/>
    <w:next w:val="811"/>
    <w:uiPriority w:val="39"/>
    <w:unhideWhenUsed/>
    <w:qFormat/>
    <w:pPr>
      <w:ind w:left="1984"/>
      <w:spacing w:after="57"/>
    </w:pPr>
    <w:rPr>
      <w:rFonts w:ascii="Times New Roman" w:hAnsi="Times New Roman" w:eastAsia="宋体"/>
      <w:szCs w:val="21"/>
    </w:rPr>
  </w:style>
  <w:style w:type="paragraph" w:styleId="896" w:customStyle="1">
    <w:name w:val="目录 1112"/>
    <w:basedOn w:val="811"/>
    <w:next w:val="811"/>
    <w:uiPriority w:val="39"/>
    <w:unhideWhenUsed/>
    <w:qFormat/>
    <w:pPr>
      <w:spacing w:after="57"/>
    </w:pPr>
    <w:rPr>
      <w:rFonts w:ascii="Times New Roman" w:hAnsi="Times New Roman" w:eastAsia="宋体"/>
      <w:szCs w:val="21"/>
    </w:rPr>
  </w:style>
  <w:style w:type="paragraph" w:styleId="897" w:customStyle="1">
    <w:name w:val="目录 4111"/>
    <w:basedOn w:val="811"/>
    <w:next w:val="811"/>
    <w:uiPriority w:val="39"/>
    <w:unhideWhenUsed/>
    <w:qFormat/>
    <w:pPr>
      <w:ind w:left="850"/>
      <w:spacing w:after="57"/>
    </w:pPr>
    <w:rPr>
      <w:rFonts w:ascii="Times New Roman" w:hAnsi="Times New Roman" w:eastAsia="宋体"/>
      <w:szCs w:val="21"/>
    </w:rPr>
  </w:style>
  <w:style w:type="paragraph" w:styleId="898" w:customStyle="1">
    <w:name w:val="目录 6111"/>
    <w:basedOn w:val="811"/>
    <w:next w:val="811"/>
    <w:uiPriority w:val="39"/>
    <w:unhideWhenUsed/>
    <w:qFormat/>
    <w:pPr>
      <w:ind w:left="1417"/>
      <w:spacing w:after="57"/>
    </w:pPr>
    <w:rPr>
      <w:rFonts w:ascii="Times New Roman" w:hAnsi="Times New Roman" w:eastAsia="宋体"/>
      <w:szCs w:val="21"/>
    </w:rPr>
  </w:style>
  <w:style w:type="paragraph" w:styleId="899" w:customStyle="1">
    <w:name w:val="目录 2111"/>
    <w:basedOn w:val="811"/>
    <w:next w:val="811"/>
    <w:uiPriority w:val="39"/>
    <w:unhideWhenUsed/>
    <w:qFormat/>
    <w:pPr>
      <w:ind w:left="283"/>
      <w:spacing w:after="57"/>
    </w:pPr>
    <w:rPr>
      <w:rFonts w:ascii="Times New Roman" w:hAnsi="Times New Roman" w:eastAsia="宋体"/>
      <w:szCs w:val="21"/>
    </w:rPr>
  </w:style>
  <w:style w:type="paragraph" w:styleId="900" w:customStyle="1">
    <w:name w:val="目录 9111"/>
    <w:basedOn w:val="811"/>
    <w:next w:val="811"/>
    <w:uiPriority w:val="39"/>
    <w:unhideWhenUsed/>
    <w:qFormat/>
    <w:pPr>
      <w:ind w:left="2268"/>
      <w:spacing w:after="57"/>
    </w:pPr>
    <w:rPr>
      <w:rFonts w:ascii="Times New Roman" w:hAnsi="Times New Roman" w:eastAsia="宋体"/>
      <w:szCs w:val="21"/>
    </w:rPr>
  </w:style>
  <w:style w:type="paragraph" w:styleId="901" w:customStyle="1">
    <w:name w:val="正文首行缩进11"/>
    <w:basedOn w:val="823"/>
    <w:uiPriority w:val="99"/>
    <w:unhideWhenUsed/>
    <w:qFormat/>
    <w:pPr>
      <w:ind w:firstLine="420"/>
      <w:spacing w:after="120"/>
    </w:pPr>
    <w:rPr>
      <w:rFonts w:ascii="Calibri" w:hAnsi="Calibri" w:eastAsia="宋体"/>
      <w:sz w:val="21"/>
      <w:szCs w:val="22"/>
    </w:rPr>
  </w:style>
  <w:style w:type="paragraph" w:styleId="902" w:customStyle="1">
    <w:name w:val="正文首行缩进 211"/>
    <w:basedOn w:val="831"/>
    <w:next w:val="811"/>
    <w:link w:val="903"/>
    <w:uiPriority w:val="99"/>
    <w:unhideWhenUsed/>
    <w:qFormat/>
    <w:pPr>
      <w:ind w:left="420" w:firstLine="420"/>
      <w:spacing w:after="120"/>
    </w:pPr>
    <w:rPr>
      <w:rFonts w:ascii="Calibri" w:hAnsi="Calibri" w:eastAsia="Arial"/>
      <w:b w:val="0"/>
      <w:sz w:val="21"/>
      <w:szCs w:val="22"/>
    </w:rPr>
  </w:style>
  <w:style w:type="character" w:styleId="903" w:customStyle="1">
    <w:name w:val="正文首行缩进 2 Char1"/>
    <w:basedOn w:val="879"/>
    <w:link w:val="902"/>
    <w:uiPriority w:val="99"/>
    <w:semiHidden/>
    <w:qFormat/>
    <w:rPr>
      <w:rFonts w:ascii="Times New Roman" w:hAnsi="Times New Roman" w:eastAsia="宋体" w:cs="Times New Roman"/>
      <w:b w:val="0"/>
      <w:sz w:val="21"/>
      <w:szCs w:val="22"/>
    </w:rPr>
  </w:style>
  <w:style w:type="character" w:styleId="904" w:customStyle="1">
    <w:name w:val="已访问的超链接11"/>
    <w:uiPriority w:val="99"/>
    <w:unhideWhenUsed/>
    <w:qFormat/>
    <w:rPr>
      <w:color w:val="800080"/>
      <w:u w:val="single"/>
    </w:rPr>
  </w:style>
  <w:style w:type="character" w:styleId="905" w:customStyle="1">
    <w:name w:val="批注引用1"/>
    <w:uiPriority w:val="0"/>
    <w:semiHidden/>
    <w:qFormat/>
    <w:rPr>
      <w:rFonts w:ascii="Calibri" w:hAnsi="Calibri" w:eastAsia="Arial" w:cs="Times New Roman"/>
      <w:sz w:val="21"/>
      <w:szCs w:val="22"/>
    </w:rPr>
  </w:style>
  <w:style w:type="paragraph" w:styleId="906" w:customStyle="1">
    <w:name w:val="段"/>
    <w:next w:val="811"/>
    <w:uiPriority w:val="0"/>
    <w:qFormat/>
    <w:pPr>
      <w:ind w:firstLine="200"/>
      <w:jc w:val="both"/>
    </w:pPr>
    <w:rPr>
      <w:rFonts w:hint="default" w:ascii="宋体" w:hAnsi="Times New Roman" w:eastAsia="宋体" w:cs="Times New Roman"/>
      <w:sz w:val="21"/>
      <w:lang w:val="en-US" w:eastAsia="zh-CN" w:bidi="ar-SA"/>
    </w:rPr>
  </w:style>
  <w:style w:type="paragraph" w:styleId="907" w:customStyle="1">
    <w:name w:val="TOC Heading"/>
    <w:uiPriority w:val="39"/>
    <w:unhideWhenUsed/>
    <w:qFormat/>
    <w:rPr>
      <w:rFonts w:hint="default" w:ascii="Calibri" w:hAnsi="Calibri" w:eastAsia="Arial" w:cs="Times New Roman"/>
      <w:lang w:val="en-US" w:eastAsia="zh-CN" w:bidi="ar-SA"/>
    </w:rPr>
  </w:style>
  <w:style w:type="paragraph" w:styleId="908" w:customStyle="1">
    <w:name w:val="font5"/>
    <w:basedOn w:val="811"/>
    <w:uiPriority w:val="0"/>
    <w:qFormat/>
    <w:pPr>
      <w:jc w:val="left"/>
      <w:spacing w:before="100" w:beforeAutospacing="1" w:after="100" w:afterAutospacing="1"/>
      <w:widowControl/>
    </w:pPr>
    <w:rPr>
      <w:rFonts w:ascii="宋体" w:hAnsi="宋体" w:eastAsia="宋体"/>
      <w:sz w:val="18"/>
      <w:szCs w:val="18"/>
    </w:rPr>
  </w:style>
  <w:style w:type="paragraph" w:styleId="909" w:customStyle="1">
    <w:name w:val="font6"/>
    <w:basedOn w:val="811"/>
    <w:uiPriority w:val="0"/>
    <w:qFormat/>
    <w:pPr>
      <w:jc w:val="left"/>
      <w:spacing w:before="100" w:beforeAutospacing="1" w:after="100" w:afterAutospacing="1"/>
      <w:widowControl/>
    </w:pPr>
    <w:rPr>
      <w:rFonts w:ascii="宋体" w:hAnsi="宋体" w:eastAsia="宋体"/>
      <w:b/>
      <w:bCs/>
      <w:sz w:val="20"/>
      <w:szCs w:val="20"/>
    </w:rPr>
  </w:style>
  <w:style w:type="paragraph" w:styleId="910" w:customStyle="1">
    <w:name w:val="font7"/>
    <w:basedOn w:val="811"/>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911" w:customStyle="1">
    <w:name w:val="font8"/>
    <w:basedOn w:val="811"/>
    <w:uiPriority w:val="99"/>
    <w:qFormat/>
    <w:pPr>
      <w:jc w:val="left"/>
      <w:spacing w:before="100" w:beforeAutospacing="1" w:after="100" w:afterAutospacing="1"/>
      <w:widowControl/>
    </w:pPr>
    <w:rPr>
      <w:rFonts w:ascii="宋体" w:hAnsi="宋体" w:eastAsia="宋体"/>
      <w:b/>
      <w:bCs/>
      <w:i/>
      <w:iCs/>
      <w:sz w:val="20"/>
      <w:szCs w:val="20"/>
    </w:rPr>
  </w:style>
  <w:style w:type="paragraph" w:styleId="912" w:customStyle="1">
    <w:name w:val="font9"/>
    <w:basedOn w:val="811"/>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913" w:customStyle="1">
    <w:name w:val="xl24"/>
    <w:basedOn w:val="8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14" w:customStyle="1">
    <w:name w:val="xl25"/>
    <w:basedOn w:val="8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15" w:customStyle="1">
    <w:name w:val="xl26"/>
    <w:basedOn w:val="8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16" w:customStyle="1">
    <w:name w:val="xl27"/>
    <w:basedOn w:val="8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17" w:customStyle="1">
    <w:name w:val="xl28"/>
    <w:basedOn w:val="8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18" w:customStyle="1">
    <w:name w:val="xl29"/>
    <w:basedOn w:val="8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19" w:customStyle="1">
    <w:name w:val="xl30"/>
    <w:basedOn w:val="8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20" w:customStyle="1">
    <w:name w:val="xl31"/>
    <w:basedOn w:val="81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21" w:customStyle="1">
    <w:name w:val="xl32"/>
    <w:basedOn w:val="81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22" w:customStyle="1">
    <w:name w:val="xl33"/>
    <w:basedOn w:val="81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23" w:customStyle="1">
    <w:name w:val="xl34"/>
    <w:basedOn w:val="81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24" w:customStyle="1">
    <w:name w:val="xl35"/>
    <w:basedOn w:val="81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25" w:customStyle="1">
    <w:name w:val="xl36"/>
    <w:basedOn w:val="81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26" w:customStyle="1">
    <w:name w:val="xl37"/>
    <w:basedOn w:val="81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27" w:customStyle="1">
    <w:name w:val="xl38"/>
    <w:basedOn w:val="81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28" w:customStyle="1">
    <w:name w:val="xl39"/>
    <w:basedOn w:val="81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929" w:customStyle="1">
    <w:name w:val="xl40"/>
    <w:basedOn w:val="81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30" w:customStyle="1">
    <w:name w:val="xl41"/>
    <w:basedOn w:val="81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31" w:customStyle="1">
    <w:name w:val="xl42"/>
    <w:basedOn w:val="81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32" w:customStyle="1">
    <w:name w:val="xl43"/>
    <w:basedOn w:val="81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933" w:customStyle="1">
    <w:name w:val="xl44"/>
    <w:basedOn w:val="811"/>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934" w:customStyle="1">
    <w:name w:val="xl45"/>
    <w:basedOn w:val="811"/>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935" w:customStyle="1">
    <w:name w:val="xl46"/>
    <w:basedOn w:val="811"/>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936" w:customStyle="1">
    <w:name w:val="xl47"/>
    <w:basedOn w:val="81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937" w:customStyle="1">
    <w:name w:val="xl48"/>
    <w:basedOn w:val="811"/>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938" w:customStyle="1">
    <w:name w:val="xl49"/>
    <w:basedOn w:val="811"/>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939" w:customStyle="1">
    <w:name w:val="xl50"/>
    <w:basedOn w:val="81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40" w:customStyle="1">
    <w:name w:val="xl51"/>
    <w:basedOn w:val="811"/>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41" w:customStyle="1">
    <w:name w:val="xl52"/>
    <w:basedOn w:val="811"/>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42" w:customStyle="1">
    <w:name w:val="xl53"/>
    <w:basedOn w:val="811"/>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43" w:customStyle="1">
    <w:name w:val="xl54"/>
    <w:basedOn w:val="811"/>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944" w:customStyle="1">
    <w:name w:val="xl55"/>
    <w:basedOn w:val="811"/>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945" w:customStyle="1">
    <w:name w:val="xl56"/>
    <w:basedOn w:val="811"/>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46" w:customStyle="1">
    <w:name w:val="xl57"/>
    <w:basedOn w:val="811"/>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947" w:customStyle="1">
    <w:name w:val="xl58"/>
    <w:basedOn w:val="811"/>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948" w:customStyle="1">
    <w:name w:val="xl59"/>
    <w:basedOn w:val="81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49" w:customStyle="1">
    <w:name w:val="xl60"/>
    <w:basedOn w:val="811"/>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50" w:customStyle="1">
    <w:name w:val="xl61"/>
    <w:basedOn w:val="811"/>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51" w:customStyle="1">
    <w:name w:val="xl62"/>
    <w:basedOn w:val="811"/>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52" w:customStyle="1">
    <w:name w:val="xl63"/>
    <w:basedOn w:val="811"/>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53" w:customStyle="1">
    <w:name w:val="font10"/>
    <w:basedOn w:val="811"/>
    <w:uiPriority w:val="99"/>
    <w:qFormat/>
    <w:pPr>
      <w:jc w:val="left"/>
      <w:spacing w:before="100" w:beforeAutospacing="1" w:after="100" w:afterAutospacing="1"/>
      <w:widowControl/>
    </w:pPr>
    <w:rPr>
      <w:rFonts w:ascii="楷体_GB2312" w:hAnsi="宋体" w:eastAsia="楷体_GB2312"/>
      <w:b/>
      <w:bCs/>
      <w:sz w:val="18"/>
      <w:szCs w:val="18"/>
    </w:rPr>
  </w:style>
  <w:style w:type="paragraph" w:styleId="954" w:customStyle="1">
    <w:name w:val="font11"/>
    <w:basedOn w:val="811"/>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955" w:customStyle="1">
    <w:name w:val="font12"/>
    <w:basedOn w:val="811"/>
    <w:uiPriority w:val="99"/>
    <w:qFormat/>
    <w:pPr>
      <w:jc w:val="left"/>
      <w:spacing w:before="100" w:beforeAutospacing="1" w:after="100" w:afterAutospacing="1"/>
      <w:widowControl/>
    </w:pPr>
    <w:rPr>
      <w:rFonts w:ascii="宋体" w:hAnsi="宋体" w:eastAsia="宋体"/>
      <w:sz w:val="36"/>
      <w:szCs w:val="36"/>
    </w:rPr>
  </w:style>
  <w:style w:type="paragraph" w:styleId="956" w:customStyle="1">
    <w:name w:val="font13"/>
    <w:basedOn w:val="811"/>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957" w:customStyle="1">
    <w:name w:val="font14"/>
    <w:basedOn w:val="811"/>
    <w:uiPriority w:val="99"/>
    <w:qFormat/>
    <w:pPr>
      <w:jc w:val="left"/>
      <w:spacing w:before="100" w:beforeAutospacing="1" w:after="100" w:afterAutospacing="1"/>
      <w:widowControl/>
    </w:pPr>
    <w:rPr>
      <w:rFonts w:ascii="Times New Roman" w:hAnsi="Times New Roman" w:eastAsia="宋体"/>
      <w:sz w:val="36"/>
      <w:szCs w:val="36"/>
    </w:rPr>
  </w:style>
  <w:style w:type="character" w:styleId="958" w:customStyle="1">
    <w:name w:val="case31"/>
    <w:uiPriority w:val="99"/>
    <w:qFormat/>
    <w:rPr>
      <w:rFonts w:cs="Times New Roman"/>
      <w:spacing w:val="390"/>
      <w:sz w:val="21"/>
      <w:szCs w:val="21"/>
    </w:rPr>
  </w:style>
  <w:style w:type="paragraph" w:styleId="959" w:customStyle="1">
    <w:name w:val="普通文字"/>
    <w:basedOn w:val="811"/>
    <w:next w:val="811"/>
    <w:uiPriority w:val="99"/>
    <w:qFormat/>
    <w:rPr>
      <w:rFonts w:ascii="宋体" w:hAnsi="Times New Roman" w:eastAsia="宋体"/>
      <w:sz w:val="24"/>
      <w:szCs w:val="20"/>
    </w:rPr>
  </w:style>
  <w:style w:type="paragraph" w:styleId="960" w:customStyle="1">
    <w:name w:val="默认段落字体 Para Char"/>
    <w:basedOn w:val="811"/>
    <w:uiPriority w:val="99"/>
    <w:qFormat/>
    <w:pPr>
      <w:ind w:left="552" w:hanging="420"/>
      <w:tabs>
        <w:tab w:val="left" w:pos="552" w:leader="none"/>
      </w:tabs>
    </w:pPr>
    <w:rPr>
      <w:rFonts w:ascii="Times New Roman" w:hAnsi="Times New Roman" w:eastAsia="宋体"/>
      <w:sz w:val="24"/>
      <w:szCs w:val="24"/>
    </w:rPr>
  </w:style>
  <w:style w:type="paragraph" w:styleId="961" w:customStyle="1">
    <w:name w:val="Char Char Char Char"/>
    <w:basedOn w:val="829"/>
    <w:uiPriority w:val="0"/>
    <w:qFormat/>
    <w:pPr>
      <w:spacing w:line="360" w:lineRule="auto"/>
    </w:pPr>
    <w:rPr>
      <w:rFonts w:ascii="Tahoma" w:hAnsi="Tahoma"/>
      <w:sz w:val="24"/>
      <w:szCs w:val="24"/>
    </w:rPr>
  </w:style>
  <w:style w:type="paragraph" w:styleId="962" w:customStyle="1">
    <w:name w:val="Char Char1 Char Char Char Char"/>
    <w:basedOn w:val="829"/>
    <w:uiPriority w:val="99"/>
    <w:qFormat/>
    <w:pPr>
      <w:ind w:left="357"/>
      <w:jc w:val="left"/>
      <w:spacing w:line="436" w:lineRule="exact"/>
      <w:outlineLvl w:val="3"/>
    </w:pPr>
    <w:rPr>
      <w:rFonts w:ascii="Tahoma" w:hAnsi="Tahoma"/>
      <w:b/>
      <w:sz w:val="24"/>
      <w:szCs w:val="24"/>
    </w:rPr>
  </w:style>
  <w:style w:type="paragraph" w:styleId="963">
    <w:name w:val="List Paragraph"/>
    <w:basedOn w:val="811"/>
    <w:uiPriority w:val="34"/>
    <w:qFormat/>
    <w:pPr>
      <w:numPr>
        <w:ilvl w:val="0"/>
        <w:numId w:val="2"/>
      </w:numPr>
      <w:spacing w:line="360" w:lineRule="auto"/>
    </w:pPr>
    <w:rPr>
      <w:rFonts w:ascii="Arial" w:hAnsi="Arial" w:eastAsia="宋体" w:cs="宋体"/>
      <w:b/>
      <w:sz w:val="24"/>
      <w:szCs w:val="20"/>
    </w:rPr>
  </w:style>
  <w:style w:type="paragraph" w:styleId="964" w:customStyle="1">
    <w:name w:val="修订1"/>
    <w:uiPriority w:val="99"/>
    <w:semiHidden/>
    <w:qFormat/>
    <w:rPr>
      <w:rFonts w:hint="default" w:ascii="Times New Roman" w:hAnsi="Times New Roman" w:eastAsia="宋体" w:cs="Times New Roman"/>
      <w:sz w:val="21"/>
      <w:lang w:val="en-US" w:eastAsia="zh-CN" w:bidi="ar-SA"/>
    </w:rPr>
  </w:style>
  <w:style w:type="paragraph" w:styleId="965" w:customStyle="1">
    <w:name w:val="列表段落1"/>
    <w:basedOn w:val="811"/>
    <w:uiPriority w:val="34"/>
    <w:qFormat/>
    <w:pPr>
      <w:ind w:firstLine="420"/>
    </w:pPr>
  </w:style>
  <w:style w:type="paragraph" w:styleId="966" w:customStyle="1">
    <w:name w:val="样式 小四 段前: 5 磅 段后: 5 磅 首行缩进:  2 字符"/>
    <w:basedOn w:val="811"/>
    <w:uiPriority w:val="0"/>
    <w:qFormat/>
    <w:pPr>
      <w:spacing w:line="360" w:lineRule="auto"/>
    </w:pPr>
    <w:rPr>
      <w:rFonts w:ascii="宋体" w:hAnsi="宋体"/>
      <w:szCs w:val="21"/>
    </w:rPr>
  </w:style>
  <w:style w:type="table" w:styleId="967" w:customStyle="1">
    <w:name w:val="网格型1"/>
    <w:basedOn w:val="822"/>
    <w:uiPriority w:val="59"/>
    <w:qFormat/>
    <w:tblPr/>
  </w:style>
  <w:style w:type="table" w:styleId="968" w:customStyle="1">
    <w:name w:val="网格型2"/>
    <w:basedOn w:val="822"/>
    <w:uiPriority w:val="39"/>
    <w:qFormat/>
    <w:tblPr/>
  </w:style>
  <w:style w:type="table" w:styleId="969" w:customStyle="1">
    <w:name w:val="网格型3"/>
    <w:basedOn w:val="822"/>
    <w:uiPriority w:val="39"/>
    <w:qFormat/>
    <w:tblPr/>
  </w:style>
  <w:style w:type="table" w:styleId="970" w:customStyle="1">
    <w:name w:val="网格型4"/>
    <w:basedOn w:val="822"/>
    <w:uiPriority w:val="39"/>
    <w:qFormat/>
    <w:tblPr/>
  </w:style>
  <w:style w:type="paragraph" w:styleId="971" w:customStyle="1">
    <w:name w:val="List Paragraph1"/>
    <w:basedOn w:val="811"/>
    <w:uiPriority w:val="0"/>
    <w:qFormat/>
    <w:pPr>
      <w:ind w:firstLine="420"/>
    </w:pPr>
    <w:rPr>
      <w:szCs w:val="21"/>
    </w:rPr>
  </w:style>
  <w:style w:type="paragraph" w:styleId="972" w:customStyle="1">
    <w:name w:val="标题 31"/>
    <w:basedOn w:val="811"/>
    <w:next w:val="811"/>
    <w:link w:val="973"/>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73" w:customStyle="1">
    <w:name w:val="标题 3 Char"/>
    <w:link w:val="972"/>
    <w:uiPriority w:val="0"/>
    <w:qFormat/>
    <w:rPr>
      <w:rFonts w:ascii="Times New Roman" w:hAnsi="Times New Roman" w:eastAsia="宋体" w:cs="Times New Roman"/>
      <w:b/>
      <w:bCs/>
      <w:sz w:val="32"/>
      <w:szCs w:val="32"/>
      <w:lang w:eastAsia="en-US"/>
    </w:rPr>
  </w:style>
  <w:style w:type="character" w:styleId="974" w:customStyle="1">
    <w:name w:val="Heading 1 Char"/>
    <w:uiPriority w:val="9"/>
    <w:qFormat/>
    <w:rPr>
      <w:rFonts w:ascii="Arial" w:hAnsi="Arial" w:eastAsia="Arial" w:cs="Arial"/>
      <w:sz w:val="40"/>
      <w:szCs w:val="40"/>
    </w:rPr>
  </w:style>
  <w:style w:type="character" w:styleId="975" w:customStyle="1">
    <w:name w:val="Heading 2 Char"/>
    <w:uiPriority w:val="9"/>
    <w:qFormat/>
    <w:rPr>
      <w:rFonts w:ascii="Arial" w:hAnsi="Arial" w:eastAsia="Arial" w:cs="Arial"/>
      <w:sz w:val="34"/>
    </w:rPr>
  </w:style>
  <w:style w:type="character" w:styleId="976" w:customStyle="1">
    <w:name w:val="Heading 3 Char"/>
    <w:uiPriority w:val="9"/>
    <w:qFormat/>
    <w:rPr>
      <w:rFonts w:ascii="Arial" w:hAnsi="Arial" w:eastAsia="Arial" w:cs="Arial"/>
      <w:sz w:val="30"/>
      <w:szCs w:val="30"/>
    </w:rPr>
  </w:style>
  <w:style w:type="character" w:styleId="977" w:customStyle="1">
    <w:name w:val="Heading 4 Char"/>
    <w:uiPriority w:val="9"/>
    <w:qFormat/>
    <w:rPr>
      <w:rFonts w:ascii="Arial" w:hAnsi="Arial" w:eastAsia="Arial" w:cs="Arial"/>
      <w:b/>
      <w:bCs/>
      <w:sz w:val="26"/>
      <w:szCs w:val="26"/>
    </w:rPr>
  </w:style>
  <w:style w:type="character" w:styleId="978" w:customStyle="1">
    <w:name w:val="Heading 5 Char"/>
    <w:uiPriority w:val="9"/>
    <w:qFormat/>
    <w:rPr>
      <w:rFonts w:ascii="Arial" w:hAnsi="Arial" w:eastAsia="Arial" w:cs="Arial"/>
      <w:b/>
      <w:bCs/>
      <w:sz w:val="24"/>
      <w:szCs w:val="24"/>
    </w:rPr>
  </w:style>
  <w:style w:type="character" w:styleId="979" w:customStyle="1">
    <w:name w:val="Heading 6 Char"/>
    <w:uiPriority w:val="9"/>
    <w:qFormat/>
    <w:rPr>
      <w:rFonts w:ascii="Arial" w:hAnsi="Arial" w:eastAsia="Arial" w:cs="Arial"/>
      <w:b/>
      <w:bCs/>
      <w:sz w:val="22"/>
      <w:szCs w:val="22"/>
    </w:rPr>
  </w:style>
  <w:style w:type="character" w:styleId="980" w:customStyle="1">
    <w:name w:val="Heading 7 Char"/>
    <w:uiPriority w:val="9"/>
    <w:qFormat/>
    <w:rPr>
      <w:rFonts w:ascii="Arial" w:hAnsi="Arial" w:eastAsia="Arial" w:cs="Arial"/>
      <w:b/>
      <w:bCs/>
      <w:i/>
      <w:iCs/>
      <w:sz w:val="22"/>
      <w:szCs w:val="22"/>
    </w:rPr>
  </w:style>
  <w:style w:type="character" w:styleId="981" w:customStyle="1">
    <w:name w:val="Heading 8 Char"/>
    <w:uiPriority w:val="9"/>
    <w:qFormat/>
    <w:rPr>
      <w:rFonts w:ascii="Arial" w:hAnsi="Arial" w:eastAsia="Arial" w:cs="Arial"/>
      <w:i/>
      <w:iCs/>
      <w:sz w:val="22"/>
      <w:szCs w:val="22"/>
    </w:rPr>
  </w:style>
  <w:style w:type="character" w:styleId="982" w:customStyle="1">
    <w:name w:val="Heading 9 Char"/>
    <w:uiPriority w:val="9"/>
    <w:qFormat/>
    <w:rPr>
      <w:rFonts w:ascii="Arial" w:hAnsi="Arial" w:eastAsia="Arial" w:cs="Arial"/>
      <w:i/>
      <w:iCs/>
      <w:sz w:val="21"/>
      <w:szCs w:val="21"/>
    </w:rPr>
  </w:style>
  <w:style w:type="paragraph" w:styleId="983">
    <w:name w:val="No Spacing"/>
    <w:uiPriority w:val="1"/>
    <w:qFormat/>
    <w:rPr>
      <w:rFonts w:hint="default" w:ascii="Calibri" w:hAnsi="Calibri" w:eastAsia="宋体" w:cs="Times New Roman"/>
      <w:lang w:val="en-US" w:eastAsia="zh-CN" w:bidi="ar-SA"/>
    </w:rPr>
  </w:style>
  <w:style w:type="character" w:styleId="984" w:customStyle="1">
    <w:name w:val="Title Char"/>
    <w:uiPriority w:val="10"/>
    <w:qFormat/>
    <w:rPr>
      <w:sz w:val="48"/>
      <w:szCs w:val="48"/>
    </w:rPr>
  </w:style>
  <w:style w:type="character" w:styleId="985" w:customStyle="1">
    <w:name w:val="Subtitle Char"/>
    <w:uiPriority w:val="11"/>
    <w:qFormat/>
    <w:rPr>
      <w:sz w:val="24"/>
      <w:szCs w:val="24"/>
    </w:rPr>
  </w:style>
  <w:style w:type="paragraph" w:styleId="986">
    <w:name w:val="Quote"/>
    <w:basedOn w:val="811"/>
    <w:next w:val="811"/>
    <w:link w:val="987"/>
    <w:uiPriority w:val="29"/>
    <w:qFormat/>
    <w:pPr>
      <w:ind w:left="720" w:right="720"/>
    </w:pPr>
    <w:rPr>
      <w:rFonts w:ascii="Times New Roman" w:hAnsi="Times New Roman" w:eastAsia="宋体"/>
      <w:i/>
      <w:szCs w:val="21"/>
    </w:rPr>
  </w:style>
  <w:style w:type="character" w:styleId="987" w:customStyle="1">
    <w:name w:val="引用 字符"/>
    <w:basedOn w:val="821"/>
    <w:link w:val="986"/>
    <w:uiPriority w:val="29"/>
    <w:qFormat/>
    <w:rPr>
      <w:rFonts w:ascii="Times New Roman" w:hAnsi="Times New Roman" w:eastAsia="宋体" w:cs="Times New Roman"/>
      <w:i/>
      <w:sz w:val="21"/>
      <w:szCs w:val="21"/>
    </w:rPr>
  </w:style>
  <w:style w:type="character" w:styleId="988" w:customStyle="1">
    <w:name w:val="Quote Char"/>
    <w:uiPriority w:val="29"/>
    <w:qFormat/>
    <w:rPr>
      <w:i/>
    </w:rPr>
  </w:style>
  <w:style w:type="paragraph" w:styleId="989">
    <w:name w:val="Intense Quote"/>
    <w:basedOn w:val="811"/>
    <w:next w:val="811"/>
    <w:link w:val="9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990" w:customStyle="1">
    <w:name w:val="明显引用 字符"/>
    <w:basedOn w:val="821"/>
    <w:link w:val="989"/>
    <w:uiPriority w:val="30"/>
    <w:qFormat/>
    <w:rPr>
      <w:rFonts w:ascii="Times New Roman" w:hAnsi="Times New Roman" w:eastAsia="宋体" w:cs="Times New Roman"/>
      <w:i/>
      <w:sz w:val="21"/>
      <w:szCs w:val="21"/>
      <w:shd w:val="clear" w:color="auto" w:fill="f2f2f2"/>
    </w:rPr>
  </w:style>
  <w:style w:type="character" w:styleId="991" w:customStyle="1">
    <w:name w:val="Intense Quote Char"/>
    <w:uiPriority w:val="30"/>
    <w:qFormat/>
    <w:rPr>
      <w:i/>
    </w:rPr>
  </w:style>
  <w:style w:type="character" w:styleId="992" w:customStyle="1">
    <w:name w:val="Header Char"/>
    <w:uiPriority w:val="99"/>
    <w:qFormat/>
  </w:style>
  <w:style w:type="character" w:styleId="993" w:customStyle="1">
    <w:name w:val="Footer Char"/>
    <w:uiPriority w:val="99"/>
    <w:qFormat/>
  </w:style>
  <w:style w:type="character" w:styleId="994" w:customStyle="1">
    <w:name w:val="Caption Char"/>
    <w:uiPriority w:val="99"/>
    <w:qFormat/>
  </w:style>
  <w:style w:type="character" w:styleId="995" w:customStyle="1">
    <w:name w:val="Footnote Text Char"/>
    <w:uiPriority w:val="99"/>
    <w:qFormat/>
    <w:rPr>
      <w:sz w:val="18"/>
    </w:rPr>
  </w:style>
  <w:style w:type="character" w:styleId="996" w:customStyle="1">
    <w:name w:val="Endnote Text Char"/>
    <w:uiPriority w:val="99"/>
    <w:qFormat/>
    <w:rPr>
      <w:sz w:val="20"/>
    </w:rPr>
  </w:style>
  <w:style w:type="paragraph" w:styleId="997" w:customStyle="1">
    <w:name w:val="目录 71"/>
    <w:basedOn w:val="811"/>
    <w:next w:val="811"/>
    <w:uiPriority w:val="39"/>
    <w:unhideWhenUsed/>
    <w:qFormat/>
    <w:pPr>
      <w:ind w:left="1701"/>
      <w:spacing w:after="57"/>
    </w:pPr>
    <w:rPr>
      <w:rFonts w:ascii="Times New Roman" w:hAnsi="Times New Roman" w:eastAsia="宋体"/>
      <w:szCs w:val="21"/>
    </w:rPr>
  </w:style>
  <w:style w:type="paragraph" w:styleId="998" w:customStyle="1">
    <w:name w:val="目录 51"/>
    <w:basedOn w:val="811"/>
    <w:next w:val="811"/>
    <w:uiPriority w:val="39"/>
    <w:unhideWhenUsed/>
    <w:qFormat/>
    <w:pPr>
      <w:ind w:left="1134"/>
      <w:spacing w:after="57"/>
    </w:pPr>
    <w:rPr>
      <w:rFonts w:ascii="Times New Roman" w:hAnsi="Times New Roman" w:eastAsia="宋体"/>
      <w:szCs w:val="21"/>
    </w:rPr>
  </w:style>
  <w:style w:type="paragraph" w:styleId="999" w:customStyle="1">
    <w:name w:val="目录 31"/>
    <w:basedOn w:val="811"/>
    <w:next w:val="811"/>
    <w:uiPriority w:val="39"/>
    <w:unhideWhenUsed/>
    <w:qFormat/>
    <w:pPr>
      <w:ind w:left="567"/>
      <w:spacing w:after="57"/>
    </w:pPr>
    <w:rPr>
      <w:rFonts w:ascii="Times New Roman" w:hAnsi="Times New Roman" w:eastAsia="宋体"/>
      <w:szCs w:val="21"/>
    </w:rPr>
  </w:style>
  <w:style w:type="paragraph" w:styleId="1000" w:customStyle="1">
    <w:name w:val="目录 81"/>
    <w:basedOn w:val="811"/>
    <w:next w:val="811"/>
    <w:uiPriority w:val="39"/>
    <w:unhideWhenUsed/>
    <w:qFormat/>
    <w:pPr>
      <w:ind w:left="1984"/>
      <w:spacing w:after="57"/>
    </w:pPr>
    <w:rPr>
      <w:rFonts w:ascii="Times New Roman" w:hAnsi="Times New Roman" w:eastAsia="宋体"/>
      <w:szCs w:val="21"/>
    </w:rPr>
  </w:style>
  <w:style w:type="character" w:styleId="1001" w:customStyle="1">
    <w:name w:val="页脚 字符1"/>
    <w:uiPriority w:val="99"/>
    <w:qFormat/>
  </w:style>
  <w:style w:type="paragraph" w:styleId="1002" w:customStyle="1">
    <w:name w:val="目录 11"/>
    <w:basedOn w:val="811"/>
    <w:next w:val="811"/>
    <w:uiPriority w:val="39"/>
    <w:unhideWhenUsed/>
    <w:qFormat/>
    <w:pPr>
      <w:spacing w:after="57"/>
    </w:pPr>
    <w:rPr>
      <w:rFonts w:ascii="Times New Roman" w:hAnsi="Times New Roman" w:eastAsia="宋体"/>
      <w:szCs w:val="21"/>
    </w:rPr>
  </w:style>
  <w:style w:type="paragraph" w:styleId="1003" w:customStyle="1">
    <w:name w:val="目录 41"/>
    <w:basedOn w:val="811"/>
    <w:next w:val="811"/>
    <w:uiPriority w:val="39"/>
    <w:unhideWhenUsed/>
    <w:qFormat/>
    <w:pPr>
      <w:ind w:left="850"/>
      <w:spacing w:after="57"/>
    </w:pPr>
    <w:rPr>
      <w:rFonts w:ascii="Times New Roman" w:hAnsi="Times New Roman" w:eastAsia="宋体"/>
      <w:szCs w:val="21"/>
    </w:rPr>
  </w:style>
  <w:style w:type="paragraph" w:styleId="1004" w:customStyle="1">
    <w:name w:val="目录 61"/>
    <w:basedOn w:val="811"/>
    <w:next w:val="811"/>
    <w:uiPriority w:val="39"/>
    <w:unhideWhenUsed/>
    <w:qFormat/>
    <w:pPr>
      <w:ind w:left="1417"/>
      <w:spacing w:after="57"/>
    </w:pPr>
    <w:rPr>
      <w:rFonts w:ascii="Times New Roman" w:hAnsi="Times New Roman" w:eastAsia="宋体"/>
      <w:szCs w:val="21"/>
    </w:rPr>
  </w:style>
  <w:style w:type="paragraph" w:styleId="1005" w:customStyle="1">
    <w:name w:val="目录 21"/>
    <w:basedOn w:val="811"/>
    <w:next w:val="811"/>
    <w:uiPriority w:val="39"/>
    <w:unhideWhenUsed/>
    <w:qFormat/>
    <w:pPr>
      <w:ind w:left="283"/>
      <w:spacing w:after="57"/>
    </w:pPr>
    <w:rPr>
      <w:rFonts w:ascii="Times New Roman" w:hAnsi="Times New Roman" w:eastAsia="宋体"/>
      <w:szCs w:val="21"/>
    </w:rPr>
  </w:style>
  <w:style w:type="paragraph" w:styleId="1006" w:customStyle="1">
    <w:name w:val="目录 91"/>
    <w:basedOn w:val="811"/>
    <w:next w:val="811"/>
    <w:uiPriority w:val="39"/>
    <w:unhideWhenUsed/>
    <w:qFormat/>
    <w:pPr>
      <w:ind w:left="2268"/>
      <w:spacing w:after="57"/>
    </w:pPr>
    <w:rPr>
      <w:rFonts w:ascii="Times New Roman" w:hAnsi="Times New Roman" w:eastAsia="宋体"/>
      <w:szCs w:val="21"/>
    </w:rPr>
  </w:style>
  <w:style w:type="character" w:styleId="1007" w:customStyle="1">
    <w:name w:val="font5 Char"/>
    <w:uiPriority w:val="0"/>
    <w:qFormat/>
    <w:rPr>
      <w:rFonts w:ascii="宋体" w:hAnsi="宋体" w:eastAsia="宋体"/>
      <w:sz w:val="28"/>
      <w:szCs w:val="28"/>
      <w:lang w:val="en-US" w:eastAsia="zh-CN" w:bidi="ar-SA"/>
    </w:rPr>
  </w:style>
  <w:style w:type="paragraph" w:styleId="1008" w:customStyle="1">
    <w:name w:val="列出段落2"/>
    <w:basedOn w:val="811"/>
    <w:uiPriority w:val="34"/>
    <w:qFormat/>
    <w:pPr>
      <w:contextualSpacing/>
      <w:ind w:left="720"/>
    </w:pPr>
    <w:rPr>
      <w:rFonts w:ascii="Times New Roman" w:hAnsi="Times New Roman" w:eastAsia="宋体"/>
      <w:szCs w:val="21"/>
    </w:rPr>
  </w:style>
  <w:style w:type="table" w:styleId="1009" w:customStyle="1">
    <w:name w:val="Table Grid Light"/>
    <w:uiPriority w:val="59"/>
    <w:qFormat/>
    <w:rPr>
      <w:rFonts w:ascii="Calibri" w:hAnsi="Calibri"/>
    </w:rPr>
    <w:tblPr>
      <w:tblCellMar>
        <w:left w:w="0" w:type="dxa"/>
        <w:top w:w="0" w:type="dxa"/>
        <w:right w:w="0" w:type="dxa"/>
        <w:bottom w:w="0" w:type="dxa"/>
      </w:tblCellMar>
    </w:tblPr>
  </w:style>
  <w:style w:type="table" w:styleId="1010" w:customStyle="1">
    <w:name w:val="Plain Table 1"/>
    <w:uiPriority w:val="59"/>
    <w:qFormat/>
    <w:rPr>
      <w:rFonts w:ascii="Calibri" w:hAnsi="Calibri"/>
    </w:rPr>
    <w:tblPr>
      <w:tblCellMar>
        <w:left w:w="0" w:type="dxa"/>
        <w:top w:w="0" w:type="dxa"/>
        <w:right w:w="0" w:type="dxa"/>
        <w:bottom w:w="0" w:type="dxa"/>
      </w:tblCellMar>
    </w:tblPr>
  </w:style>
  <w:style w:type="table" w:styleId="1011" w:customStyle="1">
    <w:name w:val="Plain Table 2"/>
    <w:uiPriority w:val="59"/>
    <w:qFormat/>
    <w:rPr>
      <w:rFonts w:ascii="Calibri" w:hAnsi="Calibri"/>
    </w:rPr>
    <w:tblPr>
      <w:tblCellMar>
        <w:left w:w="0" w:type="dxa"/>
        <w:top w:w="0" w:type="dxa"/>
        <w:right w:w="0" w:type="dxa"/>
        <w:bottom w:w="0" w:type="dxa"/>
      </w:tblCellMar>
    </w:tblPr>
  </w:style>
  <w:style w:type="table" w:styleId="1012" w:customStyle="1">
    <w:name w:val="Plain Table 3"/>
    <w:uiPriority w:val="99"/>
    <w:qFormat/>
    <w:rPr>
      <w:rFonts w:ascii="Calibri" w:hAnsi="Calibri"/>
    </w:rPr>
    <w:tblPr>
      <w:tblCellMar>
        <w:left w:w="0" w:type="dxa"/>
        <w:top w:w="0" w:type="dxa"/>
        <w:right w:w="0" w:type="dxa"/>
        <w:bottom w:w="0" w:type="dxa"/>
      </w:tblCellMar>
    </w:tblPr>
  </w:style>
  <w:style w:type="table" w:styleId="1013" w:customStyle="1">
    <w:name w:val="Plain Table 4"/>
    <w:uiPriority w:val="99"/>
    <w:qFormat/>
    <w:rPr>
      <w:rFonts w:ascii="Calibri" w:hAnsi="Calibri"/>
    </w:rPr>
    <w:tblPr>
      <w:tblCellMar>
        <w:left w:w="0" w:type="dxa"/>
        <w:top w:w="0" w:type="dxa"/>
        <w:right w:w="0" w:type="dxa"/>
        <w:bottom w:w="0" w:type="dxa"/>
      </w:tblCellMar>
    </w:tblPr>
  </w:style>
  <w:style w:type="table" w:styleId="1014" w:customStyle="1">
    <w:name w:val="Plain Table 5"/>
    <w:uiPriority w:val="99"/>
    <w:qFormat/>
    <w:rPr>
      <w:rFonts w:ascii="Calibri" w:hAnsi="Calibri"/>
    </w:rPr>
    <w:tblPr>
      <w:tblCellMar>
        <w:left w:w="0" w:type="dxa"/>
        <w:top w:w="0" w:type="dxa"/>
        <w:right w:w="0" w:type="dxa"/>
        <w:bottom w:w="0" w:type="dxa"/>
      </w:tblCellMar>
    </w:tblPr>
  </w:style>
  <w:style w:type="table" w:styleId="1015" w:customStyle="1">
    <w:name w:val="Grid Table 1 Light"/>
    <w:uiPriority w:val="99"/>
    <w:qFormat/>
    <w:rPr>
      <w:rFonts w:ascii="Calibri" w:hAnsi="Calibri"/>
    </w:rPr>
    <w:tblPr>
      <w:tblCellMar>
        <w:left w:w="0" w:type="dxa"/>
        <w:top w:w="0" w:type="dxa"/>
        <w:right w:w="0" w:type="dxa"/>
        <w:bottom w:w="0" w:type="dxa"/>
      </w:tblCellMar>
    </w:tblPr>
  </w:style>
  <w:style w:type="table" w:styleId="1016" w:customStyle="1">
    <w:name w:val="Grid Table 1 Light - Accent 1"/>
    <w:uiPriority w:val="99"/>
    <w:qFormat/>
    <w:rPr>
      <w:rFonts w:ascii="Calibri" w:hAnsi="Calibri"/>
    </w:rPr>
    <w:tblPr>
      <w:tblCellMar>
        <w:left w:w="0" w:type="dxa"/>
        <w:top w:w="0" w:type="dxa"/>
        <w:right w:w="0" w:type="dxa"/>
        <w:bottom w:w="0" w:type="dxa"/>
      </w:tblCellMar>
    </w:tblPr>
  </w:style>
  <w:style w:type="table" w:styleId="1017" w:customStyle="1">
    <w:name w:val="Grid Table 1 Light - Accent 2"/>
    <w:uiPriority w:val="99"/>
    <w:qFormat/>
    <w:rPr>
      <w:rFonts w:ascii="Calibri" w:hAnsi="Calibri"/>
    </w:rPr>
    <w:tblPr>
      <w:tblCellMar>
        <w:left w:w="0" w:type="dxa"/>
        <w:top w:w="0" w:type="dxa"/>
        <w:right w:w="0" w:type="dxa"/>
        <w:bottom w:w="0" w:type="dxa"/>
      </w:tblCellMar>
    </w:tblPr>
  </w:style>
  <w:style w:type="table" w:styleId="1018" w:customStyle="1">
    <w:name w:val="Grid Table 1 Light - Accent 3"/>
    <w:uiPriority w:val="99"/>
    <w:qFormat/>
    <w:rPr>
      <w:rFonts w:ascii="Calibri" w:hAnsi="Calibri"/>
    </w:rPr>
    <w:tblPr>
      <w:tblCellMar>
        <w:left w:w="0" w:type="dxa"/>
        <w:top w:w="0" w:type="dxa"/>
        <w:right w:w="0" w:type="dxa"/>
        <w:bottom w:w="0" w:type="dxa"/>
      </w:tblCellMar>
    </w:tblPr>
  </w:style>
  <w:style w:type="table" w:styleId="1019" w:customStyle="1">
    <w:name w:val="Grid Table 1 Light - Accent 4"/>
    <w:uiPriority w:val="99"/>
    <w:qFormat/>
    <w:rPr>
      <w:rFonts w:ascii="Calibri" w:hAnsi="Calibri"/>
    </w:rPr>
    <w:tblPr>
      <w:tblCellMar>
        <w:left w:w="0" w:type="dxa"/>
        <w:top w:w="0" w:type="dxa"/>
        <w:right w:w="0" w:type="dxa"/>
        <w:bottom w:w="0" w:type="dxa"/>
      </w:tblCellMar>
    </w:tblPr>
  </w:style>
  <w:style w:type="table" w:styleId="1020" w:customStyle="1">
    <w:name w:val="Grid Table 1 Light - Accent 5"/>
    <w:uiPriority w:val="99"/>
    <w:qFormat/>
    <w:rPr>
      <w:rFonts w:ascii="Calibri" w:hAnsi="Calibri"/>
    </w:rPr>
    <w:tblPr>
      <w:tblCellMar>
        <w:left w:w="0" w:type="dxa"/>
        <w:top w:w="0" w:type="dxa"/>
        <w:right w:w="0" w:type="dxa"/>
        <w:bottom w:w="0" w:type="dxa"/>
      </w:tblCellMar>
    </w:tblPr>
  </w:style>
  <w:style w:type="table" w:styleId="1021" w:customStyle="1">
    <w:name w:val="Grid Table 1 Light - Accent 6"/>
    <w:uiPriority w:val="99"/>
    <w:qFormat/>
    <w:rPr>
      <w:rFonts w:ascii="Calibri" w:hAnsi="Calibri"/>
    </w:rPr>
    <w:tblPr>
      <w:tblCellMar>
        <w:left w:w="0" w:type="dxa"/>
        <w:top w:w="0" w:type="dxa"/>
        <w:right w:w="0" w:type="dxa"/>
        <w:bottom w:w="0" w:type="dxa"/>
      </w:tblCellMar>
    </w:tblPr>
  </w:style>
  <w:style w:type="table" w:styleId="1022" w:customStyle="1">
    <w:name w:val="Grid Table 2"/>
    <w:uiPriority w:val="99"/>
    <w:qFormat/>
    <w:rPr>
      <w:rFonts w:ascii="Calibri" w:hAnsi="Calibri"/>
    </w:rPr>
    <w:tblPr>
      <w:tblCellMar>
        <w:left w:w="0" w:type="dxa"/>
        <w:top w:w="0" w:type="dxa"/>
        <w:right w:w="0" w:type="dxa"/>
        <w:bottom w:w="0" w:type="dxa"/>
      </w:tblCellMar>
    </w:tblPr>
  </w:style>
  <w:style w:type="table" w:styleId="1023" w:customStyle="1">
    <w:name w:val="Grid Table 2 - Accent 1"/>
    <w:uiPriority w:val="99"/>
    <w:qFormat/>
    <w:rPr>
      <w:rFonts w:ascii="Calibri" w:hAnsi="Calibri"/>
    </w:rPr>
    <w:tblPr>
      <w:tblCellMar>
        <w:left w:w="0" w:type="dxa"/>
        <w:top w:w="0" w:type="dxa"/>
        <w:right w:w="0" w:type="dxa"/>
        <w:bottom w:w="0" w:type="dxa"/>
      </w:tblCellMar>
    </w:tblPr>
  </w:style>
  <w:style w:type="table" w:styleId="1024" w:customStyle="1">
    <w:name w:val="Grid Table 2 - Accent 2"/>
    <w:uiPriority w:val="99"/>
    <w:qFormat/>
    <w:rPr>
      <w:rFonts w:ascii="Calibri" w:hAnsi="Calibri"/>
    </w:rPr>
    <w:tblPr>
      <w:tblCellMar>
        <w:left w:w="0" w:type="dxa"/>
        <w:top w:w="0" w:type="dxa"/>
        <w:right w:w="0" w:type="dxa"/>
        <w:bottom w:w="0" w:type="dxa"/>
      </w:tblCellMar>
    </w:tblPr>
  </w:style>
  <w:style w:type="table" w:styleId="1025" w:customStyle="1">
    <w:name w:val="Grid Table 2 - Accent 3"/>
    <w:uiPriority w:val="99"/>
    <w:qFormat/>
    <w:rPr>
      <w:rFonts w:ascii="Calibri" w:hAnsi="Calibri"/>
    </w:rPr>
    <w:tblPr>
      <w:tblCellMar>
        <w:left w:w="0" w:type="dxa"/>
        <w:top w:w="0" w:type="dxa"/>
        <w:right w:w="0" w:type="dxa"/>
        <w:bottom w:w="0" w:type="dxa"/>
      </w:tblCellMar>
    </w:tblPr>
  </w:style>
  <w:style w:type="table" w:styleId="1026" w:customStyle="1">
    <w:name w:val="Grid Table 2 - Accent 4"/>
    <w:uiPriority w:val="99"/>
    <w:qFormat/>
    <w:rPr>
      <w:rFonts w:ascii="Calibri" w:hAnsi="Calibri"/>
    </w:rPr>
    <w:tblPr>
      <w:tblCellMar>
        <w:left w:w="0" w:type="dxa"/>
        <w:top w:w="0" w:type="dxa"/>
        <w:right w:w="0" w:type="dxa"/>
        <w:bottom w:w="0" w:type="dxa"/>
      </w:tblCellMar>
    </w:tblPr>
  </w:style>
  <w:style w:type="table" w:styleId="1027" w:customStyle="1">
    <w:name w:val="Grid Table 2 - Accent 5"/>
    <w:uiPriority w:val="99"/>
    <w:qFormat/>
    <w:rPr>
      <w:rFonts w:ascii="Calibri" w:hAnsi="Calibri"/>
    </w:rPr>
    <w:tblPr>
      <w:tblCellMar>
        <w:left w:w="0" w:type="dxa"/>
        <w:top w:w="0" w:type="dxa"/>
        <w:right w:w="0" w:type="dxa"/>
        <w:bottom w:w="0" w:type="dxa"/>
      </w:tblCellMar>
    </w:tblPr>
  </w:style>
  <w:style w:type="table" w:styleId="1028" w:customStyle="1">
    <w:name w:val="Grid Table 2 - Accent 6"/>
    <w:uiPriority w:val="99"/>
    <w:qFormat/>
    <w:rPr>
      <w:rFonts w:ascii="Calibri" w:hAnsi="Calibri"/>
    </w:rPr>
    <w:tblPr>
      <w:tblCellMar>
        <w:left w:w="0" w:type="dxa"/>
        <w:top w:w="0" w:type="dxa"/>
        <w:right w:w="0" w:type="dxa"/>
        <w:bottom w:w="0" w:type="dxa"/>
      </w:tblCellMar>
    </w:tblPr>
  </w:style>
  <w:style w:type="table" w:styleId="1029" w:customStyle="1">
    <w:name w:val="Grid Table 3"/>
    <w:uiPriority w:val="99"/>
    <w:qFormat/>
    <w:rPr>
      <w:rFonts w:ascii="Calibri" w:hAnsi="Calibri"/>
    </w:rPr>
    <w:tblPr>
      <w:tblCellMar>
        <w:left w:w="0" w:type="dxa"/>
        <w:top w:w="0" w:type="dxa"/>
        <w:right w:w="0" w:type="dxa"/>
        <w:bottom w:w="0" w:type="dxa"/>
      </w:tblCellMar>
    </w:tblPr>
  </w:style>
  <w:style w:type="table" w:styleId="1030" w:customStyle="1">
    <w:name w:val="Grid Table 3 - Accent 1"/>
    <w:uiPriority w:val="99"/>
    <w:qFormat/>
    <w:rPr>
      <w:rFonts w:ascii="Calibri" w:hAnsi="Calibri"/>
    </w:rPr>
    <w:tblPr>
      <w:tblCellMar>
        <w:left w:w="0" w:type="dxa"/>
        <w:top w:w="0" w:type="dxa"/>
        <w:right w:w="0" w:type="dxa"/>
        <w:bottom w:w="0" w:type="dxa"/>
      </w:tblCellMar>
    </w:tblPr>
  </w:style>
  <w:style w:type="table" w:styleId="1031" w:customStyle="1">
    <w:name w:val="Grid Table 3 - Accent 2"/>
    <w:uiPriority w:val="99"/>
    <w:qFormat/>
    <w:rPr>
      <w:rFonts w:ascii="Calibri" w:hAnsi="Calibri"/>
    </w:rPr>
    <w:tblPr>
      <w:tblCellMar>
        <w:left w:w="0" w:type="dxa"/>
        <w:top w:w="0" w:type="dxa"/>
        <w:right w:w="0" w:type="dxa"/>
        <w:bottom w:w="0" w:type="dxa"/>
      </w:tblCellMar>
    </w:tblPr>
  </w:style>
  <w:style w:type="table" w:styleId="1032" w:customStyle="1">
    <w:name w:val="Grid Table 3 - Accent 3"/>
    <w:uiPriority w:val="99"/>
    <w:qFormat/>
    <w:rPr>
      <w:rFonts w:ascii="Calibri" w:hAnsi="Calibri"/>
    </w:rPr>
    <w:tblPr>
      <w:tblCellMar>
        <w:left w:w="0" w:type="dxa"/>
        <w:top w:w="0" w:type="dxa"/>
        <w:right w:w="0" w:type="dxa"/>
        <w:bottom w:w="0" w:type="dxa"/>
      </w:tblCellMar>
    </w:tblPr>
  </w:style>
  <w:style w:type="table" w:styleId="1033" w:customStyle="1">
    <w:name w:val="Grid Table 3 - Accent 4"/>
    <w:uiPriority w:val="99"/>
    <w:qFormat/>
    <w:rPr>
      <w:rFonts w:ascii="Calibri" w:hAnsi="Calibri"/>
    </w:rPr>
    <w:tblPr>
      <w:tblCellMar>
        <w:left w:w="0" w:type="dxa"/>
        <w:top w:w="0" w:type="dxa"/>
        <w:right w:w="0" w:type="dxa"/>
        <w:bottom w:w="0" w:type="dxa"/>
      </w:tblCellMar>
    </w:tblPr>
  </w:style>
  <w:style w:type="table" w:styleId="1034" w:customStyle="1">
    <w:name w:val="Grid Table 3 - Accent 5"/>
    <w:uiPriority w:val="99"/>
    <w:qFormat/>
    <w:rPr>
      <w:rFonts w:ascii="Calibri" w:hAnsi="Calibri"/>
    </w:rPr>
    <w:tblPr>
      <w:tblCellMar>
        <w:left w:w="0" w:type="dxa"/>
        <w:top w:w="0" w:type="dxa"/>
        <w:right w:w="0" w:type="dxa"/>
        <w:bottom w:w="0" w:type="dxa"/>
      </w:tblCellMar>
    </w:tblPr>
  </w:style>
  <w:style w:type="table" w:styleId="1035" w:customStyle="1">
    <w:name w:val="Grid Table 3 - Accent 6"/>
    <w:uiPriority w:val="99"/>
    <w:qFormat/>
    <w:rPr>
      <w:rFonts w:ascii="Calibri" w:hAnsi="Calibri"/>
    </w:rPr>
    <w:tblPr>
      <w:tblCellMar>
        <w:left w:w="0" w:type="dxa"/>
        <w:top w:w="0" w:type="dxa"/>
        <w:right w:w="0" w:type="dxa"/>
        <w:bottom w:w="0" w:type="dxa"/>
      </w:tblCellMar>
    </w:tblPr>
  </w:style>
  <w:style w:type="table" w:styleId="1036" w:customStyle="1">
    <w:name w:val="Grid Table 4"/>
    <w:uiPriority w:val="59"/>
    <w:qFormat/>
    <w:rPr>
      <w:rFonts w:ascii="Calibri" w:hAnsi="Calibri"/>
    </w:rPr>
    <w:tblPr>
      <w:tblCellMar>
        <w:left w:w="0" w:type="dxa"/>
        <w:top w:w="0" w:type="dxa"/>
        <w:right w:w="0" w:type="dxa"/>
        <w:bottom w:w="0" w:type="dxa"/>
      </w:tblCellMar>
    </w:tblPr>
  </w:style>
  <w:style w:type="table" w:styleId="1037" w:customStyle="1">
    <w:name w:val="Grid Table 4 - Accent 1"/>
    <w:uiPriority w:val="59"/>
    <w:qFormat/>
    <w:rPr>
      <w:rFonts w:ascii="Calibri" w:hAnsi="Calibri"/>
    </w:rPr>
    <w:tblPr>
      <w:tblCellMar>
        <w:left w:w="0" w:type="dxa"/>
        <w:top w:w="0" w:type="dxa"/>
        <w:right w:w="0" w:type="dxa"/>
        <w:bottom w:w="0" w:type="dxa"/>
      </w:tblCellMar>
    </w:tblPr>
  </w:style>
  <w:style w:type="table" w:styleId="1038" w:customStyle="1">
    <w:name w:val="Grid Table 4 - Accent 2"/>
    <w:uiPriority w:val="59"/>
    <w:qFormat/>
    <w:rPr>
      <w:rFonts w:ascii="Calibri" w:hAnsi="Calibri"/>
    </w:rPr>
    <w:tblPr>
      <w:tblCellMar>
        <w:left w:w="0" w:type="dxa"/>
        <w:top w:w="0" w:type="dxa"/>
        <w:right w:w="0" w:type="dxa"/>
        <w:bottom w:w="0" w:type="dxa"/>
      </w:tblCellMar>
    </w:tblPr>
  </w:style>
  <w:style w:type="table" w:styleId="1039" w:customStyle="1">
    <w:name w:val="Grid Table 4 - Accent 3"/>
    <w:uiPriority w:val="59"/>
    <w:qFormat/>
    <w:rPr>
      <w:rFonts w:ascii="Calibri" w:hAnsi="Calibri"/>
    </w:rPr>
    <w:tblPr>
      <w:tblCellMar>
        <w:left w:w="0" w:type="dxa"/>
        <w:top w:w="0" w:type="dxa"/>
        <w:right w:w="0" w:type="dxa"/>
        <w:bottom w:w="0" w:type="dxa"/>
      </w:tblCellMar>
    </w:tblPr>
  </w:style>
  <w:style w:type="table" w:styleId="1040" w:customStyle="1">
    <w:name w:val="Grid Table 4 - Accent 4"/>
    <w:uiPriority w:val="59"/>
    <w:qFormat/>
    <w:rPr>
      <w:rFonts w:ascii="Calibri" w:hAnsi="Calibri"/>
    </w:rPr>
    <w:tblPr>
      <w:tblCellMar>
        <w:left w:w="0" w:type="dxa"/>
        <w:top w:w="0" w:type="dxa"/>
        <w:right w:w="0" w:type="dxa"/>
        <w:bottom w:w="0" w:type="dxa"/>
      </w:tblCellMar>
    </w:tblPr>
  </w:style>
  <w:style w:type="table" w:styleId="1041" w:customStyle="1">
    <w:name w:val="Grid Table 4 - Accent 5"/>
    <w:uiPriority w:val="59"/>
    <w:qFormat/>
    <w:rPr>
      <w:rFonts w:ascii="Calibri" w:hAnsi="Calibri"/>
    </w:rPr>
    <w:tblPr>
      <w:tblCellMar>
        <w:left w:w="0" w:type="dxa"/>
        <w:top w:w="0" w:type="dxa"/>
        <w:right w:w="0" w:type="dxa"/>
        <w:bottom w:w="0" w:type="dxa"/>
      </w:tblCellMar>
    </w:tblPr>
  </w:style>
  <w:style w:type="table" w:styleId="1042" w:customStyle="1">
    <w:name w:val="Grid Table 4 - Accent 6"/>
    <w:uiPriority w:val="59"/>
    <w:qFormat/>
    <w:rPr>
      <w:rFonts w:ascii="Calibri" w:hAnsi="Calibri"/>
    </w:rPr>
    <w:tblPr>
      <w:tblCellMar>
        <w:left w:w="0" w:type="dxa"/>
        <w:top w:w="0" w:type="dxa"/>
        <w:right w:w="0" w:type="dxa"/>
        <w:bottom w:w="0" w:type="dxa"/>
      </w:tblCellMar>
    </w:tblPr>
  </w:style>
  <w:style w:type="table" w:styleId="1043" w:customStyle="1">
    <w:name w:val="Grid Table 5 Dark"/>
    <w:uiPriority w:val="99"/>
    <w:qFormat/>
    <w:rPr>
      <w:rFonts w:ascii="Calibri" w:hAnsi="Calibri"/>
    </w:rPr>
    <w:tblPr>
      <w:tblCellMar>
        <w:left w:w="0" w:type="dxa"/>
        <w:top w:w="0" w:type="dxa"/>
        <w:right w:w="0" w:type="dxa"/>
        <w:bottom w:w="0" w:type="dxa"/>
      </w:tblCellMar>
    </w:tblPr>
  </w:style>
  <w:style w:type="table" w:styleId="1044" w:customStyle="1">
    <w:name w:val="Grid Table 5 Dark- Accent 1"/>
    <w:uiPriority w:val="99"/>
    <w:qFormat/>
    <w:rPr>
      <w:rFonts w:ascii="Calibri" w:hAnsi="Calibri"/>
    </w:rPr>
    <w:tblPr>
      <w:tblCellMar>
        <w:left w:w="0" w:type="dxa"/>
        <w:top w:w="0" w:type="dxa"/>
        <w:right w:w="0" w:type="dxa"/>
        <w:bottom w:w="0" w:type="dxa"/>
      </w:tblCellMar>
    </w:tblPr>
  </w:style>
  <w:style w:type="table" w:styleId="1045" w:customStyle="1">
    <w:name w:val="Grid Table 5 Dark - Accent 2"/>
    <w:uiPriority w:val="99"/>
    <w:qFormat/>
    <w:rPr>
      <w:rFonts w:ascii="Calibri" w:hAnsi="Calibri"/>
    </w:rPr>
    <w:tblPr>
      <w:tblCellMar>
        <w:left w:w="0" w:type="dxa"/>
        <w:top w:w="0" w:type="dxa"/>
        <w:right w:w="0" w:type="dxa"/>
        <w:bottom w:w="0" w:type="dxa"/>
      </w:tblCellMar>
    </w:tblPr>
  </w:style>
  <w:style w:type="table" w:styleId="1046" w:customStyle="1">
    <w:name w:val="Grid Table 5 Dark - Accent 3"/>
    <w:uiPriority w:val="99"/>
    <w:qFormat/>
    <w:rPr>
      <w:rFonts w:ascii="Calibri" w:hAnsi="Calibri"/>
    </w:rPr>
    <w:tblPr>
      <w:tblCellMar>
        <w:left w:w="0" w:type="dxa"/>
        <w:top w:w="0" w:type="dxa"/>
        <w:right w:w="0" w:type="dxa"/>
        <w:bottom w:w="0" w:type="dxa"/>
      </w:tblCellMar>
    </w:tblPr>
  </w:style>
  <w:style w:type="table" w:styleId="1047" w:customStyle="1">
    <w:name w:val="Grid Table 5 Dark- Accent 4"/>
    <w:uiPriority w:val="99"/>
    <w:qFormat/>
    <w:rPr>
      <w:rFonts w:ascii="Calibri" w:hAnsi="Calibri"/>
    </w:rPr>
    <w:tblPr>
      <w:tblCellMar>
        <w:left w:w="0" w:type="dxa"/>
        <w:top w:w="0" w:type="dxa"/>
        <w:right w:w="0" w:type="dxa"/>
        <w:bottom w:w="0" w:type="dxa"/>
      </w:tblCellMar>
    </w:tblPr>
  </w:style>
  <w:style w:type="table" w:styleId="1048" w:customStyle="1">
    <w:name w:val="Grid Table 5 Dark - Accent 5"/>
    <w:uiPriority w:val="99"/>
    <w:qFormat/>
    <w:rPr>
      <w:rFonts w:ascii="Calibri" w:hAnsi="Calibri"/>
    </w:rPr>
    <w:tblPr>
      <w:tblCellMar>
        <w:left w:w="0" w:type="dxa"/>
        <w:top w:w="0" w:type="dxa"/>
        <w:right w:w="0" w:type="dxa"/>
        <w:bottom w:w="0" w:type="dxa"/>
      </w:tblCellMar>
    </w:tblPr>
  </w:style>
  <w:style w:type="table" w:styleId="1049" w:customStyle="1">
    <w:name w:val="Grid Table 5 Dark - Accent 6"/>
    <w:uiPriority w:val="99"/>
    <w:qFormat/>
    <w:rPr>
      <w:rFonts w:ascii="Calibri" w:hAnsi="Calibri"/>
    </w:rPr>
    <w:tblPr>
      <w:tblCellMar>
        <w:left w:w="0" w:type="dxa"/>
        <w:top w:w="0" w:type="dxa"/>
        <w:right w:w="0" w:type="dxa"/>
        <w:bottom w:w="0" w:type="dxa"/>
      </w:tblCellMar>
    </w:tblPr>
  </w:style>
  <w:style w:type="table" w:styleId="1050" w:customStyle="1">
    <w:name w:val="Grid Table 6 Colorful"/>
    <w:uiPriority w:val="99"/>
    <w:qFormat/>
    <w:rPr>
      <w:rFonts w:ascii="Calibri" w:hAnsi="Calibri"/>
    </w:rPr>
    <w:tblPr>
      <w:tblCellMar>
        <w:left w:w="0" w:type="dxa"/>
        <w:top w:w="0" w:type="dxa"/>
        <w:right w:w="0" w:type="dxa"/>
        <w:bottom w:w="0" w:type="dxa"/>
      </w:tblCellMar>
    </w:tblPr>
  </w:style>
  <w:style w:type="table" w:styleId="1051"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052"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053"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054"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055"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056"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057" w:customStyle="1">
    <w:name w:val="Grid Table 7 Colorful"/>
    <w:uiPriority w:val="99"/>
    <w:qFormat/>
    <w:rPr>
      <w:rFonts w:ascii="Calibri" w:hAnsi="Calibri"/>
    </w:rPr>
    <w:tblPr>
      <w:tblCellMar>
        <w:left w:w="0" w:type="dxa"/>
        <w:top w:w="0" w:type="dxa"/>
        <w:right w:w="0" w:type="dxa"/>
        <w:bottom w:w="0" w:type="dxa"/>
      </w:tblCellMar>
    </w:tblPr>
  </w:style>
  <w:style w:type="table" w:styleId="1058"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59"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60"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61"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62"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63"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64" w:customStyle="1">
    <w:name w:val="List Table 1 Light"/>
    <w:uiPriority w:val="99"/>
    <w:qFormat/>
    <w:rPr>
      <w:rFonts w:ascii="Calibri" w:hAnsi="Calibri"/>
    </w:rPr>
    <w:tblPr>
      <w:tblCellMar>
        <w:left w:w="0" w:type="dxa"/>
        <w:top w:w="0" w:type="dxa"/>
        <w:right w:w="0" w:type="dxa"/>
        <w:bottom w:w="0" w:type="dxa"/>
      </w:tblCellMar>
    </w:tblPr>
  </w:style>
  <w:style w:type="table" w:styleId="1065" w:customStyle="1">
    <w:name w:val="List Table 1 Light - Accent 1"/>
    <w:uiPriority w:val="99"/>
    <w:qFormat/>
    <w:rPr>
      <w:rFonts w:ascii="Calibri" w:hAnsi="Calibri"/>
    </w:rPr>
    <w:tblPr>
      <w:tblCellMar>
        <w:left w:w="0" w:type="dxa"/>
        <w:top w:w="0" w:type="dxa"/>
        <w:right w:w="0" w:type="dxa"/>
        <w:bottom w:w="0" w:type="dxa"/>
      </w:tblCellMar>
    </w:tblPr>
  </w:style>
  <w:style w:type="table" w:styleId="1066" w:customStyle="1">
    <w:name w:val="List Table 1 Light - Accent 2"/>
    <w:uiPriority w:val="99"/>
    <w:qFormat/>
    <w:rPr>
      <w:rFonts w:ascii="Calibri" w:hAnsi="Calibri"/>
    </w:rPr>
    <w:tblPr>
      <w:tblCellMar>
        <w:left w:w="0" w:type="dxa"/>
        <w:top w:w="0" w:type="dxa"/>
        <w:right w:w="0" w:type="dxa"/>
        <w:bottom w:w="0" w:type="dxa"/>
      </w:tblCellMar>
    </w:tblPr>
  </w:style>
  <w:style w:type="table" w:styleId="1067" w:customStyle="1">
    <w:name w:val="List Table 1 Light - Accent 3"/>
    <w:uiPriority w:val="99"/>
    <w:qFormat/>
    <w:rPr>
      <w:rFonts w:ascii="Calibri" w:hAnsi="Calibri"/>
    </w:rPr>
    <w:tblPr>
      <w:tblCellMar>
        <w:left w:w="0" w:type="dxa"/>
        <w:top w:w="0" w:type="dxa"/>
        <w:right w:w="0" w:type="dxa"/>
        <w:bottom w:w="0" w:type="dxa"/>
      </w:tblCellMar>
    </w:tblPr>
  </w:style>
  <w:style w:type="table" w:styleId="1068" w:customStyle="1">
    <w:name w:val="List Table 1 Light - Accent 4"/>
    <w:uiPriority w:val="99"/>
    <w:qFormat/>
    <w:rPr>
      <w:rFonts w:ascii="Calibri" w:hAnsi="Calibri"/>
    </w:rPr>
    <w:tblPr>
      <w:tblCellMar>
        <w:left w:w="0" w:type="dxa"/>
        <w:top w:w="0" w:type="dxa"/>
        <w:right w:w="0" w:type="dxa"/>
        <w:bottom w:w="0" w:type="dxa"/>
      </w:tblCellMar>
    </w:tblPr>
  </w:style>
  <w:style w:type="table" w:styleId="1069" w:customStyle="1">
    <w:name w:val="List Table 1 Light - Accent 5"/>
    <w:uiPriority w:val="99"/>
    <w:qFormat/>
    <w:rPr>
      <w:rFonts w:ascii="Calibri" w:hAnsi="Calibri"/>
    </w:rPr>
    <w:tblPr>
      <w:tblCellMar>
        <w:left w:w="0" w:type="dxa"/>
        <w:top w:w="0" w:type="dxa"/>
        <w:right w:w="0" w:type="dxa"/>
        <w:bottom w:w="0" w:type="dxa"/>
      </w:tblCellMar>
    </w:tblPr>
  </w:style>
  <w:style w:type="table" w:styleId="1070" w:customStyle="1">
    <w:name w:val="List Table 1 Light - Accent 6"/>
    <w:uiPriority w:val="99"/>
    <w:qFormat/>
    <w:rPr>
      <w:rFonts w:ascii="Calibri" w:hAnsi="Calibri"/>
    </w:rPr>
    <w:tblPr>
      <w:tblCellMar>
        <w:left w:w="0" w:type="dxa"/>
        <w:top w:w="0" w:type="dxa"/>
        <w:right w:w="0" w:type="dxa"/>
        <w:bottom w:w="0" w:type="dxa"/>
      </w:tblCellMar>
    </w:tblPr>
  </w:style>
  <w:style w:type="table" w:styleId="1071" w:customStyle="1">
    <w:name w:val="List Table 2"/>
    <w:uiPriority w:val="99"/>
    <w:qFormat/>
    <w:rPr>
      <w:rFonts w:ascii="Calibri" w:hAnsi="Calibri"/>
    </w:rPr>
    <w:tblPr>
      <w:tblCellMar>
        <w:left w:w="0" w:type="dxa"/>
        <w:top w:w="0" w:type="dxa"/>
        <w:right w:w="0" w:type="dxa"/>
        <w:bottom w:w="0" w:type="dxa"/>
      </w:tblCellMar>
    </w:tblPr>
  </w:style>
  <w:style w:type="table" w:styleId="1072" w:customStyle="1">
    <w:name w:val="List Table 2 - Accent 1"/>
    <w:uiPriority w:val="99"/>
    <w:qFormat/>
    <w:rPr>
      <w:rFonts w:ascii="Calibri" w:hAnsi="Calibri"/>
    </w:rPr>
    <w:tblPr>
      <w:tblCellMar>
        <w:left w:w="0" w:type="dxa"/>
        <w:top w:w="0" w:type="dxa"/>
        <w:right w:w="0" w:type="dxa"/>
        <w:bottom w:w="0" w:type="dxa"/>
      </w:tblCellMar>
    </w:tblPr>
  </w:style>
  <w:style w:type="table" w:styleId="1073" w:customStyle="1">
    <w:name w:val="List Table 2 - Accent 2"/>
    <w:uiPriority w:val="99"/>
    <w:qFormat/>
    <w:rPr>
      <w:rFonts w:ascii="Calibri" w:hAnsi="Calibri"/>
    </w:rPr>
    <w:tblPr>
      <w:tblCellMar>
        <w:left w:w="0" w:type="dxa"/>
        <w:top w:w="0" w:type="dxa"/>
        <w:right w:w="0" w:type="dxa"/>
        <w:bottom w:w="0" w:type="dxa"/>
      </w:tblCellMar>
    </w:tblPr>
  </w:style>
  <w:style w:type="table" w:styleId="1074" w:customStyle="1">
    <w:name w:val="List Table 2 - Accent 3"/>
    <w:uiPriority w:val="99"/>
    <w:qFormat/>
    <w:rPr>
      <w:rFonts w:ascii="Calibri" w:hAnsi="Calibri"/>
    </w:rPr>
    <w:tblPr>
      <w:tblCellMar>
        <w:left w:w="0" w:type="dxa"/>
        <w:top w:w="0" w:type="dxa"/>
        <w:right w:w="0" w:type="dxa"/>
        <w:bottom w:w="0" w:type="dxa"/>
      </w:tblCellMar>
    </w:tblPr>
  </w:style>
  <w:style w:type="table" w:styleId="1075" w:customStyle="1">
    <w:name w:val="List Table 2 - Accent 4"/>
    <w:uiPriority w:val="99"/>
    <w:qFormat/>
    <w:rPr>
      <w:rFonts w:ascii="Calibri" w:hAnsi="Calibri"/>
    </w:rPr>
    <w:tblPr>
      <w:tblCellMar>
        <w:left w:w="0" w:type="dxa"/>
        <w:top w:w="0" w:type="dxa"/>
        <w:right w:w="0" w:type="dxa"/>
        <w:bottom w:w="0" w:type="dxa"/>
      </w:tblCellMar>
    </w:tblPr>
  </w:style>
  <w:style w:type="table" w:styleId="1076" w:customStyle="1">
    <w:name w:val="List Table 2 - Accent 5"/>
    <w:uiPriority w:val="99"/>
    <w:qFormat/>
    <w:rPr>
      <w:rFonts w:ascii="Calibri" w:hAnsi="Calibri"/>
    </w:rPr>
    <w:tblPr>
      <w:tblCellMar>
        <w:left w:w="0" w:type="dxa"/>
        <w:top w:w="0" w:type="dxa"/>
        <w:right w:w="0" w:type="dxa"/>
        <w:bottom w:w="0" w:type="dxa"/>
      </w:tblCellMar>
    </w:tblPr>
  </w:style>
  <w:style w:type="table" w:styleId="1077" w:customStyle="1">
    <w:name w:val="List Table 2 - Accent 6"/>
    <w:uiPriority w:val="99"/>
    <w:qFormat/>
    <w:rPr>
      <w:rFonts w:ascii="Calibri" w:hAnsi="Calibri"/>
    </w:rPr>
    <w:tblPr>
      <w:tblCellMar>
        <w:left w:w="0" w:type="dxa"/>
        <w:top w:w="0" w:type="dxa"/>
        <w:right w:w="0" w:type="dxa"/>
        <w:bottom w:w="0" w:type="dxa"/>
      </w:tblCellMar>
    </w:tblPr>
  </w:style>
  <w:style w:type="table" w:styleId="1078" w:customStyle="1">
    <w:name w:val="List Table 3"/>
    <w:uiPriority w:val="99"/>
    <w:qFormat/>
    <w:rPr>
      <w:rFonts w:ascii="Calibri" w:hAnsi="Calibri"/>
    </w:rPr>
    <w:tblPr>
      <w:tblCellMar>
        <w:left w:w="0" w:type="dxa"/>
        <w:top w:w="0" w:type="dxa"/>
        <w:right w:w="0" w:type="dxa"/>
        <w:bottom w:w="0" w:type="dxa"/>
      </w:tblCellMar>
    </w:tblPr>
  </w:style>
  <w:style w:type="table" w:styleId="1079" w:customStyle="1">
    <w:name w:val="List Table 3 - Accent 1"/>
    <w:uiPriority w:val="99"/>
    <w:qFormat/>
    <w:rPr>
      <w:rFonts w:ascii="Calibri" w:hAnsi="Calibri"/>
    </w:rPr>
    <w:tblPr>
      <w:tblCellMar>
        <w:left w:w="0" w:type="dxa"/>
        <w:top w:w="0" w:type="dxa"/>
        <w:right w:w="0" w:type="dxa"/>
        <w:bottom w:w="0" w:type="dxa"/>
      </w:tblCellMar>
    </w:tblPr>
  </w:style>
  <w:style w:type="table" w:styleId="1080" w:customStyle="1">
    <w:name w:val="List Table 3 - Accent 2"/>
    <w:uiPriority w:val="99"/>
    <w:qFormat/>
    <w:rPr>
      <w:rFonts w:ascii="Calibri" w:hAnsi="Calibri"/>
    </w:rPr>
    <w:tblPr>
      <w:tblCellMar>
        <w:left w:w="0" w:type="dxa"/>
        <w:top w:w="0" w:type="dxa"/>
        <w:right w:w="0" w:type="dxa"/>
        <w:bottom w:w="0" w:type="dxa"/>
      </w:tblCellMar>
    </w:tblPr>
  </w:style>
  <w:style w:type="table" w:styleId="1081" w:customStyle="1">
    <w:name w:val="List Table 3 - Accent 3"/>
    <w:uiPriority w:val="99"/>
    <w:qFormat/>
    <w:rPr>
      <w:rFonts w:ascii="Calibri" w:hAnsi="Calibri"/>
    </w:rPr>
    <w:tblPr>
      <w:tblCellMar>
        <w:left w:w="0" w:type="dxa"/>
        <w:top w:w="0" w:type="dxa"/>
        <w:right w:w="0" w:type="dxa"/>
        <w:bottom w:w="0" w:type="dxa"/>
      </w:tblCellMar>
    </w:tblPr>
  </w:style>
  <w:style w:type="table" w:styleId="1082" w:customStyle="1">
    <w:name w:val="List Table 3 - Accent 4"/>
    <w:uiPriority w:val="99"/>
    <w:qFormat/>
    <w:rPr>
      <w:rFonts w:ascii="Calibri" w:hAnsi="Calibri"/>
    </w:rPr>
    <w:tblPr>
      <w:tblCellMar>
        <w:left w:w="0" w:type="dxa"/>
        <w:top w:w="0" w:type="dxa"/>
        <w:right w:w="0" w:type="dxa"/>
        <w:bottom w:w="0" w:type="dxa"/>
      </w:tblCellMar>
    </w:tblPr>
  </w:style>
  <w:style w:type="table" w:styleId="1083" w:customStyle="1">
    <w:name w:val="List Table 3 - Accent 5"/>
    <w:uiPriority w:val="99"/>
    <w:qFormat/>
    <w:rPr>
      <w:rFonts w:ascii="Calibri" w:hAnsi="Calibri"/>
    </w:rPr>
    <w:tblPr>
      <w:tblCellMar>
        <w:left w:w="0" w:type="dxa"/>
        <w:top w:w="0" w:type="dxa"/>
        <w:right w:w="0" w:type="dxa"/>
        <w:bottom w:w="0" w:type="dxa"/>
      </w:tblCellMar>
    </w:tblPr>
  </w:style>
  <w:style w:type="table" w:styleId="1084" w:customStyle="1">
    <w:name w:val="List Table 3 - Accent 6"/>
    <w:uiPriority w:val="99"/>
    <w:qFormat/>
    <w:rPr>
      <w:rFonts w:ascii="Calibri" w:hAnsi="Calibri"/>
    </w:rPr>
    <w:tblPr>
      <w:tblCellMar>
        <w:left w:w="0" w:type="dxa"/>
        <w:top w:w="0" w:type="dxa"/>
        <w:right w:w="0" w:type="dxa"/>
        <w:bottom w:w="0" w:type="dxa"/>
      </w:tblCellMar>
    </w:tblPr>
  </w:style>
  <w:style w:type="table" w:styleId="1085" w:customStyle="1">
    <w:name w:val="List Table 4"/>
    <w:uiPriority w:val="99"/>
    <w:qFormat/>
    <w:rPr>
      <w:rFonts w:ascii="Calibri" w:hAnsi="Calibri"/>
    </w:rPr>
    <w:tblPr>
      <w:tblCellMar>
        <w:left w:w="0" w:type="dxa"/>
        <w:top w:w="0" w:type="dxa"/>
        <w:right w:w="0" w:type="dxa"/>
        <w:bottom w:w="0" w:type="dxa"/>
      </w:tblCellMar>
    </w:tblPr>
  </w:style>
  <w:style w:type="table" w:styleId="1086" w:customStyle="1">
    <w:name w:val="List Table 4 - Accent 1"/>
    <w:uiPriority w:val="99"/>
    <w:qFormat/>
    <w:rPr>
      <w:rFonts w:ascii="Calibri" w:hAnsi="Calibri"/>
    </w:rPr>
    <w:tblPr>
      <w:tblCellMar>
        <w:left w:w="0" w:type="dxa"/>
        <w:top w:w="0" w:type="dxa"/>
        <w:right w:w="0" w:type="dxa"/>
        <w:bottom w:w="0" w:type="dxa"/>
      </w:tblCellMar>
    </w:tblPr>
  </w:style>
  <w:style w:type="table" w:styleId="1087" w:customStyle="1">
    <w:name w:val="List Table 4 - Accent 2"/>
    <w:uiPriority w:val="99"/>
    <w:qFormat/>
    <w:rPr>
      <w:rFonts w:ascii="Calibri" w:hAnsi="Calibri"/>
    </w:rPr>
    <w:tblPr>
      <w:tblCellMar>
        <w:left w:w="0" w:type="dxa"/>
        <w:top w:w="0" w:type="dxa"/>
        <w:right w:w="0" w:type="dxa"/>
        <w:bottom w:w="0" w:type="dxa"/>
      </w:tblCellMar>
    </w:tblPr>
  </w:style>
  <w:style w:type="table" w:styleId="1088" w:customStyle="1">
    <w:name w:val="List Table 4 - Accent 3"/>
    <w:uiPriority w:val="99"/>
    <w:qFormat/>
    <w:rPr>
      <w:rFonts w:ascii="Calibri" w:hAnsi="Calibri"/>
    </w:rPr>
    <w:tblPr>
      <w:tblCellMar>
        <w:left w:w="0" w:type="dxa"/>
        <w:top w:w="0" w:type="dxa"/>
        <w:right w:w="0" w:type="dxa"/>
        <w:bottom w:w="0" w:type="dxa"/>
      </w:tblCellMar>
    </w:tblPr>
  </w:style>
  <w:style w:type="table" w:styleId="1089" w:customStyle="1">
    <w:name w:val="List Table 4 - Accent 4"/>
    <w:uiPriority w:val="99"/>
    <w:qFormat/>
    <w:rPr>
      <w:rFonts w:ascii="Calibri" w:hAnsi="Calibri"/>
    </w:rPr>
    <w:tblPr>
      <w:tblCellMar>
        <w:left w:w="0" w:type="dxa"/>
        <w:top w:w="0" w:type="dxa"/>
        <w:right w:w="0" w:type="dxa"/>
        <w:bottom w:w="0" w:type="dxa"/>
      </w:tblCellMar>
    </w:tblPr>
  </w:style>
  <w:style w:type="table" w:styleId="1090" w:customStyle="1">
    <w:name w:val="List Table 4 - Accent 5"/>
    <w:uiPriority w:val="99"/>
    <w:qFormat/>
    <w:rPr>
      <w:rFonts w:ascii="Calibri" w:hAnsi="Calibri"/>
    </w:rPr>
    <w:tblPr>
      <w:tblCellMar>
        <w:left w:w="0" w:type="dxa"/>
        <w:top w:w="0" w:type="dxa"/>
        <w:right w:w="0" w:type="dxa"/>
        <w:bottom w:w="0" w:type="dxa"/>
      </w:tblCellMar>
    </w:tblPr>
  </w:style>
  <w:style w:type="table" w:styleId="1091" w:customStyle="1">
    <w:name w:val="List Table 4 - Accent 6"/>
    <w:uiPriority w:val="99"/>
    <w:qFormat/>
    <w:rPr>
      <w:rFonts w:ascii="Calibri" w:hAnsi="Calibri"/>
    </w:rPr>
    <w:tblPr>
      <w:tblCellMar>
        <w:left w:w="0" w:type="dxa"/>
        <w:top w:w="0" w:type="dxa"/>
        <w:right w:w="0" w:type="dxa"/>
        <w:bottom w:w="0" w:type="dxa"/>
      </w:tblCellMar>
    </w:tblPr>
  </w:style>
  <w:style w:type="table" w:styleId="1092" w:customStyle="1">
    <w:name w:val="List Table 5 Dark"/>
    <w:uiPriority w:val="99"/>
    <w:qFormat/>
    <w:rPr>
      <w:rFonts w:ascii="Calibri" w:hAnsi="Calibri"/>
    </w:rPr>
    <w:tblPr>
      <w:tblCellMar>
        <w:left w:w="0" w:type="dxa"/>
        <w:top w:w="0" w:type="dxa"/>
        <w:right w:w="0" w:type="dxa"/>
        <w:bottom w:w="0" w:type="dxa"/>
      </w:tblCellMar>
    </w:tblPr>
  </w:style>
  <w:style w:type="table" w:styleId="1093" w:customStyle="1">
    <w:name w:val="List Table 5 Dark - Accent 1"/>
    <w:uiPriority w:val="99"/>
    <w:qFormat/>
    <w:rPr>
      <w:rFonts w:ascii="Calibri" w:hAnsi="Calibri"/>
    </w:rPr>
    <w:tblPr>
      <w:tblCellMar>
        <w:left w:w="0" w:type="dxa"/>
        <w:top w:w="0" w:type="dxa"/>
        <w:right w:w="0" w:type="dxa"/>
        <w:bottom w:w="0" w:type="dxa"/>
      </w:tblCellMar>
    </w:tblPr>
  </w:style>
  <w:style w:type="table" w:styleId="1094" w:customStyle="1">
    <w:name w:val="List Table 5 Dark - Accent 2"/>
    <w:uiPriority w:val="99"/>
    <w:qFormat/>
    <w:rPr>
      <w:rFonts w:ascii="Calibri" w:hAnsi="Calibri"/>
    </w:rPr>
    <w:tblPr>
      <w:tblCellMar>
        <w:left w:w="0" w:type="dxa"/>
        <w:top w:w="0" w:type="dxa"/>
        <w:right w:w="0" w:type="dxa"/>
        <w:bottom w:w="0" w:type="dxa"/>
      </w:tblCellMar>
    </w:tblPr>
  </w:style>
  <w:style w:type="table" w:styleId="1095" w:customStyle="1">
    <w:name w:val="List Table 5 Dark - Accent 3"/>
    <w:uiPriority w:val="99"/>
    <w:qFormat/>
    <w:rPr>
      <w:rFonts w:ascii="Calibri" w:hAnsi="Calibri"/>
    </w:rPr>
    <w:tblPr>
      <w:tblCellMar>
        <w:left w:w="0" w:type="dxa"/>
        <w:top w:w="0" w:type="dxa"/>
        <w:right w:w="0" w:type="dxa"/>
        <w:bottom w:w="0" w:type="dxa"/>
      </w:tblCellMar>
    </w:tblPr>
  </w:style>
  <w:style w:type="table" w:styleId="1096" w:customStyle="1">
    <w:name w:val="List Table 5 Dark - Accent 4"/>
    <w:uiPriority w:val="99"/>
    <w:qFormat/>
    <w:rPr>
      <w:rFonts w:ascii="Calibri" w:hAnsi="Calibri"/>
    </w:rPr>
    <w:tblPr>
      <w:tblCellMar>
        <w:left w:w="0" w:type="dxa"/>
        <w:top w:w="0" w:type="dxa"/>
        <w:right w:w="0" w:type="dxa"/>
        <w:bottom w:w="0" w:type="dxa"/>
      </w:tblCellMar>
    </w:tblPr>
  </w:style>
  <w:style w:type="table" w:styleId="1097" w:customStyle="1">
    <w:name w:val="List Table 5 Dark - Accent 5"/>
    <w:uiPriority w:val="99"/>
    <w:qFormat/>
    <w:rPr>
      <w:rFonts w:ascii="Calibri" w:hAnsi="Calibri"/>
    </w:rPr>
    <w:tblPr>
      <w:tblCellMar>
        <w:left w:w="0" w:type="dxa"/>
        <w:top w:w="0" w:type="dxa"/>
        <w:right w:w="0" w:type="dxa"/>
        <w:bottom w:w="0" w:type="dxa"/>
      </w:tblCellMar>
    </w:tblPr>
  </w:style>
  <w:style w:type="table" w:styleId="1098" w:customStyle="1">
    <w:name w:val="List Table 5 Dark - Accent 6"/>
    <w:uiPriority w:val="99"/>
    <w:qFormat/>
    <w:rPr>
      <w:rFonts w:ascii="Calibri" w:hAnsi="Calibri"/>
    </w:rPr>
    <w:tblPr>
      <w:tblCellMar>
        <w:left w:w="0" w:type="dxa"/>
        <w:top w:w="0" w:type="dxa"/>
        <w:right w:w="0" w:type="dxa"/>
        <w:bottom w:w="0" w:type="dxa"/>
      </w:tblCellMar>
    </w:tblPr>
  </w:style>
  <w:style w:type="table" w:styleId="1099" w:customStyle="1">
    <w:name w:val="List Table 6 Colorful"/>
    <w:uiPriority w:val="99"/>
    <w:qFormat/>
    <w:rPr>
      <w:rFonts w:ascii="Calibri" w:hAnsi="Calibri"/>
    </w:rPr>
    <w:tblPr>
      <w:tblCellMar>
        <w:left w:w="0" w:type="dxa"/>
        <w:top w:w="0" w:type="dxa"/>
        <w:right w:w="0" w:type="dxa"/>
        <w:bottom w:w="0" w:type="dxa"/>
      </w:tblCellMar>
    </w:tblPr>
  </w:style>
  <w:style w:type="table" w:styleId="1100"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101"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102"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103"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104"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105"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106" w:customStyle="1">
    <w:name w:val="List Table 7 Colorful"/>
    <w:uiPriority w:val="99"/>
    <w:qFormat/>
    <w:rPr>
      <w:rFonts w:ascii="Calibri" w:hAnsi="Calibri"/>
    </w:rPr>
    <w:tblPr>
      <w:tblCellMar>
        <w:left w:w="0" w:type="dxa"/>
        <w:top w:w="0" w:type="dxa"/>
        <w:right w:w="0" w:type="dxa"/>
        <w:bottom w:w="0" w:type="dxa"/>
      </w:tblCellMar>
    </w:tblPr>
  </w:style>
  <w:style w:type="table" w:styleId="1107"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108"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109"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110"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111"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112"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113"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114"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115"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116"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117"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118"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119"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120"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121"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122"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123"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124"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125"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126"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127" w:customStyle="1">
    <w:name w:val="Bordered"/>
    <w:uiPriority w:val="99"/>
    <w:qFormat/>
    <w:rPr>
      <w:rFonts w:ascii="Calibri" w:hAnsi="Calibri"/>
    </w:rPr>
    <w:tblPr>
      <w:tblCellMar>
        <w:left w:w="0" w:type="dxa"/>
        <w:top w:w="0" w:type="dxa"/>
        <w:right w:w="0" w:type="dxa"/>
        <w:bottom w:w="0" w:type="dxa"/>
      </w:tblCellMar>
    </w:tblPr>
  </w:style>
  <w:style w:type="table" w:styleId="1128" w:customStyle="1">
    <w:name w:val="Bordered - Accent 1"/>
    <w:uiPriority w:val="99"/>
    <w:qFormat/>
    <w:rPr>
      <w:rFonts w:ascii="Calibri" w:hAnsi="Calibri"/>
    </w:rPr>
    <w:tblPr>
      <w:tblCellMar>
        <w:left w:w="0" w:type="dxa"/>
        <w:top w:w="0" w:type="dxa"/>
        <w:right w:w="0" w:type="dxa"/>
        <w:bottom w:w="0" w:type="dxa"/>
      </w:tblCellMar>
    </w:tblPr>
  </w:style>
  <w:style w:type="table" w:styleId="1129" w:customStyle="1">
    <w:name w:val="Bordered - Accent 2"/>
    <w:uiPriority w:val="99"/>
    <w:qFormat/>
    <w:rPr>
      <w:rFonts w:ascii="Calibri" w:hAnsi="Calibri"/>
    </w:rPr>
    <w:tblPr>
      <w:tblCellMar>
        <w:left w:w="0" w:type="dxa"/>
        <w:top w:w="0" w:type="dxa"/>
        <w:right w:w="0" w:type="dxa"/>
        <w:bottom w:w="0" w:type="dxa"/>
      </w:tblCellMar>
    </w:tblPr>
  </w:style>
  <w:style w:type="table" w:styleId="1130" w:customStyle="1">
    <w:name w:val="Bordered - Accent 3"/>
    <w:uiPriority w:val="99"/>
    <w:qFormat/>
    <w:rPr>
      <w:rFonts w:ascii="Calibri" w:hAnsi="Calibri"/>
    </w:rPr>
    <w:tblPr>
      <w:tblCellMar>
        <w:left w:w="0" w:type="dxa"/>
        <w:top w:w="0" w:type="dxa"/>
        <w:right w:w="0" w:type="dxa"/>
        <w:bottom w:w="0" w:type="dxa"/>
      </w:tblCellMar>
    </w:tblPr>
  </w:style>
  <w:style w:type="table" w:styleId="1131" w:customStyle="1">
    <w:name w:val="Bordered - Accent 4"/>
    <w:uiPriority w:val="99"/>
    <w:qFormat/>
    <w:rPr>
      <w:rFonts w:ascii="Calibri" w:hAnsi="Calibri"/>
    </w:rPr>
    <w:tblPr>
      <w:tblCellMar>
        <w:left w:w="0" w:type="dxa"/>
        <w:top w:w="0" w:type="dxa"/>
        <w:right w:w="0" w:type="dxa"/>
        <w:bottom w:w="0" w:type="dxa"/>
      </w:tblCellMar>
    </w:tblPr>
  </w:style>
  <w:style w:type="table" w:styleId="1132" w:customStyle="1">
    <w:name w:val="Bordered - Accent 5"/>
    <w:uiPriority w:val="99"/>
    <w:qFormat/>
    <w:rPr>
      <w:rFonts w:ascii="Calibri" w:hAnsi="Calibri"/>
    </w:rPr>
    <w:tblPr>
      <w:tblCellMar>
        <w:left w:w="0" w:type="dxa"/>
        <w:top w:w="0" w:type="dxa"/>
        <w:right w:w="0" w:type="dxa"/>
        <w:bottom w:w="0" w:type="dxa"/>
      </w:tblCellMar>
    </w:tblPr>
  </w:style>
  <w:style w:type="table" w:styleId="1133" w:customStyle="1">
    <w:name w:val="Bordered - Accent 6"/>
    <w:uiPriority w:val="99"/>
    <w:qFormat/>
    <w:rPr>
      <w:rFonts w:ascii="Calibri" w:hAnsi="Calibri"/>
    </w:rPr>
    <w:tblPr>
      <w:tblCellMar>
        <w:left w:w="0" w:type="dxa"/>
        <w:top w:w="0" w:type="dxa"/>
        <w:right w:w="0" w:type="dxa"/>
        <w:bottom w:w="0" w:type="dxa"/>
      </w:tblCellMar>
    </w:tblPr>
  </w:style>
  <w:style w:type="paragraph" w:styleId="1134" w:customStyle="1">
    <w:name w:val="TOC 标题1"/>
    <w:uiPriority w:val="39"/>
    <w:unhideWhenUsed/>
    <w:qFormat/>
    <w:rPr>
      <w:rFonts w:hint="default" w:ascii="Calibri" w:hAnsi="Calibri" w:eastAsia="宋体" w:cs="Times New Roman"/>
      <w:lang w:val="en-US" w:eastAsia="zh-CN" w:bidi="ar-SA"/>
    </w:rPr>
  </w:style>
  <w:style w:type="paragraph" w:styleId="1135" w:customStyle="1">
    <w:name w:val="标题 11"/>
    <w:basedOn w:val="811"/>
    <w:next w:val="811"/>
    <w:link w:val="1136"/>
    <w:uiPriority w:val="0"/>
    <w:qFormat/>
    <w:pPr>
      <w:jc w:val="center"/>
      <w:keepNext/>
      <w:outlineLvl w:val="0"/>
    </w:pPr>
    <w:rPr>
      <w:rFonts w:ascii="楷体_GB2312" w:hAnsi="Times New Roman" w:eastAsia="楷体_GB2312"/>
      <w:sz w:val="28"/>
      <w:szCs w:val="28"/>
      <w:lang w:eastAsia="en-US"/>
    </w:rPr>
  </w:style>
  <w:style w:type="character" w:styleId="1136" w:customStyle="1">
    <w:name w:val="标题 1 Char"/>
    <w:link w:val="1135"/>
    <w:uiPriority w:val="0"/>
    <w:qFormat/>
    <w:rPr>
      <w:rFonts w:ascii="楷体_GB2312" w:hAnsi="Times New Roman" w:eastAsia="楷体_GB2312" w:cs="Times New Roman"/>
      <w:sz w:val="28"/>
      <w:szCs w:val="28"/>
      <w:lang w:eastAsia="en-US"/>
    </w:rPr>
  </w:style>
  <w:style w:type="paragraph" w:styleId="1137" w:customStyle="1">
    <w:name w:val="标题 21"/>
    <w:basedOn w:val="811"/>
    <w:next w:val="1138"/>
    <w:link w:val="1139"/>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138" w:customStyle="1">
    <w:name w:val="正文缩进1"/>
    <w:basedOn w:val="811"/>
    <w:link w:val="1140"/>
    <w:uiPriority w:val="0"/>
    <w:qFormat/>
    <w:pPr>
      <w:ind w:firstLine="420"/>
    </w:pPr>
    <w:rPr>
      <w:rFonts w:ascii="Times New Roman" w:hAnsi="Times New Roman" w:eastAsia="宋体"/>
      <w:sz w:val="20"/>
      <w:szCs w:val="21"/>
      <w:lang w:eastAsia="en-US"/>
    </w:rPr>
  </w:style>
  <w:style w:type="character" w:styleId="1139" w:customStyle="1">
    <w:name w:val="标题 2 Char"/>
    <w:link w:val="1137"/>
    <w:uiPriority w:val="0"/>
    <w:qFormat/>
    <w:rPr>
      <w:rFonts w:ascii="Arial" w:hAnsi="Arial" w:eastAsia="幼圆" w:cs="Times New Roman"/>
      <w:b/>
      <w:bCs/>
      <w:sz w:val="44"/>
      <w:szCs w:val="44"/>
      <w:lang w:eastAsia="en-US"/>
    </w:rPr>
  </w:style>
  <w:style w:type="character" w:styleId="1140" w:customStyle="1">
    <w:name w:val="正文缩进 Char"/>
    <w:link w:val="1138"/>
    <w:uiPriority w:val="0"/>
    <w:qFormat/>
    <w:rPr>
      <w:rFonts w:ascii="Times New Roman" w:hAnsi="Times New Roman" w:eastAsia="宋体" w:cs="Times New Roman"/>
      <w:szCs w:val="21"/>
      <w:lang w:eastAsia="en-US"/>
    </w:rPr>
  </w:style>
  <w:style w:type="paragraph" w:styleId="1141" w:customStyle="1">
    <w:name w:val="标题 41"/>
    <w:basedOn w:val="811"/>
    <w:next w:val="1138"/>
    <w:link w:val="1142"/>
    <w:uiPriority w:val="0"/>
    <w:qFormat/>
    <w:pPr>
      <w:keepLines/>
      <w:keepNext/>
      <w:spacing w:before="280" w:after="290" w:line="376" w:lineRule="auto"/>
      <w:outlineLvl w:val="3"/>
    </w:pPr>
    <w:rPr>
      <w:rFonts w:ascii="Arial" w:hAnsi="Arial" w:eastAsia="黑体"/>
      <w:b/>
      <w:bCs/>
      <w:sz w:val="28"/>
      <w:szCs w:val="28"/>
      <w:lang w:eastAsia="en-US"/>
    </w:rPr>
  </w:style>
  <w:style w:type="character" w:styleId="1142" w:customStyle="1">
    <w:name w:val="标题 4 Char"/>
    <w:link w:val="1141"/>
    <w:uiPriority w:val="0"/>
    <w:qFormat/>
    <w:rPr>
      <w:rFonts w:ascii="Arial" w:hAnsi="Arial" w:eastAsia="黑体" w:cs="Times New Roman"/>
      <w:b/>
      <w:bCs/>
      <w:sz w:val="28"/>
      <w:szCs w:val="28"/>
      <w:lang w:eastAsia="en-US"/>
    </w:rPr>
  </w:style>
  <w:style w:type="paragraph" w:styleId="1143" w:customStyle="1">
    <w:name w:val="标题 51"/>
    <w:basedOn w:val="811"/>
    <w:next w:val="1138"/>
    <w:link w:val="1144"/>
    <w:uiPriority w:val="0"/>
    <w:qFormat/>
    <w:pPr>
      <w:keepNext/>
      <w:outlineLvl w:val="4"/>
    </w:pPr>
    <w:rPr>
      <w:rFonts w:ascii="宋体" w:hAnsi="Times New Roman" w:eastAsia="宋体"/>
      <w:color w:val="000000"/>
      <w:sz w:val="28"/>
      <w:szCs w:val="28"/>
      <w:lang w:eastAsia="en-US"/>
    </w:rPr>
  </w:style>
  <w:style w:type="character" w:styleId="1144" w:customStyle="1">
    <w:name w:val="标题 5 Char"/>
    <w:link w:val="1143"/>
    <w:uiPriority w:val="0"/>
    <w:qFormat/>
    <w:rPr>
      <w:rFonts w:ascii="宋体" w:hAnsi="Times New Roman" w:eastAsia="宋体" w:cs="Times New Roman"/>
      <w:color w:val="000000"/>
      <w:sz w:val="28"/>
      <w:szCs w:val="28"/>
      <w:lang w:eastAsia="en-US"/>
    </w:rPr>
  </w:style>
  <w:style w:type="paragraph" w:styleId="1145" w:customStyle="1">
    <w:name w:val="标题 61"/>
    <w:basedOn w:val="811"/>
    <w:next w:val="811"/>
    <w:link w:val="1146"/>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146" w:customStyle="1">
    <w:name w:val="标题 6 Char"/>
    <w:link w:val="1145"/>
    <w:uiPriority w:val="0"/>
    <w:qFormat/>
    <w:rPr>
      <w:rFonts w:ascii="Arial" w:hAnsi="Arial" w:eastAsia="黑体" w:cs="Times New Roman"/>
      <w:b/>
      <w:bCs/>
      <w:sz w:val="24"/>
      <w:szCs w:val="24"/>
      <w:lang w:eastAsia="en-US"/>
    </w:rPr>
  </w:style>
  <w:style w:type="paragraph" w:styleId="1147" w:customStyle="1">
    <w:name w:val="标题 71"/>
    <w:basedOn w:val="811"/>
    <w:next w:val="811"/>
    <w:link w:val="1148"/>
    <w:uiPriority w:val="0"/>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148" w:customStyle="1">
    <w:name w:val="标题 7 Char"/>
    <w:link w:val="1147"/>
    <w:uiPriority w:val="0"/>
    <w:qFormat/>
    <w:rPr>
      <w:rFonts w:ascii="Times New Roman" w:hAnsi="Times New Roman" w:eastAsia="宋体" w:cs="Times New Roman"/>
      <w:b/>
      <w:bCs/>
      <w:sz w:val="24"/>
      <w:szCs w:val="24"/>
      <w:lang w:eastAsia="en-US"/>
    </w:rPr>
  </w:style>
  <w:style w:type="paragraph" w:styleId="1149" w:customStyle="1">
    <w:name w:val="标题 81"/>
    <w:basedOn w:val="811"/>
    <w:next w:val="811"/>
    <w:link w:val="1150"/>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150" w:customStyle="1">
    <w:name w:val="标题 8 Char"/>
    <w:link w:val="1149"/>
    <w:uiPriority w:val="0"/>
    <w:qFormat/>
    <w:rPr>
      <w:rFonts w:ascii="Arial" w:hAnsi="Arial" w:eastAsia="黑体" w:cs="Times New Roman"/>
      <w:sz w:val="24"/>
      <w:szCs w:val="24"/>
      <w:lang w:eastAsia="en-US"/>
    </w:rPr>
  </w:style>
  <w:style w:type="paragraph" w:styleId="1151" w:customStyle="1">
    <w:name w:val="标题 91"/>
    <w:basedOn w:val="811"/>
    <w:next w:val="811"/>
    <w:link w:val="1152"/>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152" w:customStyle="1">
    <w:name w:val="标题 9 Char"/>
    <w:link w:val="1151"/>
    <w:uiPriority w:val="0"/>
    <w:qFormat/>
    <w:rPr>
      <w:rFonts w:ascii="Arial" w:hAnsi="Arial" w:eastAsia="黑体" w:cs="Times New Roman"/>
      <w:szCs w:val="21"/>
      <w:lang w:eastAsia="en-US"/>
    </w:rPr>
  </w:style>
  <w:style w:type="character" w:styleId="1153" w:customStyle="1">
    <w:name w:val="默认段落字体1"/>
    <w:uiPriority w:val="1"/>
    <w:unhideWhenUsed/>
    <w:qFormat/>
  </w:style>
  <w:style w:type="table" w:styleId="1154"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155" w:customStyle="1">
    <w:name w:val="列表 31"/>
    <w:basedOn w:val="811"/>
    <w:uiPriority w:val="0"/>
    <w:qFormat/>
    <w:pPr>
      <w:ind w:left="100" w:hanging="200"/>
    </w:pPr>
    <w:rPr>
      <w:rFonts w:ascii="Times New Roman" w:hAnsi="Times New Roman" w:eastAsia="宋体"/>
      <w:szCs w:val="21"/>
    </w:rPr>
  </w:style>
  <w:style w:type="paragraph" w:styleId="1156" w:customStyle="1">
    <w:name w:val="目录 711"/>
    <w:basedOn w:val="811"/>
    <w:next w:val="811"/>
    <w:uiPriority w:val="0"/>
    <w:semiHidden/>
    <w:qFormat/>
    <w:pPr>
      <w:ind w:left="1260"/>
      <w:jc w:val="left"/>
    </w:pPr>
    <w:rPr>
      <w:rFonts w:ascii="Times New Roman" w:hAnsi="Times New Roman" w:eastAsia="宋体"/>
      <w:szCs w:val="21"/>
    </w:rPr>
  </w:style>
  <w:style w:type="paragraph" w:styleId="1157" w:customStyle="1">
    <w:name w:val="文档结构图1"/>
    <w:basedOn w:val="811"/>
    <w:link w:val="1158"/>
    <w:uiPriority w:val="0"/>
    <w:semiHidden/>
    <w:qFormat/>
    <w:pPr>
      <w:shd w:val="clear" w:color="auto" w:fill="000080"/>
    </w:pPr>
    <w:rPr>
      <w:rFonts w:ascii="Times New Roman" w:hAnsi="Times New Roman" w:eastAsia="宋体"/>
      <w:sz w:val="20"/>
      <w:szCs w:val="21"/>
      <w:lang w:eastAsia="en-US"/>
    </w:rPr>
  </w:style>
  <w:style w:type="character" w:styleId="1158" w:customStyle="1">
    <w:name w:val="文档结构图 Char"/>
    <w:link w:val="1157"/>
    <w:uiPriority w:val="0"/>
    <w:semiHidden/>
    <w:qFormat/>
    <w:rPr>
      <w:rFonts w:ascii="Times New Roman" w:hAnsi="Times New Roman" w:eastAsia="宋体" w:cs="Times New Roman"/>
      <w:szCs w:val="21"/>
      <w:shd w:val="clear" w:color="auto" w:fill="000080"/>
      <w:lang w:eastAsia="en-US"/>
    </w:rPr>
  </w:style>
  <w:style w:type="paragraph" w:styleId="1159" w:customStyle="1">
    <w:name w:val="批注文字1"/>
    <w:basedOn w:val="811"/>
    <w:link w:val="1160"/>
    <w:uiPriority w:val="0"/>
    <w:semiHidden/>
    <w:qFormat/>
    <w:pPr>
      <w:jc w:val="left"/>
    </w:pPr>
    <w:rPr>
      <w:rFonts w:ascii="Times New Roman" w:hAnsi="Times New Roman" w:eastAsia="宋体"/>
      <w:sz w:val="20"/>
      <w:szCs w:val="21"/>
      <w:lang w:eastAsia="en-US"/>
    </w:rPr>
  </w:style>
  <w:style w:type="character" w:styleId="1160" w:customStyle="1">
    <w:name w:val="批注文字 Char"/>
    <w:link w:val="1159"/>
    <w:uiPriority w:val="0"/>
    <w:semiHidden/>
    <w:qFormat/>
    <w:rPr>
      <w:rFonts w:ascii="Times New Roman" w:hAnsi="Times New Roman" w:eastAsia="宋体" w:cs="Times New Roman"/>
      <w:szCs w:val="21"/>
      <w:lang w:eastAsia="en-US"/>
    </w:rPr>
  </w:style>
  <w:style w:type="paragraph" w:styleId="1161" w:customStyle="1">
    <w:name w:val="正文文本 31"/>
    <w:basedOn w:val="811"/>
    <w:link w:val="1162"/>
    <w:uiPriority w:val="0"/>
    <w:qFormat/>
    <w:rPr>
      <w:rFonts w:ascii="仿宋_GB2312" w:hAnsi="Arial" w:eastAsia="仿宋_GB2312"/>
      <w:sz w:val="32"/>
      <w:szCs w:val="32"/>
      <w:lang w:eastAsia="en-US"/>
    </w:rPr>
  </w:style>
  <w:style w:type="character" w:styleId="1162" w:customStyle="1">
    <w:name w:val="正文文本 3 Char"/>
    <w:link w:val="1161"/>
    <w:uiPriority w:val="0"/>
    <w:qFormat/>
    <w:rPr>
      <w:rFonts w:ascii="仿宋_GB2312" w:hAnsi="Arial" w:eastAsia="仿宋_GB2312" w:cs="Times New Roman"/>
      <w:sz w:val="32"/>
      <w:szCs w:val="32"/>
      <w:lang w:eastAsia="en-US"/>
    </w:rPr>
  </w:style>
  <w:style w:type="paragraph" w:styleId="1163" w:customStyle="1">
    <w:name w:val="正文文本1"/>
    <w:basedOn w:val="811"/>
    <w:next w:val="811"/>
    <w:link w:val="1164"/>
    <w:uiPriority w:val="0"/>
    <w:qFormat/>
    <w:rPr>
      <w:rFonts w:ascii="楷体_GB2312" w:hAnsi="Arial" w:eastAsia="楷体_GB2312"/>
      <w:sz w:val="28"/>
      <w:szCs w:val="28"/>
      <w:lang w:eastAsia="en-US"/>
    </w:rPr>
  </w:style>
  <w:style w:type="character" w:styleId="1164" w:customStyle="1">
    <w:name w:val="正文文本 Char"/>
    <w:link w:val="1163"/>
    <w:uiPriority w:val="0"/>
    <w:qFormat/>
    <w:rPr>
      <w:rFonts w:ascii="楷体_GB2312" w:hAnsi="Arial" w:eastAsia="楷体_GB2312" w:cs="Times New Roman"/>
      <w:sz w:val="28"/>
      <w:szCs w:val="28"/>
      <w:lang w:eastAsia="en-US"/>
    </w:rPr>
  </w:style>
  <w:style w:type="paragraph" w:styleId="1165" w:customStyle="1">
    <w:name w:val="正文文本缩进1"/>
    <w:basedOn w:val="811"/>
    <w:link w:val="1166"/>
    <w:uiPriority w:val="0"/>
    <w:qFormat/>
    <w:pPr>
      <w:ind w:firstLine="645"/>
    </w:pPr>
    <w:rPr>
      <w:rFonts w:ascii="楷体_GB2312" w:hAnsi="Times New Roman" w:eastAsia="楷体_GB2312"/>
      <w:sz w:val="32"/>
      <w:szCs w:val="32"/>
      <w:lang w:eastAsia="en-US"/>
    </w:rPr>
  </w:style>
  <w:style w:type="character" w:styleId="1166" w:customStyle="1">
    <w:name w:val="正文文本缩进 Char"/>
    <w:link w:val="1165"/>
    <w:uiPriority w:val="0"/>
    <w:qFormat/>
    <w:rPr>
      <w:rFonts w:ascii="楷体_GB2312" w:hAnsi="Times New Roman" w:eastAsia="楷体_GB2312" w:cs="Times New Roman"/>
      <w:sz w:val="32"/>
      <w:szCs w:val="32"/>
      <w:lang w:eastAsia="en-US"/>
    </w:rPr>
  </w:style>
  <w:style w:type="paragraph" w:styleId="1167" w:customStyle="1">
    <w:name w:val="列表 21"/>
    <w:basedOn w:val="811"/>
    <w:uiPriority w:val="0"/>
    <w:qFormat/>
    <w:pPr>
      <w:ind w:left="100" w:hanging="200"/>
    </w:pPr>
    <w:rPr>
      <w:rFonts w:ascii="Times New Roman" w:hAnsi="Times New Roman" w:eastAsia="宋体"/>
      <w:szCs w:val="21"/>
    </w:rPr>
  </w:style>
  <w:style w:type="paragraph" w:styleId="1168" w:customStyle="1">
    <w:name w:val="目录 511"/>
    <w:basedOn w:val="811"/>
    <w:next w:val="811"/>
    <w:uiPriority w:val="0"/>
    <w:semiHidden/>
    <w:qFormat/>
    <w:pPr>
      <w:ind w:left="840"/>
      <w:jc w:val="left"/>
    </w:pPr>
    <w:rPr>
      <w:rFonts w:ascii="Times New Roman" w:hAnsi="Times New Roman" w:eastAsia="宋体"/>
      <w:szCs w:val="21"/>
    </w:rPr>
  </w:style>
  <w:style w:type="paragraph" w:styleId="1169" w:customStyle="1">
    <w:name w:val="目录 311"/>
    <w:basedOn w:val="811"/>
    <w:next w:val="811"/>
    <w:uiPriority w:val="0"/>
    <w:semiHidden/>
    <w:qFormat/>
    <w:pPr>
      <w:ind w:left="420"/>
      <w:jc w:val="left"/>
    </w:pPr>
    <w:rPr>
      <w:rFonts w:ascii="Times New Roman" w:hAnsi="Times New Roman" w:eastAsia="宋体"/>
      <w:i/>
      <w:iCs/>
      <w:szCs w:val="24"/>
    </w:rPr>
  </w:style>
  <w:style w:type="paragraph" w:styleId="1170" w:customStyle="1">
    <w:name w:val="纯文本1"/>
    <w:basedOn w:val="811"/>
    <w:link w:val="1171"/>
    <w:uiPriority w:val="0"/>
    <w:qFormat/>
    <w:rPr>
      <w:rFonts w:ascii="宋体" w:hAnsi="Courier New" w:eastAsia="宋体"/>
      <w:sz w:val="20"/>
      <w:szCs w:val="21"/>
      <w:lang w:eastAsia="en-US"/>
    </w:rPr>
  </w:style>
  <w:style w:type="character" w:styleId="1171" w:customStyle="1">
    <w:name w:val="纯文本 Char"/>
    <w:link w:val="1170"/>
    <w:uiPriority w:val="0"/>
    <w:qFormat/>
    <w:rPr>
      <w:rFonts w:ascii="宋体" w:hAnsi="Courier New" w:eastAsia="宋体" w:cs="Times New Roman"/>
      <w:szCs w:val="21"/>
      <w:lang w:eastAsia="en-US"/>
    </w:rPr>
  </w:style>
  <w:style w:type="paragraph" w:styleId="1172" w:customStyle="1">
    <w:name w:val="目录 811"/>
    <w:basedOn w:val="811"/>
    <w:next w:val="811"/>
    <w:uiPriority w:val="0"/>
    <w:semiHidden/>
    <w:qFormat/>
    <w:pPr>
      <w:ind w:left="1470"/>
      <w:jc w:val="left"/>
    </w:pPr>
    <w:rPr>
      <w:rFonts w:ascii="Times New Roman" w:hAnsi="Times New Roman" w:eastAsia="宋体"/>
      <w:szCs w:val="21"/>
    </w:rPr>
  </w:style>
  <w:style w:type="paragraph" w:styleId="1173" w:customStyle="1">
    <w:name w:val="日期1"/>
    <w:basedOn w:val="811"/>
    <w:next w:val="811"/>
    <w:link w:val="1174"/>
    <w:uiPriority w:val="0"/>
    <w:qFormat/>
    <w:rPr>
      <w:rFonts w:ascii="Times New Roman" w:hAnsi="Times New Roman" w:eastAsia="宋体"/>
      <w:sz w:val="24"/>
      <w:szCs w:val="24"/>
      <w:lang w:eastAsia="en-US"/>
    </w:rPr>
  </w:style>
  <w:style w:type="character" w:styleId="1174" w:customStyle="1">
    <w:name w:val="日期 Char"/>
    <w:link w:val="1173"/>
    <w:uiPriority w:val="0"/>
    <w:qFormat/>
    <w:rPr>
      <w:rFonts w:ascii="Times New Roman" w:hAnsi="Times New Roman" w:eastAsia="宋体" w:cs="Times New Roman"/>
      <w:sz w:val="24"/>
      <w:szCs w:val="24"/>
      <w:lang w:eastAsia="en-US"/>
    </w:rPr>
  </w:style>
  <w:style w:type="paragraph" w:styleId="1175" w:customStyle="1">
    <w:name w:val="正文文本缩进 21"/>
    <w:basedOn w:val="811"/>
    <w:link w:val="1176"/>
    <w:uiPriority w:val="0"/>
    <w:qFormat/>
    <w:pPr>
      <w:ind w:left="630" w:firstLine="645"/>
    </w:pPr>
    <w:rPr>
      <w:rFonts w:ascii="Arial" w:hAnsi="Arial" w:eastAsia="仿宋_GB2312"/>
      <w:sz w:val="32"/>
      <w:szCs w:val="32"/>
      <w:lang w:eastAsia="en-US"/>
    </w:rPr>
  </w:style>
  <w:style w:type="character" w:styleId="1176" w:customStyle="1">
    <w:name w:val="正文文本缩进 2 Char"/>
    <w:link w:val="1175"/>
    <w:uiPriority w:val="0"/>
    <w:qFormat/>
    <w:rPr>
      <w:rFonts w:ascii="Arial" w:hAnsi="Arial" w:eastAsia="仿宋_GB2312" w:cs="Times New Roman"/>
      <w:sz w:val="32"/>
      <w:szCs w:val="32"/>
      <w:lang w:eastAsia="en-US"/>
    </w:rPr>
  </w:style>
  <w:style w:type="paragraph" w:styleId="1177" w:customStyle="1">
    <w:name w:val="批注框文本1"/>
    <w:basedOn w:val="811"/>
    <w:link w:val="1178"/>
    <w:uiPriority w:val="0"/>
    <w:semiHidden/>
    <w:qFormat/>
    <w:rPr>
      <w:rFonts w:ascii="Times New Roman" w:hAnsi="Times New Roman" w:eastAsia="宋体"/>
      <w:sz w:val="18"/>
      <w:szCs w:val="18"/>
      <w:lang w:eastAsia="en-US"/>
    </w:rPr>
  </w:style>
  <w:style w:type="character" w:styleId="1178" w:customStyle="1">
    <w:name w:val="批注框文本 Char"/>
    <w:link w:val="1177"/>
    <w:uiPriority w:val="0"/>
    <w:semiHidden/>
    <w:qFormat/>
    <w:rPr>
      <w:rFonts w:ascii="Times New Roman" w:hAnsi="Times New Roman" w:eastAsia="宋体" w:cs="Times New Roman"/>
      <w:sz w:val="18"/>
      <w:szCs w:val="18"/>
      <w:lang w:eastAsia="en-US"/>
    </w:rPr>
  </w:style>
  <w:style w:type="paragraph" w:styleId="1179" w:customStyle="1">
    <w:name w:val="页脚1"/>
    <w:basedOn w:val="811"/>
    <w:link w:val="1180"/>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180" w:customStyle="1">
    <w:name w:val="页脚 Char"/>
    <w:link w:val="1179"/>
    <w:uiPriority w:val="0"/>
    <w:qFormat/>
    <w:rPr>
      <w:rFonts w:ascii="Times New Roman" w:hAnsi="Times New Roman" w:eastAsia="宋体" w:cs="Times New Roman"/>
      <w:sz w:val="18"/>
      <w:szCs w:val="18"/>
      <w:lang w:eastAsia="en-US"/>
    </w:rPr>
  </w:style>
  <w:style w:type="paragraph" w:styleId="1181" w:customStyle="1">
    <w:name w:val="页眉1"/>
    <w:basedOn w:val="811"/>
    <w:link w:val="1182"/>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182" w:customStyle="1">
    <w:name w:val="页眉 Char"/>
    <w:link w:val="1181"/>
    <w:uiPriority w:val="99"/>
    <w:qFormat/>
    <w:rPr>
      <w:rFonts w:ascii="Times New Roman" w:hAnsi="Times New Roman" w:eastAsia="宋体" w:cs="Times New Roman"/>
      <w:sz w:val="18"/>
      <w:szCs w:val="18"/>
      <w:lang w:eastAsia="en-US"/>
    </w:rPr>
  </w:style>
  <w:style w:type="paragraph" w:styleId="1183" w:customStyle="1">
    <w:name w:val="目录 1111"/>
    <w:basedOn w:val="811"/>
    <w:next w:val="811"/>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184" w:customStyle="1">
    <w:name w:val="目录 411"/>
    <w:basedOn w:val="811"/>
    <w:next w:val="811"/>
    <w:uiPriority w:val="0"/>
    <w:semiHidden/>
    <w:qFormat/>
    <w:pPr>
      <w:ind w:left="630"/>
      <w:jc w:val="left"/>
    </w:pPr>
    <w:rPr>
      <w:rFonts w:ascii="Times New Roman" w:hAnsi="Times New Roman" w:eastAsia="宋体"/>
      <w:szCs w:val="21"/>
    </w:rPr>
  </w:style>
  <w:style w:type="paragraph" w:styleId="1185" w:customStyle="1">
    <w:name w:val="列表1"/>
    <w:basedOn w:val="811"/>
    <w:uiPriority w:val="0"/>
    <w:qFormat/>
    <w:pPr>
      <w:ind w:left="200" w:hanging="200"/>
    </w:pPr>
    <w:rPr>
      <w:rFonts w:ascii="Times New Roman" w:hAnsi="Times New Roman" w:eastAsia="宋体"/>
      <w:szCs w:val="21"/>
    </w:rPr>
  </w:style>
  <w:style w:type="paragraph" w:styleId="1186" w:customStyle="1">
    <w:name w:val="目录 611"/>
    <w:basedOn w:val="811"/>
    <w:next w:val="811"/>
    <w:uiPriority w:val="0"/>
    <w:semiHidden/>
    <w:qFormat/>
    <w:pPr>
      <w:ind w:left="1050"/>
      <w:jc w:val="left"/>
    </w:pPr>
    <w:rPr>
      <w:rFonts w:ascii="Times New Roman" w:hAnsi="Times New Roman" w:eastAsia="宋体"/>
      <w:szCs w:val="21"/>
    </w:rPr>
  </w:style>
  <w:style w:type="paragraph" w:styleId="1187" w:customStyle="1">
    <w:name w:val="正文文本缩进 31"/>
    <w:basedOn w:val="811"/>
    <w:link w:val="1188"/>
    <w:uiPriority w:val="0"/>
    <w:qFormat/>
    <w:pPr>
      <w:ind w:left="645" w:firstLine="645"/>
    </w:pPr>
    <w:rPr>
      <w:rFonts w:ascii="Arial" w:hAnsi="Arial" w:eastAsia="仿宋_GB2312"/>
      <w:color w:val="ffff00"/>
      <w:sz w:val="32"/>
      <w:szCs w:val="32"/>
      <w:lang w:eastAsia="en-US"/>
    </w:rPr>
  </w:style>
  <w:style w:type="character" w:styleId="1188" w:customStyle="1">
    <w:name w:val="正文文本缩进 3 Char"/>
    <w:link w:val="1187"/>
    <w:uiPriority w:val="0"/>
    <w:qFormat/>
    <w:rPr>
      <w:rFonts w:ascii="Arial" w:hAnsi="Arial" w:eastAsia="仿宋_GB2312" w:cs="Times New Roman"/>
      <w:color w:val="ffff00"/>
      <w:sz w:val="32"/>
      <w:szCs w:val="32"/>
      <w:lang w:eastAsia="en-US"/>
    </w:rPr>
  </w:style>
  <w:style w:type="paragraph" w:styleId="1189" w:customStyle="1">
    <w:name w:val="图表目录1"/>
    <w:basedOn w:val="811"/>
    <w:next w:val="811"/>
    <w:uiPriority w:val="0"/>
    <w:semiHidden/>
    <w:qFormat/>
    <w:pPr>
      <w:ind w:left="840" w:hanging="420"/>
    </w:pPr>
    <w:rPr>
      <w:rFonts w:ascii="Times New Roman" w:hAnsi="Times New Roman" w:eastAsia="宋体"/>
      <w:szCs w:val="21"/>
    </w:rPr>
  </w:style>
  <w:style w:type="paragraph" w:styleId="1190" w:customStyle="1">
    <w:name w:val="目录 211"/>
    <w:basedOn w:val="811"/>
    <w:next w:val="811"/>
    <w:uiPriority w:val="0"/>
    <w:semiHidden/>
    <w:qFormat/>
    <w:pPr>
      <w:ind w:left="210"/>
      <w:jc w:val="left"/>
    </w:pPr>
    <w:rPr>
      <w:rFonts w:ascii="Times New Roman" w:hAnsi="Times New Roman" w:eastAsia="宋体"/>
      <w:smallCaps/>
      <w:szCs w:val="24"/>
    </w:rPr>
  </w:style>
  <w:style w:type="paragraph" w:styleId="1191" w:customStyle="1">
    <w:name w:val="目录 911"/>
    <w:basedOn w:val="811"/>
    <w:next w:val="811"/>
    <w:uiPriority w:val="0"/>
    <w:semiHidden/>
    <w:qFormat/>
    <w:pPr>
      <w:ind w:left="1680"/>
      <w:jc w:val="left"/>
    </w:pPr>
    <w:rPr>
      <w:rFonts w:ascii="Times New Roman" w:hAnsi="Times New Roman" w:eastAsia="宋体"/>
      <w:szCs w:val="21"/>
    </w:rPr>
  </w:style>
  <w:style w:type="paragraph" w:styleId="1192" w:customStyle="1">
    <w:name w:val="正文文本 21"/>
    <w:basedOn w:val="811"/>
    <w:link w:val="1193"/>
    <w:uiPriority w:val="0"/>
    <w:qFormat/>
    <w:pPr>
      <w:jc w:val="center"/>
      <w:widowControl/>
    </w:pPr>
    <w:rPr>
      <w:rFonts w:ascii="楷体_GB2312" w:hAnsi="Times New Roman" w:eastAsia="楷体_GB2312"/>
      <w:sz w:val="28"/>
      <w:szCs w:val="28"/>
      <w:lang w:eastAsia="en-US"/>
    </w:rPr>
  </w:style>
  <w:style w:type="character" w:styleId="1193" w:customStyle="1">
    <w:name w:val="正文文本 2 Char"/>
    <w:link w:val="1192"/>
    <w:uiPriority w:val="0"/>
    <w:qFormat/>
    <w:rPr>
      <w:rFonts w:ascii="楷体_GB2312" w:hAnsi="Times New Roman" w:eastAsia="楷体_GB2312" w:cs="Times New Roman"/>
      <w:sz w:val="28"/>
      <w:szCs w:val="28"/>
      <w:lang w:eastAsia="en-US"/>
    </w:rPr>
  </w:style>
  <w:style w:type="paragraph" w:styleId="1194" w:customStyle="1">
    <w:name w:val="普通(网站)1"/>
    <w:basedOn w:val="811"/>
    <w:uiPriority w:val="99"/>
    <w:qFormat/>
    <w:pPr>
      <w:jc w:val="left"/>
      <w:spacing w:before="100" w:beforeAutospacing="1" w:after="100" w:afterAutospacing="1"/>
      <w:widowControl/>
    </w:pPr>
    <w:rPr>
      <w:rFonts w:ascii="宋体" w:hAnsi="宋体" w:eastAsia="宋体" w:cs="宋体"/>
      <w:sz w:val="24"/>
      <w:szCs w:val="24"/>
    </w:rPr>
  </w:style>
  <w:style w:type="paragraph" w:styleId="1195" w:customStyle="1">
    <w:name w:val="索引 11"/>
    <w:basedOn w:val="811"/>
    <w:next w:val="811"/>
    <w:uiPriority w:val="0"/>
    <w:semiHidden/>
    <w:qFormat/>
    <w:pPr>
      <w:spacing w:line="240" w:lineRule="atLeast"/>
    </w:pPr>
    <w:rPr>
      <w:rFonts w:ascii="Times New Roman" w:hAnsi="Times New Roman" w:eastAsia="宋体"/>
      <w:b/>
      <w:bCs/>
      <w:szCs w:val="21"/>
    </w:rPr>
  </w:style>
  <w:style w:type="paragraph" w:styleId="1196" w:customStyle="1">
    <w:name w:val="批注主题1"/>
    <w:basedOn w:val="1159"/>
    <w:next w:val="1159"/>
    <w:link w:val="1197"/>
    <w:uiPriority w:val="0"/>
    <w:semiHidden/>
    <w:qFormat/>
    <w:rPr>
      <w:b/>
      <w:bCs/>
    </w:rPr>
  </w:style>
  <w:style w:type="character" w:styleId="1197" w:customStyle="1">
    <w:name w:val="批注主题 Char"/>
    <w:link w:val="1196"/>
    <w:uiPriority w:val="0"/>
    <w:semiHidden/>
    <w:qFormat/>
    <w:rPr>
      <w:rFonts w:ascii="Times New Roman" w:hAnsi="Times New Roman" w:eastAsia="宋体" w:cs="Times New Roman"/>
      <w:b/>
      <w:bCs/>
      <w:szCs w:val="21"/>
      <w:lang w:eastAsia="en-US"/>
    </w:rPr>
  </w:style>
  <w:style w:type="paragraph" w:styleId="1198" w:customStyle="1">
    <w:name w:val="正文首行缩进1"/>
    <w:basedOn w:val="811"/>
    <w:link w:val="1199"/>
    <w:uiPriority w:val="0"/>
    <w:qFormat/>
    <w:pPr>
      <w:ind w:firstLine="200"/>
      <w:spacing w:line="360" w:lineRule="auto"/>
    </w:pPr>
    <w:rPr>
      <w:rFonts w:ascii="仿宋_GB2312" w:hAnsi="Times New Roman" w:eastAsia="仿宋_GB2312"/>
      <w:sz w:val="30"/>
      <w:szCs w:val="30"/>
      <w:lang w:eastAsia="en-US"/>
    </w:rPr>
  </w:style>
  <w:style w:type="character" w:styleId="1199" w:customStyle="1">
    <w:name w:val="正文首行缩进 Char"/>
    <w:link w:val="1198"/>
    <w:uiPriority w:val="0"/>
    <w:qFormat/>
    <w:rPr>
      <w:rFonts w:ascii="仿宋_GB2312" w:hAnsi="Times New Roman" w:eastAsia="仿宋_GB2312" w:cs="Times New Roman"/>
      <w:sz w:val="30"/>
      <w:szCs w:val="30"/>
      <w:lang w:eastAsia="en-US"/>
    </w:rPr>
  </w:style>
  <w:style w:type="paragraph" w:styleId="1200" w:customStyle="1">
    <w:name w:val="正文首行缩进 21"/>
    <w:basedOn w:val="1165"/>
    <w:link w:val="1201"/>
    <w:uiPriority w:val="0"/>
    <w:qFormat/>
    <w:pPr>
      <w:ind w:firstLine="420"/>
      <w:spacing w:line="360" w:lineRule="auto"/>
    </w:pPr>
    <w:rPr>
      <w:rFonts w:ascii="宋体" w:hAnsi="宋体" w:eastAsia="宋体"/>
      <w:szCs w:val="20"/>
    </w:rPr>
  </w:style>
  <w:style w:type="character" w:styleId="1201" w:customStyle="1">
    <w:name w:val="正文首行缩进 2 Char"/>
    <w:link w:val="1200"/>
    <w:uiPriority w:val="0"/>
    <w:qFormat/>
    <w:rPr>
      <w:rFonts w:ascii="宋体" w:hAnsi="宋体" w:eastAsia="宋体" w:cs="Times New Roman"/>
      <w:sz w:val="32"/>
      <w:lang w:eastAsia="en-US"/>
    </w:rPr>
  </w:style>
  <w:style w:type="character" w:styleId="1202" w:customStyle="1">
    <w:name w:val="要点1"/>
    <w:uiPriority w:val="0"/>
    <w:qFormat/>
    <w:rPr>
      <w:b/>
      <w:bCs/>
    </w:rPr>
  </w:style>
  <w:style w:type="character" w:styleId="1203" w:customStyle="1">
    <w:name w:val="页码1"/>
    <w:uiPriority w:val="0"/>
    <w:qFormat/>
  </w:style>
  <w:style w:type="character" w:styleId="1204" w:customStyle="1">
    <w:name w:val="已访问的超链接1"/>
    <w:uiPriority w:val="0"/>
    <w:qFormat/>
    <w:rPr>
      <w:color w:val="800080"/>
      <w:u w:val="single"/>
    </w:rPr>
  </w:style>
  <w:style w:type="character" w:styleId="1205" w:customStyle="1">
    <w:name w:val="HTML 打字机1"/>
    <w:uiPriority w:val="99"/>
    <w:qFormat/>
    <w:rPr>
      <w:rFonts w:ascii="宋体" w:hAnsi="宋体" w:eastAsia="宋体" w:cs="宋体"/>
      <w:sz w:val="24"/>
      <w:szCs w:val="24"/>
    </w:rPr>
  </w:style>
  <w:style w:type="character" w:styleId="1206" w:customStyle="1">
    <w:name w:val="超链接1"/>
    <w:uiPriority w:val="0"/>
    <w:qFormat/>
    <w:rPr>
      <w:color w:val="0000ff"/>
      <w:u w:val="single"/>
    </w:rPr>
  </w:style>
  <w:style w:type="character" w:styleId="1207" w:customStyle="1">
    <w:name w:val="二级目录 Char"/>
    <w:link w:val="1208"/>
    <w:uiPriority w:val="0"/>
    <w:qFormat/>
    <w:rPr>
      <w:b/>
      <w:sz w:val="30"/>
      <w:szCs w:val="28"/>
    </w:rPr>
  </w:style>
  <w:style w:type="paragraph" w:styleId="1208" w:customStyle="1">
    <w:name w:val="二级目录"/>
    <w:next w:val="811"/>
    <w:link w:val="1207"/>
    <w:uiPriority w:val="0"/>
    <w:qFormat/>
    <w:pPr>
      <w:numPr>
        <w:ilvl w:val="0"/>
        <w:numId w:val="4"/>
      </w:numPr>
      <w:tabs>
        <w:tab w:val="left" w:pos="1145" w:leader="none"/>
      </w:tabs>
      <w:outlineLvl w:val="1"/>
    </w:pPr>
    <w:rPr>
      <w:rFonts w:hint="default" w:ascii="Calibri" w:hAnsi="Calibri" w:eastAsia="Arial" w:cs="Times New Roman"/>
      <w:b/>
      <w:sz w:val="30"/>
      <w:szCs w:val="28"/>
      <w:lang w:val="en-US" w:eastAsia="zh-CN" w:bidi="ar-SA"/>
    </w:rPr>
  </w:style>
  <w:style w:type="paragraph" w:styleId="1209" w:customStyle="1">
    <w:name w:val="Body Text(ch)"/>
    <w:basedOn w:val="811"/>
    <w:next w:val="1163"/>
    <w:uiPriority w:val="0"/>
    <w:qFormat/>
    <w:pPr>
      <w:spacing w:after="120"/>
    </w:pPr>
    <w:rPr>
      <w:rFonts w:ascii="宋体" w:hAnsi="Arial" w:eastAsia="宋体"/>
      <w:bCs/>
      <w:iCs/>
      <w:szCs w:val="24"/>
    </w:rPr>
  </w:style>
  <w:style w:type="paragraph" w:styleId="1210" w:customStyle="1">
    <w:name w:val="Char"/>
    <w:basedOn w:val="811"/>
    <w:uiPriority w:val="0"/>
    <w:qFormat/>
    <w:pPr>
      <w:ind w:firstLine="200"/>
      <w:tabs>
        <w:tab w:val="left" w:pos="360" w:leader="none"/>
      </w:tabs>
    </w:pPr>
    <w:rPr>
      <w:rFonts w:ascii="Times New Roman" w:hAnsi="Times New Roman" w:eastAsia="宋体"/>
      <w:sz w:val="28"/>
      <w:szCs w:val="30"/>
    </w:rPr>
  </w:style>
  <w:style w:type="paragraph" w:styleId="1211" w:customStyle="1">
    <w:name w:val="普通正文"/>
    <w:basedOn w:val="811"/>
    <w:uiPriority w:val="0"/>
    <w:qFormat/>
    <w:pPr>
      <w:ind w:firstLine="480"/>
      <w:jc w:val="left"/>
      <w:spacing w:before="120" w:after="120" w:line="360" w:lineRule="auto"/>
    </w:pPr>
    <w:rPr>
      <w:rFonts w:ascii="Arial" w:hAnsi="Arial" w:eastAsia="宋体"/>
      <w:sz w:val="24"/>
      <w:szCs w:val="24"/>
    </w:rPr>
  </w:style>
  <w:style w:type="paragraph" w:styleId="1212" w:customStyle="1">
    <w:name w:val="table_lines"/>
    <w:basedOn w:val="811"/>
    <w:uiPriority w:val="0"/>
    <w:qFormat/>
    <w:pPr>
      <w:jc w:val="left"/>
      <w:widowControl/>
    </w:pPr>
    <w:rPr>
      <w:rFonts w:ascii="Times New Roman" w:hAnsi="Times New Roman" w:eastAsia="宋体"/>
      <w:sz w:val="20"/>
      <w:szCs w:val="20"/>
      <w:lang w:val="de-DE" w:eastAsia="de-DE"/>
    </w:rPr>
  </w:style>
  <w:style w:type="paragraph" w:styleId="1213"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14" w:customStyle="1">
    <w:name w:val="列出段落21"/>
    <w:basedOn w:val="811"/>
    <w:uiPriority w:val="99"/>
    <w:qFormat/>
    <w:pPr>
      <w:contextualSpacing/>
      <w:ind w:left="720"/>
      <w:jc w:val="left"/>
      <w:widowControl/>
    </w:pPr>
    <w:rPr>
      <w:rFonts w:eastAsia="宋体"/>
      <w:sz w:val="24"/>
      <w:szCs w:val="24"/>
      <w:lang w:eastAsia="en-US" w:bidi="en-US"/>
    </w:rPr>
  </w:style>
  <w:style w:type="paragraph" w:styleId="1215" w:customStyle="1">
    <w:name w:val="4"/>
    <w:basedOn w:val="811"/>
    <w:next w:val="1187"/>
    <w:uiPriority w:val="0"/>
    <w:qFormat/>
    <w:pPr>
      <w:ind w:firstLine="420"/>
      <w:spacing w:line="360" w:lineRule="auto"/>
    </w:pPr>
    <w:rPr>
      <w:rFonts w:ascii="Times New Roman" w:hAnsi="Times New Roman" w:eastAsia="宋体"/>
      <w:color w:val="ff0000"/>
      <w:sz w:val="24"/>
      <w:szCs w:val="24"/>
    </w:rPr>
  </w:style>
  <w:style w:type="paragraph" w:styleId="1216" w:customStyle="1">
    <w:name w:val="普通 (Web)"/>
    <w:basedOn w:val="811"/>
    <w:uiPriority w:val="0"/>
    <w:qFormat/>
    <w:pPr>
      <w:jc w:val="left"/>
      <w:spacing w:before="100" w:beforeAutospacing="1" w:after="100" w:afterAutospacing="1"/>
      <w:widowControl/>
    </w:pPr>
    <w:rPr>
      <w:rFonts w:ascii="宋体" w:hAnsi="宋体" w:eastAsia="宋体"/>
      <w:sz w:val="24"/>
      <w:szCs w:val="24"/>
    </w:rPr>
  </w:style>
  <w:style w:type="paragraph" w:styleId="1217" w:customStyle="1">
    <w:name w:val="Char Char Char Char Char Char Char Char Char Char"/>
    <w:basedOn w:val="811"/>
    <w:uiPriority w:val="0"/>
    <w:qFormat/>
    <w:pPr>
      <w:spacing w:line="360" w:lineRule="auto"/>
    </w:pPr>
    <w:rPr>
      <w:rFonts w:ascii="Times New Roman" w:hAnsi="Times New Roman" w:eastAsia="宋体"/>
      <w:sz w:val="24"/>
      <w:szCs w:val="20"/>
    </w:rPr>
  </w:style>
  <w:style w:type="paragraph" w:styleId="1218" w:customStyle="1">
    <w:name w:val="样式1"/>
    <w:basedOn w:val="811"/>
    <w:uiPriority w:val="0"/>
    <w:qFormat/>
    <w:pPr>
      <w:numPr>
        <w:ilvl w:val="0"/>
        <w:numId w:val="5"/>
      </w:numPr>
    </w:pPr>
    <w:rPr>
      <w:rFonts w:ascii="宋体" w:hAnsi="宋体" w:eastAsia="宋体"/>
      <w:szCs w:val="21"/>
    </w:rPr>
  </w:style>
  <w:style w:type="paragraph" w:styleId="1219" w:customStyle="1">
    <w:name w:val="图标"/>
    <w:basedOn w:val="811"/>
    <w:next w:val="81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20" w:customStyle="1">
    <w:name w:val="标题3"/>
    <w:basedOn w:val="811"/>
    <w:next w:val="811"/>
    <w:uiPriority w:val="0"/>
    <w:qFormat/>
    <w:pPr>
      <w:ind w:firstLine="624"/>
      <w:spacing w:line="590" w:lineRule="atLeast"/>
    </w:pPr>
    <w:rPr>
      <w:rFonts w:ascii="方正黑体_GBK" w:hAnsi="Times New Roman" w:eastAsia="方正黑体_GBK"/>
      <w:sz w:val="32"/>
      <w:szCs w:val="32"/>
    </w:rPr>
  </w:style>
  <w:style w:type="paragraph" w:styleId="1221" w:customStyle="1">
    <w:name w:val="Char Char Char Char Char Char Char Char"/>
    <w:basedOn w:val="811"/>
    <w:uiPriority w:val="0"/>
    <w:qFormat/>
    <w:pPr>
      <w:jc w:val="left"/>
      <w:spacing w:after="160" w:line="240" w:lineRule="exact"/>
      <w:widowControl/>
    </w:pPr>
    <w:rPr>
      <w:rFonts w:ascii="Verdana" w:hAnsi="Verdana" w:eastAsia="宋体"/>
      <w:sz w:val="20"/>
      <w:szCs w:val="20"/>
      <w:lang w:eastAsia="en-US"/>
    </w:rPr>
  </w:style>
  <w:style w:type="paragraph" w:styleId="1222" w:customStyle="1">
    <w:name w:val="table_1stline"/>
    <w:basedOn w:val="811"/>
    <w:uiPriority w:val="0"/>
    <w:qFormat/>
    <w:pPr>
      <w:jc w:val="left"/>
      <w:spacing w:before="120"/>
      <w:widowControl/>
    </w:pPr>
    <w:rPr>
      <w:rFonts w:ascii="Times New Roman" w:hAnsi="Times New Roman" w:eastAsia="宋体"/>
      <w:bCs/>
      <w:sz w:val="20"/>
      <w:szCs w:val="20"/>
      <w:lang w:val="de-DE" w:eastAsia="de-DE"/>
    </w:rPr>
  </w:style>
  <w:style w:type="paragraph" w:styleId="1223" w:customStyle="1">
    <w:name w:val="标题1"/>
    <w:basedOn w:val="811"/>
    <w:next w:val="811"/>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4"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225"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26" w:customStyle="1">
    <w:name w:val="目录 111"/>
    <w:basedOn w:val="811"/>
    <w:next w:val="811"/>
    <w:uiPriority w:val="39"/>
    <w:unhideWhenUsed/>
    <w:qFormat/>
    <w:pPr>
      <w:jc w:val="left"/>
      <w:spacing w:after="100" w:line="259" w:lineRule="auto"/>
      <w:widowControl/>
    </w:pPr>
    <w:rPr>
      <w:rFonts w:eastAsia="宋体"/>
      <w:sz w:val="22"/>
    </w:rPr>
  </w:style>
  <w:style w:type="table" w:styleId="1227" w:customStyle="1">
    <w:name w:val="网格型5"/>
    <w:basedOn w:val="822"/>
    <w:uiPriority w:val="0"/>
    <w:qFormat/>
    <w:pPr>
      <w:jc w:val="both"/>
      <w:widowControl w:val="off"/>
    </w:pPr>
    <w:tblPr/>
  </w:style>
  <w:style w:type="paragraph" w:styleId="1228" w:customStyle="1">
    <w:name w:val="a0"/>
    <w:basedOn w:val="811"/>
    <w:uiPriority w:val="0"/>
    <w:qFormat/>
    <w:pPr>
      <w:jc w:val="left"/>
      <w:spacing w:before="100" w:beforeAutospacing="1" w:after="100" w:afterAutospacing="1"/>
      <w:widowControl/>
    </w:pPr>
    <w:rPr>
      <w:rFonts w:ascii="宋体" w:hAnsi="宋体" w:cs="宋体"/>
    </w:rPr>
  </w:style>
  <w:style w:type="character" w:styleId="1229" w:customStyle="1">
    <w:name w:val="NormalCharacter1"/>
    <w:uiPriority w:val="0"/>
    <w:qFormat/>
  </w:style>
  <w:style w:type="paragraph" w:styleId="1230" w:customStyle="1">
    <w:name w:val="_Style 1"/>
    <w:basedOn w:val="811"/>
    <w:uiPriority w:val="34"/>
    <w:qFormat/>
    <w:pPr>
      <w:ind w:firstLine="420"/>
    </w:pPr>
  </w:style>
  <w:style w:type="paragraph" w:styleId="1231" w:customStyle="1">
    <w:name w:val="UserStyle_0"/>
    <w:basedOn w:val="811"/>
    <w:uiPriority w:val="0"/>
    <w:qFormat/>
    <w:pPr>
      <w:ind w:left="420" w:firstLine="420"/>
      <w:spacing w:after="120"/>
      <w:widowControl/>
    </w:pPr>
    <w:rPr>
      <w:rFonts w:ascii="Times New Roman" w:hAnsi="Times New Roman"/>
      <w:szCs w:val="20"/>
    </w:rPr>
  </w:style>
  <w:style w:type="paragraph" w:styleId="1232" w:customStyle="1">
    <w:name w:val="UserStyle_87"/>
    <w:basedOn w:val="811"/>
    <w:uiPriority w:val="0"/>
    <w:qFormat/>
    <w:pPr>
      <w:ind w:firstLine="420"/>
      <w:widowControl/>
    </w:pPr>
  </w:style>
  <w:style w:type="character" w:styleId="1233" w:customStyle="1">
    <w:name w:val="UserStyle_88"/>
    <w:uiPriority w:val="0"/>
    <w:qFormat/>
  </w:style>
  <w:style w:type="paragraph" w:styleId="1234" w:customStyle="1">
    <w:name w:val="BodyText1I21"/>
    <w:basedOn w:val="811"/>
    <w:uiPriority w:val="0"/>
    <w:qFormat/>
    <w:pPr>
      <w:ind w:left="420" w:firstLine="420"/>
      <w:spacing w:after="120"/>
    </w:pPr>
    <w:rPr>
      <w:rFonts w:ascii="Times New Roman" w:hAnsi="Times New Roman"/>
      <w:szCs w:val="20"/>
    </w:rPr>
  </w:style>
  <w:style w:type="paragraph" w:styleId="1235" w:customStyle="1">
    <w:name w:val="Table Text"/>
    <w:basedOn w:val="811"/>
    <w:uiPriority w:val="0"/>
    <w:semiHidden/>
    <w:qFormat/>
    <w:rPr>
      <w:rFonts w:ascii="宋体" w:hAnsi="宋体" w:eastAsia="宋体" w:cs="宋体"/>
      <w:sz w:val="24"/>
      <w:szCs w:val="24"/>
      <w:lang w:eastAsia="en-US"/>
    </w:rPr>
  </w:style>
  <w:style w:type="numbering" w:styleId="144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7449b527-a924-48f2-871e-8b1208e38fb1</errorID>
      <errorWord>做</errorWord>
      <group>L1_Word</group>
      <groupName>字词问题</groupName>
      <ability>L2_Typo</ability>
      <abilityName>字词错误</abilityName>
      <candidateList>
        <item>作</item>
      </candidateList>
      <explain>存在发音相同字词的误用。</explain>
      <paraID>25A24D20</paraID>
      <start>71</start>
      <end>72</end>
      <status>unmodified</status>
      <modifiedWord/>
      <trackRevisions>false</trackRevisions>
    </reviewItem>
    <reviewItem>
      <errorID>d023bbc5-af80-4991-97c8-6fa7d6c7df39</errorID>
      <errorWord>保持通讯畅通</errorWord>
      <group>L1_Word</group>
      <groupName>字词问题</groupName>
      <ability>L2_Typo</ability>
      <abilityName>字词错误</abilityName>
      <candidateList>
        <item>保持通信畅通</item>
      </candidateList>
      <explain/>
      <paraID>57A14E33</paraID>
      <start>17</start>
      <end>23</end>
      <status>unmodified</status>
      <modifiedWord/>
      <trackRevisions>false</trackRevisions>
    </reviewItem>
    <reviewItem>
      <errorID>c056f6c4-6237-4197-be96-ae7e1afddd46</errorID>
      <errorWord>&lt;</errorWord>
      <group>L1_Format</group>
      <groupName>格式问题</groupName>
      <ability>L2_HalfPunc</ability>
      <abilityName>全半角检查</abilityName>
      <candidateList>
        <item>〈</item>
      </candidateList>
      <explain>文本全半角错误。</explain>
      <paraID> E1A7BB4</paraID>
      <start>97</start>
      <end>98</end>
      <status>modified</status>
      <modifiedWord>〈</modifiedWord>
      <trackRevisions>false</trackRevisions>
    </reviewItem>
    <reviewItem>
      <errorID>d4a43b35-d130-453e-bd5c-eb6984deb590</errorID>
      <errorWord>&lt;</errorWord>
      <group>L1_Format</group>
      <groupName>格式问题</groupName>
      <ability>L2_HalfPunc</ability>
      <abilityName>全半角检查</abilityName>
      <candidateList>
        <item>〈</item>
      </candidateList>
      <explain>文本全半角错误。</explain>
      <paraID>6A4CD1E6</paraID>
      <start>49</start>
      <end>50</end>
      <status>modified</status>
      <modifiedWord>〈</modifiedWord>
      <trackRevisions>false</trackRevisions>
    </reviewItem>
    <reviewItem>
      <errorID>84ad7985-0455-49b9-9f6f-ebaa2bea018d</errorID>
      <errorWord>&lt;</errorWord>
      <group>L1_Format</group>
      <groupName>格式问题</groupName>
      <ability>L2_HalfPunc</ability>
      <abilityName>全半角检查</abilityName>
      <candidateList>
        <item>〈</item>
      </candidateList>
      <explain>文本全半角错误。</explain>
      <paraID>6F7241FC</paraID>
      <start>34</start>
      <end>35</end>
      <status>modified</status>
      <modifiedWord>〈</modifiedWord>
      <trackRevisions>false</trackRevisions>
    </reviewItem>
    <reviewItem>
      <errorID>48a1da0b-9845-4295-bc94-1b4de0427338</errorID>
      <errorWord>，</errorWord>
      <group>L1_Word</group>
      <groupName>字词问题</groupName>
      <ability>L2_Typo</ability>
      <abilityName>字词错误</abilityName>
      <candidateList>
        <item>，并</item>
      </candidateList>
      <explain/>
      <paraID>29F445DE</paraID>
      <start>122</start>
      <end>123</end>
      <status>unmodified</status>
      <modifiedWord/>
      <trackRevisions>false</trackRevisions>
    </reviewItem>
    <reviewItem>
      <errorID>5eef8e1c-8472-48bb-942e-16708f6c72f3</errorID>
      <errorWord>属</errorWord>
      <group>L1_Word</group>
      <groupName>字词问题</groupName>
      <ability>L2_Typo</ability>
      <abilityName>字词错误</abilityName>
      <candidateList>
        <item>属于</item>
      </candidateList>
      <explain/>
      <paraID>7D2509EB</paraID>
      <start>22</start>
      <end>23</end>
      <status>unmodified</status>
      <modifiedWord/>
      <trackRevisions>false</trackRevisions>
    </reviewItem>
    <reviewItem>
      <errorID>89d40a74-6e65-4dbb-968d-db84791f4152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295E291</paraID>
      <start>0</start>
      <end>2</end>
      <status>unmodified</status>
      <modifiedWord/>
      <trackRevisions>false</trackRevisions>
    </reviewItem>
    <reviewItem>
      <errorID>6c92351e-4d9d-4eaa-a625-68cc92d1a4a5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4E6E2A08</paraID>
      <start>0</start>
      <end>2</end>
      <status>unmodified</status>
      <modifiedWord/>
      <trackRevisions>false</trackRevisions>
    </reviewItem>
    <reviewItem>
      <errorID>8adebd8b-aaf5-4281-b629-44d34c3049ea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60FC7C0A</paraID>
      <start>0</start>
      <end>2</end>
      <status>unmodified</status>
      <modifiedWord/>
      <trackRevisions>false</trackRevisions>
    </reviewItem>
    <reviewItem>
      <errorID>c59d25df-fda4-4815-a7c6-46764f64b8f8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71E3A705</paraID>
      <start>0</start>
      <end>2</end>
      <status>unmodified</status>
      <modifiedWord/>
      <trackRevisions>false</trackRevisions>
    </reviewItem>
    <reviewItem>
      <errorID>940a5466-b8bf-45df-94d0-b882efe6b4f4</errorID>
      <errorWord>交纳</errorWord>
      <group>L1_Word</group>
      <groupName>字词问题</groupName>
      <ability>L2_Typo</ability>
      <abilityName>字词错误</abilityName>
      <candidateList>
        <item>缴纳</item>
      </candidateList>
      <explain>〈动〉交纳：～税款。</explain>
      <paraID>79A49231</paraID>
      <start>66</start>
      <end>68</end>
      <status>unmodified</status>
      <modifiedWord/>
      <trackRevisions>false</trackRevisions>
    </reviewItem>
    <reviewItem>
      <errorID>0ca5e215-780e-407e-985d-5c616234c132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4824A52C</paraID>
      <start>0</start>
      <end>2</end>
      <status>unmodified</status>
      <modifiedWord/>
      <trackRevisions>false</trackRevisions>
    </reviewItem>
    <reviewItem>
      <errorID>cf42758e-4f20-4523-9ef1-ada5d5f357e1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1E3D30C4</paraID>
      <start>0</start>
      <end>2</end>
      <status>unmodified</status>
      <modifiedWord/>
      <trackRevisions>false</trackRevisions>
    </reviewItem>
    <reviewItem>
      <errorID>22ccacc1-e13f-42fc-a00b-6795871ec807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2B8BF0B7</paraID>
      <start>0</start>
      <end>2</end>
      <status>unmodified</status>
      <modifiedWord/>
      <trackRevisions>false</trackRevisions>
    </reviewItem>
    <reviewItem>
      <errorID>bdcabd46-16e7-48ea-9085-2475722ffcac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15C0A4F9</paraID>
      <start>0</start>
      <end>2</end>
      <status>unmodified</status>
      <modifiedWord/>
      <trackRevisions>false</trackRevisions>
    </reviewItem>
    <reviewItem>
      <errorID>5731b37d-1bb8-4b39-a0ff-8e8de589e065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3ACE35E4</paraID>
      <start>0</start>
      <end>2</end>
      <status>unmodified</status>
      <modifiedWord/>
      <trackRevisions>false</trackRevisions>
    </reviewItem>
    <reviewItem>
      <errorID>370ed98d-a828-489d-a27d-856380c6c29e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A43DBEC</paraID>
      <start>0</start>
      <end>3</end>
      <status>unmodified</status>
      <modifiedWord/>
      <trackRevisions>false</trackRevisions>
    </reviewItem>
    <reviewItem>
      <errorID>d460c1ab-623d-4428-a404-549e5110adf9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1C0C9F75</paraID>
      <start>0</start>
      <end>3</end>
      <status>unmodified</status>
      <modifiedWord/>
      <trackRevisions>false</trackRevisions>
    </reviewItem>
    <reviewItem>
      <errorID>95caf994-f4de-4d77-b504-1e95ddb76bdd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5FAAB31B</paraID>
      <start>0</start>
      <end>3</end>
      <status>unmodified</status>
      <modifiedWord/>
      <trackRevisions>false</trackRevisions>
    </reviewItem>
    <reviewItem>
      <errorID>5ca6d307-4939-4421-a746-0ff56c8d009d</errorID>
      <errorWord>应</errorWord>
      <group>L1_Word</group>
      <groupName>字词问题</groupName>
      <ability>L2_Typo</ability>
      <abilityName>字词错误</abilityName>
      <candidateList>
        <item>应当</item>
      </candidateList>
      <explain/>
      <paraID> 31AEFDA</paraID>
      <start>71</start>
      <end>72</end>
      <status>unmodified</status>
      <modifiedWord/>
      <trackRevisions>false</trackRevisions>
    </reviewItem>
    <reviewItem>
      <errorID>7996bc77-de98-4d20-9d92-0160bcc68878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56B8751D</paraID>
      <start>120</start>
      <end>121</end>
      <status>modified</status>
      <modifiedWord>—</modifiedWord>
      <trackRevisions>false</trackRevisions>
    </reviewItem>
    <reviewItem>
      <errorID>699aff54-75df-4a55-9ee1-b1b17a006680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56B8751D</paraID>
      <start>126</start>
      <end>127</end>
      <status>unmodified</status>
      <modifiedWord/>
      <trackRevisions>false</trackRevisions>
    </reviewItem>
    <reviewItem>
      <errorID>3db0e162-81da-46ee-a171-513350e701ac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FACB2A</paraID>
      <start>0</start>
      <end>2</end>
      <status>unmodified</status>
      <modifiedWord/>
      <trackRevisions>false</trackRevisions>
    </reviewItem>
    <reviewItem>
      <errorID>c6aa9390-2789-4eb0-9ce4-968564a64253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776BC0BC</paraID>
      <start>0</start>
      <end>2</end>
      <status>unmodified</status>
      <modifiedWord/>
      <trackRevisions>false</trackRevisions>
    </reviewItem>
    <reviewItem>
      <errorID>523c664d-e6db-40e1-b1a7-f16b6896bc0c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2125D83A</paraID>
      <start>0</start>
      <end>2</end>
      <status>unmodified</status>
      <modifiedWord/>
      <trackRevisions>false</trackRevisions>
    </reviewItem>
    <reviewItem>
      <errorID>45d05118-e30c-4314-968d-22baf0cc591d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1D738781</paraID>
      <start>0</start>
      <end>2</end>
      <status>unmodified</status>
      <modifiedWord/>
      <trackRevisions>false</trackRevisions>
    </reviewItem>
    <reviewItem>
      <errorID>d62f735d-eff0-47bc-9dda-bd083d5e2fee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246B02F</paraID>
      <start>0</start>
      <end>2</end>
      <status>unmodified</status>
      <modifiedWord/>
      <trackRevisions>false</trackRevisions>
    </reviewItem>
    <reviewItem>
      <errorID>0d762167-8933-43cd-ae32-d560ed97e7dd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42E26168</paraID>
      <start>0</start>
      <end>2</end>
      <status>unmodified</status>
      <modifiedWord/>
      <trackRevisions>false</trackRevisions>
    </reviewItem>
    <reviewItem>
      <errorID>647e4656-005b-446e-a2d5-c46af509d9da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123C247D</paraID>
      <start>0</start>
      <end>2</end>
      <status>unmodified</status>
      <modifiedWord/>
      <trackRevisions>false</trackRevisions>
    </reviewItem>
    <reviewItem>
      <errorID>16f76fba-e30c-4812-ab0b-bd0310d83515</errorID>
      <errorWord>WiFi</errorWord>
      <group>L1_Punc</group>
      <groupName>标点问题</groupName>
      <ability>L2_Punc</ability>
      <abilityName>标点符号检查</abilityName>
      <candidateList>
        <item>Wi-Fi</item>
      </candidateList>
      <explain/>
      <paraID>2810874E</paraID>
      <start>40</start>
      <end>45</end>
      <status>modified</status>
      <modifiedWord>Wi-Fi</modifiedWord>
      <trackRevisions>false</trackRevisions>
    </reviewItem>
    <reviewItem>
      <errorID>55d9cba2-a5fb-4fa6-8f23-9e83adcc6bb7</errorID>
      <errorWord>噪音</errorWord>
      <group>L1_Word</group>
      <groupName>字词问题</groupName>
      <ability>L2_Alias</ability>
      <abilityName>也作/曾用词</abilityName>
      <candidateList>
        <item>噪声</item>
      </candidateList>
      <explain>词汇[噪音]为不规范表述或旧称，其规范书面表述为[噪声]。</explain>
      <paraID>3252883B</paraID>
      <start>138</start>
      <end>140</end>
      <status>unmodified</status>
      <modifiedWord/>
      <trackRevisions>false</trackRevisions>
    </reviewItem>
    <reviewItem>
      <errorID>4c2fbbcf-ee73-4438-aab6-a1834f2571c7</errorID>
      <errorWord>)</errorWord>
      <group>L1_Format</group>
      <groupName>格式问题</groupName>
      <ability>L2_HalfPunc</ability>
      <abilityName>全半角检查</abilityName>
      <candidateList>
        <item>）</item>
      </candidateList>
      <explain>文本全半角错误。</explain>
      <paraID>2939AF05</paraID>
      <start>51</start>
      <end>52</end>
      <status>modified</status>
      <modifiedWord>）</modifiedWord>
      <trackRevisions>false</trackRevisions>
    </reviewItem>
    <reviewItem>
      <errorID>422029b2-824f-4a61-9e09-7776c76d9c3b</errorID>
      <errorWord>)</errorWord>
      <group>L1_Format</group>
      <groupName>格式问题</groupName>
      <ability>L2_HalfPunc</ability>
      <abilityName>全半角检查</abilityName>
      <candidateList>
        <item>）</item>
      </candidateList>
      <explain>文本全半角错误。</explain>
      <paraID>2939AF05</paraID>
      <start>72</start>
      <end>73</end>
      <status>modified</status>
      <modifiedWord>）</modifiedWord>
      <trackRevisions>false</trackRevisions>
    </reviewItem>
    <reviewItem>
      <errorID>99f8ead2-fa9b-49bf-a13b-64a7c04c9d70</errorID>
      <errorWord>)</errorWord>
      <group>L1_Format</group>
      <groupName>格式问题</groupName>
      <ability>L2_HalfPunc</ability>
      <abilityName>全半角检查</abilityName>
      <candidateList>
        <item>）</item>
      </candidateList>
      <explain>文本全半角错误。</explain>
      <paraID>2939AF05</paraID>
      <start>90</start>
      <end>91</end>
      <status>modified</status>
      <modifiedWord>）</modifiedWord>
      <trackRevisions>false</trackRevisions>
    </reviewItem>
    <reviewItem>
      <errorID>3b0c17e8-5fd4-4763-a4b8-b5cba703cc41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224E84A0</paraID>
      <start>12</start>
      <end>13</end>
      <status>modified</status>
      <modifiedWord>—</modifiedWord>
      <trackRevisions>false</trackRevisions>
    </reviewItem>
    <reviewItem>
      <errorID>b66c41c7-c6a6-46b0-8ae1-9aeda12143c6</errorID>
      <errorWord>外型尺寸</errorWord>
      <group>L1_Word</group>
      <groupName>字词问题</groupName>
      <ability>L2_Typo</ability>
      <abilityName>字词错误</abilityName>
      <candidateList>
        <item>外形尺寸</item>
      </candidateList>
      <explain/>
      <paraID>7BD6D88C</paraID>
      <start>3</start>
      <end>7</end>
      <status>unmodified</status>
      <modifiedWord/>
      <trackRevisions>false</trackRevisions>
    </reviewItem>
    <reviewItem>
      <errorID>932629ae-027e-4b15-a6d9-3f9d9d824578</errorID>
      <errorWord>噪音</errorWord>
      <group>L1_Word</group>
      <groupName>字词问题</groupName>
      <ability>L2_Alias</ability>
      <abilityName>也作/曾用词</abilityName>
      <candidateList>
        <item>噪声</item>
      </candidateList>
      <explain>词汇[噪音]为不规范表述或旧称，其规范书面表述为[噪声]。</explain>
      <paraID>7364E036</paraID>
      <start>12</start>
      <end>14</end>
      <status>unmodified</status>
      <modifiedWord/>
      <trackRevisions>false</trackRevisions>
    </reviewItem>
    <reviewItem>
      <errorID>35fdea62-fbeb-4a24-876b-3782d8112fe4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4B006DA</paraID>
      <start>0</start>
      <end>2</end>
      <status>unmodified</status>
      <modifiedWord/>
      <trackRevisions>false</trackRevisions>
    </reviewItem>
    <reviewItem>
      <errorID>cb7856e1-0469-43d6-8fb7-4c6d0a6e525d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28B93680</paraID>
      <start>0</start>
      <end>2</end>
      <status>unmodified</status>
      <modifiedWord/>
      <trackRevisions>false</trackRevisions>
    </reviewItem>
    <reviewItem>
      <errorID>6518afce-60c6-4fb5-a7d1-fc7156c68417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9E8C196</paraID>
      <start>23</start>
      <end>24</end>
      <status>modified</status>
      <modifiedWord>—</modifiedWord>
      <trackRevisions>false</trackRevisions>
    </reviewItem>
    <reviewItem>
      <errorID>bb9f8bba-a472-4990-ad7a-7822cecdbf60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12335EC5</paraID>
      <start>14</start>
      <end>15</end>
      <status>modified</status>
      <modifiedWord>—</modifiedWord>
      <trackRevisions>false</trackRevisions>
    </reviewItem>
    <reviewItem>
      <errorID>47c5810c-c8b1-4d12-96e6-075340362982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603F4F2E</paraID>
      <start>14</start>
      <end>15</end>
      <status>modified</status>
      <modifiedWord>—</modifiedWord>
      <trackRevisions>false</trackRevisions>
    </reviewItem>
    <reviewItem>
      <errorID>76e87070-31e4-4ebd-8224-b33b05d7b612</errorID>
      <errorWord>及时而</errorWord>
      <group>L1_Word</group>
      <groupName>字词问题</groupName>
      <ability>L2_Typo</ability>
      <abilityName>字词错误</abilityName>
      <candidateList>
        <item>及时</item>
      </candidateList>
      <explain>❶〈形〉正赶上时候；适合需要：～雨｜他来得很～。❷〈副〉不拖延；马上；立刻：有问题就～解决。</explain>
      <paraID>7EA48F16</paraID>
      <start>8</start>
      <end>11</end>
      <status>unmodified</status>
      <modifiedWord/>
      <trackRevisions>false</trackRevisions>
    </reviewItem>
    <reviewItem>
      <errorID>d95d7fcf-943b-47f3-8204-dc307713cda0</errorID>
      <errorWord>&gt;</errorWord>
      <group>L1_Format</group>
      <groupName>格式问题</groupName>
      <ability>L2_HalfPunc</ability>
      <abilityName>全半角检查</abilityName>
      <candidateList>
        <item>〉</item>
      </candidateList>
      <explain>文本全半角错误。</explain>
      <paraID>17D5209D</paraID>
      <start>8</start>
      <end>9</end>
      <status>modified</status>
      <modifiedWord>〉</modifiedWord>
      <trackRevisions>false</trackRevisions>
    </reviewItem>
    <reviewItem>
      <errorID>94a0fa9a-c530-40d4-af85-9745b9def4e5</errorID>
      <errorWord>&gt;</errorWord>
      <group>L1_Format</group>
      <groupName>格式问题</groupName>
      <ability>L2_HalfPunc</ability>
      <abilityName>全半角检查</abilityName>
      <candidateList>
        <item>〉</item>
      </candidateList>
      <explain>文本全半角错误。</explain>
      <paraID>709A3F5B</paraID>
      <start>7</start>
      <end>8</end>
      <status>modified</status>
      <modifiedWord>〉</modifiedWord>
      <trackRevisions>false</trackRevisions>
    </reviewItem>
    <reviewItem>
      <errorID>33d8ee26-637c-47fd-a688-3b6e35cb0aad</errorID>
      <errorWord>&gt;</errorWord>
      <group>L1_Format</group>
      <groupName>格式问题</groupName>
      <ability>L2_HalfPunc</ability>
      <abilityName>全半角检查</abilityName>
      <candidateList>
        <item>〉</item>
      </candidateList>
      <explain>文本全半角错误。</explain>
      <paraID>67DC9D64</paraID>
      <start>7</start>
      <end>8</end>
      <status>modified</status>
      <modifiedWord>〉</modifiedWord>
      <trackRevisions>false</trackRevisions>
    </reviewItem>
    <reviewItem>
      <errorID>2d52d633-c0bc-4ca1-b893-670ec5fabb35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1013E8A7</paraID>
      <start>118</start>
      <end>121</end>
      <status>unmodified</status>
      <modifiedWord/>
      <trackRevisions>false</trackRevisions>
    </reviewItem>
    <reviewItem>
      <errorID>1696b0d3-4cd0-44f3-befe-4b55e82a21d7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1013E8A7</paraID>
      <start>123</start>
      <end>126</end>
      <status>unmodified</status>
      <modifiedWord/>
      <trackRevisions>false</trackRevisions>
    </reviewItem>
    <reviewItem>
      <errorID>0bdc3c49-61b5-4625-8ba6-a3d5a6a0588e</errorID>
      <errorWord>》</errorWord>
      <group>L1_Word</group>
      <groupName>字词问题</groupName>
      <ability>L2_Typo</ability>
      <abilityName>字词错误</abilityName>
      <candidateList>
        <item>》和</item>
      </candidateList>
      <explain/>
      <paraID> AD2D484</paraID>
      <start>129</start>
      <end>130</end>
      <status>unmodified</status>
      <modifiedWord/>
      <trackRevisions>false</trackRevisions>
    </reviewItem>
    <reviewItem>
      <errorID>223d5908-2ef8-4cb7-9667-04536831fe17</errorID>
      <errorWord>》</errorWord>
      <group>L1_Word</group>
      <groupName>字词问题</groupName>
      <ability>L2_Typo</ability>
      <abilityName>字词错误</abilityName>
      <candidateList>
        <item>》等</item>
      </candidateList>
      <explain/>
      <paraID> AD2D484</paraID>
      <start>156</start>
      <end>157</end>
      <status>unmodified</status>
      <modifiedWord/>
      <trackRevisions>false</trackRevisions>
    </reviewItem>
    <reviewItem>
      <errorID>ce33c058-6b8a-4063-8d60-fb0cbc1d6671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5E081272</paraID>
      <start>0</start>
      <end>2</end>
      <status>unmodified</status>
      <modifiedWord/>
      <trackRevisions>false</trackRevisions>
    </reviewItem>
    <reviewItem>
      <errorID>bfae56b0-da10-4433-87db-5ebaa2039377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311C159B</paraID>
      <start>0</start>
      <end>2</end>
      <status>unmodified</status>
      <modifiedWord/>
      <trackRevisions>false</trackRevisions>
    </reviewItem>
    <reviewItem>
      <errorID>8866ebe2-906b-4240-bfe2-0570e7891b1e</errorID>
      <errorWord>-</errorWord>
      <group>L1_Format</group>
      <groupName>格式问题</groupName>
      <ability>L2_HalfPunc</ability>
      <abilityName>全半角检查</abilityName>
      <candidateList>
        <item>－</item>
      </candidateList>
      <explain>文本全半角错误。</explain>
      <paraID>630D7E4A</paraID>
      <start>117</start>
      <end>118</end>
      <status>unmodified</status>
      <modifiedWord/>
      <trackRevisions>false</trackRevisions>
    </reviewItem>
    <reviewItem>
      <errorID>aabcbc34-2486-4e41-a3c0-517bc4c4539e</errorID>
      <errorWord>出具带</errorWord>
      <group>L1_Word</group>
      <groupName>字词问题</groupName>
      <ability>L2_Typo</ability>
      <abilityName>字词错误</abilityName>
      <candidateList>
        <item>出具</item>
      </candidateList>
      <explain>〈动〉开出；写出（证明、证件等）：～介绍信｜～健康证明。</explain>
      <paraID>7BAAE028</paraID>
      <start>96</start>
      <end>98</end>
      <status>modified</status>
      <modifiedWord>出具</modifiedWord>
      <trackRevisions>false</trackRevisions>
    </reviewItem>
    <reviewItem>
      <errorID>8762cea5-3c39-45bb-9565-0d3d85a11ee8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4C5ED0AC</paraID>
      <start>0</start>
      <end>2</end>
      <status>unmodified</status>
      <modifiedWord/>
      <trackRevisions>false</trackRevisions>
    </reviewItem>
    <reviewItem>
      <errorID>2a199ee3-a641-4b8f-99a6-71cf63eccf98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5DFC25A6</paraID>
      <start>0</start>
      <end>2</end>
      <status>unmodified</status>
      <modifiedWord/>
      <trackRevisions>false</trackRevisions>
    </reviewItem>
    <reviewItem>
      <errorID>af6c4206-0d5a-4034-b60b-7b83bb3ebfe1</errorID>
      <errorWord>政府采购法实施条例释义</errorWord>
      <group>L1_Other</group>
      <groupName>其他问题</groupName>
      <ability>L2_UserTypo</ability>
      <abilityName>自定义错误</abilityName>
      <candidateList>
        <item>中华人民共和国</item>
      </candidateList>
      <explain>来自自定义错词库。</explain>
      <paraID>30432144</paraID>
      <start>10</start>
      <end>21</end>
      <status>unmodified</status>
      <modifiedWord/>
      <trackRevisions>false</trackRevisions>
    </reviewItem>
    <reviewItem>
      <errorID>3b6c4fef-b748-44ac-949f-1e1977ae6770</errorID>
      <errorWord>按《中华人民共和国</errorWord>
      <group>L1_Political</group>
      <groupName>政治性问题</groupName>
      <ability>L2_Unpolitical</ability>
      <abilityName>政治敏感错误</abilityName>
      <candidateList>
        <item>按照《中华人民共和国</item>
      </candidateList>
      <explain/>
      <paraID>17E380C3</paraID>
      <start>22</start>
      <end>31</end>
      <status>unmodified</status>
      <modifiedWord/>
      <trackRevisions>false</trackRevisions>
    </reviewItem>
    <reviewItem>
      <errorID>629b12d0-8034-4fea-800e-390070babf3d</errorID>
      <errorWord>进一步加强对</errorWord>
      <group>L1_Word</group>
      <groupName>字词问题</groupName>
      <ability>L2_Typo</ability>
      <abilityName>字词错误</abilityName>
      <candidateList>
        <item>进一步加强</item>
      </candidateList>
      <explain/>
      <paraID>4CB468F7</paraID>
      <start>5</start>
      <end>11</end>
      <status>unmodified</status>
      <modifiedWord/>
      <trackRevisions>false</trackRevisions>
    </reviewItem>
    <reviewItem>
      <errorID>09c67f03-4d25-4e0f-9b81-a77115ccbd85</errorID>
      <errorWord>特制订本办法</errorWord>
      <group>L1_Word</group>
      <groupName>字词问题</groupName>
      <ability>L2_Typo</ability>
      <abilityName>字词错误</abilityName>
      <candidateList>
        <item>特制定本办法</item>
      </candidateList>
      <explain/>
      <paraID>4CB468F7</paraID>
      <start>173</start>
      <end>179</end>
      <status>unmodified</status>
      <modifiedWord/>
      <trackRevisions>false</trackRevisions>
    </reviewItem>
    <reviewItem>
      <errorID>17b65b60-14d3-467a-a07b-21c0f3e418dc</errorID>
      <errorWord>《药品管理法》</errorWord>
      <group>L1_Word</group>
      <groupName>字词问题</groupName>
      <ability>L2_Typo</ability>
      <abilityName>字词错误</abilityName>
      <candidateList>
        <item>《中华人民共和国药品管理法》</item>
      </candidateList>
      <explain/>
      <paraID>23996E43</paraID>
      <start>14</start>
      <end>21</end>
      <status>unmodified</status>
      <modifiedWord/>
      <trackRevisions>false</trackRevisions>
    </reviewItem>
    <reviewItem>
      <errorID>0f1f89f3-d4dd-4a89-8ac9-72602aa19435</errorID>
      <errorWord>二次</errorWord>
      <group>L1_Word</group>
      <groupName>字词问题</groupName>
      <ability>L2_Typo</ability>
      <abilityName>字词错误</abilityName>
      <candidateList>
        <item>两次</item>
      </candidateList>
      <explain/>
      <paraID>4E7B6D69</paraID>
      <start>139</start>
      <end>141</end>
      <status>unmodified</status>
      <modifiedWord/>
      <trackRevisions>false</trackRevisions>
    </reviewItem>
    <reviewItem>
      <errorID>87e2e3b9-1af4-4b85-b3cf-a1b5d15214d3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7F6AC5F5</paraID>
      <start>0</start>
      <end>2</end>
      <status>unmodified</status>
      <modifiedWord/>
      <trackRevisions>false</trackRevisions>
    </reviewItem>
    <reviewItem>
      <errorID>2cc25d3f-f905-4bad-8ed6-17257cbfa71b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2711FD9A</paraID>
      <start>0</start>
      <end>2</end>
      <status>unmodified</status>
      <modifiedWord/>
      <trackRevisions>false</trackRevisions>
    </reviewItem>
    <reviewItem>
      <errorID>02a73481-3e55-4764-a72f-cc4690750b4e</errorID>
      <errorWord>）</errorWord>
      <group>L1_Word</group>
      <groupName>字词问题</groupName>
      <ability>L2_Typo</ability>
      <abilityName>字词错误</abilityName>
      <candidateList>
        <item>）是</item>
      </candidateList>
      <explain/>
      <paraID> 1354364</paraID>
      <start>8</start>
      <end>9</end>
      <status>unmodified</status>
      <modifiedWord/>
      <trackRevisions>false</trackRevisions>
    </reviewItem>
    <reviewItem>
      <errorID>e24624dc-c0a1-45f6-99f1-24599cd1a62c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615F544C</paraID>
      <start>0</start>
      <end>2</end>
      <status>unmodified</status>
      <modifiedWord/>
      <trackRevisions>false</trackRevisions>
    </reviewItem>
    <reviewItem>
      <errorID>f8ebb5ea-b858-44f8-9b6f-0c26fe43c3b5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425937C7</paraID>
      <start>0</start>
      <end>2</end>
      <status>unmodified</status>
      <modifiedWord/>
      <trackRevisions>false</trackRevisions>
    </reviewItem>
    <reviewItem>
      <errorID>f87feacb-b1a7-48de-82d1-9177cf12c006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23A34E04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8B3FCB4-5E87-400E-A358-687BE5E5229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张玲玲</cp:lastModifiedBy>
  <cp:revision>6</cp:revision>
  <dcterms:created xsi:type="dcterms:W3CDTF">2025-02-06T06:18:00Z</dcterms:created>
  <dcterms:modified xsi:type="dcterms:W3CDTF">2026-07-21T08:55:08Z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eyJoZGlkIjoiODljYjU0YjVjYzA0NmY4MjFlMDMxMGMyZjIwNzRmN2MiLCJ1c2VySWQiOiIyODIzODM1NDEifQ==</vt:lpwstr>
  </property>
  <property fmtid="{D5CDD505-2E9C-101B-9397-08002B2CF9AE}" pid="3" name="KSOProductBuildVer">
    <vt:lpwstr>2052-12.1.0.26375</vt:lpwstr>
  </property>
  <property fmtid="{D5CDD505-2E9C-101B-9397-08002B2CF9AE}" pid="4" name="ICV">
    <vt:lpwstr>B30DEE07A9DA4F68BA2741624C21B15E_13</vt:lpwstr>
  </property>
</Properties>
</file>