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60"/>
          <w:szCs w:val="60"/>
          <w:highlight w:val="none"/>
        </w:rPr>
      </w:pPr>
      <w:r/>
      <w:bookmarkStart w:id="0" w:name="OLE_LINK2"/>
      <w:r/>
      <w:bookmarkStart w:id="1" w:name="OLE_LINK1"/>
      <w:r>
        <w:rPr>
          <w:rFonts w:hint="eastAsia" w:ascii="宋体" w:hAnsi="宋体" w:cs="宋体"/>
          <w:color w:val="auto"/>
          <w:sz w:val="60"/>
          <w:szCs w:val="60"/>
          <w:highlight w:val="none"/>
        </w:rPr>
        <w:t xml:space="preserve">泰州市政府采购项目</w:t>
      </w:r>
      <w:bookmarkEnd w:id="0"/>
      <w:r/>
      <w:bookmarkEnd w:id="1"/>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6"/>
          <w:szCs w:val="36"/>
          <w:highlight w:val="none"/>
        </w:rPr>
      </w:pPr>
      <w:r/>
      <w:bookmarkStart w:id="2" w:name="_Toc28993"/>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宋体" w:hAnsi="宋体" w:cs="宋体"/>
          <w:color w:val="auto"/>
          <w:sz w:val="40"/>
          <w:szCs w:val="40"/>
          <w:highlight w:val="none"/>
        </w:rPr>
      </w:pPr>
      <w:r>
        <w:rPr>
          <w:rFonts w:hint="eastAsia" w:ascii="宋体" w:hAnsi="宋体" w:cs="宋体"/>
          <w:color w:val="auto"/>
          <w:sz w:val="40"/>
          <w:szCs w:val="40"/>
          <w:highlight w:val="none"/>
        </w:rPr>
        <w:t xml:space="preserve">竞争性磋商</w:t>
      </w:r>
      <w:r>
        <w:rPr>
          <w:rFonts w:hint="eastAsia" w:ascii="宋体" w:hAnsi="宋体" w:cs="宋体"/>
          <w:color w:val="auto"/>
          <w:sz w:val="40"/>
          <w:szCs w:val="40"/>
          <w:highlight w:val="none"/>
          <w:lang w:val="en-US" w:eastAsia="zh-CN"/>
        </w:rPr>
        <w:t xml:space="preserve">采购</w:t>
      </w:r>
      <w:r>
        <w:rPr>
          <w:rFonts w:hint="eastAsia" w:ascii="宋体" w:hAnsi="宋体" w:cs="宋体"/>
          <w:color w:val="auto"/>
          <w:sz w:val="40"/>
          <w:szCs w:val="40"/>
          <w:highlight w:val="none"/>
        </w:rPr>
        <w:t xml:space="preserve">文件</w:t>
      </w:r>
      <w:bookmarkEnd w:id="2"/>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（全流程电子化不见面开标）</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keepLines w:val="0"/>
        <w:keepNext w:val="0"/>
        <w:pageBreakBefore w:val="0"/>
        <w:spacing w:line="360" w:lineRule="auto"/>
        <w:widowControl w:val="off"/>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JSZC-321200-TZLC-C2026-0013</w:t>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泰州市人民医院ERCP用</w:t>
      </w:r>
      <w:r>
        <w:rPr>
          <w:rFonts w:hint="eastAsia" w:ascii="宋体" w:hAnsi="宋体" w:cs="宋体"/>
          <w:color w:val="auto"/>
          <w:sz w:val="30"/>
          <w:szCs w:val="30"/>
          <w:highlight w:val="none"/>
          <w:lang w:val="en-US" w:eastAsia="zh-CN"/>
        </w:rPr>
        <w:t xml:space="preserve">X</w:t>
      </w:r>
      <w:r>
        <w:rPr>
          <w:rFonts w:hint="eastAsia" w:ascii="宋体" w:hAnsi="宋体" w:cs="宋体"/>
          <w:color w:val="auto"/>
          <w:sz w:val="30"/>
          <w:szCs w:val="30"/>
          <w:highlight w:val="none"/>
          <w:lang w:eastAsia="zh-CN"/>
        </w:rPr>
        <w:t xml:space="preserve">线设备采购项目</w:t>
      </w:r>
      <w:r/>
    </w:p>
    <w:p>
      <w:pPr>
        <w:keepLines w:val="0"/>
        <w:keepNext w:val="0"/>
        <w:pageBreakBefore w:val="0"/>
        <w:spacing w:line="360" w:lineRule="auto"/>
        <w:widowControl w:val="off"/>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采购单位：泰州市人民医院</w:t>
      </w:r>
      <w:r/>
    </w:p>
    <w:p>
      <w:pPr>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代理机构：</w:t>
      </w:r>
      <w:r>
        <w:rPr>
          <w:rFonts w:hint="eastAsia" w:ascii="宋体" w:hAnsi="宋体" w:cs="宋体"/>
          <w:color w:val="auto"/>
          <w:sz w:val="30"/>
          <w:szCs w:val="30"/>
          <w:highlight w:val="none"/>
          <w:lang w:eastAsia="zh-CN"/>
        </w:rPr>
        <w:t xml:space="preserve">泰州林诚项目管理有限公司</w:t>
      </w:r>
      <w:r/>
    </w:p>
    <w:p>
      <w:pPr>
        <w:jc w:val="center"/>
        <w:keepLines w:val="0"/>
        <w:keepNext w:val="0"/>
        <w:pageBreakBefore w:val="0"/>
        <w:spacing w:line="360" w:lineRule="auto"/>
        <w:widowControl w:val="off"/>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2026年</w:t>
      </w:r>
      <w:r>
        <w:rPr>
          <w:rFonts w:hint="eastAsia" w:ascii="宋体" w:hAnsi="宋体" w:cs="宋体"/>
          <w:color w:val="auto"/>
          <w:sz w:val="30"/>
          <w:szCs w:val="30"/>
          <w:highlight w:val="none"/>
          <w:lang w:val="en-US" w:eastAsia="zh-CN"/>
        </w:rPr>
        <w:t xml:space="preserve">8</w:t>
      </w:r>
      <w:r>
        <w:rPr>
          <w:rFonts w:hint="eastAsia" w:ascii="宋体" w:hAnsi="宋体" w:cs="宋体"/>
          <w:color w:val="auto"/>
          <w:sz w:val="30"/>
          <w:szCs w:val="30"/>
          <w:highlight w:val="none"/>
        </w:rPr>
        <w:t xml:space="preserve">月</w:t>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sectPr>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目  录</w:t>
      </w:r>
      <w:r/>
    </w:p>
    <w:p>
      <w:pPr>
        <w:pStyle w:val="961"/>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第一章  竞争性磋商采购公告</w:t>
      </w:r>
      <w:r/>
    </w:p>
    <w:p>
      <w:pPr>
        <w:pStyle w:val="9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参加磋商供应商须知</w:t>
      </w:r>
      <w:r/>
    </w:p>
    <w:p>
      <w:pPr>
        <w:pStyle w:val="9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p>
    <w:p>
      <w:pPr>
        <w:pStyle w:val="9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项目需求</w:t>
      </w:r>
      <w:r/>
    </w:p>
    <w:p>
      <w:pPr>
        <w:pStyle w:val="9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评审方法和评审标准</w:t>
      </w:r>
      <w:r/>
    </w:p>
    <w:p>
      <w:pPr>
        <w:pStyle w:val="961"/>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响应文件的组成和格式</w:t>
      </w:r>
      <w:r/>
    </w:p>
    <w:p>
      <w:pPr>
        <w:pStyle w:val="944"/>
        <w:keepNext w:val="0"/>
        <w:rPr>
          <w:rFonts w:hint="eastAsia" w:ascii="宋体" w:hAnsi="宋体" w:eastAsia="宋体" w:cs="宋体"/>
          <w:color w:val="auto"/>
          <w:sz w:val="32"/>
          <w:szCs w:val="32"/>
          <w:highlight w:val="none"/>
        </w:rPr>
        <w:sectPr>
          <w:footerReference w:type="default" r:id="rId9"/>
          <w:footnotePr/>
          <w:endnotePr/>
          <w:type w:val="nextPage"/>
          <w:pgSz w:w="11906" w:h="16838" w:orient="portrait"/>
          <w:pgMar w:top="1440" w:right="1463" w:bottom="1440" w:left="1463" w:header="851" w:footer="992" w:gutter="0"/>
          <w:pgNumType w:start="1"/>
          <w:cols w:num="1" w:sep="0" w:space="720" w:equalWidth="1"/>
          <w:docGrid w:linePitch="360"/>
        </w:sectPr>
      </w:pPr>
      <w:r/>
      <w:bookmarkStart w:id="3" w:name="_Toc24405"/>
      <w:r/>
      <w:bookmarkStart w:id="4" w:name="_Toc32147"/>
      <w:r/>
      <w:r/>
    </w:p>
    <w:p>
      <w:pPr>
        <w:pStyle w:val="944"/>
        <w:jc w:val="center"/>
        <w:keepNext w:val="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第一章 竞争性磋商</w:t>
      </w:r>
      <w:bookmarkStart w:id="5" w:name="二．报价方须知"/>
      <w:r/>
      <w:bookmarkEnd w:id="5"/>
      <w:r>
        <w:rPr>
          <w:rFonts w:hint="eastAsia" w:ascii="黑体" w:hAnsi="黑体" w:eastAsia="黑体" w:cs="黑体"/>
          <w:color w:val="auto"/>
          <w:sz w:val="32"/>
          <w:szCs w:val="32"/>
          <w:highlight w:val="none"/>
        </w:rPr>
        <w:t xml:space="preserve">采购公告</w:t>
      </w:r>
      <w:bookmarkEnd w:id="3"/>
      <w:r/>
      <w:bookmarkEnd w:id="4"/>
      <w:r/>
      <w:r/>
    </w:p>
    <w:p>
      <w:pPr>
        <w:keepLines w:val="0"/>
        <w:keepNext w:val="0"/>
        <w:pageBreakBefore w:val="0"/>
        <w:spacing w:line="360" w:lineRule="auto"/>
        <w:widowControl w:val="off"/>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bookmarkStart w:id="6" w:name="_Toc28359012"/>
      <w:r/>
      <w:bookmarkStart w:id="7" w:name="_Toc35393629"/>
      <w:r/>
      <w:bookmarkStart w:id="8" w:name="_Toc35393798"/>
      <w:r/>
      <w:bookmarkStart w:id="9" w:name="_Toc28359089"/>
      <w:r>
        <w:rPr>
          <w:rFonts w:hint="eastAsia" w:ascii="宋体" w:hAnsi="宋体" w:cs="宋体"/>
          <w:b/>
          <w:bCs/>
          <w:color w:val="auto"/>
          <w:szCs w:val="21"/>
          <w:highlight w:val="none"/>
        </w:rPr>
        <w:t xml:space="preserve">项目概况</w:t>
      </w:r>
      <w:r/>
    </w:p>
    <w:p>
      <w:pPr>
        <w:ind w:firstLine="420"/>
        <w:keepLines w:val="0"/>
        <w:keepNext w:val="0"/>
        <w:pageBreakBefore w:val="0"/>
        <w:spacing w:line="360" w:lineRule="auto"/>
        <w:widowControl w:val="off"/>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u w:val="single"/>
          <w:lang w:eastAsia="zh-CN"/>
        </w:rPr>
        <w:t xml:space="preserve">泰州市人民医院ERCP用X线设备采购项目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江苏省政府采购“苏采云”系统</w:t>
      </w:r>
      <w:r>
        <w:rPr>
          <w:rFonts w:hint="eastAsia" w:ascii="宋体" w:hAnsi="宋体" w:cs="宋体"/>
          <w:color w:val="auto"/>
          <w:szCs w:val="21"/>
          <w:highlight w:val="none"/>
        </w:rPr>
        <w:t xml:space="preserve">自行免费下载</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，并于</w:t>
      </w:r>
      <w:r>
        <w:rPr>
          <w:rFonts w:hint="eastAsia" w:ascii="宋体" w:hAnsi="宋体" w:cs="宋体"/>
          <w:color w:val="auto"/>
          <w:szCs w:val="21"/>
          <w:highlight w:val="none"/>
          <w:u w:val="single"/>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18</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00</w:t>
      </w:r>
      <w:r>
        <w:rPr>
          <w:rFonts w:hint="eastAsia" w:ascii="宋体" w:hAnsi="宋体" w:cs="宋体"/>
          <w:bCs/>
          <w:color w:val="auto"/>
          <w:szCs w:val="21"/>
          <w:highlight w:val="none"/>
          <w:u w:val="single"/>
        </w:rPr>
        <w:t xml:space="preserve">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一、项目基本情况</w:t>
      </w:r>
      <w:bookmarkEnd w:id="6"/>
      <w:r/>
      <w:bookmarkEnd w:id="7"/>
      <w:r/>
      <w:bookmarkEnd w:id="8"/>
      <w:r/>
      <w:bookmarkEnd w:id="9"/>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JSZC-321200-TZLC-C2026-0013</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泰州市人民医院ERCP用X线设备采购项目</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200</w:t>
      </w:r>
      <w:r>
        <w:rPr>
          <w:rFonts w:hint="eastAsia" w:ascii="宋体" w:hAnsi="宋体" w:cs="宋体"/>
          <w:color w:val="auto"/>
          <w:szCs w:val="21"/>
          <w:highlight w:val="none"/>
        </w:rPr>
        <w:t xml:space="preserve">万元</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200</w:t>
      </w:r>
      <w:r>
        <w:rPr>
          <w:rFonts w:hint="eastAsia" w:ascii="宋体" w:hAnsi="宋体" w:cs="宋体"/>
          <w:color w:val="auto"/>
          <w:szCs w:val="21"/>
          <w:highlight w:val="none"/>
        </w:rPr>
        <w:t xml:space="preserve">万元</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p>
    <w:tbl>
      <w:tblPr>
        <w:tblStyle w:val="999"/>
        <w:tblW w:w="4624" w:type="pct"/>
        <w:tblInd w:w="380" w:type="dxa"/>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16"/>
        <w:gridCol w:w="3764"/>
        <w:gridCol w:w="664"/>
        <w:gridCol w:w="1703"/>
        <w:gridCol w:w="1440"/>
      </w:tblGrid>
      <w:tr>
        <w:trPr>
          <w:trHeight w:val="598"/>
        </w:trPr>
        <w:tc>
          <w:tcPr>
            <w:tcBorders>
              <w:bottom w:val="single" w:color="000000" w:sz="8" w:space="0"/>
              <w:right w:val="single" w:color="000000" w:sz="8" w:space="0"/>
            </w:tcBorders>
            <w:tcMar>
              <w:left w:w="108" w:type="dxa"/>
              <w:top w:w="10" w:type="dxa"/>
              <w:right w:w="108" w:type="dxa"/>
              <w:bottom w:w="10" w:type="dxa"/>
            </w:tcMar>
            <w:tcW w:w="7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序</w:t>
            </w:r>
            <w:r>
              <w:rPr>
                <w:rFonts w:hint="eastAsia" w:ascii="宋体" w:hAnsi="宋体" w:eastAsia="宋体" w:cs="宋体"/>
                <w:color w:val="auto"/>
                <w:szCs w:val="21"/>
                <w:highlight w:val="none"/>
              </w:rPr>
              <w:t xml:space="preserve">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3863" w:type="dxa"/>
            <w:vAlign w:val="center"/>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项目名称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6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7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147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是否接受进口</w:t>
            </w:r>
            <w:r/>
          </w:p>
        </w:tc>
      </w:tr>
      <w:tr>
        <w:trPr>
          <w:trHeight w:val="667"/>
        </w:trPr>
        <w:tc>
          <w:tcPr>
            <w:tcBorders>
              <w:top w:val="single" w:color="000000" w:sz="8" w:space="0"/>
              <w:bottom w:val="single" w:color="000000" w:sz="8" w:space="0"/>
              <w:right w:val="single" w:color="000000" w:sz="8" w:space="0"/>
            </w:tcBorders>
            <w:tcMar>
              <w:left w:w="108" w:type="dxa"/>
              <w:top w:w="10" w:type="dxa"/>
              <w:right w:w="108" w:type="dxa"/>
              <w:bottom w:w="10" w:type="dxa"/>
            </w:tcMar>
            <w:tcW w:w="7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38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ERCP用X线设备</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6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1套</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7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人民币</w:t>
            </w:r>
            <w:r>
              <w:rPr>
                <w:rFonts w:hint="eastAsia" w:ascii="宋体" w:hAnsi="宋体" w:cs="宋体"/>
                <w:color w:val="auto"/>
                <w:szCs w:val="21"/>
                <w:highlight w:val="none"/>
                <w:lang w:val="en-US" w:eastAsia="zh-CN"/>
              </w:rPr>
              <w:t xml:space="preserve">20</w:t>
            </w:r>
            <w:r>
              <w:rPr>
                <w:rFonts w:hint="eastAsia" w:ascii="宋体" w:hAnsi="宋体" w:eastAsia="宋体" w:cs="宋体"/>
                <w:color w:val="auto"/>
                <w:szCs w:val="21"/>
                <w:highlight w:val="none"/>
                <w:lang w:val="en-US" w:eastAsia="zh-CN"/>
              </w:rPr>
              <w:t xml:space="preserve">0万元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147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不接受</w:t>
            </w:r>
            <w:r/>
          </w:p>
        </w:tc>
      </w:tr>
    </w:tbl>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合同履行期限：合同签署后，</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0日内完成供货和安装。</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本项目（是/否）接受联合体：否。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10" w:name="_Toc35393630"/>
      <w:r/>
      <w:bookmarkStart w:id="11" w:name="_Toc28359013"/>
      <w:r/>
      <w:bookmarkStart w:id="12" w:name="_Toc35393799"/>
      <w:r/>
      <w:bookmarkStart w:id="13" w:name="_Toc28359090"/>
      <w:r>
        <w:rPr>
          <w:rFonts w:hint="eastAsia" w:ascii="宋体" w:hAnsi="宋体" w:cs="宋体"/>
          <w:b/>
          <w:color w:val="auto"/>
          <w:szCs w:val="21"/>
          <w:highlight w:val="none"/>
        </w:rPr>
        <w:t xml:space="preserve">二、申请人的资格要求</w:t>
      </w:r>
      <w:bookmarkEnd w:id="10"/>
      <w:r/>
      <w:bookmarkEnd w:id="11"/>
      <w:r/>
      <w:bookmarkEnd w:id="12"/>
      <w:r/>
      <w:bookmarkEnd w:id="13"/>
      <w:r/>
      <w:r/>
    </w:p>
    <w:p>
      <w:pPr>
        <w:ind w:firstLine="420"/>
        <w:keepLines w:val="0"/>
        <w:keepNext w:val="0"/>
        <w:pageBreakBefore w:val="0"/>
        <w:spacing w:line="360" w:lineRule="auto"/>
        <w:widowControl w:val="off"/>
        <w:rPr>
          <w:rFonts w:hint="eastAsia" w:ascii="宋体" w:hAnsi="宋体" w:cs="宋体"/>
          <w:color w:val="auto"/>
          <w:szCs w:val="21"/>
          <w:highlight w:val="none"/>
        </w:rPr>
      </w:pPr>
      <w:r/>
      <w:bookmarkStart w:id="14" w:name="_Toc28359014"/>
      <w:r/>
      <w:bookmarkStart w:id="15" w:name="_Toc28359091"/>
      <w:r/>
      <w:bookmarkStart w:id="16" w:name="_Toc35393631"/>
      <w:r/>
      <w:bookmarkStart w:id="17" w:name="_Toc35393800"/>
      <w:r>
        <w:rPr>
          <w:rFonts w:hint="eastAsia" w:ascii="宋体" w:hAnsi="宋体" w:cs="宋体"/>
          <w:color w:val="auto"/>
          <w:szCs w:val="21"/>
          <w:highlight w:val="none"/>
        </w:rPr>
        <w:t xml:space="preserve">（一）满足《中华人民共和国政府采购法》第二十二条规定：</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本项目不专门面向中小微企业、监狱企业、残疾人福利性单位，对符合条件的小型和微型企业、残疾人福利单位、监狱企业给予10%的扣除价格，用扣除后的价格参与评审</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根据《国务院办公厅关于在政府采购中实施本国产品标准及相关政策的通知》（国办发〔2025〕34号）和《关于贯彻落实&lt;国务院办公厅关于在政府采购中实施本国产品标准及相关政策的通知&gt;的意见》（财库〔2025〕30号），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供应商需按《医疗器械目录分类》规定，根据</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文件中采购物品类别提供相应材料，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如所报设备属于医疗器械第二类管理产品，应提供所报设备的《医疗器械生产许可证》及《医疗器械注册证》；</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如所报设备属于医疗器械第三类管理的产品，应提供《医疗器械经营许可证》、所报设备的《医疗器械生产许可证》及《医疗器械注册证》</w:t>
      </w:r>
      <w:r>
        <w:rPr>
          <w:rFonts w:hint="eastAsia" w:ascii="宋体" w:hAnsi="宋体" w:cs="宋体"/>
          <w:color w:val="auto"/>
          <w:szCs w:val="21"/>
          <w:highlight w:val="none"/>
          <w:lang w:val="en-US" w:eastAsia="zh-CN"/>
        </w:rPr>
        <w:t xml:space="preserve">；</w:t>
      </w:r>
      <w:r/>
    </w:p>
    <w:p>
      <w:pPr>
        <w:ind w:firstLine="420"/>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bookmarkStart w:id="151" w:name="_GoBack"/>
      <w:r>
        <w:rPr>
          <w:rFonts w:hint="eastAsia" w:ascii="宋体" w:hAnsi="宋体" w:cs="宋体"/>
          <w:color w:val="auto"/>
          <w:szCs w:val="21"/>
          <w:highlight w:val="none"/>
          <w:lang w:val="en-US" w:eastAsia="zh-CN"/>
        </w:rPr>
        <w:t xml:space="preserve">医疗器械生产企业投标的，需按照国家规定提供《辐射安全许可证》（许可证范围含</w:t>
      </w:r>
      <w:r>
        <w:rPr>
          <w:rFonts w:hint="eastAsia" w:ascii="宋体" w:hAnsi="宋体" w:eastAsia="宋体" w:cs="宋体"/>
          <w:color w:val="auto"/>
          <w:szCs w:val="21"/>
          <w:highlight w:val="none"/>
          <w:lang w:val="en-US" w:eastAsia="zh-CN"/>
        </w:rPr>
        <w:t xml:space="preserve">Ⅱ类射线装置）</w:t>
      </w:r>
      <w:r>
        <w:rPr>
          <w:rFonts w:hint="eastAsia" w:ascii="宋体" w:hAnsi="宋体" w:cs="宋体"/>
          <w:color w:val="auto"/>
          <w:szCs w:val="21"/>
          <w:highlight w:val="none"/>
          <w:lang w:val="en-US" w:eastAsia="zh-CN"/>
        </w:rPr>
        <w:t xml:space="preserve">；投标人为医疗器械经营企业的，需按照国家规定提供投标人以及医疗器械生产企业的《辐射安全许可证》（许可证范围含</w:t>
      </w:r>
      <w:r>
        <w:rPr>
          <w:rFonts w:hint="eastAsia" w:ascii="宋体" w:hAnsi="宋体" w:eastAsia="宋体" w:cs="宋体"/>
          <w:color w:val="auto"/>
          <w:szCs w:val="21"/>
          <w:highlight w:val="none"/>
          <w:lang w:val="en-US" w:eastAsia="zh-CN"/>
        </w:rPr>
        <w:t xml:space="preserve">Ⅱ类射线装置）</w:t>
      </w:r>
      <w:r>
        <w:rPr>
          <w:rFonts w:hint="eastAsia" w:ascii="宋体" w:hAnsi="宋体" w:cs="宋体"/>
          <w:color w:val="auto"/>
          <w:szCs w:val="21"/>
          <w:highlight w:val="none"/>
          <w:lang w:val="en-US" w:eastAsia="zh-CN"/>
        </w:rPr>
        <w:t xml:space="preserve">。</w:t>
      </w:r>
      <w:bookmarkEnd w:id="151"/>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（四）其他要求：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1.供应商未被“信用中国”网站（www.creditchina.gov.cn）列入失信被执行人、重大税收违法失信主体、政府采购严重失信行为记录名单；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bCs/>
          <w:color w:val="auto"/>
          <w:sz w:val="21"/>
          <w:szCs w:val="21"/>
          <w:highlight w:val="none"/>
          <w:lang w:val="en-US" w:eastAsia="zh-CN"/>
        </w:rPr>
        <w:t xml:space="preserve">除单一来源采购项目外，为采购项目提供整体设计、规范编制或者项目管理、监理、检测等服务的供应商，不得在该采购项目的其他采购活动；</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供应商单位负责人为同一人或者存在直接控股、管理关系的不同供应商，不得参加同一合同项下的采购活动。</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三、获取采购文件</w:t>
      </w:r>
      <w:bookmarkEnd w:id="14"/>
      <w:r/>
      <w:bookmarkEnd w:id="15"/>
      <w:r/>
      <w:bookmarkEnd w:id="16"/>
      <w:r/>
      <w:bookmarkEnd w:id="17"/>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时间：</w:t>
      </w:r>
      <w:bookmarkStart w:id="18" w:name="_Toc28359092"/>
      <w:r/>
      <w:bookmarkStart w:id="19" w:name="_Toc28359015"/>
      <w:r/>
      <w:bookmarkStart w:id="20" w:name="_Toc35393801"/>
      <w:r/>
      <w:bookmarkStart w:id="21" w:name="_Toc35393632"/>
      <w:r>
        <w:rPr>
          <w:rFonts w:hint="eastAsia" w:ascii="宋体" w:hAnsi="宋体" w:cs="宋体"/>
          <w:color w:val="auto"/>
          <w:szCs w:val="21"/>
          <w:highlight w:val="none"/>
          <w:lang w:val="en-US" w:eastAsia="zh-CN"/>
        </w:rPr>
        <w:t xml:space="preserve">自采购公告发布之日起5个工作日</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地点：江苏政府采购“苏采云”系统；</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方式：供应商完成注册并办理CA证书后登录“苏采云”政府采购一体化平台，选择本项目点击“我要参与”并下载本项目采购文件；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售价：0.00元。</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四、响应文件提交</w:t>
      </w:r>
      <w:bookmarkEnd w:id="18"/>
      <w:r/>
      <w:bookmarkEnd w:id="19"/>
      <w:r/>
      <w:bookmarkEnd w:id="20"/>
      <w:r/>
      <w:bookmarkEnd w:id="2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截止时间：2026年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点00分（北京时间）；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w:t>
      </w:r>
      <w:bookmarkStart w:id="22" w:name="OLE_LINK38"/>
      <w:r/>
      <w:bookmarkStart w:id="23" w:name="OLE_LINK37"/>
      <w:r>
        <w:rPr>
          <w:rFonts w:hint="eastAsia" w:ascii="宋体" w:hAnsi="宋体" w:cs="宋体"/>
          <w:color w:val="auto"/>
          <w:szCs w:val="21"/>
          <w:highlight w:val="none"/>
        </w:rPr>
        <w:t xml:space="preserve">http://jszfcg.jsczt.cn/</w:t>
      </w:r>
      <w:bookmarkEnd w:id="22"/>
      <w:r/>
      <w:bookmarkEnd w:id="23"/>
      <w:r>
        <w:rPr>
          <w:rFonts w:hint="eastAsia" w:ascii="宋体" w:hAnsi="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4" w:name="_Toc28359093"/>
      <w:r/>
      <w:bookmarkStart w:id="25" w:name="_Toc35393633"/>
      <w:r/>
      <w:bookmarkStart w:id="26" w:name="_Toc28359016"/>
      <w:r/>
      <w:bookmarkStart w:id="27" w:name="_Toc35393802"/>
      <w:r>
        <w:rPr>
          <w:rFonts w:hint="eastAsia" w:ascii="宋体" w:hAnsi="宋体" w:cs="宋体"/>
          <w:b/>
          <w:color w:val="auto"/>
          <w:szCs w:val="21"/>
          <w:highlight w:val="none"/>
        </w:rPr>
        <w:t xml:space="preserve">五、开启</w:t>
      </w:r>
      <w:bookmarkEnd w:id="24"/>
      <w:r/>
      <w:bookmarkEnd w:id="25"/>
      <w:r/>
      <w:bookmarkEnd w:id="26"/>
      <w:r/>
      <w:bookmarkEnd w:id="27"/>
      <w:r>
        <w:rPr>
          <w:rFonts w:hint="eastAsia" w:ascii="宋体" w:hAnsi="宋体" w:cs="宋体"/>
          <w:b/>
          <w:color w:val="auto"/>
          <w:szCs w:val="21"/>
          <w:highlight w:val="none"/>
        </w:rPr>
        <w:t xml:space="preserve">（开标时间）</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时间：2026年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点00分（北京时间）；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地点：“苏采云”系统（网址：http://jszfcg.jsczt.cn/）“开标大厅”。</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28" w:name="_Toc28359094"/>
      <w:r/>
      <w:bookmarkStart w:id="29" w:name="_Toc35393634"/>
      <w:r/>
      <w:bookmarkStart w:id="30" w:name="_Toc28359017"/>
      <w:r/>
      <w:bookmarkStart w:id="31" w:name="_Toc35393803"/>
      <w:r>
        <w:rPr>
          <w:rFonts w:hint="eastAsia" w:ascii="宋体" w:hAnsi="宋体" w:cs="宋体"/>
          <w:b/>
          <w:color w:val="auto"/>
          <w:szCs w:val="21"/>
          <w:highlight w:val="none"/>
        </w:rPr>
        <w:t xml:space="preserve">六、公告期限</w:t>
      </w:r>
      <w:bookmarkEnd w:id="28"/>
      <w:r/>
      <w:bookmarkEnd w:id="29"/>
      <w:r/>
      <w:bookmarkEnd w:id="30"/>
      <w:r/>
      <w:bookmarkEnd w:id="3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32" w:name="_Toc35393804"/>
      <w:r/>
      <w:bookmarkStart w:id="33" w:name="_Toc35393635"/>
      <w:r>
        <w:rPr>
          <w:rFonts w:hint="eastAsia" w:ascii="宋体" w:hAnsi="宋体" w:cs="宋体"/>
          <w:b/>
          <w:color w:val="auto"/>
          <w:szCs w:val="21"/>
          <w:highlight w:val="none"/>
        </w:rPr>
        <w:t xml:space="preserve">七、其他补充事宜</w:t>
      </w:r>
      <w:bookmarkEnd w:id="32"/>
      <w:r/>
      <w:bookmarkEnd w:id="33"/>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具体办理指南和操作手册见链接：http://www.ccgp-jiangsu.gov.cn/jiangsu/zlxz/ee/ee3a4bc5a3454aa2b0d9312230633ce9.html。领取CA和办理电子签章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2.本次招标的事项若存在变动或修改，敬请及时关注“江苏政府采购网”发布的更正公告。</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34" w:name="_Toc35393805"/>
      <w:r/>
      <w:bookmarkStart w:id="35" w:name="_Toc28359095"/>
      <w:r/>
      <w:bookmarkStart w:id="36" w:name="_Toc35393636"/>
      <w:r/>
      <w:bookmarkStart w:id="37" w:name="_Toc28359018"/>
      <w:r>
        <w:rPr>
          <w:rFonts w:hint="eastAsia" w:ascii="宋体" w:hAnsi="宋体" w:cs="宋体"/>
          <w:b/>
          <w:color w:val="auto"/>
          <w:szCs w:val="21"/>
          <w:highlight w:val="none"/>
        </w:rPr>
        <w:t xml:space="preserve">八、凡对本次采购提出询问，请按以下方式联系</w:t>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1.采购单位：泰州市人民医院</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地址：泰州市医药高新区太湖路366号</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联系人：孙先生  </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联系电话：0523-89890040</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2.代理机构：</w:t>
      </w:r>
      <w:r>
        <w:rPr>
          <w:rFonts w:hint="eastAsia" w:ascii="宋体" w:hAnsi="宋体" w:eastAsia="宋体" w:cs="宋体"/>
          <w:color w:val="auto"/>
          <w:szCs w:val="21"/>
          <w:highlight w:val="none"/>
          <w:lang w:eastAsia="zh-CN"/>
        </w:rPr>
        <w:t xml:space="preserve">泰州林诚项目管理有限公司</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泰州市高新区雪铁龙路1号梦创中心南楼</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eastAsia="zh-CN"/>
        </w:rPr>
        <w:t xml:space="preserve">楼</w:t>
      </w:r>
      <w:r>
        <w:rPr>
          <w:rFonts w:hint="eastAsia" w:ascii="宋体" w:hAnsi="宋体" w:eastAsia="宋体" w:cs="宋体"/>
          <w:color w:val="auto"/>
          <w:szCs w:val="21"/>
          <w:highlight w:val="none"/>
          <w:lang w:val="en-US" w:eastAsia="zh-CN"/>
        </w:rPr>
        <w:t xml:space="preserve">2006室</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王</w:t>
      </w:r>
      <w:r>
        <w:rPr>
          <w:rFonts w:hint="eastAsia" w:ascii="宋体" w:hAnsi="宋体" w:cs="宋体"/>
          <w:color w:val="auto"/>
          <w:szCs w:val="21"/>
          <w:highlight w:val="none"/>
        </w:rPr>
        <w:t xml:space="preserve">女士</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bookmarkStart w:id="38" w:name="_Toc35393808"/>
      <w:r/>
      <w:bookmarkStart w:id="39" w:name="_Toc28359098"/>
      <w:r/>
      <w:bookmarkStart w:id="40" w:name="_Toc28359021"/>
      <w:r/>
      <w:bookmarkStart w:id="41" w:name="_Toc35393639"/>
      <w:r>
        <w:rPr>
          <w:rFonts w:hint="eastAsia" w:ascii="宋体" w:hAnsi="宋体" w:cs="宋体"/>
          <w:color w:val="auto"/>
          <w:szCs w:val="21"/>
          <w:highlight w:val="none"/>
          <w:lang w:val="en-US" w:eastAsia="zh-CN"/>
        </w:rPr>
        <w:t xml:space="preserve">19951167066</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38"/>
      <w:r/>
      <w:bookmarkEnd w:id="39"/>
      <w:r/>
      <w:bookmarkEnd w:id="40"/>
      <w:r/>
      <w:bookmarkEnd w:id="4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王</w:t>
      </w:r>
      <w:r>
        <w:rPr>
          <w:rFonts w:hint="eastAsia" w:ascii="宋体" w:hAnsi="宋体" w:cs="宋体"/>
          <w:color w:val="auto"/>
          <w:szCs w:val="21"/>
          <w:highlight w:val="none"/>
        </w:rPr>
        <w:t xml:space="preserve">女士</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9</w:t>
      </w:r>
      <w:r>
        <w:rPr>
          <w:rFonts w:hint="eastAsia" w:ascii="宋体" w:hAnsi="宋体" w:cs="宋体"/>
          <w:color w:val="auto"/>
          <w:szCs w:val="21"/>
          <w:highlight w:val="none"/>
          <w:lang w:val="en-US" w:eastAsia="zh-CN"/>
        </w:rPr>
        <w:t xml:space="preserve">951167066</w:t>
      </w:r>
      <w:r/>
    </w:p>
    <w:p>
      <w:pPr>
        <w:pStyle w:val="944"/>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42" w:name="_Toc13715"/>
      <w:r/>
      <w:bookmarkStart w:id="43" w:name="_Toc11632"/>
      <w:r>
        <w:rPr>
          <w:rFonts w:hint="eastAsia" w:ascii="黑体" w:hAnsi="黑体" w:eastAsia="黑体" w:cs="黑体"/>
          <w:color w:val="auto"/>
          <w:sz w:val="32"/>
          <w:szCs w:val="32"/>
          <w:highlight w:val="none"/>
        </w:rPr>
        <w:t xml:space="preserve">第二章 参加磋商供应商须知</w:t>
      </w:r>
      <w:bookmarkEnd w:id="42"/>
      <w:r/>
      <w:bookmarkEnd w:id="43"/>
      <w:r/>
      <w:r/>
    </w:p>
    <w:p>
      <w:pPr>
        <w:jc w:val="cente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color w:val="auto"/>
          <w:highlight w:val="none"/>
        </w:rPr>
        <w:t xml:space="preserve">（参加竞争性磋商的供应商以下简称“供应商”）</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一、总则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1.适用范围</w:t>
      </w:r>
      <w:r>
        <w:rPr>
          <w:rFonts w:hint="eastAsia" w:ascii="宋体" w:hAnsi="宋体" w:cs="宋体"/>
          <w:color w:val="auto"/>
          <w:highlight w:val="none"/>
        </w:rPr>
        <w:tab/>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仅适用于</w:t>
      </w:r>
      <w:r>
        <w:rPr>
          <w:rFonts w:hint="eastAsia" w:ascii="宋体" w:hAnsi="宋体" w:cs="宋体"/>
          <w:color w:val="auto"/>
          <w:szCs w:val="21"/>
          <w:highlight w:val="none"/>
          <w:lang w:eastAsia="zh-CN"/>
        </w:rPr>
        <w:t xml:space="preserve">泰州市人民医院ERCP用X线设备采购项目</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2.项目采购方式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本次采购采取竞争性磋商的方式。</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3.合格的</w:t>
      </w:r>
      <w:r>
        <w:rPr>
          <w:rFonts w:hint="eastAsia" w:ascii="宋体" w:hAnsi="宋体" w:cs="宋体"/>
          <w:color w:val="auto"/>
          <w:highlight w:val="none"/>
          <w:lang w:eastAsia="zh-CN"/>
        </w:rPr>
        <w:t xml:space="preserve">供应商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3.1满足本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“竞争性磋商采购公告”中申请人的资格要求的规定。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3.2满足本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实质性要求和条件的规定。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4.参加磋商费用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4.1本项目招标代理费按照《关于印发&lt;江苏省政府采购代理服务收费指导意见&gt;的通知》（苏政采协〔2024〕20号）文件规定的收费标准的</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0%计取，由采购人支付。</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4.2参加磋商供应商应自行承担所有与参加磋商有关的费用。不论最终的成交结果如何，</w:t>
      </w:r>
      <w:r>
        <w:rPr>
          <w:rFonts w:hint="eastAsia" w:ascii="宋体" w:hAnsi="宋体" w:cs="宋体"/>
          <w:color w:val="auto"/>
          <w:highlight w:val="none"/>
          <w:lang w:val="en-US" w:eastAsia="zh-CN"/>
        </w:rPr>
        <w:t xml:space="preserve">采购人和</w:t>
      </w:r>
      <w:r>
        <w:rPr>
          <w:rFonts w:hint="eastAsia" w:ascii="宋体" w:hAnsi="宋体" w:cs="宋体"/>
          <w:color w:val="auto"/>
          <w:highlight w:val="none"/>
        </w:rPr>
        <w:t xml:space="preserve">代理机构在任何情况下均无义务和责任承担这些费用。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的约束力</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供应商一旦领取了本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并决定参加磋商，即被视为接受了本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的规定和约束，并且视为自竞争性磋商公告期限届满之日起已经知道或应当知道自身权益是否受到了损害。</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w:t>
      </w:r>
      <w:bookmarkStart w:id="44" w:name="_Toc513029211"/>
      <w:r/>
      <w:bookmarkStart w:id="45" w:name="_Toc20823283"/>
      <w:r/>
      <w:bookmarkStart w:id="46" w:name="_Toc462564070"/>
      <w:r/>
      <w:bookmarkStart w:id="47" w:name="_Toc16938527"/>
      <w:r>
        <w:rPr>
          <w:rFonts w:hint="eastAsia" w:ascii="宋体" w:hAnsi="宋体" w:cs="宋体"/>
          <w:color w:val="auto"/>
          <w:highlight w:val="none"/>
        </w:rPr>
        <w:t xml:space="preserve">.</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的澄清</w:t>
      </w:r>
      <w:bookmarkEnd w:id="44"/>
      <w:r/>
      <w:bookmarkEnd w:id="45"/>
      <w:r/>
      <w:bookmarkEnd w:id="46"/>
      <w:r/>
      <w:bookmarkEnd w:id="47"/>
      <w:r>
        <w:rPr>
          <w:rFonts w:hint="eastAsia" w:ascii="宋体" w:hAnsi="宋体" w:cs="宋体"/>
          <w:color w:val="auto"/>
          <w:highlight w:val="none"/>
        </w:rPr>
        <w:t xml:space="preserve">及修改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6.1任何要求对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进行澄清的供应商，均应在法律法规规定的质疑时效内按竞争性磋商采购公告中的通讯地址，以书面形式通知代理机构，（以代理机构实际收到供应商相关文件为准）。提交首次响应文件截止之日前，代理机构可以对已发出的</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进行必要的澄清或者修改，澄清或者修改的内容作为</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的组成部分。澄清或者修改的内容可能影响响应文件编制的，代理机构将在提交首次响应文件截止时间至少5日前，以书面形式通知所有获取</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的供应商。不足5日的，代理机构顺延提交首次响应文件截止时间。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6.2代理机构不组织供应商进行现场考察或召开磋商前答疑会。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7.合同形式：固定</w:t>
      </w:r>
      <w:r>
        <w:rPr>
          <w:rFonts w:hint="eastAsia" w:ascii="宋体" w:hAnsi="宋体" w:cs="宋体"/>
          <w:color w:val="auto"/>
          <w:highlight w:val="none"/>
          <w:lang w:val="en-US" w:eastAsia="zh-CN"/>
        </w:rPr>
        <w:t xml:space="preserve">总</w:t>
      </w:r>
      <w:r>
        <w:rPr>
          <w:rFonts w:hint="eastAsia" w:ascii="宋体" w:hAnsi="宋体" w:cs="宋体"/>
          <w:color w:val="auto"/>
          <w:highlight w:val="none"/>
        </w:rPr>
        <w:t xml:space="preserve">价合同</w:t>
      </w:r>
      <w:r/>
    </w:p>
    <w:p>
      <w:pPr>
        <w:ind w:firstLine="422"/>
        <w:keepLines w:val="0"/>
        <w:keepNext w:val="0"/>
        <w:pageBreakBefore w:val="0"/>
        <w:spacing w:line="360" w:lineRule="auto"/>
        <w:widowControl w:val="off"/>
        <w:rPr>
          <w:rFonts w:hint="eastAsia" w:ascii="宋体" w:hAnsi="宋体" w:cs="宋体"/>
          <w:b/>
          <w:bCs/>
          <w:color w:val="auto"/>
          <w:highlight w:val="none"/>
        </w:rPr>
      </w:pPr>
      <w:r/>
      <w:bookmarkStart w:id="48" w:name="_Toc513029213"/>
      <w:r/>
      <w:bookmarkStart w:id="49" w:name="_Toc61149553"/>
      <w:r/>
      <w:bookmarkStart w:id="50" w:name="_Toc462564072"/>
      <w:r/>
      <w:bookmarkStart w:id="51" w:name="_Toc14577351"/>
      <w:r>
        <w:rPr>
          <w:rFonts w:hint="eastAsia" w:ascii="宋体" w:hAnsi="宋体" w:cs="宋体"/>
          <w:b/>
          <w:bCs/>
          <w:color w:val="auto"/>
          <w:highlight w:val="none"/>
        </w:rPr>
        <w:t xml:space="preserve">二、磋商响应文件的编制</w:t>
      </w:r>
      <w:bookmarkEnd w:id="48"/>
      <w:r/>
      <w:bookmarkEnd w:id="49"/>
      <w:r/>
      <w:bookmarkEnd w:id="50"/>
      <w:r/>
      <w:bookmarkEnd w:id="51"/>
      <w:r>
        <w:rPr>
          <w:rFonts w:hint="eastAsia" w:ascii="宋体" w:hAnsi="宋体" w:cs="宋体"/>
          <w:b/>
          <w:bCs/>
          <w:color w:val="auto"/>
          <w:highlight w:val="none"/>
        </w:rPr>
        <w:t xml:space="preserve">及保证金收取</w:t>
      </w:r>
      <w:r/>
    </w:p>
    <w:p>
      <w:pPr>
        <w:ind w:firstLine="420"/>
        <w:keepLines w:val="0"/>
        <w:keepNext w:val="0"/>
        <w:pageBreakBefore w:val="0"/>
        <w:spacing w:line="360" w:lineRule="auto"/>
        <w:widowControl w:val="off"/>
        <w:rPr>
          <w:rFonts w:hint="eastAsia" w:ascii="宋体" w:hAnsi="宋体" w:cs="宋体"/>
          <w:color w:val="auto"/>
          <w:highlight w:val="none"/>
        </w:rPr>
      </w:pPr>
      <w:r/>
      <w:bookmarkStart w:id="52" w:name="_Hlt26954834"/>
      <w:r/>
      <w:bookmarkEnd w:id="52"/>
      <w:r/>
      <w:bookmarkStart w:id="53" w:name="_Toc513029215"/>
      <w:r/>
      <w:bookmarkStart w:id="54" w:name="_Toc14577353"/>
      <w:r/>
      <w:bookmarkStart w:id="55" w:name="_Toc462564074"/>
      <w:r/>
      <w:bookmarkStart w:id="56" w:name="_Toc61149555"/>
      <w:r/>
      <w:bookmarkStart w:id="57" w:name="_Toc513029214"/>
      <w:r/>
      <w:bookmarkStart w:id="58" w:name="_Toc462564073"/>
      <w:r/>
      <w:bookmarkStart w:id="59" w:name="_Toc61149554"/>
      <w:r/>
      <w:bookmarkStart w:id="60" w:name="_Toc14577352"/>
      <w:r>
        <w:rPr>
          <w:rFonts w:hint="eastAsia" w:ascii="宋体" w:hAnsi="宋体" w:cs="宋体"/>
          <w:color w:val="auto"/>
          <w:highlight w:val="none"/>
        </w:rPr>
        <w:t xml:space="preserve">1.响应文件</w:t>
      </w:r>
      <w:bookmarkEnd w:id="53"/>
      <w:r/>
      <w:bookmarkEnd w:id="54"/>
      <w:r/>
      <w:bookmarkEnd w:id="55"/>
      <w:r/>
      <w:bookmarkEnd w:id="56"/>
      <w:r>
        <w:rPr>
          <w:rFonts w:hint="eastAsia" w:ascii="宋体" w:hAnsi="宋体" w:cs="宋体"/>
          <w:color w:val="auto"/>
          <w:highlight w:val="none"/>
        </w:rPr>
        <w:t xml:space="preserve">编制要求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1.1供应商提交的响应文件以及其与代理机构及采购人就有关磋商的所有来往函电均应使用简体中文。</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中既有中文也有外文的，以中文意义为准。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1.2除技术性能另有规定外，响应文件所使用的度量衡单位，均须采用国家法定计量单位。</w:t>
      </w:r>
      <w:bookmarkEnd w:id="57"/>
      <w:r/>
      <w:bookmarkEnd w:id="58"/>
      <w:r/>
      <w:bookmarkEnd w:id="59"/>
      <w:r/>
      <w:bookmarkEnd w:id="60"/>
      <w:r/>
      <w:r/>
    </w:p>
    <w:p>
      <w:pPr>
        <w:ind w:firstLine="420"/>
        <w:keepLines w:val="0"/>
        <w:keepNext w:val="0"/>
        <w:pageBreakBefore w:val="0"/>
        <w:spacing w:line="360" w:lineRule="auto"/>
        <w:widowControl w:val="off"/>
        <w:rPr>
          <w:rFonts w:hint="eastAsia" w:ascii="宋体" w:hAnsi="宋体" w:cs="宋体"/>
          <w:color w:val="auto"/>
          <w:highlight w:val="none"/>
        </w:rPr>
      </w:pPr>
      <w:r/>
      <w:bookmarkStart w:id="61" w:name="_Hlt26670357"/>
      <w:r/>
      <w:bookmarkEnd w:id="61"/>
      <w:r/>
      <w:bookmarkStart w:id="62" w:name="_Hlt26954836"/>
      <w:r/>
      <w:bookmarkEnd w:id="62"/>
      <w:r/>
      <w:bookmarkStart w:id="63" w:name="_Toc513029219"/>
      <w:r/>
      <w:bookmarkStart w:id="64" w:name="_Toc61149558"/>
      <w:r/>
      <w:bookmarkStart w:id="65" w:name="_Toc14577357"/>
      <w:r/>
      <w:bookmarkStart w:id="66" w:name="_Toc14577355"/>
      <w:r/>
      <w:bookmarkStart w:id="67" w:name="_Toc513029217"/>
      <w:r/>
      <w:bookmarkStart w:id="68" w:name="_Toc61149557"/>
      <w:r>
        <w:rPr>
          <w:rFonts w:hint="eastAsia" w:ascii="宋体" w:hAnsi="宋体" w:cs="宋体"/>
          <w:color w:val="auto"/>
          <w:highlight w:val="none"/>
        </w:rPr>
        <w:t xml:space="preserve">1.3响应文件构成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供应商应认真阅读和理解</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，并按</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的要求编制响应文件；响应文件应对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作实质性响应，并保证所提供资料的真实性。</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编写的响应文件应包括下列部分：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加★项目若有缺失或无效，将导致该响应文件作无效响应文件评定，且不允许在磋商截止时间后补正。</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1.3.1 资格证明文件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（1）★具有独立承担民事责任能力的企事业法人营业执照；</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法定代表人资格证明书</w:t>
      </w:r>
      <w:bookmarkStart w:id="69" w:name="OLE_LINK57"/>
      <w:r/>
      <w:bookmarkStart w:id="70" w:name="OLE_LINK56"/>
      <w:r>
        <w:rPr>
          <w:rFonts w:hint="eastAsia" w:ascii="宋体" w:hAnsi="宋体" w:cs="宋体"/>
          <w:b/>
          <w:color w:val="auto"/>
          <w:highlight w:val="none"/>
        </w:rPr>
        <w:t xml:space="preserve">（格式见附件）</w:t>
      </w:r>
      <w:bookmarkEnd w:id="69"/>
      <w:r/>
      <w:bookmarkEnd w:id="70"/>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法定代表人授权委托书</w:t>
      </w:r>
      <w:r>
        <w:rPr>
          <w:rFonts w:hint="eastAsia" w:ascii="宋体" w:hAnsi="宋体" w:cs="宋体"/>
          <w:b/>
          <w:color w:val="auto"/>
          <w:highlight w:val="none"/>
        </w:rPr>
        <w:t xml:space="preserve">（格式见附件，法定代表人亲自参加磋商的除外）</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（4）★按照本文件第一章第二条之（三）中“本项目的特定资格要求”应当提供的证书或材料等（如有）；</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供应商近六个月中任意一个月份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（6）★供应商近六个月中任意一个月份的依法缴纳税收的相关材料（提供相关主管部门证明或银行代扣证明）复印件（依法免税的</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，应提供其依法免税的证明材料）；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（7）★供应商近六个月中任意一个月份的依法缴纳社会保障资金的相关材料（提供相关主管部门证明或银行代扣证明）；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（8）★参加政府采购活动前3年内在经营活动中没有重大违法记录的书面声明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（9）★具备履行合同所必需的设备和专业技术能力的书面声明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应提供《中小企业声明函》或《残疾人福利性单位声明函》或省级以上监狱管理局、戒毒管理局（含新疆生产建设兵团）出具的属于监狱企业的证明文件；</w:t>
      </w:r>
      <w:r/>
    </w:p>
    <w:p>
      <w:pPr>
        <w:ind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应提供《关于符合本国产品标准的声明函》</w:t>
      </w:r>
      <w:r>
        <w:rPr>
          <w:rFonts w:hint="eastAsia" w:ascii="宋体" w:hAnsi="宋体" w:cs="宋体"/>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如上述资格证明文件第（5）（6）（7）三项遇有国家相关政策规定可不具备的，必须提供相关政策规定或相关单位出具的有效证明。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1.3.2商务技术文件（按照本文件第六章统一提供的规范表式填写）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（1）★磋商响应函</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（2）★磋商报价表（参考格式，以苏采云系统格式为准）；</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（3）★首轮</w:t>
      </w:r>
      <w:r>
        <w:rPr>
          <w:rFonts w:hint="eastAsia" w:ascii="宋体" w:hAnsi="宋体" w:cs="宋体"/>
          <w:color w:val="auto"/>
          <w:highlight w:val="none"/>
          <w:lang w:val="en-US" w:eastAsia="zh-CN"/>
        </w:rPr>
        <w:t xml:space="preserve">分项</w:t>
      </w:r>
      <w:r>
        <w:rPr>
          <w:rFonts w:hint="eastAsia" w:ascii="宋体" w:hAnsi="宋体" w:cs="宋体"/>
          <w:color w:val="auto"/>
          <w:highlight w:val="none"/>
        </w:rPr>
        <w:t xml:space="preserve">报价表</w:t>
      </w:r>
      <w:r>
        <w:rPr>
          <w:rFonts w:hint="eastAsia" w:ascii="宋体" w:hAnsi="宋体" w:cs="宋体"/>
          <w:b/>
          <w:color w:val="auto"/>
          <w:highlight w:val="none"/>
        </w:rPr>
        <w:t xml:space="preserve">（格式见附件）</w:t>
      </w:r>
      <w:r>
        <w:rPr>
          <w:rFonts w:hint="eastAsia" w:ascii="宋体" w:hAnsi="宋体" w:cs="宋体"/>
          <w:b/>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及商务响应偏离表</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）根据项目需求和评审方法以及评审标准，供应商为使自身处于有利评审地位，应当提交的其他文件和证明资料；</w:t>
      </w:r>
      <w:bookmarkEnd w:id="63"/>
      <w:r/>
      <w:bookmarkEnd w:id="64"/>
      <w:r/>
      <w:bookmarkEnd w:id="65"/>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1.3.3如标书制作工具中的格式和内容与</w:t>
      </w:r>
      <w:r>
        <w:rPr>
          <w:rFonts w:hint="eastAsia" w:ascii="宋体" w:hAnsi="宋体" w:cs="宋体"/>
          <w:color w:val="auto"/>
          <w:highlight w:val="none"/>
          <w:lang w:val="en-US" w:eastAsia="zh-CN"/>
        </w:rPr>
        <w:t xml:space="preserve">苏采云系统里</w:t>
      </w:r>
      <w:r>
        <w:rPr>
          <w:rFonts w:hint="eastAsia" w:ascii="宋体" w:hAnsi="宋体" w:cs="宋体"/>
          <w:color w:val="auto"/>
          <w:highlight w:val="none"/>
        </w:rPr>
        <w:t xml:space="preserve">发布的</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不一致，请以发布的</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为准。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71" w:name="_Hlt26668999"/>
      <w:r/>
      <w:bookmarkEnd w:id="71"/>
      <w:r>
        <w:rPr>
          <w:rFonts w:hint="eastAsia" w:ascii="宋体" w:hAnsi="宋体" w:cs="宋体"/>
          <w:color w:val="auto"/>
          <w:highlight w:val="none"/>
        </w:rPr>
        <w:t xml:space="preserve">2.磋商响应报价</w:t>
      </w:r>
      <w:bookmarkEnd w:id="66"/>
      <w:r/>
      <w:bookmarkEnd w:id="67"/>
      <w:r/>
      <w:bookmarkStart w:id="72" w:name="_Hlt26670373"/>
      <w:r/>
      <w:bookmarkEnd w:id="72"/>
      <w:r>
        <w:rPr>
          <w:rFonts w:hint="eastAsia" w:ascii="宋体" w:hAnsi="宋体" w:cs="宋体"/>
          <w:color w:val="auto"/>
          <w:highlight w:val="none"/>
        </w:rPr>
        <w:t xml:space="preserve">表</w:t>
      </w:r>
      <w:bookmarkEnd w:id="68"/>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规定格式填报磋商响应报价表。每项产品或服务只允许有一个报价，任何有选择的报价将不予接受，</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中另有规定的按规定执行。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2.2标的物</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详见项目需求。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2.3有关费用的处理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的总报价应包括为完成本项目发生的所有费用，本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中另有规定的除外。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未列明，而</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认为必需的费用也须列入报价。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2.4报价采用的货币及方式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响应文件中的单价和总价，无特殊规定的采用人民币报价，以元为单位标注。</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中另有规定的按规定执行。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 响应报价表上的价格应按</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规定填写。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2.6最高限价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报价超过最高限价的，作为无效标处理。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73" w:name="_Hlt26954854"/>
      <w:r/>
      <w:bookmarkEnd w:id="73"/>
      <w:r/>
      <w:bookmarkStart w:id="74" w:name="_Hlt26670493"/>
      <w:r/>
      <w:bookmarkEnd w:id="74"/>
      <w:r/>
      <w:bookmarkStart w:id="75" w:name="_Hlt26670486"/>
      <w:r/>
      <w:bookmarkEnd w:id="75"/>
      <w:r/>
      <w:bookmarkStart w:id="76" w:name="_Hlt26954731"/>
      <w:r/>
      <w:bookmarkEnd w:id="76"/>
      <w:r/>
      <w:bookmarkStart w:id="77" w:name="_Hlt26670403"/>
      <w:r/>
      <w:bookmarkEnd w:id="77"/>
      <w:r/>
      <w:bookmarkStart w:id="78" w:name="_Hlt26954848"/>
      <w:r/>
      <w:bookmarkEnd w:id="78"/>
      <w:r/>
      <w:bookmarkStart w:id="79" w:name="_Hlt26954850"/>
      <w:r/>
      <w:bookmarkEnd w:id="79"/>
      <w:r/>
      <w:bookmarkStart w:id="80" w:name="_Hlt26670482"/>
      <w:r/>
      <w:bookmarkEnd w:id="80"/>
      <w:r/>
      <w:bookmarkStart w:id="81" w:name="_Hlt26954739"/>
      <w:r/>
      <w:bookmarkEnd w:id="81"/>
      <w:r/>
      <w:bookmarkStart w:id="82" w:name="_Hlt26954846"/>
      <w:r/>
      <w:bookmarkEnd w:id="82"/>
      <w:r/>
      <w:bookmarkStart w:id="83" w:name="_Hlt26670489"/>
      <w:r/>
      <w:bookmarkEnd w:id="83"/>
      <w:r/>
      <w:bookmarkStart w:id="84" w:name="_Hlt26954749"/>
      <w:r/>
      <w:bookmarkEnd w:id="84"/>
      <w:r/>
      <w:bookmarkStart w:id="85" w:name="_Hlt26954734"/>
      <w:r/>
      <w:bookmarkEnd w:id="85"/>
      <w:r/>
      <w:bookmarkStart w:id="86" w:name="_Hlt26670425"/>
      <w:r/>
      <w:bookmarkEnd w:id="86"/>
      <w:r/>
      <w:bookmarkStart w:id="87" w:name="_Hlt26954844"/>
      <w:r/>
      <w:bookmarkEnd w:id="87"/>
      <w:r/>
      <w:bookmarkStart w:id="88" w:name="_Hlt26954842"/>
      <w:r/>
      <w:bookmarkEnd w:id="88"/>
      <w:r/>
      <w:bookmarkStart w:id="89" w:name="_Hlt26954852"/>
      <w:r/>
      <w:bookmarkEnd w:id="89"/>
      <w:r/>
      <w:bookmarkStart w:id="90" w:name="_Hlt26668983"/>
      <w:r/>
      <w:bookmarkEnd w:id="90"/>
      <w:r/>
      <w:bookmarkStart w:id="91" w:name="_Toc14577362"/>
      <w:r/>
      <w:bookmarkStart w:id="92" w:name="_Toc61149562"/>
      <w:r/>
      <w:bookmarkStart w:id="93" w:name="_Toc513029224"/>
      <w:r>
        <w:rPr>
          <w:rFonts w:hint="eastAsia" w:ascii="宋体" w:hAnsi="宋体" w:cs="宋体"/>
          <w:color w:val="auto"/>
          <w:highlight w:val="none"/>
        </w:rPr>
        <w:t xml:space="preserve">3.磋商保证金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依据《关于做好政府采购支持企业发展有关事项的通知》（苏财购〔2020〕52号）文件规定精神，本项目免收磋商保证金。</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中有关磋商保证金的条款均取消。</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三、响应文件的递交</w:t>
      </w:r>
      <w:bookmarkEnd w:id="91"/>
      <w:r/>
      <w:bookmarkEnd w:id="92"/>
      <w:r/>
      <w:bookmarkEnd w:id="93"/>
      <w:r/>
      <w:r/>
    </w:p>
    <w:p>
      <w:pPr>
        <w:ind w:firstLine="420"/>
        <w:keepLines w:val="0"/>
        <w:keepNext w:val="0"/>
        <w:pageBreakBefore w:val="0"/>
        <w:spacing w:line="360" w:lineRule="auto"/>
        <w:widowControl w:val="off"/>
        <w:rPr>
          <w:rFonts w:hint="eastAsia" w:ascii="宋体" w:hAnsi="宋体" w:cs="宋体"/>
          <w:color w:val="auto"/>
          <w:highlight w:val="none"/>
        </w:rPr>
      </w:pPr>
      <w:r/>
      <w:bookmarkStart w:id="94" w:name="_Hlt26954856"/>
      <w:r/>
      <w:bookmarkEnd w:id="94"/>
      <w:r/>
      <w:bookmarkStart w:id="95" w:name="_Toc462564084"/>
      <w:r/>
      <w:bookmarkStart w:id="96" w:name="_Toc14577363"/>
      <w:r/>
      <w:bookmarkStart w:id="97" w:name="_Toc61149563"/>
      <w:r/>
      <w:bookmarkStart w:id="98" w:name="_Toc513029225"/>
      <w:r>
        <w:rPr>
          <w:rFonts w:hint="eastAsia" w:ascii="宋体" w:hAnsi="宋体" w:cs="宋体"/>
          <w:color w:val="auto"/>
          <w:highlight w:val="none"/>
        </w:rPr>
        <w:t xml:space="preserve">1.</w:t>
      </w:r>
      <w:bookmarkEnd w:id="95"/>
      <w:r/>
      <w:bookmarkEnd w:id="96"/>
      <w:r/>
      <w:bookmarkEnd w:id="97"/>
      <w:r/>
      <w:bookmarkEnd w:id="98"/>
      <w:r>
        <w:rPr>
          <w:rFonts w:hint="eastAsia" w:ascii="宋体" w:hAnsi="宋体" w:cs="宋体"/>
          <w:color w:val="auto"/>
          <w:highlight w:val="none"/>
        </w:rPr>
        <w:t xml:space="preserve">电子响应文件的递交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1.1供应商应当按照《操作手册》规定，在提交响应文件截止时间前制作并上传电子响应文件。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2提交响应文件的截止时间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2.1供应商上传电子响应文件的时间不得迟于</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公告中规定的提交响应文件截止时间。</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供应商应充分考虑到网络环境、网络带宽等风险因素，如因供应商自身原因造成的电子响应文件上传不成功的按照本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第二章第5.3.2条规定作无效响应处理。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2.2采购人和代理机构可以按照规定，通过修改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cs="宋体"/>
          <w:color w:val="auto"/>
          <w:highlight w:val="none"/>
        </w:rPr>
      </w:pPr>
      <w:r/>
      <w:bookmarkStart w:id="99" w:name="_Hlt26670496"/>
      <w:r/>
      <w:bookmarkEnd w:id="99"/>
      <w:r/>
      <w:bookmarkStart w:id="100" w:name="_Hlt26954752"/>
      <w:r/>
      <w:bookmarkEnd w:id="100"/>
      <w:r/>
      <w:bookmarkStart w:id="101" w:name="_Hlt26954858"/>
      <w:r/>
      <w:bookmarkEnd w:id="101"/>
      <w:r/>
      <w:bookmarkStart w:id="102" w:name="_Toc61149564"/>
      <w:r/>
      <w:bookmarkStart w:id="103" w:name="_Toc513029226"/>
      <w:r/>
      <w:bookmarkStart w:id="104" w:name="_Toc14577364"/>
      <w:r>
        <w:rPr>
          <w:rFonts w:hint="eastAsia" w:ascii="宋体" w:hAnsi="宋体" w:cs="宋体"/>
          <w:color w:val="auto"/>
          <w:highlight w:val="none"/>
        </w:rPr>
        <w:t xml:space="preserve">3.响应文件的拒收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3.1采购人拒绝接收在规定的提交响应文件截止时间后上传的任何电子响应文件。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4.响应文件的撤回和修改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4.1响应文件的撤回</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4.1.1电子响应文件的撤回</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4.1.2供应商撤回电子响应文件，则视为其不再参与本项目磋商活动。</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4.2响应文件的修改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4.3在提交响应文件截止时间之后，供应商不得对其电子响应文件作任何修改。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4.4在提交响应文件截止时间至</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中规定的磋商有效期满之间的这段时间内，供应商不得撤回其响应文件。</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四、响应文件的解密与评审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1.响应文件解密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1.1供应商应当按照《操作手册》规定，在苏采云系统规定的时间内对响应文件进行解密。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2.磋商小组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2.1采购代理机构将组织磋商小组对响应文件进行评审。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2.2磋商小组独立工作，负责评审所有响应文件并确定成交候选人。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3.评审过程的保密与公正</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3.1磋商小组、采购人和采购代理机构工作人员、相关监督人员等与评审工作有关的人员，对评审情况以及在评审过程中获悉的国家秘密、商业秘密负有保密责任。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3.2在评审过程中，供应商不得以任何行为影响磋商评审过程，否则其响应文件将被作为无效响应文件。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3.3在项目评审期间，采购代理机构将设专门人员与供应商联系。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3.4采购人、代理机构和磋商小组不向未成交的供应商解释未成交原因，也不公布评审过程中的相关细节。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4.评审过程中的澄清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磋商小组并非对每个供应商都作澄清要求。</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4.3接到磋商小组澄清、说明和更正要求的供应商如未按规定作出澄清、说明和更正，其风险由供应商自行承担。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5.对响应文件的审查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5.1响应文件审查分为资格审查和符合性审查。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5.1.1资格审查：由磋商小组依据法律法规和</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磋商小组在进行资格审查的同时，将在“信用中国”网站（www.creditchina.gov.cn）查询供应商的信用记录，以确定供应商是否具备磋商资格。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5.1.2符合性审查：依据</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的规定，由磋商小组从响应文件的有效性、完整性和对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的响应程度进行审查，以确定是否对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的实质性要求作出响应。</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5.2在详细评审之前，磋商小组将首先审查每份响应文件是否实质性响应了</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的要求。实质性响应的响应文件应该是与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要求的条款、条件和规格相符，没有重大偏离或保留。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所谓重大偏离或保留是指与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规定的实质性要求存在负偏离，或者在实质上与</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5.3未实质性响应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的情形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5.3.2供应商未按照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要求上传电子响应文件的；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5.3.3同一供应商提交两个（含两个）以上不同的响应文件或者最后报价的；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5.3.4供应商不具备</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中规定的资格要求的；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5.3.5供应商的最后报价超过了采购预算或最高限价的；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5.3.6不符合</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中规定的实质性要求和条件的；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5.3.7供应商被“信用中国”网站（www.creditchina.gov.cn）列入失信被执行人、重大税收违法失信主体、政府采购严重违法失信行为记录名单</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5.3.8响应文件中含有采购人不能接受的附加条件的；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5.3.10响应文件未按照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要求加盖CA电子公章的；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5.3.11标注“★”号，不能满足采购文件要求的；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5.4未实质性响应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的响应文件按无效响应处理。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5.5如果响应文件实质上没有响应</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的要求，磋商小组将予以拒绝，供应商不得通过修改或撤销不符合要求的偏离或保留而使其成为实质性响应的文件。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5.6供应商在项目评审全过程中应</w:t>
      </w:r>
      <w:r>
        <w:rPr>
          <w:rFonts w:hint="eastAsia" w:ascii="宋体" w:hAnsi="宋体" w:cs="宋体"/>
          <w:color w:val="auto"/>
          <w:highlight w:val="none"/>
          <w:lang w:eastAsia="zh-CN"/>
        </w:rPr>
        <w:t xml:space="preserve">保持通信畅通</w:t>
      </w:r>
      <w:r>
        <w:rPr>
          <w:rFonts w:hint="eastAsia" w:ascii="宋体" w:hAnsi="宋体" w:cs="宋体"/>
          <w:color w:val="auto"/>
          <w:highlight w:val="none"/>
        </w:rPr>
        <w:t xml:space="preserve">，并安排专人与采购代理机构及磋商小组联系。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6.磋商程序及评审方法和评审标准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6.1磋商程序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6.1.1对于通过资格审查和符合性审查的供应商，磋商小组将集中与单一供应商分别进行磋商。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在磋商过程中，磋商小组可能根据</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和磋商情况实质性变动的内容有：采购需求中的技术、服务要求以及合同草案条款。对</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作出的实质性变动是</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的有效组成部分，磋商小组将在苏采云系统中通知所有参加磋商的供应商。供应商应当按照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的变动情况和磋商小组的要求在苏采云系统中重新提交响应文件，并加盖CA电子公章。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6.1.2</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6.2评审方法和评审标准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所述综合评分法，是指响应文件满足</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360" w:lineRule="auto"/>
        <w:widowControl w:val="off"/>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6.2.2相同品牌产品的处理方法</w:t>
      </w:r>
      <w:r/>
    </w:p>
    <w:p>
      <w:pPr>
        <w:ind w:firstLine="480"/>
        <w:keepLines w:val="0"/>
        <w:keepNext w:val="0"/>
        <w:pageBreakBefore w:val="0"/>
        <w:spacing w:line="360" w:lineRule="auto"/>
        <w:widowControl w:val="off"/>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使用综合评分法的采购项目，提供相同品牌产品且通过资格审查、符合性审查的不同投标人参加同一合同项下投标的，按一家</w:t>
      </w:r>
      <w:r>
        <w:rPr>
          <w:rFonts w:hint="eastAsia" w:ascii="宋体" w:hAnsi="宋体" w:cs="宋体"/>
          <w:color w:val="auto"/>
          <w:spacing w:val="0"/>
          <w:sz w:val="21"/>
          <w:szCs w:val="21"/>
          <w:lang w:val="en-US" w:eastAsia="zh-CN"/>
        </w:rPr>
        <w:t xml:space="preserve">供应商</w:t>
      </w:r>
      <w:r>
        <w:rPr>
          <w:rFonts w:hint="eastAsia" w:ascii="宋体" w:hAnsi="宋体" w:eastAsia="宋体" w:cs="宋体"/>
          <w:color w:val="auto"/>
          <w:spacing w:val="0"/>
          <w:sz w:val="21"/>
          <w:szCs w:val="21"/>
          <w:lang w:val="en-US" w:eastAsia="zh-CN"/>
        </w:rPr>
        <w:t xml:space="preserve">计算，评审后得分最高的同品牌</w:t>
      </w:r>
      <w:r>
        <w:rPr>
          <w:rFonts w:hint="eastAsia" w:ascii="宋体" w:hAnsi="宋体" w:cs="宋体"/>
          <w:color w:val="auto"/>
          <w:spacing w:val="0"/>
          <w:sz w:val="21"/>
          <w:szCs w:val="21"/>
          <w:lang w:val="en-US" w:eastAsia="zh-CN"/>
        </w:rPr>
        <w:t xml:space="preserve">供应商</w:t>
      </w:r>
      <w:r>
        <w:rPr>
          <w:rFonts w:hint="eastAsia" w:ascii="宋体" w:hAnsi="宋体" w:eastAsia="宋体" w:cs="宋体"/>
          <w:color w:val="auto"/>
          <w:spacing w:val="0"/>
          <w:sz w:val="21"/>
          <w:szCs w:val="21"/>
          <w:lang w:val="en-US" w:eastAsia="zh-CN"/>
        </w:rPr>
        <w:t xml:space="preserve">获得</w:t>
      </w:r>
      <w:r>
        <w:rPr>
          <w:rFonts w:hint="eastAsia" w:ascii="宋体" w:hAnsi="宋体" w:cs="宋体"/>
          <w:color w:val="auto"/>
          <w:spacing w:val="0"/>
          <w:sz w:val="21"/>
          <w:szCs w:val="21"/>
          <w:lang w:val="en-US" w:eastAsia="zh-CN"/>
        </w:rPr>
        <w:t xml:space="preserve">成交供应商</w:t>
      </w:r>
      <w:r>
        <w:rPr>
          <w:rFonts w:hint="eastAsia" w:ascii="宋体" w:hAnsi="宋体" w:eastAsia="宋体" w:cs="宋体"/>
          <w:color w:val="auto"/>
          <w:spacing w:val="0"/>
          <w:sz w:val="21"/>
          <w:szCs w:val="21"/>
          <w:lang w:val="en-US" w:eastAsia="zh-CN"/>
        </w:rPr>
        <w:t xml:space="preserve">推荐资格；评审得分相同的，</w:t>
      </w:r>
      <w:r>
        <w:rPr>
          <w:rFonts w:hint="eastAsia" w:ascii="宋体" w:cs="宋体"/>
          <w:color w:val="auto"/>
          <w:spacing w:val="0"/>
          <w:sz w:val="21"/>
          <w:szCs w:val="21"/>
          <w:highlight w:val="none"/>
          <w:lang w:bidi="ar-SA"/>
        </w:rPr>
        <w:t xml:space="preserve">采取随机抽取方式</w:t>
      </w:r>
      <w:r>
        <w:rPr>
          <w:rFonts w:hint="eastAsia" w:ascii="宋体" w:hAnsi="宋体" w:eastAsia="宋体" w:cs="宋体"/>
          <w:color w:val="auto"/>
          <w:spacing w:val="0"/>
          <w:sz w:val="21"/>
          <w:szCs w:val="21"/>
          <w:lang w:val="en-US" w:eastAsia="zh-CN"/>
        </w:rPr>
        <w:t xml:space="preserve">确定，其他同品牌</w:t>
      </w:r>
      <w:r>
        <w:rPr>
          <w:rFonts w:hint="eastAsia" w:ascii="宋体" w:hAnsi="宋体" w:cs="宋体"/>
          <w:color w:val="auto"/>
          <w:spacing w:val="0"/>
          <w:sz w:val="21"/>
          <w:szCs w:val="21"/>
          <w:lang w:val="en-US" w:eastAsia="zh-CN"/>
        </w:rPr>
        <w:t xml:space="preserve">供应商</w:t>
      </w:r>
      <w:r>
        <w:rPr>
          <w:rFonts w:hint="eastAsia" w:ascii="宋体" w:hAnsi="宋体" w:eastAsia="宋体" w:cs="宋体"/>
          <w:color w:val="auto"/>
          <w:spacing w:val="0"/>
          <w:sz w:val="21"/>
          <w:szCs w:val="21"/>
          <w:lang w:val="en-US" w:eastAsia="zh-CN"/>
        </w:rPr>
        <w:t xml:space="preserve">不作为</w:t>
      </w:r>
      <w:r>
        <w:rPr>
          <w:rFonts w:hint="eastAsia" w:ascii="宋体" w:hAnsi="宋体" w:cs="宋体"/>
          <w:color w:val="auto"/>
          <w:spacing w:val="0"/>
          <w:sz w:val="21"/>
          <w:szCs w:val="21"/>
          <w:lang w:val="en-US" w:eastAsia="zh-CN"/>
        </w:rPr>
        <w:t xml:space="preserve">成交</w:t>
      </w:r>
      <w:r>
        <w:rPr>
          <w:rFonts w:hint="eastAsia" w:ascii="宋体" w:hAnsi="宋体" w:eastAsia="宋体" w:cs="宋体"/>
          <w:color w:val="auto"/>
          <w:spacing w:val="0"/>
          <w:sz w:val="21"/>
          <w:szCs w:val="21"/>
          <w:lang w:val="en-US" w:eastAsia="zh-CN"/>
        </w:rPr>
        <w:t xml:space="preserve">候选人。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color w:val="auto"/>
          <w:spacing w:val="0"/>
          <w:sz w:val="21"/>
          <w:szCs w:val="21"/>
          <w:lang w:val="en-US" w:eastAsia="zh-CN"/>
        </w:rPr>
        <w:t xml:space="preserve">非单一产品采购项目，</w:t>
      </w:r>
      <w:r>
        <w:rPr>
          <w:rFonts w:hint="eastAsia" w:ascii="宋体" w:hAnsi="宋体" w:cs="宋体"/>
          <w:color w:val="auto"/>
          <w:spacing w:val="0"/>
          <w:sz w:val="21"/>
          <w:szCs w:val="21"/>
          <w:lang w:val="en-US" w:eastAsia="zh-CN"/>
        </w:rPr>
        <w:t xml:space="preserve">采购</w:t>
      </w:r>
      <w:r>
        <w:rPr>
          <w:rFonts w:hint="eastAsia" w:ascii="宋体" w:hAnsi="宋体" w:eastAsia="宋体" w:cs="宋体"/>
          <w:color w:val="auto"/>
          <w:spacing w:val="0"/>
          <w:sz w:val="21"/>
          <w:szCs w:val="21"/>
          <w:lang w:val="en-US" w:eastAsia="zh-CN"/>
        </w:rPr>
        <w:t xml:space="preserve">文件中将载明其中的核心产品。多家</w:t>
      </w:r>
      <w:r>
        <w:rPr>
          <w:rFonts w:hint="eastAsia" w:ascii="宋体" w:hAnsi="宋体" w:cs="宋体"/>
          <w:color w:val="auto"/>
          <w:spacing w:val="0"/>
          <w:sz w:val="21"/>
          <w:szCs w:val="21"/>
          <w:lang w:val="en-US" w:eastAsia="zh-CN"/>
        </w:rPr>
        <w:t xml:space="preserve">供应商</w:t>
      </w:r>
      <w:r>
        <w:rPr>
          <w:rFonts w:hint="eastAsia" w:ascii="宋体" w:hAnsi="宋体" w:eastAsia="宋体" w:cs="宋体"/>
          <w:color w:val="auto"/>
          <w:spacing w:val="0"/>
          <w:sz w:val="21"/>
          <w:szCs w:val="21"/>
          <w:lang w:val="en-US" w:eastAsia="zh-CN"/>
        </w:rPr>
        <w:t xml:space="preserve">提供的核心产品品牌相同的，按前两款规定处理。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详见本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第五章规定。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6.3采购活动终止的情况</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出现下列情形之一的，本次竞争性磋商采购活动将被终止：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6.3.2出现影响采购公正性的违法、违规行为的。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6.3.3除本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第二章第6.1.2条第三款规定的情形外，在采购过程中符合要求的供应商或者最后报价未超过采购预算的供应商不足3家的。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6.3.4在苏采云系统规定时间内成功解密电子响应文件的供应商不足3家的。</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五、成交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1.确定成交单位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1.2采购人从评审报告提出的成交候选供应商中，按照排序由高到低的原则确定成交供应商。采购</w:t>
      </w:r>
      <w:r>
        <w:rPr>
          <w:rFonts w:hint="eastAsia" w:ascii="宋体" w:hAnsi="宋体" w:cs="宋体"/>
          <w:color w:val="auto"/>
          <w:highlight w:val="none"/>
          <w:lang w:eastAsia="zh-CN"/>
        </w:rPr>
        <w:t xml:space="preserve">人在确定成交供应商</w:t>
      </w:r>
      <w:r>
        <w:rPr>
          <w:rFonts w:hint="eastAsia" w:ascii="宋体" w:hAnsi="宋体" w:cs="宋体"/>
          <w:color w:val="auto"/>
          <w:highlight w:val="none"/>
        </w:rPr>
        <w:t xml:space="preserve">后，采购人将在“</w:t>
      </w:r>
      <w:r>
        <w:rPr>
          <w:rFonts w:hint="eastAsia" w:ascii="宋体" w:hAnsi="宋体" w:cs="宋体"/>
          <w:color w:val="auto"/>
          <w:highlight w:val="none"/>
          <w:lang w:val="en-US" w:eastAsia="zh-CN"/>
        </w:rPr>
        <w:t xml:space="preserve">泰州市</w:t>
      </w:r>
      <w:r>
        <w:rPr>
          <w:rFonts w:hint="eastAsia" w:ascii="宋体" w:hAnsi="宋体" w:cs="宋体"/>
          <w:color w:val="auto"/>
          <w:highlight w:val="none"/>
        </w:rPr>
        <w:t xml:space="preserve">政府采购网”发布成交结果公告，公告期限为1个工作日。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1.3.1提供虚假材料牟取成交的。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1.3.2与评审专家、采购人、其他供应商或者采购代理机构工作人员恶意串通的。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1.3.3向评审专家、采购人或采购代理机构工作人员行贿或者提供其他不正当利益的。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1.3.5不满足本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规定的实质性要求，但在评审过程中又未被磋商小组发现的。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1.3.6成交后无正当理由拒不与采购人签订政府采购合同或者未按照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确定的事项签订政府采购合同的。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2.质疑处理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2.2.3对成交结果提出质疑的，为成交结果公告期限届满之日。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2.3质疑函必须按照本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中《质疑函范本》要求的格式和内容进行填写。</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采购人及采购代理机构只接收以纸质原件形式送达的质疑。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采购人质疑接收人及联系方式见本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第一章。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2.5以下情形的质疑不予受理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2.5.1内容不符合《政府采购质疑和投诉办法》第十二条规定的质疑。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2.5.2超出政府采购法定期限的质疑。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2.5.3以传真、电子邮件等方式递交的非原件形式的质疑。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2.5.4未参加磋商活动的供应商或在磋商活动中自身权益未受到损害的供应商所提出的质疑。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3.成交通知书</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3.2成交通知书将是合同的一个组成部分。对采购人和成交供应商均具有法律效力。成交通知书发出后，采购人改变成交结果的，或者成交供应商放弃成交项目的，应当依法承担法律责任。</w:t>
      </w:r>
      <w:bookmarkEnd w:id="102"/>
      <w:r/>
      <w:bookmarkEnd w:id="103"/>
      <w:r/>
      <w:bookmarkEnd w:id="104"/>
      <w:r/>
      <w:r/>
    </w:p>
    <w:p>
      <w:pPr>
        <w:ind w:firstLine="422"/>
        <w:keepLines w:val="0"/>
        <w:keepNext w:val="0"/>
        <w:pageBreakBefore w:val="0"/>
        <w:spacing w:line="360" w:lineRule="auto"/>
        <w:widowControl w:val="off"/>
        <w:rPr>
          <w:rFonts w:hint="eastAsia" w:ascii="宋体" w:hAnsi="宋体" w:cs="宋体"/>
          <w:b/>
          <w:bCs/>
          <w:color w:val="auto"/>
          <w:highlight w:val="none"/>
        </w:rPr>
      </w:pPr>
      <w:r/>
      <w:bookmarkStart w:id="105" w:name="_Toc16938553"/>
      <w:r/>
      <w:bookmarkStart w:id="106" w:name="_Toc513029237"/>
      <w:r/>
      <w:bookmarkStart w:id="107" w:name="_Toc20823309"/>
      <w:r>
        <w:rPr>
          <w:rFonts w:hint="eastAsia" w:ascii="宋体" w:hAnsi="宋体" w:cs="宋体"/>
          <w:b/>
          <w:bCs/>
          <w:color w:val="auto"/>
          <w:highlight w:val="none"/>
        </w:rPr>
        <w:t xml:space="preserve">六、签订、履行合同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1.履约保证金：</w:t>
      </w:r>
      <w:bookmarkStart w:id="108" w:name="OLE_LINK68"/>
      <w:r/>
      <w:bookmarkStart w:id="109" w:name="OLE_LINK67"/>
      <w:r/>
      <w:bookmarkStart w:id="110" w:name="OLE_LINK69"/>
      <w:r>
        <w:rPr>
          <w:rFonts w:hint="eastAsia" w:ascii="宋体" w:hAnsi="宋体" w:cs="宋体"/>
          <w:color w:val="auto"/>
          <w:highlight w:val="none"/>
        </w:rPr>
        <w:t xml:space="preserve">成交单位在合同签订前向采购人缴纳（成交价的10%）履约保证金，</w:t>
      </w:r>
      <w:bookmarkEnd w:id="108"/>
      <w:r/>
      <w:bookmarkEnd w:id="109"/>
      <w:r/>
      <w:bookmarkEnd w:id="110"/>
      <w:r>
        <w:rPr>
          <w:rFonts w:hint="eastAsia" w:ascii="宋体" w:hAnsi="宋体" w:cs="宋体"/>
          <w:color w:val="auto"/>
          <w:highlight w:val="none"/>
          <w:lang w:val="en-US" w:eastAsia="zh-CN"/>
        </w:rPr>
        <w:t xml:space="preserve">货物安装后1年且运行状态良好，采购人无息退还合同总价4%的履约保证金，质保期满后采购人无息退还剩余履约保证金。</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履约保证金提交形式：银行转账、支票、汇票、本票、金融机构出具的保函或者保证保险等非现金形式。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2.签订合同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2.l成交供应商应当在成交通知书发出之日起30日内，按照</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确定的事项与采购人签订政府采购合同。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2.2</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3.标的物的追加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七、其他事项说明：（落实的相关政策）</w:t>
      </w:r>
      <w:bookmarkEnd w:id="105"/>
      <w:r/>
      <w:bookmarkEnd w:id="106"/>
      <w:r/>
      <w:bookmarkEnd w:id="107"/>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1.小微型企业价格扣除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（1）本项目对小型和微型企业产品给予10%的扣除价格，用扣除后的价格参与评审。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（2）供应商需按照采购文件的要求提供相应的《中小企业声明函》。</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（3）本次采购标的属于</w:t>
      </w:r>
      <w:r>
        <w:rPr>
          <w:rFonts w:hint="eastAsia" w:ascii="宋体" w:hAnsi="宋体" w:cs="宋体"/>
          <w:b/>
          <w:bCs/>
          <w:color w:val="auto"/>
          <w:highlight w:val="none"/>
          <w:u w:val="single"/>
        </w:rPr>
        <w:t xml:space="preserve"> 工业 </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（4）在货物采购项目中，供应商提供的货物既有中小企业制造货物，也有大型企业制造货物的，不享受本办法规定的中小企业扶持政策。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2.残疾人福利性单位价格扣除政策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（1）本项目对残疾人福利性单位视同小型、微型企业，给予10%的价格扣除，用扣除后的价格参与评审。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（2）残疾人福利性单位需按照采购文件的要求提供《残疾人福利性单位声明函》。</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（3）残疾人福利性单位标准参照《关于促进残疾人就业政府采购政策的通知》（财库〔2017〕141号）。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3.监狱和戒毒企业价格扣除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（1）本项目对监狱和戒毒企业（简称监狱企业）视同小型、微型企业，给予10%的价格扣除，用扣除后的价格参与评审。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（3）监狱企业标准参照《关于政府采购支持监狱企业发展有关问题的通知》（财库〔2014〕68号）。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4.残疾人福利性单位、监狱企业属于小型、微型企业的，不重复享受政策。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7.若供应商提供的《中小企业声明函》《残疾人福利性单位声明函》及监狱企业认定证明等材料为虚假材料，按《中华人民共和国政府采购法》相关规定处理并报请政府采购监管部门给予行政处罚。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8.未按要求提供相关材料的，不享受相关政策。</w:t>
      </w:r>
      <w:r/>
    </w:p>
    <w:p>
      <w:pPr>
        <w:ind w:firstLine="422"/>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rPr>
        <w:t xml:space="preserve">采购本国产品的支持政策</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auto"/>
          <w:highlight w:val="none"/>
        </w:rPr>
        <w:t xml:space="preserve">20%</w:t>
      </w:r>
      <w:r>
        <w:rPr>
          <w:rFonts w:hint="eastAsia" w:ascii="宋体" w:hAnsi="宋体" w:cs="宋体"/>
          <w:color w:val="auto"/>
          <w:highlight w:val="none"/>
        </w:rPr>
        <w:t xml:space="preserve">的价格扣除，用扣除后的价格参与评审。</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、关于异常低价的审查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根据财库〔2026〕2号文《财政部关于推动解决政府采购异常低价问题的通知》：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1.政府采购评审中出现下列情形之一的，评审委员会应当启动异常低价投标（响应）审查程序：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1.3投标（响应）报价低于采购项目最高限价45%的，即投标（响应）报价&lt;采购项目最高限价×45%；</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2.评审委员会启动异常低价投标（响应）审查后，属于前述第1项至第4项情形的，应当要求相关供应商在评审现场合理的时间内对投标（响应）价格作出解释</w:t>
      </w:r>
      <w:r>
        <w:rPr>
          <w:rFonts w:hint="eastAsia" w:ascii="宋体" w:hAnsi="宋体" w:cs="宋体"/>
          <w:color w:val="auto"/>
          <w:highlight w:val="none"/>
          <w:lang w:eastAsia="zh-CN"/>
        </w:rPr>
        <w:t xml:space="preserve">，并</w:t>
      </w:r>
      <w:r>
        <w:rPr>
          <w:rFonts w:hint="eastAsia" w:ascii="宋体" w:hAnsi="宋体" w:cs="宋体"/>
          <w:color w:val="auto"/>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44"/>
        <w:jc w:val="center"/>
        <w:keepNext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 xml:space="preserve">第三章  合同条款及格式（参考）</w:t>
      </w:r>
      <w:r/>
    </w:p>
    <w:p>
      <w:pPr>
        <w:pStyle w:val="945"/>
        <w:pageBreakBefore w:val="0"/>
        <w:spacing w:line="360" w:lineRule="auto"/>
        <w:rPr>
          <w:rFonts w:hint="eastAsia" w:ascii="宋体" w:hAnsi="宋体" w:eastAsia="宋体" w:cs="宋体"/>
          <w:b w:val="0"/>
          <w:bCs/>
          <w:color w:val="auto"/>
          <w:sz w:val="21"/>
          <w:szCs w:val="21"/>
          <w:highlight w:val="none"/>
        </w:rPr>
      </w:pPr>
      <w:r/>
      <w:bookmarkStart w:id="111" w:name="_Toc434410155"/>
      <w:r/>
      <w:bookmarkStart w:id="112" w:name="_Toc518041191"/>
      <w:r>
        <w:rPr>
          <w:rFonts w:hint="eastAsia" w:ascii="宋体" w:hAnsi="宋体" w:eastAsia="宋体" w:cs="宋体"/>
          <w:b w:val="0"/>
          <w:bCs/>
          <w:color w:val="auto"/>
          <w:sz w:val="21"/>
          <w:szCs w:val="21"/>
          <w:highlight w:val="none"/>
        </w:rPr>
        <w:t xml:space="preserve">（以实际签订合同为准 合同的签订内容以采购文件的具体内容为准）</w:t>
      </w:r>
      <w:bookmarkEnd w:id="111"/>
      <w:r/>
      <w:bookmarkEnd w:id="112"/>
      <w:r/>
      <w:r/>
    </w:p>
    <w:p>
      <w:pPr>
        <w:jc w:val="center"/>
        <w:keepLines w:val="0"/>
        <w:keepNext w:val="0"/>
        <w:pageBreakBefore w:val="0"/>
        <w:spacing w:line="360" w:lineRule="auto"/>
        <w:widowControl/>
        <w:rPr>
          <w:rFonts w:hint="eastAsia" w:cs="Arial"/>
          <w:b/>
          <w:color w:val="auto"/>
          <w:sz w:val="36"/>
          <w:szCs w:val="36"/>
          <w:highlight w:val="none"/>
          <w:vertAlign w:val="superscript"/>
        </w:rPr>
        <w:suppressLineNumbers w:val="0"/>
      </w:pPr>
      <w:r/>
      <w:bookmarkStart w:id="113" w:name="hetongStart"/>
      <w:r/>
      <w:bookmarkEnd w:id="113"/>
      <w:r>
        <w:rPr>
          <w:rFonts w:hint="eastAsia" w:ascii="黑体" w:hAnsi="Times New Roman" w:eastAsia="黑体" w:cs="Times New Roman"/>
          <w:b/>
          <w:color w:val="auto"/>
          <w:sz w:val="30"/>
          <w:szCs w:val="30"/>
          <w:highlight w:val="none"/>
          <w:lang w:val="en-US" w:eastAsia="zh-CN"/>
        </w:rPr>
        <w:t xml:space="preserve">XX</w:t>
      </w:r>
      <w:r>
        <w:rPr>
          <w:rFonts w:hint="eastAsia" w:ascii="黑体" w:hAnsi="Times New Roman" w:eastAsia="黑体" w:cs="Times New Roman"/>
          <w:b/>
          <w:color w:val="auto"/>
          <w:sz w:val="30"/>
          <w:szCs w:val="30"/>
          <w:highlight w:val="none"/>
        </w:rPr>
        <w:t xml:space="preserve">采购合</w:t>
      </w:r>
      <w:r>
        <w:rPr>
          <w:rFonts w:hint="eastAsia" w:ascii="黑体" w:eastAsia="黑体"/>
          <w:b/>
          <w:color w:val="auto"/>
          <w:sz w:val="30"/>
          <w:szCs w:val="30"/>
          <w:highlight w:val="none"/>
        </w:rPr>
        <w:t xml:space="preserve">同</w:t>
      </w:r>
      <w:r/>
    </w:p>
    <w:p>
      <w:pPr>
        <w:ind w:left="0"/>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甲方：泰州市人民医院</w:t>
      </w:r>
      <w:r/>
    </w:p>
    <w:p>
      <w:pPr>
        <w:ind w:left="0"/>
        <w:jc w:val="both"/>
        <w:keepLines w:val="0"/>
        <w:keepNext w:val="0"/>
        <w:pageBreakBefore w:val="0"/>
        <w:spacing w:line="360" w:lineRule="auto"/>
        <w:widowControl/>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乙方：</w:t>
      </w:r>
      <w:r>
        <w:rPr>
          <w:rFonts w:hint="eastAsia"/>
          <w:b/>
          <w:color w:val="auto"/>
          <w:sz w:val="21"/>
          <w:highlight w:val="none"/>
          <w:lang w:val="en-US" w:eastAsia="zh-CN"/>
        </w:rPr>
        <w:t xml:space="preserve">XX有限公司</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经甲、乙双方友好协商，就乙方销售给甲方设备，双方达成如下协议：</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en-US" w:eastAsia="zh-CN"/>
        </w:rPr>
        <w:t xml:space="preserve">合同主要信息</w:t>
      </w:r>
      <w:r/>
    </w:p>
    <w:tbl>
      <w:tblPr>
        <w:tblStyle w:val="731"/>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1920"/>
        <w:gridCol w:w="1175"/>
        <w:gridCol w:w="813"/>
        <w:gridCol w:w="1355"/>
        <w:gridCol w:w="1247"/>
        <w:gridCol w:w="942"/>
      </w:tblGrid>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cs="宋体"/>
                <w:b/>
                <w:bCs/>
                <w:color w:val="auto"/>
                <w:sz w:val="21"/>
                <w:szCs w:val="21"/>
                <w:highlight w:val="none"/>
                <w:lang w:val="en-US" w:eastAsia="zh-CN"/>
              </w:rPr>
              <w:t xml:space="preserve">项目</w:t>
            </w:r>
            <w:r>
              <w:rPr>
                <w:rFonts w:hint="eastAsia" w:ascii="宋体" w:hAnsi="宋体" w:eastAsia="宋体" w:cs="宋体"/>
                <w:b/>
                <w:bCs/>
                <w:color w:val="auto"/>
                <w:sz w:val="21"/>
                <w:szCs w:val="21"/>
                <w:highlight w:val="none"/>
                <w:lang w:val="en-US" w:eastAsia="zh-CN"/>
              </w:rPr>
              <w:t xml:space="preserve">编号</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生产厂家</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规格型号</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 xml:space="preserve">总</w:t>
            </w:r>
            <w:r>
              <w:rPr>
                <w:rFonts w:hint="eastAsia" w:ascii="宋体" w:hAnsi="宋体" w:eastAsia="宋体" w:cs="宋体"/>
                <w:b/>
                <w:bCs/>
                <w:color w:val="auto"/>
                <w:sz w:val="21"/>
                <w:szCs w:val="21"/>
                <w:highlight w:val="none"/>
                <w:lang w:val="en-US" w:eastAsia="zh-CN"/>
              </w:rPr>
              <w:t xml:space="preserve">价</w:t>
            </w:r>
            <w:r>
              <w:rPr>
                <w:rFonts w:hint="eastAsia" w:ascii="宋体" w:hAnsi="宋体" w:eastAsia="宋体" w:cs="宋体"/>
                <w:b/>
                <w:bCs/>
                <w:color w:val="auto"/>
                <w:sz w:val="21"/>
                <w:szCs w:val="21"/>
                <w:highlight w:val="none"/>
              </w:rPr>
              <w:t xml:space="preserve">（元）</w:t>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质保期</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XXX</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X年</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总计（大写）</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小写</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rPr>
              <w:t xml:space="preserve">开户行</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XXXXXXXXXXX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账</w:t>
            </w:r>
            <w:r>
              <w:rPr>
                <w:rFonts w:hint="eastAsia" w:ascii="宋体" w:hAnsi="宋体" w:eastAsia="宋体" w:cs="宋体"/>
                <w:b/>
                <w:bCs/>
                <w:color w:val="auto"/>
                <w:sz w:val="21"/>
                <w:szCs w:val="21"/>
                <w:highlight w:val="none"/>
              </w:rPr>
              <w:t xml:space="preserve">号</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XXXXXXXXXXX</w:t>
            </w:r>
            <w:r/>
          </w:p>
        </w:tc>
      </w:tr>
      <w:tr>
        <w:trPr>
          <w:jc w:val="center"/>
          <w:trHeight w:val="87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付款方式</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ff0000"/>
                <w:sz w:val="21"/>
                <w:szCs w:val="21"/>
                <w:highlight w:val="none"/>
                <w:lang w:val="en-US" w:eastAsia="zh-CN"/>
              </w:rPr>
              <w:t xml:space="preserve">合同签订后支付合同价的40%，</w:t>
            </w:r>
            <w:r>
              <w:rPr>
                <w:rFonts w:hint="eastAsia" w:ascii="宋体" w:hAnsi="宋体" w:eastAsia="宋体" w:cs="宋体"/>
                <w:color w:val="ff0000"/>
                <w:sz w:val="21"/>
                <w:szCs w:val="21"/>
                <w:highlight w:val="none"/>
              </w:rPr>
              <w:t xml:space="preserve">货到，安装，验收合格后凭甲方出具的验收报告</w:t>
            </w:r>
            <w:r>
              <w:rPr>
                <w:rFonts w:hint="eastAsia" w:ascii="宋体" w:hAnsi="宋体" w:cs="宋体"/>
                <w:color w:val="ff0000"/>
                <w:sz w:val="21"/>
                <w:szCs w:val="21"/>
                <w:highlight w:val="none"/>
                <w:lang w:eastAsia="zh-CN"/>
              </w:rPr>
              <w:t xml:space="preserve">，</w:t>
            </w:r>
            <w:r>
              <w:rPr>
                <w:rFonts w:hint="eastAsia" w:ascii="宋体" w:hAnsi="宋体" w:eastAsia="宋体" w:cs="宋体"/>
                <w:color w:val="ff0000"/>
                <w:sz w:val="21"/>
                <w:szCs w:val="21"/>
                <w:highlight w:val="none"/>
              </w:rPr>
              <w:t xml:space="preserve">按甲方财务流程</w:t>
            </w:r>
            <w:r>
              <w:rPr>
                <w:rFonts w:hint="eastAsia" w:ascii="宋体" w:hAnsi="宋体" w:cs="宋体"/>
                <w:color w:val="ff0000"/>
                <w:sz w:val="21"/>
                <w:szCs w:val="21"/>
                <w:highlight w:val="none"/>
                <w:lang w:val="en-US" w:eastAsia="zh-CN"/>
              </w:rPr>
              <w:t xml:space="preserve">支付尾款60%</w:t>
            </w:r>
            <w:r>
              <w:rPr>
                <w:rFonts w:hint="eastAsia" w:ascii="宋体" w:hAnsi="宋体" w:eastAsia="宋体" w:cs="宋体"/>
                <w:color w:val="ff0000"/>
                <w:sz w:val="21"/>
                <w:szCs w:val="21"/>
                <w:highlight w:val="none"/>
              </w:rPr>
              <w:t xml:space="preserve">。</w:t>
            </w:r>
            <w:r/>
          </w:p>
        </w:tc>
      </w:tr>
    </w:tbl>
    <w:p>
      <w:pPr>
        <w:pStyle w:val="995"/>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en-US" w:eastAsia="zh-CN"/>
        </w:rPr>
        <w:t xml:space="preserve">发票与付款前提</w:t>
      </w:r>
      <w:r>
        <w:rPr>
          <w:rFonts w:hint="eastAsia" w:ascii="宋体" w:hAnsi="宋体" w:eastAsia="宋体" w:cs="宋体"/>
          <w:color w:val="auto"/>
          <w:sz w:val="21"/>
          <w:szCs w:val="21"/>
          <w:highlight w:val="none"/>
        </w:rPr>
        <w:t xml:space="preserve">：乙方应在设备验收合格后</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rPr>
        <w:t xml:space="preserve">、交货期及交货地点：合同</w:t>
      </w:r>
      <w:r>
        <w:rPr>
          <w:rFonts w:hint="eastAsia" w:ascii="宋体" w:hAnsi="宋体" w:eastAsia="宋体" w:cs="宋体"/>
          <w:color w:val="auto"/>
          <w:sz w:val="21"/>
          <w:szCs w:val="21"/>
          <w:highlight w:val="none"/>
          <w:lang w:eastAsia="zh-CN"/>
        </w:rPr>
        <w:t xml:space="preserve">签订之日起</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0天之</w:t>
      </w:r>
      <w:r>
        <w:rPr>
          <w:rFonts w:hint="eastAsia" w:ascii="宋体" w:hAnsi="宋体" w:eastAsia="宋体" w:cs="宋体"/>
          <w:color w:val="auto"/>
          <w:sz w:val="21"/>
          <w:szCs w:val="21"/>
          <w:highlight w:val="none"/>
        </w:rPr>
        <w:t xml:space="preserve">内货物运抵甲方指定</w:t>
      </w:r>
      <w:r>
        <w:rPr>
          <w:rFonts w:hint="eastAsia" w:ascii="宋体" w:hAnsi="宋体" w:cs="宋体"/>
          <w:color w:val="auto"/>
          <w:sz w:val="21"/>
          <w:szCs w:val="21"/>
          <w:highlight w:val="none"/>
          <w:lang w:val="en-US" w:eastAsia="zh-CN"/>
        </w:rPr>
        <w:t xml:space="preserve">的医院机房</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、乙方保证所供设备全新、型号最新、最近</w:t>
      </w:r>
      <w:r>
        <w:rPr>
          <w:rFonts w:hint="eastAsia" w:ascii="宋体" w:hAnsi="宋体" w:cs="宋体"/>
          <w:color w:val="auto"/>
          <w:sz w:val="21"/>
          <w:szCs w:val="21"/>
          <w:highlight w:val="none"/>
          <w:lang w:eastAsia="zh-CN"/>
        </w:rPr>
        <w:t xml:space="preserve">六个月</w:t>
      </w:r>
      <w:r>
        <w:rPr>
          <w:rFonts w:hint="eastAsia" w:ascii="宋体" w:hAnsi="宋体" w:eastAsia="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生产、保持完好的原包装，系新机，不可为翻新机，符合国家</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rPr>
          <w:rFonts w:hint="eastAsia" w:ascii="宋体" w:hAnsi="宋体" w:eastAsia="宋体" w:cs="宋体"/>
          <w:color w:val="auto"/>
          <w:sz w:val="21"/>
          <w:szCs w:val="21"/>
          <w:highlight w:val="none"/>
          <w:lang w:eastAsia="zh-CN"/>
        </w:rPr>
        <w:t xml:space="preserve">。</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五</w:t>
      </w:r>
      <w:r>
        <w:rPr>
          <w:rFonts w:hint="eastAsia" w:ascii="宋体" w:hAnsi="宋体" w:eastAsia="宋体" w:cs="宋体"/>
          <w:color w:val="auto"/>
          <w:sz w:val="21"/>
          <w:szCs w:val="21"/>
          <w:highlight w:val="none"/>
        </w:rPr>
        <w:t xml:space="preserve">、根据国家规定，对需要提供3C认证证书和标记的设备及有关配置，乙方应当及时提供。</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六</w:t>
      </w:r>
      <w:r>
        <w:rPr>
          <w:rFonts w:hint="eastAsia" w:ascii="宋体" w:hAnsi="宋体" w:eastAsia="宋体" w:cs="宋体"/>
          <w:color w:val="auto"/>
          <w:sz w:val="21"/>
          <w:szCs w:val="21"/>
          <w:highlight w:val="none"/>
        </w:rPr>
        <w:t xml:space="preserve">、乙方所供设备经验收不合格，根据甲方的要求，乙方必须无条件换货或退货，由此引起的一切损失由乙方承担。</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七</w:t>
      </w:r>
      <w:r>
        <w:rPr>
          <w:rFonts w:hint="eastAsia" w:ascii="宋体" w:hAnsi="宋体" w:eastAsia="宋体" w:cs="宋体"/>
          <w:color w:val="auto"/>
          <w:sz w:val="21"/>
          <w:szCs w:val="21"/>
          <w:highlight w:val="none"/>
        </w:rPr>
        <w:t xml:space="preserve">、设备安装后，乙方应配合甲方按厂方技术参数、国家标准等进行质量验收。若有异议，甲方有权委托中国有资格的机构对该设备进行质量检测，费用由乙方承担。</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八</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特别条款一：</w:t>
      </w:r>
      <w:r>
        <w:rPr>
          <w:rFonts w:hint="eastAsia" w:ascii="宋体" w:hAnsi="宋体" w:eastAsia="宋体" w:cs="宋体"/>
          <w:color w:val="auto"/>
          <w:sz w:val="21"/>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宋体" w:hAnsi="宋体" w:eastAsia="宋体" w:cs="宋体"/>
          <w:color w:val="auto"/>
          <w:sz w:val="21"/>
          <w:szCs w:val="21"/>
          <w:highlight w:val="none"/>
          <w:lang w:eastAsia="zh-CN"/>
        </w:rPr>
        <w:t xml:space="preserve">提供合法票据（</w:t>
      </w:r>
      <w:r>
        <w:rPr>
          <w:rFonts w:hint="eastAsia" w:ascii="宋体" w:hAnsi="宋体" w:eastAsia="宋体" w:cs="宋体"/>
          <w:color w:val="auto"/>
          <w:sz w:val="21"/>
          <w:szCs w:val="21"/>
          <w:highlight w:val="none"/>
          <w:lang w:val="en-US" w:eastAsia="zh-CN"/>
        </w:rPr>
        <w:t xml:space="preserve">必须是国税部门认可的票据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，发现疑似问题票据一旦认定，款项拒付并立刻终止合同，相关公司和人员列入本院黑名单。</w:t>
      </w:r>
      <w:r>
        <w:rPr>
          <w:rFonts w:hint="eastAsia" w:ascii="宋体" w:hAnsi="宋体" w:eastAsia="宋体" w:cs="宋体"/>
          <w:color w:val="auto"/>
          <w:sz w:val="21"/>
          <w:szCs w:val="21"/>
          <w:highlight w:val="none"/>
        </w:rPr>
        <w:t xml:space="preserve">e、其他未提及事项必须符合国家食品药品监督管理局的相关规定。以上条款乙方必须满足，否则，乙方将承担不利后果。</w:t>
      </w:r>
      <w:r>
        <w:rPr>
          <w:rFonts w:hint="eastAsia" w:ascii="宋体" w:hAnsi="宋体" w:eastAsia="宋体" w:cs="宋体"/>
          <w:color w:val="auto"/>
          <w:sz w:val="21"/>
          <w:szCs w:val="21"/>
          <w:highlight w:val="none"/>
          <w:lang w:val="en-US" w:eastAsia="zh-CN"/>
        </w:rPr>
        <w:t xml:space="preserve"> </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特别条款二：</w:t>
      </w:r>
      <w:r>
        <w:rPr>
          <w:rFonts w:hint="eastAsia" w:ascii="宋体" w:hAnsi="宋体" w:eastAsia="宋体" w:cs="宋体"/>
          <w:color w:val="auto"/>
          <w:sz w:val="21"/>
          <w:szCs w:val="21"/>
          <w:highlight w:val="none"/>
        </w:rPr>
        <w:t xml:space="preserve">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九、</w:t>
      </w:r>
      <w:r>
        <w:rPr>
          <w:rFonts w:hint="eastAsia" w:ascii="宋体" w:hAnsi="宋体" w:eastAsia="宋体" w:cs="宋体"/>
          <w:color w:val="auto"/>
          <w:sz w:val="21"/>
          <w:szCs w:val="21"/>
          <w:highlight w:val="none"/>
          <w:lang w:val="en-US" w:eastAsia="zh-CN"/>
        </w:rPr>
        <w:t xml:space="preserve">服务条款：</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rPr>
        <w:t xml:space="preserve">乙方</w:t>
      </w:r>
      <w:r>
        <w:rPr>
          <w:rFonts w:hint="eastAsia" w:ascii="宋体" w:hAnsi="宋体" w:eastAsia="宋体" w:cs="宋体"/>
          <w:b w:val="0"/>
          <w:bCs/>
          <w:color w:val="auto"/>
          <w:sz w:val="21"/>
          <w:szCs w:val="21"/>
          <w:highlight w:val="none"/>
        </w:rPr>
        <w:t xml:space="preserve">免费提前为甲方提供设备安装图纸，</w:t>
      </w:r>
      <w:r>
        <w:rPr>
          <w:rFonts w:hint="eastAsia" w:ascii="宋体" w:hAnsi="宋体" w:eastAsia="宋体" w:cs="宋体"/>
          <w:b w:val="0"/>
          <w:bCs/>
          <w:color w:val="auto"/>
          <w:sz w:val="21"/>
          <w:szCs w:val="21"/>
          <w:highlight w:val="none"/>
          <w:lang w:val="en-US" w:eastAsia="zh-CN"/>
        </w:rPr>
        <w:t xml:space="preserve">乙方负责设备机房改造全部事宜，甲方提供乙方所需要求（包含且不限于：a、提供符合厂家装机要求的电缆及电箱到指定位置；b、提供符合厂家装机要求的上下水系统。）。</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设备安装时，乙方负责设备的免费安装和调试，但乙方必须事先与甲方的医疗设备科联系，并与医疗设备科共同参与，否则引起的一切责任由乙方承担。</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乙方如逾期交付货物，则按每逾期一天，乙方向甲方支付货款总额5‰的滞纳金；如乙方逾期交货达10天，甲方有权解除合同。</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设备安装、调试结束后，甲方对设备进行</w:t>
      </w:r>
      <w:r>
        <w:rPr>
          <w:rFonts w:hint="eastAsia" w:ascii="宋体" w:hAnsi="宋体" w:eastAsia="宋体" w:cs="宋体"/>
          <w:color w:val="auto"/>
          <w:sz w:val="21"/>
          <w:szCs w:val="21"/>
          <w:highlight w:val="none"/>
          <w:lang w:val="en-US" w:eastAsia="zh-CN"/>
        </w:rPr>
        <w:t xml:space="preserve">调试</w:t>
      </w:r>
      <w:r>
        <w:rPr>
          <w:rFonts w:hint="eastAsia" w:ascii="宋体" w:hAnsi="宋体" w:eastAsia="宋体" w:cs="宋体"/>
          <w:color w:val="auto"/>
          <w:sz w:val="21"/>
          <w:szCs w:val="21"/>
          <w:highlight w:val="none"/>
        </w:rPr>
        <w:t xml:space="preserve">验收（时间由甲、乙双方另行商定），乙方免费派工程师</w:t>
      </w:r>
      <w:r>
        <w:rPr>
          <w:rFonts w:hint="eastAsia" w:ascii="宋体" w:hAnsi="宋体" w:eastAsia="宋体" w:cs="宋体"/>
          <w:color w:val="auto"/>
          <w:sz w:val="21"/>
          <w:szCs w:val="21"/>
          <w:highlight w:val="none"/>
          <w:lang w:eastAsia="zh-CN"/>
        </w:rPr>
        <w:t xml:space="preserve">到</w:t>
      </w:r>
      <w:r>
        <w:rPr>
          <w:rFonts w:hint="eastAsia" w:ascii="宋体" w:hAnsi="宋体" w:eastAsia="宋体" w:cs="宋体"/>
          <w:color w:val="auto"/>
          <w:sz w:val="21"/>
          <w:szCs w:val="21"/>
          <w:highlight w:val="none"/>
        </w:rPr>
        <w:t xml:space="preserve">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自甲方验收合格之日起算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上述设备</w:t>
      </w:r>
      <w:r>
        <w:rPr>
          <w:rFonts w:hint="eastAsia" w:ascii="宋体" w:hAnsi="宋体" w:eastAsia="宋体" w:cs="宋体"/>
          <w:b/>
          <w:bCs/>
          <w:color w:val="auto"/>
          <w:sz w:val="21"/>
          <w:szCs w:val="21"/>
          <w:highlight w:val="none"/>
          <w:u w:val="single"/>
          <w:lang w:val="en-US" w:eastAsia="zh-CN"/>
        </w:rPr>
        <w:t xml:space="preserve">质保期</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原厂免费</w:t>
      </w:r>
      <w:r>
        <w:rPr>
          <w:rFonts w:hint="eastAsia" w:ascii="宋体" w:hAnsi="宋体" w:eastAsia="宋体" w:cs="宋体"/>
          <w:color w:val="auto"/>
          <w:sz w:val="21"/>
          <w:szCs w:val="21"/>
          <w:highlight w:val="none"/>
          <w:lang w:val="en-US" w:eastAsia="zh-CN"/>
        </w:rPr>
        <w:t xml:space="preserve">整</w:t>
      </w:r>
      <w:r>
        <w:rPr>
          <w:rFonts w:hint="eastAsia" w:ascii="宋体" w:hAnsi="宋体" w:eastAsia="宋体" w:cs="宋体"/>
          <w:color w:val="auto"/>
          <w:sz w:val="21"/>
          <w:szCs w:val="21"/>
          <w:highlight w:val="none"/>
        </w:rPr>
        <w:t xml:space="preserve">机</w:t>
      </w:r>
      <w:r>
        <w:rPr>
          <w:rFonts w:hint="eastAsia" w:ascii="宋体" w:hAnsi="宋体" w:eastAsia="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保修</w:t>
      </w:r>
      <w:r>
        <w:rPr>
          <w:rFonts w:hint="eastAsia" w:ascii="宋体" w:hAnsi="宋体" w:eastAsia="宋体" w:cs="宋体"/>
          <w:color w:val="auto"/>
          <w:sz w:val="21"/>
          <w:szCs w:val="21"/>
          <w:highlight w:val="none"/>
          <w:lang w:eastAsia="zh-CN"/>
        </w:rPr>
        <w:t xml:space="preserve">范围</w:t>
      </w:r>
      <w:r>
        <w:rPr>
          <w:rFonts w:hint="eastAsia" w:ascii="宋体" w:hAnsi="宋体" w:eastAsia="宋体" w:cs="宋体"/>
          <w:color w:val="auto"/>
          <w:sz w:val="21"/>
          <w:szCs w:val="21"/>
          <w:highlight w:val="none"/>
        </w:rPr>
        <w:t xml:space="preserve">为全保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含所需配件、人工费、维修人员差旅费，终身维护。每年免费对该设备进行预防性维护保养二次并出具厂家保养报告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并确保设备保修期内开机率为95%，如设备故障停机率超过5%（一年按365天计算，每年18天），每超过一天，保修期延长两周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以上材料乙方提供由原厂出具的售后服务承诺函</w:t>
      </w:r>
      <w:r>
        <w:rPr>
          <w:rFonts w:hint="eastAsia" w:ascii="宋体" w:hAnsi="宋体" w:eastAsia="宋体" w:cs="宋体"/>
          <w:color w:val="auto"/>
          <w:sz w:val="21"/>
          <w:szCs w:val="21"/>
          <w:highlight w:val="none"/>
        </w:rPr>
        <w:t xml:space="preserve">。保修期满后，乙方对本设备终身负责维修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但只收配件费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免收人工费。</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无论在保修期内还是保修期外，乙方均应当上门维修，乙方工程师至甲方维修本设备，必须事先与甲方医疗设备科取得联系，在完成相应登记手续后，与甲方工程师共同完成维修工作。否则，引起的一切责任由乙方承担。</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应当提供</w:t>
      </w:r>
      <w:r>
        <w:rPr>
          <w:rFonts w:hint="eastAsia" w:ascii="宋体" w:hAnsi="宋体" w:eastAsia="宋体" w:cs="宋体"/>
          <w:color w:val="auto"/>
          <w:sz w:val="21"/>
          <w:szCs w:val="21"/>
          <w:highlight w:val="none"/>
          <w:lang w:eastAsia="zh-CN"/>
        </w:rPr>
        <w:t xml:space="preserve">该设备的</w:t>
      </w:r>
      <w:r>
        <w:rPr>
          <w:rFonts w:hint="eastAsia" w:ascii="宋体" w:hAnsi="宋体" w:eastAsia="宋体" w:cs="宋体"/>
          <w:color w:val="auto"/>
          <w:sz w:val="21"/>
          <w:szCs w:val="21"/>
          <w:highlight w:val="none"/>
        </w:rPr>
        <w:t xml:space="preserve">维护手册、维修手册、软件备份、故障代码表、备件清单、零部件、维修密码等维护维修必需的材料和信息</w:t>
      </w:r>
      <w:r>
        <w:rPr>
          <w:rFonts w:hint="eastAsia" w:ascii="宋体" w:hAnsi="宋体" w:eastAsia="宋体" w:cs="宋体"/>
          <w:b w:val="0"/>
          <w:i w:val="0"/>
          <w:caps w:val="0"/>
          <w:color w:val="auto"/>
          <w:spacing w:val="0"/>
          <w:sz w:val="21"/>
          <w:szCs w:val="21"/>
          <w:highlight w:val="none"/>
          <w:shd w:val="clear" w:color="auto" w:fill="ffffff"/>
        </w:rPr>
        <w:t xml:space="preserve">。</w:t>
      </w:r>
      <w:r>
        <w:rPr>
          <w:rFonts w:hint="eastAsia" w:ascii="宋体" w:hAnsi="宋体" w:eastAsia="宋体" w:cs="宋体"/>
          <w:color w:val="auto"/>
          <w:sz w:val="21"/>
          <w:szCs w:val="21"/>
          <w:highlight w:val="none"/>
        </w:rPr>
        <w:t xml:space="preserve">如设备软件升级，乙方负责免费软件升级，并按照甲方信息化建设要求及网络安全规范，提供必要的、安全的接口服务，配合完成与医院信息系统的数据对接。</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rPr>
        <w:t xml:space="preserve">乙方免费提供全套技术资料（维修说明书包括详细电路图、操作说明书及光盘），如技术资料不全，甲方有权不支付货款。</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rPr>
        <w:t xml:space="preserve">①现场技术培训：在安装过程中或安装结束后，乙方工程师或有关人员有义务对甲方工程师和操作人员进行现场维修、保养、操作培训并提供快捷操作指南</w:t>
      </w:r>
      <w:r>
        <w:rPr>
          <w:rFonts w:hint="eastAsia" w:ascii="宋体" w:hAnsi="宋体" w:eastAsia="宋体" w:cs="宋体"/>
          <w:b/>
          <w:color w:val="auto"/>
          <w:sz w:val="21"/>
          <w:szCs w:val="21"/>
          <w:highlight w:val="none"/>
        </w:rPr>
        <w:t xml:space="preserve">（塑胶封好，挂在设备上）</w:t>
      </w:r>
      <w:r>
        <w:rPr>
          <w:rFonts w:hint="eastAsia" w:ascii="宋体" w:hAnsi="宋体" w:eastAsia="宋体" w:cs="宋体"/>
          <w:color w:val="auto"/>
          <w:sz w:val="21"/>
          <w:szCs w:val="21"/>
          <w:highlight w:val="none"/>
        </w:rPr>
        <w:t xml:space="preserve">，解答甲方人员提出的问题。②正规培训班培训：详见乙方的</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文件及承诺书。</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11.</w:t>
      </w:r>
      <w:r>
        <w:rPr>
          <w:rFonts w:hint="eastAsia" w:ascii="宋体" w:hAnsi="宋体" w:eastAsia="宋体" w:cs="宋体"/>
          <w:color w:val="auto"/>
          <w:sz w:val="21"/>
          <w:szCs w:val="21"/>
          <w:highlight w:val="none"/>
        </w:rPr>
        <w:t xml:space="preserve">如乙方提供的设备设有维修软件密码，乙方保证无条件地为甲方永久免费打开。</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rPr>
        <w:t xml:space="preserve">乙方提供的设备</w:t>
      </w:r>
      <w:r>
        <w:rPr>
          <w:rFonts w:hint="eastAsia" w:ascii="宋体" w:hAnsi="宋体" w:eastAsia="宋体" w:cs="宋体"/>
          <w:color w:val="auto"/>
          <w:sz w:val="21"/>
          <w:szCs w:val="21"/>
          <w:highlight w:val="none"/>
          <w:lang w:eastAsia="zh-CN"/>
        </w:rPr>
        <w:t xml:space="preserve">系统工作站应可以接入医院</w:t>
      </w:r>
      <w:r>
        <w:rPr>
          <w:rFonts w:hint="eastAsia" w:ascii="宋体" w:hAnsi="宋体" w:eastAsia="宋体" w:cs="宋体"/>
          <w:color w:val="auto"/>
          <w:sz w:val="21"/>
          <w:szCs w:val="21"/>
          <w:highlight w:val="none"/>
          <w:lang w:val="en-US" w:eastAsia="zh-CN"/>
        </w:rPr>
        <w:t xml:space="preserve">HIS系统，并按照甲方信息化建设要求，与医院各类信息系统做好接口对接，实现数据交互，乙方负责协调设备相关软件服务，如需产生费用由乙方承担。</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十、</w:t>
      </w:r>
      <w:r>
        <w:rPr>
          <w:rFonts w:hint="eastAsia" w:ascii="宋体" w:hAnsi="宋体" w:eastAsia="宋体" w:cs="宋体"/>
          <w:color w:val="auto"/>
          <w:sz w:val="21"/>
          <w:szCs w:val="21"/>
          <w:highlight w:val="none"/>
        </w:rPr>
        <w:t xml:space="preserve">保密条款：乙方承诺在合作期间内接触的各项甲方的信息、资料文件等负有保密责任，不得向第三方披露。否则甲方可追究其违约责任，造成损失的，甲方有权向乙方追偿。此保密义务在本协议期满、解除或终止后仍然有效。</w:t>
      </w:r>
      <w:r/>
    </w:p>
    <w:p>
      <w:pPr>
        <w:numPr>
          <w:ilvl w:val="0"/>
          <w:numId w:val="0"/>
        </w:num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十一、</w:t>
      </w:r>
      <w:r>
        <w:rPr>
          <w:rFonts w:hint="eastAsia" w:ascii="宋体" w:hAnsi="宋体" w:eastAsia="宋体" w:cs="宋体"/>
          <w:color w:val="auto"/>
          <w:sz w:val="21"/>
          <w:szCs w:val="21"/>
          <w:highlight w:val="none"/>
          <w:lang w:val="en-US" w:eastAsia="zh-CN"/>
        </w:rPr>
        <w:t xml:space="preserve">本合同除签字盖章部分，均为打印文本，凡添加手写内容一律无效，合同自双方签字并盖章后生效。</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十二、采购文件、乙方响应文件（含澄清文件及承诺）均为本合同的组成部分。若上述文件与本合同约定不一致，以最有利于甲方利益的条款为准。</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十三、《</w:t>
      </w:r>
      <w:r>
        <w:rPr>
          <w:rFonts w:hint="eastAsia" w:ascii="宋体" w:hAnsi="宋体" w:eastAsia="宋体" w:cs="宋体"/>
          <w:color w:val="auto"/>
          <w:sz w:val="21"/>
          <w:szCs w:val="21"/>
          <w:highlight w:val="none"/>
          <w:lang w:eastAsia="zh-CN"/>
        </w:rPr>
        <w:t xml:space="preserve">医疗设备采购</w:t>
      </w:r>
      <w:r>
        <w:rPr>
          <w:rFonts w:hint="eastAsia" w:ascii="宋体" w:hAnsi="宋体" w:eastAsia="宋体" w:cs="宋体"/>
          <w:color w:val="auto"/>
          <w:sz w:val="21"/>
          <w:szCs w:val="21"/>
          <w:highlight w:val="none"/>
        </w:rPr>
        <w:t xml:space="preserve">廉洁购销</w:t>
      </w:r>
      <w:r>
        <w:rPr>
          <w:rFonts w:hint="eastAsia" w:ascii="宋体" w:hAnsi="宋体" w:eastAsia="宋体" w:cs="宋体"/>
          <w:color w:val="auto"/>
          <w:sz w:val="21"/>
          <w:szCs w:val="21"/>
          <w:highlight w:val="none"/>
          <w:lang w:eastAsia="zh-CN"/>
        </w:rPr>
        <w:t xml:space="preserve">协议》作为本合同的附件，具备同等的法律效力，双方需严格遵守《医疗设备采购</w:t>
      </w:r>
      <w:r>
        <w:rPr>
          <w:rFonts w:hint="eastAsia" w:ascii="宋体" w:hAnsi="宋体" w:eastAsia="宋体" w:cs="宋体"/>
          <w:color w:val="auto"/>
          <w:sz w:val="21"/>
          <w:szCs w:val="21"/>
          <w:highlight w:val="none"/>
        </w:rPr>
        <w:t xml:space="preserve">廉洁购销</w:t>
      </w:r>
      <w:r>
        <w:rPr>
          <w:rFonts w:hint="eastAsia" w:ascii="宋体" w:hAnsi="宋体" w:eastAsia="宋体" w:cs="宋体"/>
          <w:color w:val="auto"/>
          <w:sz w:val="21"/>
          <w:szCs w:val="21"/>
          <w:highlight w:val="none"/>
          <w:lang w:eastAsia="zh-CN"/>
        </w:rPr>
        <w:t xml:space="preserve">协议》。</w:t>
      </w:r>
      <w:r/>
    </w:p>
    <w:p>
      <w:pPr>
        <w:ind w:lef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本合同一式四份，甲方执三份，乙方执一份。甲乙双方如发生合同争议，可向甲方住所地人民法院提起诉讼。</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11"/>
        <w:keepLines w:val="0"/>
        <w:keepNext w:val="0"/>
        <w:pageBreakBefore w:val="0"/>
        <w:spacing w:line="360" w:lineRule="auto"/>
        <w:widowControl w:val="off"/>
        <w:rPr>
          <w:rFonts w:hint="eastAsia" w:hAnsi="宋体" w:cs="宋体"/>
          <w:b/>
          <w:color w:val="auto"/>
          <w:szCs w:val="21"/>
          <w:highlight w:val="none"/>
        </w:rPr>
        <w:outlineLvl w:val="9"/>
      </w:pPr>
      <w:r>
        <w:rPr>
          <w:rFonts w:hint="eastAsia"/>
          <w:b/>
          <w:bCs/>
          <w:color w:val="auto"/>
          <w:highlight w:val="none"/>
        </w:rPr>
        <w:t xml:space="preserve">甲方（盖章）：                        </w:t>
      </w:r>
      <w:r>
        <w:rPr>
          <w:rFonts w:hint="eastAsia"/>
          <w:b/>
          <w:bCs/>
          <w:color w:val="auto"/>
          <w:highlight w:val="none"/>
          <w:lang w:val="en-US" w:eastAsia="zh-CN"/>
        </w:rPr>
        <w:t xml:space="preserve"> </w:t>
      </w:r>
      <w:r>
        <w:rPr>
          <w:rFonts w:hint="eastAsia"/>
          <w:b/>
          <w:bCs/>
          <w:color w:val="auto"/>
          <w:highlight w:val="none"/>
        </w:rPr>
        <w:t xml:space="preserve">  </w:t>
      </w:r>
      <w:r>
        <w:rPr>
          <w:rFonts w:hint="eastAsia"/>
          <w:b/>
          <w:bCs/>
          <w:color w:val="auto"/>
          <w:highlight w:val="none"/>
          <w:lang w:val="en-US" w:eastAsia="zh-CN"/>
        </w:rPr>
        <w:t xml:space="preserve"> </w:t>
      </w:r>
      <w:r>
        <w:rPr>
          <w:rFonts w:hint="eastAsia"/>
          <w:b/>
          <w:bCs/>
          <w:color w:val="auto"/>
          <w:highlight w:val="none"/>
        </w:rPr>
        <w:t xml:space="preserve"> 乙方（盖章）：</w:t>
      </w:r>
      <w:r/>
    </w:p>
    <w:p>
      <w:pPr>
        <w:ind w:firstLine="210"/>
        <w:keepLines w:val="0"/>
        <w:keepNext w:val="0"/>
        <w:pageBreakBefore w:val="0"/>
        <w:spacing w:line="360" w:lineRule="auto"/>
        <w:widowControl w:val="off"/>
        <w:rPr>
          <w:rFonts w:hint="eastAsia"/>
          <w:color w:val="auto"/>
          <w:highlight w:val="none"/>
        </w:rPr>
        <w:outlineLvl w:val="9"/>
      </w:pPr>
      <w:r>
        <w:rPr>
          <w:rFonts w:hint="eastAsia"/>
          <w:color w:val="auto"/>
          <w:highlight w:val="none"/>
        </w:rPr>
        <w:t xml:space="preserve">法人或</w:t>
      </w:r>
      <w:r>
        <w:rPr>
          <w:rFonts w:hint="eastAsia"/>
          <w:color w:val="auto"/>
          <w:highlight w:val="none"/>
          <w:lang w:eastAsia="zh-CN"/>
        </w:rPr>
        <w:t xml:space="preserve">其授权代表</w:t>
      </w:r>
      <w:r>
        <w:rPr>
          <w:rFonts w:hint="eastAsia"/>
          <w:color w:val="auto"/>
          <w:highlight w:val="none"/>
        </w:rPr>
        <w:t xml:space="preserve">签字：                    </w:t>
      </w:r>
      <w:r>
        <w:rPr>
          <w:rFonts w:hint="eastAsia"/>
          <w:color w:val="auto"/>
          <w:highlight w:val="none"/>
          <w:lang w:val="en-US" w:eastAsia="zh-CN"/>
        </w:rPr>
        <w:t xml:space="preserve"> </w:t>
      </w:r>
      <w:r>
        <w:rPr>
          <w:rFonts w:hint="eastAsia"/>
          <w:color w:val="auto"/>
          <w:highlight w:val="none"/>
        </w:rPr>
        <w:t xml:space="preserve">法人或</w:t>
      </w:r>
      <w:r>
        <w:rPr>
          <w:rFonts w:hint="eastAsia"/>
          <w:color w:val="auto"/>
          <w:highlight w:val="none"/>
          <w:lang w:eastAsia="zh-CN"/>
        </w:rPr>
        <w:t xml:space="preserve">其授权代表</w:t>
      </w:r>
      <w:r>
        <w:rPr>
          <w:rFonts w:hint="eastAsia"/>
          <w:color w:val="auto"/>
          <w:highlight w:val="none"/>
        </w:rPr>
        <w:t xml:space="preserve">签字：</w:t>
      </w:r>
      <w:r/>
    </w:p>
    <w:p>
      <w:pPr>
        <w:keepLines w:val="0"/>
        <w:keepNext w:val="0"/>
        <w:pageBreakBefore w:val="0"/>
        <w:spacing w:line="360" w:lineRule="auto"/>
        <w:widowControl w:val="off"/>
        <w:rPr>
          <w:rFonts w:hint="eastAsia"/>
          <w:color w:val="auto"/>
          <w:highlight w:val="none"/>
        </w:rPr>
        <w:outlineLvl w:val="9"/>
      </w:pPr>
      <w:r>
        <w:rPr>
          <w:rFonts w:hint="eastAsia"/>
          <w:color w:val="auto"/>
          <w:highlight w:val="none"/>
        </w:rPr>
        <w:t xml:space="preserve">  业务部门代表签字：                        </w:t>
      </w:r>
      <w:r>
        <w:rPr>
          <w:rFonts w:hint="eastAsia"/>
          <w:color w:val="auto"/>
          <w:highlight w:val="none"/>
          <w:lang w:val="en-US" w:eastAsia="zh-CN"/>
        </w:rPr>
        <w:t xml:space="preserve"> </w:t>
      </w:r>
      <w:r>
        <w:rPr>
          <w:rFonts w:hint="eastAsia"/>
          <w:color w:val="auto"/>
          <w:highlight w:val="none"/>
        </w:rPr>
        <w:t xml:space="preserve">业务代表签字：</w:t>
      </w:r>
      <w:r/>
    </w:p>
    <w:p>
      <w:pPr>
        <w:keepLines w:val="0"/>
        <w:keepNext w:val="0"/>
        <w:pageBreakBefore w:val="0"/>
        <w:spacing w:line="360" w:lineRule="auto"/>
        <w:widowControl w:val="off"/>
        <w:rPr>
          <w:rFonts w:hint="default" w:eastAsia="宋体"/>
          <w:color w:val="auto"/>
          <w:highlight w:val="none"/>
          <w:u w:val="single"/>
          <w:lang w:val="en-US" w:eastAsia="zh-CN"/>
        </w:rPr>
        <w:outlineLvl w:val="9"/>
      </w:pPr>
      <w:r>
        <w:rPr>
          <w:rFonts w:hint="eastAsia"/>
          <w:color w:val="auto"/>
          <w:highlight w:val="none"/>
        </w:rPr>
        <w:t xml:space="preserve">  联系电话</w:t>
      </w:r>
      <w:r>
        <w:rPr>
          <w:rFonts w:hint="eastAsia"/>
          <w:color w:val="auto"/>
          <w:highlight w:val="none"/>
          <w:lang w:eastAsia="zh-CN"/>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                联系电话</w:t>
      </w:r>
      <w:r>
        <w:rPr>
          <w:rFonts w:hint="eastAsia"/>
          <w:color w:val="auto"/>
          <w:highlight w:val="none"/>
          <w:lang w:eastAsia="zh-CN"/>
        </w:rPr>
        <w:t xml:space="preserve">：</w:t>
      </w:r>
      <w:r>
        <w:rPr>
          <w:rFonts w:hint="eastAsia"/>
          <w:color w:val="auto"/>
          <w:highlight w:val="none"/>
          <w:u w:val="single"/>
          <w:lang w:val="en-US" w:eastAsia="zh-CN"/>
        </w:rPr>
        <w:t xml:space="preserve">                  </w:t>
      </w:r>
      <w:r/>
    </w:p>
    <w:p>
      <w:pPr>
        <w:keepLines w:val="0"/>
        <w:keepNext w:val="0"/>
        <w:pageBreakBefore w:val="0"/>
        <w:spacing w:line="360" w:lineRule="auto"/>
        <w:widowControl w:val="off"/>
        <w:rPr>
          <w:rFonts w:hint="eastAsia"/>
          <w:b/>
          <w:bCs/>
          <w:color w:val="auto"/>
          <w:sz w:val="30"/>
          <w:szCs w:val="30"/>
          <w:highlight w:val="none"/>
          <w:lang w:eastAsia="zh-CN"/>
        </w:rPr>
        <w:outlineLvl w:val="9"/>
      </w:pPr>
      <w:r>
        <w:rPr>
          <w:rFonts w:hint="eastAsia"/>
          <w:color w:val="auto"/>
          <w:highlight w:val="none"/>
        </w:rPr>
        <w:t xml:space="preserve"> </w:t>
      </w:r>
      <w:r>
        <w:rPr>
          <w:rFonts w:hint="eastAsia"/>
          <w:color w:val="auto"/>
          <w:szCs w:val="21"/>
          <w:highlight w:val="none"/>
        </w:rPr>
        <w:t xml:space="preserve"> </w:t>
      </w:r>
      <w:r>
        <w:rPr>
          <w:rFonts w:hint="eastAsia"/>
          <w:color w:val="auto"/>
          <w:szCs w:val="21"/>
          <w:highlight w:val="none"/>
          <w:u w:val="single"/>
        </w:rPr>
        <w:t xml:space="preserve">      </w:t>
      </w:r>
      <w:r>
        <w:rPr>
          <w:rFonts w:hint="eastAsia"/>
          <w:color w:val="auto"/>
          <w:szCs w:val="21"/>
          <w:highlight w:val="none"/>
        </w:rPr>
        <w:t xml:space="preserve">年 </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 </w:t>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b/>
          <w:bCs/>
          <w:color w:val="auto"/>
          <w:sz w:val="28"/>
          <w:szCs w:val="28"/>
          <w:highlight w:val="none"/>
          <w:lang w:eastAsia="zh-CN"/>
        </w:rPr>
      </w:pPr>
      <w:r>
        <w:rPr>
          <w:rFonts w:hint="eastAsia"/>
          <w:b/>
          <w:bCs/>
          <w:color w:val="auto"/>
          <w:sz w:val="28"/>
          <w:szCs w:val="28"/>
          <w:highlight w:val="none"/>
          <w:lang w:eastAsia="zh-CN"/>
        </w:rPr>
      </w:r>
      <w:r/>
    </w:p>
    <w:p>
      <w:pPr>
        <w:keepLines w:val="0"/>
        <w:keepNext w:val="0"/>
        <w:pageBreakBefore w:val="0"/>
        <w:spacing w:line="320" w:lineRule="exact"/>
        <w:rPr>
          <w:rFonts w:hint="eastAsia"/>
          <w:color w:val="auto"/>
          <w:sz w:val="21"/>
          <w:szCs w:val="21"/>
          <w:highlight w:val="none"/>
          <w:lang w:val="en-US" w:eastAsia="zh-CN"/>
        </w:rPr>
      </w:pPr>
      <w:r>
        <w:rPr>
          <w:rFonts w:hint="eastAsia"/>
          <w:b/>
          <w:bCs/>
          <w:color w:val="auto"/>
          <w:sz w:val="21"/>
          <w:szCs w:val="21"/>
          <w:highlight w:val="none"/>
          <w:lang w:eastAsia="zh-CN"/>
        </w:rPr>
        <w:t xml:space="preserve">附件：</w:t>
      </w:r>
      <w:r/>
    </w:p>
    <w:p>
      <w:pPr>
        <w:ind w:firstLine="281"/>
        <w:jc w:val="center"/>
        <w:rPr>
          <w:rFonts w:hint="eastAsia"/>
          <w:b/>
          <w:bCs/>
          <w:color w:val="auto"/>
          <w:sz w:val="21"/>
          <w:szCs w:val="21"/>
          <w:highlight w:val="none"/>
          <w:lang w:eastAsia="zh-CN"/>
        </w:rPr>
      </w:pPr>
      <w:r>
        <w:rPr>
          <w:rFonts w:hint="eastAsia" w:ascii="宋体" w:hAnsi="宋体" w:eastAsia="宋体" w:cs="宋体"/>
          <w:b/>
          <w:bCs/>
          <w:color w:val="auto"/>
          <w:sz w:val="28"/>
          <w:szCs w:val="28"/>
          <w:highlight w:val="none"/>
          <w:lang w:val="en-US" w:eastAsia="zh-CN"/>
        </w:rPr>
        <w:t xml:space="preserve">XX（型号：XX）配置清单</w:t>
      </w:r>
      <w:r>
        <w:rPr>
          <w:rFonts w:hint="eastAsia" w:ascii="宋体" w:hAnsi="宋体" w:eastAsia="宋体" w:cs="宋体"/>
          <w:color w:val="auto"/>
          <w:sz w:val="28"/>
          <w:szCs w:val="28"/>
          <w:highlight w:val="none"/>
          <w:lang w:val="en-US" w:eastAsia="zh-CN"/>
        </w:rPr>
        <w:t xml:space="preserve">  </w:t>
      </w:r>
      <w:r>
        <w:rPr>
          <w:rFonts w:hint="eastAsia"/>
          <w:color w:val="auto"/>
          <w:sz w:val="21"/>
          <w:szCs w:val="21"/>
          <w:highlight w:val="none"/>
          <w:lang w:val="en-US" w:eastAsia="zh-CN"/>
        </w:rPr>
        <w:t xml:space="preserve">  </w:t>
      </w:r>
      <w:r/>
    </w:p>
    <w:tbl>
      <w:tblPr>
        <w:tblStyle w:val="982"/>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90"/>
        <w:gridCol w:w="2120"/>
        <w:gridCol w:w="675"/>
        <w:gridCol w:w="675"/>
        <w:gridCol w:w="2489"/>
      </w:tblGrid>
      <w:tr>
        <w:trPr>
          <w:trHeight w:val="454" w:hRule="exact"/>
          <w:tblHeader/>
        </w:trPr>
        <w:tc>
          <w:tcPr>
            <w:tcW w:w="2890"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名称</w:t>
            </w:r>
            <w:r/>
          </w:p>
        </w:tc>
        <w:tc>
          <w:tcPr>
            <w:tcW w:w="2120"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规格/型号</w:t>
            </w:r>
            <w:r/>
          </w:p>
        </w:tc>
        <w:tc>
          <w:tcPr>
            <w:tcW w:w="675"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单位</w:t>
            </w:r>
            <w:r/>
          </w:p>
        </w:tc>
        <w:tc>
          <w:tcPr>
            <w:tcW w:w="675"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数量</w:t>
            </w:r>
            <w:r/>
          </w:p>
        </w:tc>
        <w:tc>
          <w:tcPr>
            <w:tcW w:w="2489"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备注</w:t>
            </w:r>
            <w:r/>
          </w:p>
        </w:tc>
      </w:tr>
      <w:tr>
        <w:trPr>
          <w:trHeight w:val="454" w:hRule="exact"/>
        </w:trPr>
        <w:tc>
          <w:tcPr>
            <w:shd w:val="clear" w:color="auto" w:fill="auto"/>
            <w:tcW w:w="2890"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983"/>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3"/>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983"/>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3"/>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983"/>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X</w:t>
            </w:r>
            <w:r/>
          </w:p>
        </w:tc>
      </w:tr>
    </w:tbl>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医疗设备采购廉洁购销协议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为进一步加强医疗卫生行风建设，规范医疗卫生机构</w:t>
      </w:r>
      <w:r>
        <w:rPr>
          <w:rFonts w:hint="eastAsia" w:ascii="宋体" w:hAnsi="宋体" w:eastAsia="宋体" w:cs="宋体"/>
          <w:color w:val="auto"/>
          <w:sz w:val="21"/>
          <w:szCs w:val="21"/>
          <w:highlight w:val="none"/>
          <w:lang w:eastAsia="zh-CN"/>
        </w:rPr>
        <w:t xml:space="preserve">医疗设备</w:t>
      </w:r>
      <w:r>
        <w:rPr>
          <w:rFonts w:hint="eastAsia" w:ascii="宋体" w:hAnsi="宋体" w:eastAsia="宋体" w:cs="宋体"/>
          <w:color w:val="auto"/>
          <w:sz w:val="21"/>
          <w:szCs w:val="21"/>
          <w:highlight w:val="none"/>
        </w:rPr>
        <w:t xml:space="preserve">购销行为，有效防范商业贿赂行为，营造公平交易、诚实守信的购销环境，经甲、乙双方协商，共同遵守</w:t>
      </w:r>
      <w:r>
        <w:rPr>
          <w:rFonts w:hint="eastAsia" w:ascii="宋体" w:hAnsi="宋体" w:eastAsia="宋体" w:cs="宋体"/>
          <w:color w:val="auto"/>
          <w:sz w:val="21"/>
          <w:szCs w:val="21"/>
          <w:highlight w:val="none"/>
          <w:lang w:eastAsia="zh-CN"/>
        </w:rPr>
        <w:t xml:space="preserve">以下协议</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甲乙双方按照</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及医药产品购销合同约定购销药品、医用设备、医用耗材等医药产品。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甲方应当严格执行医药产品购销合同验收、入库制度，对采购医药产品及发票进行查验，不得违反有关规定合同外采购、违价采购或从非规定渠道采购。</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严禁甲方工作人员利用任何途径和方式，为乙方统计医师个人及临床科室有关医药产品用量信息，或为乙方统计提供便利。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乙方不得以回扣、宴请等方式影响甲方工作人员采购或使用医药产品的选择权，不得在学术活动中提供旅游、超标准支付食宿费用。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乙方指定</w:t>
      </w:r>
      <w:r>
        <w:rPr>
          <w:rFonts w:hint="eastAsia" w:ascii="宋体" w:hAnsi="宋体" w:eastAsia="宋体" w:cs="宋体"/>
          <w:color w:val="auto"/>
          <w:sz w:val="21"/>
          <w:szCs w:val="21"/>
          <w:highlight w:val="none"/>
          <w:lang w:eastAsia="zh-CN"/>
        </w:rPr>
        <w:t xml:space="preserve">业务代表</w:t>
      </w:r>
      <w:r>
        <w:rPr>
          <w:rFonts w:hint="eastAsia" w:ascii="宋体" w:hAnsi="宋体" w:eastAsia="宋体" w:cs="宋体"/>
          <w:color w:val="auto"/>
          <w:sz w:val="21"/>
          <w:szCs w:val="21"/>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乙方如违反本</w:t>
      </w:r>
      <w:r>
        <w:rPr>
          <w:rFonts w:hint="eastAsia" w:ascii="宋体" w:hAnsi="宋体" w:eastAsia="宋体" w:cs="宋体"/>
          <w:color w:val="auto"/>
          <w:sz w:val="21"/>
          <w:szCs w:val="21"/>
          <w:highlight w:val="none"/>
          <w:lang w:eastAsia="zh-CN"/>
        </w:rPr>
        <w:t xml:space="preserve">协议</w:t>
      </w:r>
      <w:r>
        <w:rPr>
          <w:rFonts w:hint="eastAsia" w:ascii="宋体" w:hAnsi="宋体" w:eastAsia="宋体" w:cs="宋体"/>
          <w:color w:val="auto"/>
          <w:sz w:val="21"/>
          <w:szCs w:val="21"/>
          <w:highlight w:val="none"/>
        </w:rPr>
        <w:t xml:space="preserve">，一经发现，甲方有权终止</w:t>
      </w:r>
      <w:r>
        <w:rPr>
          <w:rFonts w:hint="eastAsia" w:ascii="宋体" w:hAnsi="宋体" w:cs="宋体"/>
          <w:color w:val="auto"/>
          <w:sz w:val="21"/>
          <w:szCs w:val="21"/>
          <w:highlight w:val="none"/>
          <w:lang w:val="en-US" w:eastAsia="zh-CN"/>
        </w:rPr>
        <w:t xml:space="preserve">购销</w:t>
      </w:r>
      <w:r>
        <w:rPr>
          <w:rFonts w:hint="eastAsia" w:ascii="宋体" w:hAnsi="宋体" w:eastAsia="宋体" w:cs="宋体"/>
          <w:color w:val="auto"/>
          <w:sz w:val="21"/>
          <w:szCs w:val="21"/>
          <w:highlight w:val="none"/>
        </w:rPr>
        <w:t xml:space="preserve">合同，并向有关卫生计生行政部门报告。如乙方被列入商业贿赂不良记录，则严格按照《国家卫生计生委关于建立医药购销领域商业贿赂不良记录的规定》（国卫法制发〔2013〕50号）相关规定处理。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eastAsia="zh-CN"/>
        </w:rPr>
        <w:t xml:space="preserve">协议</w:t>
      </w:r>
      <w:r>
        <w:rPr>
          <w:rFonts w:hint="eastAsia" w:ascii="宋体" w:hAnsi="宋体" w:eastAsia="宋体" w:cs="宋体"/>
          <w:color w:val="auto"/>
          <w:sz w:val="21"/>
          <w:szCs w:val="21"/>
          <w:highlight w:val="none"/>
        </w:rPr>
        <w:t xml:space="preserve">作为</w:t>
      </w:r>
      <w:r>
        <w:rPr>
          <w:rFonts w:hint="eastAsia" w:ascii="宋体" w:hAnsi="宋体" w:eastAsia="宋体" w:cs="宋体"/>
          <w:color w:val="auto"/>
          <w:sz w:val="21"/>
          <w:szCs w:val="21"/>
          <w:highlight w:val="none"/>
          <w:lang w:eastAsia="zh-CN"/>
        </w:rPr>
        <w:t xml:space="preserve">医疗设备采购</w:t>
      </w:r>
      <w:r>
        <w:rPr>
          <w:rFonts w:hint="eastAsia" w:ascii="宋体" w:hAnsi="宋体" w:eastAsia="宋体" w:cs="宋体"/>
          <w:color w:val="auto"/>
          <w:sz w:val="21"/>
          <w:szCs w:val="21"/>
          <w:highlight w:val="none"/>
        </w:rPr>
        <w:t xml:space="preserve">合同的重要组成部分，与</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合同一并执行，具有同等的法律效力。</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1"/>
          <w:szCs w:val="21"/>
          <w:highlight w:val="none"/>
          <w:lang w:val="en-US" w:eastAsia="zh-CN"/>
        </w:rPr>
        <w:t xml:space="preserve">9.甲乙双方均需严格遵守以上协议</w:t>
      </w:r>
      <w:r>
        <w:rPr>
          <w:rFonts w:hint="eastAsia" w:ascii="宋体" w:hAnsi="宋体" w:eastAsia="宋体" w:cs="宋体"/>
          <w:color w:val="auto"/>
          <w:sz w:val="21"/>
          <w:szCs w:val="21"/>
          <w:highlight w:val="none"/>
        </w:rPr>
        <w:t xml:space="preserve">并从签订之日起生效。</w:t>
      </w:r>
      <w:r/>
    </w:p>
    <w:p>
      <w:pPr>
        <w:pStyle w:val="944"/>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Start w:id="114" w:name="_Toc22763"/>
      <w:r>
        <w:rPr>
          <w:rFonts w:hint="eastAsia" w:ascii="黑体" w:hAnsi="黑体" w:eastAsia="黑体" w:cs="黑体"/>
          <w:color w:val="auto"/>
          <w:sz w:val="32"/>
          <w:szCs w:val="32"/>
          <w:highlight w:val="none"/>
        </w:rPr>
        <w:t xml:space="preserve">第四章  项目需求</w:t>
      </w:r>
      <w:bookmarkEnd w:id="114"/>
      <w:r/>
      <w:r/>
    </w:p>
    <w:p>
      <w:pPr>
        <w:pStyle w:val="975"/>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一、配置需求</w:t>
      </w:r>
      <w:r/>
    </w:p>
    <w:tbl>
      <w:tblPr>
        <w:tblStyle w:val="731"/>
        <w:tblW w:w="7673" w:type="dxa"/>
        <w:jc w:val="center"/>
        <w:tblLayout w:type="autofit"/>
        <w:tblCellMar>
          <w:left w:w="108" w:type="dxa"/>
          <w:top w:w="0" w:type="dxa"/>
          <w:right w:w="108" w:type="dxa"/>
          <w:bottom w:w="0" w:type="dxa"/>
        </w:tblCellMar>
        <w:tblLook w:val="04A0" w:firstRow="1" w:lastRow="0" w:firstColumn="1" w:lastColumn="0" w:noHBand="0" w:noVBand="1"/>
      </w:tblPr>
      <w:tblGrid>
        <w:gridCol w:w="773"/>
        <w:gridCol w:w="4906"/>
        <w:gridCol w:w="997"/>
        <w:gridCol w:w="997"/>
      </w:tblGrid>
      <w:tr>
        <w:trPr>
          <w:jc w:val="center"/>
          <w:trHeight w:val="386"/>
        </w:trPr>
        <w:tc>
          <w:tcPr>
            <w:tcBorders>
              <w:top w:val="single" w:color="000000" w:sz="4" w:space="0"/>
              <w:left w:val="single" w:color="000000" w:sz="4" w:space="0"/>
              <w:bottom w:val="single" w:color="000000" w:sz="4" w:space="0"/>
              <w:right w:val="single" w:color="000000" w:sz="4" w:space="0"/>
            </w:tcBorders>
            <w:tcMar>
              <w:left w:w="105" w:type="dxa"/>
              <w:right w:w="105" w:type="dxa"/>
            </w:tcMar>
            <w:tcW w:w="773"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4906"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 xml:space="preserve">配置名称</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备注</w:t>
            </w:r>
            <w:r/>
          </w:p>
        </w:tc>
      </w:tr>
      <w:tr>
        <w:trPr>
          <w:jc w:val="center"/>
          <w:trHeight w:val="371"/>
        </w:trPr>
        <w:tc>
          <w:tcPr>
            <w:tcBorders>
              <w:top w:val="none" w:color="000000" w:sz="4" w:space="0"/>
              <w:left w:val="single" w:color="000000" w:sz="4" w:space="0"/>
              <w:bottom w:val="single" w:color="000000" w:sz="4" w:space="0"/>
              <w:right w:val="single" w:color="000000" w:sz="4" w:space="0"/>
            </w:tcBorders>
            <w:tcMar>
              <w:left w:w="105" w:type="dxa"/>
              <w:right w:w="105" w:type="dxa"/>
            </w:tcMar>
            <w:tcW w:w="773"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4906"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C臂机</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1台</w:t>
            </w:r>
            <w:r/>
          </w:p>
        </w:tc>
        <w:tc>
          <w:tcPr>
            <w:tcBorders>
              <w:top w:val="singl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430"/>
        </w:trPr>
        <w:tc>
          <w:tcPr>
            <w:tcBorders>
              <w:top w:val="none" w:color="000000" w:sz="4" w:space="0"/>
              <w:left w:val="single" w:color="000000" w:sz="4" w:space="0"/>
              <w:bottom w:val="single" w:color="000000" w:sz="4" w:space="0"/>
              <w:right w:val="single" w:color="000000" w:sz="4" w:space="0"/>
            </w:tcBorders>
            <w:tcMar>
              <w:left w:w="105" w:type="dxa"/>
              <w:right w:w="105" w:type="dxa"/>
            </w:tcMar>
            <w:tcW w:w="773" w:type="dxa"/>
            <w:vAlign w:val="center"/>
            <w:textDirection w:val="lrTb"/>
            <w:noWrap w:val="false"/>
          </w:tcPr>
          <w:p>
            <w:pPr>
              <w:pStyle w:val="996"/>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4906"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铅衣</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6套</w:t>
            </w:r>
            <w:r/>
          </w:p>
        </w:tc>
        <w:tc>
          <w:tcPr>
            <w:tcBorders>
              <w:top w:val="none" w:color="000000" w:sz="4" w:space="0"/>
              <w:left w:val="single" w:color="000000" w:sz="4" w:space="0"/>
              <w:right w:val="single" w:color="000000" w:sz="4" w:space="0"/>
            </w:tcBorders>
            <w:tcMar>
              <w:left w:w="105" w:type="dxa"/>
              <w:right w:w="105" w:type="dxa"/>
            </w:tcMar>
            <w:tcW w:w="997" w:type="dxa"/>
            <w:vAlign w:val="center"/>
            <w:vMerge w:val="restart"/>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配套防护物品</w:t>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773" w:type="dxa"/>
            <w:vAlign w:val="center"/>
            <w:textDirection w:val="lrTb"/>
            <w:noWrap w:val="false"/>
          </w:tcPr>
          <w:p>
            <w:pPr>
              <w:pStyle w:val="996"/>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4906"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铅围脖</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6副</w:t>
            </w:r>
            <w:r/>
          </w:p>
        </w:tc>
        <w:tc>
          <w:tcPr>
            <w:tcBorders>
              <w:left w:val="single" w:color="000000" w:sz="4" w:space="0"/>
              <w:right w:val="single" w:color="000000" w:sz="4" w:space="0"/>
            </w:tcBorders>
            <w:tcMar>
              <w:left w:w="105" w:type="dxa"/>
              <w:right w:w="105" w:type="dxa"/>
            </w:tcMar>
            <w:tcW w:w="997" w:type="dxa"/>
            <w:vAlign w:val="center"/>
            <w:vMerge w:val="continue"/>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773" w:type="dxa"/>
            <w:vAlign w:val="center"/>
            <w:textDirection w:val="lrTb"/>
            <w:noWrap w:val="false"/>
          </w:tcPr>
          <w:p>
            <w:pPr>
              <w:pStyle w:val="996"/>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4906"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手术床铅围帘</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1套</w:t>
            </w:r>
            <w:r/>
          </w:p>
        </w:tc>
        <w:tc>
          <w:tcPr>
            <w:tcBorders>
              <w:left w:val="single" w:color="000000" w:sz="4" w:space="0"/>
              <w:bottom w:val="single" w:color="000000" w:sz="4" w:space="0"/>
              <w:right w:val="single" w:color="000000" w:sz="4" w:space="0"/>
            </w:tcBorders>
            <w:tcMar>
              <w:left w:w="105" w:type="dxa"/>
              <w:right w:w="105" w:type="dxa"/>
            </w:tcMar>
            <w:tcW w:w="997" w:type="dxa"/>
            <w:vAlign w:val="center"/>
            <w:vMerge w:val="continue"/>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r>
        <w:trPr>
          <w:jc w:val="center"/>
          <w:trHeight w:val="386"/>
        </w:trPr>
        <w:tc>
          <w:tcPr>
            <w:tcBorders>
              <w:top w:val="none" w:color="000000" w:sz="4" w:space="0"/>
              <w:left w:val="single" w:color="000000" w:sz="4" w:space="0"/>
              <w:bottom w:val="single" w:color="000000" w:sz="4" w:space="0"/>
              <w:right w:val="single" w:color="000000" w:sz="4" w:space="0"/>
            </w:tcBorders>
            <w:tcMar>
              <w:left w:w="105" w:type="dxa"/>
              <w:right w:w="105" w:type="dxa"/>
            </w:tcMar>
            <w:tcW w:w="773"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4906"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电动手术床</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1张</w:t>
            </w:r>
            <w:r/>
          </w:p>
        </w:tc>
        <w:tc>
          <w:tcPr>
            <w:tcBorders>
              <w:top w:val="none" w:color="000000" w:sz="4" w:space="0"/>
              <w:left w:val="single" w:color="000000" w:sz="4" w:space="0"/>
              <w:bottom w:val="single" w:color="000000" w:sz="4" w:space="0"/>
              <w:right w:val="single" w:color="000000" w:sz="4" w:space="0"/>
            </w:tcBorders>
            <w:tcMar>
              <w:left w:w="105" w:type="dxa"/>
              <w:right w:w="105" w:type="dxa"/>
            </w:tcMar>
            <w:tcW w:w="997" w:type="dxa"/>
            <w:vAlign w:val="center"/>
            <w:textDirection w:val="lrTb"/>
            <w:noWrap w:val="false"/>
          </w:tcPr>
          <w:p>
            <w:pPr>
              <w:pStyle w:val="996"/>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tc>
      </w:tr>
    </w:tbl>
    <w:p>
      <w:pPr>
        <w:pStyle w:val="975"/>
        <w:numPr>
          <w:ilvl w:val="0"/>
          <w:numId w:val="1"/>
        </w:numPr>
        <w:ind w:firstLine="422"/>
        <w:keepLines w:val="0"/>
        <w:keepNext w:val="0"/>
        <w:pageBreakBefore w:val="0"/>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技术参数（包含硬件及配套软件技术参数）</w:t>
      </w:r>
      <w:r/>
    </w:p>
    <w:tbl>
      <w:tblPr>
        <w:tblStyle w:val="731"/>
        <w:tblW w:w="8881" w:type="dxa"/>
        <w:tblInd w:w="1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6"/>
        <w:gridCol w:w="2647"/>
        <w:gridCol w:w="5318"/>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外观</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一体式或分体式</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C型臂架构</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垂直升降</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≥420mm</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沿轨道旋转</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轴向旋转</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平板探测器到焦点距离</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≥100cm</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C臂开口径</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≥80mm</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X线发生器</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最大功率</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kW</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透视最大电流</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≥40mA</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最大脉冲频率</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≥12帧/秒</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最小脉冲频率</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≤1帧/秒</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球管类型</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旋转或固定阳极</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球管大焦点</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球管小焦点</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≤0.6mm</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阳极热容量</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≥75KHU</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阳极散热率</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≥40KHU/min</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球管热容量</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both"/>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≥1000KHU</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球管转速</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旋转阳极≥8000转/分钟，固定阳极非旋转</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平板探测器</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平板探测器材质</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晶体硅CMOS</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平板成像大小</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≥30cm*30cm</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图像采集矩阵</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≥1900×1900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图像采集灰阶</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≥16bit</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准直器及滤线栅</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具备矩形准直器、狭缝准直器等</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滤线栅栅比</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10:1或者15:1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滤线栅密度</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≥70线/厘米</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监视器</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医用监视器</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≥19英寸医用监视器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最大分辨率</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≥1280×1024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最大亮度</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≥600cd/m2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可视角度</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数字图像处理</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图像翻转功能</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边缘增强功能</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窗位调整功能</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动态降噪功能</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去除运动伪影功能</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金属修正功能</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图像资料存储系统</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ff0000"/>
                <w:sz w:val="21"/>
                <w:szCs w:val="21"/>
                <w:u w:val="none"/>
                <w:lang w:val="en-US" w:eastAsia="zh-CN" w:bidi="ar"/>
              </w:rPr>
              <w:t xml:space="preserve">存储</w:t>
            </w:r>
            <w:r>
              <w:rPr>
                <w:rFonts w:hint="eastAsia" w:ascii="宋体" w:hAnsi="宋体" w:eastAsia="宋体" w:cs="宋体"/>
                <w:i w:val="0"/>
                <w:iCs w:val="0"/>
                <w:color w:val="000000"/>
                <w:sz w:val="21"/>
                <w:szCs w:val="21"/>
                <w:u w:val="none"/>
                <w:lang w:val="en-US" w:eastAsia="zh-CN" w:bidi="ar"/>
              </w:rPr>
              <w:t xml:space="preserve">图像</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内置工作站硬盘存储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容量</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≥200000幅</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防护装置</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铅衣</w:t>
            </w:r>
            <w:r>
              <w:rPr>
                <w:rFonts w:hint="eastAsia" w:ascii="宋体" w:hAnsi="宋体" w:cs="宋体"/>
                <w:i w:val="0"/>
                <w:iCs w:val="0"/>
                <w:color w:val="000000"/>
                <w:sz w:val="21"/>
                <w:szCs w:val="21"/>
                <w:u w:val="none"/>
                <w:lang w:val="en-US" w:eastAsia="zh-CN" w:bidi="ar"/>
              </w:rPr>
              <w:t xml:space="preserve">（无铅）</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铅当量前副≥0.5mmPb，后副≥0.5mmPb，一体式6套</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铅围脖</w:t>
            </w:r>
            <w:r>
              <w:rPr>
                <w:rFonts w:hint="eastAsia" w:ascii="宋体" w:hAnsi="宋体" w:cs="宋体"/>
                <w:i w:val="0"/>
                <w:iCs w:val="0"/>
                <w:color w:val="000000"/>
                <w:sz w:val="21"/>
                <w:szCs w:val="21"/>
                <w:u w:val="none"/>
                <w:lang w:val="en-US" w:eastAsia="zh-CN" w:bidi="ar"/>
              </w:rPr>
              <w:t xml:space="preserve">（无铅）</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铅当量≥0.5mmPb，400×80mm</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手术床铅围帘</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铅当量≥2mmPb，悬挂式</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电动手术床</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床面</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碳纤维等高透X线材料</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结构</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偏心柱结构</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纵向平移</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≥300mm</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左右倾斜</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承重</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≥180千克</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长度</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2024-2100mm</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宽度</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480-535mm</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720-1030mm</w:t>
            </w:r>
            <w:r/>
          </w:p>
        </w:tc>
      </w:tr>
    </w:tbl>
    <w:p>
      <w:pPr>
        <w:pStyle w:val="975"/>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 xml:space="preserve">三、供货要求</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要求提供生产日期6个月以内的产品，采购人有权对成交供应商所供货物进行验收，成交供应商需按采购人要求根据采购文件及成交供应商响应文件准备好相关产品，验收合格后方可进行安装，如验收不合格，不合格产品作退场处理，因此造成的一切责任及损失由成交供应商自行负责。</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需保证所供设备全新、型号最新、保持完好的原包装，系新机，不可为翻新机，符合国家法律法规的规定，其质量技术满足中国国家标准或国际相关行业标准。</w:t>
      </w:r>
      <w:r/>
    </w:p>
    <w:p>
      <w:pPr>
        <w:pStyle w:val="975"/>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、质保要求</w:t>
      </w:r>
      <w:r/>
    </w:p>
    <w:p>
      <w:pPr>
        <w:pStyle w:val="975"/>
        <w:ind w:firstLine="422"/>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免费质保期≥</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年</w:t>
      </w:r>
      <w:r>
        <w:rPr>
          <w:rFonts w:hint="eastAsia" w:ascii="宋体" w:hAnsi="宋体" w:cs="宋体"/>
          <w:b/>
          <w:bCs/>
          <w:color w:val="auto"/>
          <w:szCs w:val="21"/>
          <w:highlight w:val="none"/>
          <w:lang w:eastAsia="zh-CN"/>
        </w:rPr>
        <w:t xml:space="preserve">。</w:t>
      </w:r>
      <w:r>
        <w:rPr>
          <w:rFonts w:hint="eastAsia" w:ascii="宋体" w:hAnsi="宋体" w:cs="宋体"/>
          <w:b w:val="0"/>
          <w:bCs w:val="0"/>
          <w:color w:val="auto"/>
          <w:szCs w:val="21"/>
          <w:highlight w:val="none"/>
        </w:rPr>
        <w:t xml:space="preserve"> </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w:t>
      </w:r>
      <w:r>
        <w:rPr>
          <w:rFonts w:hint="eastAsia" w:ascii="宋体" w:hAnsi="宋体" w:cs="宋体"/>
          <w:b w:val="0"/>
          <w:bCs w:val="0"/>
          <w:color w:val="auto"/>
          <w:szCs w:val="21"/>
          <w:highlight w:val="none"/>
        </w:rPr>
        <w:t xml:space="preserve">.保修范围为全保，含所需配件、所有损耗品、人工费、维修人员差旅费，终身维护，每年免费对该设备进行预防性维护保养二次并出具厂家保养报告，以上材料成交供应商提供由原厂出具的售后服务承诺函。因设备配置或制造质量问题而引起的故障，</w:t>
      </w:r>
      <w:r>
        <w:rPr>
          <w:rFonts w:hint="eastAsia" w:ascii="宋体" w:hAnsi="宋体" w:cs="宋体"/>
          <w:b w:val="0"/>
          <w:bCs w:val="0"/>
          <w:color w:val="auto"/>
          <w:szCs w:val="21"/>
          <w:highlight w:val="none"/>
          <w:lang w:val="en-US" w:eastAsia="zh-CN"/>
        </w:rPr>
        <w:t xml:space="preserve">供应商</w:t>
      </w:r>
      <w:r>
        <w:rPr>
          <w:rFonts w:hint="eastAsia" w:ascii="宋体" w:hAnsi="宋体" w:cs="宋体"/>
          <w:b w:val="0"/>
          <w:bCs w:val="0"/>
          <w:color w:val="auto"/>
          <w:szCs w:val="21"/>
          <w:highlight w:val="none"/>
        </w:rPr>
        <w:t xml:space="preserve">应在24小时内立即予以免费维修或更换，由此引起的一切费用由</w:t>
      </w:r>
      <w:r>
        <w:rPr>
          <w:rFonts w:hint="eastAsia" w:ascii="宋体" w:hAnsi="宋体" w:cs="宋体"/>
          <w:b w:val="0"/>
          <w:bCs w:val="0"/>
          <w:color w:val="auto"/>
          <w:szCs w:val="21"/>
          <w:highlight w:val="none"/>
          <w:lang w:val="en-US" w:eastAsia="zh-CN"/>
        </w:rPr>
        <w:t xml:space="preserve">供应商</w:t>
      </w:r>
      <w:r>
        <w:rPr>
          <w:rFonts w:hint="eastAsia" w:ascii="宋体" w:hAnsi="宋体" w:cs="宋体"/>
          <w:b w:val="0"/>
          <w:bCs w:val="0"/>
          <w:color w:val="auto"/>
          <w:szCs w:val="21"/>
          <w:highlight w:val="none"/>
        </w:rPr>
        <w:t xml:space="preserve">承担。</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rPr>
        <w:t xml:space="preserve">.质保期内出现产品质量问题，在收到采购人通知后12小时内响应，24小时内到达问题现场，与</w:t>
      </w:r>
      <w:r>
        <w:rPr>
          <w:rFonts w:hint="eastAsia" w:ascii="宋体" w:hAnsi="宋体" w:cs="宋体"/>
          <w:b w:val="0"/>
          <w:bCs w:val="0"/>
          <w:color w:val="auto"/>
          <w:szCs w:val="21"/>
          <w:highlight w:val="none"/>
          <w:lang w:val="en-US" w:eastAsia="zh-CN"/>
        </w:rPr>
        <w:t xml:space="preserve">采购人</w:t>
      </w:r>
      <w:r>
        <w:rPr>
          <w:rFonts w:hint="eastAsia" w:ascii="宋体" w:hAnsi="宋体" w:cs="宋体"/>
          <w:b w:val="0"/>
          <w:bCs w:val="0"/>
          <w:color w:val="auto"/>
          <w:szCs w:val="21"/>
          <w:highlight w:val="none"/>
        </w:rPr>
        <w:t xml:space="preserve">协商并及时解决；24小时没有答复或72小时内没有解决问题的，视为承认质量问题，采购人可委托其他人维修且维修费用由成交供应商承担；质保期内设备经二次维修仍出现故障的，应无条件更换同样型号品牌的新产品。</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.技术支持响应时间，一般问题 2小时内电话支持，难点、重点问题1天内现场解决。除本文件规定服务要求外，供应商所能承诺的售后服务应详细说明，同时负责免费向采购人提供设备维修或操作人员的培训。报修响应时间为路程正常时间加3小时。</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w:t>
      </w:r>
      <w:r>
        <w:rPr>
          <w:rFonts w:hint="eastAsia" w:ascii="宋体" w:hAnsi="宋体" w:cs="宋体"/>
          <w:b w:val="0"/>
          <w:bCs w:val="0"/>
          <w:color w:val="auto"/>
          <w:szCs w:val="21"/>
          <w:highlight w:val="none"/>
        </w:rPr>
        <w:t xml:space="preserve">.质保期外出现产品质量问题，在收到采购人通知后，应派员到问题现场，与采购人协商并及时解决，并酌情收取材料成本费和适当的维修费，采购人可提供协助工作。</w:t>
      </w:r>
      <w:r/>
    </w:p>
    <w:p>
      <w:pPr>
        <w:pStyle w:val="975"/>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、验收标准</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1.成交供应商按照本文件的有关规定提供合格产品，负责安装和调试，同时必须满足文件中所列出的全部规格、型号、具体配置、技术条件、材料工艺以及供应商承诺的其他指标；</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2.项目验收包括：数量、外观、质量、性能以及采购清单中列出的所有参数，供应商对质量问题负责包退、包换和包修，因此产生的费用以及对采购人财产和服务期延误造成的损失由成交供应商承担。</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3.交货过程中如发现不符合本文件所规定产品，供应商无条件退换。</w:t>
      </w:r>
      <w:r/>
    </w:p>
    <w:p>
      <w:pPr>
        <w:pStyle w:val="975"/>
        <w:ind w:firstLine="420"/>
        <w:keepLines w:val="0"/>
        <w:keepNext w:val="0"/>
        <w:pageBreakBefore w:val="0"/>
        <w:spacing w:line="360" w:lineRule="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4.验收时须向买方免费提供全套资料，含说明书，合格证、出厂计量合格证（必要时）、操作手册、维修手册（含详细电路图）、海关报关单（必要时）、商检合格证明（必要时）等相关材料。</w:t>
      </w:r>
      <w:r/>
    </w:p>
    <w:p>
      <w:pPr>
        <w:pStyle w:val="975"/>
        <w:ind w:firstLine="422"/>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商务要求</w:t>
      </w:r>
      <w:r/>
    </w:p>
    <w:p>
      <w:pPr>
        <w:pStyle w:val="975"/>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1.本次招标采用项目总承包方式，磋商报价包括为实施委托项目约定范围内所需的全部费用。供应商要认真阅读</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及各类规范政策，慎重报价，采购人不再支付其他任何费用，如有漏项采购人视同优惠。</w:t>
      </w:r>
      <w:r/>
    </w:p>
    <w:p>
      <w:pPr>
        <w:pStyle w:val="975"/>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2.合同履行期限：合同签署后，</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0日内完成供货和安装。</w:t>
      </w:r>
      <w:r/>
    </w:p>
    <w:p>
      <w:pPr>
        <w:pStyle w:val="975"/>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3.本次投标设最高限价为</w:t>
      </w:r>
      <w:r>
        <w:rPr>
          <w:rFonts w:hint="eastAsia" w:ascii="宋体" w:hAnsi="宋体" w:cs="宋体"/>
          <w:b/>
          <w:bCs/>
          <w:color w:val="auto"/>
          <w:szCs w:val="21"/>
          <w:highlight w:val="none"/>
          <w:u w:val="single"/>
          <w:lang w:val="en-US" w:eastAsia="zh-CN"/>
        </w:rPr>
        <w:t xml:space="preserve">20</w:t>
      </w:r>
      <w:r>
        <w:rPr>
          <w:rFonts w:hint="eastAsia" w:ascii="宋体" w:hAnsi="宋体" w:cs="宋体"/>
          <w:b/>
          <w:bCs/>
          <w:color w:val="auto"/>
          <w:szCs w:val="21"/>
          <w:highlight w:val="none"/>
          <w:u w:val="single"/>
        </w:rPr>
        <w:t xml:space="preserve">0</w:t>
      </w:r>
      <w:r>
        <w:rPr>
          <w:rFonts w:hint="eastAsia" w:ascii="宋体" w:hAnsi="宋体" w:cs="宋体"/>
          <w:color w:val="auto"/>
          <w:szCs w:val="21"/>
          <w:highlight w:val="none"/>
        </w:rPr>
        <w:t xml:space="preserve">万元，各供应商的投标报价不得高于上述限价，否则视为无效响应文件处理。</w:t>
      </w:r>
      <w:r/>
    </w:p>
    <w:p>
      <w:pPr>
        <w:pStyle w:val="975"/>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4.合同形式：固定</w:t>
      </w:r>
      <w:r>
        <w:rPr>
          <w:rFonts w:hint="eastAsia" w:ascii="宋体" w:hAnsi="宋体" w:cs="宋体"/>
          <w:color w:val="auto"/>
          <w:szCs w:val="21"/>
          <w:highlight w:val="none"/>
          <w:lang w:val="en-US" w:eastAsia="zh-CN"/>
        </w:rPr>
        <w:t xml:space="preserve">总</w:t>
      </w:r>
      <w:r>
        <w:rPr>
          <w:rFonts w:hint="eastAsia" w:ascii="宋体" w:hAnsi="宋体" w:cs="宋体"/>
          <w:color w:val="auto"/>
          <w:szCs w:val="21"/>
          <w:highlight w:val="none"/>
        </w:rPr>
        <w:t xml:space="preserve">价合同。</w:t>
      </w:r>
      <w:r/>
    </w:p>
    <w:p>
      <w:pPr>
        <w:pStyle w:val="975"/>
        <w:ind w:firstLine="420"/>
        <w:keepLines w:val="0"/>
        <w:keepNext w:val="0"/>
        <w:pageBreakBefore w:val="0"/>
        <w:spacing w:line="360" w:lineRule="auto"/>
        <w:rPr>
          <w:rFonts w:hint="default" w:ascii="宋体" w:hAnsi="宋体" w:eastAsia="宋体" w:cs="宋体"/>
          <w:color w:val="ff0000"/>
          <w:spacing w:val="15"/>
          <w:szCs w:val="21"/>
          <w:highlight w:val="none"/>
          <w:lang w:val="en-US" w:eastAsia="zh-CN"/>
        </w:rPr>
      </w:pPr>
      <w:r>
        <w:rPr>
          <w:rFonts w:hint="eastAsia" w:ascii="宋体" w:hAnsi="宋体" w:cs="宋体"/>
          <w:color w:val="ff0000"/>
          <w:szCs w:val="21"/>
          <w:highlight w:val="none"/>
        </w:rPr>
        <w:t xml:space="preserve">5.付款方式：</w:t>
      </w:r>
      <w:r>
        <w:rPr>
          <w:rFonts w:hint="eastAsia" w:ascii="宋体" w:hAnsi="宋体" w:cs="宋体"/>
          <w:color w:val="ff0000"/>
          <w:sz w:val="21"/>
          <w:szCs w:val="21"/>
          <w:highlight w:val="none"/>
          <w:lang w:val="en-US" w:eastAsia="zh-CN"/>
        </w:rPr>
        <w:t xml:space="preserve">合同签订后支付合同价的40%，</w:t>
      </w:r>
      <w:r>
        <w:rPr>
          <w:rFonts w:hint="eastAsia" w:ascii="宋体" w:hAnsi="宋体" w:eastAsia="宋体" w:cs="宋体"/>
          <w:color w:val="ff0000"/>
          <w:sz w:val="21"/>
          <w:szCs w:val="21"/>
          <w:highlight w:val="none"/>
        </w:rPr>
        <w:t xml:space="preserve">货到，安装，验收合格后凭</w:t>
      </w:r>
      <w:r>
        <w:rPr>
          <w:rFonts w:hint="eastAsia" w:ascii="宋体" w:hAnsi="宋体" w:cs="宋体"/>
          <w:color w:val="ff0000"/>
          <w:sz w:val="21"/>
          <w:szCs w:val="21"/>
          <w:highlight w:val="none"/>
          <w:lang w:val="en-US" w:eastAsia="zh-CN"/>
        </w:rPr>
        <w:t xml:space="preserve">采购人</w:t>
      </w:r>
      <w:r>
        <w:rPr>
          <w:rFonts w:hint="eastAsia" w:ascii="宋体" w:hAnsi="宋体" w:eastAsia="宋体" w:cs="宋体"/>
          <w:color w:val="ff0000"/>
          <w:sz w:val="21"/>
          <w:szCs w:val="21"/>
          <w:highlight w:val="none"/>
        </w:rPr>
        <w:t xml:space="preserve">出具的验收报告按</w:t>
      </w:r>
      <w:r>
        <w:rPr>
          <w:rFonts w:hint="eastAsia" w:ascii="宋体" w:hAnsi="宋体" w:cs="宋体"/>
          <w:color w:val="ff0000"/>
          <w:sz w:val="21"/>
          <w:szCs w:val="21"/>
          <w:highlight w:val="none"/>
          <w:lang w:val="en-US" w:eastAsia="zh-CN"/>
        </w:rPr>
        <w:t xml:space="preserve">采购人的</w:t>
      </w:r>
      <w:r>
        <w:rPr>
          <w:rFonts w:hint="eastAsia" w:ascii="宋体" w:hAnsi="宋体" w:eastAsia="宋体" w:cs="宋体"/>
          <w:color w:val="ff0000"/>
          <w:sz w:val="21"/>
          <w:szCs w:val="21"/>
          <w:highlight w:val="none"/>
        </w:rPr>
        <w:t xml:space="preserve">财务流程</w:t>
      </w:r>
      <w:r>
        <w:rPr>
          <w:rFonts w:hint="eastAsia" w:ascii="宋体" w:hAnsi="宋体" w:cs="宋体"/>
          <w:color w:val="ff0000"/>
          <w:sz w:val="21"/>
          <w:szCs w:val="21"/>
          <w:highlight w:val="none"/>
          <w:lang w:val="en-US" w:eastAsia="zh-CN"/>
        </w:rPr>
        <w:t xml:space="preserve">支付尾款60%</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val="en-US" w:eastAsia="zh-CN"/>
        </w:rPr>
        <w:t xml:space="preserve"> </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6.履约保证金：本项目履约保证金为成交价的10%（供应商自主选择以电汇、转账、支票、汇票、本票、保函、保证保险等非现金形式缴纳或提交），履约保证金在合同签订前缴纳至采购人指定账号，</w:t>
      </w:r>
      <w:r>
        <w:rPr>
          <w:rFonts w:hint="eastAsia" w:ascii="宋体" w:hAnsi="宋体" w:cs="宋体"/>
          <w:color w:val="auto"/>
          <w:highlight w:val="none"/>
          <w:lang w:val="en-US" w:eastAsia="zh-CN"/>
        </w:rPr>
        <w:t xml:space="preserve">货物安装后1年且运行状态良好的情况下，采购人无息退还合同总价4%的履约保证金，质保期满后采购人无息退还剩余履约保证金。</w:t>
      </w:r>
      <w:r/>
    </w:p>
    <w:p>
      <w:pPr>
        <w:pStyle w:val="975"/>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pStyle w:val="975"/>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highlight w:val="none"/>
        </w:rPr>
        <w:sectPr>
          <w:footerReference w:type="default" r:id="rId10"/>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cs="宋体"/>
          <w:color w:val="auto"/>
          <w:highlight w:val="none"/>
        </w:rPr>
      </w:r>
      <w:r/>
    </w:p>
    <w:p>
      <w:pPr>
        <w:pStyle w:val="944"/>
        <w:jc w:val="center"/>
        <w:keepLines w:val="0"/>
        <w:keepNext w:val="0"/>
        <w:pageBreakBefore w:val="0"/>
        <w:spacing w:line="360" w:lineRule="auto"/>
        <w:widowControl w:val="off"/>
        <w:rPr>
          <w:rFonts w:hint="eastAsia" w:ascii="宋体" w:hAnsi="宋体" w:eastAsia="宋体" w:cs="宋体"/>
          <w:color w:val="auto"/>
          <w:sz w:val="32"/>
          <w:szCs w:val="32"/>
          <w:highlight w:val="none"/>
        </w:rPr>
        <w:outlineLvl w:val="9"/>
      </w:pPr>
      <w:r>
        <w:rPr>
          <w:rFonts w:hint="eastAsia" w:ascii="黑体" w:hAnsi="黑体" w:eastAsia="黑体" w:cs="黑体"/>
          <w:color w:val="auto"/>
          <w:sz w:val="32"/>
          <w:szCs w:val="32"/>
          <w:highlight w:val="none"/>
        </w:rPr>
        <w:t xml:space="preserve">第五章  评审方法和评审标准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本次采购采用百分制综合评分法，即</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在最大限度地满足</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实质性要求的基础上，按照采购文件的各项因素进行综合评审后，总分设定为100分。磋商小组遵循公平、公正、择优原则，独立按照评分标准分别评定供应商的分值；各</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的最终得分为各评委所评定分值的平均值，并按从高到低顺序排列，评审得分相同的，按照最后报价由低到高的顺序推荐；</w:t>
      </w:r>
      <w:r>
        <w:rPr>
          <w:rFonts w:hint="eastAsia" w:ascii="宋体" w:hAnsi="宋体" w:cs="宋体"/>
          <w:b/>
          <w:bCs/>
          <w:color w:val="auto"/>
          <w:highlight w:val="none"/>
        </w:rPr>
        <w:t xml:space="preserve">评审得分且最后报价相同的，按照技术指标优劣顺序推荐；技术指标得分仍相同的，通过抽签方式确定排序。</w:t>
      </w:r>
      <w:r>
        <w:rPr>
          <w:rFonts w:hint="eastAsia" w:ascii="宋体" w:hAnsi="宋体" w:cs="宋体"/>
          <w:color w:val="auto"/>
          <w:highlight w:val="none"/>
        </w:rPr>
        <w:t xml:space="preserve">因</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自身原因，在磋商期间，不能及时、完整、有效提供相关原件以供磋商小组查询，由此导致不利于响应文件的磋商后果由</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承担。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评分细则详见下表：</w:t>
      </w:r>
      <w:r/>
    </w:p>
    <w:tbl>
      <w:tblPr>
        <w:tblStyle w:val="731"/>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020"/>
        <w:gridCol w:w="795"/>
        <w:gridCol w:w="6241"/>
      </w:tblGrid>
      <w:tr>
        <w:trPr>
          <w:jc w:val="center"/>
          <w:trHeight w:val="702"/>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w:t>
            </w:r>
            <w:r/>
          </w:p>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因素</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分值</w:t>
            </w:r>
            <w:r/>
          </w:p>
        </w:tc>
        <w:tc>
          <w:tcPr>
            <w:tcW w:w="624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评分内容</w:t>
            </w:r>
            <w:r/>
          </w:p>
        </w:tc>
      </w:tr>
      <w:tr>
        <w:trPr>
          <w:jc w:val="center"/>
          <w:trHeight w:val="454"/>
        </w:trPr>
        <w:tc>
          <w:tcPr>
            <w:gridSpan w:val="4"/>
            <w:tcW w:w="8784"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一、报价评审（</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tc>
      </w:tr>
      <w:tr>
        <w:trPr>
          <w:jc w:val="center"/>
          <w:trHeight w:val="1010"/>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满足</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要求且最后报价最低的供应商的价格为磋商基准价，其价格分为满分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0分。其他供应商的价格分统一按照下列公式计算：磋商报价得分＝（磋商基准价/最后磋商报价）×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0分（保留两位小数，四舍五入）。</w:t>
            </w:r>
            <w:r/>
          </w:p>
        </w:tc>
      </w:tr>
      <w:tr>
        <w:trPr>
          <w:jc w:val="center"/>
          <w:trHeight w:val="477"/>
        </w:trPr>
        <w:tc>
          <w:tcPr>
            <w:gridSpan w:val="4"/>
            <w:tcW w:w="878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二、商务评审（</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tc>
      </w:tr>
      <w:tr>
        <w:trPr>
          <w:jc w:val="center"/>
          <w:trHeight w:val="477"/>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2.1</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业绩</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所投产品（同品牌同类型）自2022年1月1日至响应截止时间有销售业绩。每提供1份业绩合同得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分，本项最多得6分。</w:t>
            </w:r>
            <w:r/>
          </w:p>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en-US" w:eastAsia="zh-CN"/>
              </w:rPr>
              <w:t xml:space="preserve">时间</w:t>
            </w:r>
            <w:r>
              <w:rPr>
                <w:rFonts w:hint="eastAsia" w:ascii="宋体" w:hAnsi="宋体" w:cs="宋体"/>
                <w:color w:val="auto"/>
                <w:szCs w:val="21"/>
                <w:highlight w:val="none"/>
              </w:rPr>
              <w:t xml:space="preserve">以合同签订日期为准</w:t>
            </w:r>
            <w:r>
              <w:rPr>
                <w:rFonts w:hint="eastAsia" w:ascii="宋体" w:hAnsi="宋体" w:cs="宋体"/>
                <w:color w:val="auto"/>
                <w:szCs w:val="21"/>
                <w:highlight w:val="none"/>
                <w:lang w:val="en-US" w:eastAsia="zh-CN"/>
              </w:rPr>
              <w:t xml:space="preserve">；提供合同</w:t>
            </w:r>
            <w:r>
              <w:rPr>
                <w:rFonts w:hint="eastAsia" w:ascii="宋体" w:hAnsi="宋体" w:cs="宋体"/>
                <w:color w:val="auto"/>
                <w:szCs w:val="21"/>
                <w:highlight w:val="none"/>
              </w:rPr>
              <w:t xml:space="preserve">扫描件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未提供或未按要求提供不得分。</w:t>
            </w:r>
            <w:r/>
          </w:p>
        </w:tc>
      </w:tr>
      <w:tr>
        <w:trPr>
          <w:jc w:val="center"/>
          <w:trHeight w:val="477"/>
        </w:trPr>
        <w:tc>
          <w:tcPr>
            <w:tcW w:w="72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w:t>
            </w:r>
            <w:r/>
          </w:p>
        </w:tc>
        <w:tc>
          <w:tcPr>
            <w:tcW w:w="795"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3分</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在采购文件要求的免费质保期（5年）的基础上，供应商承诺每增加1年免费质保期得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分。提供承诺书加盖公章，格式自拟。</w:t>
            </w:r>
            <w:r/>
          </w:p>
        </w:tc>
      </w:tr>
      <w:tr>
        <w:trPr>
          <w:jc w:val="center"/>
          <w:trHeight w:val="454"/>
        </w:trPr>
        <w:tc>
          <w:tcPr>
            <w:gridSpan w:val="4"/>
            <w:tcW w:w="8784"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三、技术评审（</w:t>
            </w:r>
            <w:r>
              <w:rPr>
                <w:rFonts w:hint="eastAsia" w:ascii="宋体" w:hAnsi="宋体" w:cs="宋体"/>
                <w:color w:val="auto"/>
                <w:szCs w:val="21"/>
                <w:highlight w:val="none"/>
                <w:lang w:val="en-US" w:eastAsia="zh-CN"/>
              </w:rPr>
              <w:t xml:space="preserve">61</w:t>
            </w:r>
            <w:r>
              <w:rPr>
                <w:rFonts w:hint="eastAsia" w:ascii="宋体" w:hAnsi="宋体" w:cs="宋体"/>
                <w:color w:val="auto"/>
                <w:szCs w:val="21"/>
                <w:highlight w:val="none"/>
              </w:rPr>
              <w:t xml:space="preserve">分）</w:t>
            </w:r>
            <w:r/>
          </w:p>
        </w:tc>
      </w:tr>
      <w:tr>
        <w:trPr>
          <w:jc w:val="center"/>
          <w:trHeight w:val="744"/>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outlineLvl w:val="0"/>
            </w:pPr>
            <w:r>
              <w:rPr>
                <w:rFonts w:hint="eastAsia" w:ascii="宋体" w:hAnsi="宋体"/>
                <w:color w:val="auto"/>
                <w:szCs w:val="21"/>
                <w:highlight w:val="none"/>
              </w:rPr>
              <w:t xml:space="preserve">技术参数响应</w:t>
            </w:r>
            <w:r/>
          </w:p>
        </w:tc>
        <w:tc>
          <w:tcPr>
            <w:tcW w:w="79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olor w:val="auto"/>
                <w:sz w:val="21"/>
                <w:szCs w:val="21"/>
                <w:highlight w:val="none"/>
                <w:lang w:val="en-US" w:eastAsia="zh-CN"/>
              </w:rPr>
              <w:t xml:space="preserve">41</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需求</w:t>
            </w:r>
            <w:r>
              <w:rPr>
                <w:rFonts w:hint="eastAsia" w:ascii="宋体" w:hAnsi="宋体" w:cs="宋体"/>
                <w:color w:val="auto"/>
                <w:szCs w:val="21"/>
                <w:highlight w:val="none"/>
              </w:rPr>
              <w:t xml:space="preserve">中，</w:t>
            </w:r>
            <w:r>
              <w:rPr>
                <w:rFonts w:hint="eastAsia" w:ascii="宋体" w:hAnsi="宋体" w:eastAsia="宋体" w:cs="宋体"/>
                <w:color w:val="auto"/>
                <w:szCs w:val="21"/>
                <w:highlight w:val="none"/>
                <w:lang w:val="en-US" w:eastAsia="zh-CN"/>
              </w:rPr>
              <w:t xml:space="preserve">加▲项的参数负偏离的扣3</w:t>
            </w:r>
            <w:r>
              <w:rPr>
                <w:rFonts w:hint="eastAsia" w:ascii="宋体" w:hAnsi="宋体" w:cs="宋体"/>
                <w:color w:val="auto"/>
                <w:szCs w:val="21"/>
                <w:highlight w:val="none"/>
              </w:rPr>
              <w:t xml:space="preserve">分；未加▲项的参数，有一项负偏离的扣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本项最多扣41</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上述技术参数响应须提供《</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及商务响应偏离表</w:t>
            </w:r>
            <w:r>
              <w:rPr>
                <w:rFonts w:hint="eastAsia" w:ascii="宋体" w:hAnsi="宋体" w:cs="宋体"/>
                <w:color w:val="auto"/>
                <w:szCs w:val="21"/>
                <w:highlight w:val="none"/>
              </w:rPr>
              <w:t xml:space="preserve">》及相应证明材料（包括制造商盖章的技术白皮书、Data Sheet、国家承认的第三方机构出具的检测报告、厂家公开发行的宣传彩页、音视频截图等）。供应商提供的证明材料不能证明符合技术参数要求的视为负偏离。</w:t>
            </w:r>
            <w:r/>
          </w:p>
        </w:tc>
      </w:tr>
      <w:tr>
        <w:trPr>
          <w:jc w:val="center"/>
          <w:trHeight w:val="416"/>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项目供货建设方案</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5</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根据供应商提供的供货方案、保护措施、供货周期、安装调试等各项内容的科学性、合理性、可行性进行综合评审。 </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（1）科学性、合理性、可行性强的，得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（2）科学性、合理性、可行性一般的，得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（3）科学性、合理性、可行性差的，得1分；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r>
        <w:trPr>
          <w:jc w:val="center"/>
          <w:trHeight w:val="90"/>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3.3</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质量保证措施</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5</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根据供应商提供的产品质量保证措施的科学性、合理性、可行性进行综合评审，酌情评定。 </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（1）科学性、合理性、可行性强的，得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（2）科学性、合理性、可行性一般的，得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（3）科学性、合理性、可行性差的，得1分；</w:t>
            </w:r>
            <w:r/>
          </w:p>
          <w:p>
            <w:pPr>
              <w:keepLines w:val="0"/>
              <w:keepNext w:val="0"/>
              <w:pageBreakBefore w:val="0"/>
              <w:spacing w:line="360" w:lineRule="auto"/>
              <w:widowControl w:val="off"/>
              <w:rPr>
                <w:rFonts w:hint="eastAsia" w:ascii="宋体" w:hAnsi="宋体" w:cs="宋体"/>
                <w:bCs/>
                <w:color w:val="auto"/>
                <w:szCs w:val="21"/>
                <w:highlight w:val="none"/>
                <w:lang w:val="zh-CN"/>
              </w:rPr>
            </w:pPr>
            <w:r>
              <w:rPr>
                <w:rFonts w:hint="eastAsia" w:ascii="宋体" w:hAnsi="宋体" w:cs="宋体"/>
                <w:color w:val="auto"/>
                <w:szCs w:val="21"/>
                <w:highlight w:val="none"/>
              </w:rPr>
              <w:t xml:space="preserve">（4）不提供不得分。</w:t>
            </w:r>
            <w:r/>
          </w:p>
        </w:tc>
      </w:tr>
      <w:tr>
        <w:trPr>
          <w:jc w:val="center"/>
          <w:trHeight w:val="703"/>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3.4</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售后服务方案</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5</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根据供应商提供的售后服务方案（售后服务方案包括售后服务网点、易损配件储备及易损配件价格、技术支持等内容）的完整性，可实施性进行综合评审，酌情评定。 </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（1）完整性，可实施性强的，得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（2）完整性，可实施性一般的，得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（3）完整性，可实施性差的，得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r>
        <w:trPr>
          <w:jc w:val="center"/>
          <w:trHeight w:val="703"/>
        </w:trPr>
        <w:tc>
          <w:tcPr>
            <w:tcW w:w="728"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3.5</w:t>
            </w:r>
            <w:r/>
          </w:p>
        </w:tc>
        <w:tc>
          <w:tcPr>
            <w:tcW w:w="102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olor w:val="auto"/>
                <w:szCs w:val="21"/>
                <w:highlight w:val="none"/>
              </w:rPr>
              <w:t xml:space="preserve">培训方案</w:t>
            </w:r>
            <w:r/>
          </w:p>
        </w:tc>
        <w:tc>
          <w:tcPr>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olor w:val="auto"/>
                <w:sz w:val="24"/>
                <w:highlight w:val="none"/>
                <w:lang w:val="en-US" w:eastAsia="zh-CN"/>
              </w:rPr>
              <w:t xml:space="preserve">5</w:t>
            </w:r>
            <w:r/>
          </w:p>
        </w:tc>
        <w:tc>
          <w:tcPr>
            <w:tcW w:w="6241" w:type="dxa"/>
            <w:vAlign w:val="center"/>
            <w:textDirection w:val="lrTb"/>
            <w:noWrap w:val="false"/>
          </w:tcPr>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w:t>
            </w:r>
            <w:r>
              <w:rPr>
                <w:rFonts w:hint="eastAsia" w:ascii="宋体" w:hAnsi="宋体" w:cs="宋体"/>
                <w:color w:val="auto"/>
                <w:szCs w:val="21"/>
                <w:highlight w:val="none"/>
              </w:rPr>
              <w:t xml:space="preserve">根据供应商提供的培训方案（培训方案包括：培训人员数量及资质，培训时间与次数，培训课程全面性与合理性，培训团队资质与实力，培训计划完整性与合理性等内容）的完整性、清晰性、合理性进行评审，酌情评定。 </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（1）完整性、清晰性、合理性强的，得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（2）完整性、清晰性、合理性一般的，得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（3）完整性、清晰性、合理性差的，得1分；</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（4）不提供不得分。</w:t>
            </w:r>
            <w:r/>
          </w:p>
        </w:tc>
      </w:tr>
    </w:tbl>
    <w:p>
      <w:pP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注：</w:t>
      </w:r>
      <w:r/>
    </w:p>
    <w:p>
      <w:pPr>
        <w:ind w:firstLine="420"/>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color w:val="auto"/>
          <w:highlight w:val="none"/>
        </w:rPr>
        <w:t xml:space="preserve">1.以上评分标准中每一条，各供应商均应提供相关的资料并作出相应的对比供评分评判。</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2.响应文件中如出现前后不一致时，磋商小组有权请</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澄清说明，澄清说明事项涉及评分时，该项不得分。</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承诺所提供的商务、技术、业绩资料全部真实，如有伪造，视作</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自动放弃投标及成交资格，并视作</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自愿接受相关处罚。</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4.供应商应根据国家政策调整规律进行报价，充分考虑服务期内的市场因素和成本变化状况的风险。</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.响应供应商应认真进行现场勘察工作，场地现状及限制性因素由响应供应商向采购人查询并自行勘察核实，供应商的响应行为视为已充分调查、了解、核实场地现状，并同意接受准备履约合同。</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.本办法未尽事宜，由磋商小组依据有关法规研究解决。</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44"/>
        <w:jc w:val="center"/>
        <w:keepNext w:val="0"/>
        <w:rPr>
          <w:rFonts w:hint="eastAsia" w:ascii="黑体" w:hAnsi="黑体" w:eastAsia="黑体" w:cs="黑体"/>
          <w:color w:val="auto"/>
          <w:sz w:val="32"/>
          <w:szCs w:val="32"/>
          <w:highlight w:val="none"/>
        </w:rPr>
      </w:pPr>
      <w:r/>
      <w:bookmarkStart w:id="115" w:name="_Toc29253"/>
      <w:r>
        <w:rPr>
          <w:rFonts w:hint="eastAsia" w:ascii="黑体" w:hAnsi="黑体" w:eastAsia="黑体" w:cs="黑体"/>
          <w:color w:val="auto"/>
          <w:sz w:val="32"/>
          <w:szCs w:val="32"/>
          <w:highlight w:val="none"/>
        </w:rPr>
        <w:t xml:space="preserve">第六章 响应文件的组成和格式</w:t>
      </w:r>
      <w:bookmarkEnd w:id="115"/>
      <w:r/>
      <w:r/>
    </w:p>
    <w:p>
      <w:pPr>
        <w:rPr>
          <w:rFonts w:hint="eastAsia" w:ascii="宋体" w:hAnsi="宋体" w:cs="宋体"/>
          <w:color w:val="auto"/>
          <w:highlight w:val="none"/>
        </w:rPr>
      </w:pPr>
      <w:r>
        <w:rPr>
          <w:rFonts w:hint="eastAsia" w:ascii="宋体" w:hAnsi="宋体" w:cs="宋体"/>
          <w:color w:val="auto"/>
          <w:highlight w:val="none"/>
        </w:rPr>
      </w:r>
      <w:r/>
    </w:p>
    <w:p>
      <w:pPr>
        <w:pStyle w:val="976"/>
        <w:rPr>
          <w:rFonts w:hint="eastAsia" w:hAnsi="宋体" w:eastAsia="宋体"/>
          <w:color w:val="auto"/>
          <w:highlight w:val="none"/>
        </w:rPr>
      </w:pPr>
      <w:r>
        <w:rPr>
          <w:rFonts w:hint="eastAsia" w:hAnsi="宋体" w:eastAsia="宋体"/>
          <w:color w:val="auto"/>
          <w:highlight w:val="none"/>
        </w:rPr>
      </w:r>
      <w:r/>
    </w:p>
    <w:p>
      <w:pPr>
        <w:pStyle w:val="976"/>
        <w:rPr>
          <w:rFonts w:hint="eastAsia" w:hAnsi="宋体" w:eastAsia="宋体"/>
          <w:color w:val="auto"/>
          <w:highlight w:val="none"/>
        </w:rPr>
      </w:pPr>
      <w:r>
        <w:rPr>
          <w:rFonts w:hint="eastAsia" w:hAnsi="宋体" w:eastAsia="宋体"/>
          <w:color w:val="auto"/>
          <w:highlight w:val="none"/>
        </w:rPr>
      </w:r>
      <w:r/>
    </w:p>
    <w:p>
      <w:pPr>
        <w:pStyle w:val="976"/>
        <w:rPr>
          <w:rFonts w:hint="eastAsia" w:hAnsi="宋体" w:eastAsia="宋体"/>
          <w:color w:val="auto"/>
          <w:highlight w:val="none"/>
        </w:rPr>
      </w:pPr>
      <w:r>
        <w:rPr>
          <w:rFonts w:hint="eastAsia" w:hAnsi="宋体" w:eastAsia="宋体"/>
          <w:color w:val="auto"/>
          <w:highlight w:val="none"/>
        </w:rPr>
      </w:r>
      <w:r/>
    </w:p>
    <w:p>
      <w:pPr>
        <w:pStyle w:val="976"/>
        <w:rPr>
          <w:rFonts w:hint="eastAsia" w:hAnsi="宋体" w:eastAsia="宋体"/>
          <w:color w:val="auto"/>
          <w:highlight w:val="none"/>
        </w:rPr>
      </w:pPr>
      <w:r>
        <w:rPr>
          <w:rFonts w:hint="eastAsia" w:hAnsi="宋体" w:eastAsia="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响 应 文 件</w:t>
      </w:r>
      <w:r/>
    </w:p>
    <w:p>
      <w:pPr>
        <w:pStyle w:val="968"/>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68"/>
        <w:rPr>
          <w:rFonts w:hint="eastAsia" w:ascii="宋体" w:hAnsi="宋体" w:cs="宋体"/>
          <w:color w:val="auto"/>
          <w:highlight w:val="none"/>
        </w:rPr>
      </w:pPr>
      <w:r>
        <w:rPr>
          <w:rFonts w:hint="eastAsia" w:ascii="宋体" w:hAnsi="宋体" w:cs="宋体"/>
          <w:color w:val="auto"/>
          <w:highlight w:val="none"/>
        </w:rPr>
        <w:t xml:space="preserve">项目名称：</w:t>
      </w:r>
      <w:r/>
    </w:p>
    <w:p>
      <w:pPr>
        <w:pStyle w:val="968"/>
        <w:rPr>
          <w:rFonts w:hint="eastAsia" w:ascii="宋体" w:hAnsi="宋体" w:cs="宋体"/>
          <w:color w:val="auto"/>
          <w:highlight w:val="none"/>
        </w:rPr>
      </w:pPr>
      <w:r>
        <w:rPr>
          <w:rFonts w:hint="eastAsia" w:ascii="宋体" w:hAnsi="宋体" w:cs="宋体"/>
          <w:color w:val="auto"/>
          <w:highlight w:val="none"/>
        </w:rPr>
        <w:t xml:space="preserve">项目编号： </w:t>
      </w:r>
      <w:r/>
    </w:p>
    <w:p>
      <w:pPr>
        <w:pStyle w:val="968"/>
        <w:rPr>
          <w:rFonts w:hint="eastAsia" w:ascii="宋体" w:hAnsi="宋体" w:cs="宋体"/>
          <w:color w:val="auto"/>
          <w:highlight w:val="none"/>
        </w:rPr>
      </w:pPr>
      <w:r>
        <w:rPr>
          <w:rFonts w:hint="eastAsia" w:ascii="宋体" w:hAnsi="宋体" w:cs="宋体"/>
          <w:color w:val="auto"/>
          <w:highlight w:val="none"/>
        </w:rPr>
        <w:t xml:space="preserve">供应商名称 ：（加盖CA电子公章）</w:t>
      </w:r>
      <w:r/>
    </w:p>
    <w:p>
      <w:pPr>
        <w:pStyle w:val="968"/>
        <w:rPr>
          <w:rFonts w:hint="eastAsia" w:ascii="宋体" w:hAnsi="宋体" w:cs="宋体"/>
          <w:color w:val="auto"/>
          <w:sz w:val="21"/>
          <w:highlight w:val="none"/>
        </w:rPr>
      </w:pPr>
      <w:r>
        <w:rPr>
          <w:rFonts w:hint="eastAsia" w:ascii="宋体" w:hAnsi="宋体" w:cs="宋体"/>
          <w:color w:val="auto"/>
          <w:highlight w:val="none"/>
        </w:rPr>
        <w:t xml:space="preserve">日期 ：</w:t>
      </w:r>
      <w:r/>
    </w:p>
    <w:p>
      <w:pPr>
        <w:pStyle w:val="968"/>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br w:type="page" w:clear="all"/>
      </w:r>
      <w:r/>
    </w:p>
    <w:p>
      <w:pPr>
        <w:jc w:val="both"/>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附件1</w:t>
      </w:r>
      <w:r/>
    </w:p>
    <w:p>
      <w:pPr>
        <w:jc w:val="center"/>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磋商报价表</w:t>
      </w:r>
      <w:r>
        <w:rPr>
          <w:rFonts w:hint="eastAsia" w:ascii="宋体" w:hAnsi="宋体" w:cs="宋体"/>
          <w:color w:val="auto"/>
          <w:sz w:val="32"/>
          <w:szCs w:val="32"/>
          <w:highlight w:val="none"/>
          <w:lang w:eastAsia="zh-CN"/>
        </w:rPr>
        <w:t xml:space="preserve">（</w:t>
      </w:r>
      <w:r>
        <w:rPr>
          <w:rFonts w:hint="eastAsia" w:ascii="宋体" w:hAnsi="宋体" w:cs="宋体"/>
          <w:color w:val="auto"/>
          <w:sz w:val="32"/>
          <w:szCs w:val="32"/>
          <w:highlight w:val="none"/>
          <w:lang w:val="en-US" w:eastAsia="zh-CN"/>
        </w:rPr>
        <w:t xml:space="preserve">首次报价）</w:t>
      </w:r>
      <w:r/>
    </w:p>
    <w:p>
      <w:pPr>
        <w:pStyle w:val="977"/>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77"/>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货币单位：人民币元</w:t>
      </w:r>
      <w:r/>
    </w:p>
    <w:p>
      <w:pPr>
        <w:pStyle w:val="977"/>
        <w:ind w:firstLine="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3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93"/>
        <w:gridCol w:w="2338"/>
        <w:gridCol w:w="2858"/>
      </w:tblGrid>
      <w:tr>
        <w:trPr>
          <w:cantSplit/>
          <w:jc w:val="center"/>
          <w:trHeight w:val="1182"/>
        </w:trPr>
        <w:tc>
          <w:tcPr>
            <w:tcBorders>
              <w:top w:val="single" w:color="000000" w:sz="6" w:space="0"/>
            </w:tcBorders>
            <w:tcW w:w="3093"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6" w:space="0"/>
            </w:tcBorders>
            <w:tcW w:w="2338"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top w:val="single" w:color="000000" w:sz="6" w:space="0"/>
              <w:right w:val="single" w:color="000000" w:sz="2" w:space="0"/>
            </w:tcBorders>
            <w:tcW w:w="2858"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1012"/>
        </w:trPr>
        <w:tc>
          <w:tcPr>
            <w:tcW w:w="3093"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338"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Borders>
              <w:right w:val="single" w:color="000000" w:sz="2" w:space="0"/>
            </w:tcBorders>
            <w:tcW w:w="2858"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35"/>
        </w:trPr>
        <w:tc>
          <w:tcPr>
            <w:tcW w:w="3093"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总价（大写）：</w:t>
            </w:r>
            <w:r/>
          </w:p>
        </w:tc>
        <w:tc>
          <w:tcPr>
            <w:gridSpan w:val="2"/>
            <w:tcBorders>
              <w:right w:val="single" w:color="000000" w:sz="2" w:space="0"/>
            </w:tcBorders>
            <w:tcW w:w="5196" w:type="dxa"/>
            <w:vAlign w:val="center"/>
            <w:textDirection w:val="lrTb"/>
            <w:noWrap w:val="false"/>
          </w:tcPr>
          <w:p>
            <w:pPr>
              <w:pStyle w:val="965"/>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77"/>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420"/>
        <w:spacing w:line="360" w:lineRule="auto"/>
        <w:widowControl w:val="off"/>
        <w:rPr>
          <w:rFonts w:hint="eastAsia" w:ascii="宋体" w:hAnsi="宋体" w:eastAsia="宋体" w:cs="宋体"/>
          <w:color w:val="auto"/>
          <w:highlight w:val="none"/>
        </w:rPr>
      </w:pPr>
      <w:r/>
      <w:bookmarkStart w:id="116" w:name="OLE_LINK18"/>
      <w:r/>
      <w:r/>
    </w:p>
    <w:p>
      <w:pPr>
        <w:pStyle w:val="977"/>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供应商（电子签章）：</w:t>
      </w:r>
      <w:bookmarkEnd w:id="116"/>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附件2</w:t>
      </w:r>
      <w:r/>
    </w:p>
    <w:p>
      <w:pPr>
        <w:jc w:val="center"/>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首轮</w:t>
      </w:r>
      <w:r>
        <w:rPr>
          <w:rFonts w:hint="eastAsia" w:ascii="宋体" w:hAnsi="宋体" w:cs="宋体"/>
          <w:color w:val="auto"/>
          <w:sz w:val="32"/>
          <w:szCs w:val="32"/>
          <w:highlight w:val="none"/>
          <w:lang w:val="en-US" w:eastAsia="zh-CN"/>
        </w:rPr>
        <w:t xml:space="preserve">分项报价表</w:t>
      </w:r>
      <w:r/>
    </w:p>
    <w:p>
      <w:pPr>
        <w:pStyle w:val="977"/>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b w:val="0"/>
          <w:bCs w:val="0"/>
          <w:color w:val="auto"/>
          <w:sz w:val="21"/>
          <w:szCs w:val="21"/>
          <w:highlight w:val="none"/>
          <w:lang w:val="en-US" w:eastAsia="zh-CN" w:bidi="ar-SA"/>
        </w:rPr>
        <w:t xml:space="preserve">泰州市人民医院ERCP用X线设备采购项目    </w:t>
      </w:r>
      <w:r>
        <w:rPr>
          <w:rFonts w:hint="eastAsia" w:ascii="宋体" w:hAnsi="宋体" w:eastAsia="宋体" w:cs="宋体"/>
          <w:color w:val="auto"/>
          <w:sz w:val="24"/>
          <w:szCs w:val="24"/>
          <w:highlight w:val="none"/>
        </w:rPr>
        <w:t xml:space="preserve">              </w:t>
      </w:r>
      <w:r/>
    </w:p>
    <w:p>
      <w:pPr>
        <w:pStyle w:val="977"/>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项目编号：    </w:t>
      </w:r>
      <w:r>
        <w:rPr>
          <w:rFonts w:hint="eastAsia" w:ascii="宋体" w:hAnsi="宋体" w:eastAsia="宋体" w:cs="宋体"/>
          <w:color w:val="auto"/>
          <w:highlight w:val="none"/>
        </w:rPr>
        <w:t xml:space="preserve"> </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1110"/>
        <w:gridCol w:w="698"/>
        <w:gridCol w:w="1117"/>
        <w:gridCol w:w="735"/>
        <w:gridCol w:w="923"/>
        <w:gridCol w:w="870"/>
        <w:gridCol w:w="1087"/>
        <w:gridCol w:w="1373"/>
      </w:tblGrid>
      <w:tr>
        <w:trPr/>
        <w:tc>
          <w:tcPr>
            <w:tcW w:w="725"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序号</w:t>
            </w:r>
            <w:r/>
          </w:p>
        </w:tc>
        <w:tc>
          <w:tcPr>
            <w:tcW w:w="1110"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产品名称</w:t>
            </w:r>
            <w:r/>
          </w:p>
        </w:tc>
        <w:tc>
          <w:tcPr>
            <w:tcW w:w="698" w:type="dxa"/>
            <w:textDirection w:val="lrTb"/>
            <w:noWrap w:val="false"/>
          </w:tcPr>
          <w:p>
            <w:pPr>
              <w:pStyle w:val="977"/>
              <w:ind w:left="0" w:firstLine="0"/>
              <w:spacing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品牌</w:t>
            </w:r>
            <w:r/>
          </w:p>
        </w:tc>
        <w:tc>
          <w:tcPr>
            <w:tcW w:w="1117"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规格型号</w:t>
            </w:r>
            <w:r/>
          </w:p>
        </w:tc>
        <w:tc>
          <w:tcPr>
            <w:tcW w:w="735"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产地</w:t>
            </w:r>
            <w:r/>
          </w:p>
        </w:tc>
        <w:tc>
          <w:tcPr>
            <w:tcW w:w="923"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交付期</w:t>
            </w:r>
            <w:r/>
          </w:p>
        </w:tc>
        <w:tc>
          <w:tcPr>
            <w:tcW w:w="870" w:type="dxa"/>
            <w:textDirection w:val="lrTb"/>
            <w:noWrap w:val="false"/>
          </w:tcPr>
          <w:p>
            <w:pPr>
              <w:pStyle w:val="977"/>
              <w:ind w:left="0" w:firstLine="0"/>
              <w:spacing w:line="360" w:lineRule="auto"/>
              <w:widowControl w:val="off"/>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数量</w:t>
            </w:r>
            <w:r/>
          </w:p>
        </w:tc>
        <w:tc>
          <w:tcPr>
            <w:tcW w:w="1087"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分项单价</w:t>
            </w:r>
            <w:r/>
          </w:p>
        </w:tc>
        <w:tc>
          <w:tcPr>
            <w:tcW w:w="1373" w:type="dxa"/>
            <w:textDirection w:val="lrTb"/>
            <w:noWrap w:val="false"/>
          </w:tcPr>
          <w:p>
            <w:pPr>
              <w:pStyle w:val="977"/>
              <w:ind w:left="0" w:firstLine="0"/>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分项总价</w:t>
            </w:r>
            <w:r/>
          </w:p>
        </w:tc>
      </w:tr>
      <w:tr>
        <w:trPr/>
        <w:tc>
          <w:tcPr>
            <w:tcW w:w="72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698"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73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2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87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8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37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c>
          <w:tcPr>
            <w:tcW w:w="72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698"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73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2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87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8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37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c>
          <w:tcPr>
            <w:tcW w:w="72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698"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73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2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87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8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37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c>
          <w:tcPr>
            <w:tcW w:w="72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698"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73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2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87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8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37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c>
          <w:tcPr>
            <w:tcW w:w="72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698"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11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735"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92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870"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087"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c>
          <w:tcPr>
            <w:tcW w:w="137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tc>
          <w:tcPr>
            <w:gridSpan w:val="8"/>
            <w:tcW w:w="7265" w:type="dxa"/>
            <w:textDirection w:val="lrTb"/>
            <w:noWrap w:val="false"/>
          </w:tcPr>
          <w:p>
            <w:pPr>
              <w:pStyle w:val="977"/>
              <w:jc w:val="center"/>
              <w:spacing w:line="360" w:lineRule="auto"/>
              <w:widowControl w:val="off"/>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总报价（人民币：元）</w:t>
            </w:r>
            <w:r/>
          </w:p>
        </w:tc>
        <w:tc>
          <w:tcPr>
            <w:tcW w:w="1373" w:type="dxa"/>
            <w:textDirection w:val="lrTb"/>
            <w:noWrap w:val="false"/>
          </w:tcPr>
          <w:p>
            <w:pPr>
              <w:pStyle w:val="977"/>
              <w:spacing w:line="360" w:lineRule="auto"/>
              <w:widowControl w:val="off"/>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bl>
    <w:p>
      <w:pPr>
        <w:rPr>
          <w:rFonts w:hint="eastAsia" w:ascii="宋体" w:hAnsi="宋体" w:cs="宋体"/>
          <w:color w:val="auto"/>
          <w:highlight w:val="none"/>
        </w:rPr>
      </w:pPr>
      <w:r>
        <w:rPr>
          <w:rFonts w:hint="eastAsia" w:ascii="宋体" w:hAnsi="宋体" w:cs="宋体"/>
          <w:color w:val="auto"/>
          <w:highlight w:val="none"/>
        </w:rPr>
        <w:t xml:space="preserve">供应商（电子签章）：</w:t>
      </w:r>
      <w:r/>
    </w:p>
    <w:p>
      <w:pPr>
        <w:pStyle w:val="977"/>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ind w:firstLine="48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eastAsia="宋体" w:cs="宋体"/>
          <w:color w:val="auto"/>
          <w:highlight w:val="none"/>
          <w:lang w:eastAsia="zh-CN"/>
        </w:rPr>
      </w:pPr>
      <w:r>
        <w:rPr>
          <w:rFonts w:hint="eastAsia" w:ascii="宋体" w:hAnsi="宋体" w:cs="宋体"/>
          <w:color w:val="auto"/>
          <w:highlight w:val="none"/>
        </w:rPr>
        <w:br w:type="page" w:clear="all"/>
      </w:r>
      <w:r>
        <w:rPr>
          <w:rFonts w:hint="eastAsia" w:ascii="宋体" w:hAnsi="宋体" w:cs="宋体"/>
          <w:color w:val="auto"/>
          <w:highlight w:val="none"/>
        </w:rPr>
        <w:t xml:space="preserve">附件</w:t>
      </w:r>
      <w:r>
        <w:rPr>
          <w:rFonts w:hint="eastAsia" w:ascii="宋体" w:hAnsi="宋体" w:cs="宋体"/>
          <w:color w:val="auto"/>
          <w:highlight w:val="none"/>
          <w:lang w:val="en-US" w:eastAsia="zh-CN"/>
        </w:rPr>
        <w:t xml:space="preserve">3</w:t>
      </w:r>
      <w:r/>
    </w:p>
    <w:p>
      <w:pPr>
        <w:jc w:val="center"/>
        <w:rPr>
          <w:rFonts w:hint="eastAsia" w:ascii="宋体" w:hAnsi="宋体" w:cs="宋体"/>
          <w:color w:val="auto"/>
          <w:sz w:val="32"/>
          <w:szCs w:val="32"/>
          <w:highlight w:val="none"/>
        </w:rPr>
      </w:pPr>
      <w:r/>
      <w:bookmarkStart w:id="117" w:name="_Toc541"/>
      <w:r>
        <w:rPr>
          <w:rFonts w:hint="eastAsia" w:ascii="宋体" w:hAnsi="宋体" w:cs="宋体"/>
          <w:color w:val="auto"/>
          <w:sz w:val="32"/>
          <w:szCs w:val="32"/>
          <w:highlight w:val="none"/>
        </w:rPr>
        <w:t xml:space="preserve">法定代表人资格证明书</w:t>
      </w:r>
      <w:bookmarkEnd w:id="117"/>
      <w:r/>
      <w:r/>
    </w:p>
    <w:p>
      <w:pPr>
        <w:pStyle w:val="966"/>
        <w:keepLines w:val="0"/>
        <w:keepNext w:val="0"/>
        <w:pageBreakBefore w:val="0"/>
        <w:widowControl w:val="off"/>
        <w:rPr>
          <w:rFonts w:hint="eastAsia" w:ascii="宋体" w:hAnsi="宋体" w:eastAsia="宋体"/>
          <w:color w:val="auto"/>
          <w:highlight w:val="none"/>
        </w:rPr>
      </w:pPr>
      <w:r>
        <w:rPr>
          <w:rFonts w:hint="eastAsia" w:ascii="宋体" w:hAnsi="宋体" w:eastAsia="宋体"/>
          <w:color w:val="auto"/>
          <w:highlight w:val="none"/>
        </w:rPr>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（法定代表人姓名）在（供应商名称）处任（职务名称）职务，是（供应商名称）的法定代表人。</w:t>
      </w:r>
      <w:r/>
    </w:p>
    <w:p>
      <w:pPr>
        <w:pStyle w:val="966"/>
        <w:ind w:firstLine="420"/>
        <w:keepLines w:val="0"/>
        <w:keepNext w:val="0"/>
        <w:pageBreakBefore w:val="0"/>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特此证明。</w:t>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法定代表人身份证复印件（正反两面均需复印，加盖公章）：</w:t>
      </w:r>
      <w:r/>
    </w:p>
    <w:p>
      <w:pPr>
        <w:pStyle w:val="946"/>
        <w:rPr>
          <w:rFonts w:hint="eastAsia" w:ascii="宋体" w:hAnsi="宋体" w:cs="宋体"/>
          <w:color w:val="auto"/>
          <w:highlight w:val="none"/>
        </w:rPr>
      </w:pPr>
      <w:r>
        <w:rPr>
          <w:rFonts w:hint="eastAsia" w:ascii="宋体" w:hAnsi="宋体" w:cs="宋体"/>
          <w:color w:val="auto"/>
          <w:highlight w:val="none"/>
        </w:rPr>
      </w:r>
      <w:r/>
    </w:p>
    <w:tbl>
      <w:tblPr>
        <w:tblStyle w:val="731"/>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t xml:space="preserve">法定代表人身份证正面复印件</w:t>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加</w:t>
            </w:r>
            <w:r/>
          </w:p>
          <w:p>
            <w:pPr>
              <w:rPr>
                <w:rFonts w:hint="eastAsia" w:ascii="宋体" w:hAnsi="宋体" w:cs="宋体"/>
                <w:color w:val="auto"/>
                <w:highlight w:val="none"/>
              </w:rPr>
            </w:pPr>
            <w:r>
              <w:rPr>
                <w:rFonts w:hint="eastAsia" w:ascii="宋体" w:hAnsi="宋体" w:cs="宋体"/>
                <w:color w:val="auto"/>
                <w:highlight w:val="none"/>
              </w:rPr>
              <w:t xml:space="preserve">盖</w:t>
            </w:r>
            <w:r/>
          </w:p>
          <w:p>
            <w:pPr>
              <w:rPr>
                <w:rFonts w:hint="eastAsia" w:ascii="宋体" w:hAnsi="宋体" w:cs="宋体"/>
                <w:color w:val="auto"/>
                <w:highlight w:val="none"/>
              </w:rPr>
            </w:pPr>
            <w:r>
              <w:rPr>
                <w:rFonts w:hint="eastAsia" w:ascii="宋体" w:hAnsi="宋体" w:cs="宋体"/>
                <w:color w:val="auto"/>
                <w:highlight w:val="none"/>
              </w:rPr>
              <w:t xml:space="preserve">CA</w:t>
            </w:r>
            <w:r/>
          </w:p>
          <w:p>
            <w:pPr>
              <w:rPr>
                <w:rFonts w:hint="eastAsia" w:ascii="宋体" w:hAnsi="宋体" w:cs="宋体"/>
                <w:color w:val="auto"/>
                <w:highlight w:val="none"/>
              </w:rPr>
            </w:pPr>
            <w:r>
              <w:rPr>
                <w:rFonts w:hint="eastAsia" w:ascii="宋体" w:hAnsi="宋体" w:cs="宋体"/>
                <w:color w:val="auto"/>
                <w:highlight w:val="none"/>
              </w:rPr>
              <w:t xml:space="preserve">电</w:t>
            </w:r>
            <w:r/>
          </w:p>
          <w:p>
            <w:pPr>
              <w:rPr>
                <w:rFonts w:hint="eastAsia" w:ascii="宋体" w:hAnsi="宋体" w:cs="宋体"/>
                <w:color w:val="auto"/>
                <w:highlight w:val="none"/>
              </w:rPr>
            </w:pPr>
            <w:r>
              <w:rPr>
                <w:rFonts w:hint="eastAsia" w:ascii="宋体" w:hAnsi="宋体" w:cs="宋体"/>
                <w:color w:val="auto"/>
                <w:highlight w:val="none"/>
              </w:rPr>
              <w:t xml:space="preserve">子</w:t>
            </w:r>
            <w:r/>
          </w:p>
          <w:p>
            <w:pPr>
              <w:rPr>
                <w:rFonts w:hint="eastAsia" w:ascii="宋体" w:hAnsi="宋体" w:cs="宋体"/>
                <w:color w:val="auto"/>
                <w:highlight w:val="none"/>
              </w:rPr>
            </w:pPr>
            <w:r>
              <w:rPr>
                <w:rFonts w:hint="eastAsia" w:ascii="宋体" w:hAnsi="宋体" w:cs="宋体"/>
                <w:color w:val="auto"/>
                <w:highlight w:val="none"/>
              </w:rPr>
              <w:t xml:space="preserve">章</w:t>
            </w:r>
            <w:r/>
          </w:p>
          <w:p>
            <w:pPr>
              <w:pStyle w:val="946"/>
              <w:rPr>
                <w:rFonts w:hint="eastAsia" w:ascii="宋体" w:hAnsi="宋体" w:cs="宋体"/>
                <w:color w:val="auto"/>
                <w:highlight w:val="none"/>
              </w:rPr>
            </w:pPr>
            <w:r>
              <w:rPr>
                <w:rFonts w:hint="eastAsia" w:ascii="宋体" w:hAnsi="宋体" w:cs="宋体"/>
                <w:color w:val="auto"/>
                <w:highlight w:val="none"/>
              </w:rPr>
            </w:r>
            <w:r/>
          </w:p>
        </w:tc>
        <w:tc>
          <w:tcPr>
            <w:tcW w:w="4207" w:type="dxa"/>
            <w:textDirection w:val="lrTb"/>
            <w:noWrap w:val="false"/>
          </w:tcPr>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t xml:space="preserve">法定代表人身份证反面复印件</w:t>
            </w:r>
            <w:r/>
          </w:p>
          <w:p>
            <w:pPr>
              <w:pStyle w:val="946"/>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pStyle w:val="946"/>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95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18" w:name="_Toc10173"/>
      <w:r/>
      <w:bookmarkStart w:id="119" w:name="_Toc3508"/>
      <w:r/>
      <w:bookmarkStart w:id="120" w:name="_Toc27742"/>
      <w:r/>
      <w:bookmarkStart w:id="121" w:name="_Toc7422"/>
      <w:r>
        <w:rPr>
          <w:rFonts w:hint="eastAsia" w:ascii="宋体" w:hAnsi="宋体" w:cs="宋体"/>
          <w:color w:val="auto"/>
          <w:sz w:val="24"/>
          <w:highlight w:val="none"/>
        </w:rPr>
        <w:t xml:space="preserve">附件</w:t>
      </w:r>
      <w:bookmarkEnd w:id="118"/>
      <w:r/>
      <w:bookmarkEnd w:id="119"/>
      <w:r/>
      <w:bookmarkEnd w:id="120"/>
      <w:r/>
      <w:bookmarkEnd w:id="121"/>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bookmarkStart w:id="122" w:name="_Toc24313"/>
      <w:r/>
      <w:bookmarkStart w:id="123" w:name="_Toc30840"/>
      <w:r/>
      <w:bookmarkStart w:id="124" w:name="_Toc32139"/>
      <w:r/>
      <w:bookmarkStart w:id="125" w:name="_Toc17493"/>
      <w:r>
        <w:rPr>
          <w:rFonts w:hint="eastAsia" w:ascii="宋体" w:hAnsi="宋体" w:cs="宋体"/>
          <w:color w:val="auto"/>
          <w:sz w:val="32"/>
          <w:szCs w:val="32"/>
          <w:highlight w:val="none"/>
        </w:rPr>
        <w:t xml:space="preserve">法定代表人授权委托书</w:t>
      </w:r>
      <w:bookmarkEnd w:id="122"/>
      <w:r/>
      <w:bookmarkEnd w:id="123"/>
      <w:r/>
      <w:bookmarkEnd w:id="124"/>
      <w:r/>
      <w:bookmarkEnd w:id="125"/>
      <w:r/>
      <w:r/>
    </w:p>
    <w:p>
      <w:pPr>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泰州</w:t>
      </w:r>
      <w:r>
        <w:rPr>
          <w:rFonts w:hint="eastAsia" w:ascii="宋体" w:hAnsi="宋体" w:cs="宋体"/>
          <w:color w:val="auto"/>
          <w:szCs w:val="21"/>
          <w:highlight w:val="none"/>
          <w:lang w:val="en-US" w:eastAsia="zh-CN"/>
        </w:rPr>
        <w:t xml:space="preserve">市人民医院</w:t>
      </w:r>
      <w:r>
        <w:rPr>
          <w:rFonts w:hint="eastAsia" w:ascii="宋体" w:hAnsi="宋体" w:cs="宋体"/>
          <w:color w:val="auto"/>
          <w:szCs w:val="21"/>
          <w:highlight w:val="none"/>
        </w:rPr>
        <w:t xml:space="preserve">：</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（法定代表人姓名）授权________（被授权人的姓名）为我方就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我公司（单位）对被授权代表的签名负全部责任。</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在撤销授权的书面通知送达你处以前，本授权书一直有效，被授权代表签署的所有文件（在授权书有效期内签署的）不因授权的撤销而失效。</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被授权代表情况：</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姓名：                       性别：                    电话：               </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授权代表身份证复印件（正反两面均需复印）（骑缝处加盖公章）：</w:t>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bl>
      <w:tblPr>
        <w:tblStyle w:val="731"/>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3874"/>
        </w:trPr>
        <w:tc>
          <w:tcPr>
            <w:tcW w:w="3609" w:type="dxa"/>
            <w:textDirection w:val="lrTb"/>
            <w:noWrap w:val="false"/>
          </w:tcPr>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授权代表身份证正面复印件</w:t>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09" w:type="dxa"/>
            <w:textDirection w:val="lrTb"/>
            <w:noWrap w:val="false"/>
          </w:tcPr>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加</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盖</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CA</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电</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子</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章</w:t>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c>
          <w:tcPr>
            <w:tcW w:w="3827" w:type="dxa"/>
            <w:textDirection w:val="lrTb"/>
            <w:noWrap w:val="false"/>
          </w:tcPr>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授权代表身份证反面复印件</w:t>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tc>
      </w:tr>
    </w:tbl>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说明：上述证明文件在响应文件中附有授权代表身份证复印件（身份证两面均应复印，身份证复印件加盖公章）时才能生效。</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6"/>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eastAsia="宋体" w:cs="宋体"/>
          <w:color w:val="auto"/>
          <w:highlight w:val="none"/>
          <w:lang w:eastAsia="zh-CN"/>
        </w:rPr>
      </w:pPr>
      <w:r>
        <w:rPr>
          <w:rFonts w:hint="eastAsia" w:ascii="宋体" w:hAnsi="宋体" w:cs="宋体"/>
          <w:color w:val="auto"/>
          <w:highlight w:val="none"/>
        </w:rPr>
        <w:br w:type="page" w:clear="all"/>
      </w:r>
      <w:bookmarkStart w:id="126" w:name="_Toc22640"/>
      <w:r>
        <w:rPr>
          <w:rFonts w:hint="eastAsia" w:ascii="宋体" w:hAnsi="宋体" w:cs="宋体"/>
          <w:color w:val="auto"/>
          <w:highlight w:val="none"/>
        </w:rPr>
        <w:t xml:space="preserve">附件</w:t>
      </w:r>
      <w:bookmarkEnd w:id="126"/>
      <w:r>
        <w:rPr>
          <w:rFonts w:hint="eastAsia" w:ascii="宋体" w:hAnsi="宋体" w:cs="宋体"/>
          <w:color w:val="auto"/>
          <w:highlight w:val="none"/>
          <w:lang w:val="en-US" w:eastAsia="zh-CN"/>
        </w:rPr>
        <w:t xml:space="preserve">5</w:t>
      </w:r>
      <w:r/>
    </w:p>
    <w:p>
      <w:pPr>
        <w:pStyle w:val="979"/>
        <w:rPr>
          <w:rFonts w:hint="eastAsia" w:ascii="宋体" w:hAnsi="宋体" w:cs="宋体"/>
          <w:color w:val="auto"/>
          <w:highlight w:val="none"/>
        </w:rPr>
      </w:pPr>
      <w:r>
        <w:rPr>
          <w:rFonts w:hint="eastAsia" w:ascii="宋体" w:hAnsi="宋体" w:cs="宋体"/>
          <w:color w:val="auto"/>
          <w:highlight w:val="none"/>
        </w:rPr>
      </w:r>
      <w:r/>
    </w:p>
    <w:p>
      <w:pPr>
        <w:pStyle w:val="979"/>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参加政府采购活动前 3 年内在经营活动中没有重大违法</w:t>
      </w:r>
      <w:r/>
    </w:p>
    <w:p>
      <w:pPr>
        <w:pStyle w:val="979"/>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记录的书面声明</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ind w:firstLine="420"/>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46"/>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keepLines w:val="0"/>
        <w:keepNext w:val="0"/>
        <w:pageBreakBefore w:val="0"/>
        <w:widowControl w:val="off"/>
        <w:rPr>
          <w:rFonts w:hint="eastAsia" w:ascii="宋体" w:hAnsi="宋体" w:cs="宋体"/>
          <w:color w:val="auto"/>
          <w:highlight w:val="none"/>
        </w:rPr>
      </w:pPr>
      <w:r>
        <w:rPr>
          <w:rFonts w:hint="eastAsia" w:ascii="宋体" w:hAnsi="宋体" w:cs="宋体"/>
          <w:color w:val="auto"/>
          <w:highlight w:val="none"/>
        </w:rPr>
        <w:br w:type="page" w:clear="all"/>
      </w:r>
      <w:bookmarkStart w:id="127" w:name="_Toc3595"/>
      <w:r/>
      <w:bookmarkStart w:id="128" w:name="_Toc28534"/>
      <w:r/>
      <w:bookmarkStart w:id="129" w:name="_Toc14753"/>
      <w:r/>
      <w:bookmarkStart w:id="130" w:name="_Toc20864"/>
      <w:r>
        <w:rPr>
          <w:rFonts w:hint="eastAsia" w:ascii="宋体" w:hAnsi="宋体" w:cs="宋体"/>
          <w:color w:val="auto"/>
          <w:highlight w:val="none"/>
        </w:rPr>
        <w:t xml:space="preserve">附件</w:t>
      </w:r>
      <w:bookmarkEnd w:id="127"/>
      <w:r/>
      <w:bookmarkEnd w:id="128"/>
      <w:r/>
      <w:bookmarkEnd w:id="129"/>
      <w:r/>
      <w:bookmarkEnd w:id="130"/>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 </w:t>
      </w:r>
      <w:r/>
    </w:p>
    <w:p>
      <w:pPr>
        <w:pStyle w:val="959"/>
        <w:jc w:val="center"/>
        <w:widowControl w:val="off"/>
        <w:rPr>
          <w:rFonts w:hint="eastAsia"/>
          <w:color w:val="auto"/>
          <w:sz w:val="32"/>
          <w:szCs w:val="32"/>
          <w:highlight w:val="none"/>
        </w:rPr>
      </w:pPr>
      <w:r>
        <w:rPr>
          <w:rFonts w:hint="eastAsia"/>
          <w:color w:val="auto"/>
          <w:sz w:val="32"/>
          <w:szCs w:val="32"/>
          <w:highlight w:val="none"/>
        </w:rPr>
        <w:t xml:space="preserve">中小企业声明函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本公司郑重声明，根据《政府采购促进中小企业发展管理办法》（财库﹝2020﹞46号）的规定，本公司参加</w:t>
      </w:r>
      <w:r>
        <w:rPr>
          <w:rFonts w:hint="eastAsia" w:ascii="宋体" w:hAnsi="宋体" w:eastAsia="宋体" w:cs="宋体"/>
          <w:bCs/>
          <w:color w:val="auto"/>
          <w:sz w:val="21"/>
          <w:szCs w:val="21"/>
          <w:highlight w:val="none"/>
          <w:lang w:val="en-US" w:eastAsia="zh-CN"/>
        </w:rPr>
        <w:t xml:space="preserve">泰州市人民医院</w:t>
      </w:r>
      <w:r>
        <w:rPr>
          <w:rFonts w:hint="eastAsia" w:ascii="宋体" w:hAnsi="宋体" w:eastAsia="宋体" w:cs="宋体"/>
          <w:bCs/>
          <w:color w:val="auto"/>
          <w:sz w:val="21"/>
          <w:szCs w:val="21"/>
          <w:highlight w:val="none"/>
        </w:rPr>
        <w:t xml:space="preserve">的</w:t>
      </w:r>
      <w:r>
        <w:rPr>
          <w:rFonts w:hint="eastAsia" w:ascii="宋体" w:hAnsi="宋体" w:eastAsia="宋体" w:cs="宋体"/>
          <w:bCs/>
          <w:color w:val="auto"/>
          <w:sz w:val="21"/>
          <w:szCs w:val="21"/>
          <w:highlight w:val="none"/>
          <w:u w:val="single"/>
        </w:rPr>
        <w:t xml:space="preserve">（项目名称）</w:t>
      </w:r>
      <w:r>
        <w:rPr>
          <w:rFonts w:hint="eastAsia" w:ascii="宋体" w:hAnsi="宋体" w:eastAsia="宋体" w:cs="宋体"/>
          <w:bCs/>
          <w:color w:val="auto"/>
          <w:sz w:val="21"/>
          <w:szCs w:val="21"/>
          <w:highlight w:val="none"/>
        </w:rPr>
        <w:t xml:space="preserve">采购活动，</w:t>
      </w:r>
      <w:r>
        <w:rPr>
          <w:rFonts w:hint="eastAsia" w:ascii="宋体" w:hAnsi="宋体" w:eastAsia="宋体" w:cs="宋体"/>
          <w:bCs/>
          <w:color w:val="auto"/>
          <w:sz w:val="21"/>
          <w:szCs w:val="21"/>
          <w:highlight w:val="none"/>
          <w:lang w:val="en-US" w:eastAsia="zh-CN"/>
        </w:rPr>
        <w:t xml:space="preserve">提供的货物</w:t>
      </w:r>
      <w:r>
        <w:rPr>
          <w:rFonts w:hint="eastAsia" w:ascii="宋体" w:hAnsi="宋体" w:eastAsia="宋体" w:cs="宋体"/>
          <w:bCs/>
          <w:color w:val="auto"/>
          <w:sz w:val="21"/>
          <w:szCs w:val="21"/>
          <w:highlight w:val="none"/>
        </w:rPr>
        <w:t xml:space="preserve">全部由符合政策要求的中小企业</w:t>
      </w:r>
      <w:r>
        <w:rPr>
          <w:rFonts w:hint="eastAsia" w:ascii="宋体" w:hAnsi="宋体" w:eastAsia="宋体" w:cs="宋体"/>
          <w:bCs/>
          <w:color w:val="auto"/>
          <w:sz w:val="21"/>
          <w:szCs w:val="21"/>
          <w:highlight w:val="none"/>
          <w:lang w:val="en-US" w:eastAsia="zh-CN"/>
        </w:rPr>
        <w:t xml:space="preserve">制造</w:t>
      </w:r>
      <w:r>
        <w:rPr>
          <w:rFonts w:hint="eastAsia" w:ascii="宋体" w:hAnsi="宋体" w:eastAsia="宋体" w:cs="宋体"/>
          <w:bCs/>
          <w:color w:val="auto"/>
          <w:sz w:val="21"/>
          <w:szCs w:val="21"/>
          <w:highlight w:val="none"/>
        </w:rPr>
        <w:t xml:space="preserve">。相关企业（含联合体中的中小企业、签订分包意向协议的中小企业）的具体情况如下：</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u w:val="single"/>
        </w:rPr>
        <w:t xml:space="preserve">（标的名称）</w:t>
      </w:r>
      <w:r>
        <w:rPr>
          <w:rFonts w:hint="eastAsia" w:ascii="宋体" w:hAnsi="宋体" w:eastAsia="宋体" w:cs="宋体"/>
          <w:bCs/>
          <w:color w:val="auto"/>
          <w:sz w:val="21"/>
          <w:szCs w:val="21"/>
          <w:highlight w:val="none"/>
        </w:rPr>
        <w:t xml:space="preserve">，属于</w:t>
      </w:r>
      <w:r>
        <w:rPr>
          <w:rFonts w:hint="eastAsia" w:ascii="宋体" w:hAnsi="宋体" w:eastAsia="宋体" w:cs="宋体"/>
          <w:bCs/>
          <w:color w:val="auto"/>
          <w:sz w:val="21"/>
          <w:szCs w:val="21"/>
          <w:highlight w:val="none"/>
          <w:u w:val="single"/>
          <w:lang w:val="en-US" w:eastAsia="zh-CN"/>
        </w:rPr>
        <w:t xml:space="preserve">工业行业</w:t>
      </w:r>
      <w:r>
        <w:rPr>
          <w:rFonts w:hint="eastAsia" w:ascii="宋体" w:hAnsi="宋体" w:eastAsia="宋体" w:cs="宋体"/>
          <w:bCs/>
          <w:color w:val="auto"/>
          <w:sz w:val="21"/>
          <w:szCs w:val="21"/>
          <w:highlight w:val="none"/>
        </w:rPr>
        <w:t xml:space="preserve">；</w:t>
      </w:r>
      <w:r>
        <w:rPr>
          <w:rFonts w:hint="eastAsia" w:ascii="宋体" w:hAnsi="宋体" w:eastAsia="宋体" w:cs="宋体"/>
          <w:b/>
          <w:bCs w:val="0"/>
          <w:color w:val="auto"/>
          <w:sz w:val="21"/>
          <w:szCs w:val="21"/>
          <w:highlight w:val="yellow"/>
          <w:lang w:val="en-US" w:eastAsia="zh-CN"/>
        </w:rPr>
        <w:t xml:space="preserve">制造商</w:t>
      </w:r>
      <w:r>
        <w:rPr>
          <w:rFonts w:hint="eastAsia" w:ascii="宋体" w:hAnsi="宋体" w:eastAsia="宋体" w:cs="宋体"/>
          <w:bCs/>
          <w:color w:val="auto"/>
          <w:sz w:val="21"/>
          <w:szCs w:val="21"/>
          <w:highlight w:val="none"/>
        </w:rPr>
        <w:t xml:space="preserve">为</w:t>
      </w:r>
      <w:r>
        <w:rPr>
          <w:rFonts w:hint="eastAsia" w:ascii="宋体" w:hAnsi="宋体" w:eastAsia="宋体" w:cs="宋体"/>
          <w:bCs/>
          <w:color w:val="auto"/>
          <w:sz w:val="21"/>
          <w:szCs w:val="21"/>
          <w:highlight w:val="none"/>
          <w:u w:val="single"/>
        </w:rPr>
        <w:t xml:space="preserve">（企业名称）</w:t>
      </w:r>
      <w:r>
        <w:rPr>
          <w:rFonts w:hint="eastAsia" w:ascii="宋体" w:hAnsi="宋体" w:eastAsia="宋体" w:cs="宋体"/>
          <w:bCs/>
          <w:color w:val="auto"/>
          <w:sz w:val="21"/>
          <w:szCs w:val="21"/>
          <w:highlight w:val="none"/>
        </w:rPr>
        <w:t xml:space="preserve">，从业人员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万元，属于</w:t>
      </w:r>
      <w:r>
        <w:rPr>
          <w:rFonts w:hint="eastAsia" w:ascii="宋体" w:hAnsi="宋体" w:eastAsia="宋体" w:cs="宋体"/>
          <w:bCs/>
          <w:color w:val="auto"/>
          <w:sz w:val="21"/>
          <w:szCs w:val="21"/>
          <w:highlight w:val="none"/>
          <w:u w:val="single"/>
        </w:rPr>
        <w:t xml:space="preserve">（中型企业、小型企业、微型企业）</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u w:val="single"/>
        </w:rPr>
        <w:t xml:space="preserve">（标的名称）</w:t>
      </w:r>
      <w:r>
        <w:rPr>
          <w:rFonts w:hint="eastAsia" w:ascii="宋体" w:hAnsi="宋体" w:eastAsia="宋体" w:cs="宋体"/>
          <w:bCs/>
          <w:color w:val="auto"/>
          <w:sz w:val="21"/>
          <w:szCs w:val="21"/>
          <w:highlight w:val="none"/>
        </w:rPr>
        <w:t xml:space="preserve">，属于（</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文件中明确的所属行业）</w:t>
      </w:r>
      <w:r>
        <w:rPr>
          <w:rFonts w:hint="eastAsia" w:ascii="宋体" w:hAnsi="宋体" w:eastAsia="宋体" w:cs="宋体"/>
          <w:bCs/>
          <w:color w:val="auto"/>
          <w:sz w:val="21"/>
          <w:szCs w:val="21"/>
          <w:highlight w:val="none"/>
          <w:u w:val="single"/>
          <w:lang w:val="en-US" w:eastAsia="zh-CN"/>
        </w:rPr>
        <w:t xml:space="preserve">行业</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yellow"/>
          <w:lang w:val="en-US" w:eastAsia="zh-CN"/>
        </w:rPr>
        <w:t xml:space="preserve">制造商</w:t>
      </w:r>
      <w:r>
        <w:rPr>
          <w:rFonts w:hint="eastAsia" w:ascii="宋体" w:hAnsi="宋体" w:eastAsia="宋体" w:cs="宋体"/>
          <w:bCs/>
          <w:color w:val="auto"/>
          <w:sz w:val="21"/>
          <w:szCs w:val="21"/>
          <w:highlight w:val="none"/>
        </w:rPr>
        <w:t xml:space="preserve">为</w:t>
      </w:r>
      <w:r>
        <w:rPr>
          <w:rFonts w:hint="eastAsia" w:ascii="宋体" w:hAnsi="宋体" w:eastAsia="宋体" w:cs="宋体"/>
          <w:bCs/>
          <w:color w:val="auto"/>
          <w:sz w:val="21"/>
          <w:szCs w:val="21"/>
          <w:highlight w:val="none"/>
          <w:u w:val="single"/>
        </w:rPr>
        <w:t xml:space="preserve">（企业名称）</w:t>
      </w:r>
      <w:r>
        <w:rPr>
          <w:rFonts w:hint="eastAsia" w:ascii="宋体" w:hAnsi="宋体" w:eastAsia="宋体" w:cs="宋体"/>
          <w:bCs/>
          <w:color w:val="auto"/>
          <w:sz w:val="21"/>
          <w:szCs w:val="21"/>
          <w:highlight w:val="none"/>
        </w:rPr>
        <w:t xml:space="preserve">，从业人员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人，营业收入为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万元，资产总额为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万元，属于</w:t>
      </w:r>
      <w:r>
        <w:rPr>
          <w:rFonts w:hint="eastAsia" w:ascii="宋体" w:hAnsi="宋体" w:eastAsia="宋体" w:cs="宋体"/>
          <w:bCs/>
          <w:color w:val="auto"/>
          <w:sz w:val="21"/>
          <w:szCs w:val="21"/>
          <w:highlight w:val="none"/>
          <w:u w:val="single"/>
        </w:rPr>
        <w:t xml:space="preserve">（中型企业、小型企业、微型企业）</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本企业对上述声明</w:t>
      </w:r>
      <w:r>
        <w:rPr>
          <w:rFonts w:hint="eastAsia" w:ascii="宋体" w:hAnsi="宋体" w:eastAsia="宋体" w:cs="宋体"/>
          <w:bCs/>
          <w:color w:val="auto"/>
          <w:sz w:val="21"/>
          <w:szCs w:val="21"/>
          <w:highlight w:val="none"/>
          <w:lang w:val="en-US" w:eastAsia="zh-CN"/>
        </w:rPr>
        <w:t xml:space="preserve">内容</w:t>
      </w:r>
      <w:r>
        <w:rPr>
          <w:rFonts w:hint="eastAsia" w:ascii="宋体" w:hAnsi="宋体" w:eastAsia="宋体" w:cs="宋体"/>
          <w:bCs/>
          <w:color w:val="auto"/>
          <w:sz w:val="21"/>
          <w:szCs w:val="21"/>
          <w:highlight w:val="none"/>
        </w:rPr>
        <w:t xml:space="preserve">的真实性负责。如有虚假，将依法承担相应责任。</w:t>
      </w:r>
      <w:r/>
    </w:p>
    <w:p>
      <w:pPr>
        <w:ind w:right="480" w:firstLine="480"/>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bCs/>
          <w:color w:val="auto"/>
          <w:sz w:val="24"/>
          <w:szCs w:val="24"/>
          <w:highlight w:val="none"/>
        </w:rPr>
        <w:t xml:space="preserve"> </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日 期：</w:t>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r>
      <w:r/>
    </w:p>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2.中小微企业划型标准</w:t>
      </w:r>
      <w:r>
        <w:rPr>
          <w:rFonts w:hint="eastAsia" w:ascii="宋体" w:hAnsi="宋体" w:cs="宋体"/>
          <w:color w:val="auto"/>
          <w:highlight w:val="none"/>
          <w:lang w:val="en-US" w:eastAsia="zh-CN"/>
        </w:rPr>
        <w:t xml:space="preserve">按《</w:t>
      </w:r>
      <w:r>
        <w:rPr>
          <w:rFonts w:hint="eastAsia" w:ascii="宋体" w:hAnsi="宋体" w:cs="宋体"/>
          <w:color w:val="auto"/>
          <w:highlight w:val="none"/>
        </w:rPr>
        <w:t xml:space="preserve">关于印发中小企业划型标准规定的通知》（工信部联企业〔2011〕300号），文件网址如下：https://www.miit.gov.cn/jgsj/qyj/wjfb/art/2011/art_235af1ade45c4865957adeed23f9d949.html</w:t>
      </w:r>
      <w:r>
        <w:rPr>
          <w:rFonts w:hint="eastAsia" w:ascii="宋体" w:hAnsi="宋体" w:cs="宋体"/>
          <w:color w:val="auto"/>
          <w:szCs w:val="21"/>
          <w:highlight w:val="none"/>
        </w:rPr>
        <w:t xml:space="preserve">。</w:t>
      </w:r>
      <w:r>
        <w:rPr>
          <w:rFonts w:hint="eastAsia" w:ascii="宋体" w:hAnsi="宋体" w:cs="宋体"/>
          <w:color w:val="auto"/>
          <w:highlight w:val="none"/>
        </w:rPr>
        <w:t xml:space="preserve">本项目采购标的所属行业为</w:t>
      </w:r>
      <w:r>
        <w:rPr>
          <w:rFonts w:hint="eastAsia" w:ascii="宋体" w:hAnsi="宋体" w:cs="宋体"/>
          <w:color w:val="auto"/>
          <w:highlight w:val="none"/>
          <w:u w:val="single"/>
          <w:lang w:val="en-US" w:eastAsia="zh-CN"/>
        </w:rPr>
        <w:t xml:space="preserve">工</w:t>
      </w:r>
      <w:r>
        <w:rPr>
          <w:rFonts w:hint="eastAsia" w:ascii="宋体" w:hAnsi="宋体" w:cs="宋体"/>
          <w:color w:val="auto"/>
          <w:highlight w:val="none"/>
          <w:u w:val="single"/>
        </w:rPr>
        <w:t xml:space="preserve">业 </w:t>
      </w:r>
      <w:r>
        <w:rPr>
          <w:rFonts w:hint="eastAsia" w:ascii="宋体" w:hAnsi="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959"/>
        <w:widowControl w:val="off"/>
        <w:rPr>
          <w:rFonts w:hint="eastAsia" w:eastAsia="宋体"/>
          <w:color w:val="auto"/>
          <w:highlight w:val="none"/>
          <w:lang w:eastAsia="zh-CN"/>
        </w:rPr>
      </w:pPr>
      <w:r>
        <w:rPr>
          <w:rFonts w:hint="eastAsia"/>
          <w:color w:val="auto"/>
          <w:highlight w:val="none"/>
          <w:u w:val="single"/>
        </w:rPr>
        <w:br w:type="page" w:clear="all"/>
      </w:r>
      <w:r>
        <w:rPr>
          <w:rFonts w:hint="eastAsia"/>
          <w:color w:val="auto"/>
          <w:highlight w:val="none"/>
        </w:rPr>
        <w:t xml:space="preserve">附件</w:t>
      </w:r>
      <w:r>
        <w:rPr>
          <w:rFonts w:hint="eastAsia"/>
          <w:color w:val="auto"/>
          <w:highlight w:val="none"/>
          <w:lang w:val="en-US" w:eastAsia="zh-CN"/>
        </w:rPr>
        <w:t xml:space="preserve">7</w:t>
      </w:r>
      <w:r/>
    </w:p>
    <w:p>
      <w:pPr>
        <w:pStyle w:val="959"/>
        <w:jc w:val="center"/>
        <w:widowControl w:val="off"/>
        <w:rPr>
          <w:rFonts w:hint="eastAsia"/>
          <w:color w:val="auto"/>
          <w:sz w:val="32"/>
          <w:szCs w:val="32"/>
          <w:highlight w:val="none"/>
        </w:rPr>
      </w:pPr>
      <w:r>
        <w:rPr>
          <w:rFonts w:hint="eastAsia"/>
          <w:color w:val="auto"/>
          <w:sz w:val="32"/>
          <w:szCs w:val="32"/>
          <w:highlight w:val="none"/>
        </w:rPr>
        <w:t xml:space="preserve">残疾人福利性单位声明函</w:t>
      </w:r>
      <w:r/>
    </w:p>
    <w:p>
      <w:pPr>
        <w:pStyle w:val="953"/>
        <w:ind w:firstLine="420"/>
        <w:rPr>
          <w:rFonts w:hint="eastAsia" w:hAnsi="宋体" w:cs="宋体"/>
          <w:color w:val="auto"/>
          <w:highlight w:val="none"/>
        </w:rPr>
      </w:pPr>
      <w:r>
        <w:rPr>
          <w:rFonts w:hint="eastAsia"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color w:val="auto"/>
          <w:highlight w:val="none"/>
          <w:u w:val="single"/>
        </w:rPr>
        <w:t xml:space="preserve">                                       </w:t>
      </w:r>
      <w:r>
        <w:rPr>
          <w:rFonts w:hint="eastAsia" w:hAnsi="宋体" w:cs="宋体"/>
          <w:color w:val="auto"/>
          <w:highlight w:val="none"/>
        </w:rPr>
        <w:t xml:space="preserve">单位的</w:t>
      </w:r>
      <w:r>
        <w:rPr>
          <w:rFonts w:hint="eastAsia" w:hAnsi="宋体" w:cs="宋体"/>
          <w:color w:val="auto"/>
          <w:highlight w:val="none"/>
          <w:u w:val="single"/>
        </w:rPr>
        <w:t xml:space="preserve">            </w:t>
      </w:r>
      <w:r>
        <w:rPr>
          <w:rFonts w:hint="eastAsia" w:hAnsi="宋体" w:cs="宋体"/>
          <w:color w:val="auto"/>
          <w:highlight w:val="none"/>
        </w:rPr>
        <w:t xml:space="preserve">项目采购活动提供服务。</w:t>
      </w:r>
      <w:r/>
    </w:p>
    <w:p>
      <w:pPr>
        <w:pStyle w:val="953"/>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1.非残疾人福利性单位不需提供此声明函。</w:t>
      </w:r>
      <w:r/>
    </w:p>
    <w:p>
      <w:pPr>
        <w:pStyle w:val="953"/>
        <w:rPr>
          <w:rFonts w:hint="eastAsia" w:hAnsi="宋体" w:cs="宋体"/>
          <w:color w:val="auto"/>
          <w:highlight w:val="none"/>
        </w:rPr>
      </w:pPr>
      <w:r>
        <w:rPr>
          <w:rFonts w:hint="eastAsia" w:hAnsi="宋体" w:cs="宋体"/>
          <w:color w:val="auto"/>
          <w:highlight w:val="none"/>
        </w:rPr>
      </w:r>
      <w:r/>
    </w:p>
    <w:p>
      <w:pPr>
        <w:pStyle w:val="953"/>
        <w:rPr>
          <w:rFonts w:hint="eastAsia" w:hAnsi="宋体" w:cs="宋体"/>
          <w:color w:val="auto"/>
          <w:highlight w:val="none"/>
        </w:rPr>
      </w:pPr>
      <w:r>
        <w:rPr>
          <w:rFonts w:hint="eastAsia" w:hAnsi="宋体" w:cs="宋体"/>
          <w:color w:val="auto"/>
          <w:highlight w:val="none"/>
        </w:rPr>
      </w:r>
      <w:r/>
    </w:p>
    <w:p>
      <w:pPr>
        <w:pStyle w:val="959"/>
        <w:widowControl w:val="off"/>
        <w:rPr>
          <w:rFonts w:hint="eastAsia" w:eastAsia="宋体"/>
          <w:color w:val="auto"/>
          <w:highlight w:val="none"/>
          <w:lang w:eastAsia="zh-CN"/>
        </w:rPr>
      </w:pPr>
      <w:r>
        <w:rPr>
          <w:rFonts w:hint="eastAsia"/>
          <w:color w:val="auto"/>
          <w:highlight w:val="none"/>
        </w:rPr>
        <w:br w:type="page" w:clear="all"/>
      </w:r>
      <w:r>
        <w:rPr>
          <w:rFonts w:hint="eastAsia"/>
          <w:color w:val="auto"/>
          <w:highlight w:val="none"/>
        </w:rPr>
        <w:t xml:space="preserve">附件</w:t>
      </w:r>
      <w:r>
        <w:rPr>
          <w:rFonts w:hint="eastAsia"/>
          <w:color w:val="auto"/>
          <w:highlight w:val="none"/>
          <w:lang w:val="en-US" w:eastAsia="zh-CN"/>
        </w:rPr>
        <w:t xml:space="preserve">8</w:t>
      </w:r>
      <w:r/>
    </w:p>
    <w:p>
      <w:pPr>
        <w:pStyle w:val="953"/>
        <w:jc w:val="center"/>
        <w:rPr>
          <w:rFonts w:hint="eastAsia" w:hAnsi="宋体" w:cs="宋体"/>
          <w:color w:val="auto"/>
          <w:sz w:val="32"/>
          <w:szCs w:val="32"/>
          <w:highlight w:val="none"/>
        </w:rPr>
      </w:pPr>
      <w:r>
        <w:rPr>
          <w:rFonts w:hint="eastAsia" w:hAnsi="宋体" w:cs="宋体"/>
          <w:color w:val="auto"/>
          <w:sz w:val="32"/>
          <w:szCs w:val="32"/>
          <w:highlight w:val="none"/>
        </w:rPr>
        <w:t xml:space="preserve">监狱企业声明函</w:t>
      </w:r>
      <w:r/>
    </w:p>
    <w:p>
      <w:pPr>
        <w:pStyle w:val="953"/>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本单位郑重声明，根据《关于政府采购支持监狱企业发展有关问题的通知》（财库〔2014〕68号）的规定，本单位为监狱企业。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根据上述标准，我单位属于监狱企业的理由为：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953"/>
        <w:ind w:firstLine="420"/>
        <w:rPr>
          <w:rFonts w:hint="eastAsia" w:hAnsi="宋体" w:cs="宋体"/>
          <w:color w:val="auto"/>
          <w:highlight w:val="none"/>
        </w:rPr>
      </w:pPr>
      <w:r>
        <w:rPr>
          <w:rFonts w:hint="eastAsia" w:hAnsi="宋体" w:cs="宋体"/>
          <w:color w:val="auto"/>
          <w:highlight w:val="none"/>
        </w:rPr>
        <w:t xml:space="preserve">本单位参加</w:t>
      </w:r>
      <w:r>
        <w:rPr>
          <w:rFonts w:hint="eastAsia" w:hAnsi="宋体" w:cs="宋体"/>
          <w:color w:val="auto"/>
          <w:highlight w:val="none"/>
          <w:u w:val="single"/>
        </w:rPr>
        <w:t xml:space="preserve">（采购人名称）       </w:t>
      </w:r>
      <w:r>
        <w:rPr>
          <w:rFonts w:hint="eastAsia" w:hAnsi="宋体" w:cs="宋体"/>
          <w:color w:val="auto"/>
          <w:highlight w:val="none"/>
        </w:rPr>
        <w:t xml:space="preserve">单位的</w:t>
      </w:r>
      <w:r>
        <w:rPr>
          <w:rFonts w:hint="eastAsia" w:hAnsi="宋体" w:cs="宋体"/>
          <w:color w:val="auto"/>
          <w:highlight w:val="none"/>
          <w:u w:val="single"/>
        </w:rPr>
        <w:t xml:space="preserve">（项目名称）         </w:t>
      </w:r>
      <w:r>
        <w:rPr>
          <w:rFonts w:hint="eastAsia" w:hAnsi="宋体" w:cs="宋体"/>
          <w:color w:val="auto"/>
          <w:highlight w:val="none"/>
        </w:rPr>
        <w:t xml:space="preserve">项目的采购活动，并由本单位为本项目提供服务。</w:t>
      </w:r>
      <w:r/>
    </w:p>
    <w:p>
      <w:pPr>
        <w:pStyle w:val="953"/>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pStyle w:val="953"/>
        <w:rPr>
          <w:rFonts w:hint="eastAsia" w:hAnsi="宋体" w:cs="宋体"/>
          <w:color w:val="auto"/>
          <w:highlight w:val="none"/>
        </w:rPr>
      </w:pPr>
      <w:r>
        <w:rPr>
          <w:rFonts w:hint="eastAsia" w:hAnsi="宋体" w:cs="宋体"/>
          <w:color w:val="auto"/>
          <w:highlight w:val="none"/>
        </w:rPr>
      </w:r>
      <w:r/>
    </w:p>
    <w:p>
      <w:pPr>
        <w:pStyle w:val="953"/>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pStyle w:val="953"/>
        <w:rPr>
          <w:rFonts w:hint="eastAsia" w:hAnsi="宋体" w:cs="宋体"/>
          <w:color w:val="auto"/>
          <w:highlight w:val="none"/>
        </w:rPr>
      </w:pPr>
      <w:r>
        <w:rPr>
          <w:rFonts w:hint="eastAsia" w:hAnsi="宋体" w:cs="宋体"/>
          <w:color w:val="auto"/>
          <w:highlight w:val="none"/>
        </w:rPr>
      </w:r>
      <w:r/>
    </w:p>
    <w:p>
      <w:pPr>
        <w:pStyle w:val="953"/>
        <w:ind w:firstLine="420"/>
        <w:rPr>
          <w:rFonts w:hint="eastAsia" w:hAnsi="宋体" w:cs="宋体"/>
          <w:color w:val="auto"/>
          <w:highlight w:val="none"/>
        </w:rPr>
      </w:pPr>
      <w:r>
        <w:rPr>
          <w:rFonts w:hint="eastAsia"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1.监狱企业参加采购活动时，应当提供由省级以上监狱管理局、戒毒管理局（含新疆生产建设兵团）出具的属于监狱企业的证明文件。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3.非监狱企业不需提供此声明函。</w:t>
      </w:r>
      <w:r/>
    </w:p>
    <w:p>
      <w:pPr>
        <w:rPr>
          <w:rFonts w:hint="eastAsia" w:ascii="宋体" w:hAnsi="宋体" w:cs="宋体"/>
          <w:color w:val="auto"/>
          <w:highlight w:val="none"/>
        </w:rPr>
      </w:pPr>
      <w:r>
        <w:rPr>
          <w:rFonts w:hint="eastAsia" w:ascii="宋体" w:hAnsi="宋体" w:cs="宋体"/>
          <w:color w:val="auto"/>
          <w:highlight w:val="none"/>
        </w:rPr>
      </w:r>
      <w:r/>
    </w:p>
    <w:p>
      <w:pPr>
        <w:pStyle w:val="959"/>
        <w:widowControl w:val="off"/>
        <w:rPr>
          <w:rFonts w:hint="eastAsia" w:ascii="宋体" w:hAnsi="宋体" w:eastAsia="宋体" w:cs="宋体"/>
          <w:color w:val="auto"/>
          <w:sz w:val="32"/>
          <w:szCs w:val="32"/>
          <w:highlight w:val="none"/>
          <w:lang w:val="zh-CN" w:eastAsia="zh-CN" w:bidi="ar-SA"/>
        </w:rPr>
      </w:pPr>
      <w:r>
        <w:rPr>
          <w:rFonts w:hint="eastAsia"/>
          <w:color w:val="auto"/>
          <w:highlight w:val="none"/>
        </w:rPr>
        <w:br w:type="page" w:clear="all"/>
      </w:r>
      <w:bookmarkStart w:id="131" w:name="_Toc55707673"/>
      <w:r/>
      <w:bookmarkStart w:id="132" w:name="_Toc439777159"/>
      <w:r/>
      <w:bookmarkStart w:id="133" w:name="_Toc56153862"/>
      <w:r/>
      <w:bookmarkStart w:id="134" w:name="_Toc54372237"/>
      <w:r/>
      <w:bookmarkStart w:id="135" w:name="_Toc54372071"/>
      <w:r/>
      <w:bookmarkStart w:id="136" w:name="_Toc56409114"/>
      <w:r/>
      <w:bookmarkStart w:id="137" w:name="_Toc55654540"/>
      <w:r/>
      <w:bookmarkStart w:id="138" w:name="_Toc55639393"/>
      <w:r/>
      <w:bookmarkStart w:id="139" w:name="_Toc56139088"/>
      <w:r/>
      <w:bookmarkStart w:id="140" w:name="_Toc440442375"/>
      <w:r/>
      <w:bookmarkStart w:id="141" w:name="_Toc439777351"/>
      <w:r/>
      <w:bookmarkStart w:id="142" w:name="_Toc56141898"/>
      <w:r/>
      <w:bookmarkStart w:id="143" w:name="_Toc59900983"/>
      <w:r/>
      <w:bookmarkStart w:id="144" w:name="_Toc54372655"/>
      <w:r/>
      <w:bookmarkStart w:id="145" w:name="_Toc434481560"/>
      <w:r/>
      <w:bookmarkStart w:id="146" w:name="_Toc59896715"/>
      <w:r/>
      <w:bookmarkStart w:id="147" w:name="_Toc55705168"/>
      <w:r>
        <w:rPr>
          <w:rFonts w:hint="eastAsia"/>
          <w:color w:val="auto"/>
          <w:highlight w:val="none"/>
        </w:rPr>
        <w:t xml:space="preserve">附件</w:t>
      </w:r>
      <w:r>
        <w:rPr>
          <w:rFonts w:hint="eastAsia"/>
          <w:color w:val="auto"/>
          <w:highlight w:val="none"/>
          <w:lang w:val="en-US" w:eastAsia="zh-CN"/>
        </w:rPr>
        <w:t xml:space="preserve">9</w:t>
      </w:r>
      <w:r/>
    </w:p>
    <w:p>
      <w:pPr>
        <w:pStyle w:val="959"/>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auto"/>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2"/>
          <w:szCs w:val="32"/>
          <w:highlight w:val="none"/>
          <w:lang w:val="en-US" w:eastAsia="zh-CN" w:bidi="ar-SA"/>
        </w:rPr>
        <w:t xml:space="preserve">关于符合本国产品标准的声明函</w:t>
      </w:r>
      <w:r/>
    </w:p>
    <w:p>
      <w:pPr>
        <w:pStyle w:val="95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99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99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99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99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99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997"/>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95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r>
      <w:r/>
    </w:p>
    <w:p>
      <w:pPr>
        <w:pStyle w:val="95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供应商全称（加盖CA电子公章）：</w:t>
      </w:r>
      <w:r>
        <w:rPr>
          <w:rFonts w:hint="eastAsia" w:ascii="宋体" w:hAnsi="宋体" w:eastAsia="宋体" w:cs="宋体"/>
          <w:i w:val="0"/>
          <w:iCs w:val="0"/>
          <w:caps w:val="0"/>
          <w:color w:val="auto"/>
          <w:spacing w:val="0"/>
          <w:sz w:val="21"/>
          <w:szCs w:val="21"/>
          <w:highlight w:val="none"/>
          <w:shd w:val="clear" w:color="auto" w:fill="ffffff"/>
        </w:rPr>
        <w:t xml:space="preserve">      </w:t>
      </w:r>
      <w:r/>
    </w:p>
    <w:p>
      <w:pPr>
        <w:pStyle w:val="959"/>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日    </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rPr>
      </w:r>
      <w:r/>
    </w:p>
    <w:p>
      <w:pPr>
        <w:pStyle w:val="959"/>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959"/>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951"/>
        <w:keepLines w:val="0"/>
        <w:keepNext w:val="0"/>
        <w:pageBreakBefore w:val="0"/>
        <w:spacing w:line="360" w:lineRule="auto"/>
        <w:rPr>
          <w:rFonts w:hint="eastAsia" w:ascii="宋体" w:hAnsi="宋体" w:eastAsia="宋体" w:cs="宋体"/>
          <w:color w:val="auto"/>
          <w:sz w:val="21"/>
          <w:szCs w:val="21"/>
          <w:highlight w:val="none"/>
          <w:lang w:val="en-US" w:eastAsia="zh-CN" w:bidi="ar"/>
        </w:rPr>
        <w:sectPr>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color w:val="auto"/>
          <w:sz w:val="21"/>
          <w:szCs w:val="21"/>
          <w:highlight w:val="none"/>
          <w:lang w:val="en-US" w:eastAsia="zh-CN" w:bidi="ar"/>
        </w:rPr>
      </w:r>
      <w:r/>
    </w:p>
    <w:p>
      <w:pPr>
        <w:pStyle w:val="959"/>
        <w:widowControl w:val="off"/>
        <w:rPr>
          <w:rFonts w:hint="default"/>
          <w:color w:val="auto"/>
          <w:highlight w:val="none"/>
          <w:lang w:val="en-US" w:eastAsia="zh-CN"/>
        </w:rPr>
      </w:pPr>
      <w:r>
        <w:rPr>
          <w:rFonts w:hint="eastAsia"/>
          <w:color w:val="auto"/>
          <w:highlight w:val="none"/>
          <w:lang w:val="en-US" w:eastAsia="zh-CN"/>
        </w:rPr>
        <w:t xml:space="preserve">附件10</w:t>
      </w:r>
      <w:r/>
    </w:p>
    <w:p>
      <w:pPr>
        <w:pStyle w:val="953"/>
        <w:jc w:val="center"/>
        <w:rPr>
          <w:rFonts w:hint="eastAsia" w:hAnsi="宋体" w:cs="宋体"/>
          <w:color w:val="auto"/>
          <w:sz w:val="32"/>
          <w:szCs w:val="32"/>
          <w:highlight w:val="none"/>
        </w:rPr>
      </w:pPr>
      <w:r>
        <w:rPr>
          <w:rFonts w:hint="eastAsia" w:hAnsi="宋体" w:cs="宋体"/>
          <w:color w:val="auto"/>
          <w:sz w:val="32"/>
          <w:szCs w:val="32"/>
          <w:highlight w:val="none"/>
        </w:rPr>
        <w:t xml:space="preserve">具备履行合同所必需的设备和专业技术能力的书面声明</w:t>
      </w:r>
      <w:r/>
    </w:p>
    <w:p>
      <w:pPr>
        <w:pStyle w:val="953"/>
        <w:jc w:val="center"/>
        <w:rPr>
          <w:rFonts w:hint="eastAsia" w:hAnsi="宋体" w:cs="宋体"/>
          <w:color w:val="auto"/>
          <w:sz w:val="32"/>
          <w:szCs w:val="32"/>
          <w:highlight w:val="none"/>
        </w:rPr>
      </w:pPr>
      <w:r>
        <w:rPr>
          <w:rFonts w:hint="eastAsia" w:hAnsi="宋体" w:cs="宋体"/>
          <w:color w:val="auto"/>
          <w:sz w:val="32"/>
          <w:szCs w:val="32"/>
          <w:highlight w:val="none"/>
        </w:rPr>
      </w:r>
      <w:r/>
    </w:p>
    <w:p>
      <w:pPr>
        <w:pStyle w:val="979"/>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（供应商名称）</w:t>
      </w:r>
      <w:r>
        <w:rPr>
          <w:rFonts w:hint="eastAsia" w:ascii="宋体" w:hAnsi="宋体" w:cs="宋体"/>
          <w:color w:val="auto"/>
          <w:sz w:val="21"/>
          <w:szCs w:val="21"/>
          <w:highlight w:val="none"/>
        </w:rPr>
        <w:t xml:space="preserve">在此承诺：</w:t>
      </w:r>
      <w:r/>
    </w:p>
    <w:p>
      <w:pPr>
        <w:pStyle w:val="979"/>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我单位具备履行本项采购合同所必需的设备和专业技术能力，为履行本项采购合同我公司具备如下主要设备和主要专业技术能力：</w:t>
      </w:r>
      <w:r/>
    </w:p>
    <w:p>
      <w:pPr>
        <w:pStyle w:val="979"/>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主要设备有： </w:t>
      </w:r>
      <w:r/>
    </w:p>
    <w:p>
      <w:pPr>
        <w:pStyle w:val="979"/>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主要专业技术能力有：</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default" w:ascii="宋体" w:hAnsi="宋体" w:eastAsia="宋体" w:cs="宋体"/>
          <w:color w:val="auto"/>
          <w:highlight w:val="none"/>
          <w:lang w:val="en-US" w:eastAsia="zh-CN"/>
        </w:rPr>
      </w:pPr>
      <w:r>
        <w:rPr>
          <w:rFonts w:hint="eastAsia" w:ascii="宋体" w:hAnsi="宋体" w:cs="宋体"/>
          <w:color w:val="auto"/>
          <w:highlight w:val="none"/>
        </w:rPr>
        <w:br w:type="page" w:clear="all"/>
      </w:r>
      <w:r>
        <w:rPr>
          <w:rFonts w:hint="eastAsia" w:ascii="宋体" w:hAnsi="宋体" w:cs="宋体"/>
          <w:color w:val="auto"/>
          <w:highlight w:val="none"/>
        </w:rPr>
        <w:t xml:space="preserve">附件</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cs="宋体"/>
          <w:color w:val="auto"/>
          <w:highlight w:val="none"/>
          <w:lang w:val="en-US" w:eastAsia="zh-CN"/>
        </w:rPr>
        <w:t xml:space="preserve">11</w:t>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磋商响应函</w:t>
      </w:r>
      <w:r/>
    </w:p>
    <w:p>
      <w:pPr>
        <w:pStyle w:val="968"/>
        <w:ind w:firstLine="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（采购人）</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，正式授权下述签字人_________ （姓名和职务）代表我方______________（供应商的名称），全权处理本项目磋商采购的有关事宜。</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规定的各项要求，向采购人提供所需服务。</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及其有效补充文件，我们知道必须放弃提出含糊不清或误解问题的权利。</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6.一旦我方成交，我方将根据</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的规定，严格履行合同的责任和义务，并保证在</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规定的时间内完成项目，交付采购人验收、使用。</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7.遵守</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中要求的收费项目和标准。</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8.与本次磋商采购有关的正式通讯地址为：</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                         邮编：</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电话：                         传真：</w:t>
      </w:r>
      <w:r/>
    </w:p>
    <w:p>
      <w:pPr>
        <w:pStyle w:val="979"/>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账户： </w:t>
      </w:r>
      <w:r/>
    </w:p>
    <w:p>
      <w:pPr>
        <w:pStyle w:val="979"/>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联系电话：</w:t>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（加盖CA电子章）：</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br w:type="page" w:clear="all"/>
      </w:r>
      <w:r/>
    </w:p>
    <w:p>
      <w:pPr>
        <w:rPr>
          <w:rFonts w:hint="default" w:ascii="宋体" w:hAnsi="宋体" w:eastAsia="宋体" w:cs="宋体"/>
          <w:color w:val="auto"/>
          <w:highlight w:val="none"/>
          <w:lang w:val="en-US" w:eastAsia="zh-CN"/>
        </w:rPr>
      </w:pPr>
      <w:r/>
      <w:bookmarkStart w:id="148" w:name="_Toc7712"/>
      <w:r/>
      <w:bookmarkStart w:id="149" w:name="_Toc26371"/>
      <w:r/>
      <w:bookmarkStart w:id="150" w:name="_Toc12269"/>
      <w:r>
        <w:rPr>
          <w:rFonts w:hint="eastAsia" w:ascii="宋体" w:hAnsi="宋体" w:cs="宋体"/>
          <w:color w:val="auto"/>
          <w:highlight w:val="none"/>
        </w:rPr>
        <w:t xml:space="preserve">附件</w:t>
      </w:r>
      <w:bookmarkEnd w:id="148"/>
      <w:r/>
      <w:bookmarkEnd w:id="149"/>
      <w:r/>
      <w:bookmarkEnd w:id="150"/>
      <w:r>
        <w:rPr>
          <w:rFonts w:hint="eastAsia" w:ascii="宋体" w:hAnsi="宋体" w:cs="宋体"/>
          <w:color w:val="auto"/>
          <w:highlight w:val="none"/>
          <w:lang w:val="en-US" w:eastAsia="zh-CN"/>
        </w:rPr>
        <w:t xml:space="preserve">12</w:t>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en-US" w:eastAsia="zh-CN"/>
        </w:rPr>
        <w:t xml:space="preserve">技术或</w:t>
      </w:r>
      <w:r>
        <w:rPr>
          <w:rFonts w:hint="eastAsia" w:ascii="宋体" w:hAnsi="宋体" w:cs="宋体"/>
          <w:color w:val="auto"/>
          <w:sz w:val="32"/>
          <w:szCs w:val="32"/>
          <w:highlight w:val="none"/>
          <w:lang w:val="zh-CN"/>
        </w:rPr>
        <w:t xml:space="preserve">商务响应偏离表</w:t>
      </w:r>
      <w:r/>
    </w:p>
    <w:tbl>
      <w:tblPr>
        <w:tblStyle w:val="731"/>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265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项目需求</w:t>
            </w:r>
            <w:r/>
          </w:p>
        </w:tc>
        <w:tc>
          <w:tcPr>
            <w:tcW w:w="27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响应情况</w:t>
            </w:r>
            <w:r/>
          </w:p>
        </w:tc>
        <w:tc>
          <w:tcPr>
            <w:tcW w:w="206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偏离说明</w:t>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rPr>
                <w:rFonts w:ascii="SimSun" w:hAnsi="SimSun" w:eastAsia="SimSun" w:cs="SimSun"/>
                <w:color w:val="000000"/>
                <w:sz w:val="21"/>
              </w:rPr>
              <w:t xml:space="preserve">参数证明材料对应页码</w:t>
            </w: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t xml:space="preserve">注：</w:t>
      </w:r>
      <w:r/>
    </w:p>
    <w:p>
      <w:pPr>
        <w:ind w:firstLine="420"/>
        <w:rPr>
          <w:rFonts w:hint="eastAsia" w:ascii="宋体" w:hAnsi="宋体" w:cs="宋体"/>
          <w:color w:val="auto"/>
          <w:highlight w:val="none"/>
        </w:rPr>
      </w:pPr>
      <w:r>
        <w:rPr>
          <w:rFonts w:hint="eastAsia" w:ascii="宋体" w:hAnsi="宋体" w:cs="宋体"/>
          <w:color w:val="auto"/>
          <w:highlight w:val="none"/>
        </w:rPr>
        <w:t xml:space="preserve">1.本表即为对本</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中提出的</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及商务需求进行比较和响应；其中</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需求主要包含</w:t>
      </w:r>
      <w:r>
        <w:rPr>
          <w:rFonts w:hint="eastAsia" w:ascii="宋体" w:hAnsi="宋体" w:cs="宋体"/>
          <w:color w:val="auto"/>
          <w:highlight w:val="none"/>
          <w:lang w:val="en-US" w:eastAsia="zh-CN"/>
        </w:rPr>
        <w:t xml:space="preserve">配置及技术参数</w:t>
      </w:r>
      <w:r>
        <w:rPr>
          <w:rFonts w:hint="eastAsia" w:ascii="宋体" w:hAnsi="宋体" w:cs="宋体"/>
          <w:color w:val="auto"/>
          <w:highlight w:val="none"/>
        </w:rPr>
        <w:t xml:space="preserve">，商务需求主要包括供应商资格、合同期限、合同报价、支付方式及评审办法中所提出的评审要求等。</w:t>
      </w:r>
      <w:r/>
    </w:p>
    <w:p>
      <w:pPr>
        <w:ind w:firstLine="315"/>
        <w:rPr>
          <w:rFonts w:hint="eastAsia" w:ascii="宋体" w:hAnsi="宋体" w:cs="宋体"/>
          <w:color w:val="auto"/>
          <w:highlight w:val="none"/>
        </w:rPr>
      </w:pPr>
      <w:r>
        <w:rPr>
          <w:rFonts w:hint="eastAsia" w:ascii="宋体" w:hAnsi="宋体" w:cs="宋体"/>
          <w:color w:val="auto"/>
          <w:highlight w:val="none"/>
        </w:rPr>
        <w:t xml:space="preserve">2.该表必须按照竞争性磋商要求逐条如实填写，根据响应情况在“偏离说明”项填写正偏离或负偏离及原因，完全符合的填写“无偏离”。</w:t>
      </w:r>
      <w:r/>
    </w:p>
    <w:p>
      <w:pPr>
        <w:ind w:firstLine="315"/>
        <w:rPr>
          <w:rFonts w:hint="eastAsia" w:ascii="宋体" w:hAnsi="宋体" w:cs="宋体"/>
          <w:color w:val="auto"/>
          <w:highlight w:val="none"/>
        </w:rPr>
      </w:pPr>
      <w:r>
        <w:rPr>
          <w:rFonts w:hint="eastAsia" w:ascii="宋体" w:hAnsi="宋体" w:cs="宋体"/>
          <w:color w:val="auto"/>
          <w:highlight w:val="none"/>
        </w:rPr>
        <w:t xml:space="preserve">3.该表可扩展，并逐页签字或盖章。</w:t>
      </w:r>
      <w:r/>
    </w:p>
    <w:p>
      <w:pPr>
        <w:ind w:firstLine="315"/>
        <w:rPr>
          <w:rFonts w:hint="eastAsia" w:ascii="宋体" w:hAnsi="宋体" w:cs="宋体"/>
          <w:color w:val="auto"/>
          <w:highlight w:val="none"/>
        </w:rPr>
      </w:pPr>
      <w:r>
        <w:rPr>
          <w:rFonts w:hint="eastAsia" w:ascii="宋体" w:hAnsi="宋体" w:cs="宋体"/>
          <w:color w:val="auto"/>
          <w:highlight w:val="none"/>
        </w:rPr>
        <w:t xml:space="preserve">4.可附相关技术支撑材料。（格式自定）</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sectPr>
      <w:footerReference w:type="default" r:id="rId11"/>
      <w:footnotePr/>
      <w:endnotePr/>
      <w:type w:val="nextPage"/>
      <w:pgSz w:w="11906" w:h="16838" w:orient="portrait"/>
      <w:pgMar w:top="1440" w:right="1587"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Adobe 仿宋 Std R">
    <w:panose1 w:val="020B0503020202020204"/>
  </w:font>
  <w:font w:name="方正黑体_GBK">
    <w:panose1 w:val="020B0503020202020204"/>
  </w:font>
  <w:font w:name="Cambria">
    <w:panose1 w:val="02040503050406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490" w:leader="none"/>
        <w:tab w:val="clear" w:pos="7143"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wps:spPr>
                    <wps:txbx>
                      <w:txbxContent>
                        <w:p>
                          <w:pPr>
                            <w:pStyle w:val="956"/>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isibility:visible;" filled="f" stroked="f" strokeweight="0.50pt">
              <v:textbox inset="0,0,0,0">
                <w:txbxContent>
                  <w:p>
                    <w:pPr>
                      <w:pStyle w:val="956"/>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link w:val="998"/>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721">
    <w:name w:val="Heading 1"/>
    <w:basedOn w:val="720"/>
    <w:next w:val="720"/>
    <w:link w:val="797"/>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98"/>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59"/>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99"/>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0"/>
    <w:uiPriority w:val="9"/>
    <w:unhideWhenUsed/>
    <w:qFormat/>
    <w:pPr>
      <w:keepLines/>
      <w:keepNext/>
      <w:spacing w:before="320" w:after="200"/>
      <w:outlineLvl w:val="4"/>
    </w:pPr>
    <w:rPr>
      <w:rFonts w:ascii="Arial" w:hAnsi="Arial" w:eastAsia="Arial" w:cs="Arial"/>
      <w:b/>
      <w:bCs/>
      <w:sz w:val="24"/>
    </w:rPr>
  </w:style>
  <w:style w:type="paragraph" w:styleId="726">
    <w:name w:val="Heading 6"/>
    <w:basedOn w:val="720"/>
    <w:next w:val="720"/>
    <w:link w:val="801"/>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3"/>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04"/>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next w:val="720"/>
    <w:link w:val="993"/>
    <w:uiPriority w:val="0"/>
    <w:qFormat/>
    <w:pPr>
      <w:ind w:firstLine="420"/>
      <w:spacing w:line="240" w:lineRule="auto"/>
    </w:pPr>
    <w:rPr>
      <w:szCs w:val="20"/>
    </w:rPr>
  </w:style>
  <w:style w:type="paragraph" w:styleId="734">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5">
    <w:name w:val="annotation text"/>
    <w:basedOn w:val="720"/>
    <w:uiPriority w:val="0"/>
    <w:qFormat/>
    <w:pPr>
      <w:jc w:val="left"/>
    </w:pPr>
  </w:style>
  <w:style w:type="paragraph" w:styleId="736">
    <w:name w:val="Body Text"/>
    <w:basedOn w:val="720"/>
    <w:next w:val="737"/>
    <w:uiPriority w:val="0"/>
    <w:qFormat/>
    <w:pPr>
      <w:spacing w:after="120"/>
    </w:pPr>
  </w:style>
  <w:style w:type="paragraph" w:styleId="737">
    <w:name w:val="toc 2"/>
    <w:basedOn w:val="720"/>
    <w:next w:val="720"/>
    <w:uiPriority w:val="39"/>
    <w:unhideWhenUsed/>
    <w:qFormat/>
    <w:pPr>
      <w:ind w:left="283"/>
      <w:spacing w:after="57"/>
    </w:pPr>
  </w:style>
  <w:style w:type="paragraph" w:styleId="738">
    <w:name w:val="toc 5"/>
    <w:basedOn w:val="720"/>
    <w:next w:val="720"/>
    <w:uiPriority w:val="39"/>
    <w:unhideWhenUsed/>
    <w:qFormat/>
    <w:pPr>
      <w:ind w:left="1134"/>
      <w:spacing w:after="57"/>
    </w:pPr>
  </w:style>
  <w:style w:type="paragraph" w:styleId="739">
    <w:name w:val="toc 3"/>
    <w:basedOn w:val="720"/>
    <w:next w:val="720"/>
    <w:uiPriority w:val="39"/>
    <w:unhideWhenUsed/>
    <w:qFormat/>
    <w:pPr>
      <w:ind w:left="567"/>
      <w:spacing w:after="57"/>
    </w:pPr>
  </w:style>
  <w:style w:type="paragraph" w:styleId="740">
    <w:name w:val="toc 8"/>
    <w:basedOn w:val="720"/>
    <w:next w:val="720"/>
    <w:uiPriority w:val="39"/>
    <w:unhideWhenUsed/>
    <w:qFormat/>
    <w:pPr>
      <w:ind w:left="1984"/>
      <w:spacing w:after="57"/>
    </w:pPr>
  </w:style>
  <w:style w:type="paragraph" w:styleId="741">
    <w:name w:val="endnote text"/>
    <w:basedOn w:val="720"/>
    <w:link w:val="942"/>
    <w:uiPriority w:val="99"/>
    <w:semiHidden/>
    <w:unhideWhenUsed/>
    <w:qFormat/>
    <w:pPr>
      <w:spacing w:line="240" w:lineRule="auto"/>
    </w:pPr>
    <w:rPr>
      <w:sz w:val="20"/>
    </w:rPr>
  </w:style>
  <w:style w:type="paragraph" w:styleId="742">
    <w:name w:val="Footer"/>
    <w:basedOn w:val="720"/>
    <w:link w:val="815"/>
    <w:uiPriority w:val="99"/>
    <w:unhideWhenUsed/>
    <w:qFormat/>
    <w:pPr>
      <w:spacing w:line="240" w:lineRule="auto"/>
      <w:tabs>
        <w:tab w:val="center" w:pos="7143" w:leader="none"/>
        <w:tab w:val="right" w:pos="14287" w:leader="none"/>
      </w:tabs>
    </w:pPr>
  </w:style>
  <w:style w:type="paragraph" w:styleId="743">
    <w:name w:val="Header"/>
    <w:basedOn w:val="720"/>
    <w:link w:val="813"/>
    <w:uiPriority w:val="99"/>
    <w:unhideWhenUsed/>
    <w:qFormat/>
    <w:pPr>
      <w:spacing w:line="240" w:lineRule="auto"/>
      <w:tabs>
        <w:tab w:val="center" w:pos="7143" w:leader="none"/>
        <w:tab w:val="right" w:pos="14287" w:leader="none"/>
      </w:tabs>
    </w:pPr>
  </w:style>
  <w:style w:type="paragraph" w:styleId="744">
    <w:name w:val="toc 1"/>
    <w:basedOn w:val="720"/>
    <w:next w:val="720"/>
    <w:uiPriority w:val="39"/>
    <w:unhideWhenUsed/>
    <w:qFormat/>
    <w:pPr>
      <w:spacing w:after="57"/>
    </w:pPr>
  </w:style>
  <w:style w:type="paragraph" w:styleId="745">
    <w:name w:val="toc 4"/>
    <w:basedOn w:val="720"/>
    <w:next w:val="720"/>
    <w:uiPriority w:val="39"/>
    <w:unhideWhenUsed/>
    <w:qFormat/>
    <w:pPr>
      <w:ind w:left="850"/>
      <w:spacing w:after="57"/>
    </w:pPr>
  </w:style>
  <w:style w:type="paragraph" w:styleId="746">
    <w:name w:val="Subtitle"/>
    <w:basedOn w:val="720"/>
    <w:next w:val="720"/>
    <w:link w:val="808"/>
    <w:uiPriority w:val="11"/>
    <w:qFormat/>
    <w:pPr>
      <w:spacing w:before="200" w:after="200"/>
    </w:pPr>
    <w:rPr>
      <w:sz w:val="24"/>
    </w:rPr>
  </w:style>
  <w:style w:type="paragraph" w:styleId="747">
    <w:name w:val="footnote text"/>
    <w:basedOn w:val="720"/>
    <w:link w:val="941"/>
    <w:uiPriority w:val="99"/>
    <w:semiHidden/>
    <w:unhideWhenUsed/>
    <w:qFormat/>
    <w:pPr>
      <w:spacing w:after="40" w:line="240" w:lineRule="auto"/>
    </w:pPr>
    <w:rPr>
      <w:sz w:val="18"/>
    </w:rPr>
  </w:style>
  <w:style w:type="paragraph" w:styleId="748">
    <w:name w:val="toc 6"/>
    <w:basedOn w:val="720"/>
    <w:next w:val="720"/>
    <w:uiPriority w:val="39"/>
    <w:unhideWhenUsed/>
    <w:qFormat/>
    <w:pPr>
      <w:ind w:left="1417"/>
      <w:spacing w:after="57"/>
    </w:pPr>
  </w:style>
  <w:style w:type="paragraph" w:styleId="749">
    <w:name w:val="table of figures"/>
    <w:basedOn w:val="720"/>
    <w:next w:val="720"/>
    <w:uiPriority w:val="99"/>
    <w:unhideWhenUsed/>
    <w:qFormat/>
  </w:style>
  <w:style w:type="paragraph" w:styleId="750">
    <w:name w:val="toc 9"/>
    <w:basedOn w:val="720"/>
    <w:next w:val="720"/>
    <w:uiPriority w:val="39"/>
    <w:unhideWhenUsed/>
    <w:qFormat/>
    <w:pPr>
      <w:ind w:left="2268"/>
      <w:spacing w:after="57"/>
    </w:pPr>
  </w:style>
  <w:style w:type="paragraph" w:styleId="751">
    <w:name w:val="Body Text 2"/>
    <w:uiPriority w:val="0"/>
    <w:qFormat/>
    <w:pPr>
      <w:spacing w:after="120" w:line="480" w:lineRule="auto"/>
    </w:pPr>
    <w:rPr>
      <w:rFonts w:hint="default" w:ascii="Arial" w:hAnsi="Arial" w:eastAsia="Arial" w:cs="Arial"/>
      <w:color w:val="000000"/>
      <w:sz w:val="21"/>
      <w:szCs w:val="21"/>
      <w:lang w:val="en-US" w:eastAsia="en-US" w:bidi="ar-SA"/>
    </w:rPr>
  </w:style>
  <w:style w:type="paragraph" w:styleId="752">
    <w:name w:val="HTML Preformatted"/>
    <w:basedOn w:val="720"/>
    <w:link w:val="994"/>
    <w:uiPriority w:val="99"/>
    <w:semiHidden/>
    <w:unhideWhenUsed/>
    <w:qFormat/>
    <w:rPr>
      <w:rFonts w:ascii="Courier New" w:hAnsi="Courier New" w:cs="Courier New"/>
      <w:sz w:val="20"/>
      <w:szCs w:val="20"/>
    </w:rPr>
  </w:style>
  <w:style w:type="paragraph" w:styleId="753">
    <w:name w:val="Title"/>
    <w:basedOn w:val="720"/>
    <w:next w:val="720"/>
    <w:link w:val="807"/>
    <w:uiPriority w:val="10"/>
    <w:qFormat/>
    <w:pPr>
      <w:contextualSpacing/>
      <w:spacing w:before="300" w:after="200"/>
    </w:pPr>
    <w:rPr>
      <w:sz w:val="48"/>
      <w:szCs w:val="48"/>
    </w:rPr>
  </w:style>
  <w:style w:type="paragraph" w:styleId="754">
    <w:name w:val="Body Text First Indent"/>
    <w:basedOn w:val="736"/>
    <w:uiPriority w:val="99"/>
    <w:unhideWhenUsed/>
    <w:qFormat/>
    <w:pPr>
      <w:ind w:firstLine="200"/>
      <w:spacing w:line="360" w:lineRule="auto"/>
    </w:pPr>
    <w:rPr>
      <w:rFonts w:ascii="仿宋_GB2312" w:hAnsi="Times New Roman" w:eastAsia="仿宋_GB2312"/>
      <w:sz w:val="30"/>
      <w:szCs w:val="30"/>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character" w:styleId="759" w:customStyle="1">
    <w:name w:val="标题 3 字符"/>
    <w:link w:val="723"/>
    <w:uiPriority w:val="9"/>
    <w:qFormat/>
    <w:rPr>
      <w:rFonts w:ascii="Arial" w:hAnsi="Arial" w:eastAsia="Arial" w:cs="Arial"/>
      <w:sz w:val="30"/>
      <w:szCs w:val="30"/>
    </w:rPr>
  </w:style>
  <w:style w:type="character" w:styleId="760" w:customStyle="1">
    <w:name w:val="Heading 1 Char"/>
    <w:basedOn w:val="730"/>
    <w:uiPriority w:val="9"/>
    <w:qFormat/>
    <w:rPr>
      <w:rFonts w:ascii="Arial" w:hAnsi="Arial" w:eastAsia="Arial" w:cs="Arial"/>
      <w:sz w:val="40"/>
      <w:szCs w:val="40"/>
    </w:rPr>
  </w:style>
  <w:style w:type="character" w:styleId="761" w:customStyle="1">
    <w:name w:val="Heading 2 Char"/>
    <w:basedOn w:val="730"/>
    <w:uiPriority w:val="9"/>
    <w:qFormat/>
    <w:rPr>
      <w:rFonts w:ascii="Arial" w:hAnsi="Arial" w:eastAsia="Arial" w:cs="Arial"/>
      <w:sz w:val="34"/>
    </w:rPr>
  </w:style>
  <w:style w:type="character" w:styleId="762" w:customStyle="1">
    <w:name w:val="Heading 3 Char"/>
    <w:basedOn w:val="730"/>
    <w:uiPriority w:val="9"/>
    <w:qFormat/>
    <w:rPr>
      <w:rFonts w:ascii="Arial" w:hAnsi="Arial" w:eastAsia="Arial" w:cs="Arial"/>
      <w:sz w:val="30"/>
      <w:szCs w:val="30"/>
    </w:rPr>
  </w:style>
  <w:style w:type="character" w:styleId="763" w:customStyle="1">
    <w:name w:val="Heading 4 Char"/>
    <w:basedOn w:val="730"/>
    <w:uiPriority w:val="9"/>
    <w:qFormat/>
    <w:rPr>
      <w:rFonts w:ascii="Arial" w:hAnsi="Arial" w:eastAsia="Arial" w:cs="Arial"/>
      <w:b/>
      <w:bCs/>
      <w:sz w:val="26"/>
      <w:szCs w:val="26"/>
    </w:rPr>
  </w:style>
  <w:style w:type="character" w:styleId="764" w:customStyle="1">
    <w:name w:val="Heading 5 Char"/>
    <w:basedOn w:val="730"/>
    <w:uiPriority w:val="9"/>
    <w:qFormat/>
    <w:rPr>
      <w:rFonts w:ascii="Arial" w:hAnsi="Arial" w:eastAsia="Arial" w:cs="Arial"/>
      <w:b/>
      <w:bCs/>
      <w:sz w:val="24"/>
      <w:szCs w:val="24"/>
    </w:rPr>
  </w:style>
  <w:style w:type="character" w:styleId="765" w:customStyle="1">
    <w:name w:val="Heading 6 Char"/>
    <w:basedOn w:val="730"/>
    <w:uiPriority w:val="9"/>
    <w:qFormat/>
    <w:rPr>
      <w:rFonts w:ascii="Arial" w:hAnsi="Arial" w:eastAsia="Arial" w:cs="Arial"/>
      <w:b/>
      <w:bCs/>
      <w:sz w:val="22"/>
      <w:szCs w:val="22"/>
    </w:rPr>
  </w:style>
  <w:style w:type="character" w:styleId="766" w:customStyle="1">
    <w:name w:val="Heading 7 Char"/>
    <w:basedOn w:val="730"/>
    <w:uiPriority w:val="9"/>
    <w:qFormat/>
    <w:rPr>
      <w:rFonts w:ascii="Arial" w:hAnsi="Arial" w:eastAsia="Arial" w:cs="Arial"/>
      <w:b/>
      <w:bCs/>
      <w:i/>
      <w:iCs/>
      <w:sz w:val="22"/>
      <w:szCs w:val="22"/>
    </w:rPr>
  </w:style>
  <w:style w:type="character" w:styleId="767" w:customStyle="1">
    <w:name w:val="Heading 8 Char"/>
    <w:basedOn w:val="730"/>
    <w:uiPriority w:val="9"/>
    <w:qFormat/>
    <w:rPr>
      <w:rFonts w:ascii="Arial" w:hAnsi="Arial" w:eastAsia="Arial" w:cs="Arial"/>
      <w:i/>
      <w:iCs/>
      <w:sz w:val="22"/>
      <w:szCs w:val="22"/>
    </w:rPr>
  </w:style>
  <w:style w:type="character" w:styleId="768" w:customStyle="1">
    <w:name w:val="Heading 9 Char"/>
    <w:basedOn w:val="730"/>
    <w:uiPriority w:val="9"/>
    <w:qFormat/>
    <w:rPr>
      <w:rFonts w:ascii="Arial" w:hAnsi="Arial" w:eastAsia="Arial" w:cs="Arial"/>
      <w:i/>
      <w:iCs/>
      <w:sz w:val="21"/>
      <w:szCs w:val="21"/>
    </w:rPr>
  </w:style>
  <w:style w:type="character" w:styleId="769" w:customStyle="1">
    <w:name w:val="Title Char"/>
    <w:basedOn w:val="730"/>
    <w:uiPriority w:val="10"/>
    <w:qFormat/>
    <w:rPr>
      <w:sz w:val="48"/>
      <w:szCs w:val="48"/>
    </w:rPr>
  </w:style>
  <w:style w:type="character" w:styleId="770" w:customStyle="1">
    <w:name w:val="Subtitle Char"/>
    <w:basedOn w:val="730"/>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basedOn w:val="730"/>
    <w:uiPriority w:val="99"/>
    <w:qFormat/>
  </w:style>
  <w:style w:type="character" w:styleId="774" w:customStyle="1">
    <w:name w:val="Caption Char"/>
    <w:uiPriority w:val="99"/>
    <w:qFormat/>
  </w:style>
  <w:style w:type="table" w:styleId="775"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Heading"/>
    <w:uiPriority w:val="39"/>
    <w:unhideWhenUsed/>
    <w:qFormat/>
    <w:rPr>
      <w:rFonts w:hint="default" w:ascii="Times New Roman" w:hAnsi="Times New Roman" w:eastAsia="宋体" w:cs="Times New Roman"/>
    </w:rPr>
  </w:style>
  <w:style w:type="character" w:styleId="797" w:customStyle="1">
    <w:name w:val="标题 1 字符"/>
    <w:link w:val="721"/>
    <w:uiPriority w:val="9"/>
    <w:qFormat/>
    <w:rPr>
      <w:rFonts w:ascii="Arial" w:hAnsi="Arial" w:eastAsia="Arial" w:cs="Arial"/>
      <w:sz w:val="40"/>
      <w:szCs w:val="40"/>
    </w:rPr>
  </w:style>
  <w:style w:type="character" w:styleId="798" w:customStyle="1">
    <w:name w:val="标题 2 字符"/>
    <w:link w:val="722"/>
    <w:uiPriority w:val="9"/>
    <w:qFormat/>
    <w:rPr>
      <w:rFonts w:ascii="Arial" w:hAnsi="Arial" w:eastAsia="Arial" w:cs="Arial"/>
      <w:sz w:val="34"/>
    </w:rPr>
  </w:style>
  <w:style w:type="character" w:styleId="799" w:customStyle="1">
    <w:name w:val="标题 4 字符"/>
    <w:link w:val="724"/>
    <w:uiPriority w:val="9"/>
    <w:qFormat/>
    <w:rPr>
      <w:rFonts w:ascii="Arial" w:hAnsi="Arial" w:eastAsia="Arial" w:cs="Arial"/>
      <w:b/>
      <w:bCs/>
      <w:sz w:val="26"/>
      <w:szCs w:val="26"/>
    </w:rPr>
  </w:style>
  <w:style w:type="character" w:styleId="800" w:customStyle="1">
    <w:name w:val="标题 5 字符"/>
    <w:link w:val="725"/>
    <w:uiPriority w:val="9"/>
    <w:qFormat/>
    <w:rPr>
      <w:rFonts w:ascii="Arial" w:hAnsi="Arial" w:eastAsia="Arial" w:cs="Arial"/>
      <w:b/>
      <w:bCs/>
      <w:sz w:val="24"/>
      <w:szCs w:val="24"/>
    </w:rPr>
  </w:style>
  <w:style w:type="character" w:styleId="801" w:customStyle="1">
    <w:name w:val="标题 6 字符"/>
    <w:link w:val="726"/>
    <w:uiPriority w:val="9"/>
    <w:qFormat/>
    <w:rPr>
      <w:rFonts w:ascii="Arial" w:hAnsi="Arial" w:eastAsia="Arial" w:cs="Arial"/>
      <w:b/>
      <w:bCs/>
      <w:sz w:val="22"/>
      <w:szCs w:val="22"/>
    </w:rPr>
  </w:style>
  <w:style w:type="character" w:styleId="802" w:customStyle="1">
    <w:name w:val="标题 7 字符"/>
    <w:link w:val="727"/>
    <w:uiPriority w:val="9"/>
    <w:qFormat/>
    <w:rPr>
      <w:rFonts w:ascii="Arial" w:hAnsi="Arial" w:eastAsia="Arial" w:cs="Arial"/>
      <w:b/>
      <w:bCs/>
      <w:i/>
      <w:iCs/>
      <w:sz w:val="22"/>
      <w:szCs w:val="22"/>
    </w:rPr>
  </w:style>
  <w:style w:type="character" w:styleId="803" w:customStyle="1">
    <w:name w:val="标题 8 字符"/>
    <w:link w:val="728"/>
    <w:uiPriority w:val="9"/>
    <w:qFormat/>
    <w:rPr>
      <w:rFonts w:ascii="Arial" w:hAnsi="Arial" w:eastAsia="Arial" w:cs="Arial"/>
      <w:i/>
      <w:iCs/>
      <w:sz w:val="22"/>
      <w:szCs w:val="22"/>
    </w:rPr>
  </w:style>
  <w:style w:type="character" w:styleId="804" w:customStyle="1">
    <w:name w:val="标题 9 字符"/>
    <w:link w:val="729"/>
    <w:uiPriority w:val="9"/>
    <w:qFormat/>
    <w:rPr>
      <w:rFonts w:ascii="Arial" w:hAnsi="Arial" w:eastAsia="Arial" w:cs="Arial"/>
      <w:i/>
      <w:iCs/>
      <w:sz w:val="21"/>
      <w:szCs w:val="21"/>
    </w:rPr>
  </w:style>
  <w:style w:type="paragraph" w:styleId="805">
    <w:name w:val="List Paragraph"/>
    <w:basedOn w:val="720"/>
    <w:uiPriority w:val="34"/>
    <w:qFormat/>
    <w:pPr>
      <w:contextualSpacing/>
      <w:ind w:left="720"/>
    </w:pPr>
  </w:style>
  <w:style w:type="paragraph" w:styleId="806">
    <w:name w:val="No Spacing"/>
    <w:uiPriority w:val="1"/>
    <w:qFormat/>
    <w:rPr>
      <w:rFonts w:hint="default" w:ascii="Times New Roman" w:hAnsi="Times New Roman" w:eastAsia="宋体" w:cs="Times New Roman"/>
      <w:lang w:val="en-US" w:eastAsia="zh-CN" w:bidi="ar-SA"/>
    </w:rPr>
  </w:style>
  <w:style w:type="character" w:styleId="807" w:customStyle="1">
    <w:name w:val="标题 字符"/>
    <w:link w:val="753"/>
    <w:uiPriority w:val="10"/>
    <w:qFormat/>
    <w:rPr>
      <w:sz w:val="48"/>
      <w:szCs w:val="48"/>
    </w:rPr>
  </w:style>
  <w:style w:type="character" w:styleId="808" w:customStyle="1">
    <w:name w:val="副标题 字符"/>
    <w:link w:val="746"/>
    <w:uiPriority w:val="11"/>
    <w:qFormat/>
    <w:rPr>
      <w:sz w:val="24"/>
      <w:szCs w:val="24"/>
    </w:rPr>
  </w:style>
  <w:style w:type="paragraph" w:styleId="809">
    <w:name w:val="Quote"/>
    <w:basedOn w:val="720"/>
    <w:next w:val="720"/>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20"/>
    <w:next w:val="720"/>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页眉 字符"/>
    <w:link w:val="743"/>
    <w:uiPriority w:val="99"/>
    <w:qFormat/>
  </w:style>
  <w:style w:type="character" w:styleId="814" w:customStyle="1">
    <w:name w:val="Footer Char"/>
    <w:uiPriority w:val="99"/>
    <w:qFormat/>
  </w:style>
  <w:style w:type="character" w:styleId="815" w:customStyle="1">
    <w:name w:val="页脚 字符"/>
    <w:link w:val="742"/>
    <w:uiPriority w:val="99"/>
    <w:qFormat/>
  </w:style>
  <w:style w:type="table" w:styleId="8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字符"/>
    <w:link w:val="747"/>
    <w:uiPriority w:val="99"/>
    <w:qFormat/>
    <w:rPr>
      <w:sz w:val="18"/>
    </w:rPr>
  </w:style>
  <w:style w:type="character" w:styleId="942" w:customStyle="1">
    <w:name w:val="尾注文本 字符"/>
    <w:link w:val="741"/>
    <w:uiPriority w:val="99"/>
    <w:qFormat/>
    <w:rPr>
      <w:sz w:val="20"/>
    </w:rPr>
  </w:style>
  <w:style w:type="paragraph" w:styleId="943" w:customStyle="1">
    <w:name w:val="TOC 标题1"/>
    <w:uiPriority w:val="39"/>
    <w:unhideWhenUsed/>
    <w:qFormat/>
    <w:rPr>
      <w:rFonts w:hint="default" w:ascii="Times New Roman" w:hAnsi="Times New Roman" w:eastAsia="宋体" w:cs="Times New Roman"/>
      <w:lang w:val="en-US" w:eastAsia="zh-CN" w:bidi="ar-SA"/>
    </w:rPr>
  </w:style>
  <w:style w:type="paragraph" w:styleId="944" w:customStyle="1">
    <w:name w:val="标题 11"/>
    <w:basedOn w:val="720"/>
    <w:next w:val="720"/>
    <w:uiPriority w:val="0"/>
    <w:qFormat/>
    <w:pPr>
      <w:keepNext/>
      <w:outlineLvl w:val="0"/>
    </w:pPr>
    <w:rPr>
      <w:rFonts w:ascii="楷体_GB2312" w:eastAsia="楷体_GB2312"/>
      <w:sz w:val="28"/>
      <w:szCs w:val="20"/>
    </w:rPr>
  </w:style>
  <w:style w:type="paragraph" w:styleId="945" w:customStyle="1">
    <w:name w:val="标题 21"/>
    <w:basedOn w:val="720"/>
    <w:next w:val="720"/>
    <w:uiPriority w:val="0"/>
    <w:qFormat/>
    <w:pPr>
      <w:jc w:val="center"/>
      <w:keepLines/>
      <w:keepNext/>
      <w:spacing w:before="260" w:after="260" w:line="416" w:lineRule="auto"/>
      <w:outlineLvl w:val="1"/>
    </w:pPr>
    <w:rPr>
      <w:rFonts w:ascii="Arial" w:hAnsi="Arial" w:eastAsia="幼圆"/>
      <w:b/>
      <w:sz w:val="44"/>
      <w:szCs w:val="20"/>
    </w:rPr>
  </w:style>
  <w:style w:type="paragraph" w:styleId="946" w:customStyle="1">
    <w:name w:val="正文缩进1"/>
    <w:basedOn w:val="720"/>
    <w:next w:val="720"/>
    <w:uiPriority w:val="0"/>
    <w:qFormat/>
    <w:pPr>
      <w:ind w:firstLine="420"/>
    </w:pPr>
    <w:rPr>
      <w:szCs w:val="21"/>
    </w:rPr>
  </w:style>
  <w:style w:type="paragraph" w:styleId="947" w:customStyle="1">
    <w:name w:val="标题 41"/>
    <w:basedOn w:val="720"/>
    <w:next w:val="720"/>
    <w:uiPriority w:val="0"/>
    <w:qFormat/>
    <w:pPr>
      <w:keepLines/>
      <w:keepNext/>
      <w:spacing w:before="120" w:after="120"/>
      <w:outlineLvl w:val="3"/>
    </w:pPr>
    <w:rPr>
      <w:rFonts w:ascii="Arial" w:hAnsi="Arial" w:eastAsia="黑体"/>
      <w:b/>
      <w:sz w:val="28"/>
    </w:rPr>
  </w:style>
  <w:style w:type="character" w:styleId="948" w:customStyle="1">
    <w:name w:val="默认段落字体1"/>
    <w:uiPriority w:val="0"/>
    <w:semiHidden/>
    <w:qFormat/>
  </w:style>
  <w:style w:type="table" w:styleId="949" w:customStyle="1">
    <w:name w:val="普通表格1"/>
    <w:uiPriority w:val="0"/>
    <w:semiHidden/>
    <w:qFormat/>
    <w:tblPr>
      <w:tblCellMar>
        <w:left w:w="0" w:type="dxa"/>
        <w:top w:w="0" w:type="dxa"/>
        <w:right w:w="0" w:type="dxa"/>
        <w:bottom w:w="0" w:type="dxa"/>
      </w:tblCellMar>
    </w:tblPr>
  </w:style>
  <w:style w:type="paragraph" w:styleId="950" w:customStyle="1">
    <w:name w:val="批注文字1"/>
    <w:basedOn w:val="720"/>
    <w:uiPriority w:val="0"/>
    <w:qFormat/>
    <w:pPr>
      <w:jc w:val="left"/>
    </w:pPr>
  </w:style>
  <w:style w:type="paragraph" w:styleId="951" w:customStyle="1">
    <w:name w:val="正文文本1"/>
    <w:basedOn w:val="720"/>
    <w:uiPriority w:val="0"/>
    <w:qFormat/>
    <w:rPr>
      <w:rFonts w:ascii="楷体_GB2312" w:hAnsi="Arial" w:eastAsia="楷体_GB2312"/>
      <w:sz w:val="28"/>
      <w:szCs w:val="20"/>
    </w:rPr>
  </w:style>
  <w:style w:type="paragraph" w:styleId="952" w:customStyle="1">
    <w:name w:val="正文文本缩进1"/>
    <w:basedOn w:val="720"/>
    <w:uiPriority w:val="0"/>
    <w:qFormat/>
    <w:pPr>
      <w:ind w:firstLine="645"/>
    </w:pPr>
    <w:rPr>
      <w:rFonts w:ascii="楷体_GB2312" w:eastAsia="楷体_GB2312"/>
      <w:sz w:val="32"/>
      <w:szCs w:val="20"/>
    </w:rPr>
  </w:style>
  <w:style w:type="paragraph" w:styleId="953" w:customStyle="1">
    <w:name w:val="纯文本11"/>
    <w:basedOn w:val="720"/>
    <w:uiPriority w:val="0"/>
    <w:qFormat/>
    <w:rPr>
      <w:rFonts w:ascii="宋体" w:hAnsi="Courier New"/>
      <w:szCs w:val="21"/>
      <w:lang w:val="zh-CN"/>
    </w:rPr>
  </w:style>
  <w:style w:type="paragraph" w:styleId="954" w:customStyle="1">
    <w:name w:val="批注框文本1"/>
    <w:basedOn w:val="720"/>
    <w:link w:val="955"/>
    <w:uiPriority w:val="0"/>
    <w:qFormat/>
    <w:pPr>
      <w:spacing w:line="240" w:lineRule="auto"/>
    </w:pPr>
    <w:rPr>
      <w:sz w:val="18"/>
      <w:szCs w:val="18"/>
    </w:rPr>
  </w:style>
  <w:style w:type="character" w:styleId="955" w:customStyle="1">
    <w:name w:val="批注框文本 Char"/>
    <w:link w:val="954"/>
    <w:uiPriority w:val="0"/>
    <w:qFormat/>
    <w:rPr>
      <w:sz w:val="18"/>
      <w:szCs w:val="18"/>
    </w:rPr>
  </w:style>
  <w:style w:type="paragraph" w:styleId="956" w:customStyle="1">
    <w:name w:val="页脚1"/>
    <w:basedOn w:val="720"/>
    <w:uiPriority w:val="0"/>
    <w:qFormat/>
    <w:pPr>
      <w:jc w:val="left"/>
      <w:tabs>
        <w:tab w:val="center" w:pos="4153" w:leader="none"/>
        <w:tab w:val="right" w:pos="8306" w:leader="none"/>
      </w:tabs>
    </w:pPr>
    <w:rPr>
      <w:sz w:val="18"/>
      <w:szCs w:val="20"/>
    </w:rPr>
  </w:style>
  <w:style w:type="paragraph" w:styleId="957" w:customStyle="1">
    <w:name w:val="页眉1"/>
    <w:basedOn w:val="720"/>
    <w:uiPriority w:val="0"/>
    <w:qFormat/>
    <w:pPr>
      <w:jc w:val="center"/>
      <w:tabs>
        <w:tab w:val="center" w:pos="4153" w:leader="none"/>
        <w:tab w:val="right" w:pos="8306" w:leader="none"/>
      </w:tabs>
      <w:pBdr>
        <w:bottom w:val="single" w:color="000000" w:sz="6" w:space="1"/>
      </w:pBdr>
    </w:pPr>
    <w:rPr>
      <w:sz w:val="18"/>
      <w:szCs w:val="18"/>
    </w:rPr>
  </w:style>
  <w:style w:type="paragraph" w:styleId="958" w:customStyle="1">
    <w:name w:val="副标题1"/>
    <w:basedOn w:val="720"/>
    <w:next w:val="720"/>
    <w:uiPriority w:val="0"/>
    <w:qFormat/>
    <w:pPr>
      <w:jc w:val="center"/>
      <w:spacing w:before="240" w:after="60" w:line="312" w:lineRule="auto"/>
      <w:outlineLvl w:val="1"/>
    </w:pPr>
    <w:rPr>
      <w:rFonts w:ascii="Cambria" w:hAnsi="Cambria"/>
      <w:b/>
      <w:sz w:val="32"/>
    </w:rPr>
  </w:style>
  <w:style w:type="paragraph" w:styleId="959" w:customStyle="1">
    <w:name w:val="普通(网站)1"/>
    <w:basedOn w:val="720"/>
    <w:uiPriority w:val="0"/>
    <w:qFormat/>
    <w:pPr>
      <w:jc w:val="left"/>
      <w:spacing w:before="100" w:beforeAutospacing="1" w:after="100" w:afterAutospacing="1"/>
      <w:widowControl/>
    </w:pPr>
    <w:rPr>
      <w:rFonts w:ascii="宋体" w:hAnsi="宋体" w:cs="宋体"/>
      <w:sz w:val="24"/>
    </w:rPr>
  </w:style>
  <w:style w:type="paragraph" w:styleId="960" w:customStyle="1">
    <w:name w:val="正文首行缩进1"/>
    <w:basedOn w:val="951"/>
    <w:uiPriority w:val="0"/>
    <w:qFormat/>
    <w:pPr>
      <w:ind w:firstLine="420"/>
      <w:spacing w:after="120"/>
    </w:pPr>
    <w:rPr>
      <w:szCs w:val="24"/>
    </w:rPr>
  </w:style>
  <w:style w:type="paragraph" w:styleId="961" w:customStyle="1">
    <w:name w:val="正文首行缩进 21"/>
    <w:basedOn w:val="952"/>
    <w:uiPriority w:val="0"/>
    <w:semiHidden/>
    <w:qFormat/>
    <w:pPr>
      <w:ind w:firstLine="420"/>
    </w:pPr>
  </w:style>
  <w:style w:type="table" w:styleId="962" w:customStyle="1">
    <w:name w:val="网格型1"/>
    <w:basedOn w:val="949"/>
    <w:uiPriority w:val="0"/>
    <w:qFormat/>
    <w:pPr>
      <w:jc w:val="both"/>
      <w:widowControl w:val="off"/>
    </w:pPr>
    <w:tblPr/>
  </w:style>
  <w:style w:type="character" w:styleId="963" w:customStyle="1">
    <w:name w:val="页码1"/>
    <w:uiPriority w:val="0"/>
    <w:qFormat/>
    <w:rPr>
      <w:rFonts w:ascii="Times New Roman" w:hAnsi="Times New Roman" w:eastAsia="宋体"/>
    </w:rPr>
  </w:style>
  <w:style w:type="paragraph" w:styleId="964" w:customStyle="1">
    <w:name w:val="段"/>
    <w:next w:val="965"/>
    <w:uiPriority w:val="0"/>
    <w:qFormat/>
    <w:pPr>
      <w:ind w:firstLine="200"/>
      <w:jc w:val="both"/>
    </w:pPr>
    <w:rPr>
      <w:rFonts w:hint="default" w:ascii="宋体" w:hAnsi="Times New Roman" w:eastAsia="宋体" w:cs="Times New Roman"/>
      <w:sz w:val="21"/>
      <w:lang w:val="en-US" w:eastAsia="zh-CN" w:bidi="ar-SA"/>
    </w:rPr>
  </w:style>
  <w:style w:type="paragraph" w:styleId="965" w:customStyle="1">
    <w:name w:val="正文11"/>
    <w:next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6" w:customStyle="1">
    <w:name w:val="Default"/>
    <w:basedOn w:val="720"/>
    <w:uiPriority w:val="0"/>
    <w:qFormat/>
    <w:pPr>
      <w:jc w:val="left"/>
    </w:pPr>
    <w:rPr>
      <w:rFonts w:ascii="仿宋" w:hAnsi="仿宋" w:eastAsia="仿宋" w:cs="宋体"/>
      <w:color w:val="000000"/>
      <w:sz w:val="24"/>
    </w:rPr>
  </w:style>
  <w:style w:type="paragraph" w:styleId="967" w:customStyle="1">
    <w:name w:val="TOC 71"/>
    <w:basedOn w:val="720"/>
    <w:next w:val="720"/>
    <w:uiPriority w:val="0"/>
    <w:qFormat/>
    <w:pPr>
      <w:ind w:left="2550"/>
      <w:spacing w:before="100" w:beforeAutospacing="1" w:after="100" w:afterAutospacing="1"/>
      <w:widowControl/>
    </w:pPr>
    <w:rPr>
      <w:szCs w:val="21"/>
    </w:rPr>
  </w:style>
  <w:style w:type="paragraph" w:styleId="968" w:customStyle="1">
    <w:name w:val="普通正文"/>
    <w:basedOn w:val="720"/>
    <w:uiPriority w:val="0"/>
    <w:qFormat/>
    <w:pPr>
      <w:ind w:firstLine="480"/>
      <w:jc w:val="left"/>
      <w:spacing w:before="120" w:after="120"/>
    </w:pPr>
    <w:rPr>
      <w:rFonts w:ascii="Arial" w:hAnsi="Arial"/>
      <w:sz w:val="24"/>
    </w:rPr>
  </w:style>
  <w:style w:type="paragraph" w:styleId="969" w:customStyle="1">
    <w:name w:val="WPSOffice手动目录 1"/>
    <w:uiPriority w:val="0"/>
    <w:qFormat/>
    <w:rPr>
      <w:rFonts w:hint="default" w:ascii="Times New Roman" w:hAnsi="Times New Roman" w:eastAsia="宋体" w:cs="Times New Roman"/>
      <w:lang w:val="en-US" w:eastAsia="zh-CN" w:bidi="ar-SA"/>
    </w:rPr>
  </w:style>
  <w:style w:type="paragraph" w:styleId="970" w:customStyle="1">
    <w:name w:val="List Paragraph1"/>
    <w:basedOn w:val="720"/>
    <w:uiPriority w:val="0"/>
    <w:qFormat/>
    <w:pPr>
      <w:ind w:firstLine="420"/>
    </w:pPr>
    <w:rPr>
      <w:szCs w:val="22"/>
    </w:rPr>
  </w:style>
  <w:style w:type="paragraph" w:styleId="971" w:customStyle="1">
    <w:name w:val="_Style 21"/>
    <w:basedOn w:val="720"/>
    <w:next w:val="970"/>
    <w:uiPriority w:val="0"/>
    <w:qFormat/>
    <w:pPr>
      <w:ind w:left="890" w:firstLine="420"/>
      <w:jc w:val="left"/>
    </w:pPr>
    <w:rPr>
      <w:rFonts w:ascii="Calibri" w:hAnsi="Calibri"/>
      <w:szCs w:val="22"/>
    </w:rPr>
  </w:style>
  <w:style w:type="paragraph" w:styleId="972" w:customStyle="1">
    <w:name w:val="列出段落1"/>
    <w:basedOn w:val="720"/>
    <w:uiPriority w:val="0"/>
    <w:qFormat/>
    <w:pPr>
      <w:ind w:firstLine="420"/>
    </w:pPr>
    <w:rPr>
      <w:rFonts w:ascii="Calibri" w:hAnsi="Calibri"/>
      <w:szCs w:val="22"/>
    </w:rPr>
  </w:style>
  <w:style w:type="paragraph" w:styleId="973" w:customStyle="1">
    <w:name w:val="正文空2格  1."/>
    <w:basedOn w:val="720"/>
    <w:uiPriority w:val="0"/>
    <w:qFormat/>
    <w:pPr>
      <w:ind w:firstLine="480"/>
    </w:pPr>
    <w:rPr>
      <w:rFonts w:cs="宋体"/>
      <w:sz w:val="28"/>
      <w:szCs w:val="20"/>
    </w:rPr>
  </w:style>
  <w:style w:type="paragraph" w:styleId="974" w:customStyle="1">
    <w:name w:val="_Style 1"/>
    <w:uiPriority w:val="0"/>
    <w:qFormat/>
    <w:rPr>
      <w:rFonts w:hint="default" w:ascii="Tahoma" w:hAnsi="Tahoma" w:eastAsia="宋体" w:cs="Times New Roman"/>
      <w:sz w:val="22"/>
      <w:szCs w:val="22"/>
      <w:lang w:val="en-US" w:eastAsia="zh-CN" w:bidi="ar-SA"/>
    </w:rPr>
  </w:style>
  <w:style w:type="paragraph" w:styleId="975" w:customStyle="1">
    <w:name w:val="注释标题1"/>
    <w:basedOn w:val="720"/>
    <w:next w:val="720"/>
    <w:uiPriority w:val="0"/>
    <w:qFormat/>
    <w:rPr>
      <w:rFonts w:ascii="Verdana" w:hAnsi="Verdana"/>
      <w:szCs w:val="20"/>
    </w:rPr>
  </w:style>
  <w:style w:type="paragraph" w:styleId="976" w:customStyle="1">
    <w:name w:val="纯文本1"/>
    <w:basedOn w:val="720"/>
    <w:uiPriority w:val="0"/>
    <w:qFormat/>
    <w:rPr>
      <w:rFonts w:ascii="宋体" w:hAnsi="Courier New" w:eastAsia="楷体_GB2312" w:cs="宋体"/>
      <w:sz w:val="28"/>
      <w:szCs w:val="21"/>
    </w:rPr>
  </w:style>
  <w:style w:type="paragraph" w:styleId="977"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78" w:customStyle="1">
    <w:name w:val="目录 11"/>
    <w:basedOn w:val="965"/>
    <w:next w:val="965"/>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79" w:customStyle="1">
    <w:name w:val="Char"/>
    <w:basedOn w:val="720"/>
    <w:uiPriority w:val="0"/>
    <w:qFormat/>
    <w:pPr>
      <w:tabs>
        <w:tab w:val="left" w:pos="360" w:leader="none"/>
      </w:tabs>
    </w:pPr>
    <w:rPr>
      <w:sz w:val="24"/>
    </w:rPr>
  </w:style>
  <w:style w:type="character" w:styleId="980" w:customStyle="1">
    <w:name w:val="font21"/>
    <w:uiPriority w:val="0"/>
    <w:qFormat/>
    <w:rPr>
      <w:rFonts w:hint="eastAsia" w:ascii="宋体" w:hAnsi="宋体" w:eastAsia="宋体" w:cs="宋体"/>
      <w:color w:val="ff0000"/>
      <w:sz w:val="22"/>
      <w:szCs w:val="22"/>
      <w:u w:val="none"/>
    </w:rPr>
  </w:style>
  <w:style w:type="paragraph" w:styleId="981" w:customStyle="1">
    <w:name w:val="列出段落"/>
    <w:basedOn w:val="720"/>
    <w:uiPriority w:val="34"/>
    <w:qFormat/>
    <w:pPr>
      <w:ind w:firstLine="420"/>
    </w:pPr>
  </w:style>
  <w:style w:type="table" w:styleId="982" w:customStyle="1">
    <w:name w:val="Table Normal"/>
    <w:uiPriority w:val="0"/>
    <w:unhideWhenUsed/>
    <w:qFormat/>
    <w:tblPr>
      <w:tblCellMar>
        <w:left w:w="0" w:type="dxa"/>
        <w:top w:w="0" w:type="dxa"/>
        <w:right w:w="0" w:type="dxa"/>
        <w:bottom w:w="0" w:type="dxa"/>
      </w:tblCellMar>
    </w:tblPr>
  </w:style>
  <w:style w:type="paragraph" w:styleId="983" w:customStyle="1">
    <w:name w:val="Table Text"/>
    <w:basedOn w:val="720"/>
    <w:uiPriority w:val="0"/>
    <w:semiHidden/>
    <w:qFormat/>
    <w:rPr>
      <w:rFonts w:ascii="Arial" w:hAnsi="Arial" w:eastAsia="Arial" w:cs="Arial"/>
      <w:szCs w:val="21"/>
      <w:lang w:eastAsia="en-US"/>
    </w:rPr>
  </w:style>
  <w:style w:type="paragraph" w:styleId="984" w:customStyle="1">
    <w:name w:val="DAS正文"/>
    <w:basedOn w:val="720"/>
    <w:uiPriority w:val="0"/>
    <w:qFormat/>
    <w:pPr>
      <w:ind w:right="181" w:firstLine="480"/>
    </w:pPr>
    <w:rPr>
      <w:rFonts w:ascii="Verdana" w:hAnsi="Verdana"/>
    </w:rPr>
  </w:style>
  <w:style w:type="character" w:styleId="985" w:customStyle="1">
    <w:name w:val="apple-style-span"/>
    <w:basedOn w:val="730"/>
    <w:uiPriority w:val="0"/>
    <w:qFormat/>
  </w:style>
  <w:style w:type="character" w:styleId="986" w:customStyle="1">
    <w:name w:val="font41"/>
    <w:basedOn w:val="730"/>
    <w:uiPriority w:val="0"/>
    <w:qFormat/>
    <w:rPr>
      <w:rFonts w:hint="default" w:ascii="方正黑体_GBK" w:hAnsi="方正黑体_GBK" w:eastAsia="方正黑体_GBK" w:cs="方正黑体_GBK"/>
      <w:color w:val="000000"/>
      <w:sz w:val="24"/>
      <w:szCs w:val="24"/>
      <w:u w:val="none"/>
    </w:rPr>
  </w:style>
  <w:style w:type="character" w:styleId="987" w:customStyle="1">
    <w:name w:val="font71"/>
    <w:basedOn w:val="730"/>
    <w:uiPriority w:val="0"/>
    <w:qFormat/>
    <w:rPr>
      <w:rFonts w:hint="default" w:ascii="方正黑体_GBK" w:hAnsi="方正黑体_GBK" w:eastAsia="方正黑体_GBK" w:cs="方正黑体_GBK"/>
      <w:color w:val="000000"/>
      <w:sz w:val="22"/>
      <w:szCs w:val="22"/>
      <w:u w:val="none"/>
    </w:rPr>
  </w:style>
  <w:style w:type="character" w:styleId="988" w:customStyle="1">
    <w:name w:val="font51"/>
    <w:basedOn w:val="730"/>
    <w:uiPriority w:val="0"/>
    <w:qFormat/>
    <w:rPr>
      <w:rFonts w:hint="eastAsia" w:ascii="宋体" w:hAnsi="宋体" w:eastAsia="宋体" w:cs="宋体"/>
      <w:color w:val="000000"/>
      <w:sz w:val="24"/>
      <w:szCs w:val="24"/>
      <w:u w:val="none"/>
    </w:rPr>
  </w:style>
  <w:style w:type="character" w:styleId="989" w:customStyle="1">
    <w:name w:val="font81"/>
    <w:basedOn w:val="730"/>
    <w:uiPriority w:val="0"/>
    <w:qFormat/>
    <w:rPr>
      <w:rFonts w:hint="eastAsia" w:ascii="宋体" w:hAnsi="宋体" w:eastAsia="宋体" w:cs="宋体"/>
      <w:color w:val="000000"/>
      <w:sz w:val="20"/>
      <w:szCs w:val="20"/>
      <w:u w:val="none"/>
    </w:rPr>
  </w:style>
  <w:style w:type="character" w:styleId="990" w:customStyle="1">
    <w:name w:val="font61"/>
    <w:basedOn w:val="730"/>
    <w:uiPriority w:val="0"/>
    <w:qFormat/>
    <w:rPr>
      <w:rFonts w:hint="eastAsia" w:ascii="宋体" w:hAnsi="宋体" w:eastAsia="宋体" w:cs="宋体"/>
      <w:color w:val="000000"/>
      <w:sz w:val="20"/>
      <w:szCs w:val="20"/>
      <w:u w:val="none"/>
    </w:rPr>
  </w:style>
  <w:style w:type="character" w:styleId="991" w:customStyle="1">
    <w:name w:val="font01"/>
    <w:basedOn w:val="730"/>
    <w:uiPriority w:val="0"/>
    <w:qFormat/>
    <w:rPr>
      <w:rFonts w:hint="eastAsia" w:ascii="宋体" w:hAnsi="宋体" w:eastAsia="宋体" w:cs="宋体"/>
      <w:color w:val="000000"/>
      <w:sz w:val="22"/>
      <w:szCs w:val="22"/>
      <w:u w:val="none"/>
    </w:rPr>
  </w:style>
  <w:style w:type="paragraph" w:styleId="992" w:customStyle="1">
    <w:name w:val="文档结构图1"/>
    <w:basedOn w:val="720"/>
    <w:uiPriority w:val="0"/>
    <w:qFormat/>
    <w:pPr>
      <w:shd w:val="clear" w:color="auto" w:fill="000080"/>
    </w:pPr>
  </w:style>
  <w:style w:type="character" w:styleId="993" w:customStyle="1">
    <w:name w:val="正文缩进 字符"/>
    <w:link w:val="733"/>
    <w:uiPriority w:val="0"/>
    <w:qFormat/>
    <w:rPr>
      <w:sz w:val="21"/>
    </w:rPr>
  </w:style>
  <w:style w:type="character" w:styleId="994" w:customStyle="1">
    <w:name w:val="HTML 预设格式 字符"/>
    <w:basedOn w:val="730"/>
    <w:link w:val="752"/>
    <w:uiPriority w:val="99"/>
    <w:semiHidden/>
    <w:qFormat/>
    <w:rPr>
      <w:rFonts w:ascii="Courier New" w:hAnsi="Courier New" w:cs="Courier New"/>
    </w:rPr>
  </w:style>
  <w:style w:type="paragraph" w:styleId="995" w:customStyle="1">
    <w:name w:val="p16"/>
    <w:basedOn w:val="720"/>
    <w:uiPriority w:val="0"/>
    <w:qFormat/>
    <w:pPr>
      <w:jc w:val="left"/>
      <w:widowControl/>
    </w:pPr>
    <w:rPr>
      <w:sz w:val="24"/>
      <w:szCs w:val="24"/>
    </w:rPr>
  </w:style>
  <w:style w:type="paragraph" w:styleId="996" w:customStyle="1">
    <w:name w:val="null3"/>
    <w:uiPriority w:val="0"/>
    <w:qFormat/>
    <w:rPr>
      <w:rFonts w:hint="default" w:asciiTheme="minorHAnsi" w:hAnsiTheme="minorHAnsi" w:eastAsiaTheme="minorEastAsia" w:cstheme="minorBidi"/>
      <w:lang w:val="en-US" w:eastAsia="zh-Hans" w:bidi="ar-SA"/>
    </w:rPr>
  </w:style>
  <w:style w:type="character" w:styleId="997" w:customStyle="1">
    <w:name w:val="强调1"/>
    <w:basedOn w:val="998"/>
    <w:link w:val="720"/>
    <w:uiPriority w:val="20"/>
    <w:qFormat/>
    <w:rPr>
      <w:rFonts w:ascii="Times New Roman" w:hAnsi="Times New Roman" w:eastAsia="宋体" w:cs="Times New Roman"/>
      <w:sz w:val="21"/>
      <w:szCs w:val="24"/>
      <w:lang w:val="en-US" w:eastAsia="zh-CN" w:bidi="ar-SA"/>
    </w:rPr>
  </w:style>
  <w:style w:type="character" w:styleId="998" w:customStyle="1">
    <w:name w:val="默认段落字体11"/>
    <w:link w:val="720"/>
    <w:uiPriority w:val="0"/>
    <w:semiHidden/>
    <w:qFormat/>
  </w:style>
  <w:style w:type="table" w:styleId="999" w:customStyle="1">
    <w:name w:val="table"/>
    <w:basedOn w:val="731"/>
    <w:uiPriority w:val="0"/>
    <w:qFormat/>
    <w:tblPr/>
  </w:style>
  <w:style w:type="numbering" w:styleId="9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d19ebab0-b6b9-4a6f-bee9-bf8f46a46126</errorID>
      <errorWord>&lt;</errorWord>
      <group>L1_Format</group>
      <groupName>格式问题</groupName>
      <ability>L2_HalfPunc_CN</ability>
      <abilityName>全半角问题</abilityName>
      <candidateList>
        <item>〈</item>
      </candidateList>
      <explain>文本全半角错误。</explain>
      <paraID>54075F67</paraID>
      <start>58</start>
      <end>59</end>
      <status>ignored</status>
      <modifiedWord/>
      <trackRevisions>false</trackRevisions>
    </reviewItem>
    <reviewItem>
      <errorID>9ec8ce32-44ef-4020-8150-2b577599046f</errorID>
      <errorWord>&gt;</errorWord>
      <group>L1_Format</group>
      <groupName>格式问题</groupName>
      <ability>L2_HalfPunc_CN</ability>
      <abilityName>全半角问题</abilityName>
      <candidateList>
        <item>〉</item>
      </candidateList>
      <explain>文本全半角错误。</explain>
      <paraID>54075F67</paraID>
      <start>89</start>
      <end>90</end>
      <status>ignored</status>
      <modifiedWord/>
      <trackRevisions>false</trackRevisions>
    </reviewItem>
    <reviewItem>
      <errorID>991b249d-888b-4f31-ac7f-b9fa9f21441d</errorID>
      <errorWord>证可证</errorWord>
      <group>L1_Word</group>
      <groupName>字词问题</groupName>
      <ability>L2_Typo</ability>
      <abilityName>字词错误</abilityName>
      <candidateList>
        <item>许可证</item>
      </candidateList>
      <explain/>
      <paraID>4ECF22E1</paraID>
      <start>34</start>
      <end>37</end>
      <status>modified</status>
      <modifiedWord>许可证</modifiedWord>
      <trackRevisions>false</trackRevisions>
    </reviewItem>
    <reviewItem>
      <errorID>dfce0428-c3cc-465f-b1eb-8666215534ce</errorID>
      <errorWord>证可证</errorWord>
      <group>L1_Word</group>
      <groupName>字词问题</groupName>
      <ability>L2_Typo</ability>
      <abilityName>字词错误</abilityName>
      <candidateList>
        <item>许可证</item>
      </candidateList>
      <explain/>
      <paraID>4ECF22E1</paraID>
      <start>95</start>
      <end>98</end>
      <status>modified</status>
      <modifiedWord>许可证</modifiedWord>
      <trackRevisions>false</trackRevisions>
    </reviewItem>
    <reviewItem>
      <errorID>2b18643f-5c96-446f-890a-b621a9b43aa1</errorID>
      <errorWord>&lt;</errorWord>
      <group>L1_Format</group>
      <groupName>格式问题</groupName>
      <ability>L2_HalfPunc_CN</ability>
      <abilityName>全半角问题</abilityName>
      <candidateList>
        <item>〈</item>
      </candidateList>
      <explain>文本全半角错误。</explain>
      <paraID>5CE17F3F</paraID>
      <start>18</start>
      <end>19</end>
      <status>ignored</status>
      <modifiedWord/>
      <trackRevisions>false</trackRevisions>
    </reviewItem>
    <reviewItem>
      <errorID>1104a4ab-6745-4b6f-a21d-cca939f2d540</errorID>
      <errorWord>&gt;的通知》</errorWord>
      <group>L1_Punc</group>
      <groupName>标点问题</groupName>
      <ability>L2_Punc_CN</ability>
      <abilityName>标点符号问题</abilityName>
      <candidateList>
        <item>〉的通知》</item>
      </candidateList>
      <explain/>
      <paraID>5CE17F3F</paraID>
      <start>36</start>
      <end>41</end>
      <status>ignored</status>
      <modifiedWord/>
      <trackRevisions>false</trackRevisions>
    </reviewItem>
    <reviewItem>
      <errorID>0f7216bf-1f24-44c6-9774-048f5410c33d</errorID>
      <errorWord>&lt;</errorWord>
      <group>L1_Format</group>
      <groupName>格式问题</groupName>
      <ability>L2_HalfPunc_CN</ability>
      <abilityName>全半角问题</abilityName>
      <candidateList>
        <item>〈</item>
      </candidateList>
      <explain>文本全半角错误。</explain>
      <paraID>5B8AC6D6</paraID>
      <start>50</start>
      <end>51</end>
      <status>ignored</status>
      <modifiedWord/>
      <trackRevisions>false</trackRevisions>
    </reviewItem>
    <reviewItem>
      <errorID>de691831-3166-4b74-8fe1-ba0e18a93616</errorID>
      <errorWord>&lt;</errorWord>
      <group>L1_Format</group>
      <groupName>格式问题</groupName>
      <ability>L2_HalfPunc_CN</ability>
      <abilityName>全半角问题</abilityName>
      <candidateList>
        <item>〈</item>
      </candidateList>
      <explain>文本全半角错误。</explain>
      <paraID>462C39F0</paraID>
      <start>50</start>
      <end>51</end>
      <status>ignored</status>
      <modifiedWord/>
      <trackRevisions>false</trackRevisions>
    </reviewItem>
    <reviewItem>
      <errorID>6877b868-6ebc-4ae7-8d8c-62bd0dcb9a6f</errorID>
      <errorWord>&lt;</errorWord>
      <group>L1_Format</group>
      <groupName>格式问题</groupName>
      <ability>L2_HalfPunc_CN</ability>
      <abilityName>全半角问题</abilityName>
      <candidateList>
        <item>〈</item>
      </candidateList>
      <explain>文本全半角错误。</explain>
      <paraID>491615EE</paraID>
      <start>35</start>
      <end>36</end>
      <status>ignored</status>
      <modifiedWord/>
      <trackRevisions>false</trackRevisions>
    </reviewItem>
    <reviewItem>
      <errorID>1be5453d-facd-485a-8027-23cb021a0ec1</errorID>
      <errorWord>机率为</errorWord>
      <group>L1_Word</group>
      <groupName>字词问题</groupName>
      <ability>L2_Typo</ability>
      <abilityName>字词错误</abilityName>
      <candidateList>
        <item>概率为</item>
      </candidateList>
      <explain/>
      <paraID>7DD21A5E</paraID>
      <start>101</start>
      <end>104</end>
      <status>ignored</status>
      <modifiedWord/>
      <trackRevisions>false</trackRevisions>
    </reviewItem>
    <reviewItem>
      <errorID>7068e741-6a9a-4fde-948e-48794fe7c3a5</errorID>
      <errorWord>KW</errorWord>
      <group>L1_Word</group>
      <groupName>字词问题</groupName>
      <ability>L2_Typo</ability>
      <abilityName>字词错误</abilityName>
      <candidateList>
        <item>kW</item>
      </candidateList>
      <explain/>
      <paraID>6810B586</paraID>
      <start>3</start>
      <end>5</end>
      <status>modified</status>
      <modifiedWord>kW</modifiedWord>
      <trackRevisions>false</trackRevisions>
    </reviewItem>
    <reviewItem>
      <errorID>2aaab991-759c-4062-b6ed-a8f36a4f14e0</errorID>
      <errorWord>存贮</errorWord>
      <group>L1_Word</group>
      <groupName>字词问题</groupName>
      <ability>L2_Typo</ability>
      <abilityName>字词错误</abilityName>
      <candidateList>
        <item>存储</item>
      </candidateList>
      <explain/>
      <paraID>1EC037CD</paraID>
      <start>0</start>
      <end>2</end>
      <status>modified</status>
      <modifiedWord>存储</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EA3325-A88A-494D-BC52-B9C590611CD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王梅</cp:lastModifiedBy>
  <cp:revision>5</cp:revision>
  <dcterms:created xsi:type="dcterms:W3CDTF">2026-05-18T09:31:00Z</dcterms:created>
  <dcterms:modified xsi:type="dcterms:W3CDTF">2026-08-05T02:28:15Z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85D54B25EA694A0B977CC6FEAE152CD0_13</vt:lpwstr>
  </property>
  <property fmtid="{D5CDD505-2E9C-101B-9397-08002B2CF9AE}" pid="4" name="KSOTemplateDocerSaveRecord">
    <vt:lpwstr>eyJoZGlkIjoiZTM4MDE0ZWMzOWI0MTdjM2U3ZWU1OGFmYzNkZjE5NWEiLCJ1c2VySWQiOiI0MTE1Mjc1MTYifQ==</vt:lpwstr>
  </property>
</Properties>
</file>