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154876">
      <w:pPr>
        <w:pageBreakBefore w:val="0"/>
        <w:spacing w:line="360" w:lineRule="auto"/>
        <w:jc w:val="right"/>
        <w:rPr>
          <w:rFonts w:ascii="Times New Roman" w:hAnsi="Times New Roman" w:eastAsia="宋体"/>
          <w:color w:val="auto"/>
          <w:sz w:val="36"/>
          <w:highlight w:val="none"/>
        </w:rPr>
      </w:pPr>
    </w:p>
    <w:p w14:paraId="34C9ACA7">
      <w:pPr>
        <w:pageBreakBefore w:val="0"/>
        <w:spacing w:line="360" w:lineRule="auto"/>
        <w:jc w:val="center"/>
        <w:rPr>
          <w:rFonts w:ascii="Times New Roman" w:hAnsi="Times New Roman" w:eastAsia="宋体"/>
          <w:color w:val="auto"/>
          <w:sz w:val="36"/>
          <w:highlight w:val="none"/>
        </w:rPr>
      </w:pPr>
    </w:p>
    <w:p w14:paraId="4E162E0A">
      <w:pPr>
        <w:pageBreakBefore w:val="0"/>
        <w:spacing w:line="360" w:lineRule="auto"/>
        <w:jc w:val="center"/>
        <w:rPr>
          <w:rFonts w:hint="eastAsia" w:ascii="Times New Roman" w:hAnsi="Times New Roman"/>
          <w:b/>
          <w:bCs/>
          <w:color w:val="auto"/>
          <w:sz w:val="36"/>
          <w:highlight w:val="none"/>
          <w:lang w:eastAsia="zh-CN"/>
        </w:rPr>
      </w:pPr>
    </w:p>
    <w:p w14:paraId="78DCED98">
      <w:pPr>
        <w:pageBreakBefore w:val="0"/>
        <w:spacing w:line="360" w:lineRule="auto"/>
        <w:jc w:val="center"/>
        <w:rPr>
          <w:rFonts w:ascii="Times New Roman" w:hAnsi="Times New Roman" w:eastAsia="宋体"/>
          <w:b/>
          <w:bCs/>
          <w:color w:val="auto"/>
          <w:sz w:val="36"/>
          <w:highlight w:val="none"/>
        </w:rPr>
      </w:pPr>
      <w:r>
        <w:rPr>
          <w:rFonts w:hint="eastAsia" w:ascii="Times New Roman" w:hAnsi="Times New Roman"/>
          <w:b/>
          <w:bCs/>
          <w:color w:val="auto"/>
          <w:sz w:val="36"/>
          <w:highlight w:val="none"/>
          <w:lang w:eastAsia="zh-CN"/>
        </w:rPr>
        <w:t>宝应县2026年度国土变更调查及日常国土变更调查工作</w:t>
      </w:r>
      <w:r>
        <w:rPr>
          <w:rFonts w:hint="eastAsia" w:ascii="Times New Roman" w:hAnsi="Times New Roman" w:eastAsia="宋体"/>
          <w:b/>
          <w:bCs/>
          <w:color w:val="auto"/>
          <w:sz w:val="36"/>
          <w:highlight w:val="none"/>
        </w:rPr>
        <w:t>公开招标文件</w:t>
      </w:r>
    </w:p>
    <w:p w14:paraId="3F1DD5F4">
      <w:pPr>
        <w:pageBreakBefore w:val="0"/>
        <w:spacing w:line="360" w:lineRule="auto"/>
        <w:jc w:val="center"/>
        <w:rPr>
          <w:rFonts w:ascii="Times New Roman" w:hAnsi="Times New Roman" w:eastAsia="宋体"/>
          <w:color w:val="auto"/>
          <w:sz w:val="36"/>
          <w:highlight w:val="none"/>
        </w:rPr>
      </w:pPr>
    </w:p>
    <w:p w14:paraId="55C71618">
      <w:pPr>
        <w:pageBreakBefore w:val="0"/>
        <w:spacing w:line="360" w:lineRule="auto"/>
        <w:jc w:val="center"/>
        <w:rPr>
          <w:rFonts w:ascii="Times New Roman" w:hAnsi="Times New Roman" w:eastAsia="宋体"/>
          <w:color w:val="auto"/>
          <w:sz w:val="36"/>
          <w:highlight w:val="none"/>
        </w:rPr>
      </w:pPr>
    </w:p>
    <w:p w14:paraId="77443E9D">
      <w:pPr>
        <w:pStyle w:val="196"/>
        <w:widowControl w:val="0"/>
        <w:numPr>
          <w:ilvl w:val="0"/>
          <w:numId w:val="0"/>
        </w:numPr>
        <w:jc w:val="both"/>
        <w:rPr>
          <w:rFonts w:ascii="Times New Roman" w:hAnsi="Times New Roman" w:eastAsia="宋体"/>
          <w:color w:val="auto"/>
          <w:sz w:val="36"/>
          <w:highlight w:val="none"/>
        </w:rPr>
      </w:pPr>
    </w:p>
    <w:p w14:paraId="10E8AA2F">
      <w:pPr>
        <w:pStyle w:val="196"/>
        <w:widowControl w:val="0"/>
        <w:numPr>
          <w:ilvl w:val="0"/>
          <w:numId w:val="0"/>
        </w:numPr>
        <w:jc w:val="both"/>
        <w:rPr>
          <w:rFonts w:ascii="Times New Roman" w:hAnsi="Times New Roman" w:eastAsia="宋体"/>
          <w:color w:val="auto"/>
          <w:sz w:val="36"/>
          <w:highlight w:val="none"/>
        </w:rPr>
      </w:pPr>
    </w:p>
    <w:p w14:paraId="4523285D">
      <w:pPr>
        <w:pStyle w:val="196"/>
        <w:widowControl w:val="0"/>
        <w:numPr>
          <w:ilvl w:val="0"/>
          <w:numId w:val="0"/>
        </w:numPr>
        <w:jc w:val="both"/>
        <w:rPr>
          <w:rFonts w:ascii="Times New Roman" w:hAnsi="Times New Roman" w:eastAsia="宋体"/>
          <w:color w:val="auto"/>
          <w:sz w:val="36"/>
          <w:highlight w:val="none"/>
        </w:rPr>
      </w:pPr>
    </w:p>
    <w:p w14:paraId="4FD025F1">
      <w:pPr>
        <w:pStyle w:val="196"/>
        <w:widowControl w:val="0"/>
        <w:numPr>
          <w:ilvl w:val="0"/>
          <w:numId w:val="0"/>
        </w:numPr>
        <w:jc w:val="both"/>
        <w:rPr>
          <w:rFonts w:ascii="Times New Roman" w:hAnsi="Times New Roman" w:eastAsia="宋体"/>
          <w:color w:val="auto"/>
          <w:sz w:val="36"/>
          <w:highlight w:val="none"/>
        </w:rPr>
      </w:pPr>
    </w:p>
    <w:p w14:paraId="5CC09F17">
      <w:pPr>
        <w:pStyle w:val="196"/>
        <w:widowControl w:val="0"/>
        <w:numPr>
          <w:ilvl w:val="0"/>
          <w:numId w:val="0"/>
        </w:numPr>
        <w:jc w:val="both"/>
        <w:rPr>
          <w:rFonts w:ascii="Times New Roman" w:hAnsi="Times New Roman" w:eastAsia="宋体"/>
          <w:color w:val="auto"/>
          <w:sz w:val="36"/>
          <w:highlight w:val="none"/>
        </w:rPr>
      </w:pPr>
    </w:p>
    <w:p w14:paraId="72DD2793">
      <w:pPr>
        <w:pStyle w:val="196"/>
        <w:widowControl w:val="0"/>
        <w:numPr>
          <w:ilvl w:val="0"/>
          <w:numId w:val="0"/>
        </w:numPr>
        <w:jc w:val="both"/>
        <w:rPr>
          <w:rFonts w:ascii="Times New Roman" w:hAnsi="Times New Roman" w:eastAsia="宋体"/>
          <w:color w:val="auto"/>
          <w:sz w:val="36"/>
          <w:highlight w:val="none"/>
        </w:rPr>
      </w:pPr>
    </w:p>
    <w:p w14:paraId="23DBCE0F">
      <w:pPr>
        <w:pStyle w:val="196"/>
        <w:widowControl w:val="0"/>
        <w:numPr>
          <w:ilvl w:val="0"/>
          <w:numId w:val="0"/>
        </w:numPr>
        <w:jc w:val="both"/>
        <w:rPr>
          <w:rFonts w:ascii="Times New Roman" w:hAnsi="Times New Roman" w:eastAsia="宋体"/>
          <w:color w:val="auto"/>
          <w:sz w:val="36"/>
          <w:highlight w:val="none"/>
        </w:rPr>
      </w:pPr>
    </w:p>
    <w:p w14:paraId="725CCBB8">
      <w:pPr>
        <w:pStyle w:val="196"/>
        <w:widowControl w:val="0"/>
        <w:numPr>
          <w:ilvl w:val="0"/>
          <w:numId w:val="0"/>
        </w:numPr>
        <w:jc w:val="both"/>
        <w:rPr>
          <w:rFonts w:ascii="Times New Roman" w:hAnsi="Times New Roman" w:eastAsia="宋体"/>
          <w:color w:val="auto"/>
          <w:sz w:val="36"/>
          <w:highlight w:val="none"/>
        </w:rPr>
      </w:pPr>
    </w:p>
    <w:p w14:paraId="5952FAD2">
      <w:pPr>
        <w:pStyle w:val="196"/>
        <w:widowControl w:val="0"/>
        <w:numPr>
          <w:ilvl w:val="0"/>
          <w:numId w:val="0"/>
        </w:numPr>
        <w:jc w:val="both"/>
        <w:rPr>
          <w:rFonts w:ascii="Times New Roman" w:hAnsi="Times New Roman" w:eastAsia="宋体"/>
          <w:color w:val="auto"/>
          <w:sz w:val="36"/>
          <w:highlight w:val="none"/>
        </w:rPr>
      </w:pPr>
    </w:p>
    <w:p w14:paraId="3568B9F9">
      <w:pPr>
        <w:pStyle w:val="196"/>
        <w:widowControl w:val="0"/>
        <w:numPr>
          <w:ilvl w:val="0"/>
          <w:numId w:val="0"/>
        </w:numPr>
        <w:jc w:val="both"/>
        <w:rPr>
          <w:rFonts w:ascii="Times New Roman" w:hAnsi="Times New Roman" w:eastAsia="宋体"/>
          <w:color w:val="auto"/>
          <w:sz w:val="36"/>
          <w:highlight w:val="none"/>
        </w:rPr>
      </w:pPr>
    </w:p>
    <w:p w14:paraId="6A046CEE">
      <w:pPr>
        <w:pStyle w:val="196"/>
        <w:widowControl w:val="0"/>
        <w:numPr>
          <w:ilvl w:val="0"/>
          <w:numId w:val="0"/>
        </w:numPr>
        <w:jc w:val="both"/>
        <w:rPr>
          <w:rFonts w:ascii="Times New Roman" w:hAnsi="Times New Roman" w:eastAsia="宋体"/>
          <w:color w:val="auto"/>
          <w:sz w:val="36"/>
          <w:highlight w:val="none"/>
        </w:rPr>
      </w:pPr>
    </w:p>
    <w:p w14:paraId="47B95967">
      <w:pPr>
        <w:pStyle w:val="196"/>
        <w:widowControl w:val="0"/>
        <w:numPr>
          <w:ilvl w:val="0"/>
          <w:numId w:val="0"/>
        </w:numPr>
        <w:jc w:val="both"/>
        <w:rPr>
          <w:rFonts w:ascii="Times New Roman" w:hAnsi="Times New Roman" w:eastAsia="宋体"/>
          <w:color w:val="auto"/>
          <w:sz w:val="36"/>
          <w:highlight w:val="none"/>
        </w:rPr>
      </w:pPr>
    </w:p>
    <w:p w14:paraId="3C301CB6">
      <w:pPr>
        <w:pageBreakBefore w:val="0"/>
        <w:spacing w:line="360" w:lineRule="auto"/>
        <w:jc w:val="center"/>
        <w:rPr>
          <w:rFonts w:ascii="Times New Roman" w:hAnsi="Times New Roman" w:eastAsia="宋体"/>
          <w:color w:val="auto"/>
          <w:sz w:val="36"/>
          <w:highlight w:val="none"/>
        </w:rPr>
      </w:pPr>
    </w:p>
    <w:p w14:paraId="3B0820D6">
      <w:pPr>
        <w:pageBreakBefore w:val="0"/>
        <w:spacing w:line="360" w:lineRule="auto"/>
        <w:jc w:val="center"/>
        <w:rPr>
          <w:rFonts w:ascii="Times New Roman" w:hAnsi="Times New Roman" w:eastAsia="宋体"/>
          <w:color w:val="auto"/>
          <w:sz w:val="36"/>
          <w:highlight w:val="none"/>
        </w:rPr>
      </w:pPr>
    </w:p>
    <w:p w14:paraId="4D70412C">
      <w:pPr>
        <w:pageBreakBefore w:val="0"/>
        <w:spacing w:line="360" w:lineRule="auto"/>
        <w:jc w:val="center"/>
        <w:rPr>
          <w:rFonts w:hint="eastAsia" w:ascii="Times New Roman" w:hAnsi="Times New Roman" w:eastAsia="宋体"/>
          <w:b/>
          <w:bCs/>
          <w:color w:val="auto"/>
          <w:sz w:val="36"/>
          <w:highlight w:val="none"/>
        </w:rPr>
      </w:pPr>
    </w:p>
    <w:p w14:paraId="23F43F69">
      <w:pPr>
        <w:pageBreakBefore w:val="0"/>
        <w:spacing w:line="360" w:lineRule="auto"/>
        <w:jc w:val="center"/>
        <w:rPr>
          <w:rFonts w:hint="eastAsia" w:ascii="Times New Roman" w:hAnsi="Times New Roman" w:eastAsia="宋体"/>
          <w:b/>
          <w:bCs/>
          <w:color w:val="auto"/>
          <w:sz w:val="36"/>
          <w:highlight w:val="none"/>
          <w:lang w:eastAsia="zh-CN"/>
        </w:rPr>
      </w:pPr>
      <w:r>
        <w:rPr>
          <w:rFonts w:hint="eastAsia" w:ascii="Times New Roman" w:hAnsi="Times New Roman"/>
          <w:b/>
          <w:bCs/>
          <w:color w:val="auto"/>
          <w:sz w:val="36"/>
          <w:highlight w:val="none"/>
          <w:lang w:eastAsia="zh-CN"/>
        </w:rPr>
        <w:t>江苏中瑞建设项目管理有限公司</w:t>
      </w:r>
    </w:p>
    <w:p w14:paraId="169F2B81">
      <w:pPr>
        <w:pageBreakBefore w:val="0"/>
        <w:spacing w:line="360" w:lineRule="auto"/>
        <w:jc w:val="center"/>
        <w:rPr>
          <w:rFonts w:ascii="Times New Roman" w:hAnsi="Times New Roman" w:eastAsia="宋体"/>
          <w:b/>
          <w:bCs/>
          <w:color w:val="auto"/>
          <w:sz w:val="36"/>
          <w:highlight w:val="none"/>
        </w:rPr>
      </w:pPr>
      <w:r>
        <w:rPr>
          <w:rFonts w:hint="eastAsia" w:ascii="Times New Roman" w:hAnsi="Times New Roman" w:eastAsia="宋体"/>
          <w:b/>
          <w:bCs/>
          <w:color w:val="auto"/>
          <w:sz w:val="36"/>
          <w:highlight w:val="none"/>
        </w:rPr>
        <w:t>2026年</w:t>
      </w:r>
      <w:r>
        <w:rPr>
          <w:rFonts w:hint="default" w:ascii="Times New Roman" w:hAnsi="Times New Roman"/>
          <w:b/>
          <w:bCs/>
          <w:color w:val="auto"/>
          <w:sz w:val="36"/>
          <w:highlight w:val="none"/>
          <w:lang w:val="en-US" w:eastAsia="zh-CN"/>
        </w:rPr>
        <w:t>0</w:t>
      </w:r>
      <w:r>
        <w:rPr>
          <w:rFonts w:hint="eastAsia" w:ascii="Times New Roman" w:hAnsi="Times New Roman"/>
          <w:b/>
          <w:bCs/>
          <w:color w:val="auto"/>
          <w:sz w:val="36"/>
          <w:highlight w:val="none"/>
          <w:lang w:val="en-US" w:eastAsia="zh-CN"/>
        </w:rPr>
        <w:t>7</w:t>
      </w:r>
      <w:r>
        <w:rPr>
          <w:rFonts w:hint="eastAsia" w:ascii="Times New Roman" w:hAnsi="Times New Roman" w:eastAsia="宋体"/>
          <w:b/>
          <w:bCs/>
          <w:color w:val="auto"/>
          <w:sz w:val="36"/>
          <w:highlight w:val="none"/>
        </w:rPr>
        <w:t>月</w:t>
      </w:r>
      <w:r>
        <w:rPr>
          <w:rFonts w:hint="eastAsia" w:ascii="Times New Roman" w:hAnsi="Times New Roman"/>
          <w:b/>
          <w:bCs/>
          <w:color w:val="auto"/>
          <w:sz w:val="36"/>
          <w:highlight w:val="none"/>
          <w:lang w:val="en-US" w:eastAsia="zh-CN"/>
        </w:rPr>
        <w:t>14</w:t>
      </w:r>
      <w:r>
        <w:rPr>
          <w:rFonts w:hint="eastAsia" w:ascii="Times New Roman" w:hAnsi="Times New Roman" w:eastAsia="宋体"/>
          <w:b/>
          <w:bCs/>
          <w:color w:val="auto"/>
          <w:sz w:val="36"/>
          <w:highlight w:val="none"/>
        </w:rPr>
        <w:t>日</w:t>
      </w:r>
    </w:p>
    <w:p w14:paraId="20E7ACB5">
      <w:pPr>
        <w:pageBreakBefore w:val="0"/>
        <w:spacing w:line="360" w:lineRule="auto"/>
        <w:jc w:val="center"/>
        <w:rPr>
          <w:rFonts w:ascii="Times New Roman" w:hAnsi="Times New Roman" w:eastAsia="宋体"/>
          <w:color w:val="auto"/>
          <w:sz w:val="32"/>
          <w:highlight w:val="none"/>
        </w:rPr>
        <w:sectPr>
          <w:headerReference r:id="rId3" w:type="default"/>
          <w:pgSz w:w="11906" w:h="16838"/>
          <w:pgMar w:top="1440" w:right="1800" w:bottom="1440" w:left="1800" w:header="851" w:footer="992" w:gutter="0"/>
          <w:cols w:space="720" w:num="1"/>
          <w:docGrid w:linePitch="360" w:charSpace="0"/>
        </w:sectPr>
      </w:pPr>
    </w:p>
    <w:p w14:paraId="26A557E2">
      <w:pPr>
        <w:pageBreakBefore w:val="0"/>
        <w:spacing w:line="360" w:lineRule="auto"/>
        <w:jc w:val="both"/>
        <w:rPr>
          <w:rFonts w:ascii="Times New Roman" w:hAnsi="Times New Roman" w:eastAsia="宋体"/>
          <w:color w:val="auto"/>
          <w:sz w:val="32"/>
          <w:highlight w:val="none"/>
        </w:rPr>
      </w:pPr>
    </w:p>
    <w:p w14:paraId="6E111F6D">
      <w:pPr>
        <w:pageBreakBefore w:val="0"/>
        <w:spacing w:line="360" w:lineRule="auto"/>
        <w:jc w:val="center"/>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目录</w:t>
      </w:r>
    </w:p>
    <w:p w14:paraId="5CA8660A">
      <w:pPr>
        <w:pStyle w:val="27"/>
        <w:pageBreakBefore w:val="0"/>
        <w:tabs>
          <w:tab w:val="right" w:leader="dot" w:pos="8306"/>
        </w:tabs>
        <w:spacing w:line="360" w:lineRule="auto"/>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fldChar w:fldCharType="begin"/>
      </w:r>
      <w:r>
        <w:rPr>
          <w:rFonts w:hint="eastAsia" w:ascii="Times New Roman" w:hAnsi="Times New Roman" w:eastAsia="宋体"/>
          <w:color w:val="auto"/>
          <w:sz w:val="30"/>
          <w:szCs w:val="30"/>
          <w:highlight w:val="none"/>
        </w:rPr>
        <w:instrText xml:space="preserve"> TOC \o "1-3" \f </w:instrText>
      </w:r>
      <w:r>
        <w:rPr>
          <w:rFonts w:hint="eastAsia" w:ascii="Times New Roman" w:hAnsi="Times New Roman" w:eastAsia="宋体"/>
          <w:color w:val="auto"/>
          <w:sz w:val="30"/>
          <w:szCs w:val="30"/>
          <w:highlight w:val="none"/>
        </w:rPr>
        <w:fldChar w:fldCharType="separate"/>
      </w:r>
      <w:r>
        <w:rPr>
          <w:rFonts w:hint="eastAsia" w:ascii="Times New Roman" w:hAnsi="Times New Roman" w:eastAsia="宋体"/>
          <w:color w:val="auto"/>
          <w:sz w:val="30"/>
          <w:szCs w:val="30"/>
          <w:highlight w:val="none"/>
        </w:rPr>
        <w:t>第一章投标邀请</w:t>
      </w:r>
      <w:r>
        <w:rPr>
          <w:rFonts w:ascii="Times New Roman" w:hAnsi="Times New Roman" w:eastAsia="宋体"/>
          <w:color w:val="auto"/>
          <w:sz w:val="30"/>
          <w:szCs w:val="30"/>
          <w:highlight w:val="none"/>
        </w:rPr>
        <w:tab/>
      </w:r>
      <w:r>
        <w:rPr>
          <w:rFonts w:ascii="Times New Roman" w:hAnsi="Times New Roman" w:eastAsia="宋体"/>
          <w:color w:val="auto"/>
          <w:sz w:val="30"/>
          <w:szCs w:val="30"/>
          <w:highlight w:val="none"/>
        </w:rPr>
        <w:fldChar w:fldCharType="begin"/>
      </w:r>
      <w:r>
        <w:rPr>
          <w:rFonts w:ascii="Times New Roman" w:hAnsi="Times New Roman" w:eastAsia="宋体"/>
          <w:color w:val="auto"/>
          <w:sz w:val="30"/>
          <w:szCs w:val="30"/>
          <w:highlight w:val="none"/>
        </w:rPr>
        <w:instrText xml:space="preserve"> PAGEREF _Toc29098 \h </w:instrText>
      </w:r>
      <w:r>
        <w:rPr>
          <w:rFonts w:ascii="Times New Roman" w:hAnsi="Times New Roman" w:eastAsia="宋体"/>
          <w:color w:val="auto"/>
          <w:sz w:val="30"/>
          <w:szCs w:val="30"/>
          <w:highlight w:val="none"/>
        </w:rPr>
        <w:fldChar w:fldCharType="separate"/>
      </w:r>
      <w:r>
        <w:rPr>
          <w:rFonts w:ascii="Times New Roman" w:hAnsi="Times New Roman" w:eastAsia="宋体"/>
          <w:color w:val="auto"/>
          <w:sz w:val="30"/>
          <w:szCs w:val="30"/>
          <w:highlight w:val="none"/>
        </w:rPr>
        <w:t>1</w:t>
      </w:r>
      <w:r>
        <w:rPr>
          <w:rFonts w:ascii="Times New Roman" w:hAnsi="Times New Roman" w:eastAsia="宋体"/>
          <w:color w:val="auto"/>
          <w:sz w:val="30"/>
          <w:szCs w:val="30"/>
          <w:highlight w:val="none"/>
        </w:rPr>
        <w:fldChar w:fldCharType="end"/>
      </w:r>
    </w:p>
    <w:p w14:paraId="1550341B">
      <w:pPr>
        <w:pStyle w:val="27"/>
        <w:pageBreakBefore w:val="0"/>
        <w:tabs>
          <w:tab w:val="right" w:leader="dot" w:pos="8306"/>
        </w:tabs>
        <w:spacing w:line="360" w:lineRule="auto"/>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第二章投标人须知</w:t>
      </w:r>
      <w:r>
        <w:rPr>
          <w:rFonts w:ascii="Times New Roman" w:hAnsi="Times New Roman" w:eastAsia="宋体"/>
          <w:color w:val="auto"/>
          <w:sz w:val="30"/>
          <w:szCs w:val="30"/>
          <w:highlight w:val="none"/>
        </w:rPr>
        <w:tab/>
      </w:r>
      <w:r>
        <w:rPr>
          <w:rFonts w:ascii="Times New Roman" w:hAnsi="Times New Roman" w:eastAsia="宋体"/>
          <w:color w:val="auto"/>
          <w:sz w:val="30"/>
          <w:szCs w:val="30"/>
          <w:highlight w:val="none"/>
        </w:rPr>
        <w:fldChar w:fldCharType="begin"/>
      </w:r>
      <w:r>
        <w:rPr>
          <w:rFonts w:ascii="Times New Roman" w:hAnsi="Times New Roman" w:eastAsia="宋体"/>
          <w:color w:val="auto"/>
          <w:sz w:val="30"/>
          <w:szCs w:val="30"/>
          <w:highlight w:val="none"/>
        </w:rPr>
        <w:instrText xml:space="preserve"> PAGEREF _Toc4032 \h </w:instrText>
      </w:r>
      <w:r>
        <w:rPr>
          <w:rFonts w:ascii="Times New Roman" w:hAnsi="Times New Roman" w:eastAsia="宋体"/>
          <w:color w:val="auto"/>
          <w:sz w:val="30"/>
          <w:szCs w:val="30"/>
          <w:highlight w:val="none"/>
        </w:rPr>
        <w:fldChar w:fldCharType="separate"/>
      </w:r>
      <w:r>
        <w:rPr>
          <w:rFonts w:ascii="Times New Roman" w:hAnsi="Times New Roman" w:eastAsia="宋体"/>
          <w:color w:val="auto"/>
          <w:sz w:val="30"/>
          <w:szCs w:val="30"/>
          <w:highlight w:val="none"/>
        </w:rPr>
        <w:t>4</w:t>
      </w:r>
      <w:r>
        <w:rPr>
          <w:rFonts w:ascii="Times New Roman" w:hAnsi="Times New Roman" w:eastAsia="宋体"/>
          <w:color w:val="auto"/>
          <w:sz w:val="30"/>
          <w:szCs w:val="30"/>
          <w:highlight w:val="none"/>
        </w:rPr>
        <w:fldChar w:fldCharType="end"/>
      </w:r>
    </w:p>
    <w:p w14:paraId="1DBEC8BE">
      <w:pPr>
        <w:pStyle w:val="27"/>
        <w:pageBreakBefore w:val="0"/>
        <w:tabs>
          <w:tab w:val="right" w:leader="dot" w:pos="8306"/>
        </w:tabs>
        <w:spacing w:line="360" w:lineRule="auto"/>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第三章合同条款及格式</w:t>
      </w:r>
      <w:r>
        <w:rPr>
          <w:rFonts w:ascii="Times New Roman" w:hAnsi="Times New Roman" w:eastAsia="宋体"/>
          <w:color w:val="auto"/>
          <w:sz w:val="30"/>
          <w:szCs w:val="30"/>
          <w:highlight w:val="none"/>
        </w:rPr>
        <w:tab/>
      </w:r>
      <w:r>
        <w:rPr>
          <w:rFonts w:ascii="Times New Roman" w:hAnsi="Times New Roman" w:eastAsia="宋体"/>
          <w:color w:val="auto"/>
          <w:sz w:val="30"/>
          <w:szCs w:val="30"/>
          <w:highlight w:val="none"/>
        </w:rPr>
        <w:fldChar w:fldCharType="begin"/>
      </w:r>
      <w:r>
        <w:rPr>
          <w:rFonts w:ascii="Times New Roman" w:hAnsi="Times New Roman" w:eastAsia="宋体"/>
          <w:color w:val="auto"/>
          <w:sz w:val="30"/>
          <w:szCs w:val="30"/>
          <w:highlight w:val="none"/>
        </w:rPr>
        <w:instrText xml:space="preserve"> PAGEREF _Toc13939 \h </w:instrText>
      </w:r>
      <w:r>
        <w:rPr>
          <w:rFonts w:ascii="Times New Roman" w:hAnsi="Times New Roman" w:eastAsia="宋体"/>
          <w:color w:val="auto"/>
          <w:sz w:val="30"/>
          <w:szCs w:val="30"/>
          <w:highlight w:val="none"/>
        </w:rPr>
        <w:fldChar w:fldCharType="separate"/>
      </w:r>
      <w:r>
        <w:rPr>
          <w:rFonts w:ascii="Times New Roman" w:hAnsi="Times New Roman" w:eastAsia="宋体"/>
          <w:color w:val="auto"/>
          <w:sz w:val="30"/>
          <w:szCs w:val="30"/>
          <w:highlight w:val="none"/>
        </w:rPr>
        <w:t>16</w:t>
      </w:r>
      <w:r>
        <w:rPr>
          <w:rFonts w:ascii="Times New Roman" w:hAnsi="Times New Roman" w:eastAsia="宋体"/>
          <w:color w:val="auto"/>
          <w:sz w:val="30"/>
          <w:szCs w:val="30"/>
          <w:highlight w:val="none"/>
        </w:rPr>
        <w:fldChar w:fldCharType="end"/>
      </w:r>
    </w:p>
    <w:p w14:paraId="3F4511FE">
      <w:pPr>
        <w:pStyle w:val="27"/>
        <w:pageBreakBefore w:val="0"/>
        <w:tabs>
          <w:tab w:val="right" w:leader="dot" w:pos="8306"/>
        </w:tabs>
        <w:spacing w:line="360" w:lineRule="auto"/>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第四章项目需求</w:t>
      </w:r>
      <w:r>
        <w:rPr>
          <w:rFonts w:ascii="Times New Roman" w:hAnsi="Times New Roman" w:eastAsia="宋体"/>
          <w:color w:val="auto"/>
          <w:sz w:val="30"/>
          <w:szCs w:val="30"/>
          <w:highlight w:val="none"/>
        </w:rPr>
        <w:tab/>
      </w:r>
      <w:r>
        <w:rPr>
          <w:rFonts w:ascii="Times New Roman" w:hAnsi="Times New Roman" w:eastAsia="宋体"/>
          <w:color w:val="auto"/>
          <w:sz w:val="30"/>
          <w:szCs w:val="30"/>
          <w:highlight w:val="none"/>
        </w:rPr>
        <w:fldChar w:fldCharType="begin"/>
      </w:r>
      <w:r>
        <w:rPr>
          <w:rFonts w:ascii="Times New Roman" w:hAnsi="Times New Roman" w:eastAsia="宋体"/>
          <w:color w:val="auto"/>
          <w:sz w:val="30"/>
          <w:szCs w:val="30"/>
          <w:highlight w:val="none"/>
        </w:rPr>
        <w:instrText xml:space="preserve"> PAGEREF _Toc22054 \h </w:instrText>
      </w:r>
      <w:r>
        <w:rPr>
          <w:rFonts w:ascii="Times New Roman" w:hAnsi="Times New Roman" w:eastAsia="宋体"/>
          <w:color w:val="auto"/>
          <w:sz w:val="30"/>
          <w:szCs w:val="30"/>
          <w:highlight w:val="none"/>
        </w:rPr>
        <w:fldChar w:fldCharType="separate"/>
      </w:r>
      <w:r>
        <w:rPr>
          <w:rFonts w:ascii="Times New Roman" w:hAnsi="Times New Roman" w:eastAsia="宋体"/>
          <w:color w:val="auto"/>
          <w:sz w:val="30"/>
          <w:szCs w:val="30"/>
          <w:highlight w:val="none"/>
        </w:rPr>
        <w:t>20</w:t>
      </w:r>
      <w:r>
        <w:rPr>
          <w:rFonts w:ascii="Times New Roman" w:hAnsi="Times New Roman" w:eastAsia="宋体"/>
          <w:color w:val="auto"/>
          <w:sz w:val="30"/>
          <w:szCs w:val="30"/>
          <w:highlight w:val="none"/>
        </w:rPr>
        <w:fldChar w:fldCharType="end"/>
      </w:r>
    </w:p>
    <w:p w14:paraId="12745EE1">
      <w:pPr>
        <w:pStyle w:val="27"/>
        <w:pageBreakBefore w:val="0"/>
        <w:tabs>
          <w:tab w:val="right" w:leader="dot" w:pos="8306"/>
        </w:tabs>
        <w:spacing w:line="360" w:lineRule="auto"/>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第五章评标方法及评标标准</w:t>
      </w:r>
      <w:r>
        <w:rPr>
          <w:rFonts w:ascii="Times New Roman" w:hAnsi="Times New Roman" w:eastAsia="宋体"/>
          <w:color w:val="auto"/>
          <w:sz w:val="30"/>
          <w:szCs w:val="30"/>
          <w:highlight w:val="none"/>
        </w:rPr>
        <w:tab/>
      </w:r>
      <w:r>
        <w:rPr>
          <w:rFonts w:ascii="Times New Roman" w:hAnsi="Times New Roman" w:eastAsia="宋体"/>
          <w:color w:val="auto"/>
          <w:sz w:val="30"/>
          <w:szCs w:val="30"/>
          <w:highlight w:val="none"/>
        </w:rPr>
        <w:fldChar w:fldCharType="begin"/>
      </w:r>
      <w:r>
        <w:rPr>
          <w:rFonts w:ascii="Times New Roman" w:hAnsi="Times New Roman" w:eastAsia="宋体"/>
          <w:color w:val="auto"/>
          <w:sz w:val="30"/>
          <w:szCs w:val="30"/>
          <w:highlight w:val="none"/>
        </w:rPr>
        <w:instrText xml:space="preserve"> PAGEREF _Toc7661 \h </w:instrText>
      </w:r>
      <w:r>
        <w:rPr>
          <w:rFonts w:ascii="Times New Roman" w:hAnsi="Times New Roman" w:eastAsia="宋体"/>
          <w:color w:val="auto"/>
          <w:sz w:val="30"/>
          <w:szCs w:val="30"/>
          <w:highlight w:val="none"/>
        </w:rPr>
        <w:fldChar w:fldCharType="separate"/>
      </w:r>
      <w:r>
        <w:rPr>
          <w:rFonts w:ascii="Times New Roman" w:hAnsi="Times New Roman" w:eastAsia="宋体"/>
          <w:color w:val="auto"/>
          <w:sz w:val="30"/>
          <w:szCs w:val="30"/>
          <w:highlight w:val="none"/>
        </w:rPr>
        <w:t>24</w:t>
      </w:r>
      <w:r>
        <w:rPr>
          <w:rFonts w:ascii="Times New Roman" w:hAnsi="Times New Roman" w:eastAsia="宋体"/>
          <w:color w:val="auto"/>
          <w:sz w:val="30"/>
          <w:szCs w:val="30"/>
          <w:highlight w:val="none"/>
        </w:rPr>
        <w:fldChar w:fldCharType="end"/>
      </w:r>
    </w:p>
    <w:p w14:paraId="2F08EDB2">
      <w:pPr>
        <w:pStyle w:val="27"/>
        <w:pageBreakBefore w:val="0"/>
        <w:tabs>
          <w:tab w:val="right" w:leader="dot" w:pos="8306"/>
        </w:tabs>
        <w:spacing w:line="360" w:lineRule="auto"/>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第六章投标文件格式</w:t>
      </w:r>
      <w:r>
        <w:rPr>
          <w:rFonts w:ascii="Times New Roman" w:hAnsi="Times New Roman" w:eastAsia="宋体"/>
          <w:color w:val="auto"/>
          <w:sz w:val="30"/>
          <w:szCs w:val="30"/>
          <w:highlight w:val="none"/>
        </w:rPr>
        <w:tab/>
      </w:r>
      <w:r>
        <w:rPr>
          <w:rFonts w:ascii="Times New Roman" w:hAnsi="Times New Roman" w:eastAsia="宋体"/>
          <w:color w:val="auto"/>
          <w:sz w:val="30"/>
          <w:szCs w:val="30"/>
          <w:highlight w:val="none"/>
        </w:rPr>
        <w:fldChar w:fldCharType="begin"/>
      </w:r>
      <w:r>
        <w:rPr>
          <w:rFonts w:ascii="Times New Roman" w:hAnsi="Times New Roman" w:eastAsia="宋体"/>
          <w:color w:val="auto"/>
          <w:sz w:val="30"/>
          <w:szCs w:val="30"/>
          <w:highlight w:val="none"/>
        </w:rPr>
        <w:instrText xml:space="preserve"> PAGEREF _Toc9838 \h </w:instrText>
      </w:r>
      <w:r>
        <w:rPr>
          <w:rFonts w:ascii="Times New Roman" w:hAnsi="Times New Roman" w:eastAsia="宋体"/>
          <w:color w:val="auto"/>
          <w:sz w:val="30"/>
          <w:szCs w:val="30"/>
          <w:highlight w:val="none"/>
        </w:rPr>
        <w:fldChar w:fldCharType="separate"/>
      </w:r>
      <w:r>
        <w:rPr>
          <w:rFonts w:ascii="Times New Roman" w:hAnsi="Times New Roman" w:eastAsia="宋体"/>
          <w:color w:val="auto"/>
          <w:sz w:val="30"/>
          <w:szCs w:val="30"/>
          <w:highlight w:val="none"/>
        </w:rPr>
        <w:t>29</w:t>
      </w:r>
      <w:r>
        <w:rPr>
          <w:rFonts w:ascii="Times New Roman" w:hAnsi="Times New Roman" w:eastAsia="宋体"/>
          <w:color w:val="auto"/>
          <w:sz w:val="30"/>
          <w:szCs w:val="30"/>
          <w:highlight w:val="none"/>
        </w:rPr>
        <w:fldChar w:fldCharType="end"/>
      </w:r>
    </w:p>
    <w:p w14:paraId="11D7DB47">
      <w:pPr>
        <w:pageBreakBefore w:val="0"/>
        <w:spacing w:line="360" w:lineRule="auto"/>
        <w:rPr>
          <w:rFonts w:ascii="Times New Roman" w:hAnsi="Times New Roman" w:eastAsia="宋体"/>
          <w:color w:val="auto"/>
          <w:sz w:val="28"/>
          <w:highlight w:val="none"/>
        </w:rPr>
      </w:pPr>
      <w:r>
        <w:rPr>
          <w:rFonts w:hint="eastAsia" w:ascii="Times New Roman" w:hAnsi="Times New Roman" w:eastAsia="宋体"/>
          <w:color w:val="auto"/>
          <w:sz w:val="30"/>
          <w:szCs w:val="30"/>
          <w:highlight w:val="none"/>
        </w:rPr>
        <w:fldChar w:fldCharType="end"/>
      </w:r>
    </w:p>
    <w:p w14:paraId="45F1020A">
      <w:pPr>
        <w:pStyle w:val="2"/>
        <w:pageBreakBefore w:val="0"/>
        <w:spacing w:before="0" w:after="0" w:line="360" w:lineRule="auto"/>
        <w:jc w:val="center"/>
        <w:rPr>
          <w:rFonts w:ascii="Times New Roman" w:hAnsi="Times New Roman" w:eastAsia="宋体"/>
          <w:color w:val="auto"/>
          <w:sz w:val="36"/>
          <w:szCs w:val="36"/>
          <w:highlight w:val="none"/>
        </w:rPr>
        <w:sectPr>
          <w:footerReference r:id="rId4" w:type="default"/>
          <w:pgSz w:w="11906" w:h="16838"/>
          <w:pgMar w:top="1440" w:right="1800" w:bottom="1440" w:left="1800" w:header="851" w:footer="992" w:gutter="0"/>
          <w:pgNumType w:start="2"/>
          <w:cols w:space="720" w:num="1"/>
          <w:docGrid w:linePitch="360" w:charSpace="0"/>
        </w:sectPr>
      </w:pPr>
      <w:bookmarkStart w:id="0" w:name="_Toc55204177"/>
    </w:p>
    <w:p w14:paraId="613E302A">
      <w:pPr>
        <w:pStyle w:val="2"/>
        <w:pageBreakBefore w:val="0"/>
        <w:spacing w:before="0" w:after="0" w:line="360" w:lineRule="auto"/>
        <w:jc w:val="center"/>
        <w:rPr>
          <w:rFonts w:ascii="Times New Roman" w:hAnsi="Times New Roman" w:eastAsia="宋体"/>
          <w:color w:val="auto"/>
          <w:sz w:val="36"/>
          <w:szCs w:val="36"/>
          <w:highlight w:val="none"/>
        </w:rPr>
      </w:pPr>
      <w:bookmarkStart w:id="1" w:name="_Toc29098"/>
      <w:r>
        <w:rPr>
          <w:rFonts w:hint="eastAsia" w:ascii="Times New Roman" w:hAnsi="Times New Roman" w:eastAsia="宋体"/>
          <w:color w:val="auto"/>
          <w:sz w:val="36"/>
          <w:szCs w:val="36"/>
          <w:highlight w:val="none"/>
        </w:rPr>
        <w:t>第一章</w:t>
      </w:r>
      <w:bookmarkEnd w:id="0"/>
      <w:r>
        <w:rPr>
          <w:rFonts w:hint="eastAsia" w:ascii="Times New Roman" w:hAnsi="Times New Roman" w:eastAsia="宋体"/>
          <w:color w:val="auto"/>
          <w:sz w:val="36"/>
          <w:szCs w:val="36"/>
          <w:highlight w:val="none"/>
          <w:lang w:val="en-US" w:eastAsia="zh-CN"/>
        </w:rPr>
        <w:t xml:space="preserve"> </w:t>
      </w:r>
      <w:r>
        <w:rPr>
          <w:rFonts w:hint="eastAsia" w:ascii="Times New Roman" w:hAnsi="Times New Roman" w:eastAsia="宋体"/>
          <w:color w:val="auto"/>
          <w:sz w:val="36"/>
          <w:szCs w:val="36"/>
          <w:highlight w:val="none"/>
        </w:rPr>
        <w:t>投标邀请</w:t>
      </w:r>
      <w:bookmarkEnd w:id="1"/>
    </w:p>
    <w:p w14:paraId="7F7E961D">
      <w:pPr>
        <w:pageBreakBefore w:val="0"/>
        <w:tabs>
          <w:tab w:val="left" w:pos="266"/>
        </w:tabs>
        <w:spacing w:line="360" w:lineRule="auto"/>
        <w:ind w:firstLine="420"/>
        <w:jc w:val="left"/>
        <w:rPr>
          <w:rFonts w:ascii="Times New Roman" w:hAnsi="Times New Roman" w:eastAsia="宋体" w:cs="宋体"/>
          <w:color w:val="auto"/>
          <w:szCs w:val="21"/>
          <w:highlight w:val="none"/>
        </w:rPr>
      </w:pPr>
      <w:r>
        <w:rPr>
          <w:rFonts w:hint="eastAsia" w:ascii="Times New Roman" w:hAnsi="Times New Roman" w:eastAsia="宋体" w:cs="宋体"/>
          <w:color w:val="auto"/>
          <w:highlight w:val="none"/>
        </w:rPr>
        <w:t>受</w:t>
      </w:r>
      <w:r>
        <w:rPr>
          <w:rFonts w:hint="eastAsia" w:ascii="Times New Roman" w:hAnsi="Times New Roman" w:cs="宋体"/>
          <w:color w:val="auto"/>
          <w:highlight w:val="none"/>
          <w:lang w:eastAsia="zh-CN"/>
        </w:rPr>
        <w:t>宝应县自然资源和规</w:t>
      </w:r>
      <w:r>
        <w:rPr>
          <w:rFonts w:hint="eastAsia" w:ascii="Times New Roman" w:hAnsi="Times New Roman" w:cs="宋体"/>
          <w:color w:val="000000" w:themeColor="text1"/>
          <w:highlight w:val="none"/>
          <w:lang w:eastAsia="zh-CN"/>
          <w14:textFill>
            <w14:solidFill>
              <w14:schemeClr w14:val="tx1"/>
            </w14:solidFill>
          </w14:textFill>
        </w:rPr>
        <w:t>划局</w:t>
      </w:r>
      <w:r>
        <w:rPr>
          <w:rFonts w:hint="eastAsia" w:ascii="Times New Roman" w:hAnsi="Times New Roman" w:eastAsia="宋体" w:cs="宋体"/>
          <w:color w:val="000000" w:themeColor="text1"/>
          <w:highlight w:val="none"/>
          <w14:textFill>
            <w14:solidFill>
              <w14:schemeClr w14:val="tx1"/>
            </w14:solidFill>
          </w14:textFill>
        </w:rPr>
        <w:t>的委托，</w:t>
      </w:r>
      <w:r>
        <w:rPr>
          <w:rFonts w:hint="eastAsia" w:ascii="Times New Roman" w:hAnsi="Times New Roman" w:cs="宋体"/>
          <w:color w:val="000000" w:themeColor="text1"/>
          <w:highlight w:val="none"/>
          <w:lang w:eastAsia="zh-CN"/>
          <w14:textFill>
            <w14:solidFill>
              <w14:schemeClr w14:val="tx1"/>
            </w14:solidFill>
          </w14:textFill>
        </w:rPr>
        <w:t>江苏中瑞建设项目管理有限公司</w:t>
      </w:r>
      <w:r>
        <w:rPr>
          <w:rFonts w:hint="eastAsia" w:ascii="Times New Roman" w:hAnsi="Times New Roman" w:eastAsia="宋体" w:cs="宋体"/>
          <w:color w:val="000000" w:themeColor="text1"/>
          <w:highlight w:val="none"/>
          <w14:textFill>
            <w14:solidFill>
              <w14:schemeClr w14:val="tx1"/>
            </w14:solidFill>
          </w14:textFill>
        </w:rPr>
        <w:t>就</w:t>
      </w:r>
      <w:r>
        <w:rPr>
          <w:rFonts w:hint="eastAsia" w:ascii="Times New Roman" w:hAnsi="Times New Roman"/>
          <w:color w:val="000000" w:themeColor="text1"/>
          <w:highlight w:val="none"/>
          <w:lang w:eastAsia="zh-CN"/>
          <w14:textFill>
            <w14:solidFill>
              <w14:schemeClr w14:val="tx1"/>
            </w14:solidFill>
          </w14:textFill>
        </w:rPr>
        <w:t>宝应县2026年度国土变更调查及日常国土变更调查工作</w:t>
      </w:r>
      <w:r>
        <w:rPr>
          <w:rFonts w:hint="eastAsia" w:ascii="Times New Roman" w:hAnsi="Times New Roman" w:eastAsia="宋体" w:cs="宋体"/>
          <w:color w:val="000000" w:themeColor="text1"/>
          <w:highlight w:val="none"/>
          <w14:textFill>
            <w14:solidFill>
              <w14:schemeClr w14:val="tx1"/>
            </w14:solidFill>
          </w14:textFill>
        </w:rPr>
        <w:t>（</w:t>
      </w:r>
      <w:r>
        <w:rPr>
          <w:rFonts w:hint="eastAsia" w:ascii="Times New Roman" w:hAnsi="Times New Roman"/>
          <w:color w:val="000000" w:themeColor="text1"/>
          <w:szCs w:val="21"/>
          <w:highlight w:val="none"/>
          <w:lang w:eastAsia="zh-CN"/>
          <w14:textFill>
            <w14:solidFill>
              <w14:schemeClr w14:val="tx1"/>
            </w14:solidFill>
          </w14:textFill>
        </w:rPr>
        <w:t>JSZC-321023-JSZR-G2026-0051号</w:t>
      </w:r>
      <w:r>
        <w:rPr>
          <w:rFonts w:hint="eastAsia" w:ascii="Times New Roman" w:hAnsi="Times New Roman" w:eastAsia="宋体" w:cs="宋体"/>
          <w:color w:val="000000" w:themeColor="text1"/>
          <w:highlight w:val="none"/>
          <w14:textFill>
            <w14:solidFill>
              <w14:schemeClr w14:val="tx1"/>
            </w14:solidFill>
          </w14:textFill>
        </w:rPr>
        <w:t>）进行公开</w:t>
      </w:r>
      <w:r>
        <w:rPr>
          <w:rFonts w:hint="eastAsia" w:ascii="Times New Roman" w:hAnsi="Times New Roman" w:eastAsia="宋体" w:cs="宋体"/>
          <w:color w:val="auto"/>
          <w:highlight w:val="none"/>
        </w:rPr>
        <w:t>招标采购，欢迎符合条件的供应商投标。</w:t>
      </w:r>
    </w:p>
    <w:p w14:paraId="1308F728">
      <w:pPr>
        <w:pageBreakBefore w:val="0"/>
        <w:pBdr>
          <w:top w:val="single" w:color="auto" w:sz="4" w:space="1"/>
          <w:left w:val="single" w:color="auto" w:sz="4" w:space="4"/>
          <w:bottom w:val="single" w:color="auto" w:sz="4" w:space="1"/>
          <w:right w:val="single" w:color="auto" w:sz="4" w:space="4"/>
        </w:pBdr>
        <w:spacing w:line="360" w:lineRule="auto"/>
        <w:ind w:firstLine="422"/>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项目概况</w:t>
      </w:r>
    </w:p>
    <w:p w14:paraId="53FB8B5E">
      <w:pPr>
        <w:pageBreakBefore w:val="0"/>
        <w:pBdr>
          <w:top w:val="single" w:color="auto" w:sz="4" w:space="1"/>
          <w:left w:val="single" w:color="auto" w:sz="4" w:space="4"/>
          <w:bottom w:val="single" w:color="auto" w:sz="4" w:space="1"/>
          <w:right w:val="single" w:color="auto" w:sz="4" w:space="4"/>
        </w:pBdr>
        <w:spacing w:line="360" w:lineRule="auto"/>
        <w:ind w:firstLine="420"/>
        <w:rPr>
          <w:rFonts w:ascii="Times New Roman" w:hAnsi="Times New Roman" w:eastAsia="宋体" w:cs="宋体"/>
          <w:color w:val="auto"/>
          <w:highlight w:val="none"/>
        </w:rPr>
      </w:pPr>
      <w:r>
        <w:rPr>
          <w:rFonts w:hint="eastAsia" w:ascii="Times New Roman" w:hAnsi="Times New Roman"/>
          <w:color w:val="auto"/>
          <w:highlight w:val="none"/>
          <w:u w:val="single"/>
          <w:lang w:eastAsia="zh-CN"/>
        </w:rPr>
        <w:t>宝应县2026年度国土变更调查及日常国土变更调查工作</w:t>
      </w:r>
      <w:r>
        <w:rPr>
          <w:rFonts w:hint="eastAsia" w:ascii="Times New Roman" w:hAnsi="Times New Roman" w:eastAsia="宋体" w:cs="宋体"/>
          <w:color w:val="auto"/>
          <w:highlight w:val="none"/>
        </w:rPr>
        <w:t>的潜在投标人可在</w:t>
      </w:r>
      <w:r>
        <w:rPr>
          <w:rFonts w:hint="eastAsia" w:ascii="Times New Roman" w:hAnsi="Times New Roman" w:cs="宋体"/>
          <w:color w:val="auto"/>
          <w:highlight w:val="none"/>
          <w:u w:val="single"/>
          <w:lang w:eastAsia="zh-CN"/>
        </w:rPr>
        <w:t>“扬州市政府采购网”、“江苏省政府采购网”</w:t>
      </w:r>
      <w:r>
        <w:rPr>
          <w:rFonts w:hint="eastAsia" w:ascii="Times New Roman" w:hAnsi="Times New Roman" w:eastAsia="宋体" w:cs="宋体"/>
          <w:color w:val="auto"/>
          <w:highlight w:val="none"/>
          <w:u w:val="single"/>
        </w:rPr>
        <w:t>自行免费下载</w:t>
      </w:r>
      <w:r>
        <w:rPr>
          <w:rFonts w:hint="eastAsia" w:ascii="Times New Roman" w:hAnsi="Times New Roman" w:eastAsia="宋体" w:cs="宋体"/>
          <w:color w:val="auto"/>
          <w:highlight w:val="none"/>
        </w:rPr>
        <w:t>招标文件，并于</w:t>
      </w:r>
      <w:r>
        <w:rPr>
          <w:rFonts w:hint="eastAsia" w:ascii="Times New Roman" w:hAnsi="Times New Roman" w:cs="宋体"/>
          <w:bCs/>
          <w:color w:val="auto"/>
          <w:highlight w:val="none"/>
          <w:u w:val="single"/>
        </w:rPr>
        <w:t>2026年0</w:t>
      </w:r>
      <w:r>
        <w:rPr>
          <w:rFonts w:hint="eastAsia" w:ascii="Times New Roman" w:hAnsi="Times New Roman" w:cs="宋体"/>
          <w:bCs/>
          <w:color w:val="auto"/>
          <w:highlight w:val="none"/>
          <w:u w:val="single"/>
          <w:lang w:val="en-US" w:eastAsia="zh-CN"/>
        </w:rPr>
        <w:t>8</w:t>
      </w:r>
      <w:r>
        <w:rPr>
          <w:rFonts w:hint="eastAsia" w:ascii="Times New Roman" w:hAnsi="Times New Roman" w:cs="宋体"/>
          <w:bCs/>
          <w:color w:val="auto"/>
          <w:highlight w:val="none"/>
          <w:u w:val="single"/>
        </w:rPr>
        <w:t>月</w:t>
      </w:r>
      <w:r>
        <w:rPr>
          <w:rFonts w:hint="eastAsia" w:ascii="Times New Roman" w:hAnsi="Times New Roman" w:cs="宋体"/>
          <w:bCs/>
          <w:color w:val="auto"/>
          <w:highlight w:val="none"/>
          <w:u w:val="single"/>
          <w:lang w:val="en-US" w:eastAsia="zh-CN"/>
        </w:rPr>
        <w:t>04</w:t>
      </w:r>
      <w:r>
        <w:rPr>
          <w:rFonts w:hint="eastAsia" w:ascii="Times New Roman" w:hAnsi="Times New Roman" w:cs="宋体"/>
          <w:bCs/>
          <w:color w:val="auto"/>
          <w:highlight w:val="none"/>
          <w:u w:val="single"/>
        </w:rPr>
        <w:t>日下午3:00</w:t>
      </w:r>
      <w:r>
        <w:rPr>
          <w:rFonts w:hint="eastAsia" w:ascii="Times New Roman" w:hAnsi="Times New Roman" w:eastAsia="宋体" w:cs="宋体"/>
          <w:bCs/>
          <w:color w:val="auto"/>
          <w:highlight w:val="none"/>
        </w:rPr>
        <w:t>（北京时间）前递交投标文件</w:t>
      </w:r>
      <w:r>
        <w:rPr>
          <w:rFonts w:hint="eastAsia" w:ascii="Times New Roman" w:hAnsi="Times New Roman" w:eastAsia="宋体" w:cs="宋体"/>
          <w:color w:val="auto"/>
          <w:highlight w:val="none"/>
        </w:rPr>
        <w:t>。</w:t>
      </w:r>
    </w:p>
    <w:p w14:paraId="39C98AD9">
      <w:pPr>
        <w:pageBreakBefore w:val="0"/>
        <w:tabs>
          <w:tab w:val="left" w:pos="266"/>
        </w:tabs>
        <w:spacing w:line="360" w:lineRule="auto"/>
        <w:rPr>
          <w:rFonts w:ascii="Times New Roman" w:hAnsi="Times New Roman" w:eastAsia="宋体" w:cs="宋体"/>
          <w:b/>
          <w:bCs/>
          <w:color w:val="auto"/>
          <w:highlight w:val="none"/>
        </w:rPr>
      </w:pPr>
      <w:bookmarkStart w:id="2" w:name="_Toc38985263"/>
      <w:bookmarkStart w:id="3" w:name="_Toc35393790"/>
      <w:bookmarkStart w:id="4" w:name="_Toc35393621"/>
      <w:bookmarkStart w:id="5" w:name="_Toc28359079"/>
      <w:bookmarkStart w:id="6" w:name="_Toc28359002"/>
      <w:bookmarkStart w:id="7" w:name="_Hlk24379207"/>
      <w:r>
        <w:rPr>
          <w:rFonts w:hint="eastAsia" w:ascii="Times New Roman" w:hAnsi="Times New Roman" w:eastAsia="宋体" w:cs="宋体"/>
          <w:b/>
          <w:bCs/>
          <w:color w:val="auto"/>
          <w:highlight w:val="none"/>
        </w:rPr>
        <w:t>一、项目基本情况</w:t>
      </w:r>
      <w:bookmarkEnd w:id="2"/>
      <w:bookmarkEnd w:id="3"/>
      <w:bookmarkEnd w:id="4"/>
      <w:bookmarkEnd w:id="5"/>
      <w:bookmarkEnd w:id="6"/>
    </w:p>
    <w:p w14:paraId="2519028D">
      <w:pPr>
        <w:pageBreakBefore w:val="0"/>
        <w:spacing w:line="360" w:lineRule="auto"/>
        <w:ind w:firstLine="420"/>
        <w:rPr>
          <w:rFonts w:hint="eastAsia" w:ascii="Times New Roman" w:hAnsi="Times New Roman" w:eastAsia="宋体" w:cs="宋体"/>
          <w:color w:val="auto"/>
          <w:szCs w:val="21"/>
          <w:highlight w:val="none"/>
          <w:lang w:eastAsia="zh-CN"/>
        </w:rPr>
      </w:pPr>
      <w:r>
        <w:rPr>
          <w:rFonts w:hint="eastAsia" w:ascii="Times New Roman" w:hAnsi="Times New Roman" w:eastAsia="宋体" w:cs="宋体"/>
          <w:color w:val="auto"/>
          <w:highlight w:val="none"/>
        </w:rPr>
        <w:t>1.项目编号：</w:t>
      </w:r>
      <w:r>
        <w:rPr>
          <w:rFonts w:hint="eastAsia" w:ascii="Times New Roman" w:hAnsi="Times New Roman"/>
          <w:color w:val="auto"/>
          <w:szCs w:val="21"/>
          <w:highlight w:val="none"/>
          <w:lang w:eastAsia="zh-CN"/>
        </w:rPr>
        <w:t>JSZC-321023-JSZR-G2026-0051号</w:t>
      </w:r>
    </w:p>
    <w:p w14:paraId="1DC0FBA1">
      <w:pPr>
        <w:pageBreakBefore w:val="0"/>
        <w:spacing w:line="360" w:lineRule="auto"/>
        <w:ind w:firstLine="420"/>
        <w:rPr>
          <w:rFonts w:hint="eastAsia" w:ascii="Times New Roman" w:hAnsi="Times New Roman" w:eastAsia="宋体" w:cs="宋体"/>
          <w:color w:val="auto"/>
          <w:highlight w:val="none"/>
          <w:lang w:eastAsia="zh-CN"/>
        </w:rPr>
      </w:pPr>
      <w:r>
        <w:rPr>
          <w:rFonts w:hint="eastAsia" w:ascii="Times New Roman" w:hAnsi="Times New Roman" w:eastAsia="宋体" w:cs="宋体"/>
          <w:color w:val="auto"/>
          <w:highlight w:val="none"/>
        </w:rPr>
        <w:t>2.项目名称：</w:t>
      </w:r>
      <w:bookmarkEnd w:id="7"/>
      <w:r>
        <w:rPr>
          <w:rFonts w:hint="eastAsia" w:ascii="Times New Roman" w:hAnsi="Times New Roman"/>
          <w:color w:val="auto"/>
          <w:highlight w:val="none"/>
          <w:lang w:eastAsia="zh-CN"/>
        </w:rPr>
        <w:t>宝应县2026年度国土变更调查及日常国土变更调查工作</w:t>
      </w:r>
    </w:p>
    <w:p w14:paraId="64670A7D">
      <w:pPr>
        <w:pageBreakBefore w:val="0"/>
        <w:spacing w:line="360" w:lineRule="auto"/>
        <w:ind w:firstLine="420"/>
        <w:rPr>
          <w:rFonts w:ascii="Times New Roman" w:hAnsi="Times New Roman" w:eastAsia="宋体" w:cs="宋体"/>
          <w:color w:val="auto"/>
          <w:highlight w:val="none"/>
        </w:rPr>
      </w:pPr>
      <w:r>
        <w:rPr>
          <w:rFonts w:hint="eastAsia" w:ascii="Times New Roman" w:hAnsi="Times New Roman" w:eastAsia="宋体" w:cs="宋体"/>
          <w:color w:val="auto"/>
          <w:highlight w:val="none"/>
        </w:rPr>
        <w:t>3.预算金额：</w:t>
      </w:r>
      <w:r>
        <w:rPr>
          <w:rFonts w:hint="eastAsia" w:ascii="Times New Roman" w:hAnsi="Times New Roman" w:cs="宋体"/>
          <w:color w:val="auto"/>
          <w:highlight w:val="none"/>
          <w:lang w:val="en-US" w:eastAsia="zh-CN"/>
        </w:rPr>
        <w:t>150.00万元</w:t>
      </w:r>
      <w:r>
        <w:rPr>
          <w:rFonts w:hint="eastAsia" w:ascii="Times New Roman" w:hAnsi="Times New Roman" w:eastAsia="宋体" w:cs="宋体"/>
          <w:color w:val="auto"/>
          <w:highlight w:val="none"/>
        </w:rPr>
        <w:t>。</w:t>
      </w:r>
    </w:p>
    <w:p w14:paraId="6F5169F4">
      <w:pPr>
        <w:pStyle w:val="205"/>
        <w:pageBreakBefore w:val="0"/>
        <w:spacing w:line="360" w:lineRule="auto"/>
        <w:ind w:firstLine="420"/>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4.</w:t>
      </w:r>
      <w:r>
        <w:rPr>
          <w:rFonts w:hint="eastAsia" w:ascii="Times New Roman" w:eastAsia="宋体" w:cs="宋体"/>
          <w:color w:val="auto"/>
          <w:sz w:val="21"/>
          <w:szCs w:val="21"/>
          <w:highlight w:val="none"/>
          <w:lang w:val="en-US" w:eastAsia="zh-CN"/>
        </w:rPr>
        <w:t>最高限价（如有）：最高限价为150.00万元</w:t>
      </w:r>
      <w:r>
        <w:rPr>
          <w:rFonts w:hint="eastAsia" w:ascii="Times New Roman" w:hAnsi="Times New Roman" w:eastAsia="宋体" w:cs="宋体"/>
          <w:color w:val="auto"/>
          <w:sz w:val="21"/>
          <w:szCs w:val="22"/>
          <w:highlight w:val="none"/>
          <w:lang w:val="en-US" w:eastAsia="zh-CN" w:bidi="ar-SA"/>
        </w:rPr>
        <w:t>。</w:t>
      </w:r>
    </w:p>
    <w:p w14:paraId="24A83AC9">
      <w:pPr>
        <w:pageBreakBefore w:val="0"/>
        <w:spacing w:line="360" w:lineRule="auto"/>
        <w:ind w:firstLine="420"/>
        <w:rPr>
          <w:rFonts w:ascii="Times New Roman" w:hAnsi="Times New Roman" w:eastAsia="宋体" w:cs="宋体"/>
          <w:color w:val="auto"/>
          <w:highlight w:val="none"/>
          <w:u w:val="single"/>
        </w:rPr>
      </w:pPr>
      <w:r>
        <w:rPr>
          <w:rFonts w:hint="eastAsia" w:ascii="Times New Roman" w:hAnsi="Times New Roman" w:eastAsia="宋体" w:cs="宋体"/>
          <w:color w:val="auto"/>
          <w:highlight w:val="none"/>
        </w:rPr>
        <w:t>5.采购需求：见招标文件第四章。</w:t>
      </w:r>
    </w:p>
    <w:p w14:paraId="0AA543DD">
      <w:pPr>
        <w:pageBreakBefore w:val="0"/>
        <w:spacing w:line="360" w:lineRule="auto"/>
        <w:ind w:firstLine="420"/>
        <w:rPr>
          <w:rFonts w:ascii="Times New Roman" w:hAnsi="Times New Roman" w:eastAsia="宋体" w:cs="宋体"/>
          <w:color w:val="auto"/>
          <w:highlight w:val="none"/>
        </w:rPr>
      </w:pPr>
      <w:r>
        <w:rPr>
          <w:rFonts w:hint="eastAsia" w:ascii="Times New Roman" w:hAnsi="Times New Roman" w:eastAsia="宋体" w:cs="宋体"/>
          <w:color w:val="auto"/>
          <w:highlight w:val="none"/>
        </w:rPr>
        <w:t>6.合同履行期限：见招标文件第</w:t>
      </w:r>
      <w:r>
        <w:rPr>
          <w:rFonts w:hint="eastAsia" w:ascii="Times New Roman" w:hAnsi="Times New Roman" w:eastAsia="宋体" w:cs="宋体"/>
          <w:color w:val="auto"/>
          <w:highlight w:val="none"/>
          <w:lang w:val="en-US" w:eastAsia="zh-CN"/>
        </w:rPr>
        <w:t>三</w:t>
      </w:r>
      <w:r>
        <w:rPr>
          <w:rFonts w:hint="eastAsia" w:ascii="Times New Roman" w:hAnsi="Times New Roman" w:eastAsia="宋体" w:cs="宋体"/>
          <w:color w:val="auto"/>
          <w:highlight w:val="none"/>
        </w:rPr>
        <w:t>章</w:t>
      </w:r>
      <w:r>
        <w:rPr>
          <w:rFonts w:hint="eastAsia" w:ascii="Times New Roman" w:hAnsi="Times New Roman" w:eastAsia="宋体" w:cs="宋体"/>
          <w:color w:val="auto"/>
          <w:szCs w:val="21"/>
          <w:highlight w:val="none"/>
        </w:rPr>
        <w:t>。</w:t>
      </w:r>
    </w:p>
    <w:p w14:paraId="016B8525">
      <w:pPr>
        <w:pageBreakBefore w:val="0"/>
        <w:spacing w:line="360" w:lineRule="auto"/>
        <w:ind w:firstLine="420"/>
        <w:rPr>
          <w:rFonts w:ascii="Times New Roman" w:hAnsi="Times New Roman" w:eastAsia="宋体" w:cs="宋体"/>
          <w:color w:val="auto"/>
          <w:highlight w:val="none"/>
        </w:rPr>
      </w:pPr>
      <w:r>
        <w:rPr>
          <w:rFonts w:hint="eastAsia" w:ascii="Times New Roman" w:hAnsi="Times New Roman" w:eastAsia="宋体" w:cs="宋体"/>
          <w:color w:val="auto"/>
          <w:highlight w:val="none"/>
        </w:rPr>
        <w:t>7.本项目</w:t>
      </w:r>
      <w:r>
        <w:rPr>
          <w:rFonts w:hint="eastAsia" w:ascii="Times New Roman" w:hAnsi="Times New Roman" w:eastAsia="宋体" w:cs="宋体"/>
          <w:i/>
          <w:iCs/>
          <w:color w:val="auto"/>
          <w:highlight w:val="none"/>
          <w:u w:val="single"/>
        </w:rPr>
        <w:t>不接受</w:t>
      </w:r>
      <w:r>
        <w:rPr>
          <w:rFonts w:hint="eastAsia" w:ascii="Times New Roman" w:hAnsi="Times New Roman" w:eastAsia="宋体" w:cs="宋体"/>
          <w:color w:val="auto"/>
          <w:highlight w:val="none"/>
        </w:rPr>
        <w:t>联合体投标。</w:t>
      </w:r>
    </w:p>
    <w:p w14:paraId="59331893">
      <w:pPr>
        <w:pageBreakBefore w:val="0"/>
        <w:spacing w:line="360" w:lineRule="auto"/>
        <w:ind w:firstLine="420"/>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8.本项目</w:t>
      </w:r>
      <w:r>
        <w:rPr>
          <w:rFonts w:hint="eastAsia" w:ascii="Times New Roman" w:hAnsi="Times New Roman" w:eastAsia="宋体" w:cs="宋体"/>
          <w:i/>
          <w:iCs/>
          <w:color w:val="auto"/>
          <w:highlight w:val="none"/>
          <w:u w:val="single"/>
        </w:rPr>
        <w:t>不接受</w:t>
      </w:r>
      <w:r>
        <w:rPr>
          <w:rFonts w:hint="eastAsia" w:ascii="Times New Roman" w:hAnsi="Times New Roman" w:eastAsia="宋体" w:cs="宋体"/>
          <w:color w:val="auto"/>
          <w:highlight w:val="none"/>
        </w:rPr>
        <w:t>进口产品投标。</w:t>
      </w:r>
    </w:p>
    <w:p w14:paraId="2D7302C3">
      <w:pPr>
        <w:pageBreakBefore w:val="0"/>
        <w:tabs>
          <w:tab w:val="left" w:pos="266"/>
        </w:tabs>
        <w:spacing w:line="360" w:lineRule="auto"/>
        <w:rPr>
          <w:rFonts w:ascii="Times New Roman" w:hAnsi="Times New Roman" w:eastAsia="宋体" w:cs="宋体"/>
          <w:b/>
          <w:bCs/>
          <w:color w:val="auto"/>
          <w:highlight w:val="none"/>
        </w:rPr>
      </w:pPr>
      <w:bookmarkStart w:id="8" w:name="_Toc35393622"/>
      <w:bookmarkStart w:id="9" w:name="_Toc28359003"/>
      <w:bookmarkStart w:id="10" w:name="_Toc35393791"/>
      <w:bookmarkStart w:id="11" w:name="_Toc28359080"/>
      <w:bookmarkStart w:id="12" w:name="_Toc38985264"/>
      <w:r>
        <w:rPr>
          <w:rFonts w:hint="eastAsia" w:ascii="Times New Roman" w:hAnsi="Times New Roman" w:eastAsia="宋体" w:cs="宋体"/>
          <w:b/>
          <w:bCs/>
          <w:color w:val="auto"/>
          <w:highlight w:val="none"/>
        </w:rPr>
        <w:t>二、申请人的资格要求：</w:t>
      </w:r>
      <w:bookmarkEnd w:id="8"/>
      <w:bookmarkEnd w:id="9"/>
      <w:bookmarkEnd w:id="10"/>
      <w:bookmarkEnd w:id="11"/>
      <w:bookmarkEnd w:id="12"/>
    </w:p>
    <w:p w14:paraId="120B4D83">
      <w:pPr>
        <w:pageBreakBefore w:val="0"/>
        <w:spacing w:line="360" w:lineRule="auto"/>
        <w:ind w:firstLine="420"/>
        <w:rPr>
          <w:rFonts w:ascii="Times New Roman" w:hAnsi="Times New Roman" w:eastAsia="宋体" w:cs="宋体"/>
          <w:color w:val="auto"/>
          <w:szCs w:val="21"/>
          <w:highlight w:val="none"/>
        </w:rPr>
      </w:pPr>
      <w:bookmarkStart w:id="13" w:name="_Toc35393792"/>
      <w:bookmarkStart w:id="14" w:name="_Toc38985265"/>
      <w:bookmarkStart w:id="15" w:name="_Toc28359004"/>
      <w:bookmarkStart w:id="16" w:name="_Toc35393623"/>
      <w:bookmarkStart w:id="17" w:name="_Toc28359081"/>
      <w:r>
        <w:rPr>
          <w:rFonts w:hint="eastAsia" w:ascii="Times New Roman" w:hAnsi="Times New Roman" w:eastAsia="宋体" w:cs="宋体"/>
          <w:color w:val="auto"/>
          <w:szCs w:val="21"/>
          <w:highlight w:val="none"/>
        </w:rPr>
        <w:t>1.满足《中华人民共和国政府采购法》第二十二条规定：</w:t>
      </w:r>
    </w:p>
    <w:p w14:paraId="3ADBA5DD">
      <w:pPr>
        <w:pageBreakBefore w:val="0"/>
        <w:spacing w:line="360" w:lineRule="auto"/>
        <w:ind w:firstLine="420"/>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1.1法人或者其他组织的营业执照等证明文件，自然人的身份证明</w:t>
      </w:r>
    </w:p>
    <w:p w14:paraId="4D538660">
      <w:pPr>
        <w:pageBreakBefore w:val="0"/>
        <w:spacing w:line="360" w:lineRule="auto"/>
        <w:ind w:firstLine="420"/>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1.2依法缴纳税收和社会保障资金的相关材料</w:t>
      </w:r>
      <w:r>
        <w:rPr>
          <w:rFonts w:hint="eastAsia" w:ascii="Times New Roman" w:hAnsi="Times New Roman" w:eastAsia="宋体" w:cs="宋体"/>
          <w:b/>
          <w:bCs/>
          <w:i/>
          <w:iCs/>
          <w:color w:val="auto"/>
          <w:szCs w:val="21"/>
          <w:highlight w:val="none"/>
          <w:u w:val="single"/>
        </w:rPr>
        <w:t>（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p>
    <w:p w14:paraId="3C805B8F">
      <w:pPr>
        <w:pageBreakBefore w:val="0"/>
        <w:spacing w:line="360" w:lineRule="auto"/>
        <w:ind w:firstLine="420"/>
        <w:rPr>
          <w:rFonts w:ascii="Times New Roman" w:hAnsi="Times New Roman" w:eastAsia="宋体" w:cs="宋体"/>
          <w:b/>
          <w:bCs/>
          <w:i/>
          <w:iCs/>
          <w:color w:val="auto"/>
          <w:szCs w:val="21"/>
          <w:highlight w:val="none"/>
          <w:u w:val="single"/>
        </w:rPr>
      </w:pPr>
      <w:r>
        <w:rPr>
          <w:rFonts w:hint="eastAsia" w:ascii="Times New Roman" w:hAnsi="Times New Roman" w:eastAsia="宋体" w:cs="宋体"/>
          <w:i/>
          <w:iCs/>
          <w:color w:val="auto"/>
          <w:szCs w:val="21"/>
          <w:highlight w:val="none"/>
          <w:u w:val="single"/>
        </w:rPr>
        <w:t>1.3</w:t>
      </w:r>
      <w:r>
        <w:rPr>
          <w:rFonts w:hint="eastAsia" w:ascii="Times New Roman" w:hAnsi="Times New Roman" w:eastAsia="宋体" w:cs="宋体"/>
          <w:i/>
          <w:iCs/>
          <w:color w:val="auto"/>
          <w:szCs w:val="21"/>
          <w:highlight w:val="none"/>
          <w:u w:val="single"/>
          <w:lang w:val="en-US" w:eastAsia="zh-CN"/>
        </w:rPr>
        <w:t xml:space="preserve"> </w:t>
      </w:r>
      <w:r>
        <w:rPr>
          <w:rFonts w:hint="eastAsia" w:ascii="Times New Roman" w:hAnsi="Times New Roman" w:cs="宋体"/>
          <w:i/>
          <w:iCs/>
          <w:color w:val="auto"/>
          <w:szCs w:val="21"/>
          <w:highlight w:val="none"/>
          <w:u w:val="single"/>
          <w:lang w:eastAsia="zh-CN"/>
        </w:rPr>
        <w:t>上一年度</w:t>
      </w:r>
      <w:r>
        <w:rPr>
          <w:rFonts w:hint="eastAsia" w:ascii="Times New Roman" w:hAnsi="Times New Roman" w:eastAsia="宋体" w:cs="宋体"/>
          <w:i/>
          <w:iCs/>
          <w:color w:val="auto"/>
          <w:szCs w:val="21"/>
          <w:highlight w:val="none"/>
          <w:u w:val="single"/>
        </w:rPr>
        <w:t>的财务报告情况（</w:t>
      </w:r>
      <w:r>
        <w:rPr>
          <w:rFonts w:hint="eastAsia" w:ascii="Times New Roman" w:hAnsi="Times New Roman" w:eastAsia="宋体" w:cs="宋体"/>
          <w:b/>
          <w:bCs/>
          <w:i/>
          <w:iCs/>
          <w:color w:val="auto"/>
          <w:szCs w:val="21"/>
          <w:highlight w:val="none"/>
          <w:u w:val="single"/>
        </w:rPr>
        <w:t>成立不满一年不需提供）</w:t>
      </w:r>
    </w:p>
    <w:p w14:paraId="0600FF76">
      <w:pPr>
        <w:pageBreakBefore w:val="0"/>
        <w:spacing w:line="360" w:lineRule="auto"/>
        <w:ind w:firstLine="420"/>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1.4具备履行合同所必需的设备和专业技术能力的证明材料</w:t>
      </w:r>
    </w:p>
    <w:p w14:paraId="52512CF8">
      <w:pPr>
        <w:pageBreakBefore w:val="0"/>
        <w:spacing w:line="360" w:lineRule="auto"/>
        <w:ind w:firstLine="420"/>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1.5参加本次政府采购活动前3年内在经营活动中没有重大违法记录的书面声明</w:t>
      </w:r>
    </w:p>
    <w:p w14:paraId="088FE853">
      <w:pPr>
        <w:pageBreakBefore w:val="0"/>
        <w:spacing w:line="360" w:lineRule="auto"/>
        <w:ind w:firstLine="420"/>
        <w:rPr>
          <w:rFonts w:ascii="Times New Roman" w:hAnsi="Times New Roman" w:eastAsia="宋体" w:cs="宋体"/>
          <w:b/>
          <w:bCs/>
          <w:i/>
          <w:iCs/>
          <w:color w:val="auto"/>
          <w:szCs w:val="21"/>
          <w:highlight w:val="none"/>
          <w:u w:val="single"/>
        </w:rPr>
      </w:pPr>
      <w:r>
        <w:rPr>
          <w:rFonts w:hint="eastAsia" w:ascii="Times New Roman" w:hAnsi="Times New Roman" w:eastAsia="宋体" w:cs="宋体"/>
          <w:i/>
          <w:iCs/>
          <w:color w:val="auto"/>
          <w:szCs w:val="21"/>
          <w:highlight w:val="none"/>
          <w:u w:val="single"/>
        </w:rPr>
        <w:t>1.6未被“信用中国”网站（www.creditchina.gov.cn）、“中国政府采购网"（www.ccgp.gov.cn）列入失信被执行人、重大税收违法案件当事人名单、政府采购严重违法失信行为记录名单</w:t>
      </w:r>
      <w:r>
        <w:rPr>
          <w:rFonts w:hint="eastAsia" w:ascii="Times New Roman" w:hAnsi="Times New Roman" w:eastAsia="宋体" w:cs="宋体"/>
          <w:b/>
          <w:bCs/>
          <w:i/>
          <w:iCs/>
          <w:color w:val="auto"/>
          <w:szCs w:val="21"/>
          <w:highlight w:val="none"/>
          <w:u w:val="single"/>
        </w:rPr>
        <w:t>（投标文件中无需提供证明材料）</w:t>
      </w:r>
    </w:p>
    <w:p w14:paraId="29948A8E">
      <w:pPr>
        <w:pageBreakBefore w:val="0"/>
        <w:spacing w:line="360" w:lineRule="auto"/>
        <w:ind w:firstLine="420"/>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1.7供应商信用承诺函</w:t>
      </w:r>
    </w:p>
    <w:p w14:paraId="7E68A58E">
      <w:pPr>
        <w:pageBreakBefore w:val="0"/>
        <w:spacing w:line="360" w:lineRule="auto"/>
        <w:ind w:firstLine="420"/>
        <w:rPr>
          <w:rFonts w:hint="default" w:ascii="Times New Roman" w:hAnsi="Times New Roman" w:eastAsia="宋体" w:cs="宋体"/>
          <w:color w:val="auto"/>
          <w:szCs w:val="21"/>
          <w:highlight w:val="none"/>
          <w:lang w:val="en-US" w:eastAsia="zh-CN"/>
        </w:rPr>
      </w:pPr>
      <w:r>
        <w:rPr>
          <w:rFonts w:hint="eastAsia" w:ascii="Times New Roman" w:hAnsi="Times New Roman" w:eastAsia="宋体" w:cs="宋体"/>
          <w:color w:val="auto"/>
          <w:szCs w:val="21"/>
          <w:highlight w:val="none"/>
        </w:rPr>
        <w:t>2.落实政府采购政策需满足的资格要求：</w:t>
      </w:r>
      <w:r>
        <w:rPr>
          <w:rFonts w:hint="eastAsia" w:ascii="Times New Roman" w:hAnsi="Times New Roman"/>
          <w:i/>
          <w:iCs/>
          <w:color w:val="auto"/>
          <w:szCs w:val="21"/>
          <w:highlight w:val="none"/>
          <w:u w:val="single"/>
          <w:lang w:val="en-US" w:eastAsia="zh-CN"/>
        </w:rPr>
        <w:t>无</w:t>
      </w:r>
      <w:r>
        <w:rPr>
          <w:rFonts w:hint="eastAsia" w:ascii="Times New Roman" w:hAnsi="Times New Roman" w:eastAsia="宋体"/>
          <w:i/>
          <w:iCs/>
          <w:color w:val="auto"/>
          <w:szCs w:val="21"/>
          <w:highlight w:val="none"/>
          <w:u w:val="single"/>
          <w:lang w:val="en-US" w:eastAsia="zh-CN"/>
        </w:rPr>
        <w:t>。</w:t>
      </w:r>
    </w:p>
    <w:p w14:paraId="2F541A5D">
      <w:pPr>
        <w:pageBreakBefore w:val="0"/>
        <w:spacing w:line="360" w:lineRule="auto"/>
        <w:ind w:firstLine="420"/>
        <w:rPr>
          <w:rFonts w:hint="eastAsia" w:ascii="Times New Roman" w:hAnsi="Times New Roman" w:eastAsia="宋体" w:cs="宋体"/>
          <w:i/>
          <w:iCs/>
          <w:color w:val="auto"/>
          <w:szCs w:val="21"/>
          <w:highlight w:val="none"/>
          <w:u w:val="single"/>
          <w:lang w:val="en-US" w:eastAsia="zh-CN"/>
        </w:rPr>
      </w:pPr>
      <w:r>
        <w:rPr>
          <w:rFonts w:hint="eastAsia" w:ascii="Times New Roman" w:hAnsi="Times New Roman" w:eastAsia="宋体" w:cs="宋体"/>
          <w:color w:val="auto"/>
          <w:szCs w:val="21"/>
          <w:highlight w:val="none"/>
        </w:rPr>
        <w:t>3.本项目的特定资格要求：</w:t>
      </w:r>
      <w:r>
        <w:rPr>
          <w:rFonts w:hint="eastAsia" w:ascii="Times New Roman" w:hAnsi="Times New Roman" w:eastAsia="宋体" w:cs="Times New Roman"/>
          <w:i/>
          <w:iCs/>
          <w:color w:val="auto"/>
          <w:szCs w:val="21"/>
          <w:highlight w:val="none"/>
          <w:u w:val="single"/>
          <w:lang w:val="en-US" w:eastAsia="zh-CN"/>
        </w:rPr>
        <w:t>供应商须具备有效的乙级及以上测绘资质（专业类别须同时涵盖界线与不动产测绘、摄影测量与遥感、地理信息系统工程）</w:t>
      </w:r>
    </w:p>
    <w:p w14:paraId="588B75F8">
      <w:pPr>
        <w:pageBreakBefore w:val="0"/>
        <w:spacing w:line="360" w:lineRule="auto"/>
        <w:ind w:firstLine="422"/>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三、获取招标文件</w:t>
      </w:r>
      <w:bookmarkEnd w:id="13"/>
      <w:bookmarkEnd w:id="14"/>
      <w:bookmarkEnd w:id="15"/>
      <w:bookmarkEnd w:id="16"/>
      <w:bookmarkEnd w:id="17"/>
    </w:p>
    <w:p w14:paraId="6F3F9DBD">
      <w:pPr>
        <w:pageBreakBefore w:val="0"/>
        <w:spacing w:line="360" w:lineRule="auto"/>
        <w:ind w:firstLine="540"/>
        <w:rPr>
          <w:rFonts w:ascii="Times New Roman" w:hAnsi="Times New Roman" w:eastAsia="宋体" w:cs="宋体"/>
          <w:color w:val="auto"/>
          <w:highlight w:val="none"/>
        </w:rPr>
      </w:pPr>
      <w:bookmarkStart w:id="18" w:name="_Toc28359005"/>
      <w:bookmarkStart w:id="19" w:name="_Toc28359082"/>
      <w:bookmarkStart w:id="20" w:name="_Toc35393793"/>
      <w:bookmarkStart w:id="21" w:name="_Toc38985266"/>
      <w:bookmarkStart w:id="22" w:name="_Toc35393624"/>
      <w:r>
        <w:rPr>
          <w:rFonts w:hint="eastAsia" w:ascii="Times New Roman" w:hAnsi="Times New Roman" w:eastAsia="宋体" w:cs="宋体"/>
          <w:color w:val="auto"/>
          <w:highlight w:val="none"/>
        </w:rPr>
        <w:t>1.时间：自招标文件公告发布之日起5个工作日。5个工作日后仍可下载招标文件，但不作为供应商权益受到损害的证明材料和依据。</w:t>
      </w:r>
    </w:p>
    <w:p w14:paraId="74BB894B">
      <w:pPr>
        <w:pageBreakBefore w:val="0"/>
        <w:spacing w:line="360" w:lineRule="auto"/>
        <w:ind w:firstLine="540"/>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2.获取方式：本项目采用网上注册登记方式。</w:t>
      </w:r>
    </w:p>
    <w:p w14:paraId="18C3E194">
      <w:pPr>
        <w:pageBreakBefore w:val="0"/>
        <w:spacing w:line="360" w:lineRule="auto"/>
        <w:ind w:firstLine="540"/>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3.潜在供应商访问政府采购管理交易系统（苏采云）的网络地址和方法：</w:t>
      </w:r>
    </w:p>
    <w:p w14:paraId="0DC37FE1">
      <w:pPr>
        <w:pageBreakBefore w:val="0"/>
        <w:spacing w:line="360" w:lineRule="auto"/>
        <w:ind w:firstLine="540"/>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4BDBD07D">
      <w:pPr>
        <w:pageBreakBefore w:val="0"/>
        <w:spacing w:line="360" w:lineRule="auto"/>
        <w:ind w:firstLine="540"/>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（2）“CA数字证书”的获取：供应商需办理CA锁，“苏采云”系统目前仅支持“苏采云”系统下的政务CA，省内各地区办理的“苏采云”系统下的政务CA全省通用。</w:t>
      </w:r>
    </w:p>
    <w:p w14:paraId="3A4DED67">
      <w:pPr>
        <w:pageBreakBefore w:val="0"/>
        <w:spacing w:line="360" w:lineRule="auto"/>
        <w:ind w:firstLine="540"/>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（3）“CA数字证书”的办理材料以及供应商操作手册详见：http：//zfcg.yangzhou.gov.cn/xzzx/art/2023/art_4d7de1f7865f4a2894fc22bc452f94d8.html。</w:t>
      </w:r>
    </w:p>
    <w:p w14:paraId="5466B729">
      <w:pPr>
        <w:pageBreakBefore w:val="0"/>
        <w:spacing w:line="360" w:lineRule="auto"/>
        <w:ind w:firstLine="540"/>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（4）潜在供应商访问“苏采云”系统的网络地址和方法：“苏采云”系统的网址：http：//jszfcg.jsczt.cn/。</w:t>
      </w:r>
    </w:p>
    <w:p w14:paraId="72A49623">
      <w:pPr>
        <w:pageBreakBefore w:val="0"/>
        <w:spacing w:line="360" w:lineRule="auto"/>
        <w:ind w:firstLine="540"/>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（5）采购文件（后缀名为“.kedt”）、供应商操作手册及政府采购客户端工具也可通过“苏采云”系统--已报名项目--报名详情页面内相应链接进行下载。</w:t>
      </w:r>
    </w:p>
    <w:p w14:paraId="26708CE9">
      <w:pPr>
        <w:pageBreakBefore w:val="0"/>
        <w:spacing w:line="360" w:lineRule="auto"/>
        <w:ind w:firstLine="540"/>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（6）招标代理机构（采购代理机构）将数据电文形式的采购文件加载至“苏采云”系统，供潜在供应商下载或者查阅。</w:t>
      </w:r>
    </w:p>
    <w:p w14:paraId="77D8CAAC">
      <w:pPr>
        <w:pageBreakBefore w:val="0"/>
        <w:spacing w:line="360" w:lineRule="auto"/>
        <w:ind w:firstLine="540"/>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（7）苏采云系统使用谷歌浏览器参与不见面开标。</w:t>
      </w:r>
    </w:p>
    <w:p w14:paraId="465E0F37">
      <w:pPr>
        <w:pageBreakBefore w:val="0"/>
        <w:tabs>
          <w:tab w:val="left" w:pos="266"/>
        </w:tabs>
        <w:spacing w:line="360" w:lineRule="auto"/>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四、提交投标文件</w:t>
      </w:r>
      <w:bookmarkEnd w:id="18"/>
      <w:bookmarkEnd w:id="19"/>
      <w:r>
        <w:rPr>
          <w:rFonts w:hint="eastAsia" w:ascii="Times New Roman" w:hAnsi="Times New Roman" w:eastAsia="宋体" w:cs="宋体"/>
          <w:b/>
          <w:bCs/>
          <w:color w:val="auto"/>
          <w:highlight w:val="none"/>
        </w:rPr>
        <w:t>截止时间、开标时间和地点</w:t>
      </w:r>
      <w:bookmarkEnd w:id="20"/>
      <w:bookmarkEnd w:id="21"/>
      <w:bookmarkEnd w:id="22"/>
    </w:p>
    <w:p w14:paraId="1182FF04">
      <w:pPr>
        <w:pageBreakBefore w:val="0"/>
        <w:spacing w:line="360" w:lineRule="auto"/>
        <w:ind w:firstLine="420"/>
        <w:rPr>
          <w:rFonts w:ascii="Times New Roman" w:hAnsi="Times New Roman" w:eastAsia="宋体" w:cs="宋体"/>
          <w:bCs/>
          <w:color w:val="auto"/>
          <w:szCs w:val="21"/>
          <w:highlight w:val="none"/>
          <w:u w:val="single"/>
        </w:rPr>
      </w:pPr>
      <w:r>
        <w:rPr>
          <w:rFonts w:hint="eastAsia" w:ascii="Times New Roman" w:hAnsi="Times New Roman" w:eastAsia="宋体" w:cs="宋体"/>
          <w:color w:val="auto"/>
          <w:highlight w:val="none"/>
        </w:rPr>
        <w:t>1.时间：</w:t>
      </w:r>
      <w:r>
        <w:rPr>
          <w:rFonts w:hint="eastAsia" w:ascii="Times New Roman" w:hAnsi="Times New Roman" w:cs="宋体"/>
          <w:color w:val="auto"/>
          <w:highlight w:val="none"/>
        </w:rPr>
        <w:t>2026年0</w:t>
      </w:r>
      <w:r>
        <w:rPr>
          <w:rFonts w:hint="eastAsia" w:ascii="Times New Roman" w:hAnsi="Times New Roman" w:cs="宋体"/>
          <w:color w:val="auto"/>
          <w:highlight w:val="none"/>
          <w:lang w:val="en-US" w:eastAsia="zh-CN"/>
        </w:rPr>
        <w:t>8</w:t>
      </w:r>
      <w:r>
        <w:rPr>
          <w:rFonts w:hint="eastAsia" w:ascii="Times New Roman" w:hAnsi="Times New Roman" w:cs="宋体"/>
          <w:color w:val="auto"/>
          <w:highlight w:val="none"/>
        </w:rPr>
        <w:t>月</w:t>
      </w:r>
      <w:r>
        <w:rPr>
          <w:rFonts w:hint="eastAsia" w:ascii="Times New Roman" w:hAnsi="Times New Roman" w:cs="宋体"/>
          <w:color w:val="auto"/>
          <w:highlight w:val="none"/>
          <w:lang w:val="en-US" w:eastAsia="zh-CN"/>
        </w:rPr>
        <w:t>04</w:t>
      </w:r>
      <w:r>
        <w:rPr>
          <w:rFonts w:hint="eastAsia" w:ascii="Times New Roman" w:hAnsi="Times New Roman" w:cs="宋体"/>
          <w:color w:val="auto"/>
          <w:highlight w:val="none"/>
        </w:rPr>
        <w:t>日下午3:00</w:t>
      </w:r>
      <w:r>
        <w:rPr>
          <w:rFonts w:hint="eastAsia" w:ascii="Times New Roman" w:hAnsi="Times New Roman" w:eastAsia="宋体" w:cs="宋体"/>
          <w:bCs/>
          <w:color w:val="auto"/>
          <w:highlight w:val="none"/>
        </w:rPr>
        <w:t>（北京时间）</w:t>
      </w:r>
    </w:p>
    <w:p w14:paraId="67B22E6F">
      <w:pPr>
        <w:pageBreakBefore w:val="0"/>
        <w:spacing w:line="360" w:lineRule="auto"/>
        <w:ind w:firstLine="420"/>
        <w:rPr>
          <w:rFonts w:ascii="Times New Roman" w:hAnsi="Times New Roman" w:eastAsia="宋体"/>
          <w:b/>
          <w:color w:val="auto"/>
          <w:szCs w:val="21"/>
          <w:highlight w:val="none"/>
        </w:rPr>
      </w:pPr>
      <w:r>
        <w:rPr>
          <w:rFonts w:hint="eastAsia" w:ascii="Times New Roman" w:hAnsi="Times New Roman" w:eastAsia="宋体" w:cs="宋体"/>
          <w:color w:val="auto"/>
          <w:highlight w:val="none"/>
        </w:rPr>
        <w:t>2.开标地点：</w:t>
      </w:r>
      <w:r>
        <w:rPr>
          <w:rFonts w:hint="eastAsia" w:ascii="Times New Roman" w:hAnsi="Times New Roman" w:eastAsia="宋体" w:cs="宋体"/>
          <w:color w:val="auto"/>
          <w:szCs w:val="21"/>
          <w:highlight w:val="none"/>
        </w:rPr>
        <w:t>“苏采云”系统（网址：http：//jszfcg.jsczt.cn/）</w:t>
      </w:r>
    </w:p>
    <w:p w14:paraId="19D3E667">
      <w:pPr>
        <w:pageBreakBefore w:val="0"/>
        <w:tabs>
          <w:tab w:val="left" w:pos="266"/>
        </w:tabs>
        <w:spacing w:line="360" w:lineRule="auto"/>
        <w:rPr>
          <w:rFonts w:ascii="Times New Roman" w:hAnsi="Times New Roman" w:eastAsia="宋体" w:cs="宋体"/>
          <w:b/>
          <w:bCs/>
          <w:color w:val="auto"/>
          <w:highlight w:val="none"/>
        </w:rPr>
      </w:pPr>
      <w:bookmarkStart w:id="23" w:name="_Toc38985267"/>
      <w:bookmarkStart w:id="24" w:name="_Toc28359007"/>
      <w:bookmarkStart w:id="25" w:name="_Toc28359084"/>
      <w:bookmarkStart w:id="26" w:name="_Toc35393794"/>
      <w:bookmarkStart w:id="27" w:name="_Toc35393625"/>
      <w:r>
        <w:rPr>
          <w:rFonts w:hint="eastAsia" w:ascii="Times New Roman" w:hAnsi="Times New Roman" w:eastAsia="宋体" w:cs="宋体"/>
          <w:b/>
          <w:bCs/>
          <w:color w:val="auto"/>
          <w:highlight w:val="none"/>
        </w:rPr>
        <w:t>五、公告期限</w:t>
      </w:r>
      <w:bookmarkEnd w:id="23"/>
      <w:bookmarkEnd w:id="24"/>
      <w:bookmarkEnd w:id="25"/>
      <w:bookmarkEnd w:id="26"/>
      <w:bookmarkEnd w:id="27"/>
    </w:p>
    <w:p w14:paraId="6DFAFA3F">
      <w:pPr>
        <w:pageBreakBefore w:val="0"/>
        <w:spacing w:line="360" w:lineRule="auto"/>
        <w:ind w:firstLine="420"/>
        <w:rPr>
          <w:rFonts w:ascii="Times New Roman" w:hAnsi="Times New Roman" w:eastAsia="宋体" w:cs="宋体"/>
          <w:color w:val="auto"/>
          <w:highlight w:val="none"/>
        </w:rPr>
      </w:pPr>
      <w:bookmarkStart w:id="28" w:name="_Toc35393795"/>
      <w:bookmarkStart w:id="29" w:name="_Toc35393626"/>
      <w:bookmarkStart w:id="30" w:name="_Toc38985268"/>
      <w:r>
        <w:rPr>
          <w:rFonts w:hint="eastAsia" w:ascii="Times New Roman" w:hAnsi="Times New Roman" w:eastAsia="宋体" w:cs="宋体"/>
          <w:color w:val="auto"/>
          <w:highlight w:val="none"/>
        </w:rPr>
        <w:t>招标公告及招标文件公告期限为自本公告发布之日起5个工作日。</w:t>
      </w:r>
    </w:p>
    <w:p w14:paraId="7C780289">
      <w:pPr>
        <w:pageBreakBefore w:val="0"/>
        <w:tabs>
          <w:tab w:val="left" w:pos="266"/>
        </w:tabs>
        <w:spacing w:line="360" w:lineRule="auto"/>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六、其他补充事宜</w:t>
      </w:r>
      <w:bookmarkEnd w:id="28"/>
      <w:bookmarkEnd w:id="29"/>
      <w:bookmarkEnd w:id="30"/>
    </w:p>
    <w:p w14:paraId="6F71E09C">
      <w:pPr>
        <w:pageBreakBefore w:val="0"/>
        <w:spacing w:line="360" w:lineRule="auto"/>
        <w:ind w:firstLine="422"/>
        <w:rPr>
          <w:rFonts w:ascii="Times New Roman" w:hAnsi="Times New Roman" w:eastAsia="宋体"/>
          <w:b/>
          <w:bCs/>
          <w:color w:val="auto"/>
          <w:highlight w:val="none"/>
        </w:rPr>
      </w:pPr>
      <w:bookmarkStart w:id="31" w:name="_Toc28359008"/>
      <w:bookmarkStart w:id="32" w:name="_Toc38985269"/>
      <w:bookmarkStart w:id="33" w:name="_Toc35393796"/>
      <w:bookmarkStart w:id="34" w:name="_Toc35393627"/>
      <w:bookmarkStart w:id="35" w:name="_Toc28359085"/>
      <w:r>
        <w:rPr>
          <w:rFonts w:hint="eastAsia" w:ascii="Times New Roman" w:hAnsi="Times New Roman" w:eastAsia="宋体"/>
          <w:b/>
          <w:bCs/>
          <w:color w:val="auto"/>
          <w:highlight w:val="none"/>
        </w:rPr>
        <w:t>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p>
    <w:p w14:paraId="01558459">
      <w:pPr>
        <w:pageBreakBefore w:val="0"/>
        <w:spacing w:line="360" w:lineRule="auto"/>
        <w:ind w:firstLine="422"/>
        <w:rPr>
          <w:rFonts w:ascii="Times New Roman" w:hAnsi="Times New Roman" w:eastAsia="宋体"/>
          <w:b/>
          <w:bCs/>
          <w:color w:val="auto"/>
          <w:szCs w:val="21"/>
          <w:highlight w:val="none"/>
        </w:rPr>
      </w:pPr>
      <w:r>
        <w:rPr>
          <w:rFonts w:hint="eastAsia" w:ascii="Times New Roman" w:hAnsi="Times New Roman" w:eastAsia="宋体"/>
          <w:b/>
          <w:bCs/>
          <w:color w:val="auto"/>
          <w:highlight w:val="none"/>
        </w:rPr>
        <w:t>2.供应商如确定参加投标，可自行下载采购文件及有关资料，按照《操作手册》进行注册，领取CA和办理电子签章，并按《操作手册》要求制作、上传电子投标文件，技术支持联系方式：13813140731。</w:t>
      </w:r>
    </w:p>
    <w:p w14:paraId="1C20384C">
      <w:pPr>
        <w:pageBreakBefore w:val="0"/>
        <w:spacing w:line="360" w:lineRule="auto"/>
        <w:ind w:firstLine="420"/>
        <w:rPr>
          <w:rFonts w:ascii="Times New Roman" w:hAnsi="Times New Roman" w:eastAsia="宋体" w:cs="宋体"/>
          <w:bCs/>
          <w:color w:val="auto"/>
          <w:highlight w:val="none"/>
        </w:rPr>
      </w:pPr>
      <w:r>
        <w:rPr>
          <w:rFonts w:hint="eastAsia" w:ascii="Times New Roman" w:hAnsi="Times New Roman" w:eastAsia="宋体" w:cs="宋体"/>
          <w:bCs/>
          <w:color w:val="auto"/>
          <w:szCs w:val="21"/>
          <w:highlight w:val="none"/>
        </w:rPr>
        <w:t>3.</w:t>
      </w:r>
      <w:r>
        <w:rPr>
          <w:rFonts w:hint="eastAsia" w:ascii="Times New Roman" w:hAnsi="Times New Roman" w:eastAsia="宋体"/>
          <w:color w:val="auto"/>
          <w:highlight w:val="none"/>
        </w:rPr>
        <w:t>本次招标不收取投标保证金。</w:t>
      </w:r>
    </w:p>
    <w:p w14:paraId="69CD6F36">
      <w:pPr>
        <w:pageBreakBefore w:val="0"/>
        <w:spacing w:line="360" w:lineRule="auto"/>
        <w:ind w:firstLine="420"/>
        <w:rPr>
          <w:rFonts w:ascii="Times New Roman" w:hAnsi="Times New Roman" w:eastAsia="宋体" w:cs="宋体"/>
          <w:bCs/>
          <w:color w:val="auto"/>
          <w:highlight w:val="none"/>
        </w:rPr>
      </w:pPr>
      <w:r>
        <w:rPr>
          <w:rFonts w:hint="eastAsia" w:ascii="Times New Roman" w:hAnsi="Times New Roman" w:eastAsia="宋体"/>
          <w:color w:val="auto"/>
          <w:szCs w:val="21"/>
          <w:highlight w:val="none"/>
        </w:rPr>
        <w:t>4.</w:t>
      </w:r>
      <w:r>
        <w:rPr>
          <w:rFonts w:hint="eastAsia" w:ascii="Times New Roman" w:hAnsi="Times New Roman" w:eastAsia="宋体" w:cs="宋体"/>
          <w:bCs/>
          <w:color w:val="auto"/>
          <w:highlight w:val="none"/>
        </w:rPr>
        <w:t>有关本次招标的事项若存在变动或修改，敬请及时关注</w:t>
      </w:r>
      <w:r>
        <w:rPr>
          <w:rFonts w:hint="eastAsia" w:ascii="Times New Roman" w:hAnsi="Times New Roman"/>
          <w:bCs/>
          <w:color w:val="auto"/>
          <w:szCs w:val="21"/>
          <w:highlight w:val="none"/>
          <w:lang w:eastAsia="zh-CN"/>
        </w:rPr>
        <w:t>“扬州市政府采购网”、“江苏省政府采购网”</w:t>
      </w:r>
      <w:r>
        <w:rPr>
          <w:rFonts w:hint="eastAsia" w:ascii="Times New Roman" w:hAnsi="Times New Roman" w:eastAsia="宋体" w:cs="宋体"/>
          <w:bCs/>
          <w:color w:val="auto"/>
          <w:highlight w:val="none"/>
        </w:rPr>
        <w:t>发布的信息。</w:t>
      </w:r>
    </w:p>
    <w:p w14:paraId="0184E863">
      <w:pPr>
        <w:pageBreakBefore w:val="0"/>
        <w:tabs>
          <w:tab w:val="left" w:pos="266"/>
        </w:tabs>
        <w:spacing w:line="360" w:lineRule="auto"/>
        <w:ind w:firstLine="422"/>
        <w:rPr>
          <w:rFonts w:ascii="Times New Roman" w:hAnsi="Times New Roman" w:eastAsia="宋体" w:cs="宋体"/>
          <w:b/>
          <w:i/>
          <w:iCs/>
          <w:color w:val="auto"/>
          <w:highlight w:val="none"/>
          <w:u w:val="single"/>
        </w:rPr>
      </w:pPr>
      <w:r>
        <w:rPr>
          <w:rFonts w:hint="eastAsia" w:ascii="Times New Roman" w:hAnsi="Times New Roman" w:eastAsia="宋体" w:cs="宋体"/>
          <w:b/>
          <w:i/>
          <w:iCs/>
          <w:color w:val="auto"/>
          <w:highlight w:val="none"/>
          <w:u w:val="single"/>
        </w:rPr>
        <w:t>5.本项目招标文件中所有斜体下划线部分为实质性条款，如不满足，则为无效投标。</w:t>
      </w:r>
    </w:p>
    <w:p w14:paraId="1A2BBC85">
      <w:pPr>
        <w:pageBreakBefore w:val="0"/>
        <w:tabs>
          <w:tab w:val="left" w:pos="266"/>
        </w:tabs>
        <w:spacing w:line="360" w:lineRule="auto"/>
        <w:ind w:firstLine="420"/>
        <w:rPr>
          <w:rFonts w:ascii="Times New Roman" w:hAnsi="Times New Roman" w:eastAsia="宋体" w:cs="宋体"/>
          <w:bCs/>
          <w:color w:val="auto"/>
          <w:highlight w:val="none"/>
        </w:rPr>
      </w:pPr>
      <w:r>
        <w:rPr>
          <w:rFonts w:hint="eastAsia" w:ascii="Times New Roman" w:hAnsi="Times New Roman" w:eastAsia="宋体" w:cs="宋体"/>
          <w:bCs/>
          <w:color w:val="auto"/>
          <w:highlight w:val="none"/>
        </w:rPr>
        <w:t>6.如在开标时间发生系统崩溃等不可预见的情况，造成开评标活动无法正常进行的，将延迟开评标，具体开评标时间另行通知。</w:t>
      </w:r>
    </w:p>
    <w:p w14:paraId="4DD65FF3">
      <w:pPr>
        <w:pageBreakBefore w:val="0"/>
        <w:tabs>
          <w:tab w:val="left" w:pos="266"/>
        </w:tabs>
        <w:spacing w:line="360" w:lineRule="auto"/>
        <w:ind w:firstLine="420"/>
        <w:rPr>
          <w:rFonts w:ascii="Times New Roman" w:hAnsi="Times New Roman" w:eastAsia="宋体" w:cs="宋体"/>
          <w:bCs/>
          <w:color w:val="auto"/>
          <w:highlight w:val="none"/>
        </w:rPr>
      </w:pPr>
      <w:r>
        <w:rPr>
          <w:rFonts w:hint="eastAsia" w:ascii="Times New Roman" w:hAnsi="Times New Roman" w:eastAsia="宋体" w:cs="宋体"/>
          <w:bCs/>
          <w:color w:val="auto"/>
          <w:highlight w:val="none"/>
        </w:rPr>
        <w:t>7.为落实好政府采购履约资金扶持政策，中标/成交供应商可凭政府采购合同办理融资贷款，详见江苏政府采购网“政采贷”专栏。</w:t>
      </w:r>
    </w:p>
    <w:p w14:paraId="570399CC">
      <w:pPr>
        <w:pageBreakBefore w:val="0"/>
        <w:tabs>
          <w:tab w:val="left" w:pos="266"/>
        </w:tabs>
        <w:spacing w:line="360" w:lineRule="auto"/>
        <w:ind w:firstLine="420"/>
        <w:rPr>
          <w:rFonts w:ascii="Times New Roman" w:hAnsi="Times New Roman" w:eastAsia="宋体" w:cs="宋体"/>
          <w:bCs/>
          <w:color w:val="auto"/>
          <w:highlight w:val="none"/>
        </w:rPr>
      </w:pPr>
      <w:r>
        <w:rPr>
          <w:rFonts w:hint="eastAsia" w:ascii="Times New Roman" w:hAnsi="Times New Roman" w:eastAsia="宋体" w:cs="宋体"/>
          <w:bCs/>
          <w:color w:val="auto"/>
          <w:highlight w:val="none"/>
        </w:rPr>
        <w:t>8.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p>
    <w:p w14:paraId="101AA550">
      <w:pPr>
        <w:pageBreakBefore w:val="0"/>
        <w:tabs>
          <w:tab w:val="left" w:pos="266"/>
        </w:tabs>
        <w:spacing w:line="360" w:lineRule="auto"/>
        <w:ind w:firstLine="420"/>
        <w:rPr>
          <w:rFonts w:ascii="Times New Roman" w:hAnsi="Times New Roman" w:eastAsia="宋体" w:cs="宋体"/>
          <w:b/>
          <w:i/>
          <w:iCs/>
          <w:color w:val="auto"/>
          <w:highlight w:val="none"/>
          <w:u w:val="single"/>
        </w:rPr>
      </w:pPr>
      <w:r>
        <w:rPr>
          <w:rFonts w:hint="eastAsia" w:ascii="Times New Roman" w:hAnsi="Times New Roman" w:eastAsia="宋体" w:cs="宋体"/>
          <w:bCs/>
          <w:color w:val="auto"/>
          <w:highlight w:val="none"/>
        </w:rPr>
        <w:t>9.供应商对于所投产品的包装应按照“财办库〔2020〕123号《关于印发《商品包装政府采购需求标准（试行）》、《快递包装政府采购需求标准（试行）》的通知》”执行。</w:t>
      </w:r>
    </w:p>
    <w:p w14:paraId="2683F003">
      <w:pPr>
        <w:pageBreakBefore w:val="0"/>
        <w:tabs>
          <w:tab w:val="left" w:pos="266"/>
        </w:tabs>
        <w:spacing w:line="360" w:lineRule="auto"/>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七、本次招标联系方式</w:t>
      </w:r>
      <w:bookmarkEnd w:id="31"/>
      <w:bookmarkEnd w:id="32"/>
      <w:bookmarkEnd w:id="33"/>
      <w:bookmarkEnd w:id="34"/>
      <w:bookmarkEnd w:id="35"/>
    </w:p>
    <w:p w14:paraId="790FA6E1">
      <w:pPr>
        <w:pageBreakBefore w:val="0"/>
        <w:widowControl/>
        <w:spacing w:line="360" w:lineRule="auto"/>
        <w:ind w:firstLine="420"/>
        <w:jc w:val="left"/>
        <w:rPr>
          <w:rFonts w:ascii="Times New Roman" w:hAnsi="Times New Roman" w:eastAsia="宋体" w:cs="宋体"/>
          <w:color w:val="auto"/>
          <w:szCs w:val="21"/>
          <w:highlight w:val="none"/>
        </w:rPr>
      </w:pPr>
      <w:bookmarkStart w:id="36" w:name="_Toc28359087"/>
      <w:bookmarkStart w:id="37" w:name="_Toc28359010"/>
      <w:r>
        <w:rPr>
          <w:rFonts w:hint="eastAsia" w:ascii="Times New Roman" w:hAnsi="Times New Roman" w:eastAsia="宋体" w:cs="宋体"/>
          <w:color w:val="auto"/>
          <w:highlight w:val="none"/>
        </w:rPr>
        <w:t>1.采购人信息</w:t>
      </w:r>
    </w:p>
    <w:p w14:paraId="6044F642">
      <w:pPr>
        <w:pageBreakBefore w:val="0"/>
        <w:spacing w:line="360" w:lineRule="auto"/>
        <w:ind w:firstLine="420"/>
        <w:jc w:val="left"/>
        <w:rPr>
          <w:rFonts w:hint="eastAsia" w:ascii="Times New Roman" w:hAnsi="Times New Roman" w:eastAsia="宋体" w:cs="宋体"/>
          <w:color w:val="auto"/>
          <w:highlight w:val="none"/>
          <w:lang w:eastAsia="zh-CN"/>
        </w:rPr>
      </w:pPr>
      <w:r>
        <w:rPr>
          <w:rFonts w:hint="eastAsia" w:ascii="Times New Roman" w:hAnsi="Times New Roman" w:eastAsia="宋体" w:cs="宋体"/>
          <w:color w:val="auto"/>
          <w:highlight w:val="none"/>
        </w:rPr>
        <w:t>名称：</w:t>
      </w:r>
      <w:r>
        <w:rPr>
          <w:rFonts w:hint="eastAsia" w:ascii="Times New Roman" w:hAnsi="Times New Roman"/>
          <w:color w:val="auto"/>
          <w:szCs w:val="21"/>
          <w:highlight w:val="none"/>
          <w:lang w:eastAsia="zh-CN"/>
        </w:rPr>
        <w:t>宝应县自然资源和规划局</w:t>
      </w:r>
    </w:p>
    <w:p w14:paraId="24163507">
      <w:pPr>
        <w:pageBreakBefore w:val="0"/>
        <w:spacing w:line="360" w:lineRule="auto"/>
        <w:ind w:firstLine="420"/>
        <w:jc w:val="left"/>
        <w:rPr>
          <w:rFonts w:hint="eastAsia" w:ascii="Times New Roman" w:hAnsi="Times New Roman" w:eastAsia="宋体"/>
          <w:color w:val="auto"/>
          <w:szCs w:val="21"/>
          <w:highlight w:val="none"/>
          <w:lang w:val="en-US" w:eastAsia="zh-CN"/>
        </w:rPr>
      </w:pPr>
      <w:bookmarkStart w:id="38" w:name="_Toc28359086"/>
      <w:bookmarkStart w:id="39" w:name="_Toc28359009"/>
      <w:r>
        <w:rPr>
          <w:rFonts w:hint="eastAsia" w:ascii="Times New Roman" w:hAnsi="Times New Roman" w:eastAsia="宋体" w:cs="宋体"/>
          <w:color w:val="auto"/>
          <w:highlight w:val="none"/>
        </w:rPr>
        <w:t>地址：</w:t>
      </w:r>
      <w:r>
        <w:rPr>
          <w:rFonts w:hint="eastAsia" w:ascii="Times New Roman" w:hAnsi="Times New Roman" w:eastAsia="宋体" w:cs="Times New Roman"/>
          <w:color w:val="auto"/>
          <w:szCs w:val="21"/>
          <w:highlight w:val="none"/>
          <w:lang w:eastAsia="zh-CN"/>
        </w:rPr>
        <w:t>宝应县</w:t>
      </w:r>
      <w:r>
        <w:rPr>
          <w:rFonts w:hint="default" w:ascii="Times New Roman" w:hAnsi="Times New Roman" w:eastAsia="宋体" w:cs="Times New Roman"/>
          <w:color w:val="auto"/>
          <w:szCs w:val="21"/>
          <w:highlight w:val="none"/>
          <w:lang w:eastAsia="zh-CN"/>
        </w:rPr>
        <w:t>叶挺路823号</w:t>
      </w:r>
    </w:p>
    <w:p w14:paraId="3562E1B9">
      <w:pPr>
        <w:pageBreakBefore w:val="0"/>
        <w:spacing w:line="360" w:lineRule="auto"/>
        <w:ind w:firstLine="420"/>
        <w:jc w:val="left"/>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rPr>
        <w:t>联系人：</w:t>
      </w:r>
      <w:r>
        <w:rPr>
          <w:rFonts w:hint="eastAsia" w:ascii="Times New Roman" w:hAnsi="Times New Roman"/>
          <w:color w:val="auto"/>
          <w:szCs w:val="21"/>
          <w:highlight w:val="none"/>
          <w:lang w:val="en-US" w:eastAsia="zh-CN"/>
        </w:rPr>
        <w:t>许骁</w:t>
      </w:r>
    </w:p>
    <w:p w14:paraId="3CD90BE2">
      <w:pPr>
        <w:pageBreakBefore w:val="0"/>
        <w:spacing w:line="360" w:lineRule="auto"/>
        <w:ind w:firstLine="420"/>
        <w:jc w:val="left"/>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rPr>
        <w:t>联系方式：</w:t>
      </w:r>
      <w:r>
        <w:rPr>
          <w:rFonts w:hint="eastAsia" w:ascii="Times New Roman" w:hAnsi="Times New Roman"/>
          <w:color w:val="auto"/>
          <w:szCs w:val="21"/>
          <w:highlight w:val="none"/>
          <w:lang w:val="en-US" w:eastAsia="zh-CN"/>
        </w:rPr>
        <w:t>15161886252</w:t>
      </w:r>
    </w:p>
    <w:p w14:paraId="79D8D9DB">
      <w:pPr>
        <w:pageBreakBefore w:val="0"/>
        <w:spacing w:line="360" w:lineRule="auto"/>
        <w:ind w:firstLine="420"/>
        <w:jc w:val="left"/>
        <w:rPr>
          <w:rFonts w:ascii="Times New Roman" w:hAnsi="Times New Roman" w:eastAsia="宋体" w:cs="宋体"/>
          <w:color w:val="auto"/>
          <w:highlight w:val="none"/>
        </w:rPr>
      </w:pPr>
      <w:r>
        <w:rPr>
          <w:rFonts w:hint="eastAsia" w:ascii="Times New Roman" w:hAnsi="Times New Roman" w:eastAsia="宋体" w:cs="宋体"/>
          <w:color w:val="auto"/>
          <w:highlight w:val="none"/>
        </w:rPr>
        <w:t>2.采购代理机构信息</w:t>
      </w:r>
      <w:bookmarkEnd w:id="38"/>
      <w:bookmarkEnd w:id="39"/>
    </w:p>
    <w:p w14:paraId="76DE3F8E">
      <w:pPr>
        <w:pageBreakBefore w:val="0"/>
        <w:spacing w:line="360" w:lineRule="auto"/>
        <w:ind w:firstLine="420"/>
        <w:rPr>
          <w:rFonts w:hint="eastAsia" w:ascii="Times New Roman" w:hAnsi="Times New Roman" w:eastAsia="宋体" w:cs="宋体"/>
          <w:color w:val="auto"/>
          <w:highlight w:val="none"/>
          <w:lang w:eastAsia="zh-CN"/>
        </w:rPr>
      </w:pPr>
      <w:r>
        <w:rPr>
          <w:rFonts w:hint="eastAsia" w:ascii="Times New Roman" w:hAnsi="Times New Roman" w:eastAsia="宋体" w:cs="宋体"/>
          <w:color w:val="auto"/>
          <w:highlight w:val="none"/>
        </w:rPr>
        <w:t>名称：</w:t>
      </w:r>
      <w:r>
        <w:rPr>
          <w:rFonts w:hint="eastAsia" w:ascii="Times New Roman" w:hAnsi="Times New Roman"/>
          <w:color w:val="auto"/>
          <w:szCs w:val="21"/>
          <w:highlight w:val="none"/>
          <w:lang w:eastAsia="zh-CN"/>
        </w:rPr>
        <w:t>江苏中瑞建设项目管理有限公司</w:t>
      </w:r>
    </w:p>
    <w:p w14:paraId="49172C67">
      <w:pPr>
        <w:pageBreakBefore w:val="0"/>
        <w:spacing w:line="360" w:lineRule="auto"/>
        <w:ind w:firstLine="420"/>
        <w:rPr>
          <w:rFonts w:hint="default" w:ascii="Times New Roman" w:hAnsi="Times New Roman" w:eastAsia="宋体" w:cs="宋体"/>
          <w:color w:val="auto"/>
          <w:highlight w:val="none"/>
          <w:lang w:val="en-US" w:eastAsia="zh-CN"/>
        </w:rPr>
      </w:pPr>
      <w:r>
        <w:rPr>
          <w:rFonts w:hint="eastAsia" w:ascii="Times New Roman" w:hAnsi="Times New Roman" w:eastAsia="宋体" w:cs="宋体"/>
          <w:color w:val="auto"/>
          <w:highlight w:val="none"/>
        </w:rPr>
        <w:t>地址：</w:t>
      </w:r>
      <w:r>
        <w:rPr>
          <w:rFonts w:hint="eastAsia" w:ascii="Times New Roman" w:hAnsi="Times New Roman"/>
          <w:color w:val="auto"/>
          <w:szCs w:val="21"/>
          <w:highlight w:val="none"/>
          <w:lang w:eastAsia="zh-CN"/>
        </w:rPr>
        <w:t>宝应县</w:t>
      </w:r>
      <w:r>
        <w:rPr>
          <w:rFonts w:hint="eastAsia" w:ascii="Times New Roman" w:hAnsi="Times New Roman"/>
          <w:color w:val="auto"/>
          <w:szCs w:val="21"/>
          <w:highlight w:val="none"/>
          <w:lang w:val="en-US" w:eastAsia="zh-CN"/>
        </w:rPr>
        <w:t>泰山东路98号圆通物流园综合楼五层</w:t>
      </w:r>
    </w:p>
    <w:p w14:paraId="3681986B">
      <w:pPr>
        <w:pageBreakBefore w:val="0"/>
        <w:spacing w:line="360" w:lineRule="auto"/>
        <w:ind w:firstLine="420"/>
        <w:rPr>
          <w:rFonts w:hint="eastAsia" w:ascii="Times New Roman" w:hAnsi="Times New Roman" w:eastAsia="宋体" w:cs="宋体"/>
          <w:color w:val="auto"/>
          <w:highlight w:val="none"/>
          <w:lang w:val="en-US" w:eastAsia="zh-CN"/>
        </w:rPr>
      </w:pPr>
      <w:r>
        <w:rPr>
          <w:rFonts w:hint="eastAsia" w:ascii="Times New Roman" w:hAnsi="Times New Roman" w:eastAsia="宋体" w:cs="宋体"/>
          <w:color w:val="auto"/>
          <w:highlight w:val="none"/>
        </w:rPr>
        <w:t>联系人：</w:t>
      </w:r>
      <w:r>
        <w:rPr>
          <w:rFonts w:hint="eastAsia" w:ascii="Times New Roman" w:hAnsi="Times New Roman" w:cs="宋体"/>
          <w:color w:val="auto"/>
          <w:highlight w:val="none"/>
          <w:lang w:val="en-US" w:eastAsia="zh-CN"/>
        </w:rPr>
        <w:t>赵工</w:t>
      </w:r>
    </w:p>
    <w:p w14:paraId="376D02BD">
      <w:pPr>
        <w:pageBreakBefore w:val="0"/>
        <w:spacing w:line="360" w:lineRule="auto"/>
        <w:ind w:firstLine="420"/>
        <w:rPr>
          <w:rFonts w:hint="eastAsia" w:ascii="Times New Roman" w:hAnsi="Times New Roman" w:eastAsia="宋体" w:cs="宋体"/>
          <w:color w:val="auto"/>
          <w:highlight w:val="none"/>
          <w:u w:val="single"/>
          <w:lang w:val="en-US" w:eastAsia="zh-CN"/>
        </w:rPr>
      </w:pPr>
      <w:r>
        <w:rPr>
          <w:rFonts w:hint="eastAsia" w:ascii="Times New Roman" w:hAnsi="Times New Roman" w:eastAsia="宋体" w:cs="宋体"/>
          <w:color w:val="auto"/>
          <w:highlight w:val="none"/>
        </w:rPr>
        <w:t>联系方式：</w:t>
      </w:r>
      <w:bookmarkEnd w:id="36"/>
      <w:bookmarkEnd w:id="37"/>
      <w:r>
        <w:rPr>
          <w:rFonts w:hint="eastAsia" w:ascii="Times New Roman" w:hAnsi="Times New Roman"/>
          <w:color w:val="auto"/>
          <w:szCs w:val="21"/>
          <w:highlight w:val="none"/>
          <w:lang w:val="en-US" w:eastAsia="zh-CN"/>
        </w:rPr>
        <w:t>15751059868</w:t>
      </w:r>
    </w:p>
    <w:p w14:paraId="34A4BED5">
      <w:pPr>
        <w:pageBreakBefore w:val="0"/>
        <w:spacing w:line="360" w:lineRule="auto"/>
        <w:jc w:val="right"/>
        <w:rPr>
          <w:rFonts w:ascii="Times New Roman" w:hAnsi="Times New Roman" w:eastAsia="宋体"/>
          <w:color w:val="auto"/>
          <w:szCs w:val="21"/>
          <w:highlight w:val="none"/>
        </w:rPr>
      </w:pPr>
    </w:p>
    <w:p w14:paraId="54A9FE73">
      <w:pPr>
        <w:pageBreakBefore w:val="0"/>
        <w:spacing w:line="360" w:lineRule="auto"/>
        <w:jc w:val="right"/>
        <w:rPr>
          <w:rFonts w:hint="eastAsia" w:ascii="Times New Roman" w:hAnsi="Times New Roman" w:eastAsia="宋体"/>
          <w:color w:val="auto"/>
          <w:szCs w:val="21"/>
          <w:highlight w:val="none"/>
          <w:lang w:eastAsia="zh-CN"/>
        </w:rPr>
      </w:pPr>
      <w:r>
        <w:rPr>
          <w:rFonts w:hint="eastAsia" w:ascii="Times New Roman" w:hAnsi="Times New Roman"/>
          <w:color w:val="auto"/>
          <w:szCs w:val="21"/>
          <w:highlight w:val="none"/>
          <w:lang w:eastAsia="zh-CN"/>
        </w:rPr>
        <w:t>江苏中瑞建设项目管理有限公司</w:t>
      </w:r>
    </w:p>
    <w:p w14:paraId="18817426">
      <w:pPr>
        <w:pageBreakBefore w:val="0"/>
        <w:spacing w:line="360" w:lineRule="auto"/>
        <w:jc w:val="right"/>
        <w:rPr>
          <w:rFonts w:ascii="Times New Roman" w:hAnsi="Times New Roman" w:eastAsia="宋体"/>
          <w:color w:val="auto"/>
          <w:highlight w:val="none"/>
        </w:rPr>
      </w:pPr>
      <w:r>
        <w:rPr>
          <w:rFonts w:hint="eastAsia" w:ascii="Times New Roman" w:hAnsi="Times New Roman" w:eastAsia="宋体"/>
          <w:color w:val="auto"/>
          <w:szCs w:val="21"/>
          <w:highlight w:val="none"/>
        </w:rPr>
        <w:t>2026年</w:t>
      </w:r>
      <w:r>
        <w:rPr>
          <w:rFonts w:hint="default" w:ascii="Times New Roman" w:hAnsi="Times New Roman"/>
          <w:color w:val="auto"/>
          <w:szCs w:val="21"/>
          <w:highlight w:val="none"/>
          <w:lang w:val="en-US" w:eastAsia="zh-CN"/>
        </w:rPr>
        <w:t>0</w:t>
      </w:r>
      <w:r>
        <w:rPr>
          <w:rFonts w:hint="eastAsia" w:ascii="Times New Roman" w:hAnsi="Times New Roman"/>
          <w:color w:val="auto"/>
          <w:szCs w:val="21"/>
          <w:highlight w:val="none"/>
          <w:lang w:val="en-US" w:eastAsia="zh-CN"/>
        </w:rPr>
        <w:t>7</w:t>
      </w:r>
      <w:r>
        <w:rPr>
          <w:rFonts w:hint="eastAsia" w:ascii="Times New Roman" w:hAnsi="Times New Roman" w:eastAsia="宋体"/>
          <w:color w:val="auto"/>
          <w:szCs w:val="21"/>
          <w:highlight w:val="none"/>
        </w:rPr>
        <w:t>月</w:t>
      </w:r>
      <w:r>
        <w:rPr>
          <w:rFonts w:hint="eastAsia" w:ascii="Times New Roman" w:hAnsi="Times New Roman"/>
          <w:color w:val="auto"/>
          <w:szCs w:val="21"/>
          <w:highlight w:val="none"/>
          <w:lang w:val="en-US" w:eastAsia="zh-CN"/>
        </w:rPr>
        <w:t>14</w:t>
      </w:r>
      <w:r>
        <w:rPr>
          <w:rFonts w:hint="eastAsia" w:ascii="Times New Roman" w:hAnsi="Times New Roman" w:eastAsia="宋体"/>
          <w:color w:val="auto"/>
          <w:szCs w:val="21"/>
          <w:highlight w:val="none"/>
        </w:rPr>
        <w:t>日</w:t>
      </w:r>
    </w:p>
    <w:p w14:paraId="3C3BB323">
      <w:pPr>
        <w:pStyle w:val="2"/>
        <w:pageBreakBefore w:val="0"/>
        <w:spacing w:before="0" w:after="0" w:line="360" w:lineRule="auto"/>
        <w:jc w:val="center"/>
        <w:rPr>
          <w:rFonts w:ascii="Times New Roman" w:hAnsi="Times New Roman" w:eastAsia="宋体"/>
          <w:color w:val="auto"/>
          <w:sz w:val="36"/>
          <w:szCs w:val="36"/>
          <w:highlight w:val="none"/>
        </w:rPr>
        <w:sectPr>
          <w:footerReference r:id="rId5" w:type="default"/>
          <w:pgSz w:w="11906" w:h="16838"/>
          <w:pgMar w:top="1440" w:right="1800" w:bottom="1440" w:left="1800" w:header="851" w:footer="992" w:gutter="0"/>
          <w:pgNumType w:start="1"/>
          <w:cols w:space="720" w:num="1"/>
          <w:docGrid w:linePitch="360" w:charSpace="0"/>
        </w:sectPr>
      </w:pPr>
      <w:bookmarkStart w:id="40" w:name="_Toc55204178"/>
    </w:p>
    <w:p w14:paraId="55B2320A">
      <w:pPr>
        <w:pStyle w:val="2"/>
        <w:pageBreakBefore w:val="0"/>
        <w:spacing w:before="0" w:after="0" w:line="360" w:lineRule="auto"/>
        <w:jc w:val="center"/>
        <w:rPr>
          <w:rFonts w:ascii="Times New Roman" w:hAnsi="Times New Roman" w:eastAsia="宋体"/>
          <w:color w:val="auto"/>
          <w:sz w:val="36"/>
          <w:szCs w:val="36"/>
          <w:highlight w:val="none"/>
        </w:rPr>
      </w:pPr>
      <w:bookmarkStart w:id="41" w:name="_Toc4032"/>
      <w:r>
        <w:rPr>
          <w:rFonts w:hint="eastAsia" w:ascii="Times New Roman" w:hAnsi="Times New Roman" w:eastAsia="宋体"/>
          <w:color w:val="auto"/>
          <w:sz w:val="36"/>
          <w:szCs w:val="36"/>
          <w:highlight w:val="none"/>
        </w:rPr>
        <w:t>第二章投标人须知</w:t>
      </w:r>
      <w:bookmarkEnd w:id="40"/>
      <w:bookmarkEnd w:id="41"/>
    </w:p>
    <w:p w14:paraId="249E804E">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1、招标方式</w:t>
      </w:r>
    </w:p>
    <w:p w14:paraId="402CD106">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1.1本次招标采取公开招标方式，本招标文件仅适用于</w:t>
      </w:r>
      <w:r>
        <w:rPr>
          <w:rFonts w:hint="eastAsia" w:ascii="Times New Roman" w:hAnsi="Times New Roman"/>
          <w:bCs/>
          <w:color w:val="auto"/>
          <w:szCs w:val="21"/>
          <w:highlight w:val="none"/>
          <w:lang w:eastAsia="zh-CN"/>
        </w:rPr>
        <w:t>JSZC-321023-JSZR-G2026-0051号</w:t>
      </w:r>
      <w:r>
        <w:rPr>
          <w:rFonts w:hint="eastAsia" w:ascii="Times New Roman" w:hAnsi="Times New Roman" w:eastAsia="宋体"/>
          <w:bCs/>
          <w:color w:val="auto"/>
          <w:szCs w:val="21"/>
          <w:highlight w:val="none"/>
        </w:rPr>
        <w:t>项目。</w:t>
      </w:r>
    </w:p>
    <w:p w14:paraId="5BC015D0">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2、投标人</w:t>
      </w:r>
    </w:p>
    <w:p w14:paraId="660A7570">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2.1本招标文件中“供应商”，即“投标人”，是指参加投标竞争，并符合招标文件规定资格条件的法人、其他组织或者自然人。</w:t>
      </w:r>
    </w:p>
    <w:p w14:paraId="2F3EC788">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2.2合格的投标人</w:t>
      </w:r>
    </w:p>
    <w:p w14:paraId="127A76E6">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2.2.1满足招标公告中供应商的资格条件要求的规定。</w:t>
      </w:r>
    </w:p>
    <w:p w14:paraId="7161C383">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2.2.2满足本文件实质性条款的规定。</w:t>
      </w:r>
    </w:p>
    <w:p w14:paraId="3B85A834">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3、适用法律</w:t>
      </w:r>
    </w:p>
    <w:p w14:paraId="14B3D584">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3.1本次招标及由此产生的合同受中华人民共和国有关的法律法规制约和保护。</w:t>
      </w:r>
    </w:p>
    <w:p w14:paraId="5B331844">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3.2在本项目政府采购活动过程中，如果所执行的标准有更新的，按照最新标准执行。</w:t>
      </w:r>
    </w:p>
    <w:p w14:paraId="2ADEED0B">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4、投标费用</w:t>
      </w:r>
    </w:p>
    <w:p w14:paraId="1133E54D">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4.1投标人应自行承担所有与参加投标有关的费用，无论投标过程中的做法和结果如何，代理机构在任何情况下均无义务和责任承担这些费用。</w:t>
      </w:r>
    </w:p>
    <w:p w14:paraId="299F4330">
      <w:pPr>
        <w:pageBreakBefore w:val="0"/>
        <w:spacing w:line="360" w:lineRule="auto"/>
        <w:ind w:firstLine="422"/>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4.</w:t>
      </w:r>
      <w:r>
        <w:rPr>
          <w:rFonts w:hint="default" w:ascii="Times New Roman" w:hAnsi="Times New Roman"/>
          <w:b/>
          <w:bCs/>
          <w:color w:val="auto"/>
          <w:szCs w:val="21"/>
          <w:highlight w:val="none"/>
          <w:lang w:val="en-US"/>
        </w:rPr>
        <w:t>2</w:t>
      </w:r>
      <w:r>
        <w:rPr>
          <w:rFonts w:hint="eastAsia" w:ascii="Times New Roman" w:hAnsi="Times New Roman"/>
          <w:b/>
          <w:bCs/>
          <w:color w:val="auto"/>
          <w:szCs w:val="21"/>
          <w:highlight w:val="none"/>
          <w:lang w:eastAsia="zh-CN"/>
        </w:rPr>
        <w:t>本次采购代理费由中标人支付，采购代理服务费按照关于印发《江苏省政府采购代理服务收费指导意见》的通知（苏政采协【2024】20号）规定计取，本次采购代理服务费在中标供应商领取中标通知书时支付。</w:t>
      </w:r>
    </w:p>
    <w:p w14:paraId="1184560C">
      <w:pPr>
        <w:spacing w:line="360" w:lineRule="auto"/>
        <w:ind w:firstLine="420"/>
        <w:jc w:val="left"/>
        <w:rPr>
          <w:rFonts w:hint="eastAsia" w:ascii="宋体" w:hAnsi="宋体" w:cs="宋体"/>
          <w:bCs/>
        </w:rPr>
      </w:pPr>
      <w:r>
        <w:rPr>
          <w:rFonts w:hint="eastAsia" w:ascii="宋体" w:hAnsi="宋体" w:cs="宋体"/>
          <w:bCs/>
        </w:rPr>
        <w:t>（</w:t>
      </w:r>
      <w:r>
        <w:rPr>
          <w:rFonts w:ascii="Times New Roman" w:hAnsi="Times New Roman" w:cs="Times New Roman"/>
          <w:bCs/>
        </w:rPr>
        <w:t>1</w:t>
      </w:r>
      <w:r>
        <w:rPr>
          <w:rFonts w:hint="eastAsia" w:ascii="宋体" w:hAnsi="宋体" w:cs="宋体"/>
          <w:bCs/>
        </w:rPr>
        <w:t xml:space="preserve">）代理服务费以人民币支付； </w:t>
      </w:r>
    </w:p>
    <w:p w14:paraId="2B768A99">
      <w:pPr>
        <w:spacing w:line="360" w:lineRule="auto"/>
        <w:ind w:firstLine="420"/>
        <w:jc w:val="left"/>
        <w:rPr>
          <w:rFonts w:hint="eastAsia" w:cs="宋体"/>
          <w:b w:val="0"/>
          <w:bCs w:val="0"/>
          <w:color w:val="auto"/>
          <w:szCs w:val="21"/>
        </w:rPr>
      </w:pPr>
      <w:r>
        <w:rPr>
          <w:rFonts w:hint="eastAsia" w:ascii="宋体" w:hAnsi="宋体" w:cs="宋体"/>
          <w:bCs/>
        </w:rPr>
        <w:t>（</w:t>
      </w:r>
      <w:r>
        <w:rPr>
          <w:rFonts w:ascii="Times New Roman" w:hAnsi="Times New Roman" w:cs="Times New Roman"/>
          <w:bCs/>
        </w:rPr>
        <w:t>2</w:t>
      </w:r>
      <w:r>
        <w:rPr>
          <w:rFonts w:hint="eastAsia" w:ascii="宋体" w:hAnsi="宋体" w:cs="宋体"/>
          <w:bCs/>
        </w:rPr>
        <w:t xml:space="preserve">）代理服务费一次性以电汇、转账等非现金形式支付； </w:t>
      </w:r>
    </w:p>
    <w:p w14:paraId="0070EAC4">
      <w:pPr>
        <w:spacing w:line="360" w:lineRule="auto"/>
        <w:ind w:firstLine="630"/>
        <w:rPr>
          <w:rFonts w:hint="default" w:eastAsia="宋体" w:cs="宋体"/>
          <w:b w:val="0"/>
          <w:bCs w:val="0"/>
          <w:color w:val="auto"/>
          <w:szCs w:val="21"/>
          <w:lang w:val="en-US" w:eastAsia="zh-CN"/>
        </w:rPr>
      </w:pPr>
      <w:r>
        <w:rPr>
          <w:rFonts w:hint="eastAsia" w:cs="宋体"/>
          <w:b w:val="0"/>
          <w:bCs w:val="0"/>
          <w:color w:val="auto"/>
          <w:szCs w:val="21"/>
        </w:rPr>
        <w:t>代理服务费开户银行：</w:t>
      </w:r>
      <w:r>
        <w:rPr>
          <w:rFonts w:hint="eastAsia" w:cs="宋体"/>
          <w:b w:val="0"/>
          <w:bCs w:val="0"/>
          <w:color w:val="auto"/>
          <w:szCs w:val="21"/>
          <w:lang w:val="en-US" w:eastAsia="zh-CN"/>
        </w:rPr>
        <w:t>江苏宝应农村商业银行股份有限公司泰山支行</w:t>
      </w:r>
    </w:p>
    <w:p w14:paraId="2CDF481D">
      <w:pPr>
        <w:spacing w:line="360" w:lineRule="auto"/>
        <w:ind w:firstLine="630"/>
        <w:rPr>
          <w:rFonts w:hint="default" w:eastAsia="宋体" w:cs="宋体"/>
          <w:b w:val="0"/>
          <w:bCs w:val="0"/>
          <w:color w:val="auto"/>
          <w:szCs w:val="21"/>
          <w:lang w:val="en-US" w:eastAsia="zh-CN"/>
        </w:rPr>
      </w:pPr>
      <w:r>
        <w:rPr>
          <w:rFonts w:hint="eastAsia" w:cs="宋体"/>
          <w:b w:val="0"/>
          <w:bCs w:val="0"/>
          <w:color w:val="auto"/>
          <w:szCs w:val="21"/>
        </w:rPr>
        <w:t>开户名称：</w:t>
      </w:r>
      <w:r>
        <w:rPr>
          <w:rFonts w:hint="eastAsia" w:cs="宋体"/>
          <w:b w:val="0"/>
          <w:bCs w:val="0"/>
          <w:color w:val="auto"/>
          <w:szCs w:val="21"/>
          <w:lang w:eastAsia="zh-CN"/>
        </w:rPr>
        <w:t>江苏中瑞建设项目管理有限公司</w:t>
      </w:r>
      <w:r>
        <w:rPr>
          <w:rFonts w:hint="eastAsia" w:cs="宋体"/>
          <w:b w:val="0"/>
          <w:bCs w:val="0"/>
          <w:color w:val="auto"/>
          <w:szCs w:val="21"/>
          <w:lang w:val="en-US" w:eastAsia="zh-CN"/>
        </w:rPr>
        <w:t>宝</w:t>
      </w:r>
      <w:bookmarkStart w:id="98" w:name="_GoBack"/>
      <w:bookmarkEnd w:id="98"/>
      <w:r>
        <w:rPr>
          <w:rFonts w:hint="eastAsia" w:cs="宋体"/>
          <w:b w:val="0"/>
          <w:bCs w:val="0"/>
          <w:color w:val="auto"/>
          <w:szCs w:val="21"/>
          <w:lang w:val="en-US" w:eastAsia="zh-CN"/>
        </w:rPr>
        <w:t>应分公司</w:t>
      </w:r>
    </w:p>
    <w:p w14:paraId="686F2955">
      <w:pPr>
        <w:spacing w:line="360" w:lineRule="auto"/>
        <w:ind w:firstLine="630"/>
        <w:rPr>
          <w:rFonts w:hint="default" w:ascii="Times New Roman" w:hAnsi="Times New Roman" w:eastAsia="宋体"/>
          <w:b w:val="0"/>
          <w:bCs w:val="0"/>
          <w:color w:val="auto"/>
          <w:szCs w:val="21"/>
          <w:highlight w:val="none"/>
          <w:lang w:val="en-US" w:eastAsia="zh-CN"/>
        </w:rPr>
      </w:pPr>
      <w:r>
        <w:rPr>
          <w:rFonts w:hint="eastAsia" w:cs="宋体"/>
          <w:b w:val="0"/>
          <w:bCs w:val="0"/>
          <w:color w:val="auto"/>
          <w:szCs w:val="21"/>
        </w:rPr>
        <w:t>开户帐号：</w:t>
      </w:r>
      <w:r>
        <w:rPr>
          <w:rFonts w:hint="eastAsia" w:cs="宋体"/>
          <w:b w:val="0"/>
          <w:bCs w:val="0"/>
          <w:color w:val="auto"/>
          <w:szCs w:val="21"/>
          <w:lang w:val="en-US" w:eastAsia="zh-CN"/>
        </w:rPr>
        <w:t>3210230341010000025074</w:t>
      </w:r>
    </w:p>
    <w:p w14:paraId="37DCB840">
      <w:pPr>
        <w:pageBreakBefore w:val="0"/>
        <w:spacing w:line="360" w:lineRule="auto"/>
        <w:ind w:firstLine="422"/>
        <w:rPr>
          <w:rFonts w:ascii="Times New Roman" w:hAnsi="Times New Roman" w:eastAsia="宋体" w:cs="宋体"/>
          <w:b/>
          <w:bCs/>
          <w:color w:val="auto"/>
          <w:szCs w:val="21"/>
          <w:highlight w:val="none"/>
        </w:rPr>
      </w:pPr>
      <w:r>
        <w:rPr>
          <w:rFonts w:hint="eastAsia" w:ascii="Times New Roman" w:hAnsi="Times New Roman" w:eastAsia="宋体"/>
          <w:b/>
          <w:bCs/>
          <w:color w:val="auto"/>
          <w:szCs w:val="21"/>
          <w:highlight w:val="none"/>
        </w:rPr>
        <w:t>4.</w:t>
      </w:r>
      <w:r>
        <w:rPr>
          <w:rFonts w:hint="default" w:ascii="Times New Roman" w:hAnsi="Times New Roman"/>
          <w:b/>
          <w:bCs/>
          <w:color w:val="auto"/>
          <w:szCs w:val="21"/>
          <w:highlight w:val="none"/>
          <w:lang w:val="en-US"/>
        </w:rPr>
        <w:t>3</w:t>
      </w:r>
      <w:r>
        <w:rPr>
          <w:rFonts w:hint="eastAsia" w:ascii="Times New Roman" w:hAnsi="Times New Roman" w:eastAsia="宋体"/>
          <w:b/>
          <w:bCs/>
          <w:color w:val="auto"/>
          <w:szCs w:val="21"/>
          <w:highlight w:val="none"/>
        </w:rPr>
        <w:t>本次专家评审费由采购人支付，专家评审费按宝财购(2020)14号《关于进一步规范宝应县政府采购专家评审费标准的通知》执行。</w:t>
      </w:r>
    </w:p>
    <w:p w14:paraId="791909BA">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5、招标文件的约束力</w:t>
      </w:r>
    </w:p>
    <w:p w14:paraId="7B7DE95B">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5.1投标人一旦参加本项目采购活动，即被认为接受了本招标文件的规定和约束。</w:t>
      </w:r>
    </w:p>
    <w:p w14:paraId="480941F5">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6、招标文件构成</w:t>
      </w:r>
    </w:p>
    <w:p w14:paraId="0338329D">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6.1招标文件由以下部分组成：</w:t>
      </w:r>
    </w:p>
    <w:p w14:paraId="68D2EF59">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（1）招标公告</w:t>
      </w:r>
    </w:p>
    <w:p w14:paraId="11E1931F">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（2）投标人须知</w:t>
      </w:r>
      <w:r>
        <w:rPr>
          <w:rFonts w:hint="eastAsia" w:ascii="Times New Roman" w:hAnsi="Times New Roman" w:eastAsia="宋体"/>
          <w:bCs/>
          <w:color w:val="auto"/>
          <w:szCs w:val="21"/>
          <w:highlight w:val="none"/>
        </w:rPr>
        <w:tab/>
      </w:r>
    </w:p>
    <w:p w14:paraId="3ABECDEE">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（3）合同条款及格式</w:t>
      </w:r>
    </w:p>
    <w:p w14:paraId="4B872167">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（4）项目需求</w:t>
      </w:r>
    </w:p>
    <w:p w14:paraId="6FF7D14C">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（5）评标方法与评标标准</w:t>
      </w:r>
    </w:p>
    <w:p w14:paraId="40918357">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（6）投标文件格式</w:t>
      </w:r>
    </w:p>
    <w:p w14:paraId="4DE7333F">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请仔细检查招标文件是否齐全，如有缺漏请立即与代理机构联系解决。</w:t>
      </w:r>
    </w:p>
    <w:p w14:paraId="41400F91">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6.2招标的最小单位是包。招标服务数量及技术要求中未分包的，供应商对要求提供的服务不得部分投标；招标服务数量及技术要求中已经分包的，应当以包为单位投标。</w:t>
      </w:r>
    </w:p>
    <w:p w14:paraId="299A800D">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6.3招标文件如果要求供应商提交备选投标方案的，供应商可以提交备选方案；否则，备选方案将被拒绝。</w:t>
      </w:r>
    </w:p>
    <w:p w14:paraId="10C8B001">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6.4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6B6FD76">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7、招标文件的澄清</w:t>
      </w:r>
    </w:p>
    <w:p w14:paraId="78B08742">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7.1任何要求对招标文件进行澄清的投标人，应在投标截止日期的十日前按招标公告中的通讯地址，以书面形式通知代理机构。</w:t>
      </w:r>
    </w:p>
    <w:p w14:paraId="542A20D7">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8、招标文件的修改</w:t>
      </w:r>
    </w:p>
    <w:p w14:paraId="0C50E88C">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8.1在投标截止时间前，代理机构可以对招标文件进行修改。</w:t>
      </w:r>
    </w:p>
    <w:p w14:paraId="29198F7A">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8.2代理机构在招标文件要求提交投标文件截止时间前，有权按照法定要求推迟投标截止时间和开标时间。</w:t>
      </w:r>
    </w:p>
    <w:p w14:paraId="0E03ABA3">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8.3招标文件的修改将在</w:t>
      </w:r>
      <w:r>
        <w:rPr>
          <w:rFonts w:hint="eastAsia" w:ascii="Times New Roman" w:hAnsi="Times New Roman"/>
          <w:bCs/>
          <w:color w:val="auto"/>
          <w:szCs w:val="21"/>
          <w:highlight w:val="none"/>
          <w:lang w:eastAsia="zh-CN"/>
        </w:rPr>
        <w:t>“扬州市政府采购网”、“江苏省政府采购网”</w:t>
      </w:r>
      <w:r>
        <w:rPr>
          <w:rFonts w:hint="eastAsia" w:ascii="Times New Roman" w:hAnsi="Times New Roman" w:eastAsia="宋体"/>
          <w:bCs/>
          <w:color w:val="auto"/>
          <w:szCs w:val="21"/>
          <w:highlight w:val="none"/>
        </w:rPr>
        <w:t>公布，补充文件将作为招标文件的组成部分，并对投标人具有约束力。</w:t>
      </w:r>
    </w:p>
    <w:p w14:paraId="17F8304C">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9、投标文件的语言、度量衡单位、货币</w:t>
      </w:r>
    </w:p>
    <w:p w14:paraId="28B45B3D">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9.1投标人提交的投标文件以及投标人与代理机构就有关投标的所有来往通知、函件和文件均应使用简体中文。</w:t>
      </w:r>
    </w:p>
    <w:p w14:paraId="5E246DF0">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9.2除技术性能另有规定外，投标文件所使用的度量衡单位，均须采用国家法定计量单位。</w:t>
      </w:r>
    </w:p>
    <w:p w14:paraId="40DCF0FB">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9.3投标人应使用人民币报价。</w:t>
      </w:r>
    </w:p>
    <w:p w14:paraId="0BF3AAA4">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10、投标文件构成</w:t>
      </w:r>
    </w:p>
    <w:p w14:paraId="15E3E88C">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10.1投标文件由以下部分组成</w:t>
      </w:r>
    </w:p>
    <w:p w14:paraId="76226B49">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（1）资格审查响应对照表</w:t>
      </w:r>
    </w:p>
    <w:p w14:paraId="568701FC">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（2）符合性审查响应对照表</w:t>
      </w:r>
    </w:p>
    <w:p w14:paraId="1EB4C116">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（3）非实质性响应对照表</w:t>
      </w:r>
    </w:p>
    <w:p w14:paraId="6F672D26">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（4）开标一览表</w:t>
      </w:r>
    </w:p>
    <w:p w14:paraId="4F81C976">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（5）分项报价表</w:t>
      </w:r>
    </w:p>
    <w:p w14:paraId="4A88C82E">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（6）技术参数响应及偏离表</w:t>
      </w:r>
    </w:p>
    <w:p w14:paraId="2246CF48">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（7）商务条款响应及偏离表</w:t>
      </w:r>
    </w:p>
    <w:p w14:paraId="06268A5F">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（8）其他（投标人认为有必要提供的声明和文件，如有自拟并自行添加）</w:t>
      </w:r>
    </w:p>
    <w:p w14:paraId="66C64165">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10.2投标人应当根据招标文件要求编制投标文件，投标文件应对招标文件提出的要求和条件作出响应，并在相应的投标文件中逐条标明满足与否。</w:t>
      </w:r>
    </w:p>
    <w:p w14:paraId="09501BA7">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11、证明投标人资格及符合招标文件规定的文件</w:t>
      </w:r>
    </w:p>
    <w:p w14:paraId="28D13429">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11.1投标人应按要求提交资格证明文件及符合招标文件规定的文件。</w:t>
      </w:r>
    </w:p>
    <w:p w14:paraId="55966154">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11.2投标人应提交证明其有资格参加投标和中标后有能力独立履行合同的文件。</w:t>
      </w:r>
    </w:p>
    <w:p w14:paraId="0E3E4598">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11.3投标人除必须具有履行合同所需提供的产品或服务的能力外，还必须具备相应的财务、技术方面的能力。</w:t>
      </w:r>
    </w:p>
    <w:p w14:paraId="52CC3214">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11.4投标人应提交根据合同要求提供的证明服务质量合格以及符合招标文件规定的证明文件。</w:t>
      </w:r>
    </w:p>
    <w:p w14:paraId="4C3F7446">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11.5证明投标人所提供服务与招标文件的要求相一致的文件可以是手册、图纸、文字资料和数据。</w:t>
      </w:r>
    </w:p>
    <w:p w14:paraId="084B38B8">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12、分项报价表</w:t>
      </w:r>
    </w:p>
    <w:p w14:paraId="17DFF78D">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12.1投标人应按照招标文件规定格式填报分项报价表。每项货物和服务等只允许有一个报价，任何有选择的报价将不予接受。</w:t>
      </w:r>
    </w:p>
    <w:p w14:paraId="65FC8F33">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12.2标的物</w:t>
      </w:r>
    </w:p>
    <w:p w14:paraId="6FFA2F66">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采购人需求的服务供应、安装，调试及有关技术服务等。</w:t>
      </w:r>
    </w:p>
    <w:p w14:paraId="278F089F">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12.3有关费用处理</w:t>
      </w:r>
    </w:p>
    <w:p w14:paraId="53A0B1DC">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招标报价采用总承包方式，投标人的报价应包括为完成本项目发生的所有费用，招标文件中另有规定的除外。</w:t>
      </w:r>
    </w:p>
    <w:p w14:paraId="6E5AFCF3">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12.4其它费用处理</w:t>
      </w:r>
    </w:p>
    <w:p w14:paraId="294CCC9B">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招标文件未列明，而投标人认为必需的费用也需列入报价。</w:t>
      </w:r>
    </w:p>
    <w:p w14:paraId="5FF925BE">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12.5投标货币</w:t>
      </w:r>
    </w:p>
    <w:p w14:paraId="02470A80">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投标文件中的服务单价和总价无特殊规定的采用人民币报价，以元为单位标注。招标文件中另有规定的按规定执行。</w:t>
      </w:r>
    </w:p>
    <w:p w14:paraId="1500C44A">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13、技术参数响应及偏离表、商务条款响应及偏离表</w:t>
      </w:r>
    </w:p>
    <w:p w14:paraId="185DACF0">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13.1对招标文件中的技术与商务条款要求逐项作出响应或偏离，并说明原因；</w:t>
      </w:r>
    </w:p>
    <w:p w14:paraId="6F568AA9">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13.2提供参加本项目类似案例简介；</w:t>
      </w:r>
    </w:p>
    <w:p w14:paraId="56C2A2B7">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13.3培训计划；</w:t>
      </w:r>
    </w:p>
    <w:p w14:paraId="4FB16A2C">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13.</w:t>
      </w:r>
      <w:r>
        <w:rPr>
          <w:rFonts w:hint="eastAsia" w:ascii="Times New Roman" w:hAnsi="Times New Roman"/>
          <w:bCs/>
          <w:color w:val="auto"/>
          <w:szCs w:val="21"/>
          <w:highlight w:val="none"/>
          <w:lang w:val="en-US" w:eastAsia="zh-CN"/>
        </w:rPr>
        <w:t>4</w:t>
      </w:r>
      <w:r>
        <w:rPr>
          <w:rFonts w:hint="eastAsia" w:ascii="Times New Roman" w:hAnsi="Times New Roman" w:eastAsia="宋体"/>
          <w:bCs/>
          <w:color w:val="auto"/>
          <w:szCs w:val="21"/>
          <w:highlight w:val="none"/>
        </w:rPr>
        <w:t>投标人认为需要的其他技术文件或说明。</w:t>
      </w:r>
    </w:p>
    <w:p w14:paraId="77B6BC64">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14、服务承诺及售后服务机构、人员的情况介绍</w:t>
      </w:r>
    </w:p>
    <w:p w14:paraId="77EFF8F8">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14.1投标人的服务承诺应按不低于招标文件中商务要求的标准。</w:t>
      </w:r>
    </w:p>
    <w:p w14:paraId="206246F9">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14.2提供投标人有关售后服务的管理制度、售后服务机构的分布情况、售后服务人员的数量、素质、技术水平及售后服务的反应能力。</w:t>
      </w:r>
    </w:p>
    <w:p w14:paraId="2DCC401F">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15、投标函和开标一览表</w:t>
      </w:r>
    </w:p>
    <w:p w14:paraId="7322C5B1">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15.1投标人应按照招标文件中提供的格式完整、正确填写投标函、开标一览表。</w:t>
      </w:r>
    </w:p>
    <w:p w14:paraId="26EB36ED">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15.2开标一览表中的价格应与投标文件中分项报价表中的价格一致，如不一致，不作为无效投标处理，但评标时按开标一览表中价格为准。</w:t>
      </w:r>
    </w:p>
    <w:p w14:paraId="2B6B4775">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16、投标有效期</w:t>
      </w:r>
    </w:p>
    <w:p w14:paraId="093FFD50">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16.1投标有效期为开标之日起六十（60）天。投标有效期比规定短的将被视为非响应性投标而予以拒绝。</w:t>
      </w:r>
    </w:p>
    <w:p w14:paraId="63840210">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16.2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p>
    <w:p w14:paraId="2B2E7123">
      <w:pPr>
        <w:pageBreakBefore w:val="0"/>
        <w:spacing w:line="360" w:lineRule="auto"/>
        <w:ind w:firstLine="422"/>
        <w:rPr>
          <w:rFonts w:ascii="Times New Roman" w:hAnsi="Times New Roman" w:eastAsia="宋体"/>
          <w:b/>
          <w:color w:val="auto"/>
          <w:szCs w:val="21"/>
          <w:highlight w:val="none"/>
        </w:rPr>
      </w:pPr>
      <w:bookmarkStart w:id="42" w:name="_Toc513029225"/>
      <w:bookmarkStart w:id="43" w:name="_Toc462564084"/>
      <w:bookmarkStart w:id="44" w:name="_Toc16938541"/>
      <w:bookmarkStart w:id="45" w:name="_Toc20823297"/>
      <w:r>
        <w:rPr>
          <w:rFonts w:hint="eastAsia" w:ascii="Times New Roman" w:hAnsi="Times New Roman" w:eastAsia="宋体"/>
          <w:b/>
          <w:color w:val="auto"/>
          <w:szCs w:val="21"/>
          <w:highlight w:val="none"/>
        </w:rPr>
        <w:t>17、投标文件</w:t>
      </w:r>
      <w:bookmarkEnd w:id="42"/>
      <w:bookmarkEnd w:id="43"/>
      <w:bookmarkEnd w:id="44"/>
      <w:bookmarkEnd w:id="45"/>
      <w:r>
        <w:rPr>
          <w:rFonts w:hint="eastAsia" w:ascii="Times New Roman" w:hAnsi="Times New Roman" w:eastAsia="宋体"/>
          <w:b/>
          <w:color w:val="auto"/>
          <w:szCs w:val="21"/>
          <w:highlight w:val="none"/>
        </w:rPr>
        <w:t>的递交</w:t>
      </w:r>
    </w:p>
    <w:p w14:paraId="36394376">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17.1电子投标文件的递交投标人应当按照《操作手册》规定，在投标截止时间前制作并上传电子投标文件。</w:t>
      </w:r>
      <w:bookmarkStart w:id="46" w:name="_Toc513029226"/>
      <w:bookmarkStart w:id="47" w:name="_Toc20823298"/>
      <w:bookmarkStart w:id="48" w:name="_Toc16938542"/>
    </w:p>
    <w:p w14:paraId="7586CB24">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17.2</w:t>
      </w:r>
      <w:r>
        <w:rPr>
          <w:rFonts w:hint="eastAsia" w:ascii="Times New Roman" w:hAnsi="Times New Roman" w:eastAsia="宋体"/>
          <w:b/>
          <w:bCs/>
          <w:color w:val="auto"/>
          <w:szCs w:val="21"/>
          <w:highlight w:val="none"/>
        </w:rPr>
        <w:t>政府采购管理交易系统（苏采云）</w:t>
      </w:r>
      <w:r>
        <w:rPr>
          <w:rFonts w:hint="eastAsia" w:ascii="Times New Roman" w:hAnsi="Times New Roman" w:eastAsia="宋体"/>
          <w:b/>
          <w:color w:val="auto"/>
          <w:szCs w:val="21"/>
          <w:highlight w:val="none"/>
        </w:rPr>
        <w:t>相关要求是本招标文件的组成部分。</w:t>
      </w:r>
    </w:p>
    <w:p w14:paraId="4FEAA7E6">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17.3投标人应对CA证书妥善保管，如被他人盗用投标，因此带来的结果均由投标人自行承担。</w:t>
      </w:r>
    </w:p>
    <w:p w14:paraId="7978461A">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17.4投标人应当对招标文件提出的要求和条件作出实质性响应，并在电子投标系统逐条应答。</w:t>
      </w:r>
    </w:p>
    <w:p w14:paraId="641CE85D">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17.5投标人应对要求提供的资格证明文件（如资质证书、资格证书）、技术资料（如白皮书、彩页、手册、检测报告等）扫描上传至投标系统。</w:t>
      </w:r>
    </w:p>
    <w:p w14:paraId="5FD08556">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17.6投标人应当在招标文件要求提交投标文件的截止时间前，将投标文件提交至“苏采云”系统，逾期提交的投标文件，“苏采云”系统将自动拒收。</w:t>
      </w:r>
    </w:p>
    <w:p w14:paraId="2B325F05">
      <w:pPr>
        <w:pageBreakBefore w:val="0"/>
        <w:spacing w:line="360" w:lineRule="auto"/>
        <w:ind w:firstLine="422"/>
        <w:rPr>
          <w:rFonts w:ascii="Times New Roman" w:hAnsi="Times New Roman" w:eastAsia="宋体"/>
          <w:color w:val="auto"/>
          <w:highlight w:val="none"/>
        </w:rPr>
      </w:pPr>
      <w:r>
        <w:rPr>
          <w:rFonts w:hint="eastAsia" w:ascii="Times New Roman" w:hAnsi="Times New Roman" w:eastAsia="宋体"/>
          <w:b/>
          <w:color w:val="auto"/>
          <w:szCs w:val="21"/>
          <w:highlight w:val="none"/>
        </w:rPr>
        <w:t>17.7各投标人应在规定时间内凭CA证书进行网上解密。</w:t>
      </w:r>
    </w:p>
    <w:p w14:paraId="7C7E0BCE">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18、投标截止日期</w:t>
      </w:r>
      <w:bookmarkEnd w:id="46"/>
      <w:bookmarkEnd w:id="47"/>
      <w:bookmarkEnd w:id="48"/>
    </w:p>
    <w:p w14:paraId="14310E6E">
      <w:pPr>
        <w:pageBreakBefore w:val="0"/>
        <w:spacing w:line="360" w:lineRule="auto"/>
        <w:ind w:firstLine="420"/>
        <w:rPr>
          <w:rFonts w:ascii="Times New Roman" w:hAnsi="Times New Roman" w:eastAsia="宋体"/>
          <w:bCs/>
          <w:i/>
          <w:iCs/>
          <w:color w:val="auto"/>
          <w:szCs w:val="21"/>
          <w:highlight w:val="none"/>
          <w:u w:val="single"/>
        </w:rPr>
      </w:pPr>
      <w:r>
        <w:rPr>
          <w:rFonts w:hint="eastAsia" w:ascii="Times New Roman" w:hAnsi="Times New Roman" w:eastAsia="宋体"/>
          <w:bCs/>
          <w:i/>
          <w:iCs/>
          <w:color w:val="auto"/>
          <w:szCs w:val="21"/>
          <w:highlight w:val="none"/>
          <w:u w:val="single"/>
        </w:rPr>
        <w:t>18.1投标人上传电子投标文件的时间不得迟于招标公告中规定的投标截止时间。</w:t>
      </w:r>
    </w:p>
    <w:p w14:paraId="001BCD34">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投标人应充分考虑到网络环境、网络带宽等风险因素，如因投标人自身原因造成的电子投标文件上传不成功由投标人自行承担全部责任。</w:t>
      </w:r>
    </w:p>
    <w:p w14:paraId="017A06A5">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18.2代理机构可以按照规定，通过修改招标文件延长投标截止日期，在此情况下，投标人的所有权利和义务以及投标人受制的截止日期均应以延长后新的截止日期为准。</w:t>
      </w:r>
    </w:p>
    <w:p w14:paraId="68B31192">
      <w:pPr>
        <w:pageBreakBefore w:val="0"/>
        <w:spacing w:line="360" w:lineRule="auto"/>
        <w:ind w:firstLine="422"/>
        <w:rPr>
          <w:rFonts w:ascii="Times New Roman" w:hAnsi="Times New Roman" w:eastAsia="宋体"/>
          <w:b/>
          <w:color w:val="auto"/>
          <w:szCs w:val="21"/>
          <w:highlight w:val="none"/>
        </w:rPr>
      </w:pPr>
      <w:bookmarkStart w:id="49" w:name="_Toc513029227"/>
      <w:bookmarkStart w:id="50" w:name="_Toc20823299"/>
      <w:bookmarkStart w:id="51" w:name="_Toc16938543"/>
      <w:r>
        <w:rPr>
          <w:rFonts w:hint="eastAsia" w:ascii="Times New Roman" w:hAnsi="Times New Roman" w:eastAsia="宋体"/>
          <w:b/>
          <w:color w:val="auto"/>
          <w:szCs w:val="21"/>
          <w:highlight w:val="none"/>
        </w:rPr>
        <w:t>19、投标文件</w:t>
      </w:r>
      <w:bookmarkEnd w:id="49"/>
      <w:bookmarkEnd w:id="50"/>
      <w:bookmarkEnd w:id="51"/>
      <w:r>
        <w:rPr>
          <w:rFonts w:hint="eastAsia" w:ascii="Times New Roman" w:hAnsi="Times New Roman" w:eastAsia="宋体"/>
          <w:b/>
          <w:color w:val="auto"/>
          <w:szCs w:val="21"/>
          <w:highlight w:val="none"/>
        </w:rPr>
        <w:t>的拒收</w:t>
      </w:r>
    </w:p>
    <w:p w14:paraId="71D634B8">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19.1代理机构拒绝接收在其规定的投标截止时间后上传的任何投标文件。</w:t>
      </w:r>
    </w:p>
    <w:p w14:paraId="2E8F4208">
      <w:pPr>
        <w:pageBreakBefore w:val="0"/>
        <w:spacing w:line="360" w:lineRule="auto"/>
        <w:ind w:firstLine="422"/>
        <w:rPr>
          <w:rFonts w:ascii="Times New Roman" w:hAnsi="Times New Roman" w:eastAsia="宋体"/>
          <w:b/>
          <w:color w:val="auto"/>
          <w:szCs w:val="21"/>
          <w:highlight w:val="none"/>
        </w:rPr>
      </w:pPr>
      <w:bookmarkStart w:id="52" w:name="_Toc20823300"/>
      <w:bookmarkStart w:id="53" w:name="_Toc513029228"/>
      <w:bookmarkStart w:id="54" w:name="_Toc16938544"/>
      <w:r>
        <w:rPr>
          <w:rFonts w:hint="eastAsia" w:ascii="Times New Roman" w:hAnsi="Times New Roman" w:eastAsia="宋体"/>
          <w:b/>
          <w:color w:val="auto"/>
          <w:szCs w:val="21"/>
          <w:highlight w:val="none"/>
        </w:rPr>
        <w:t>20、投标文件的撤回和修改</w:t>
      </w:r>
      <w:bookmarkEnd w:id="52"/>
      <w:bookmarkEnd w:id="53"/>
      <w:bookmarkEnd w:id="54"/>
    </w:p>
    <w:p w14:paraId="30643192">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20.1投标文件的撤回</w:t>
      </w:r>
    </w:p>
    <w:p w14:paraId="1FBDC2DA">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20.1.1电子投标文件的撤回</w:t>
      </w:r>
    </w:p>
    <w:p w14:paraId="23BBD224">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投标人可在投标截止时间前，撤回其电子投标文件，具体操作方法见《操作手册》。</w:t>
      </w:r>
    </w:p>
    <w:p w14:paraId="506A8D7B">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20.1.2投标人撤回电子投标文件，则认为其不再参与本项目投标活动。</w:t>
      </w:r>
    </w:p>
    <w:p w14:paraId="187506CB">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20.2投标文件的修改</w:t>
      </w:r>
    </w:p>
    <w:p w14:paraId="511CEB39">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投标人可在投标截止时间前，对其电子投标文件进行修改，具体操作方法见《操作手册》。</w:t>
      </w:r>
    </w:p>
    <w:p w14:paraId="2F0D2DF2">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20.3在投标截止时间之后，投标人不得对其电子投标文件作任何修改。</w:t>
      </w:r>
    </w:p>
    <w:p w14:paraId="7E119D2A">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20.4在投标截止时间至招标文件中规定的投标有效期满之间的这段时间内，投标人不得撤回其投标。</w:t>
      </w:r>
    </w:p>
    <w:p w14:paraId="2166413A">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21、开标</w:t>
      </w:r>
    </w:p>
    <w:p w14:paraId="0FA62F89">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21.1代理机构将在招标公告中规定的时间和地点组织公开开标。投标人应当按照《操作手册》规定，参加开标活动。投标人未参加开标的，视同认可开标结果。</w:t>
      </w:r>
    </w:p>
    <w:p w14:paraId="069D9D98">
      <w:pPr>
        <w:pageBreakBefore w:val="0"/>
        <w:spacing w:line="360" w:lineRule="auto"/>
        <w:ind w:firstLine="422"/>
        <w:rPr>
          <w:rFonts w:ascii="Times New Roman" w:hAnsi="Times New Roman" w:eastAsia="宋体"/>
          <w:bCs/>
          <w:color w:val="auto"/>
          <w:szCs w:val="21"/>
          <w:highlight w:val="none"/>
        </w:rPr>
      </w:pPr>
      <w:r>
        <w:rPr>
          <w:rFonts w:hint="eastAsia" w:ascii="Times New Roman" w:hAnsi="Times New Roman" w:eastAsia="宋体"/>
          <w:b/>
          <w:color w:val="auto"/>
          <w:szCs w:val="21"/>
          <w:highlight w:val="none"/>
        </w:rPr>
        <w:t>21.2开标仪式由代理机构组织。“政府采购管理交易系统（苏采云）”将自动对项目进行开标，并宣读各投标人的《开标一览表》。</w:t>
      </w:r>
    </w:p>
    <w:p w14:paraId="42CCBE93">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21.3投标人在开标过程中涉及到的投标文件解密、开标结果确认等工作，应按照《操作手册》规定执行。</w:t>
      </w:r>
    </w:p>
    <w:p w14:paraId="2C0E35AA">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22、评标委员会</w:t>
      </w:r>
    </w:p>
    <w:p w14:paraId="605273E9">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22.1开标后，代理机构将立即组织评标委员会（以下简称评委会）进行评标。</w:t>
      </w:r>
    </w:p>
    <w:p w14:paraId="18691619">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22.2评委会由采购人代表和有关技术、经济等方面的专家组成，且人员构成符合政府采购有关规定。</w:t>
      </w:r>
    </w:p>
    <w:p w14:paraId="2B6DE34E">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22.3评委会独立工作，负责评审所有投标文件并确定中标候选人。</w:t>
      </w:r>
    </w:p>
    <w:p w14:paraId="68B1CA80">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23、评标过程的保密与公正</w:t>
      </w:r>
    </w:p>
    <w:p w14:paraId="3B56FB97">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23.1公开开标后，直至签订合同之日止，凡是与审查、澄清、评价和比较投标的有关资料以及授标建议等，采购人、评委、代理机构工作人员均不得向投标人或与评标无关的其他人员透露。</w:t>
      </w:r>
    </w:p>
    <w:p w14:paraId="71C64999">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23.2在评标过程中，投标人不得以任何行为影响评标过程，否则其投标文件将被作为无效投标文件。</w:t>
      </w:r>
    </w:p>
    <w:p w14:paraId="75617F0E">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23.3在评标期间，代理机构将设专门工作人员与投标人联系。</w:t>
      </w:r>
    </w:p>
    <w:p w14:paraId="1552374C">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23.4代理机构和评委会不向未中标的投标人解释未中标原因，也不公布评标过程中的相关细节。</w:t>
      </w:r>
    </w:p>
    <w:p w14:paraId="69CB3803">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23.5采用综合评分法的项目，未中标的投标人可于中标结果公告期限届满之日起通过“政府采购管理交易系统（苏采云）”查看自己的评审得分及排序情况。</w:t>
      </w:r>
    </w:p>
    <w:p w14:paraId="3096D7C3">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24、投标的澄清</w:t>
      </w:r>
    </w:p>
    <w:p w14:paraId="3E6EFBED">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24.1评标期间，为有助于对投标文件的审查、评价和比较，评委会有权以电子函件形式要求投标人对其投标文件进行澄清，但并非对每个投标人都作澄清要求。</w:t>
      </w:r>
    </w:p>
    <w:p w14:paraId="3EC7F7FD">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p>
    <w:p w14:paraId="6B0F7DFA">
      <w:pPr>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24.3接到评委会澄清要求的投标人如未按规定做出澄清，其风险由投标人自行承担。</w:t>
      </w:r>
    </w:p>
    <w:p w14:paraId="181F5514">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25、对投标文件的初审</w:t>
      </w:r>
    </w:p>
    <w:p w14:paraId="3EFFB1E7">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25.1投标文件初审分为资格审查和符合性审查。</w:t>
      </w:r>
    </w:p>
    <w:p w14:paraId="5E8EEC9C">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25.1.1资格审查：依据法律法规和招标文件的规定，由采购人对投标文件中的资格证明文件进行审查。并将审查结论以书面形式向评委会反馈。</w:t>
      </w:r>
    </w:p>
    <w:p w14:paraId="72FBE315">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p>
    <w:p w14:paraId="4600686D">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若接受联合体投标的项目，两个以上的自然人、法人或者其他组织组成一个联合体，以一个供应商的身份共同参加政府采购活动的,联合体成员存在不良信用记录的，视同联合体存在不良信用记录。</w:t>
      </w:r>
    </w:p>
    <w:p w14:paraId="530AFEB9">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25.1.2符合性检查：依据招标文件的规定，由评委会从投标文件的有效性、完整性和对招标文件的响应程度进行审查，以确定是否对招标文件的实质性要求作出响应。</w:t>
      </w:r>
    </w:p>
    <w:p w14:paraId="022F597A">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25.1.3未通过资格审查或符合性审查的投标人，代理机构将在“政府采购管理交易系统（苏采云）”中告知未通过资格审查或符合性审查的原因，评审结束后，代理机构将不再告知未通过资格审查或符合性审查的原因。</w:t>
      </w:r>
    </w:p>
    <w:p w14:paraId="37111B9F">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7667A9EF">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所谓重大偏离或保留是指与招标文件规定的实质性要求存在负偏离，或者在实质上与招标文件不一致，而且限制了合同中买方（采购人）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p>
    <w:p w14:paraId="529C98FE">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25.3如果投标文件实质上没有响应招标文件的要求，评委会将予以拒绝，投标人不得通过修改或撤销不合要求的偏离或保留而使其投标成为实质性响应的投标。</w:t>
      </w:r>
    </w:p>
    <w:p w14:paraId="4F875DDA">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25.4评委会将对确定为实质性响应的投标进行进一步审核，看其是否有计算上或累加上的算术错误，修正错误的原则如下：</w:t>
      </w:r>
    </w:p>
    <w:p w14:paraId="026484CB">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（1）投标文件中开标一览表内容与投标文件中相应内容不一致的，以开标一览表为准。</w:t>
      </w:r>
    </w:p>
    <w:p w14:paraId="722C2793">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（2）大写金额与小写金额不一致的，以大写金额为准。</w:t>
      </w:r>
    </w:p>
    <w:p w14:paraId="444949E1">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（3）单价金额小数点或者百分比有明显错位的，以开标一览表的总价为准，并修改单价。</w:t>
      </w:r>
    </w:p>
    <w:p w14:paraId="405169C6">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（4）总价金额与按单价汇总金额不一致的，以单价金额计算结果为准。</w:t>
      </w:r>
    </w:p>
    <w:p w14:paraId="3D8292D8">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同时出现两种以上错误的，按照前款规定的顺序修正。</w:t>
      </w:r>
    </w:p>
    <w:p w14:paraId="461E8127">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25.5评委会将按上述修正错误的方法调整投标文件中的投标报价，并通过“政府采购管理交易系统（苏采云）”告知投标人，调整后的价格应对投标人具有约束力。如果投标人不接受修正后的价格，则其投标将被拒绝。</w:t>
      </w:r>
    </w:p>
    <w:p w14:paraId="5149E99A">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25.6评委会将允许修正投标文件中不构成重大偏离的、微小的、非正规的、不一致的或不规则的地方，但这些修改不能影响任何投标人相应的名次排列。</w:t>
      </w:r>
    </w:p>
    <w:p w14:paraId="13DD5052">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p>
    <w:p w14:paraId="0C57CBE0">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p>
    <w:p w14:paraId="72AE3385">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非单一产品采购项目，招标文件中将载明其中的核心产品。多家投标人提供的核心产品品牌相同的，按前两款规定处理。</w:t>
      </w:r>
    </w:p>
    <w:p w14:paraId="352C2EA5">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25.8投标人在开、评标全过程中应保持通信畅通，并安排专人与代理机构及评委会联系。</w:t>
      </w:r>
    </w:p>
    <w:p w14:paraId="53F2C5AB">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25.9异常低价投标审查</w:t>
      </w:r>
    </w:p>
    <w:p w14:paraId="22D6D0B2">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25.9.1评标过程中出现下列情形之一的，评标委员会应当启动异常低价投标审查程序：</w:t>
      </w:r>
    </w:p>
    <w:p w14:paraId="3666C80D">
      <w:pPr>
        <w:pageBreakBefore w:val="0"/>
        <w:spacing w:line="360" w:lineRule="auto"/>
        <w:ind w:firstLine="420"/>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1.投标（响应）报价低于全部通过符合性审查供应商投标（响应）报价平均值50%的，即投标（响应）报价&lt;全部通过符合性审查供应商投标（响应）报价平均值×50%； </w:t>
      </w:r>
    </w:p>
    <w:p w14:paraId="2ACBEB62">
      <w:pPr>
        <w:pageBreakBefore w:val="0"/>
        <w:spacing w:line="360" w:lineRule="auto"/>
        <w:ind w:firstLine="420"/>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2.投标（响应）报价低于通过符合性审查的次低报价供应商投标（响应）报价50%的，即投标（响应）报价&lt;通过符合性审查的次低报价供应商投标（响应）报价×50%； </w:t>
      </w:r>
    </w:p>
    <w:p w14:paraId="21745CB8">
      <w:pPr>
        <w:pageBreakBefore w:val="0"/>
        <w:spacing w:line="360" w:lineRule="auto"/>
        <w:ind w:firstLine="420"/>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3.投标（响应）报价低于采购项目最高限价45%的，即投标（响应）报价&lt;采购项目最高限价×45%； </w:t>
      </w:r>
    </w:p>
    <w:p w14:paraId="31E8366D">
      <w:pPr>
        <w:pageBreakBefore w:val="0"/>
        <w:spacing w:line="360" w:lineRule="auto"/>
        <w:ind w:firstLine="420"/>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4.评审委员会基于专业判断，认为供应商报价过低，有可能影响产品质量或者不能诚信履约的其他情形。 </w:t>
      </w:r>
    </w:p>
    <w:p w14:paraId="0859DB4A">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采购人可以结合具体项目实际情况，提高上述第1项至第3项中启动异常低价投标（响应）审查的数值标准，但是最高不得超过65%。</w:t>
      </w:r>
    </w:p>
    <w:p w14:paraId="0D6F8B8A">
      <w:pPr>
        <w:pageBreakBefore w:val="0"/>
        <w:spacing w:line="360" w:lineRule="auto"/>
        <w:ind w:firstLine="420"/>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25.9.</w:t>
      </w:r>
      <w:r>
        <w:rPr>
          <w:rFonts w:hint="eastAsia" w:ascii="Times New Roman" w:hAnsi="Times New Roman" w:eastAsia="宋体"/>
          <w:bCs/>
          <w:color w:val="auto"/>
          <w:szCs w:val="21"/>
          <w:highlight w:val="none"/>
          <w:lang w:val="en-US" w:eastAsia="zh-CN"/>
        </w:rPr>
        <w:t>2</w:t>
      </w:r>
      <w:r>
        <w:rPr>
          <w:rFonts w:hint="eastAsia" w:ascii="Times New Roman" w:hAnsi="Times New Roman" w:eastAsia="宋体"/>
          <w:bCs/>
          <w:color w:val="auto"/>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0A48B5AE">
      <w:pPr>
        <w:pageBreakBefore w:val="0"/>
        <w:spacing w:line="360" w:lineRule="auto"/>
        <w:ind w:firstLine="420"/>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25.9.</w:t>
      </w:r>
      <w:r>
        <w:rPr>
          <w:rFonts w:hint="eastAsia" w:ascii="Times New Roman" w:hAnsi="Times New Roman" w:eastAsia="宋体"/>
          <w:bCs/>
          <w:color w:val="auto"/>
          <w:szCs w:val="21"/>
          <w:highlight w:val="none"/>
          <w:lang w:val="en-US" w:eastAsia="zh-CN"/>
        </w:rPr>
        <w:t>3</w:t>
      </w:r>
      <w:r>
        <w:rPr>
          <w:rFonts w:hint="eastAsia" w:ascii="Times New Roman" w:hAnsi="Times New Roman" w:eastAsia="宋体"/>
          <w:bCs/>
          <w:color w:val="auto"/>
          <w:szCs w:val="21"/>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38E3053">
      <w:pPr>
        <w:pageBreakBefore w:val="0"/>
        <w:spacing w:line="360" w:lineRule="auto"/>
        <w:ind w:firstLine="420"/>
        <w:rPr>
          <w:rFonts w:hint="eastAsia" w:ascii="Times New Roman" w:hAnsi="Times New Roman" w:eastAsia="宋体"/>
          <w:b/>
          <w:color w:val="auto"/>
          <w:szCs w:val="21"/>
          <w:highlight w:val="none"/>
        </w:rPr>
      </w:pPr>
      <w:r>
        <w:rPr>
          <w:rFonts w:hint="eastAsia" w:ascii="Times New Roman" w:hAnsi="Times New Roman" w:eastAsia="宋体"/>
          <w:bCs/>
          <w:color w:val="auto"/>
          <w:szCs w:val="21"/>
          <w:highlight w:val="none"/>
          <w:lang w:val="en-US" w:eastAsia="zh-CN"/>
        </w:rPr>
        <w:t>25.9.4</w:t>
      </w:r>
      <w:r>
        <w:rPr>
          <w:rFonts w:hint="eastAsia" w:ascii="Times New Roman" w:hAnsi="Times New Roman" w:eastAsia="宋体"/>
          <w:bCs/>
          <w:color w:val="auto"/>
          <w:szCs w:val="21"/>
          <w:highlight w:val="none"/>
        </w:rPr>
        <w:t>异常低价投标（响应）审查的启动原因、审查意见和审查结果应当在评审报告中记录，并随供应商提供的相关书面说明及证明材料，以及评审委员会有关互联网浏览、查询历史一并归档。</w:t>
      </w:r>
    </w:p>
    <w:p w14:paraId="2D6946E1">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26、无效投标、废标及投标人不足三家的处理</w:t>
      </w:r>
    </w:p>
    <w:p w14:paraId="72720739">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26.1无效投标条款</w:t>
      </w:r>
    </w:p>
    <w:p w14:paraId="7A7D6246">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26.1.1投标人未成功解密电子投标文件的。</w:t>
      </w:r>
    </w:p>
    <w:p w14:paraId="38745C84">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26.1.2投标人未按照招标文件要求上传电子投标文件的。</w:t>
      </w:r>
    </w:p>
    <w:p w14:paraId="422C3A27">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26.1.3投标人在报价时采用选择性报价的。</w:t>
      </w:r>
    </w:p>
    <w:p w14:paraId="67F5EDF2">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26.1.4投标人不具备招标文件中规定资格要求的。</w:t>
      </w:r>
    </w:p>
    <w:p w14:paraId="0AE35385">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26.1.5投标人的报价超过了采购预算或最高限价的。</w:t>
      </w:r>
    </w:p>
    <w:p w14:paraId="7EC976EC">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26.1.6未通过符合性审查的。</w:t>
      </w:r>
    </w:p>
    <w:p w14:paraId="1F90270D">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26.1.7不符合招标文件中规定的其他实质性要求和条件的（</w:t>
      </w:r>
      <w:r>
        <w:rPr>
          <w:rFonts w:hint="eastAsia" w:ascii="Times New Roman" w:hAnsi="Times New Roman" w:eastAsia="宋体"/>
          <w:bCs/>
          <w:i/>
          <w:iCs/>
          <w:color w:val="auto"/>
          <w:szCs w:val="21"/>
          <w:highlight w:val="none"/>
          <w:u w:val="single"/>
        </w:rPr>
        <w:t>本招标文件中斜体且有下划线部分为实质性要求和条件</w:t>
      </w:r>
      <w:r>
        <w:rPr>
          <w:rFonts w:hint="eastAsia" w:ascii="Times New Roman" w:hAnsi="Times New Roman" w:eastAsia="宋体"/>
          <w:bCs/>
          <w:color w:val="auto"/>
          <w:szCs w:val="21"/>
          <w:highlight w:val="none"/>
        </w:rPr>
        <w:t>）。</w:t>
      </w:r>
    </w:p>
    <w:p w14:paraId="35EBD951">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26.1.8投标人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p>
    <w:p w14:paraId="57A425E2">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26.1.9投标文件含有采购人不能接受的附加条件的。</w:t>
      </w:r>
    </w:p>
    <w:p w14:paraId="123969D5">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26.1.10评标委员会按照本招标文件规定对投标人进行异常低价投标审查后，认为投标人不能证明其报价合理性的。</w:t>
      </w:r>
    </w:p>
    <w:p w14:paraId="680802FE">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26.1.11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571C16FF">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26.1.12投标文件未按照招标文件要求加盖电子签章。</w:t>
      </w:r>
    </w:p>
    <w:p w14:paraId="6532315B">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26.1.13投标人所投标产品不符合招标文件中所列国家强制性标准的。</w:t>
      </w:r>
    </w:p>
    <w:p w14:paraId="6C5D9DAA">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26.2废标条款：</w:t>
      </w:r>
    </w:p>
    <w:p w14:paraId="2A7E9241">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26.2.1符合专业条件的供应商或者对招标文件作实质响应的供应商不足三家的。</w:t>
      </w:r>
    </w:p>
    <w:p w14:paraId="2C176FB2">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26.2.2出现影响采购公正的违法、违规行为的。</w:t>
      </w:r>
    </w:p>
    <w:p w14:paraId="1C700531">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26.2.3因重大变故，采购任务取消的。</w:t>
      </w:r>
    </w:p>
    <w:p w14:paraId="55D817D7">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26.2.4评委会认定招标文件存在歧义、重大缺陷导致评审工作无法进行。</w:t>
      </w:r>
    </w:p>
    <w:p w14:paraId="158CD1A8">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26.3投标截止时间结束后参加投标的供应商不足三家的处理：</w:t>
      </w:r>
    </w:p>
    <w:p w14:paraId="45FECDE9">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26.3.1如出现投标截止时间结束后参加投标的供应商或者在评标期间对招标文件做出实质性响应的供应商不足三家情况，按政府采购相关规定执行。</w:t>
      </w:r>
    </w:p>
    <w:p w14:paraId="2AAE36CB">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27、确定中标单位</w:t>
      </w:r>
    </w:p>
    <w:p w14:paraId="498CD65A">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27.1评委会根据本招标文件规定评标方法与评标标准向采购人推荐出中标候选人。</w:t>
      </w:r>
    </w:p>
    <w:p w14:paraId="4A8005C6">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27.2采购人应根据评委会推荐的中标候选人确定中标人。</w:t>
      </w:r>
    </w:p>
    <w:p w14:paraId="5FC2F403">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27.3代理机构将在</w:t>
      </w:r>
      <w:r>
        <w:rPr>
          <w:rFonts w:hint="eastAsia" w:ascii="Times New Roman" w:hAnsi="Times New Roman"/>
          <w:bCs/>
          <w:color w:val="auto"/>
          <w:szCs w:val="21"/>
          <w:highlight w:val="none"/>
          <w:lang w:eastAsia="zh-CN"/>
        </w:rPr>
        <w:t>“扬州市政府采购网”、“江苏省政府采购网”</w:t>
      </w:r>
      <w:r>
        <w:rPr>
          <w:rFonts w:hint="eastAsia" w:ascii="Times New Roman" w:hAnsi="Times New Roman" w:eastAsia="宋体"/>
          <w:bCs/>
          <w:color w:val="auto"/>
          <w:szCs w:val="21"/>
          <w:highlight w:val="none"/>
        </w:rPr>
        <w:t>发布中标公告，公告期限为1个工作日。</w:t>
      </w:r>
    </w:p>
    <w:p w14:paraId="4CD0121B">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27.4若有充分证据证明，中标人出现下列情况之一的，一经查实，将被取消中标资格：</w:t>
      </w:r>
    </w:p>
    <w:p w14:paraId="4EC69C61">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27.4.1提供虚假材料谋取中标的；</w:t>
      </w:r>
    </w:p>
    <w:p w14:paraId="492295E3">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27.4.2向采购人、代理机构行贿或者提供其他不正当利益的；</w:t>
      </w:r>
    </w:p>
    <w:p w14:paraId="621FCF42">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27.4.3恶意竞争，投标总报价明显低于其自身合理成本且又无法提供证明的；</w:t>
      </w:r>
    </w:p>
    <w:p w14:paraId="7F196EE2">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27.4.4属于本文件规定的无效条件，但在评标过程中又未被评委会发现的；</w:t>
      </w:r>
    </w:p>
    <w:p w14:paraId="11B42896">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27.4.5与采购人或者其他投标人恶意串通的；</w:t>
      </w:r>
    </w:p>
    <w:p w14:paraId="145833B4">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27.4.6采取不正当手段诋毁、排挤其他供应商的；</w:t>
      </w:r>
    </w:p>
    <w:p w14:paraId="15F09273">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27.4.7不符合法律、法规的规定的。</w:t>
      </w:r>
    </w:p>
    <w:p w14:paraId="6971594A">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27.5.有下列情形之一的，视为投标人串通投标，投标无效：</w:t>
      </w:r>
    </w:p>
    <w:p w14:paraId="5438B85F">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27.5.1不同投标人的投标文件由同一单位或者个人编制。经查实，不同投标人的电子投标文件出自同一台电脑的：不同投标人的标书制作工具客户端标识码存在一致的；不同投标人从同一互联网协议地址上传投标文件的。</w:t>
      </w:r>
    </w:p>
    <w:p w14:paraId="54EFCC89">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27.5.2不同投标人委托同一单位或者个人办理投标事宜。</w:t>
      </w:r>
    </w:p>
    <w:p w14:paraId="500FDB40">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27.5.3不同投标人的投标文件载明的项目管理成员或者联系人员为同一人。</w:t>
      </w:r>
    </w:p>
    <w:p w14:paraId="2DC1D690">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27.5.4不同投标人的投标文件异常一致或者投标报价呈规律性差异。</w:t>
      </w:r>
    </w:p>
    <w:p w14:paraId="60D9AAD6">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27.5.5不同投标人的投标文件相互混装。</w:t>
      </w:r>
    </w:p>
    <w:p w14:paraId="11BD59FE">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28、质疑处理</w:t>
      </w:r>
    </w:p>
    <w:p w14:paraId="3C291192">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28.1提出质疑的供应商应当是参与所质疑项目采购活动的供应商。潜在供应商依法获取其可质疑的采购文件的，可以对采购文件提出质疑。</w:t>
      </w:r>
    </w:p>
    <w:p w14:paraId="27E70E52">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对项目需求部分的质疑，潜在供应商应向采购人提出，由采购人负责答复。</w:t>
      </w:r>
    </w:p>
    <w:p w14:paraId="6FA3D25E">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28.2投标人认为采购文件、采购过程和中标或成交结果使自己的权益受到损害的，可以在知道或应知其权益受到损害之日起7个工作日内，以书面形式向采购人或代理机构提出质疑。</w:t>
      </w:r>
    </w:p>
    <w:p w14:paraId="5DD24BEA">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28.2.1对采购文件提出质疑的，应当在获取采购文件之日或者采购文件公告期限届满之日起7个工作日内提出。</w:t>
      </w:r>
      <w:r>
        <w:rPr>
          <w:rFonts w:hint="eastAsia" w:ascii="Times New Roman" w:hAnsi="Times New Roman" w:eastAsia="宋体"/>
          <w:bCs/>
          <w:color w:val="auto"/>
          <w:szCs w:val="21"/>
          <w:highlight w:val="none"/>
        </w:rPr>
        <w:br w:type="textWrapping"/>
      </w:r>
      <w:r>
        <w:rPr>
          <w:rFonts w:hint="eastAsia" w:ascii="Times New Roman" w:hAnsi="Times New Roman"/>
          <w:bCs/>
          <w:color w:val="auto"/>
          <w:szCs w:val="21"/>
          <w:highlight w:val="none"/>
          <w:lang w:val="en-US" w:eastAsia="zh-CN"/>
        </w:rPr>
        <w:t xml:space="preserve">  </w:t>
      </w:r>
      <w:r>
        <w:rPr>
          <w:rFonts w:hint="eastAsia" w:ascii="Times New Roman" w:hAnsi="Times New Roman" w:eastAsia="宋体"/>
          <w:bCs/>
          <w:color w:val="auto"/>
          <w:szCs w:val="21"/>
          <w:highlight w:val="none"/>
        </w:rPr>
        <w:t>28.2.2对采购过程提出质疑的，为各采购程序环节结束之日起7个工作日内提出。</w:t>
      </w:r>
      <w:r>
        <w:rPr>
          <w:rFonts w:hint="eastAsia" w:ascii="Times New Roman" w:hAnsi="Times New Roman" w:eastAsia="宋体"/>
          <w:bCs/>
          <w:color w:val="auto"/>
          <w:szCs w:val="21"/>
          <w:highlight w:val="none"/>
        </w:rPr>
        <w:br w:type="textWrapping"/>
      </w:r>
      <w:r>
        <w:rPr>
          <w:rFonts w:hint="eastAsia" w:ascii="Times New Roman" w:hAnsi="Times New Roman"/>
          <w:bCs/>
          <w:color w:val="auto"/>
          <w:szCs w:val="21"/>
          <w:highlight w:val="none"/>
          <w:lang w:val="en-US" w:eastAsia="zh-CN"/>
        </w:rPr>
        <w:t xml:space="preserve">  </w:t>
      </w:r>
      <w:r>
        <w:rPr>
          <w:rFonts w:hint="eastAsia" w:ascii="Times New Roman" w:hAnsi="Times New Roman" w:eastAsia="宋体"/>
          <w:bCs/>
          <w:color w:val="auto"/>
          <w:szCs w:val="21"/>
          <w:highlight w:val="none"/>
        </w:rPr>
        <w:t>28.2.3对中标结果提出质疑的，为中标结果公告期限届满之日起7个工作日内提出。</w:t>
      </w:r>
    </w:p>
    <w:p w14:paraId="497E579B">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28.3供应商应在法定质疑期内一次性提出针对同一采购程序环节的质疑。供应商如在法定期限内对同一采购程序环节提出多次质疑的，代理机构、采购人将只对供应商第一次质疑作出答复。</w:t>
      </w:r>
    </w:p>
    <w:p w14:paraId="78C01EA8">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p>
    <w:p w14:paraId="615FAEC9">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28.5代理机构及采购人只接收以纸质原件形式送达的质疑，同时需与采购代理机构经办人确认是否收到《质疑函》，如供应商未按上述要求去做，将自行承担所产生的风险。（代理机构及采购人不接受无快递运单号的快递。）</w:t>
      </w:r>
    </w:p>
    <w:p w14:paraId="0AEE14AF">
      <w:pPr>
        <w:pageBreakBefore w:val="0"/>
        <w:spacing w:line="360" w:lineRule="auto"/>
        <w:ind w:firstLine="420"/>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采购人质疑接收人及联系方式见招标文件第一章。</w:t>
      </w:r>
    </w:p>
    <w:p w14:paraId="62C0875B">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28.6代理机构收到质疑申请后，将对质疑的形式和内容进行审查，如质疑内容、格式不符合规定，代理机构将告知质疑人进行补正。</w:t>
      </w:r>
    </w:p>
    <w:p w14:paraId="10AE8232">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28.7质疑人应当在法定质疑期限内进行补正并重新提交质疑函。</w:t>
      </w:r>
    </w:p>
    <w:p w14:paraId="014877F0">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28.8以下情形的质疑不予受理</w:t>
      </w:r>
    </w:p>
    <w:p w14:paraId="5322A46F">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28.8.1内容不符合《政府采购质疑和投诉办法》第十二条规定的质疑。</w:t>
      </w:r>
    </w:p>
    <w:p w14:paraId="3FBF5BCF">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28.8.2超出政府采购法定期限的质疑。</w:t>
      </w:r>
    </w:p>
    <w:p w14:paraId="7B0F677B">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28.8.3以传真、电子邮件等方式递交的非原件形式的质疑。</w:t>
      </w:r>
    </w:p>
    <w:p w14:paraId="76370D80">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28.8.4未参加投标活动的供应商或在投标活动中自身权益未受到损害的供应商所提出的质疑。</w:t>
      </w:r>
    </w:p>
    <w:p w14:paraId="26E20469">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28.8.5供应商组成联合体参加投标，联合体中任何一方或多方未按要求签字、盖章、加盖公章的质疑。</w:t>
      </w:r>
    </w:p>
    <w:p w14:paraId="36712F16">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28.9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p>
    <w:p w14:paraId="7BA685AE">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28.10代理机构应当在收到供应商的书面质疑后7个工作日内作出答复，并以书面形式通知质疑供应商和其他有关供应商，但答复的内容不得涉及商业秘密。</w:t>
      </w:r>
    </w:p>
    <w:p w14:paraId="611F1E3B">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29、中标通知书</w:t>
      </w:r>
    </w:p>
    <w:p w14:paraId="05F0A4C1">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29.l中标结果确定后，代理机构将向中标人发出中标通知书。</w:t>
      </w:r>
    </w:p>
    <w:p w14:paraId="46C37AB9">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29.2中标人可在“政府采购管理交易系统（苏采云）”中标通知书下载模块中自行下载中标通知书。</w:t>
      </w:r>
    </w:p>
    <w:p w14:paraId="7D847920">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29.3中标通知书将是合同的一个组成部分。对采购人和中标人均具有法律效力。中标通知书发出后，采购人改变中标结果的，或者中标人放弃中标项目的，应当依法承担法律责任。</w:t>
      </w:r>
    </w:p>
    <w:p w14:paraId="3852E139">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30、签订合同</w:t>
      </w:r>
    </w:p>
    <w:p w14:paraId="5CDAC134">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30.l中标人应在中标通知书发出之日起</w:t>
      </w:r>
      <w:r>
        <w:rPr>
          <w:rFonts w:hint="eastAsia" w:ascii="Times New Roman" w:hAnsi="Times New Roman"/>
          <w:bCs/>
          <w:color w:val="auto"/>
          <w:szCs w:val="21"/>
          <w:highlight w:val="none"/>
          <w:lang w:val="en-US" w:eastAsia="zh-CN"/>
        </w:rPr>
        <w:t>十五日</w:t>
      </w:r>
      <w:r>
        <w:rPr>
          <w:rFonts w:hint="eastAsia" w:ascii="Times New Roman" w:hAnsi="Times New Roman" w:eastAsia="宋体"/>
          <w:bCs/>
          <w:color w:val="auto"/>
          <w:szCs w:val="21"/>
          <w:highlight w:val="none"/>
        </w:rPr>
        <w:t>内，按照招标文件确定的事项与采购人签订政府采购合同。</w:t>
      </w:r>
    </w:p>
    <w:p w14:paraId="5B5F67D4">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30.2招标文件、中标人的投标文件及招标过程中有关澄清、承诺文件均应作为合同附件。</w:t>
      </w:r>
    </w:p>
    <w:p w14:paraId="4295CCBF">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30.3合同在“政府采购管理交易系统（苏采云）”中签订，签订合同后，</w:t>
      </w:r>
      <w:r>
        <w:rPr>
          <w:rFonts w:hint="eastAsia" w:ascii="Times New Roman" w:hAnsi="Times New Roman" w:eastAsia="宋体"/>
          <w:bCs/>
          <w:i/>
          <w:iCs/>
          <w:color w:val="auto"/>
          <w:szCs w:val="21"/>
          <w:highlight w:val="none"/>
          <w:u w:val="single"/>
        </w:rPr>
        <w:t>中标人不得将货物或服务及其他服务进行转包</w:t>
      </w:r>
      <w:r>
        <w:rPr>
          <w:rFonts w:hint="eastAsia" w:ascii="Times New Roman" w:hAnsi="Times New Roman" w:eastAsia="宋体"/>
          <w:bCs/>
          <w:color w:val="auto"/>
          <w:szCs w:val="21"/>
          <w:highlight w:val="none"/>
        </w:rPr>
        <w:t>。未经采购人同意，中标人也不得采用分包的形式履行合同，否则采购人有权终止合同，中标人的履约保证金将不予退还。转包或分包造成采购人损失的，中标人应承担赔偿责任。</w:t>
      </w:r>
    </w:p>
    <w:p w14:paraId="7A992E10">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30.4采购人不得向中标人提出任何不合理的要求作为签订合同的条件，不得与中标人私下订立背离合同实质性内容的协议。所签订的合同不得对招标文件确定事项和中标人投标文件作实质性修改。</w:t>
      </w:r>
    </w:p>
    <w:p w14:paraId="6FF65E65">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31、电子投标文件要求</w:t>
      </w:r>
    </w:p>
    <w:p w14:paraId="06ECC8F3">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31.1</w:t>
      </w:r>
      <w:r>
        <w:rPr>
          <w:rFonts w:hint="eastAsia" w:ascii="Times New Roman" w:hAnsi="Times New Roman" w:eastAsia="宋体"/>
          <w:b/>
          <w:bCs/>
          <w:color w:val="auto"/>
          <w:szCs w:val="21"/>
          <w:highlight w:val="none"/>
        </w:rPr>
        <w:t>政府采购管理交易系统（苏采云）</w:t>
      </w:r>
      <w:r>
        <w:rPr>
          <w:rFonts w:hint="eastAsia" w:ascii="Times New Roman" w:hAnsi="Times New Roman" w:eastAsia="宋体"/>
          <w:b/>
          <w:color w:val="auto"/>
          <w:szCs w:val="21"/>
          <w:highlight w:val="none"/>
        </w:rPr>
        <w:t>相关要求是本招标文件的组成部分。</w:t>
      </w:r>
    </w:p>
    <w:p w14:paraId="72479A58">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31.2投标人应对CA证书妥善保管，如被他人盗用投标，因此带来的结果均由投标人自行承担。</w:t>
      </w:r>
    </w:p>
    <w:p w14:paraId="53ED4ECF">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31.3投标人应当对招标文件提出的要求和条件作出实质性响应，并在电子投标系统逐条应答。</w:t>
      </w:r>
    </w:p>
    <w:p w14:paraId="18DF464B">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31.4投标人应对要求提供的资格证明文件（如资质证书、资格证书）、技术资料（如白皮书、彩页、手册、检测报告等）扫描上传至投标系统。</w:t>
      </w:r>
    </w:p>
    <w:p w14:paraId="4FF2820A">
      <w:pPr>
        <w:pageBreakBefore w:val="0"/>
        <w:numPr>
          <w:ilvl w:val="0"/>
          <w:numId w:val="6"/>
        </w:numPr>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提交投标文件的截止时间（投标截止时间）</w:t>
      </w:r>
    </w:p>
    <w:p w14:paraId="45FDBA55">
      <w:pPr>
        <w:pageBreakBefore w:val="0"/>
        <w:spacing w:line="360" w:lineRule="auto"/>
        <w:ind w:firstLine="422"/>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32.1投标人应当在招标文件要求提交投标文件的截止时间前，将投标文件提交至“苏采云”系统，逾期提交的投标文件，“苏采云”系统将自动拒收。</w:t>
      </w:r>
    </w:p>
    <w:p w14:paraId="292C47F9">
      <w:pPr>
        <w:pageBreakBefore w:val="0"/>
        <w:spacing w:line="360" w:lineRule="auto"/>
        <w:ind w:firstLine="422"/>
        <w:rPr>
          <w:rFonts w:ascii="Times New Roman" w:hAnsi="Times New Roman" w:eastAsia="宋体"/>
          <w:color w:val="auto"/>
          <w:highlight w:val="none"/>
        </w:rPr>
      </w:pPr>
      <w:r>
        <w:rPr>
          <w:rFonts w:hint="eastAsia" w:ascii="Times New Roman" w:hAnsi="Times New Roman" w:eastAsia="宋体"/>
          <w:b/>
          <w:color w:val="auto"/>
          <w:szCs w:val="21"/>
          <w:highlight w:val="none"/>
        </w:rPr>
        <w:t>32.2各投标人应在规定时间内凭CA证书进行网上解密。</w:t>
      </w:r>
    </w:p>
    <w:p w14:paraId="0930F2E6">
      <w:pPr>
        <w:pageBreakBefore w:val="0"/>
        <w:spacing w:line="360" w:lineRule="auto"/>
        <w:ind w:left="420" w:firstLine="0"/>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33、其他</w:t>
      </w:r>
    </w:p>
    <w:p w14:paraId="5858F003">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cs="宋体"/>
          <w:color w:val="auto"/>
          <w:highlight w:val="none"/>
        </w:rPr>
        <w:t>33.1</w:t>
      </w:r>
      <w:r>
        <w:rPr>
          <w:rFonts w:hint="eastAsia" w:ascii="Times New Roman" w:hAnsi="Times New Roman" w:eastAsia="宋体"/>
          <w:color w:val="auto"/>
          <w:highlight w:val="none"/>
        </w:rPr>
        <w:t>依据《政府采购促进中小企业发展管理办法》享受扶持政策获得政府采购合同的，小微企业不得将合同分包给大中型企业，中型企业不得将合同分包给大型企业。</w:t>
      </w:r>
    </w:p>
    <w:p w14:paraId="6646A559">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br w:type="page" w:clear="all"/>
      </w:r>
    </w:p>
    <w:p w14:paraId="60FAA6F9">
      <w:pPr>
        <w:pStyle w:val="2"/>
        <w:pageBreakBefore w:val="0"/>
        <w:spacing w:before="0" w:after="0" w:line="360" w:lineRule="auto"/>
        <w:jc w:val="center"/>
        <w:rPr>
          <w:rFonts w:ascii="Times New Roman" w:hAnsi="Times New Roman" w:eastAsia="宋体"/>
          <w:color w:val="auto"/>
          <w:sz w:val="36"/>
          <w:szCs w:val="36"/>
          <w:highlight w:val="none"/>
        </w:rPr>
      </w:pPr>
      <w:bookmarkStart w:id="55" w:name="_Toc13939"/>
      <w:bookmarkStart w:id="56" w:name="_Toc55204179"/>
      <w:bookmarkStart w:id="57" w:name="_Hlk69392822"/>
      <w:r>
        <w:rPr>
          <w:rFonts w:hint="eastAsia" w:ascii="Times New Roman" w:hAnsi="Times New Roman" w:eastAsia="宋体"/>
          <w:color w:val="auto"/>
          <w:sz w:val="36"/>
          <w:szCs w:val="36"/>
          <w:highlight w:val="none"/>
        </w:rPr>
        <w:t>第三章合同条款及格式</w:t>
      </w:r>
      <w:bookmarkEnd w:id="55"/>
      <w:bookmarkEnd w:id="56"/>
    </w:p>
    <w:p w14:paraId="5337BE57">
      <w:pPr>
        <w:pStyle w:val="19"/>
        <w:pageBreakBefore w:val="0"/>
        <w:spacing w:line="360" w:lineRule="auto"/>
        <w:ind w:firstLine="420"/>
        <w:rPr>
          <w:rFonts w:ascii="Times New Roman" w:hAnsi="Times New Roman" w:eastAsia="宋体"/>
          <w:color w:val="auto"/>
          <w:sz w:val="21"/>
          <w:highlight w:val="none"/>
        </w:rPr>
      </w:pPr>
      <w:r>
        <w:rPr>
          <w:rFonts w:hint="eastAsia" w:ascii="Times New Roman" w:hAnsi="Times New Roman" w:eastAsia="宋体"/>
          <w:color w:val="auto"/>
          <w:sz w:val="21"/>
          <w:highlight w:val="none"/>
        </w:rPr>
        <w:t>以下为中标后签定本项目合同的通用条款，中标人不得提出实质性的修改，关于专用条款将由采购人与中标人结合本项目具体情况协商后签订。</w:t>
      </w:r>
    </w:p>
    <w:p w14:paraId="7F6596F7">
      <w:pPr>
        <w:pStyle w:val="19"/>
        <w:pageBreakBefore w:val="0"/>
        <w:spacing w:line="360" w:lineRule="auto"/>
        <w:ind w:firstLine="422"/>
        <w:jc w:val="center"/>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扬州市政府采购合同（服务）（合同编号）</w:t>
      </w:r>
    </w:p>
    <w:p w14:paraId="344012D0">
      <w:pPr>
        <w:pStyle w:val="19"/>
        <w:pageBreakBefore w:val="0"/>
        <w:spacing w:line="360" w:lineRule="auto"/>
        <w:ind w:firstLine="420"/>
        <w:rPr>
          <w:rFonts w:ascii="Times New Roman" w:hAnsi="Times New Roman" w:eastAsia="宋体"/>
          <w:color w:val="auto"/>
          <w:sz w:val="21"/>
          <w:highlight w:val="none"/>
        </w:rPr>
      </w:pPr>
      <w:r>
        <w:rPr>
          <w:rFonts w:hint="eastAsia" w:ascii="Times New Roman" w:hAnsi="Times New Roman" w:eastAsia="宋体"/>
          <w:color w:val="auto"/>
          <w:sz w:val="21"/>
          <w:highlight w:val="none"/>
        </w:rPr>
        <w:t>项目名称：</w:t>
      </w:r>
      <w:r>
        <w:rPr>
          <w:rFonts w:hint="eastAsia" w:ascii="Times New Roman" w:hAnsi="Times New Roman"/>
          <w:color w:val="auto"/>
          <w:sz w:val="21"/>
          <w:highlight w:val="none"/>
          <w:lang w:eastAsia="zh-CN"/>
        </w:rPr>
        <w:t>宝应县2026年度国土变更调查及日常国土变更调查工作</w:t>
      </w:r>
      <w:r>
        <w:rPr>
          <w:rFonts w:hint="eastAsia" w:ascii="Times New Roman" w:hAnsi="Times New Roman" w:eastAsia="宋体"/>
          <w:color w:val="auto"/>
          <w:sz w:val="21"/>
          <w:highlight w:val="none"/>
        </w:rPr>
        <w:t xml:space="preserve">               </w:t>
      </w:r>
    </w:p>
    <w:p w14:paraId="792EA825">
      <w:pPr>
        <w:pStyle w:val="19"/>
        <w:pageBreakBefore w:val="0"/>
        <w:spacing w:line="360" w:lineRule="auto"/>
        <w:ind w:firstLine="420"/>
        <w:rPr>
          <w:rFonts w:hint="eastAsia" w:ascii="Times New Roman" w:hAnsi="Times New Roman" w:eastAsia="宋体"/>
          <w:color w:val="auto"/>
          <w:sz w:val="21"/>
          <w:highlight w:val="none"/>
          <w:lang w:eastAsia="zh-CN"/>
        </w:rPr>
      </w:pPr>
      <w:r>
        <w:rPr>
          <w:rFonts w:hint="eastAsia" w:ascii="Times New Roman" w:hAnsi="Times New Roman" w:eastAsia="宋体"/>
          <w:color w:val="auto"/>
          <w:sz w:val="21"/>
          <w:highlight w:val="none"/>
        </w:rPr>
        <w:t>项目编号：</w:t>
      </w:r>
      <w:r>
        <w:rPr>
          <w:rFonts w:hint="eastAsia" w:ascii="Times New Roman" w:hAnsi="Times New Roman"/>
          <w:color w:val="auto"/>
          <w:sz w:val="21"/>
          <w:highlight w:val="none"/>
          <w:lang w:eastAsia="zh-CN"/>
        </w:rPr>
        <w:t>JSZC-321023-JSZR-G2026-0051号</w:t>
      </w:r>
    </w:p>
    <w:p w14:paraId="0AF8EE9C">
      <w:pPr>
        <w:pStyle w:val="19"/>
        <w:pageBreakBefore w:val="0"/>
        <w:spacing w:line="360" w:lineRule="auto"/>
        <w:ind w:firstLine="420"/>
        <w:rPr>
          <w:rFonts w:ascii="Times New Roman" w:hAnsi="Times New Roman" w:eastAsia="宋体"/>
          <w:color w:val="auto"/>
          <w:sz w:val="21"/>
          <w:highlight w:val="none"/>
        </w:rPr>
      </w:pPr>
      <w:r>
        <w:rPr>
          <w:rFonts w:hint="eastAsia" w:ascii="Times New Roman" w:hAnsi="Times New Roman" w:eastAsia="宋体"/>
          <w:color w:val="auto"/>
          <w:sz w:val="21"/>
          <w:highlight w:val="none"/>
        </w:rPr>
        <w:t>包号：</w:t>
      </w:r>
    </w:p>
    <w:p w14:paraId="44A7713E">
      <w:pPr>
        <w:pStyle w:val="19"/>
        <w:pageBreakBefore w:val="0"/>
        <w:spacing w:line="360" w:lineRule="auto"/>
        <w:ind w:firstLine="420"/>
        <w:rPr>
          <w:rFonts w:hint="eastAsia" w:ascii="Times New Roman" w:hAnsi="Times New Roman" w:eastAsia="宋体"/>
          <w:color w:val="auto"/>
          <w:sz w:val="21"/>
          <w:highlight w:val="none"/>
          <w:lang w:eastAsia="zh-CN"/>
        </w:rPr>
      </w:pPr>
      <w:r>
        <w:rPr>
          <w:rFonts w:hint="eastAsia" w:ascii="Times New Roman" w:hAnsi="Times New Roman" w:eastAsia="宋体"/>
          <w:color w:val="auto"/>
          <w:sz w:val="21"/>
          <w:highlight w:val="none"/>
        </w:rPr>
        <w:t>甲方：（买方）</w:t>
      </w:r>
      <w:r>
        <w:rPr>
          <w:rFonts w:hint="eastAsia" w:ascii="Times New Roman" w:hAnsi="Times New Roman"/>
          <w:color w:val="auto"/>
          <w:sz w:val="21"/>
          <w:highlight w:val="none"/>
          <w:u w:val="single"/>
          <w:lang w:eastAsia="zh-CN"/>
        </w:rPr>
        <w:t>宝应县自然资源和规划局</w:t>
      </w:r>
    </w:p>
    <w:p w14:paraId="0010797A">
      <w:pPr>
        <w:pStyle w:val="19"/>
        <w:pageBreakBefore w:val="0"/>
        <w:spacing w:line="360" w:lineRule="auto"/>
        <w:ind w:firstLine="420"/>
        <w:rPr>
          <w:rFonts w:ascii="Times New Roman" w:hAnsi="Times New Roman" w:eastAsia="宋体"/>
          <w:color w:val="auto"/>
          <w:sz w:val="21"/>
          <w:highlight w:val="none"/>
        </w:rPr>
      </w:pPr>
      <w:r>
        <w:rPr>
          <w:rFonts w:hint="eastAsia" w:ascii="Times New Roman" w:hAnsi="Times New Roman" w:eastAsia="宋体"/>
          <w:color w:val="auto"/>
          <w:sz w:val="21"/>
          <w:highlight w:val="none"/>
        </w:rPr>
        <w:t>乙方：（卖方）_________</w:t>
      </w:r>
    </w:p>
    <w:p w14:paraId="7F1AD52E">
      <w:pPr>
        <w:pStyle w:val="19"/>
        <w:pageBreakBefore w:val="0"/>
        <w:spacing w:line="360" w:lineRule="auto"/>
        <w:ind w:firstLine="420"/>
        <w:rPr>
          <w:rFonts w:ascii="Times New Roman" w:hAnsi="Times New Roman" w:eastAsia="宋体"/>
          <w:color w:val="auto"/>
          <w:sz w:val="21"/>
          <w:highlight w:val="none"/>
        </w:rPr>
      </w:pPr>
      <w:r>
        <w:rPr>
          <w:rFonts w:hint="eastAsia" w:ascii="Times New Roman" w:hAnsi="Times New Roman" w:eastAsia="宋体"/>
          <w:color w:val="auto"/>
          <w:sz w:val="21"/>
          <w:highlight w:val="none"/>
        </w:rPr>
        <w:t>甲、乙双方根据</w:t>
      </w:r>
      <w:r>
        <w:rPr>
          <w:rFonts w:hint="eastAsia" w:ascii="Times New Roman" w:hAnsi="Times New Roman"/>
          <w:color w:val="auto"/>
          <w:sz w:val="21"/>
          <w:highlight w:val="none"/>
          <w:lang w:eastAsia="zh-CN"/>
        </w:rPr>
        <w:t>江苏中瑞建设项目管理有限公司</w:t>
      </w:r>
      <w:r>
        <w:rPr>
          <w:rFonts w:hint="eastAsia" w:ascii="Times New Roman" w:hAnsi="Times New Roman" w:eastAsia="宋体"/>
          <w:color w:val="auto"/>
          <w:sz w:val="21"/>
          <w:highlight w:val="none"/>
          <w:u w:val="single"/>
        </w:rPr>
        <w:t xml:space="preserve">         </w:t>
      </w:r>
      <w:r>
        <w:rPr>
          <w:rFonts w:hint="eastAsia" w:ascii="Times New Roman" w:hAnsi="Times New Roman" w:eastAsia="宋体"/>
          <w:color w:val="auto"/>
          <w:sz w:val="21"/>
          <w:highlight w:val="none"/>
        </w:rPr>
        <w:t>项目公开招标的结果，签署本合同。</w:t>
      </w:r>
    </w:p>
    <w:p w14:paraId="5D0D468E">
      <w:pPr>
        <w:pStyle w:val="19"/>
        <w:pageBreakBefore w:val="0"/>
        <w:spacing w:line="360" w:lineRule="auto"/>
        <w:ind w:firstLine="422"/>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一、服务及货物</w:t>
      </w:r>
    </w:p>
    <w:p w14:paraId="2F4DC8FF">
      <w:pPr>
        <w:pStyle w:val="19"/>
        <w:pageBreakBefore w:val="0"/>
        <w:spacing w:line="360" w:lineRule="auto"/>
        <w:ind w:firstLine="420"/>
        <w:rPr>
          <w:rFonts w:ascii="Times New Roman" w:hAnsi="Times New Roman" w:eastAsia="宋体"/>
          <w:color w:val="auto"/>
          <w:sz w:val="21"/>
          <w:highlight w:val="none"/>
        </w:rPr>
      </w:pPr>
      <w:r>
        <w:rPr>
          <w:rFonts w:hint="eastAsia" w:ascii="Times New Roman" w:hAnsi="Times New Roman" w:eastAsia="宋体"/>
          <w:color w:val="auto"/>
          <w:sz w:val="21"/>
          <w:highlight w:val="none"/>
        </w:rPr>
        <w:t>1.1 标的名称：</w:t>
      </w:r>
    </w:p>
    <w:p w14:paraId="0DA10C16">
      <w:pPr>
        <w:pStyle w:val="19"/>
        <w:pageBreakBefore w:val="0"/>
        <w:spacing w:line="360" w:lineRule="auto"/>
        <w:ind w:firstLine="420"/>
        <w:rPr>
          <w:rFonts w:ascii="Times New Roman" w:hAnsi="Times New Roman" w:eastAsia="宋体"/>
          <w:color w:val="auto"/>
          <w:sz w:val="21"/>
          <w:highlight w:val="none"/>
        </w:rPr>
      </w:pPr>
      <w:r>
        <w:rPr>
          <w:rFonts w:hint="eastAsia" w:ascii="Times New Roman" w:hAnsi="Times New Roman" w:eastAsia="宋体"/>
          <w:color w:val="auto"/>
          <w:sz w:val="21"/>
          <w:highlight w:val="none"/>
        </w:rPr>
        <w:t>1.2标的质量：</w:t>
      </w:r>
    </w:p>
    <w:p w14:paraId="6DBA4154">
      <w:pPr>
        <w:pStyle w:val="19"/>
        <w:pageBreakBefore w:val="0"/>
        <w:spacing w:line="360" w:lineRule="auto"/>
        <w:ind w:firstLine="420"/>
        <w:rPr>
          <w:rFonts w:ascii="Times New Roman" w:hAnsi="Times New Roman" w:eastAsia="宋体"/>
          <w:color w:val="auto"/>
          <w:sz w:val="21"/>
          <w:highlight w:val="none"/>
        </w:rPr>
      </w:pPr>
      <w:r>
        <w:rPr>
          <w:rFonts w:hint="eastAsia" w:ascii="Times New Roman" w:hAnsi="Times New Roman" w:eastAsia="宋体"/>
          <w:color w:val="auto"/>
          <w:sz w:val="21"/>
          <w:highlight w:val="none"/>
        </w:rPr>
        <w:t>1.3 标的数量（规模）：</w:t>
      </w:r>
    </w:p>
    <w:p w14:paraId="6BCF697F">
      <w:pPr>
        <w:pStyle w:val="19"/>
        <w:pageBreakBefore w:val="0"/>
        <w:spacing w:line="360" w:lineRule="auto"/>
        <w:ind w:firstLine="420"/>
        <w:rPr>
          <w:rFonts w:hint="default" w:ascii="Times New Roman" w:hAnsi="Times New Roman" w:eastAsia="宋体"/>
          <w:color w:val="auto"/>
          <w:sz w:val="21"/>
          <w:highlight w:val="none"/>
          <w:lang w:val="en-US" w:eastAsia="zh-CN"/>
        </w:rPr>
      </w:pPr>
      <w:r>
        <w:rPr>
          <w:rFonts w:hint="eastAsia" w:ascii="Times New Roman" w:hAnsi="Times New Roman" w:eastAsia="宋体"/>
          <w:color w:val="auto"/>
          <w:sz w:val="21"/>
          <w:highlight w:val="none"/>
        </w:rPr>
        <w:t>1.4 履行时间（期限）：</w:t>
      </w:r>
      <w:r>
        <w:rPr>
          <w:rFonts w:hint="eastAsia" w:ascii="Times New Roman" w:hAnsi="Times New Roman"/>
          <w:color w:val="auto"/>
          <w:sz w:val="21"/>
          <w:highlight w:val="none"/>
          <w:u w:val="single"/>
          <w:lang w:val="en-US" w:eastAsia="zh-CN"/>
        </w:rPr>
        <w:t>合同签订后至2026年年底</w:t>
      </w:r>
      <w:r>
        <w:rPr>
          <w:rFonts w:hint="eastAsia" w:ascii="Times New Roman" w:hAnsi="Times New Roman"/>
          <w:color w:val="auto"/>
          <w:sz w:val="21"/>
          <w:highlight w:val="none"/>
          <w:lang w:val="en-US" w:eastAsia="zh-CN"/>
        </w:rPr>
        <w:t>。</w:t>
      </w:r>
    </w:p>
    <w:p w14:paraId="51019763">
      <w:pPr>
        <w:pStyle w:val="19"/>
        <w:pageBreakBefore w:val="0"/>
        <w:spacing w:line="360" w:lineRule="auto"/>
        <w:ind w:firstLine="420"/>
        <w:rPr>
          <w:rFonts w:ascii="Times New Roman" w:hAnsi="Times New Roman" w:eastAsia="宋体"/>
          <w:color w:val="auto"/>
          <w:sz w:val="21"/>
          <w:highlight w:val="none"/>
        </w:rPr>
      </w:pPr>
      <w:r>
        <w:rPr>
          <w:rFonts w:hint="eastAsia" w:ascii="Times New Roman" w:hAnsi="Times New Roman" w:eastAsia="宋体"/>
          <w:color w:val="auto"/>
          <w:sz w:val="21"/>
          <w:highlight w:val="none"/>
        </w:rPr>
        <w:t>1.5 履行地点：</w:t>
      </w:r>
    </w:p>
    <w:p w14:paraId="5E4688A6">
      <w:pPr>
        <w:pStyle w:val="19"/>
        <w:pageBreakBefore w:val="0"/>
        <w:spacing w:line="360" w:lineRule="auto"/>
        <w:ind w:firstLine="420"/>
        <w:rPr>
          <w:rFonts w:hint="eastAsia" w:ascii="Times New Roman" w:hAnsi="Times New Roman" w:eastAsia="宋体"/>
          <w:color w:val="auto"/>
          <w:sz w:val="21"/>
          <w:highlight w:val="none"/>
          <w:lang w:eastAsia="zh-CN"/>
        </w:rPr>
      </w:pPr>
      <w:r>
        <w:rPr>
          <w:rFonts w:hint="eastAsia" w:ascii="Times New Roman" w:hAnsi="Times New Roman" w:eastAsia="宋体"/>
          <w:color w:val="auto"/>
          <w:sz w:val="21"/>
          <w:highlight w:val="none"/>
        </w:rPr>
        <w:t>1.6履行方式</w:t>
      </w:r>
      <w:r>
        <w:rPr>
          <w:rFonts w:hint="eastAsia" w:ascii="Times New Roman" w:hAnsi="Times New Roman" w:eastAsia="宋体"/>
          <w:color w:val="auto"/>
          <w:sz w:val="21"/>
          <w:highlight w:val="none"/>
          <w:lang w:eastAsia="zh-CN"/>
        </w:rPr>
        <w:t>：</w:t>
      </w:r>
    </w:p>
    <w:p w14:paraId="452A3034">
      <w:pPr>
        <w:pStyle w:val="19"/>
        <w:pageBreakBefore w:val="0"/>
        <w:spacing w:line="360" w:lineRule="auto"/>
        <w:ind w:firstLine="422"/>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二、合同金额</w:t>
      </w:r>
    </w:p>
    <w:p w14:paraId="428899EE">
      <w:pPr>
        <w:pStyle w:val="19"/>
        <w:pageBreakBefore w:val="0"/>
        <w:spacing w:line="360" w:lineRule="auto"/>
        <w:ind w:firstLine="420"/>
        <w:rPr>
          <w:rFonts w:ascii="Times New Roman" w:hAnsi="Times New Roman" w:eastAsia="宋体"/>
          <w:color w:val="auto"/>
          <w:sz w:val="21"/>
          <w:highlight w:val="none"/>
        </w:rPr>
      </w:pPr>
      <w:r>
        <w:rPr>
          <w:rFonts w:hint="eastAsia" w:ascii="Times New Roman" w:hAnsi="Times New Roman" w:eastAsia="宋体"/>
          <w:color w:val="auto"/>
          <w:sz w:val="21"/>
          <w:highlight w:val="none"/>
        </w:rPr>
        <w:t>2.1 本合同金额为（大写）：____________________圆（_______________元）人民币。</w:t>
      </w:r>
    </w:p>
    <w:p w14:paraId="24EAD97A">
      <w:pPr>
        <w:pStyle w:val="19"/>
        <w:pageBreakBefore w:val="0"/>
        <w:spacing w:line="360" w:lineRule="auto"/>
        <w:ind w:firstLine="422"/>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三、技术资料</w:t>
      </w:r>
    </w:p>
    <w:p w14:paraId="4785F4FC">
      <w:pPr>
        <w:pStyle w:val="19"/>
        <w:pageBreakBefore w:val="0"/>
        <w:spacing w:line="360" w:lineRule="auto"/>
        <w:ind w:firstLine="420"/>
        <w:rPr>
          <w:rFonts w:ascii="Times New Roman" w:hAnsi="Times New Roman" w:eastAsia="宋体"/>
          <w:color w:val="auto"/>
          <w:sz w:val="21"/>
          <w:highlight w:val="none"/>
        </w:rPr>
      </w:pPr>
      <w:r>
        <w:rPr>
          <w:rFonts w:hint="eastAsia" w:ascii="Times New Roman" w:hAnsi="Times New Roman" w:eastAsia="宋体"/>
          <w:color w:val="auto"/>
          <w:sz w:val="21"/>
          <w:highlight w:val="none"/>
        </w:rPr>
        <w:t>3.1乙方应按采购文件规定的时间向甲方提供使用货物及服务的有关技术资料。</w:t>
      </w:r>
    </w:p>
    <w:p w14:paraId="23996DFC">
      <w:pPr>
        <w:pStyle w:val="19"/>
        <w:pageBreakBefore w:val="0"/>
        <w:spacing w:line="360" w:lineRule="auto"/>
        <w:ind w:firstLine="420"/>
        <w:rPr>
          <w:rFonts w:ascii="Times New Roman" w:hAnsi="Times New Roman" w:eastAsia="宋体"/>
          <w:color w:val="auto"/>
          <w:sz w:val="21"/>
          <w:highlight w:val="none"/>
        </w:rPr>
      </w:pPr>
      <w:r>
        <w:rPr>
          <w:rFonts w:hint="eastAsia" w:ascii="Times New Roman" w:hAnsi="Times New Roman" w:eastAsia="宋体"/>
          <w:color w:val="auto"/>
          <w:sz w:val="21"/>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52375C93">
      <w:pPr>
        <w:pStyle w:val="19"/>
        <w:pageBreakBefore w:val="0"/>
        <w:spacing w:line="360" w:lineRule="auto"/>
        <w:ind w:firstLine="422"/>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四、知识产权</w:t>
      </w:r>
    </w:p>
    <w:p w14:paraId="0B2CC2C3">
      <w:pPr>
        <w:pStyle w:val="19"/>
        <w:pageBreakBefore w:val="0"/>
        <w:spacing w:line="360" w:lineRule="auto"/>
        <w:ind w:firstLine="420"/>
        <w:rPr>
          <w:rFonts w:ascii="Times New Roman" w:hAnsi="Times New Roman" w:eastAsia="宋体"/>
          <w:color w:val="auto"/>
          <w:sz w:val="21"/>
          <w:highlight w:val="none"/>
        </w:rPr>
      </w:pPr>
      <w:r>
        <w:rPr>
          <w:rFonts w:hint="eastAsia" w:ascii="Times New Roman" w:hAnsi="Times New Roman" w:eastAsia="宋体"/>
          <w:color w:val="auto"/>
          <w:sz w:val="21"/>
          <w:highlight w:val="none"/>
        </w:rPr>
        <w:t>4.1乙方应保证甲方在使用、接受本合同货物及服务或其任何一部分时不受第三方提出侵犯其专利权、版权、商标权和工业设计权等知识产权的起诉。一旦出现侵权，由乙方负全部责任。</w:t>
      </w:r>
    </w:p>
    <w:p w14:paraId="5DAA86B2">
      <w:pPr>
        <w:pStyle w:val="19"/>
        <w:pageBreakBefore w:val="0"/>
        <w:spacing w:line="360" w:lineRule="auto"/>
        <w:ind w:firstLine="422"/>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五、产权担保</w:t>
      </w:r>
    </w:p>
    <w:p w14:paraId="3FF667C8">
      <w:pPr>
        <w:pStyle w:val="19"/>
        <w:pageBreakBefore w:val="0"/>
        <w:spacing w:line="360" w:lineRule="auto"/>
        <w:ind w:firstLine="420"/>
        <w:rPr>
          <w:rFonts w:ascii="Times New Roman" w:hAnsi="Times New Roman" w:eastAsia="宋体"/>
          <w:color w:val="auto"/>
          <w:sz w:val="21"/>
          <w:highlight w:val="none"/>
        </w:rPr>
      </w:pPr>
      <w:r>
        <w:rPr>
          <w:rFonts w:hint="eastAsia" w:ascii="Times New Roman" w:hAnsi="Times New Roman" w:eastAsia="宋体"/>
          <w:color w:val="auto"/>
          <w:sz w:val="21"/>
          <w:highlight w:val="none"/>
        </w:rPr>
        <w:t>5.1 乙方保证所交付的货物及服务的所有权完全属于乙方且无任何抵押、查封等产权瑕疵。</w:t>
      </w:r>
    </w:p>
    <w:p w14:paraId="578806FE">
      <w:pPr>
        <w:pStyle w:val="19"/>
        <w:pageBreakBefore w:val="0"/>
        <w:spacing w:line="360" w:lineRule="auto"/>
        <w:ind w:firstLine="422"/>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六、履约保证金</w:t>
      </w:r>
    </w:p>
    <w:p w14:paraId="585CDF3E">
      <w:pPr>
        <w:pStyle w:val="19"/>
        <w:pageBreakBefore w:val="0"/>
        <w:spacing w:line="360" w:lineRule="auto"/>
        <w:ind w:firstLine="420"/>
        <w:rPr>
          <w:rFonts w:ascii="Times New Roman" w:hAnsi="Times New Roman" w:eastAsia="宋体"/>
          <w:color w:val="auto"/>
          <w:sz w:val="21"/>
          <w:highlight w:val="none"/>
        </w:rPr>
      </w:pPr>
      <w:r>
        <w:rPr>
          <w:rFonts w:hint="eastAsia" w:ascii="Times New Roman" w:hAnsi="Times New Roman" w:eastAsia="宋体"/>
          <w:color w:val="auto"/>
          <w:sz w:val="21"/>
          <w:highlight w:val="none"/>
        </w:rPr>
        <w:t>6.1 乙方交纳人民币</w:t>
      </w:r>
      <w:r>
        <w:rPr>
          <w:rFonts w:hint="eastAsia" w:ascii="Times New Roman" w:hAnsi="Times New Roman" w:eastAsia="宋体"/>
          <w:color w:val="auto"/>
          <w:sz w:val="21"/>
          <w:highlight w:val="none"/>
          <w:u w:val="single"/>
        </w:rPr>
        <w:t xml:space="preserve"> 零  </w:t>
      </w:r>
      <w:r>
        <w:rPr>
          <w:rFonts w:hint="eastAsia" w:ascii="Times New Roman" w:hAnsi="Times New Roman" w:eastAsia="宋体"/>
          <w:color w:val="auto"/>
          <w:sz w:val="21"/>
          <w:highlight w:val="none"/>
        </w:rPr>
        <w:t>元作为本合同的履约保证金。（不得超过合同金额的10%）</w:t>
      </w:r>
    </w:p>
    <w:p w14:paraId="7EDE326B">
      <w:pPr>
        <w:pStyle w:val="19"/>
        <w:pageBreakBefore w:val="0"/>
        <w:spacing w:line="360" w:lineRule="auto"/>
        <w:ind w:firstLine="420"/>
        <w:rPr>
          <w:rFonts w:ascii="Times New Roman" w:hAnsi="Times New Roman" w:eastAsia="宋体"/>
          <w:color w:val="auto"/>
          <w:sz w:val="21"/>
          <w:highlight w:val="none"/>
        </w:rPr>
      </w:pPr>
      <w:r>
        <w:rPr>
          <w:rFonts w:hint="eastAsia" w:ascii="Times New Roman" w:hAnsi="Times New Roman" w:eastAsia="宋体"/>
          <w:color w:val="auto"/>
          <w:sz w:val="21"/>
          <w:highlight w:val="none"/>
        </w:rPr>
        <w:t>6.2合同履行结束后，甲方应及时退还交纳的履约保证金。</w:t>
      </w:r>
    </w:p>
    <w:p w14:paraId="33B09E08">
      <w:pPr>
        <w:pStyle w:val="19"/>
        <w:pageBreakBefore w:val="0"/>
        <w:spacing w:line="360" w:lineRule="auto"/>
        <w:ind w:firstLine="420"/>
        <w:rPr>
          <w:rFonts w:ascii="Times New Roman" w:hAnsi="Times New Roman" w:eastAsia="宋体"/>
          <w:color w:val="auto"/>
          <w:sz w:val="21"/>
          <w:highlight w:val="none"/>
        </w:rPr>
      </w:pPr>
      <w:r>
        <w:rPr>
          <w:rFonts w:hint="eastAsia" w:ascii="Times New Roman" w:hAnsi="Times New Roman" w:eastAsia="宋体"/>
          <w:color w:val="auto"/>
          <w:sz w:val="21"/>
          <w:highlight w:val="none"/>
        </w:rPr>
        <w:t>6.2.1履约保证金退还方式：无</w:t>
      </w:r>
    </w:p>
    <w:p w14:paraId="7E07F98D">
      <w:pPr>
        <w:pStyle w:val="19"/>
        <w:pageBreakBefore w:val="0"/>
        <w:spacing w:line="360" w:lineRule="auto"/>
        <w:ind w:firstLine="420"/>
        <w:rPr>
          <w:rFonts w:ascii="Times New Roman" w:hAnsi="Times New Roman" w:eastAsia="宋体"/>
          <w:color w:val="auto"/>
          <w:sz w:val="21"/>
          <w:highlight w:val="none"/>
        </w:rPr>
      </w:pPr>
      <w:r>
        <w:rPr>
          <w:rFonts w:hint="eastAsia" w:ascii="Times New Roman" w:hAnsi="Times New Roman" w:eastAsia="宋体"/>
          <w:color w:val="auto"/>
          <w:sz w:val="21"/>
          <w:highlight w:val="none"/>
        </w:rPr>
        <w:t>6.2.2履约保证金退还时间：无</w:t>
      </w:r>
    </w:p>
    <w:p w14:paraId="5FEBB9F5">
      <w:pPr>
        <w:pStyle w:val="19"/>
        <w:pageBreakBefore w:val="0"/>
        <w:spacing w:line="360" w:lineRule="auto"/>
        <w:ind w:firstLine="420"/>
        <w:rPr>
          <w:rFonts w:ascii="Times New Roman" w:hAnsi="Times New Roman" w:eastAsia="宋体"/>
          <w:color w:val="auto"/>
          <w:sz w:val="21"/>
          <w:highlight w:val="none"/>
        </w:rPr>
      </w:pPr>
      <w:r>
        <w:rPr>
          <w:rFonts w:hint="eastAsia" w:ascii="Times New Roman" w:hAnsi="Times New Roman" w:eastAsia="宋体"/>
          <w:color w:val="auto"/>
          <w:sz w:val="21"/>
          <w:highlight w:val="none"/>
        </w:rPr>
        <w:t>6.2.3履约保证金退还条件：无</w:t>
      </w:r>
    </w:p>
    <w:p w14:paraId="4D257826">
      <w:pPr>
        <w:pStyle w:val="19"/>
        <w:pageBreakBefore w:val="0"/>
        <w:spacing w:line="360" w:lineRule="auto"/>
        <w:ind w:firstLine="420"/>
        <w:rPr>
          <w:rFonts w:ascii="Times New Roman" w:hAnsi="Times New Roman" w:eastAsia="宋体"/>
          <w:color w:val="auto"/>
          <w:sz w:val="21"/>
          <w:highlight w:val="none"/>
        </w:rPr>
      </w:pPr>
      <w:r>
        <w:rPr>
          <w:rFonts w:hint="eastAsia" w:ascii="Times New Roman" w:hAnsi="Times New Roman" w:eastAsia="宋体"/>
          <w:color w:val="auto"/>
          <w:sz w:val="21"/>
          <w:highlight w:val="none"/>
        </w:rPr>
        <w:t>6.2.4履约保证金不予退还的情形：无</w:t>
      </w:r>
    </w:p>
    <w:p w14:paraId="28DED9A9">
      <w:pPr>
        <w:pStyle w:val="19"/>
        <w:pageBreakBefore w:val="0"/>
        <w:spacing w:line="360" w:lineRule="auto"/>
        <w:ind w:firstLine="422"/>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七、转包或分包</w:t>
      </w:r>
    </w:p>
    <w:p w14:paraId="09430B94">
      <w:pPr>
        <w:pStyle w:val="19"/>
        <w:pageBreakBefore w:val="0"/>
        <w:spacing w:line="360" w:lineRule="auto"/>
        <w:ind w:firstLine="420"/>
        <w:rPr>
          <w:rFonts w:ascii="Times New Roman" w:hAnsi="Times New Roman" w:eastAsia="宋体"/>
          <w:color w:val="auto"/>
          <w:sz w:val="21"/>
          <w:highlight w:val="none"/>
        </w:rPr>
      </w:pPr>
      <w:r>
        <w:rPr>
          <w:rFonts w:hint="eastAsia" w:ascii="Times New Roman" w:hAnsi="Times New Roman" w:eastAsia="宋体"/>
          <w:color w:val="auto"/>
          <w:sz w:val="21"/>
          <w:highlight w:val="none"/>
        </w:rPr>
        <w:t>7.1乙方不得将合同标的转包给他人履行。</w:t>
      </w:r>
    </w:p>
    <w:p w14:paraId="50C27F71">
      <w:pPr>
        <w:pStyle w:val="19"/>
        <w:pageBreakBefore w:val="0"/>
        <w:spacing w:line="360" w:lineRule="auto"/>
        <w:ind w:firstLine="420"/>
        <w:rPr>
          <w:rFonts w:ascii="Times New Roman" w:hAnsi="Times New Roman" w:eastAsia="宋体"/>
          <w:color w:val="auto"/>
          <w:sz w:val="21"/>
          <w:highlight w:val="none"/>
        </w:rPr>
      </w:pPr>
      <w:r>
        <w:rPr>
          <w:rFonts w:hint="eastAsia" w:ascii="Times New Roman" w:hAnsi="Times New Roman" w:eastAsia="宋体"/>
          <w:color w:val="auto"/>
          <w:sz w:val="21"/>
          <w:highlight w:val="none"/>
        </w:rPr>
        <w:t>7.2乙方不得将合同标的分包给他人履行。</w:t>
      </w:r>
    </w:p>
    <w:p w14:paraId="5323331D">
      <w:pPr>
        <w:pStyle w:val="19"/>
        <w:pageBreakBefore w:val="0"/>
        <w:spacing w:line="360" w:lineRule="auto"/>
        <w:ind w:firstLine="420"/>
        <w:rPr>
          <w:rFonts w:ascii="Times New Roman" w:hAnsi="Times New Roman" w:eastAsia="宋体"/>
          <w:color w:val="auto"/>
          <w:sz w:val="21"/>
          <w:highlight w:val="none"/>
        </w:rPr>
      </w:pPr>
      <w:r>
        <w:rPr>
          <w:rFonts w:hint="eastAsia" w:ascii="Times New Roman" w:hAnsi="Times New Roman" w:eastAsia="宋体"/>
          <w:color w:val="auto"/>
          <w:sz w:val="21"/>
          <w:highlight w:val="none"/>
        </w:rPr>
        <w:t>7.3乙方如有转包或未经甲方同意的分包行为，甲方有权解除合同。</w:t>
      </w:r>
    </w:p>
    <w:p w14:paraId="04446C58">
      <w:pPr>
        <w:pStyle w:val="19"/>
        <w:pageBreakBefore w:val="0"/>
        <w:numPr>
          <w:ilvl w:val="0"/>
          <w:numId w:val="7"/>
        </w:numPr>
        <w:spacing w:line="360" w:lineRule="auto"/>
        <w:ind w:firstLine="422"/>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合同款项支付</w:t>
      </w:r>
    </w:p>
    <w:p w14:paraId="1BECB936">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 xml:space="preserve">.1 本合同项下所有款项均以人民币支付。 </w:t>
      </w:r>
    </w:p>
    <w:p w14:paraId="15E24443">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.2 本合同项下的采购资金由甲方支付，付款前乙方向甲方开具发票。</w:t>
      </w:r>
    </w:p>
    <w:p w14:paraId="6240EA09">
      <w:pPr>
        <w:pStyle w:val="256"/>
        <w:spacing w:line="360" w:lineRule="auto"/>
        <w:ind w:firstLine="420"/>
        <w:rPr>
          <w:rFonts w:hint="default" w:hAnsi="宋体" w:cs="宋体"/>
          <w:color w:val="auto"/>
          <w:highlight w:val="none"/>
        </w:rPr>
      </w:pPr>
      <w:r>
        <w:rPr>
          <w:rFonts w:hint="eastAsia" w:hAnsi="宋体" w:cs="宋体"/>
          <w:color w:val="auto"/>
          <w:highlight w:val="none"/>
          <w:lang w:val="en-US" w:eastAsia="zh-CN"/>
        </w:rPr>
        <w:t>8</w:t>
      </w:r>
      <w:r>
        <w:rPr>
          <w:rFonts w:hAnsi="宋体" w:cs="宋体"/>
          <w:color w:val="auto"/>
          <w:highlight w:val="none"/>
        </w:rPr>
        <w:t>.3 甲方付款方式：</w:t>
      </w:r>
    </w:p>
    <w:p w14:paraId="2B4EBF7D">
      <w:pPr>
        <w:pStyle w:val="256"/>
        <w:spacing w:before="120" w:after="120" w:line="360" w:lineRule="auto"/>
        <w:ind w:firstLine="422"/>
        <w:rPr>
          <w:rFonts w:hint="default" w:ascii="Times New Roman" w:hAnsi="Times New Roman" w:eastAsia="宋体"/>
          <w:b/>
          <w:bCs/>
          <w:color w:val="auto"/>
          <w:sz w:val="21"/>
          <w:highlight w:val="none"/>
          <w:lang w:val="en-US" w:eastAsia="zh-CN"/>
        </w:rPr>
      </w:pPr>
      <w:r>
        <w:rPr>
          <w:rFonts w:hint="eastAsia" w:hAnsi="宋体"/>
          <w:b/>
          <w:bCs/>
          <w:color w:val="auto"/>
          <w:highlight w:val="none"/>
        </w:rPr>
        <w:t>中标价即合同价，签订合同后，乙方向甲方开具发票，甲方自收到发票后10日内支付合同总价的</w:t>
      </w:r>
      <w:r>
        <w:rPr>
          <w:rFonts w:hint="eastAsia" w:hAnsi="宋体"/>
          <w:b/>
          <w:bCs/>
          <w:color w:val="auto"/>
          <w:highlight w:val="none"/>
          <w:lang w:val="en-US" w:eastAsia="zh-CN"/>
        </w:rPr>
        <w:t>3</w:t>
      </w:r>
      <w:r>
        <w:rPr>
          <w:rFonts w:hint="eastAsia" w:hAnsi="宋体"/>
          <w:b/>
          <w:bCs/>
          <w:color w:val="auto"/>
          <w:highlight w:val="none"/>
        </w:rPr>
        <w:t>0%</w:t>
      </w:r>
      <w:r>
        <w:rPr>
          <w:rFonts w:hint="eastAsia" w:hAnsi="宋体"/>
          <w:b/>
          <w:bCs/>
          <w:color w:val="auto"/>
          <w:highlight w:val="none"/>
          <w:lang w:eastAsia="zh-CN"/>
        </w:rPr>
        <w:t>，</w:t>
      </w:r>
      <w:r>
        <w:rPr>
          <w:rFonts w:hint="eastAsia" w:hAnsi="宋体"/>
          <w:b/>
          <w:bCs/>
          <w:color w:val="auto"/>
          <w:highlight w:val="none"/>
        </w:rPr>
        <w:t>项目整体工作完成后，乙方向甲方开具发票，甲方自收到发票之日起10个工作日内付</w:t>
      </w:r>
      <w:r>
        <w:rPr>
          <w:rFonts w:hint="eastAsia" w:hAnsi="宋体"/>
          <w:b/>
          <w:bCs/>
          <w:color w:val="auto"/>
          <w:highlight w:val="none"/>
          <w:lang w:val="en-US" w:eastAsia="zh-CN"/>
        </w:rPr>
        <w:t>至合同价的80%</w:t>
      </w:r>
      <w:r>
        <w:rPr>
          <w:rFonts w:hint="eastAsia" w:hAnsi="宋体"/>
          <w:b/>
          <w:bCs/>
          <w:color w:val="auto"/>
          <w:highlight w:val="none"/>
        </w:rPr>
        <w:t>，数据通过部、省检查通过后，</w:t>
      </w:r>
      <w:r>
        <w:rPr>
          <w:rFonts w:hint="eastAsia" w:hAnsi="宋体"/>
          <w:b/>
          <w:bCs/>
          <w:color w:val="auto"/>
          <w:highlight w:val="none"/>
          <w:lang w:val="en-US" w:eastAsia="zh-CN"/>
        </w:rPr>
        <w:t>结清剩余款项。</w:t>
      </w:r>
    </w:p>
    <w:p w14:paraId="5919F563">
      <w:pPr>
        <w:pageBreakBefore w:val="0"/>
        <w:spacing w:line="360" w:lineRule="auto"/>
        <w:ind w:firstLine="422"/>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九、税费</w:t>
      </w:r>
    </w:p>
    <w:p w14:paraId="7AC681D8">
      <w:pPr>
        <w:pageBreakBefore w:val="0"/>
        <w:spacing w:line="360" w:lineRule="auto"/>
        <w:ind w:firstLine="420"/>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9.1本合同执行中相关的一切税费均由乙方负担。</w:t>
      </w:r>
    </w:p>
    <w:p w14:paraId="22BD9090">
      <w:pPr>
        <w:pStyle w:val="254"/>
        <w:pageBreakBefore w:val="0"/>
        <w:numPr>
          <w:ilvl w:val="0"/>
          <w:numId w:val="8"/>
        </w:numPr>
        <w:spacing w:line="360" w:lineRule="auto"/>
        <w:ind w:firstLine="422"/>
        <w:rPr>
          <w:rFonts w:ascii="Times New Roman" w:hAnsi="Times New Roman" w:eastAsia="宋体" w:cs="宋体"/>
          <w:b/>
          <w:color w:val="auto"/>
          <w:sz w:val="21"/>
          <w:highlight w:val="none"/>
        </w:rPr>
      </w:pPr>
      <w:r>
        <w:rPr>
          <w:rFonts w:hint="eastAsia" w:ascii="Times New Roman" w:hAnsi="Times New Roman" w:eastAsia="宋体" w:cs="宋体"/>
          <w:b/>
          <w:color w:val="auto"/>
          <w:sz w:val="21"/>
          <w:highlight w:val="none"/>
        </w:rPr>
        <w:t>项目验收</w:t>
      </w:r>
    </w:p>
    <w:p w14:paraId="64F79649">
      <w:pPr>
        <w:spacing w:before="156" w:after="156"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0</w:t>
      </w:r>
      <w:r>
        <w:rPr>
          <w:rFonts w:hint="eastAsia" w:ascii="宋体" w:hAnsi="宋体" w:eastAsia="宋体" w:cs="宋体"/>
          <w:color w:val="auto"/>
          <w:szCs w:val="21"/>
          <w:highlight w:val="none"/>
        </w:rPr>
        <w:t>.1 甲方依法组织履约验收工作。</w:t>
      </w:r>
    </w:p>
    <w:p w14:paraId="410B50FB">
      <w:pPr>
        <w:spacing w:before="156" w:after="156"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0</w:t>
      </w:r>
      <w:r>
        <w:rPr>
          <w:rFonts w:hint="eastAsia" w:ascii="宋体" w:hAnsi="宋体" w:eastAsia="宋体" w:cs="宋体"/>
          <w:color w:val="auto"/>
          <w:szCs w:val="21"/>
          <w:highlight w:val="none"/>
        </w:rPr>
        <w:t>.2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28B18156">
      <w:pPr>
        <w:spacing w:before="156" w:after="156"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0</w:t>
      </w:r>
      <w:r>
        <w:rPr>
          <w:rFonts w:hint="eastAsia" w:ascii="宋体" w:hAnsi="宋体" w:eastAsia="宋体" w:cs="宋体"/>
          <w:color w:val="auto"/>
          <w:szCs w:val="21"/>
          <w:highlight w:val="none"/>
        </w:rPr>
        <w:t>.3 对于实际使用人和甲方分离的项目，甲方邀请实际使用人参与验收。</w:t>
      </w:r>
    </w:p>
    <w:p w14:paraId="2D1ED80B">
      <w:pPr>
        <w:spacing w:before="156" w:after="156"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10.4 如有必要，甲方邀请参加本项目的其他供应商或第三方专业机构及专家参与验收，相关意见将作为验收书的参考资料。</w:t>
      </w:r>
    </w:p>
    <w:p w14:paraId="23208D39">
      <w:pPr>
        <w:spacing w:before="156" w:after="156"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0</w:t>
      </w:r>
      <w:r>
        <w:rPr>
          <w:rFonts w:hint="eastAsia" w:ascii="宋体" w:hAnsi="宋体" w:eastAsia="宋体" w:cs="宋体"/>
          <w:color w:val="auto"/>
          <w:szCs w:val="21"/>
          <w:highlight w:val="none"/>
        </w:rPr>
        <w:t>.5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595BF9BC">
      <w:pPr>
        <w:spacing w:before="156" w:after="156" w:line="360" w:lineRule="auto"/>
        <w:ind w:firstLine="420"/>
        <w:rPr>
          <w:rFonts w:ascii="Times New Roman" w:hAnsi="Times New Roman" w:eastAsia="宋体" w:cs="宋体"/>
          <w:b/>
          <w:color w:val="auto"/>
          <w:sz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0</w:t>
      </w:r>
      <w:r>
        <w:rPr>
          <w:rFonts w:hint="eastAsia" w:ascii="宋体" w:hAnsi="宋体" w:eastAsia="宋体" w:cs="宋体"/>
          <w:color w:val="auto"/>
          <w:szCs w:val="21"/>
          <w:highlight w:val="none"/>
        </w:rPr>
        <w:t>.6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35A85B30">
      <w:pPr>
        <w:pStyle w:val="254"/>
        <w:pageBreakBefore w:val="0"/>
        <w:spacing w:line="360" w:lineRule="auto"/>
        <w:ind w:firstLine="422"/>
        <w:rPr>
          <w:rFonts w:ascii="Times New Roman" w:hAnsi="Times New Roman" w:eastAsia="宋体" w:cs="宋体"/>
          <w:b/>
          <w:color w:val="auto"/>
          <w:sz w:val="21"/>
          <w:highlight w:val="none"/>
        </w:rPr>
      </w:pPr>
      <w:r>
        <w:rPr>
          <w:rFonts w:hint="eastAsia" w:ascii="Times New Roman" w:hAnsi="Times New Roman" w:eastAsia="宋体" w:cs="宋体"/>
          <w:b/>
          <w:color w:val="auto"/>
          <w:sz w:val="21"/>
          <w:highlight w:val="none"/>
        </w:rPr>
        <w:t>十一、违约责任</w:t>
      </w:r>
    </w:p>
    <w:p w14:paraId="6F756C38">
      <w:pPr>
        <w:pStyle w:val="254"/>
        <w:pageBreakBefore w:val="0"/>
        <w:spacing w:line="360" w:lineRule="auto"/>
        <w:ind w:firstLine="420"/>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11.1 甲方无正当理由拒绝接受乙方提供服务的，甲方向乙方偿付拒绝接受服务合同价款总值</w:t>
      </w:r>
      <w:r>
        <w:rPr>
          <w:rFonts w:hint="eastAsia" w:ascii="Times New Roman" w:hAnsi="Times New Roman" w:eastAsia="宋体" w:cs="宋体"/>
          <w:color w:val="auto"/>
          <w:sz w:val="21"/>
          <w:highlight w:val="none"/>
          <w:u w:val="single"/>
        </w:rPr>
        <w:t xml:space="preserve">    </w:t>
      </w:r>
      <w:r>
        <w:rPr>
          <w:rFonts w:hint="eastAsia" w:ascii="Times New Roman" w:hAnsi="Times New Roman" w:eastAsia="宋体" w:cs="宋体"/>
          <w:color w:val="auto"/>
          <w:sz w:val="21"/>
          <w:highlight w:val="none"/>
        </w:rPr>
        <w:t>的违约金。</w:t>
      </w:r>
    </w:p>
    <w:p w14:paraId="5068966B">
      <w:pPr>
        <w:pStyle w:val="254"/>
        <w:pageBreakBefore w:val="0"/>
        <w:spacing w:line="360" w:lineRule="auto"/>
        <w:ind w:firstLine="420"/>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11.2 甲方无故逾期验收和办理合同款项支付手续的，甲方应按逾期付款总额</w:t>
      </w:r>
      <w:r>
        <w:rPr>
          <w:rFonts w:hint="eastAsia" w:ascii="Times New Roman" w:hAnsi="Times New Roman" w:eastAsia="宋体" w:cs="宋体"/>
          <w:color w:val="auto"/>
          <w:sz w:val="21"/>
          <w:highlight w:val="none"/>
          <w:u w:val="single"/>
        </w:rPr>
        <w:t xml:space="preserve">    </w:t>
      </w:r>
      <w:r>
        <w:rPr>
          <w:rFonts w:hint="eastAsia" w:ascii="Times New Roman" w:hAnsi="Times New Roman" w:eastAsia="宋体" w:cs="宋体"/>
          <w:color w:val="auto"/>
          <w:sz w:val="21"/>
          <w:highlight w:val="none"/>
        </w:rPr>
        <w:t>每日向乙方支付违约金。</w:t>
      </w:r>
    </w:p>
    <w:p w14:paraId="6354E6DC">
      <w:pPr>
        <w:pStyle w:val="254"/>
        <w:pageBreakBefore w:val="0"/>
        <w:spacing w:line="360" w:lineRule="auto"/>
        <w:ind w:firstLine="420"/>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宋体" w:cs="宋体"/>
          <w:color w:val="auto"/>
          <w:sz w:val="21"/>
          <w:highlight w:val="none"/>
          <w:u w:val="single"/>
        </w:rPr>
        <w:t xml:space="preserve">     </w:t>
      </w:r>
      <w:r>
        <w:rPr>
          <w:rFonts w:hint="eastAsia" w:ascii="Times New Roman" w:hAnsi="Times New Roman" w:eastAsia="宋体" w:cs="宋体"/>
          <w:color w:val="auto"/>
          <w:sz w:val="21"/>
          <w:highlight w:val="none"/>
        </w:rPr>
        <w:t xml:space="preserve">的违约金，如造成甲方损失超过违约金的，超出部分由乙方继续承担赔偿责任。 </w:t>
      </w:r>
    </w:p>
    <w:p w14:paraId="3C1E74DC">
      <w:pPr>
        <w:pStyle w:val="254"/>
        <w:pageBreakBefore w:val="0"/>
        <w:spacing w:line="360" w:lineRule="auto"/>
        <w:ind w:firstLine="420"/>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11.4 乙方所提供服务的标准不符合合同规定及采购文件规定标准的，甲方有权拒绝接受服务，并可单方面解除合同。</w:t>
      </w:r>
    </w:p>
    <w:p w14:paraId="072E685D">
      <w:pPr>
        <w:pStyle w:val="254"/>
        <w:pageBreakBefore w:val="0"/>
        <w:spacing w:line="360" w:lineRule="auto"/>
        <w:ind w:firstLine="422"/>
        <w:rPr>
          <w:rFonts w:ascii="Times New Roman" w:hAnsi="Times New Roman" w:eastAsia="宋体" w:cs="宋体"/>
          <w:b/>
          <w:color w:val="auto"/>
          <w:sz w:val="21"/>
          <w:highlight w:val="none"/>
        </w:rPr>
      </w:pPr>
      <w:r>
        <w:rPr>
          <w:rFonts w:hint="eastAsia" w:ascii="Times New Roman" w:hAnsi="Times New Roman" w:eastAsia="宋体" w:cs="宋体"/>
          <w:b/>
          <w:color w:val="auto"/>
          <w:sz w:val="21"/>
          <w:highlight w:val="none"/>
        </w:rPr>
        <w:t>十二、不可抗力事件处理</w:t>
      </w:r>
    </w:p>
    <w:p w14:paraId="632E1BDD">
      <w:pPr>
        <w:pStyle w:val="254"/>
        <w:pageBreakBefore w:val="0"/>
        <w:spacing w:line="360" w:lineRule="auto"/>
        <w:ind w:firstLine="420"/>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12.1 在合同有效期内，任何一方因不可抗力事件导致不能履行合同，则合同履行期可延长，其延长期与不可抗力影响 期相同。</w:t>
      </w:r>
    </w:p>
    <w:p w14:paraId="070A9643">
      <w:pPr>
        <w:pStyle w:val="254"/>
        <w:pageBreakBefore w:val="0"/>
        <w:spacing w:line="360" w:lineRule="auto"/>
        <w:ind w:firstLine="420"/>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12.2 不可抗力事件发生后，应立即通知对方，并寄送有关权威机构出具的证明。</w:t>
      </w:r>
    </w:p>
    <w:p w14:paraId="4979C8CB">
      <w:pPr>
        <w:pStyle w:val="254"/>
        <w:pageBreakBefore w:val="0"/>
        <w:spacing w:line="360" w:lineRule="auto"/>
        <w:ind w:firstLine="420"/>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12.3 不可抗力事件延续120天以上，双方应通过友好协商，确定是否继续履行合同。</w:t>
      </w:r>
    </w:p>
    <w:p w14:paraId="5A07C36C">
      <w:pPr>
        <w:pStyle w:val="254"/>
        <w:pageBreakBefore w:val="0"/>
        <w:spacing w:line="360" w:lineRule="auto"/>
        <w:ind w:firstLine="422"/>
        <w:rPr>
          <w:rFonts w:ascii="Times New Roman" w:hAnsi="Times New Roman" w:eastAsia="宋体" w:cs="宋体"/>
          <w:b/>
          <w:color w:val="auto"/>
          <w:sz w:val="21"/>
          <w:highlight w:val="none"/>
        </w:rPr>
      </w:pPr>
      <w:r>
        <w:rPr>
          <w:rFonts w:hint="eastAsia" w:ascii="Times New Roman" w:hAnsi="Times New Roman" w:eastAsia="宋体" w:cs="宋体"/>
          <w:b/>
          <w:color w:val="auto"/>
          <w:sz w:val="21"/>
          <w:highlight w:val="none"/>
        </w:rPr>
        <w:t>十三、解决争议的方法</w:t>
      </w:r>
    </w:p>
    <w:p w14:paraId="7BFE7C08">
      <w:pPr>
        <w:pStyle w:val="254"/>
        <w:pageBreakBefore w:val="0"/>
        <w:spacing w:line="360" w:lineRule="auto"/>
        <w:ind w:firstLine="420"/>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13.1双方在签订、履行合同中所发生的一切争议，应通过友好协商解决。如协商不成，由甲方住所地人民法院管辖。</w:t>
      </w:r>
    </w:p>
    <w:p w14:paraId="4C0EDFBE">
      <w:pPr>
        <w:pageBreakBefore w:val="0"/>
        <w:spacing w:line="360" w:lineRule="auto"/>
        <w:ind w:firstLine="422"/>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十四、为落实好政府采购履约资金扶持政策，乙方可凭政府采购合同办理融资贷款，详见江苏政府采购网“政采贷”专栏。</w:t>
      </w:r>
    </w:p>
    <w:p w14:paraId="768EA870">
      <w:pPr>
        <w:pStyle w:val="19"/>
        <w:pageBreakBefore w:val="0"/>
        <w:spacing w:line="360" w:lineRule="auto"/>
        <w:ind w:firstLine="422"/>
        <w:rPr>
          <w:rFonts w:ascii="Times New Roman" w:hAnsi="Times New Roman" w:eastAsia="宋体" w:cs="宋体"/>
          <w:b/>
          <w:bCs/>
          <w:color w:val="auto"/>
          <w:sz w:val="21"/>
          <w:highlight w:val="none"/>
        </w:rPr>
      </w:pPr>
      <w:r>
        <w:rPr>
          <w:rFonts w:hint="eastAsia" w:ascii="Times New Roman" w:hAnsi="Times New Roman" w:eastAsia="宋体" w:cs="宋体"/>
          <w:b/>
          <w:bCs/>
          <w:color w:val="auto"/>
          <w:sz w:val="21"/>
          <w:highlight w:val="none"/>
        </w:rPr>
        <w:t>十五、合同生效及其它</w:t>
      </w:r>
    </w:p>
    <w:p w14:paraId="4E47B8F5">
      <w:pPr>
        <w:pStyle w:val="254"/>
        <w:pageBreakBefore w:val="0"/>
        <w:spacing w:line="360" w:lineRule="auto"/>
        <w:ind w:firstLine="420"/>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15.1 合同经双方法定代表人或授权委托代表人签字并加盖单位公章后生效。</w:t>
      </w:r>
    </w:p>
    <w:p w14:paraId="10F18406">
      <w:pPr>
        <w:pStyle w:val="254"/>
        <w:pageBreakBefore w:val="0"/>
        <w:spacing w:line="360" w:lineRule="auto"/>
        <w:ind w:firstLine="420"/>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15.2本合同未尽事宜，遵照《中华人民共和国民法典》、《中华人民共和国政府采购法》有关条文执行。</w:t>
      </w:r>
    </w:p>
    <w:p w14:paraId="29D11D89">
      <w:pPr>
        <w:pStyle w:val="254"/>
        <w:pageBreakBefore w:val="0"/>
        <w:spacing w:line="360" w:lineRule="auto"/>
        <w:ind w:firstLine="420"/>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15.3 本合同正本一式肆份，具有同等法律效力，甲方、乙方各执贰份。</w:t>
      </w:r>
    </w:p>
    <w:p w14:paraId="502CEB0A">
      <w:pPr>
        <w:pStyle w:val="19"/>
        <w:pageBreakBefore w:val="0"/>
        <w:spacing w:line="360" w:lineRule="auto"/>
        <w:ind w:firstLine="420"/>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 </w:t>
      </w:r>
    </w:p>
    <w:tbl>
      <w:tblPr>
        <w:tblStyle w:val="41"/>
        <w:tblW w:w="8522" w:type="dxa"/>
        <w:tblInd w:w="27" w:type="dxa"/>
        <w:tblLayout w:type="fixed"/>
        <w:tblCellMar>
          <w:top w:w="0" w:type="dxa"/>
          <w:left w:w="108" w:type="dxa"/>
          <w:bottom w:w="0" w:type="dxa"/>
          <w:right w:w="108" w:type="dxa"/>
        </w:tblCellMar>
      </w:tblPr>
      <w:tblGrid>
        <w:gridCol w:w="4284"/>
        <w:gridCol w:w="4238"/>
      </w:tblGrid>
      <w:tr w14:paraId="348F1A0A">
        <w:tblPrEx>
          <w:tblCellMar>
            <w:top w:w="0" w:type="dxa"/>
            <w:left w:w="108" w:type="dxa"/>
            <w:bottom w:w="0" w:type="dxa"/>
            <w:right w:w="108" w:type="dxa"/>
          </w:tblCellMar>
        </w:tblPrEx>
        <w:tc>
          <w:tcPr>
            <w:tcW w:w="4284" w:type="dxa"/>
            <w:tcBorders>
              <w:top w:val="nil"/>
              <w:left w:val="nil"/>
              <w:bottom w:val="nil"/>
              <w:right w:val="nil"/>
            </w:tcBorders>
            <w:noWrap w:val="0"/>
          </w:tcPr>
          <w:p w14:paraId="5DE668A0">
            <w:pPr>
              <w:pStyle w:val="19"/>
              <w:pageBreakBefore w:val="0"/>
              <w:spacing w:line="360" w:lineRule="auto"/>
              <w:rPr>
                <w:rFonts w:hint="eastAsia" w:ascii="Times New Roman" w:hAnsi="Times New Roman" w:eastAsia="宋体"/>
                <w:color w:val="auto"/>
                <w:sz w:val="21"/>
                <w:highlight w:val="none"/>
                <w:lang w:eastAsia="zh-CN"/>
              </w:rPr>
            </w:pPr>
            <w:r>
              <w:rPr>
                <w:rFonts w:hint="eastAsia" w:ascii="Times New Roman" w:hAnsi="Times New Roman" w:eastAsia="宋体"/>
                <w:color w:val="auto"/>
                <w:sz w:val="21"/>
                <w:highlight w:val="none"/>
              </w:rPr>
              <w:t xml:space="preserve">甲方： </w:t>
            </w:r>
            <w:r>
              <w:rPr>
                <w:rFonts w:hint="eastAsia" w:ascii="Times New Roman" w:hAnsi="Times New Roman"/>
                <w:color w:val="auto"/>
                <w:sz w:val="21"/>
                <w:highlight w:val="none"/>
                <w:lang w:eastAsia="zh-CN"/>
              </w:rPr>
              <w:t>宝应县自然资源和规划局</w:t>
            </w:r>
          </w:p>
        </w:tc>
        <w:tc>
          <w:tcPr>
            <w:tcW w:w="4238" w:type="dxa"/>
            <w:tcBorders>
              <w:top w:val="nil"/>
              <w:left w:val="nil"/>
              <w:bottom w:val="nil"/>
              <w:right w:val="nil"/>
            </w:tcBorders>
            <w:noWrap w:val="0"/>
          </w:tcPr>
          <w:p w14:paraId="0C36F7DB">
            <w:pPr>
              <w:pStyle w:val="19"/>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乙方： </w:t>
            </w:r>
          </w:p>
        </w:tc>
      </w:tr>
      <w:tr w14:paraId="0731291E">
        <w:tblPrEx>
          <w:tblCellMar>
            <w:top w:w="0" w:type="dxa"/>
            <w:left w:w="108" w:type="dxa"/>
            <w:bottom w:w="0" w:type="dxa"/>
            <w:right w:w="108" w:type="dxa"/>
          </w:tblCellMar>
        </w:tblPrEx>
        <w:tc>
          <w:tcPr>
            <w:tcW w:w="4284" w:type="dxa"/>
            <w:tcBorders>
              <w:top w:val="nil"/>
              <w:left w:val="nil"/>
              <w:bottom w:val="nil"/>
              <w:right w:val="nil"/>
            </w:tcBorders>
            <w:noWrap w:val="0"/>
          </w:tcPr>
          <w:p w14:paraId="7C501765">
            <w:pPr>
              <w:pStyle w:val="19"/>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地址： </w:t>
            </w:r>
          </w:p>
        </w:tc>
        <w:tc>
          <w:tcPr>
            <w:tcW w:w="4238" w:type="dxa"/>
            <w:tcBorders>
              <w:top w:val="nil"/>
              <w:left w:val="nil"/>
              <w:bottom w:val="nil"/>
              <w:right w:val="nil"/>
            </w:tcBorders>
            <w:noWrap w:val="0"/>
          </w:tcPr>
          <w:p w14:paraId="08C26A7D">
            <w:pPr>
              <w:pStyle w:val="19"/>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地址： </w:t>
            </w:r>
          </w:p>
        </w:tc>
      </w:tr>
      <w:tr w14:paraId="7C058B2D">
        <w:tblPrEx>
          <w:tblCellMar>
            <w:top w:w="0" w:type="dxa"/>
            <w:left w:w="108" w:type="dxa"/>
            <w:bottom w:w="0" w:type="dxa"/>
            <w:right w:w="108" w:type="dxa"/>
          </w:tblCellMar>
        </w:tblPrEx>
        <w:tc>
          <w:tcPr>
            <w:tcW w:w="4284" w:type="dxa"/>
            <w:tcBorders>
              <w:top w:val="nil"/>
              <w:left w:val="nil"/>
              <w:bottom w:val="nil"/>
              <w:right w:val="nil"/>
            </w:tcBorders>
            <w:noWrap w:val="0"/>
          </w:tcPr>
          <w:p w14:paraId="2202F5BF">
            <w:pPr>
              <w:pStyle w:val="19"/>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法定代表人或授权代表：</w:t>
            </w:r>
          </w:p>
        </w:tc>
        <w:tc>
          <w:tcPr>
            <w:tcW w:w="4238" w:type="dxa"/>
            <w:tcBorders>
              <w:top w:val="nil"/>
              <w:left w:val="nil"/>
              <w:bottom w:val="nil"/>
              <w:right w:val="nil"/>
            </w:tcBorders>
            <w:noWrap w:val="0"/>
          </w:tcPr>
          <w:p w14:paraId="18C16588">
            <w:pPr>
              <w:pStyle w:val="19"/>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法定代表人或授权代表：</w:t>
            </w:r>
          </w:p>
        </w:tc>
      </w:tr>
      <w:tr w14:paraId="26513C85">
        <w:tblPrEx>
          <w:tblCellMar>
            <w:top w:w="0" w:type="dxa"/>
            <w:left w:w="108" w:type="dxa"/>
            <w:bottom w:w="0" w:type="dxa"/>
            <w:right w:w="108" w:type="dxa"/>
          </w:tblCellMar>
        </w:tblPrEx>
        <w:tc>
          <w:tcPr>
            <w:tcW w:w="4284" w:type="dxa"/>
            <w:tcBorders>
              <w:top w:val="nil"/>
              <w:left w:val="nil"/>
              <w:bottom w:val="nil"/>
              <w:right w:val="nil"/>
            </w:tcBorders>
            <w:noWrap w:val="0"/>
          </w:tcPr>
          <w:p w14:paraId="7865C7C1">
            <w:pPr>
              <w:pStyle w:val="19"/>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联系电话：</w:t>
            </w:r>
          </w:p>
        </w:tc>
        <w:tc>
          <w:tcPr>
            <w:tcW w:w="4238" w:type="dxa"/>
            <w:tcBorders>
              <w:top w:val="nil"/>
              <w:left w:val="nil"/>
              <w:bottom w:val="nil"/>
              <w:right w:val="nil"/>
            </w:tcBorders>
            <w:noWrap w:val="0"/>
          </w:tcPr>
          <w:p w14:paraId="49B908A5">
            <w:pPr>
              <w:pStyle w:val="19"/>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联系电话：</w:t>
            </w:r>
          </w:p>
        </w:tc>
      </w:tr>
      <w:tr w14:paraId="4849D0E6">
        <w:tblPrEx>
          <w:tblCellMar>
            <w:top w:w="0" w:type="dxa"/>
            <w:left w:w="108" w:type="dxa"/>
            <w:bottom w:w="0" w:type="dxa"/>
            <w:right w:w="108" w:type="dxa"/>
          </w:tblCellMar>
        </w:tblPrEx>
        <w:tc>
          <w:tcPr>
            <w:tcW w:w="4284" w:type="dxa"/>
            <w:tcBorders>
              <w:top w:val="nil"/>
              <w:left w:val="nil"/>
              <w:bottom w:val="nil"/>
              <w:right w:val="nil"/>
            </w:tcBorders>
            <w:noWrap w:val="0"/>
          </w:tcPr>
          <w:p w14:paraId="0D1A03F9">
            <w:pPr>
              <w:pStyle w:val="19"/>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日期：      年    月    日  </w:t>
            </w:r>
          </w:p>
        </w:tc>
        <w:tc>
          <w:tcPr>
            <w:tcW w:w="4238" w:type="dxa"/>
            <w:tcBorders>
              <w:top w:val="nil"/>
              <w:left w:val="nil"/>
              <w:bottom w:val="nil"/>
              <w:right w:val="nil"/>
            </w:tcBorders>
            <w:noWrap w:val="0"/>
          </w:tcPr>
          <w:p w14:paraId="3E527942">
            <w:pPr>
              <w:pStyle w:val="19"/>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日期：      年    月    日</w:t>
            </w:r>
          </w:p>
        </w:tc>
      </w:tr>
    </w:tbl>
    <w:p w14:paraId="31357D17">
      <w:pPr>
        <w:pageBreakBefore w:val="0"/>
        <w:spacing w:line="360" w:lineRule="auto"/>
        <w:jc w:val="center"/>
        <w:rPr>
          <w:rFonts w:ascii="Times New Roman" w:hAnsi="Times New Roman" w:eastAsia="宋体" w:cs="宋体"/>
          <w:color w:val="auto"/>
          <w:szCs w:val="21"/>
          <w:highlight w:val="none"/>
        </w:rPr>
      </w:pPr>
    </w:p>
    <w:p w14:paraId="551AF4F8">
      <w:pPr>
        <w:pageBreakBefore w:val="0"/>
        <w:spacing w:line="360" w:lineRule="auto"/>
        <w:jc w:val="center"/>
        <w:rPr>
          <w:rFonts w:ascii="Times New Roman" w:hAnsi="Times New Roman" w:eastAsia="宋体" w:cs="宋体"/>
          <w:color w:val="auto"/>
          <w:szCs w:val="21"/>
          <w:highlight w:val="none"/>
        </w:rPr>
      </w:pPr>
    </w:p>
    <w:p w14:paraId="71E6164B">
      <w:pPr>
        <w:pageBreakBefore w:val="0"/>
        <w:spacing w:line="360" w:lineRule="auto"/>
        <w:jc w:val="center"/>
        <w:rPr>
          <w:rFonts w:ascii="Times New Roman" w:hAnsi="Times New Roman" w:eastAsia="宋体" w:cs="宋体"/>
          <w:color w:val="auto"/>
          <w:szCs w:val="21"/>
          <w:highlight w:val="none"/>
        </w:rPr>
      </w:pPr>
    </w:p>
    <w:p w14:paraId="0987B45B">
      <w:pPr>
        <w:pageBreakBefore w:val="0"/>
        <w:spacing w:line="360" w:lineRule="auto"/>
        <w:jc w:val="center"/>
        <w:rPr>
          <w:rFonts w:ascii="Times New Roman" w:hAnsi="Times New Roman" w:eastAsia="宋体" w:cs="宋体"/>
          <w:color w:val="auto"/>
          <w:szCs w:val="21"/>
          <w:highlight w:val="none"/>
        </w:rPr>
      </w:pPr>
    </w:p>
    <w:p w14:paraId="534A4BC6">
      <w:pPr>
        <w:pageBreakBefore w:val="0"/>
        <w:spacing w:line="360" w:lineRule="auto"/>
        <w:jc w:val="center"/>
        <w:rPr>
          <w:rFonts w:ascii="Times New Roman" w:hAnsi="Times New Roman" w:eastAsia="宋体" w:cs="宋体"/>
          <w:color w:val="auto"/>
          <w:szCs w:val="21"/>
          <w:highlight w:val="none"/>
        </w:rPr>
      </w:pPr>
    </w:p>
    <w:p w14:paraId="687AF008">
      <w:pPr>
        <w:pageBreakBefore w:val="0"/>
        <w:spacing w:line="360" w:lineRule="auto"/>
        <w:jc w:val="center"/>
        <w:rPr>
          <w:rFonts w:ascii="Times New Roman" w:hAnsi="Times New Roman" w:eastAsia="宋体" w:cs="宋体"/>
          <w:color w:val="auto"/>
          <w:szCs w:val="21"/>
          <w:highlight w:val="none"/>
        </w:rPr>
      </w:pPr>
    </w:p>
    <w:p w14:paraId="44A5F29A">
      <w:pPr>
        <w:pageBreakBefore w:val="0"/>
        <w:spacing w:line="360" w:lineRule="auto"/>
        <w:jc w:val="center"/>
        <w:rPr>
          <w:rFonts w:ascii="Times New Roman" w:hAnsi="Times New Roman" w:eastAsia="宋体" w:cs="宋体"/>
          <w:color w:val="auto"/>
          <w:szCs w:val="21"/>
          <w:highlight w:val="none"/>
        </w:rPr>
      </w:pPr>
    </w:p>
    <w:p w14:paraId="4EEE7192">
      <w:pPr>
        <w:pageBreakBefore w:val="0"/>
        <w:spacing w:line="360" w:lineRule="auto"/>
        <w:jc w:val="center"/>
        <w:rPr>
          <w:rFonts w:ascii="Times New Roman" w:hAnsi="Times New Roman" w:eastAsia="宋体" w:cs="宋体"/>
          <w:color w:val="auto"/>
          <w:szCs w:val="21"/>
          <w:highlight w:val="none"/>
        </w:rPr>
      </w:pPr>
    </w:p>
    <w:p w14:paraId="605DAAC3">
      <w:pPr>
        <w:pageBreakBefore w:val="0"/>
        <w:spacing w:line="360" w:lineRule="auto"/>
        <w:jc w:val="center"/>
        <w:rPr>
          <w:rFonts w:ascii="Times New Roman" w:hAnsi="Times New Roman" w:eastAsia="宋体" w:cs="宋体"/>
          <w:color w:val="auto"/>
          <w:szCs w:val="21"/>
          <w:highlight w:val="none"/>
        </w:rPr>
      </w:pPr>
    </w:p>
    <w:bookmarkEnd w:id="57"/>
    <w:p w14:paraId="6D928C63">
      <w:pPr>
        <w:pageBreakBefore w:val="0"/>
        <w:spacing w:line="360" w:lineRule="auto"/>
        <w:jc w:val="center"/>
        <w:rPr>
          <w:rFonts w:hint="eastAsia" w:ascii="Times New Roman" w:hAnsi="Times New Roman" w:eastAsia="宋体"/>
          <w:b/>
          <w:color w:val="auto"/>
          <w:sz w:val="30"/>
          <w:szCs w:val="30"/>
          <w:highlight w:val="none"/>
        </w:rPr>
        <w:sectPr>
          <w:pgSz w:w="11906" w:h="16838"/>
          <w:pgMar w:top="1440" w:right="1800" w:bottom="1440" w:left="1800" w:header="851" w:footer="992" w:gutter="0"/>
          <w:cols w:space="720" w:num="1"/>
          <w:docGrid w:linePitch="360" w:charSpace="0"/>
        </w:sectPr>
      </w:pPr>
    </w:p>
    <w:p w14:paraId="59F41067">
      <w:pPr>
        <w:pStyle w:val="2"/>
        <w:pageBreakBefore w:val="0"/>
        <w:spacing w:before="0" w:after="0" w:line="360" w:lineRule="auto"/>
        <w:jc w:val="center"/>
        <w:rPr>
          <w:rFonts w:ascii="Times New Roman" w:hAnsi="Times New Roman" w:eastAsia="宋体"/>
          <w:color w:val="auto"/>
          <w:sz w:val="36"/>
          <w:szCs w:val="36"/>
          <w:highlight w:val="none"/>
        </w:rPr>
      </w:pPr>
      <w:bookmarkStart w:id="58" w:name="_Toc22054"/>
      <w:r>
        <w:rPr>
          <w:rFonts w:hint="eastAsia" w:ascii="Times New Roman" w:hAnsi="Times New Roman" w:eastAsia="宋体"/>
          <w:color w:val="auto"/>
          <w:sz w:val="36"/>
          <w:szCs w:val="36"/>
          <w:highlight w:val="none"/>
        </w:rPr>
        <w:t>第四章</w:t>
      </w:r>
      <w:r>
        <w:rPr>
          <w:rFonts w:hint="eastAsia" w:ascii="Times New Roman" w:hAnsi="Times New Roman" w:eastAsia="宋体"/>
          <w:color w:val="auto"/>
          <w:sz w:val="36"/>
          <w:szCs w:val="36"/>
          <w:highlight w:val="none"/>
          <w:lang w:val="en-US" w:eastAsia="zh-CN"/>
        </w:rPr>
        <w:t xml:space="preserve"> </w:t>
      </w:r>
      <w:r>
        <w:rPr>
          <w:rFonts w:hint="eastAsia" w:ascii="Times New Roman" w:hAnsi="Times New Roman" w:eastAsia="宋体"/>
          <w:color w:val="auto"/>
          <w:sz w:val="36"/>
          <w:szCs w:val="36"/>
          <w:highlight w:val="none"/>
        </w:rPr>
        <w:t>项目需求</w:t>
      </w:r>
      <w:bookmarkEnd w:id="58"/>
    </w:p>
    <w:p w14:paraId="3CA78EE0">
      <w:pPr>
        <w:pageBreakBefore w:val="0"/>
        <w:spacing w:line="360" w:lineRule="auto"/>
        <w:rPr>
          <w:rFonts w:ascii="Times New Roman" w:hAnsi="Times New Roman" w:eastAsia="宋体"/>
          <w:b/>
          <w:bCs/>
          <w:color w:val="auto"/>
          <w:szCs w:val="21"/>
          <w:highlight w:val="none"/>
        </w:rPr>
      </w:pPr>
      <w:bookmarkStart w:id="59" w:name="_Toc319408306"/>
      <w:r>
        <w:rPr>
          <w:rFonts w:hint="eastAsia" w:ascii="Times New Roman" w:hAnsi="Times New Roman" w:eastAsia="宋体"/>
          <w:b/>
          <w:bCs/>
          <w:color w:val="auto"/>
          <w:szCs w:val="21"/>
          <w:highlight w:val="none"/>
        </w:rPr>
        <w:t>注：本章内容里斜体且有下划线部分为实质性要求和条件，投标文件不满足的，视为无效投标处理。请各供应商制作电子投标文件时，将实质性响应的内容在政府采购管理交易系统（苏采云）</w:t>
      </w:r>
      <w:r>
        <w:rPr>
          <w:rFonts w:ascii="Times New Roman" w:hAnsi="Times New Roman" w:eastAsia="宋体"/>
          <w:b/>
          <w:bCs/>
          <w:color w:val="auto"/>
          <w:szCs w:val="21"/>
          <w:highlight w:val="none"/>
        </w:rPr>
        <w:t>“</w:t>
      </w:r>
      <w:r>
        <w:rPr>
          <w:rFonts w:hint="eastAsia" w:ascii="Times New Roman" w:hAnsi="Times New Roman" w:eastAsia="宋体"/>
          <w:b/>
          <w:bCs/>
          <w:color w:val="auto"/>
          <w:szCs w:val="21"/>
          <w:highlight w:val="none"/>
        </w:rPr>
        <w:t>符合证明文件格式</w:t>
      </w:r>
      <w:r>
        <w:rPr>
          <w:rFonts w:ascii="Times New Roman" w:hAnsi="Times New Roman" w:eastAsia="宋体"/>
          <w:b/>
          <w:bCs/>
          <w:color w:val="auto"/>
          <w:szCs w:val="21"/>
          <w:highlight w:val="none"/>
        </w:rPr>
        <w:t>”</w:t>
      </w:r>
      <w:r>
        <w:rPr>
          <w:rFonts w:hint="eastAsia" w:ascii="Times New Roman" w:hAnsi="Times New Roman" w:eastAsia="宋体"/>
          <w:b/>
          <w:bCs/>
          <w:color w:val="auto"/>
          <w:szCs w:val="21"/>
          <w:highlight w:val="none"/>
        </w:rPr>
        <w:t>中准确填写或上传。</w:t>
      </w:r>
      <w:bookmarkEnd w:id="59"/>
    </w:p>
    <w:p w14:paraId="224F1F10">
      <w:pPr>
        <w:pageBreakBefore w:val="0"/>
        <w:pBdr>
          <w:top w:val="none" w:color="000000" w:sz="0" w:space="0"/>
          <w:left w:val="none" w:color="000000" w:sz="0" w:space="0"/>
          <w:bottom w:val="none" w:color="000000" w:sz="0" w:space="0"/>
          <w:right w:val="none" w:color="000000" w:sz="0" w:space="0"/>
        </w:pBdr>
        <w:spacing w:line="360" w:lineRule="auto"/>
        <w:ind w:left="0" w:right="0" w:firstLine="422"/>
        <w:jc w:val="both"/>
        <w:rPr>
          <w:rFonts w:hint="default" w:ascii="Times New Roman" w:hAnsi="Times New Roman" w:eastAsia="宋体" w:cs="宋体"/>
          <w:b/>
          <w:color w:val="auto"/>
          <w:sz w:val="21"/>
          <w:szCs w:val="21"/>
          <w:highlight w:val="none"/>
          <w:lang w:val="en-US" w:eastAsia="zh-CN"/>
        </w:rPr>
      </w:pPr>
      <w:bookmarkStart w:id="60" w:name="_Toc27621"/>
      <w:bookmarkStart w:id="61" w:name="_Toc55204181"/>
      <w:r>
        <w:rPr>
          <w:rFonts w:hint="eastAsia" w:ascii="Times New Roman" w:hAnsi="Times New Roman" w:eastAsia="宋体" w:cs="宋体"/>
          <w:b/>
          <w:color w:val="auto"/>
          <w:sz w:val="21"/>
          <w:szCs w:val="21"/>
          <w:highlight w:val="none"/>
          <w:lang w:val="en-US" w:eastAsia="zh-CN"/>
        </w:rPr>
        <w:t>一、采购标的清单</w:t>
      </w: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8"/>
        <w:gridCol w:w="3291"/>
        <w:gridCol w:w="2852"/>
      </w:tblGrid>
      <w:tr w14:paraId="7377A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28" w:type="dxa"/>
            <w:noWrap w:val="0"/>
            <w:vAlign w:val="center"/>
          </w:tcPr>
          <w:p w14:paraId="1BFAD21B">
            <w:pPr>
              <w:keepNext w:val="0"/>
              <w:keepLines w:val="0"/>
              <w:pageBreakBefore w:val="0"/>
              <w:widowControl w:val="0"/>
              <w:pBdr>
                <w:top w:val="none" w:color="000000" w:sz="0" w:space="0"/>
                <w:left w:val="none" w:color="000000" w:sz="0" w:space="0"/>
                <w:bottom w:val="none" w:color="000000" w:sz="0" w:space="0"/>
                <w:right w:val="none" w:color="000000" w:sz="0" w:space="0"/>
              </w:pBdr>
              <w:spacing w:line="360" w:lineRule="auto"/>
              <w:ind w:left="0" w:right="0" w:firstLine="0"/>
              <w:jc w:val="center"/>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序号</w:t>
            </w:r>
          </w:p>
        </w:tc>
        <w:tc>
          <w:tcPr>
            <w:tcW w:w="3291" w:type="dxa"/>
            <w:noWrap w:val="0"/>
            <w:vAlign w:val="center"/>
          </w:tcPr>
          <w:p w14:paraId="7CF9F5B2">
            <w:pPr>
              <w:keepNext w:val="0"/>
              <w:keepLines w:val="0"/>
              <w:pageBreakBefore w:val="0"/>
              <w:widowControl w:val="0"/>
              <w:pBdr>
                <w:top w:val="none" w:color="000000" w:sz="0" w:space="0"/>
                <w:left w:val="none" w:color="000000" w:sz="0" w:space="0"/>
                <w:bottom w:val="none" w:color="000000" w:sz="0" w:space="0"/>
                <w:right w:val="none" w:color="000000" w:sz="0" w:space="0"/>
              </w:pBdr>
              <w:spacing w:line="360" w:lineRule="auto"/>
              <w:ind w:left="0" w:right="0" w:firstLine="0"/>
              <w:jc w:val="center"/>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采购</w:t>
            </w:r>
            <w:r>
              <w:rPr>
                <w:rFonts w:ascii="Times New Roman" w:hAnsi="Times New Roman" w:eastAsia="宋体" w:cs="宋体"/>
                <w:color w:val="auto"/>
                <w:sz w:val="21"/>
                <w:szCs w:val="21"/>
                <w:highlight w:val="none"/>
              </w:rPr>
              <w:t>标的</w:t>
            </w:r>
          </w:p>
        </w:tc>
        <w:tc>
          <w:tcPr>
            <w:tcW w:w="2852" w:type="dxa"/>
            <w:noWrap w:val="0"/>
            <w:vAlign w:val="center"/>
          </w:tcPr>
          <w:p w14:paraId="56947C75">
            <w:pPr>
              <w:keepNext w:val="0"/>
              <w:keepLines w:val="0"/>
              <w:pageBreakBefore w:val="0"/>
              <w:widowControl w:val="0"/>
              <w:pBdr>
                <w:top w:val="none" w:color="000000" w:sz="0" w:space="0"/>
                <w:left w:val="none" w:color="000000" w:sz="0" w:space="0"/>
                <w:bottom w:val="none" w:color="000000" w:sz="0" w:space="0"/>
                <w:right w:val="none" w:color="000000" w:sz="0" w:space="0"/>
              </w:pBdr>
              <w:spacing w:line="360" w:lineRule="auto"/>
              <w:ind w:left="0" w:right="0" w:firstLine="0"/>
              <w:jc w:val="center"/>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对应中</w:t>
            </w:r>
            <w:r>
              <w:rPr>
                <w:rFonts w:ascii="Times New Roman" w:hAnsi="Times New Roman" w:eastAsia="宋体" w:cs="宋体"/>
                <w:color w:val="auto"/>
                <w:sz w:val="21"/>
                <w:szCs w:val="21"/>
                <w:highlight w:val="none"/>
              </w:rPr>
              <w:t>小企业划分标准所属行业</w:t>
            </w:r>
          </w:p>
        </w:tc>
      </w:tr>
      <w:tr w14:paraId="6BBF8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1" w:hRule="atLeast"/>
          <w:jc w:val="center"/>
        </w:trPr>
        <w:tc>
          <w:tcPr>
            <w:tcW w:w="928" w:type="dxa"/>
            <w:noWrap w:val="0"/>
            <w:vAlign w:val="center"/>
          </w:tcPr>
          <w:p w14:paraId="790E73DD">
            <w:pPr>
              <w:keepNext w:val="0"/>
              <w:keepLines w:val="0"/>
              <w:pageBreakBefore w:val="0"/>
              <w:widowControl w:val="0"/>
              <w:pBdr>
                <w:top w:val="none" w:color="000000" w:sz="0" w:space="0"/>
                <w:left w:val="none" w:color="000000" w:sz="0" w:space="0"/>
                <w:bottom w:val="none" w:color="000000" w:sz="0" w:space="0"/>
                <w:right w:val="none" w:color="000000" w:sz="0" w:space="0"/>
              </w:pBdr>
              <w:spacing w:line="360" w:lineRule="auto"/>
              <w:ind w:left="0" w:right="0" w:firstLine="0"/>
              <w:jc w:val="center"/>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1</w:t>
            </w:r>
          </w:p>
        </w:tc>
        <w:tc>
          <w:tcPr>
            <w:tcW w:w="3291" w:type="dxa"/>
            <w:noWrap w:val="0"/>
            <w:vAlign w:val="top"/>
          </w:tcPr>
          <w:p w14:paraId="7025333D">
            <w:pPr>
              <w:keepNext w:val="0"/>
              <w:keepLines w:val="0"/>
              <w:pageBreakBefore w:val="0"/>
              <w:widowControl w:val="0"/>
              <w:pBdr>
                <w:top w:val="none" w:color="000000" w:sz="0" w:space="0"/>
                <w:left w:val="none" w:color="000000" w:sz="0" w:space="0"/>
                <w:bottom w:val="none" w:color="000000" w:sz="0" w:space="0"/>
                <w:right w:val="none" w:color="000000" w:sz="0" w:space="0"/>
              </w:pBdr>
              <w:spacing w:line="360" w:lineRule="auto"/>
              <w:ind w:left="0" w:right="0" w:firstLine="0"/>
              <w:jc w:val="center"/>
              <w:rPr>
                <w:rFonts w:ascii="Times New Roman" w:hAnsi="Times New Roman" w:eastAsia="宋体" w:cs="宋体"/>
                <w:color w:val="auto"/>
                <w:sz w:val="21"/>
                <w:szCs w:val="21"/>
                <w:highlight w:val="none"/>
              </w:rPr>
            </w:pPr>
            <w:r>
              <w:rPr>
                <w:rFonts w:hint="eastAsia" w:ascii="Times New Roman" w:hAnsi="Times New Roman" w:cs="宋体"/>
                <w:color w:val="auto"/>
                <w:sz w:val="21"/>
                <w:szCs w:val="21"/>
                <w:highlight w:val="none"/>
                <w:lang w:eastAsia="zh-CN"/>
              </w:rPr>
              <w:t>宝应县2026年度国土变更调查及日常国土变更调查工作</w:t>
            </w:r>
          </w:p>
        </w:tc>
        <w:tc>
          <w:tcPr>
            <w:tcW w:w="2852" w:type="dxa"/>
            <w:noWrap w:val="0"/>
            <w:vAlign w:val="center"/>
          </w:tcPr>
          <w:p w14:paraId="33ED9AE8">
            <w:pPr>
              <w:keepNext w:val="0"/>
              <w:keepLines w:val="0"/>
              <w:pageBreakBefore w:val="0"/>
              <w:widowControl w:val="0"/>
              <w:pBdr>
                <w:top w:val="none" w:color="000000" w:sz="0" w:space="0"/>
                <w:left w:val="none" w:color="000000" w:sz="0" w:space="0"/>
                <w:bottom w:val="none" w:color="000000" w:sz="0" w:space="0"/>
                <w:right w:val="none" w:color="000000" w:sz="0" w:space="0"/>
              </w:pBdr>
              <w:spacing w:line="360" w:lineRule="auto"/>
              <w:ind w:left="0" w:right="0" w:firstLine="0"/>
              <w:jc w:val="center"/>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lang w:eastAsia="zh-CN"/>
              </w:rPr>
              <w:t>其他未列明行业</w:t>
            </w:r>
          </w:p>
        </w:tc>
      </w:tr>
      <w:bookmarkEnd w:id="60"/>
    </w:tbl>
    <w:p w14:paraId="36FCB1F0">
      <w:pPr>
        <w:pageBreakBefore w:val="0"/>
        <w:spacing w:line="360" w:lineRule="auto"/>
        <w:rPr>
          <w:rFonts w:hint="eastAsia" w:ascii="Times New Roman" w:hAnsi="Times New Roman" w:eastAsia="宋体" w:cs="宋体"/>
          <w:b/>
          <w:color w:val="auto"/>
          <w:szCs w:val="21"/>
          <w:highlight w:val="none"/>
          <w:lang w:val="en-US" w:eastAsia="zh-CN"/>
        </w:rPr>
      </w:pPr>
    </w:p>
    <w:p w14:paraId="733F0BCB">
      <w:pPr>
        <w:keepNext w:val="0"/>
        <w:keepLines w:val="0"/>
        <w:pageBreakBefore w:val="0"/>
        <w:widowControl w:val="0"/>
        <w:spacing w:line="360" w:lineRule="auto"/>
        <w:ind w:firstLine="422"/>
        <w:rPr>
          <w:rFonts w:hint="eastAsia" w:ascii="宋体" w:hAnsi="宋体" w:eastAsia="宋体" w:cs="宋体"/>
          <w:b/>
          <w:bCs/>
          <w:sz w:val="21"/>
          <w:szCs w:val="21"/>
          <w:highlight w:val="none"/>
          <w:lang w:bidi="zh-TW"/>
        </w:rPr>
      </w:pPr>
      <w:r>
        <w:rPr>
          <w:rFonts w:hint="eastAsia" w:ascii="宋体" w:hAnsi="宋体" w:eastAsia="宋体" w:cs="宋体"/>
          <w:b/>
          <w:bCs/>
          <w:sz w:val="21"/>
          <w:szCs w:val="21"/>
          <w:highlight w:val="none"/>
          <w:lang w:val="en-US" w:eastAsia="zh-CN" w:bidi="zh-TW"/>
        </w:rPr>
        <w:t>二</w:t>
      </w:r>
      <w:r>
        <w:rPr>
          <w:rFonts w:hint="eastAsia" w:ascii="宋体" w:hAnsi="宋体" w:eastAsia="宋体" w:cs="宋体"/>
          <w:b/>
          <w:bCs/>
          <w:sz w:val="21"/>
          <w:szCs w:val="21"/>
          <w:highlight w:val="none"/>
          <w:lang w:bidi="zh-TW"/>
        </w:rPr>
        <w:t>、项目简介</w:t>
      </w:r>
    </w:p>
    <w:p w14:paraId="119C62D2">
      <w:pPr>
        <w:pStyle w:val="205"/>
        <w:spacing w:line="480" w:lineRule="exact"/>
        <w:ind w:firstLine="420" w:firstLineChars="200"/>
        <w:jc w:val="both"/>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（一）项目名称</w:t>
      </w:r>
      <w:r>
        <w:rPr>
          <w:rFonts w:hint="eastAsia" w:ascii="宋体" w:hAnsi="宋体" w:eastAsia="宋体" w:cs="宋体"/>
          <w:b w:val="0"/>
          <w:bCs w:val="0"/>
          <w:color w:val="auto"/>
          <w:sz w:val="21"/>
          <w:szCs w:val="21"/>
          <w:lang w:eastAsia="zh-CN"/>
        </w:rPr>
        <w:t>：</w:t>
      </w:r>
      <w:r>
        <w:rPr>
          <w:rFonts w:hint="eastAsia" w:ascii="宋体" w:hAnsi="宋体" w:eastAsia="宋体" w:cs="宋体"/>
          <w:b w:val="0"/>
          <w:bCs w:val="0"/>
          <w:color w:val="auto"/>
          <w:sz w:val="21"/>
          <w:szCs w:val="21"/>
          <w:lang w:val="en-US" w:eastAsia="zh-CN"/>
        </w:rPr>
        <w:t>宝应县2026年年度国土变更调查和日常国土变更调查工作项目。</w:t>
      </w:r>
    </w:p>
    <w:p w14:paraId="485DE2BE">
      <w:pPr>
        <w:pStyle w:val="205"/>
        <w:pageBreakBefore w:val="0"/>
        <w:widowControl w:val="0"/>
        <w:kinsoku/>
        <w:wordWrap/>
        <w:overflowPunct/>
        <w:topLinePunct w:val="0"/>
        <w:autoSpaceDE/>
        <w:autoSpaceDN/>
        <w:bidi w:val="0"/>
        <w:adjustRightInd/>
        <w:snapToGrid/>
        <w:spacing w:line="480" w:lineRule="exact"/>
        <w:ind w:firstLine="420" w:firstLineChars="200"/>
        <w:jc w:val="both"/>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rPr>
        <w:t>（二）项目范围：</w:t>
      </w:r>
      <w:r>
        <w:rPr>
          <w:rFonts w:hint="eastAsia" w:ascii="宋体" w:hAnsi="宋体" w:eastAsia="宋体" w:cs="宋体"/>
          <w:b w:val="0"/>
          <w:bCs w:val="0"/>
          <w:color w:val="auto"/>
          <w:sz w:val="21"/>
          <w:szCs w:val="21"/>
          <w:lang w:val="en-US" w:eastAsia="zh-CN"/>
        </w:rPr>
        <w:t>调查范围根据工作需要为宝应县行政区划范围。</w:t>
      </w:r>
    </w:p>
    <w:p w14:paraId="4B5B3E26">
      <w:pPr>
        <w:pageBreakBefore w:val="0"/>
        <w:widowControl w:val="0"/>
        <w:numPr>
          <w:ilvl w:val="0"/>
          <w:numId w:val="0"/>
        </w:numPr>
        <w:kinsoku/>
        <w:wordWrap/>
        <w:overflowPunct/>
        <w:topLinePunct w:val="0"/>
        <w:autoSpaceDE/>
        <w:autoSpaceDN/>
        <w:bidi w:val="0"/>
        <w:adjustRightInd/>
        <w:snapToGrid/>
        <w:spacing w:line="480" w:lineRule="exact"/>
        <w:ind w:firstLine="420" w:firstLineChars="200"/>
        <w:jc w:val="both"/>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val="en-US" w:eastAsia="zh-CN" w:bidi="ar-SA"/>
        </w:rPr>
        <w:t>（三）项目目标：</w:t>
      </w:r>
      <w:r>
        <w:rPr>
          <w:rFonts w:hint="eastAsia" w:ascii="宋体" w:hAnsi="宋体" w:eastAsia="宋体" w:cs="宋体"/>
          <w:b w:val="0"/>
          <w:bCs w:val="0"/>
          <w:color w:val="auto"/>
          <w:sz w:val="21"/>
          <w:szCs w:val="21"/>
        </w:rPr>
        <w:t>按照第三次国土调查、年度国土变更调查技术标准要求，在</w:t>
      </w:r>
      <w:r>
        <w:rPr>
          <w:rFonts w:hint="eastAsia" w:ascii="宋体" w:hAnsi="宋体" w:eastAsia="宋体" w:cs="宋体"/>
          <w:b w:val="0"/>
          <w:bCs w:val="0"/>
          <w:color w:val="auto"/>
          <w:sz w:val="21"/>
          <w:szCs w:val="21"/>
          <w:lang w:val="en-US" w:eastAsia="zh-CN"/>
        </w:rPr>
        <w:t>宝应县</w:t>
      </w:r>
      <w:r>
        <w:rPr>
          <w:rFonts w:hint="eastAsia" w:ascii="宋体" w:hAnsi="宋体" w:eastAsia="宋体" w:cs="宋体"/>
          <w:b w:val="0"/>
          <w:bCs w:val="0"/>
          <w:color w:val="auto"/>
          <w:sz w:val="21"/>
          <w:szCs w:val="21"/>
        </w:rPr>
        <w:t>日常变更工作基础上，深入开展国土变更机制研究，进一步加强理论探索和实践论证，不断深化与自然资源各项管理以及年度变更调查、专项调查、专题监测在内的调查监测相关工作的有效衔接，研究建立契合管理、科学高效的国土变更调查体制机制。</w:t>
      </w:r>
    </w:p>
    <w:p w14:paraId="1BB0B499">
      <w:pPr>
        <w:pageBreakBefore w:val="0"/>
        <w:widowControl w:val="0"/>
        <w:numPr>
          <w:ilvl w:val="0"/>
          <w:numId w:val="0"/>
        </w:numPr>
        <w:kinsoku/>
        <w:wordWrap/>
        <w:overflowPunct/>
        <w:topLinePunct w:val="0"/>
        <w:autoSpaceDE/>
        <w:autoSpaceDN/>
        <w:bidi w:val="0"/>
        <w:adjustRightInd/>
        <w:snapToGrid/>
        <w:spacing w:line="480" w:lineRule="exact"/>
        <w:textAlignment w:val="auto"/>
        <w:rPr>
          <w:rFonts w:hint="eastAsia" w:ascii="宋体" w:hAnsi="宋体" w:eastAsia="宋体" w:cs="宋体"/>
          <w:b w:val="0"/>
          <w:bCs w:val="0"/>
          <w:sz w:val="21"/>
          <w:szCs w:val="21"/>
        </w:rPr>
      </w:pPr>
      <w:r>
        <w:rPr>
          <w:rFonts w:hint="eastAsia" w:ascii="宋体" w:hAnsi="宋体" w:eastAsia="宋体" w:cs="宋体"/>
          <w:b w:val="0"/>
          <w:bCs w:val="0"/>
          <w:color w:val="auto"/>
          <w:sz w:val="21"/>
          <w:szCs w:val="21"/>
        </w:rPr>
        <w:t>项目重点探索国土变更调查路径，研究自然资源监测与各项自然资源管理业务的关系，形成协调统一、有机衔接的业务工作流程。各类监测成果经实地调查举证后，支撑国土变更调查工作，同时满足耕地保护、国土空间规划监督实施、用途管制、权益管理、确权登记、生态修复、执法监察、林草湿地保护等自然资源管理和生态文明建设需要。</w:t>
      </w:r>
    </w:p>
    <w:p w14:paraId="1FE965F5">
      <w:pPr>
        <w:pageBreakBefore w:val="0"/>
        <w:widowControl w:val="0"/>
        <w:numPr>
          <w:ilvl w:val="0"/>
          <w:numId w:val="0"/>
        </w:numPr>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eastAsia="zh-CN"/>
        </w:rPr>
        <w:t>（</w:t>
      </w:r>
      <w:r>
        <w:rPr>
          <w:rFonts w:hint="eastAsia" w:ascii="宋体" w:hAnsi="宋体" w:eastAsia="宋体" w:cs="宋体"/>
          <w:b w:val="0"/>
          <w:bCs w:val="0"/>
          <w:color w:val="auto"/>
          <w:sz w:val="21"/>
          <w:szCs w:val="21"/>
          <w:lang w:val="en-US" w:eastAsia="zh-CN"/>
        </w:rPr>
        <w:t>四</w:t>
      </w:r>
      <w:r>
        <w:rPr>
          <w:rFonts w:hint="eastAsia" w:ascii="宋体" w:hAnsi="宋体" w:eastAsia="宋体" w:cs="宋体"/>
          <w:b w:val="0"/>
          <w:bCs w:val="0"/>
          <w:color w:val="auto"/>
          <w:sz w:val="21"/>
          <w:szCs w:val="21"/>
          <w:lang w:eastAsia="zh-CN"/>
        </w:rPr>
        <w:t>）</w:t>
      </w:r>
      <w:r>
        <w:rPr>
          <w:rFonts w:hint="eastAsia" w:ascii="宋体" w:hAnsi="宋体" w:eastAsia="宋体" w:cs="宋体"/>
          <w:b w:val="0"/>
          <w:bCs w:val="0"/>
          <w:color w:val="auto"/>
          <w:sz w:val="21"/>
          <w:szCs w:val="21"/>
        </w:rPr>
        <w:t>项目任务：</w:t>
      </w:r>
    </w:p>
    <w:p w14:paraId="623CF332">
      <w:pPr>
        <w:pageBreakBefore w:val="0"/>
        <w:widowControl w:val="0"/>
        <w:numPr>
          <w:ilvl w:val="0"/>
          <w:numId w:val="0"/>
        </w:numPr>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b w:val="0"/>
          <w:bCs w:val="0"/>
          <w:color w:val="auto"/>
          <w:kern w:val="0"/>
          <w:sz w:val="21"/>
          <w:szCs w:val="21"/>
          <w:lang w:val="en-US" w:eastAsia="zh-CN" w:bidi="ar-SA"/>
        </w:rPr>
      </w:pPr>
      <w:r>
        <w:rPr>
          <w:rFonts w:hint="eastAsia" w:ascii="宋体" w:hAnsi="宋体" w:eastAsia="宋体" w:cs="宋体"/>
          <w:b w:val="0"/>
          <w:bCs w:val="0"/>
          <w:color w:val="auto"/>
          <w:kern w:val="0"/>
          <w:sz w:val="21"/>
          <w:szCs w:val="21"/>
          <w:lang w:val="en-US" w:eastAsia="zh-CN" w:bidi="ar-SA"/>
        </w:rPr>
        <w:t>1.2026年年度国土变更调查工作任务</w:t>
      </w:r>
    </w:p>
    <w:p w14:paraId="574AC212">
      <w:pPr>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b w:val="0"/>
          <w:bCs w:val="0"/>
          <w:color w:val="auto"/>
          <w:kern w:val="0"/>
          <w:sz w:val="21"/>
          <w:szCs w:val="21"/>
          <w:lang w:val="en-US" w:eastAsia="zh-CN" w:bidi="ar-SA"/>
        </w:rPr>
      </w:pPr>
      <w:r>
        <w:rPr>
          <w:rFonts w:hint="eastAsia" w:ascii="宋体" w:hAnsi="宋体" w:eastAsia="宋体" w:cs="宋体"/>
          <w:b w:val="0"/>
          <w:bCs w:val="0"/>
          <w:color w:val="auto"/>
          <w:kern w:val="0"/>
          <w:sz w:val="21"/>
          <w:szCs w:val="21"/>
          <w:lang w:val="en-US" w:eastAsia="zh-CN" w:bidi="ar-SA"/>
        </w:rPr>
        <w:t>按照部、省统一部署，以2026年12月31日为标准时点，统筹现有资料，利用2025年度国土变更调查结果，结合有关监测及相关自然资源管理信息，套合国家下发的影像提取国土利用变化信息，制作外业调查底图，并开展实地调查举证，全面掌握2026年度的地类、面积、权属及相关图层属性信息的变化情况，更新县级国土调查数据库，形成年度变更增量包，逐级报省级和国家级核查。</w:t>
      </w:r>
    </w:p>
    <w:p w14:paraId="6A03FE82">
      <w:pPr>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b w:val="0"/>
          <w:bCs w:val="0"/>
          <w:color w:val="auto"/>
          <w:kern w:val="0"/>
          <w:sz w:val="21"/>
          <w:szCs w:val="21"/>
          <w:lang w:val="en-US" w:eastAsia="zh-CN" w:bidi="ar-SA"/>
        </w:rPr>
      </w:pPr>
      <w:r>
        <w:rPr>
          <w:rFonts w:hint="eastAsia" w:ascii="宋体" w:hAnsi="宋体" w:eastAsia="宋体" w:cs="宋体"/>
          <w:b w:val="0"/>
          <w:bCs w:val="0"/>
          <w:color w:val="auto"/>
          <w:kern w:val="0"/>
          <w:sz w:val="21"/>
          <w:szCs w:val="21"/>
          <w:lang w:val="en-US" w:eastAsia="zh-CN" w:bidi="ar-SA"/>
        </w:rPr>
        <w:t>按照实地现状认定地类为原则，查清工作底图上每一块变化图斑的地类、面积、属性、权属等实际情况；对需要举证的图斑，逐一实地拍照举证，通过“国土调查云”平台及时在线提交。对于日常变更地类与年度最新遥感影像特征一致的，或者年度最新遥感影像特征无法明显否认日常变更地类并提供相应说明的，可直接按照年度变更调查要求生成增量数据，无需重复实地举证；不一致或未提供说明的，需再次实地调查举证。</w:t>
      </w:r>
    </w:p>
    <w:p w14:paraId="3647B67E">
      <w:pPr>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b w:val="0"/>
          <w:bCs w:val="0"/>
          <w:color w:val="auto"/>
          <w:kern w:val="0"/>
          <w:sz w:val="21"/>
          <w:szCs w:val="21"/>
          <w:lang w:val="en-US" w:eastAsia="zh-CN" w:bidi="ar-SA"/>
        </w:rPr>
      </w:pPr>
      <w:r>
        <w:rPr>
          <w:rFonts w:hint="eastAsia" w:ascii="宋体" w:hAnsi="宋体" w:eastAsia="宋体" w:cs="宋体"/>
          <w:b w:val="0"/>
          <w:bCs w:val="0"/>
          <w:color w:val="auto"/>
          <w:kern w:val="0"/>
          <w:sz w:val="21"/>
          <w:szCs w:val="21"/>
          <w:lang w:val="en-US" w:eastAsia="zh-CN" w:bidi="ar-SA"/>
        </w:rPr>
        <w:t>按照年度变更调查要求，结合地类对接成果，做好涉及林地、草地、湿地变化图斑的实地举证和地类认定，并及时根据上级自然资源主管部门审核结果进行整改。对已完成共同认定且最新遥感影像显示无明显变化的，无需重复实地举证；其他均应由自然资源和林草主管部门共同开展实地举证、认定地类。</w:t>
      </w:r>
    </w:p>
    <w:p w14:paraId="7830BD83">
      <w:pPr>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b w:val="0"/>
          <w:bCs w:val="0"/>
          <w:color w:val="auto"/>
          <w:kern w:val="0"/>
          <w:sz w:val="21"/>
          <w:szCs w:val="21"/>
          <w:lang w:val="en-US" w:eastAsia="zh-CN" w:bidi="ar-SA"/>
        </w:rPr>
      </w:pPr>
      <w:r>
        <w:rPr>
          <w:rFonts w:hint="eastAsia" w:ascii="宋体" w:hAnsi="宋体" w:eastAsia="宋体" w:cs="宋体"/>
          <w:b w:val="0"/>
          <w:bCs w:val="0"/>
          <w:color w:val="auto"/>
          <w:kern w:val="0"/>
          <w:sz w:val="21"/>
          <w:szCs w:val="21"/>
          <w:lang w:val="en-US" w:eastAsia="zh-CN" w:bidi="ar-SA"/>
        </w:rPr>
        <w:t>2.2026年日常国土变更调查工作任务</w:t>
      </w:r>
    </w:p>
    <w:p w14:paraId="5D8AF8C7">
      <w:pPr>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b w:val="0"/>
          <w:bCs w:val="0"/>
          <w:color w:val="auto"/>
          <w:kern w:val="0"/>
          <w:sz w:val="21"/>
          <w:szCs w:val="21"/>
          <w:lang w:val="en-US" w:eastAsia="zh-CN" w:bidi="ar-SA"/>
        </w:rPr>
      </w:pPr>
      <w:r>
        <w:rPr>
          <w:rFonts w:hint="eastAsia" w:ascii="宋体" w:hAnsi="宋体" w:eastAsia="宋体" w:cs="宋体"/>
          <w:b w:val="0"/>
          <w:bCs w:val="0"/>
          <w:color w:val="auto"/>
          <w:kern w:val="0"/>
          <w:sz w:val="21"/>
          <w:szCs w:val="21"/>
          <w:lang w:val="en-US" w:eastAsia="zh-CN" w:bidi="ar-SA"/>
        </w:rPr>
        <w:t>在2025年度国土变更调查成果基础上，开展日常变更调查工作。一是结合土地综合整治、补充耕地项目、生态修复、国土绿化、河湖治理等自然资源管理项目中涉及地类变化图斑，支撑相关管理工作；二是结合城市国土空间监测、耕地卫片核查等工作发现的变化图斑，强化预警预判，同时减轻年底集中变更的压力。日常变更调查结果经省、市检查通过后，报部开展国家级核查。。</w:t>
      </w:r>
    </w:p>
    <w:p w14:paraId="76C9AB4A">
      <w:pPr>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b w:val="0"/>
          <w:bCs w:val="0"/>
          <w:color w:val="auto"/>
          <w:kern w:val="0"/>
          <w:sz w:val="21"/>
          <w:szCs w:val="21"/>
          <w:lang w:val="en-US" w:eastAsia="zh-CN" w:bidi="ar-SA"/>
        </w:rPr>
      </w:pPr>
      <w:r>
        <w:rPr>
          <w:rFonts w:hint="eastAsia" w:ascii="宋体" w:hAnsi="宋体" w:eastAsia="宋体" w:cs="宋体"/>
          <w:b w:val="0"/>
          <w:bCs w:val="0"/>
          <w:color w:val="auto"/>
          <w:kern w:val="0"/>
          <w:sz w:val="21"/>
          <w:szCs w:val="21"/>
          <w:lang w:val="en-US" w:eastAsia="zh-CN" w:bidi="ar-SA"/>
        </w:rPr>
        <w:t>（五）时段与时点：国土变更调查时段为每年的1月1日至12月31日。国土变更调查的统一时点为每年12月31日</w:t>
      </w:r>
      <w:r>
        <w:rPr>
          <w:rFonts w:hint="eastAsia" w:ascii="宋体" w:hAnsi="宋体" w:eastAsia="宋体" w:cs="宋体"/>
          <w:b w:val="0"/>
          <w:bCs w:val="0"/>
          <w:sz w:val="21"/>
          <w:szCs w:val="21"/>
        </w:rPr>
        <w:t>。</w:t>
      </w:r>
    </w:p>
    <w:p w14:paraId="343851DE">
      <w:pPr>
        <w:pStyle w:val="3"/>
        <w:pageBreakBefore w:val="0"/>
        <w:widowControl w:val="0"/>
        <w:kinsoku/>
        <w:wordWrap/>
        <w:overflowPunct/>
        <w:topLinePunct w:val="0"/>
        <w:autoSpaceDE/>
        <w:autoSpaceDN/>
        <w:bidi w:val="0"/>
        <w:adjustRightInd/>
        <w:snapToGrid/>
        <w:spacing w:before="0" w:after="0" w:line="480" w:lineRule="exact"/>
        <w:ind w:left="578" w:hanging="578"/>
        <w:jc w:val="both"/>
        <w:textAlignment w:val="auto"/>
        <w:rPr>
          <w:rFonts w:hint="eastAsia" w:ascii="宋体" w:hAnsi="宋体" w:eastAsia="宋体" w:cs="宋体"/>
          <w:b/>
          <w:bCs/>
          <w:sz w:val="21"/>
          <w:szCs w:val="21"/>
        </w:rPr>
      </w:pPr>
      <w:r>
        <w:rPr>
          <w:rFonts w:hint="eastAsia" w:ascii="宋体" w:hAnsi="宋体" w:eastAsia="宋体" w:cs="宋体"/>
          <w:b/>
          <w:bCs/>
          <w:sz w:val="21"/>
          <w:szCs w:val="21"/>
          <w:lang w:val="en-US" w:eastAsia="zh-CN"/>
        </w:rPr>
        <w:t>三</w:t>
      </w:r>
      <w:r>
        <w:rPr>
          <w:rFonts w:hint="eastAsia" w:ascii="宋体" w:hAnsi="宋体" w:eastAsia="宋体" w:cs="宋体"/>
          <w:b/>
          <w:bCs/>
          <w:sz w:val="21"/>
          <w:szCs w:val="21"/>
        </w:rPr>
        <w:t>、工作内容</w:t>
      </w:r>
    </w:p>
    <w:p w14:paraId="6B4A50D9">
      <w:pPr>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b w:val="0"/>
          <w:bCs w:val="0"/>
          <w:color w:val="auto"/>
          <w:kern w:val="0"/>
          <w:sz w:val="21"/>
          <w:szCs w:val="21"/>
          <w:lang w:val="en-US" w:eastAsia="zh-CN" w:bidi="ar-SA"/>
        </w:rPr>
      </w:pPr>
      <w:r>
        <w:rPr>
          <w:rFonts w:hint="eastAsia" w:ascii="宋体" w:hAnsi="宋体" w:eastAsia="宋体" w:cs="宋体"/>
          <w:b w:val="0"/>
          <w:bCs w:val="0"/>
          <w:color w:val="auto"/>
          <w:kern w:val="0"/>
          <w:sz w:val="21"/>
          <w:szCs w:val="21"/>
          <w:lang w:val="en-US" w:eastAsia="zh-CN" w:bidi="ar-SA"/>
        </w:rPr>
        <w:t>以2025年度国土变更调查数据库为基础，结合2026年推送的季度遥感影像数据及收集到的相关资料，分类型的提取土地利用变化图斑，对提取的变化图斑上传至“国土调查云平台”，使用带有卫星定位和方向传感器的设备，利用“国土调查云”举证软件，对需举证的图斑进行实地举证并上传至举证平台；采用符合标准的数据变更入库软件进行变更被汇交成果；采用国家研发的数据库质量检查软件进行数据库质量检查，进行人机交互检查，在成果合格后上交，形成四个季度的变更成果。结合国家下发的年度核查图斑，与四个季度变更图斑进行融合分析，范围一致的直接沿用季度成果，范围不一致的提取作为年度补测变化图斑进行举证，变更，补测图斑经过检查合格后与四季度的成果融合成为最终年度变更成果。最终形成的变更数据既要保证各个季度数据更新成果的独立性和连续性，及时共享分发，避免数据冲突，还要保证年度变更数据汇总的不冗余、不冲突。更新生产的具体工作内容包括：资料的收集整理与分析，要素变化发现，内业整合，外业举证、补调、补测，内业整理编辑，数据入库、成果汇交。具体步骤如下：</w:t>
      </w:r>
    </w:p>
    <w:p w14:paraId="663A193B">
      <w:pPr>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b w:val="0"/>
          <w:bCs w:val="0"/>
          <w:color w:val="auto"/>
          <w:kern w:val="0"/>
          <w:sz w:val="21"/>
          <w:szCs w:val="21"/>
          <w:lang w:val="en-US" w:eastAsia="zh-CN" w:bidi="ar-SA"/>
        </w:rPr>
      </w:pPr>
      <w:r>
        <w:rPr>
          <w:rFonts w:hint="eastAsia" w:ascii="宋体" w:hAnsi="宋体" w:eastAsia="宋体" w:cs="宋体"/>
          <w:b w:val="0"/>
          <w:bCs w:val="0"/>
          <w:color w:val="auto"/>
          <w:kern w:val="0"/>
          <w:sz w:val="21"/>
          <w:szCs w:val="21"/>
          <w:lang w:val="en-US" w:eastAsia="zh-CN" w:bidi="ar-SA"/>
        </w:rPr>
        <w:t>（一）前期准备。前期准备包括组织准备、技术准备和资料准备。建立“县局统一领导、调查监测牵头、部门参与配合”的工作机制；收集执法监察、征地报批、农业结构调整等相关部门已有资料；开展技术培训。</w:t>
      </w:r>
    </w:p>
    <w:p w14:paraId="1BCF6224">
      <w:pPr>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b w:val="0"/>
          <w:bCs w:val="0"/>
          <w:color w:val="auto"/>
          <w:kern w:val="0"/>
          <w:sz w:val="21"/>
          <w:szCs w:val="21"/>
          <w:lang w:val="en-US" w:eastAsia="zh-CN" w:bidi="ar-SA"/>
        </w:rPr>
      </w:pPr>
      <w:r>
        <w:rPr>
          <w:rFonts w:hint="eastAsia" w:ascii="宋体" w:hAnsi="宋体" w:eastAsia="宋体" w:cs="宋体"/>
          <w:b w:val="0"/>
          <w:bCs w:val="0"/>
          <w:color w:val="auto"/>
          <w:kern w:val="0"/>
          <w:sz w:val="21"/>
          <w:szCs w:val="21"/>
          <w:lang w:val="en-US" w:eastAsia="zh-CN" w:bidi="ar-SA"/>
        </w:rPr>
        <w:t>（二）基础数据分析处理。分析处理收集到的影像资料、基础调查资料、专项调查资料以及其他资料。</w:t>
      </w:r>
    </w:p>
    <w:p w14:paraId="173DF181">
      <w:pPr>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b w:val="0"/>
          <w:bCs w:val="0"/>
          <w:color w:val="auto"/>
          <w:kern w:val="0"/>
          <w:sz w:val="21"/>
          <w:szCs w:val="21"/>
          <w:lang w:val="en-US" w:eastAsia="zh-CN" w:bidi="ar-SA"/>
        </w:rPr>
      </w:pPr>
      <w:r>
        <w:rPr>
          <w:rFonts w:hint="eastAsia" w:ascii="宋体" w:hAnsi="宋体" w:eastAsia="宋体" w:cs="宋体"/>
          <w:b w:val="0"/>
          <w:bCs w:val="0"/>
          <w:color w:val="auto"/>
          <w:kern w:val="0"/>
          <w:sz w:val="21"/>
          <w:szCs w:val="21"/>
          <w:lang w:val="en-US" w:eastAsia="zh-CN" w:bidi="ar-SA"/>
        </w:rPr>
        <w:t>（三）遥感影像获取。积极与省厅、省卫星应用中心等部门协调，获取调查区域内时效性强的遥感影像数据；重点区域可利用无人机方式获取高分辨率倾斜摄影或正射影像数据，生成数字正射影像DOM及DEM数据或大场景实景三维模型。</w:t>
      </w:r>
    </w:p>
    <w:p w14:paraId="57CE2420">
      <w:pPr>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b w:val="0"/>
          <w:bCs w:val="0"/>
          <w:color w:val="auto"/>
          <w:kern w:val="0"/>
          <w:sz w:val="21"/>
          <w:szCs w:val="21"/>
          <w:lang w:val="en-US" w:eastAsia="zh-CN" w:bidi="ar-SA"/>
        </w:rPr>
      </w:pPr>
      <w:r>
        <w:rPr>
          <w:rFonts w:hint="eastAsia" w:ascii="宋体" w:hAnsi="宋体" w:eastAsia="宋体" w:cs="宋体"/>
          <w:b w:val="0"/>
          <w:bCs w:val="0"/>
          <w:color w:val="auto"/>
          <w:kern w:val="0"/>
          <w:sz w:val="21"/>
          <w:szCs w:val="21"/>
          <w:lang w:val="en-US" w:eastAsia="zh-CN" w:bidi="ar-SA"/>
        </w:rPr>
        <w:t>（四）变化图斑的提取。基于多源影像数据提取与日常管理业务汇集的方式提取变化图斑。变化图斑按照监测类型细分为耕地变化、新增建构（筑）物变化和其他变化。</w:t>
      </w:r>
    </w:p>
    <w:p w14:paraId="7E1049A7">
      <w:pPr>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b w:val="0"/>
          <w:bCs w:val="0"/>
          <w:color w:val="auto"/>
          <w:kern w:val="0"/>
          <w:sz w:val="21"/>
          <w:szCs w:val="21"/>
          <w:lang w:val="en-US" w:eastAsia="zh-CN" w:bidi="ar-SA"/>
        </w:rPr>
      </w:pPr>
      <w:r>
        <w:rPr>
          <w:rFonts w:hint="eastAsia" w:ascii="宋体" w:hAnsi="宋体" w:eastAsia="宋体" w:cs="宋体"/>
          <w:b w:val="0"/>
          <w:bCs w:val="0"/>
          <w:color w:val="auto"/>
          <w:kern w:val="0"/>
          <w:sz w:val="21"/>
          <w:szCs w:val="21"/>
          <w:lang w:val="en-US" w:eastAsia="zh-CN" w:bidi="ar-SA"/>
        </w:rPr>
        <w:t>（五）工作底图制作。将国土变更调查遥感监测成果、部综合监管平台中的用地管理信息、自主提取的变化信息以及自然资源日常管理信息的矢量数据套合在DOM上，制作国土变更调查外业调查工作底图。</w:t>
      </w:r>
    </w:p>
    <w:p w14:paraId="4EC5D39F">
      <w:pPr>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b w:val="0"/>
          <w:bCs w:val="0"/>
          <w:color w:val="auto"/>
          <w:kern w:val="0"/>
          <w:sz w:val="21"/>
          <w:szCs w:val="21"/>
          <w:lang w:val="en-US" w:eastAsia="zh-CN" w:bidi="ar-SA"/>
        </w:rPr>
      </w:pPr>
      <w:r>
        <w:rPr>
          <w:rFonts w:hint="eastAsia" w:ascii="宋体" w:hAnsi="宋体" w:eastAsia="宋体" w:cs="宋体"/>
          <w:b w:val="0"/>
          <w:bCs w:val="0"/>
          <w:color w:val="auto"/>
          <w:kern w:val="0"/>
          <w:sz w:val="21"/>
          <w:szCs w:val="21"/>
          <w:lang w:val="en-US" w:eastAsia="zh-CN" w:bidi="ar-SA"/>
        </w:rPr>
        <w:t>（六）外业调查。对工作底图上的所有图斑开展外业实地调查核实。主要包括地类调查、属性变化调查核实、以及单独图层变化调查核实等内容；通过询问的方式，了解图斑的种植、恢复等属性的变化情况。</w:t>
      </w:r>
    </w:p>
    <w:p w14:paraId="3E4B07ED">
      <w:pPr>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b w:val="0"/>
          <w:bCs w:val="0"/>
          <w:color w:val="auto"/>
          <w:kern w:val="0"/>
          <w:sz w:val="21"/>
          <w:szCs w:val="21"/>
          <w:lang w:val="en-US" w:eastAsia="zh-CN" w:bidi="ar-SA"/>
        </w:rPr>
      </w:pPr>
      <w:r>
        <w:rPr>
          <w:rFonts w:hint="eastAsia" w:ascii="宋体" w:hAnsi="宋体" w:eastAsia="宋体" w:cs="宋体"/>
          <w:b w:val="0"/>
          <w:bCs w:val="0"/>
          <w:color w:val="auto"/>
          <w:kern w:val="0"/>
          <w:sz w:val="21"/>
          <w:szCs w:val="21"/>
          <w:lang w:val="en-US" w:eastAsia="zh-CN" w:bidi="ar-SA"/>
        </w:rPr>
        <w:t>（七）内业数据编辑。根据内外业调查成果对变化信息进行空间和属性更新，并对变化信息进行分类整理。</w:t>
      </w:r>
    </w:p>
    <w:p w14:paraId="2829DE84">
      <w:pPr>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b w:val="0"/>
          <w:bCs w:val="0"/>
          <w:color w:val="auto"/>
          <w:kern w:val="0"/>
          <w:sz w:val="21"/>
          <w:szCs w:val="21"/>
          <w:lang w:val="en-US" w:eastAsia="zh-CN" w:bidi="ar-SA"/>
        </w:rPr>
      </w:pPr>
      <w:r>
        <w:rPr>
          <w:rFonts w:hint="eastAsia" w:ascii="宋体" w:hAnsi="宋体" w:eastAsia="宋体" w:cs="宋体"/>
          <w:b w:val="0"/>
          <w:bCs w:val="0"/>
          <w:color w:val="auto"/>
          <w:kern w:val="0"/>
          <w:sz w:val="21"/>
          <w:szCs w:val="21"/>
          <w:lang w:val="en-US" w:eastAsia="zh-CN" w:bidi="ar-SA"/>
        </w:rPr>
        <w:t>（八）数据库建设。依据国土变更调查内外业成果，将发生变化的信息逐块录入并变更国土调查数据库，提取变化图斑要素，生成更新数据包。</w:t>
      </w:r>
    </w:p>
    <w:p w14:paraId="546D8C75">
      <w:pPr>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b w:val="0"/>
          <w:bCs w:val="0"/>
          <w:color w:val="auto"/>
          <w:kern w:val="0"/>
          <w:sz w:val="21"/>
          <w:szCs w:val="21"/>
          <w:lang w:val="en-US" w:eastAsia="zh-CN" w:bidi="ar-SA"/>
        </w:rPr>
      </w:pPr>
      <w:r>
        <w:rPr>
          <w:rFonts w:hint="eastAsia" w:ascii="宋体" w:hAnsi="宋体" w:eastAsia="宋体" w:cs="宋体"/>
          <w:b w:val="0"/>
          <w:bCs w:val="0"/>
          <w:color w:val="auto"/>
          <w:kern w:val="0"/>
          <w:sz w:val="21"/>
          <w:szCs w:val="21"/>
          <w:lang w:val="en-US" w:eastAsia="zh-CN" w:bidi="ar-SA"/>
        </w:rPr>
        <w:t>（九）统计与分析。根据外业调查资料更新国土调查数据库成果，由数据库生成各类统计表格，并对统计的基础数据和专项数据进行分析。</w:t>
      </w:r>
    </w:p>
    <w:p w14:paraId="23B1C827">
      <w:pPr>
        <w:pStyle w:val="3"/>
        <w:spacing w:before="0" w:after="0" w:line="480" w:lineRule="exact"/>
        <w:ind w:left="578" w:hanging="578"/>
        <w:jc w:val="both"/>
        <w:rPr>
          <w:rFonts w:hint="eastAsia" w:ascii="宋体" w:hAnsi="宋体" w:eastAsia="宋体" w:cs="宋体"/>
          <w:b/>
          <w:bCs/>
          <w:sz w:val="21"/>
          <w:szCs w:val="21"/>
        </w:rPr>
      </w:pPr>
      <w:r>
        <w:rPr>
          <w:rFonts w:hint="eastAsia" w:ascii="宋体" w:hAnsi="宋体" w:eastAsia="宋体" w:cs="宋体"/>
          <w:b/>
          <w:bCs/>
          <w:sz w:val="21"/>
          <w:szCs w:val="21"/>
          <w:lang w:val="en-US" w:eastAsia="zh-CN"/>
        </w:rPr>
        <w:t>四</w:t>
      </w:r>
      <w:r>
        <w:rPr>
          <w:rFonts w:hint="eastAsia" w:ascii="宋体" w:hAnsi="宋体" w:eastAsia="宋体" w:cs="宋体"/>
          <w:b/>
          <w:bCs/>
          <w:sz w:val="21"/>
          <w:szCs w:val="21"/>
        </w:rPr>
        <w:t>、项目成果</w:t>
      </w:r>
    </w:p>
    <w:p w14:paraId="70819D14">
      <w:pPr>
        <w:pStyle w:val="205"/>
        <w:keepNext w:val="0"/>
        <w:keepLines w:val="0"/>
        <w:pageBreakBefore w:val="0"/>
        <w:widowControl w:val="0"/>
        <w:kinsoku/>
        <w:wordWrap/>
        <w:overflowPunct/>
        <w:topLinePunct w:val="0"/>
        <w:autoSpaceDE/>
        <w:autoSpaceDN/>
        <w:bidi w:val="0"/>
        <w:adjustRightInd/>
        <w:snapToGrid/>
        <w:spacing w:line="480" w:lineRule="exact"/>
        <w:ind w:firstLine="420" w:firstLineChars="200"/>
        <w:jc w:val="both"/>
        <w:textAlignment w:val="auto"/>
        <w:rPr>
          <w:rFonts w:hint="eastAsia" w:ascii="宋体" w:hAnsi="宋体" w:eastAsia="宋体" w:cs="宋体"/>
          <w:b w:val="0"/>
          <w:bCs w:val="0"/>
          <w:color w:val="auto"/>
          <w:kern w:val="0"/>
          <w:sz w:val="21"/>
          <w:szCs w:val="21"/>
          <w:lang w:val="en-US" w:eastAsia="zh-CN" w:bidi="ar-SA"/>
        </w:rPr>
      </w:pPr>
      <w:r>
        <w:rPr>
          <w:rFonts w:hint="eastAsia" w:ascii="宋体" w:hAnsi="宋体" w:eastAsia="宋体" w:cs="宋体"/>
          <w:b w:val="0"/>
          <w:bCs w:val="0"/>
          <w:color w:val="auto"/>
          <w:sz w:val="21"/>
          <w:szCs w:val="21"/>
        </w:rPr>
        <w:t>（一）</w:t>
      </w:r>
      <w:r>
        <w:rPr>
          <w:rFonts w:hint="eastAsia" w:ascii="宋体" w:hAnsi="宋体" w:eastAsia="宋体" w:cs="宋体"/>
          <w:b w:val="0"/>
          <w:bCs w:val="0"/>
          <w:color w:val="auto"/>
          <w:kern w:val="0"/>
          <w:sz w:val="21"/>
          <w:szCs w:val="21"/>
          <w:lang w:val="en-US" w:eastAsia="zh-CN" w:bidi="ar-SA"/>
        </w:rPr>
        <w:t>2026年年度国土变更调查主要成果。</w:t>
      </w:r>
    </w:p>
    <w:p w14:paraId="51097ECC">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b w:val="0"/>
          <w:bCs w:val="0"/>
          <w:color w:val="auto"/>
          <w:kern w:val="0"/>
          <w:sz w:val="21"/>
          <w:szCs w:val="21"/>
          <w:lang w:val="en-US" w:eastAsia="zh-CN" w:bidi="ar-SA"/>
        </w:rPr>
      </w:pPr>
      <w:r>
        <w:rPr>
          <w:rFonts w:hint="eastAsia" w:ascii="宋体" w:hAnsi="宋体" w:eastAsia="宋体" w:cs="宋体"/>
          <w:b w:val="0"/>
          <w:bCs w:val="0"/>
          <w:color w:val="auto"/>
          <w:kern w:val="0"/>
          <w:sz w:val="21"/>
          <w:szCs w:val="21"/>
          <w:lang w:val="en-US" w:eastAsia="zh-CN" w:bidi="ar-SA"/>
        </w:rPr>
        <w:t>1.影像成果：国土变更调查影像</w:t>
      </w:r>
    </w:p>
    <w:p w14:paraId="271052AC">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b w:val="0"/>
          <w:bCs w:val="0"/>
          <w:color w:val="auto"/>
          <w:kern w:val="0"/>
          <w:sz w:val="21"/>
          <w:szCs w:val="21"/>
          <w:lang w:val="en-US" w:eastAsia="zh-CN" w:bidi="ar-SA"/>
        </w:rPr>
      </w:pPr>
      <w:r>
        <w:rPr>
          <w:rFonts w:hint="eastAsia" w:ascii="宋体" w:hAnsi="宋体" w:eastAsia="宋体" w:cs="宋体"/>
          <w:b w:val="0"/>
          <w:bCs w:val="0"/>
          <w:color w:val="auto"/>
          <w:kern w:val="0"/>
          <w:sz w:val="21"/>
          <w:szCs w:val="21"/>
          <w:lang w:val="en-US" w:eastAsia="zh-CN" w:bidi="ar-SA"/>
        </w:rPr>
        <w:t>2.数据成果：各类土地分类面积数据、权属信息数据、城镇村庄土地利用分类面积数据等专项调查数据。</w:t>
      </w:r>
    </w:p>
    <w:p w14:paraId="3840568B">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b w:val="0"/>
          <w:bCs w:val="0"/>
          <w:color w:val="auto"/>
          <w:kern w:val="0"/>
          <w:sz w:val="21"/>
          <w:szCs w:val="21"/>
          <w:lang w:val="en-US" w:eastAsia="zh-CN" w:bidi="ar-SA"/>
        </w:rPr>
      </w:pPr>
      <w:r>
        <w:rPr>
          <w:rFonts w:hint="eastAsia" w:ascii="宋体" w:hAnsi="宋体" w:eastAsia="宋体" w:cs="宋体"/>
          <w:b w:val="0"/>
          <w:bCs w:val="0"/>
          <w:color w:val="auto"/>
          <w:kern w:val="0"/>
          <w:sz w:val="21"/>
          <w:szCs w:val="21"/>
          <w:lang w:val="en-US" w:eastAsia="zh-CN" w:bidi="ar-SA"/>
        </w:rPr>
        <w:t>3.数据库成果：通过部级核查的年度变更调查全量数据库以及举证信息表、举证成果数据包等。</w:t>
      </w:r>
    </w:p>
    <w:p w14:paraId="567D0E65">
      <w:pPr>
        <w:pStyle w:val="205"/>
        <w:keepNext w:val="0"/>
        <w:keepLines w:val="0"/>
        <w:pageBreakBefore w:val="0"/>
        <w:widowControl w:val="0"/>
        <w:kinsoku/>
        <w:wordWrap/>
        <w:overflowPunct/>
        <w:topLinePunct w:val="0"/>
        <w:autoSpaceDE/>
        <w:autoSpaceDN/>
        <w:bidi w:val="0"/>
        <w:adjustRightInd/>
        <w:snapToGrid/>
        <w:spacing w:line="480" w:lineRule="exact"/>
        <w:ind w:firstLine="420" w:firstLineChars="200"/>
        <w:jc w:val="both"/>
        <w:textAlignment w:val="auto"/>
        <w:rPr>
          <w:rFonts w:hint="eastAsia" w:ascii="宋体" w:hAnsi="宋体" w:eastAsia="宋体" w:cs="宋体"/>
          <w:b w:val="0"/>
          <w:bCs w:val="0"/>
          <w:color w:val="auto"/>
          <w:kern w:val="0"/>
          <w:sz w:val="21"/>
          <w:szCs w:val="21"/>
          <w:lang w:val="en-US" w:eastAsia="zh-CN" w:bidi="ar-SA"/>
        </w:rPr>
      </w:pPr>
      <w:r>
        <w:rPr>
          <w:rFonts w:hint="eastAsia" w:ascii="宋体" w:hAnsi="宋体" w:eastAsia="宋体" w:cs="宋体"/>
          <w:b w:val="0"/>
          <w:bCs w:val="0"/>
          <w:color w:val="auto"/>
          <w:kern w:val="0"/>
          <w:sz w:val="21"/>
          <w:szCs w:val="21"/>
          <w:lang w:val="en-US" w:eastAsia="zh-CN" w:bidi="ar-SA"/>
        </w:rPr>
        <w:t>4.文字成果：工作总结报告与年度成果数据分析报告等。</w:t>
      </w:r>
    </w:p>
    <w:p w14:paraId="49371BE8">
      <w:pPr>
        <w:pStyle w:val="205"/>
        <w:keepNext w:val="0"/>
        <w:keepLines w:val="0"/>
        <w:pageBreakBefore w:val="0"/>
        <w:widowControl w:val="0"/>
        <w:kinsoku/>
        <w:wordWrap/>
        <w:overflowPunct/>
        <w:topLinePunct w:val="0"/>
        <w:autoSpaceDE/>
        <w:autoSpaceDN/>
        <w:bidi w:val="0"/>
        <w:adjustRightInd/>
        <w:snapToGrid/>
        <w:spacing w:line="480" w:lineRule="exact"/>
        <w:ind w:firstLine="420" w:firstLineChars="200"/>
        <w:jc w:val="both"/>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w:t>
      </w:r>
      <w:r>
        <w:rPr>
          <w:rFonts w:hint="eastAsia" w:ascii="宋体" w:hAnsi="宋体" w:eastAsia="宋体" w:cs="宋体"/>
          <w:b w:val="0"/>
          <w:bCs w:val="0"/>
          <w:color w:val="auto"/>
          <w:sz w:val="21"/>
          <w:szCs w:val="21"/>
          <w:lang w:val="en-US" w:eastAsia="zh-CN"/>
        </w:rPr>
        <w:t>二</w:t>
      </w:r>
      <w:r>
        <w:rPr>
          <w:rFonts w:hint="eastAsia" w:ascii="宋体" w:hAnsi="宋体" w:eastAsia="宋体" w:cs="宋体"/>
          <w:b w:val="0"/>
          <w:bCs w:val="0"/>
          <w:color w:val="auto"/>
          <w:sz w:val="21"/>
          <w:szCs w:val="21"/>
        </w:rPr>
        <w:t>）</w:t>
      </w:r>
      <w:r>
        <w:rPr>
          <w:rFonts w:hint="eastAsia" w:ascii="宋体" w:hAnsi="宋体" w:eastAsia="宋体" w:cs="宋体"/>
          <w:b w:val="0"/>
          <w:bCs w:val="0"/>
          <w:color w:val="auto"/>
          <w:kern w:val="0"/>
          <w:sz w:val="21"/>
          <w:szCs w:val="21"/>
          <w:lang w:val="en-US" w:eastAsia="zh-CN" w:bidi="ar-SA"/>
        </w:rPr>
        <w:t>2026年</w:t>
      </w:r>
      <w:r>
        <w:rPr>
          <w:rFonts w:hint="eastAsia" w:ascii="宋体" w:hAnsi="宋体" w:eastAsia="宋体" w:cs="宋体"/>
          <w:b w:val="0"/>
          <w:bCs w:val="0"/>
          <w:color w:val="auto"/>
          <w:sz w:val="21"/>
          <w:szCs w:val="21"/>
        </w:rPr>
        <w:t>日常变更调查主要成果</w:t>
      </w:r>
    </w:p>
    <w:p w14:paraId="76B4DB0B">
      <w:pPr>
        <w:pStyle w:val="205"/>
        <w:keepNext w:val="0"/>
        <w:keepLines w:val="0"/>
        <w:pageBreakBefore w:val="0"/>
        <w:widowControl w:val="0"/>
        <w:kinsoku/>
        <w:wordWrap/>
        <w:overflowPunct/>
        <w:topLinePunct w:val="0"/>
        <w:autoSpaceDE/>
        <w:autoSpaceDN/>
        <w:bidi w:val="0"/>
        <w:adjustRightInd/>
        <w:snapToGrid/>
        <w:spacing w:line="480" w:lineRule="exact"/>
        <w:ind w:firstLine="420" w:firstLineChars="200"/>
        <w:jc w:val="both"/>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1.影像成果：国土变更调查影像、日常变更影像等。</w:t>
      </w:r>
    </w:p>
    <w:p w14:paraId="623671B0">
      <w:pPr>
        <w:pStyle w:val="205"/>
        <w:keepNext w:val="0"/>
        <w:keepLines w:val="0"/>
        <w:pageBreakBefore w:val="0"/>
        <w:widowControl w:val="0"/>
        <w:kinsoku/>
        <w:wordWrap/>
        <w:overflowPunct/>
        <w:topLinePunct w:val="0"/>
        <w:autoSpaceDE/>
        <w:autoSpaceDN/>
        <w:bidi w:val="0"/>
        <w:adjustRightInd/>
        <w:snapToGrid/>
        <w:spacing w:line="480" w:lineRule="exact"/>
        <w:ind w:firstLine="420" w:firstLineChars="200"/>
        <w:jc w:val="both"/>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2.数据成果：日常变更图斑分类面积数据等。</w:t>
      </w:r>
    </w:p>
    <w:p w14:paraId="52775BBB">
      <w:pPr>
        <w:pStyle w:val="205"/>
        <w:keepNext w:val="0"/>
        <w:keepLines w:val="0"/>
        <w:pageBreakBefore w:val="0"/>
        <w:widowControl w:val="0"/>
        <w:kinsoku/>
        <w:wordWrap/>
        <w:overflowPunct/>
        <w:topLinePunct w:val="0"/>
        <w:autoSpaceDE/>
        <w:autoSpaceDN/>
        <w:bidi w:val="0"/>
        <w:adjustRightInd/>
        <w:snapToGrid/>
        <w:spacing w:line="480" w:lineRule="exact"/>
        <w:ind w:firstLine="420" w:firstLineChars="200"/>
        <w:jc w:val="both"/>
        <w:textAlignment w:val="auto"/>
        <w:rPr>
          <w:rFonts w:ascii="宋体" w:hAnsi="宋体"/>
          <w:sz w:val="26"/>
          <w:szCs w:val="26"/>
        </w:rPr>
      </w:pPr>
      <w:r>
        <w:rPr>
          <w:rFonts w:hint="eastAsia" w:ascii="宋体" w:hAnsi="宋体" w:eastAsia="宋体" w:cs="宋体"/>
          <w:b w:val="0"/>
          <w:bCs w:val="0"/>
          <w:color w:val="auto"/>
          <w:sz w:val="21"/>
          <w:szCs w:val="21"/>
        </w:rPr>
        <w:t>3.数据库成果：通过核查的变化图斑范围、对应日常变更变化图斑范围的调查举证信息表、日常变更外业调查举证成果数据包等。</w:t>
      </w:r>
    </w:p>
    <w:p w14:paraId="7DCFAEC2">
      <w:pPr>
        <w:pStyle w:val="196"/>
        <w:numPr>
          <w:ilvl w:val="0"/>
          <w:numId w:val="0"/>
        </w:numPr>
        <w:ind w:leftChars="0"/>
        <w:rPr>
          <w:rFonts w:hint="eastAsia"/>
          <w:lang w:val="en-US" w:eastAsia="zh-CN"/>
        </w:rPr>
      </w:pPr>
    </w:p>
    <w:p w14:paraId="5F9375B1">
      <w:pPr>
        <w:pageBreakBefore w:val="0"/>
        <w:spacing w:line="360" w:lineRule="auto"/>
        <w:ind w:firstLine="422"/>
        <w:rPr>
          <w:rFonts w:ascii="Times New Roman" w:hAnsi="Times New Roman" w:eastAsia="宋体" w:cs="宋体"/>
          <w:b/>
          <w:color w:val="auto"/>
          <w:szCs w:val="21"/>
          <w:highlight w:val="none"/>
        </w:rPr>
      </w:pPr>
      <w:r>
        <w:rPr>
          <w:rFonts w:hint="eastAsia" w:ascii="Times New Roman" w:hAnsi="Times New Roman" w:cs="宋体"/>
          <w:b/>
          <w:color w:val="auto"/>
          <w:szCs w:val="21"/>
          <w:highlight w:val="none"/>
          <w:lang w:val="en-US" w:eastAsia="zh-CN"/>
        </w:rPr>
        <w:t>五</w:t>
      </w:r>
      <w:r>
        <w:rPr>
          <w:rFonts w:hint="eastAsia" w:ascii="Times New Roman" w:hAnsi="Times New Roman" w:eastAsia="宋体" w:cs="宋体"/>
          <w:b/>
          <w:color w:val="auto"/>
          <w:szCs w:val="21"/>
          <w:highlight w:val="none"/>
        </w:rPr>
        <w:t>、节能产品要求</w:t>
      </w:r>
    </w:p>
    <w:p w14:paraId="3EF7E1B5">
      <w:pPr>
        <w:pageBreakBefore w:val="0"/>
        <w:spacing w:line="360" w:lineRule="auto"/>
        <w:ind w:firstLine="420"/>
        <w:rPr>
          <w:rFonts w:hint="eastAsia" w:ascii="Times New Roman" w:hAnsi="Times New Roman" w:eastAsia="宋体" w:cs="宋体"/>
          <w:b/>
          <w:bCs/>
          <w:i/>
          <w:iCs/>
          <w:color w:val="auto"/>
          <w:szCs w:val="21"/>
          <w:highlight w:val="none"/>
          <w:u w:val="single"/>
        </w:rPr>
      </w:pPr>
      <w:r>
        <w:rPr>
          <w:rFonts w:hint="eastAsia" w:ascii="Times New Roman" w:hAnsi="Times New Roman" w:eastAsia="宋体" w:cs="宋体"/>
          <w:iCs/>
          <w:color w:val="auto"/>
          <w:szCs w:val="21"/>
          <w:highlight w:val="none"/>
        </w:rPr>
        <w:t>本次拟采购的产品如属于《节能产品政府采购品目清单》中强制采购范围内产品，各投标人应当提供获得国家确定的认证机构出具的、有效期之内的节能产品认证证书的产品，上述品目清单可通过“中国政府采购网”（http：//www.ccgp.gov.cn/zcfg/mof/201904/t20190403_11849836.htm）查询,</w:t>
      </w:r>
      <w:r>
        <w:rPr>
          <w:rFonts w:hint="eastAsia" w:ascii="Times New Roman" w:hAnsi="Times New Roman" w:eastAsia="宋体" w:cs="宋体"/>
          <w:i/>
          <w:iCs/>
          <w:color w:val="auto"/>
          <w:szCs w:val="21"/>
          <w:highlight w:val="none"/>
          <w:u w:val="single"/>
        </w:rPr>
        <w:t>并在投标文件内提供由国家确定的认证机构出具的、处于有效期之内的节能产品认证证书原件，扫描上传，否则视为无效投标。</w:t>
      </w:r>
      <w:r>
        <w:rPr>
          <w:rFonts w:hint="eastAsia" w:ascii="Times New Roman" w:hAnsi="Times New Roman" w:eastAsia="宋体" w:cs="宋体"/>
          <w:b/>
          <w:bCs/>
          <w:i/>
          <w:iCs/>
          <w:color w:val="auto"/>
          <w:szCs w:val="21"/>
          <w:highlight w:val="none"/>
          <w:u w:val="single"/>
        </w:rPr>
        <w:t>（本项目涉及强制采购范围内产品有：无）</w:t>
      </w:r>
    </w:p>
    <w:p w14:paraId="41EA5671">
      <w:pPr>
        <w:pageBreakBefore w:val="0"/>
        <w:spacing w:line="360" w:lineRule="auto"/>
        <w:rPr>
          <w:rFonts w:hint="eastAsia" w:ascii="Times New Roman" w:hAnsi="Times New Roman" w:eastAsia="宋体" w:cs="宋体"/>
          <w:b/>
          <w:color w:val="auto"/>
          <w:szCs w:val="21"/>
          <w:highlight w:val="none"/>
          <w:lang w:val="en-US" w:eastAsia="zh-CN"/>
        </w:rPr>
      </w:pPr>
    </w:p>
    <w:p w14:paraId="5BB43583">
      <w:pPr>
        <w:pageBreakBefore w:val="0"/>
        <w:spacing w:line="360" w:lineRule="auto"/>
        <w:ind w:firstLine="422"/>
        <w:rPr>
          <w:rFonts w:hint="eastAsia" w:ascii="Times New Roman" w:hAnsi="Times New Roman" w:eastAsia="宋体" w:cs="宋体"/>
          <w:b/>
          <w:color w:val="auto"/>
          <w:szCs w:val="21"/>
          <w:highlight w:val="none"/>
        </w:rPr>
      </w:pPr>
      <w:r>
        <w:rPr>
          <w:rFonts w:hint="eastAsia" w:ascii="Times New Roman" w:hAnsi="Times New Roman" w:cs="宋体"/>
          <w:b/>
          <w:color w:val="auto"/>
          <w:szCs w:val="21"/>
          <w:highlight w:val="none"/>
          <w:lang w:val="en-US" w:eastAsia="zh-CN"/>
        </w:rPr>
        <w:t>六</w:t>
      </w:r>
      <w:r>
        <w:rPr>
          <w:rFonts w:hint="eastAsia" w:ascii="Times New Roman" w:hAnsi="Times New Roman" w:eastAsia="宋体" w:cs="宋体"/>
          <w:b/>
          <w:color w:val="auto"/>
          <w:szCs w:val="21"/>
          <w:highlight w:val="none"/>
          <w:lang w:val="en-US" w:eastAsia="zh-CN"/>
        </w:rPr>
        <w:t>、</w:t>
      </w:r>
      <w:r>
        <w:rPr>
          <w:rFonts w:hint="eastAsia" w:ascii="Times New Roman" w:hAnsi="Times New Roman" w:eastAsia="宋体" w:cs="宋体"/>
          <w:b/>
          <w:color w:val="auto"/>
          <w:szCs w:val="21"/>
          <w:highlight w:val="none"/>
        </w:rPr>
        <w:t>政府采购中实施本国产品标准及相关政策</w:t>
      </w:r>
    </w:p>
    <w:p w14:paraId="552B2CC5">
      <w:pPr>
        <w:pageBreakBefore w:val="0"/>
        <w:spacing w:line="360" w:lineRule="auto"/>
        <w:ind w:firstLine="420"/>
        <w:rPr>
          <w:rFonts w:hint="eastAsia" w:ascii="Times New Roman" w:hAnsi="Times New Roman" w:eastAsia="宋体" w:cs="宋体"/>
          <w:iCs/>
          <w:color w:val="auto"/>
          <w:szCs w:val="21"/>
          <w:highlight w:val="none"/>
        </w:rPr>
      </w:pPr>
      <w:r>
        <w:rPr>
          <w:rFonts w:hint="eastAsia" w:ascii="Times New Roman" w:hAnsi="Times New Roman" w:eastAsia="宋体" w:cs="宋体"/>
          <w:iCs/>
          <w:color w:val="auto"/>
          <w:szCs w:val="21"/>
          <w:highlight w:val="none"/>
        </w:rPr>
        <w:t>1</w:t>
      </w:r>
      <w:r>
        <w:rPr>
          <w:rFonts w:hint="eastAsia" w:ascii="Times New Roman" w:hAnsi="Times New Roman" w:eastAsia="宋体" w:cs="宋体"/>
          <w:iCs/>
          <w:color w:val="auto"/>
          <w:szCs w:val="21"/>
          <w:highlight w:val="none"/>
          <w:lang w:eastAsia="zh-CN"/>
        </w:rPr>
        <w:t>、</w:t>
      </w:r>
      <w:r>
        <w:rPr>
          <w:rFonts w:hint="eastAsia" w:ascii="Times New Roman" w:hAnsi="Times New Roman" w:eastAsia="宋体" w:cs="宋体"/>
          <w:iCs/>
          <w:color w:val="auto"/>
          <w:szCs w:val="21"/>
          <w:highlight w:val="none"/>
        </w:rPr>
        <w:t>本项目对采购本国产品给予政策支持，具体内容见招标文件“第五章 评标方法与评标标准”。</w:t>
      </w:r>
    </w:p>
    <w:p w14:paraId="511D7553">
      <w:pPr>
        <w:pageBreakBefore w:val="0"/>
        <w:spacing w:line="360" w:lineRule="auto"/>
        <w:ind w:firstLine="420"/>
        <w:rPr>
          <w:rFonts w:hint="eastAsia" w:ascii="Times New Roman" w:hAnsi="Times New Roman" w:eastAsia="宋体" w:cs="宋体"/>
          <w:iCs/>
          <w:color w:val="auto"/>
          <w:szCs w:val="21"/>
          <w:highlight w:val="none"/>
        </w:rPr>
      </w:pPr>
      <w:r>
        <w:rPr>
          <w:rFonts w:hint="eastAsia" w:ascii="Times New Roman" w:hAnsi="Times New Roman" w:eastAsia="宋体" w:cs="宋体"/>
          <w:iCs/>
          <w:color w:val="auto"/>
          <w:szCs w:val="21"/>
          <w:highlight w:val="none"/>
        </w:rPr>
        <w:t>2</w:t>
      </w:r>
      <w:r>
        <w:rPr>
          <w:rFonts w:hint="eastAsia" w:ascii="Times New Roman" w:hAnsi="Times New Roman" w:eastAsia="宋体" w:cs="宋体"/>
          <w:iCs/>
          <w:color w:val="auto"/>
          <w:szCs w:val="21"/>
          <w:highlight w:val="none"/>
          <w:lang w:eastAsia="zh-CN"/>
        </w:rPr>
        <w:t>、</w:t>
      </w:r>
      <w:r>
        <w:rPr>
          <w:rFonts w:hint="eastAsia" w:ascii="Times New Roman" w:hAnsi="Times New Roman" w:eastAsia="宋体" w:cs="宋体"/>
          <w:iCs/>
          <w:color w:val="auto"/>
          <w:szCs w:val="21"/>
          <w:highlight w:val="none"/>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B3EC59B">
      <w:pPr>
        <w:pageBreakBefore w:val="0"/>
        <w:spacing w:line="360" w:lineRule="auto"/>
        <w:ind w:firstLine="420"/>
        <w:rPr>
          <w:rFonts w:hint="eastAsia" w:ascii="Times New Roman" w:hAnsi="Times New Roman" w:eastAsia="宋体" w:cs="宋体"/>
          <w:iCs/>
          <w:color w:val="auto"/>
          <w:szCs w:val="21"/>
          <w:highlight w:val="none"/>
        </w:rPr>
      </w:pPr>
      <w:r>
        <w:rPr>
          <w:rFonts w:hint="eastAsia" w:ascii="Times New Roman" w:hAnsi="Times New Roman" w:eastAsia="宋体" w:cs="宋体"/>
          <w:iCs/>
          <w:color w:val="auto"/>
          <w:szCs w:val="21"/>
          <w:highlight w:val="none"/>
        </w:rPr>
        <w:t>3</w:t>
      </w:r>
      <w:r>
        <w:rPr>
          <w:rFonts w:hint="eastAsia" w:ascii="Times New Roman" w:hAnsi="Times New Roman" w:eastAsia="宋体" w:cs="宋体"/>
          <w:iCs/>
          <w:color w:val="auto"/>
          <w:szCs w:val="21"/>
          <w:highlight w:val="none"/>
          <w:lang w:eastAsia="zh-CN"/>
        </w:rPr>
        <w:t>、</w:t>
      </w:r>
      <w:r>
        <w:rPr>
          <w:rFonts w:hint="eastAsia" w:ascii="Times New Roman" w:hAnsi="Times New Roman" w:eastAsia="宋体" w:cs="宋体"/>
          <w:iCs/>
          <w:color w:val="auto"/>
          <w:szCs w:val="21"/>
          <w:highlight w:val="none"/>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D56001B">
      <w:pPr>
        <w:pageBreakBefore w:val="0"/>
        <w:spacing w:line="360" w:lineRule="auto"/>
        <w:ind w:firstLine="422"/>
        <w:rPr>
          <w:rFonts w:hint="eastAsia" w:ascii="Times New Roman" w:hAnsi="Times New Roman" w:eastAsia="宋体" w:cs="宋体"/>
          <w:b/>
          <w:bCs/>
          <w:i/>
          <w:iCs/>
          <w:color w:val="auto"/>
          <w:szCs w:val="21"/>
          <w:highlight w:val="none"/>
          <w:u w:val="single"/>
        </w:rPr>
      </w:pPr>
    </w:p>
    <w:p w14:paraId="22933767">
      <w:pPr>
        <w:pStyle w:val="2"/>
        <w:pageBreakBefore w:val="0"/>
        <w:spacing w:before="0" w:after="0" w:line="360" w:lineRule="auto"/>
        <w:jc w:val="center"/>
        <w:rPr>
          <w:rFonts w:ascii="Times New Roman" w:hAnsi="Times New Roman" w:eastAsia="宋体"/>
          <w:color w:val="auto"/>
          <w:sz w:val="36"/>
          <w:highlight w:val="none"/>
        </w:rPr>
        <w:sectPr>
          <w:pgSz w:w="11906" w:h="16838"/>
          <w:pgMar w:top="1440" w:right="1800" w:bottom="1440" w:left="1800" w:header="851" w:footer="992" w:gutter="0"/>
          <w:cols w:space="720" w:num="1"/>
          <w:docGrid w:linePitch="360" w:charSpace="0"/>
        </w:sectPr>
      </w:pPr>
    </w:p>
    <w:p w14:paraId="29E6BE34">
      <w:pPr>
        <w:pStyle w:val="2"/>
        <w:pageBreakBefore w:val="0"/>
        <w:spacing w:before="0" w:after="0" w:line="360" w:lineRule="auto"/>
        <w:jc w:val="center"/>
        <w:rPr>
          <w:rFonts w:ascii="Times New Roman" w:hAnsi="Times New Roman" w:eastAsia="宋体"/>
          <w:color w:val="auto"/>
          <w:sz w:val="36"/>
          <w:szCs w:val="36"/>
          <w:highlight w:val="none"/>
        </w:rPr>
      </w:pPr>
      <w:bookmarkStart w:id="62" w:name="_Toc7661"/>
      <w:r>
        <w:rPr>
          <w:rFonts w:hint="eastAsia" w:ascii="Times New Roman" w:hAnsi="Times New Roman" w:eastAsia="宋体"/>
          <w:color w:val="auto"/>
          <w:sz w:val="36"/>
          <w:szCs w:val="36"/>
          <w:highlight w:val="none"/>
        </w:rPr>
        <w:t>第五章</w:t>
      </w:r>
      <w:r>
        <w:rPr>
          <w:rFonts w:hint="eastAsia" w:ascii="Times New Roman" w:hAnsi="Times New Roman" w:eastAsia="宋体"/>
          <w:color w:val="auto"/>
          <w:sz w:val="36"/>
          <w:szCs w:val="36"/>
          <w:highlight w:val="none"/>
          <w:lang w:val="en-US" w:eastAsia="zh-CN"/>
        </w:rPr>
        <w:t xml:space="preserve"> </w:t>
      </w:r>
      <w:r>
        <w:rPr>
          <w:rFonts w:hint="eastAsia" w:ascii="Times New Roman" w:hAnsi="Times New Roman" w:eastAsia="宋体"/>
          <w:color w:val="auto"/>
          <w:sz w:val="36"/>
          <w:szCs w:val="36"/>
          <w:highlight w:val="none"/>
        </w:rPr>
        <w:t>评标方法及评标标准</w:t>
      </w:r>
      <w:bookmarkEnd w:id="61"/>
      <w:bookmarkEnd w:id="62"/>
    </w:p>
    <w:p w14:paraId="5BDE2217">
      <w:pPr>
        <w:pStyle w:val="211"/>
        <w:pageBreakBefore w:val="0"/>
        <w:spacing w:before="0" w:after="0" w:line="360" w:lineRule="auto"/>
        <w:ind w:firstLine="422"/>
        <w:rPr>
          <w:rFonts w:ascii="Times New Roman" w:hAnsi="Times New Roman" w:eastAsia="宋体"/>
          <w:b/>
          <w:color w:val="auto"/>
          <w:sz w:val="21"/>
          <w:szCs w:val="21"/>
          <w:highlight w:val="none"/>
        </w:rPr>
      </w:pPr>
      <w:r>
        <w:rPr>
          <w:rFonts w:hint="eastAsia" w:ascii="Times New Roman" w:hAnsi="Times New Roman" w:eastAsia="宋体"/>
          <w:b/>
          <w:color w:val="auto"/>
          <w:sz w:val="21"/>
          <w:szCs w:val="21"/>
          <w:highlight w:val="none"/>
        </w:rPr>
        <w:t>一、评标方法</w:t>
      </w:r>
    </w:p>
    <w:p w14:paraId="57CAED14">
      <w:pPr>
        <w:pStyle w:val="211"/>
        <w:pageBreakBefore w:val="0"/>
        <w:spacing w:before="0" w:after="0" w:line="360" w:lineRule="auto"/>
        <w:ind w:firstLine="420"/>
        <w:rPr>
          <w:rFonts w:ascii="Times New Roman" w:hAnsi="Times New Roman" w:eastAsia="宋体"/>
          <w:color w:val="auto"/>
          <w:sz w:val="21"/>
          <w:szCs w:val="21"/>
          <w:highlight w:val="none"/>
        </w:rPr>
      </w:pPr>
      <w:bookmarkStart w:id="63" w:name="_Toc449016388"/>
      <w:bookmarkStart w:id="64" w:name="_Toc449017024"/>
      <w:r>
        <w:rPr>
          <w:rFonts w:hint="eastAsia" w:ascii="Times New Roman" w:hAnsi="Times New Roman" w:eastAsia="宋体"/>
          <w:color w:val="auto"/>
          <w:sz w:val="21"/>
          <w:szCs w:val="21"/>
          <w:highlight w:val="none"/>
        </w:rPr>
        <w:t>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79FF2507">
      <w:pPr>
        <w:pageBreakBefore w:val="0"/>
        <w:spacing w:line="360" w:lineRule="auto"/>
        <w:ind w:firstLine="422"/>
        <w:rPr>
          <w:rFonts w:ascii="Times New Roman" w:hAnsi="Times New Roman" w:eastAsia="宋体"/>
          <w:b/>
          <w:color w:val="auto"/>
          <w:szCs w:val="21"/>
          <w:highlight w:val="none"/>
        </w:rPr>
      </w:pPr>
      <w:r>
        <w:rPr>
          <w:rFonts w:ascii="Times New Roman" w:hAnsi="Times New Roman" w:eastAsia="宋体"/>
          <w:b/>
          <w:color w:val="auto"/>
          <w:szCs w:val="21"/>
          <w:highlight w:val="none"/>
        </w:rPr>
        <w:t>二、</w:t>
      </w:r>
      <w:r>
        <w:rPr>
          <w:rFonts w:hint="eastAsia" w:ascii="Times New Roman" w:hAnsi="Times New Roman" w:eastAsia="宋体"/>
          <w:b/>
          <w:color w:val="auto"/>
          <w:szCs w:val="21"/>
          <w:highlight w:val="none"/>
        </w:rPr>
        <w:t>政府采购政策功能落实</w:t>
      </w:r>
      <w:bookmarkEnd w:id="63"/>
      <w:bookmarkEnd w:id="64"/>
    </w:p>
    <w:p w14:paraId="41E97E0D">
      <w:pPr>
        <w:pageBreakBefore w:val="0"/>
        <w:spacing w:line="360" w:lineRule="auto"/>
        <w:ind w:firstLine="420"/>
        <w:rPr>
          <w:rFonts w:ascii="Times New Roman" w:hAnsi="Times New Roman" w:eastAsia="宋体"/>
          <w:b/>
          <w:color w:val="auto"/>
          <w:szCs w:val="21"/>
          <w:highlight w:val="none"/>
        </w:rPr>
      </w:pPr>
      <w:r>
        <w:rPr>
          <w:rFonts w:ascii="Times New Roman" w:hAnsi="Times New Roman" w:eastAsia="宋体"/>
          <w:color w:val="auto"/>
          <w:highlight w:val="none"/>
        </w:rPr>
        <w:t>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p>
    <w:p w14:paraId="1266E49F">
      <w:pPr>
        <w:pStyle w:val="211"/>
        <w:pageBreakBefore w:val="0"/>
        <w:spacing w:before="0" w:after="0" w:line="360" w:lineRule="auto"/>
        <w:ind w:left="315" w:firstLine="105"/>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1、小微型企业价格扣除</w:t>
      </w:r>
    </w:p>
    <w:p w14:paraId="3118DC6F">
      <w:pPr>
        <w:pStyle w:val="211"/>
        <w:pageBreakBefore w:val="0"/>
        <w:spacing w:before="0" w:after="0" w:line="360" w:lineRule="auto"/>
        <w:ind w:firstLine="42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（1）本项目对小型和微型企业产品给予</w:t>
      </w:r>
      <w:r>
        <w:rPr>
          <w:rFonts w:hint="eastAsia" w:ascii="Times New Roman" w:hAnsi="Times New Roman" w:eastAsia="宋体"/>
          <w:color w:val="auto"/>
          <w:sz w:val="21"/>
          <w:szCs w:val="21"/>
          <w:highlight w:val="none"/>
        </w:rPr>
        <w:t>20</w:t>
      </w:r>
      <w:r>
        <w:rPr>
          <w:rFonts w:ascii="Times New Roman" w:hAnsi="Times New Roman" w:eastAsia="宋体"/>
          <w:color w:val="auto"/>
          <w:sz w:val="21"/>
          <w:szCs w:val="21"/>
          <w:highlight w:val="none"/>
        </w:rPr>
        <w:t>%的扣除价格，用扣除后的价格参与评审。</w:t>
      </w:r>
    </w:p>
    <w:p w14:paraId="08AF0161">
      <w:pPr>
        <w:pStyle w:val="211"/>
        <w:pageBreakBefore w:val="0"/>
        <w:spacing w:before="0" w:after="0" w:line="360" w:lineRule="auto"/>
        <w:ind w:firstLine="42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（2）供应商需按照采购文件的要求提供相应的《</w:t>
      </w:r>
      <w:r>
        <w:rPr>
          <w:rFonts w:hint="eastAsia" w:ascii="Times New Roman" w:hAnsi="Times New Roman" w:eastAsia="宋体"/>
          <w:color w:val="auto"/>
          <w:sz w:val="21"/>
          <w:szCs w:val="21"/>
          <w:highlight w:val="none"/>
        </w:rPr>
        <w:t>中小</w:t>
      </w:r>
      <w:r>
        <w:rPr>
          <w:rFonts w:ascii="Times New Roman" w:hAnsi="Times New Roman" w:eastAsia="宋体"/>
          <w:color w:val="auto"/>
          <w:sz w:val="21"/>
          <w:szCs w:val="21"/>
          <w:highlight w:val="none"/>
        </w:rPr>
        <w:t>企业声明函》。</w:t>
      </w:r>
    </w:p>
    <w:p w14:paraId="154309A1">
      <w:pPr>
        <w:pStyle w:val="211"/>
        <w:pageBreakBefore w:val="0"/>
        <w:spacing w:before="0" w:after="0" w:line="360" w:lineRule="auto"/>
        <w:ind w:left="420" w:firstLine="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2、残疾人福利单位价格扣除</w:t>
      </w:r>
    </w:p>
    <w:p w14:paraId="21D46DF2">
      <w:pPr>
        <w:pStyle w:val="211"/>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（1）本项目对残疾人福利性单位视同小型、微型企业，给予</w:t>
      </w:r>
      <w:r>
        <w:rPr>
          <w:rFonts w:hint="eastAsia" w:ascii="Times New Roman" w:hAnsi="Times New Roman" w:eastAsia="宋体"/>
          <w:color w:val="auto"/>
          <w:sz w:val="21"/>
          <w:szCs w:val="21"/>
          <w:highlight w:val="none"/>
        </w:rPr>
        <w:t>20</w:t>
      </w:r>
      <w:r>
        <w:rPr>
          <w:rFonts w:ascii="Times New Roman" w:hAnsi="Times New Roman" w:eastAsia="宋体"/>
          <w:color w:val="auto"/>
          <w:sz w:val="21"/>
          <w:szCs w:val="21"/>
          <w:highlight w:val="none"/>
        </w:rPr>
        <w:t>%的价格扣除，用扣除后的价格参与评审。</w:t>
      </w:r>
    </w:p>
    <w:p w14:paraId="1CB5E22A">
      <w:pPr>
        <w:pStyle w:val="211"/>
        <w:pageBreakBefore w:val="0"/>
        <w:spacing w:before="0" w:after="0" w:line="360" w:lineRule="auto"/>
        <w:ind w:left="420" w:firstLine="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（2）残疾人福利单位需按照采购文件的要求提供《残疾人福利性单位声明函》。</w:t>
      </w:r>
    </w:p>
    <w:p w14:paraId="2F0C1670">
      <w:pPr>
        <w:pStyle w:val="211"/>
        <w:pageBreakBefore w:val="0"/>
        <w:spacing w:before="0" w:after="0" w:line="360" w:lineRule="auto"/>
        <w:ind w:firstLine="42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（3）残疾人福利单位标准请参照《关于促进残疾人就业政府采购政策的通知》（财库2017〕141号）。</w:t>
      </w:r>
    </w:p>
    <w:p w14:paraId="13F1CB2F">
      <w:pPr>
        <w:pStyle w:val="211"/>
        <w:pageBreakBefore w:val="0"/>
        <w:spacing w:before="0" w:after="0" w:line="360" w:lineRule="auto"/>
        <w:ind w:left="420" w:firstLine="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3、监狱和戒毒企业价格扣除</w:t>
      </w:r>
    </w:p>
    <w:p w14:paraId="71C6F99A">
      <w:pPr>
        <w:pStyle w:val="211"/>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（1）本项目对监狱和戒毒企业（简称监狱企业）视同小型、微型企业，给予</w:t>
      </w:r>
      <w:r>
        <w:rPr>
          <w:rFonts w:hint="eastAsia" w:ascii="Times New Roman" w:hAnsi="Times New Roman" w:eastAsia="宋体"/>
          <w:color w:val="auto"/>
          <w:sz w:val="21"/>
          <w:szCs w:val="21"/>
          <w:highlight w:val="none"/>
        </w:rPr>
        <w:t>20</w:t>
      </w:r>
      <w:r>
        <w:rPr>
          <w:rFonts w:ascii="Times New Roman" w:hAnsi="Times New Roman" w:eastAsia="宋体"/>
          <w:color w:val="auto"/>
          <w:sz w:val="21"/>
          <w:szCs w:val="21"/>
          <w:highlight w:val="none"/>
        </w:rPr>
        <w:t>%的价格扣除，用扣除后的价格参与评审。</w:t>
      </w:r>
    </w:p>
    <w:p w14:paraId="79C68FD6">
      <w:pPr>
        <w:pStyle w:val="211"/>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（2）监狱企业参加政府采购活动时，需提供由省级以上监狱管理局、戒毒管理局（含新疆生产建设兵团）出具的属于监狱企业的证明文件。供应商如不提供上述证明文件，价格将不做相应扣除。</w:t>
      </w:r>
    </w:p>
    <w:p w14:paraId="085565EE">
      <w:pPr>
        <w:pStyle w:val="211"/>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（3）监狱企业标准请参照《关于政府采购支持监狱企业发展有关问题的通知》（财库</w:t>
      </w:r>
      <w:r>
        <w:rPr>
          <w:rFonts w:hint="eastAsia" w:ascii="Times New Roman" w:hAnsi="Times New Roman" w:eastAsia="宋体"/>
          <w:color w:val="auto"/>
          <w:sz w:val="21"/>
          <w:szCs w:val="21"/>
          <w:highlight w:val="none"/>
          <w:lang w:eastAsia="zh-CN"/>
        </w:rPr>
        <w:t>〔2014〕68号</w:t>
      </w:r>
      <w:r>
        <w:rPr>
          <w:rFonts w:ascii="Times New Roman" w:hAnsi="Times New Roman" w:eastAsia="宋体"/>
          <w:color w:val="auto"/>
          <w:sz w:val="21"/>
          <w:szCs w:val="21"/>
          <w:highlight w:val="none"/>
        </w:rPr>
        <w:t>）。</w:t>
      </w:r>
    </w:p>
    <w:p w14:paraId="43D44B76">
      <w:pPr>
        <w:pStyle w:val="211"/>
        <w:pageBreakBefore w:val="0"/>
        <w:spacing w:before="0" w:after="0" w:line="360" w:lineRule="auto"/>
        <w:ind w:firstLine="42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4、残疾人福利单位、监狱企业属于小型、微型企业的，不重复享受政策。</w:t>
      </w:r>
    </w:p>
    <w:p w14:paraId="64E9B604">
      <w:pPr>
        <w:pStyle w:val="211"/>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Times New Roman" w:hAnsi="Times New Roman" w:eastAsia="宋体"/>
          <w:color w:val="auto"/>
          <w:sz w:val="21"/>
          <w:szCs w:val="21"/>
          <w:highlight w:val="none"/>
        </w:rPr>
        <w:t>6</w:t>
      </w:r>
      <w:r>
        <w:rPr>
          <w:rFonts w:ascii="Times New Roman" w:hAnsi="Times New Roman" w:eastAsia="宋体"/>
          <w:color w:val="auto"/>
          <w:sz w:val="21"/>
          <w:szCs w:val="21"/>
          <w:highlight w:val="none"/>
        </w:rPr>
        <w:t>%的价格扣除，用扣除后的价格参与评审。</w:t>
      </w:r>
    </w:p>
    <w:p w14:paraId="30F1245D">
      <w:pPr>
        <w:pStyle w:val="211"/>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6、联合体各方均为小型、微型企业（残疾人福利单位、监狱企业）的，联合体享受</w:t>
      </w:r>
      <w:r>
        <w:rPr>
          <w:rFonts w:hint="eastAsia" w:ascii="Times New Roman" w:hAnsi="Times New Roman" w:eastAsia="宋体"/>
          <w:color w:val="auto"/>
          <w:sz w:val="21"/>
          <w:szCs w:val="21"/>
          <w:highlight w:val="none"/>
        </w:rPr>
        <w:t>20</w:t>
      </w:r>
      <w:r>
        <w:rPr>
          <w:rFonts w:ascii="Times New Roman" w:hAnsi="Times New Roman" w:eastAsia="宋体"/>
          <w:color w:val="auto"/>
          <w:sz w:val="21"/>
          <w:szCs w:val="21"/>
          <w:highlight w:val="none"/>
        </w:rPr>
        <w:t>%价格扣除，用扣除后的价格参与评审。</w:t>
      </w:r>
    </w:p>
    <w:p w14:paraId="0CEEAC60">
      <w:pPr>
        <w:pageBreakBefore w:val="0"/>
        <w:spacing w:line="360" w:lineRule="auto"/>
        <w:ind w:firstLine="420"/>
        <w:jc w:val="left"/>
        <w:rPr>
          <w:rFonts w:ascii="Times New Roman" w:hAnsi="Times New Roman" w:eastAsia="宋体"/>
          <w:color w:val="auto"/>
          <w:szCs w:val="21"/>
          <w:highlight w:val="none"/>
        </w:rPr>
      </w:pPr>
      <w:r>
        <w:rPr>
          <w:rFonts w:hint="eastAsia" w:ascii="Times New Roman" w:hAnsi="Times New Roman" w:eastAsia="宋体"/>
          <w:color w:val="auto"/>
          <w:szCs w:val="21"/>
          <w:highlight w:val="none"/>
        </w:rPr>
        <w:t>7、大中型企业向小型、微型企业分包的，分包意向协议约定小型、微型企业合同份额占到合同总金额40%以上的，给予6%的价格扣除，用扣除后的价格参与评审。</w:t>
      </w:r>
    </w:p>
    <w:p w14:paraId="2E03C9D9">
      <w:pPr>
        <w:pageBreakBefore w:val="0"/>
        <w:spacing w:line="360" w:lineRule="auto"/>
        <w:ind w:firstLine="420"/>
        <w:jc w:val="left"/>
        <w:rPr>
          <w:rFonts w:ascii="Times New Roman" w:hAnsi="Times New Roman" w:eastAsia="宋体"/>
          <w:color w:val="auto"/>
          <w:szCs w:val="21"/>
          <w:highlight w:val="none"/>
        </w:rPr>
      </w:pPr>
      <w:r>
        <w:rPr>
          <w:rFonts w:hint="eastAsia" w:ascii="Times New Roman" w:hAnsi="Times New Roman" w:eastAsia="宋体"/>
          <w:color w:val="auto"/>
          <w:szCs w:val="21"/>
          <w:highlight w:val="none"/>
        </w:rPr>
        <w:t>8、采购本国产品的支持政策</w:t>
      </w:r>
    </w:p>
    <w:p w14:paraId="40E6D612">
      <w:pPr>
        <w:pageBreakBefore w:val="0"/>
        <w:spacing w:line="360" w:lineRule="auto"/>
        <w:ind w:firstLine="420"/>
        <w:jc w:val="left"/>
        <w:rPr>
          <w:rFonts w:ascii="Times New Roman" w:hAnsi="Times New Roman" w:eastAsia="宋体"/>
          <w:color w:val="auto"/>
          <w:szCs w:val="21"/>
          <w:highlight w:val="none"/>
        </w:rPr>
      </w:pPr>
      <w:r>
        <w:rPr>
          <w:rFonts w:hint="eastAsia" w:ascii="Times New Roman" w:hAnsi="Times New Roman" w:eastAsia="宋体"/>
          <w:color w:val="auto"/>
          <w:szCs w:val="21"/>
          <w:highlight w:val="none"/>
        </w:rPr>
        <w:t>8.1本项目政府采购活动中既有本国产品又有非本国产品参与竞争的，依法对本国产品给予价格评审优惠，对本国产品的报价给予20%的价格扣除，用扣除后的价格参与评审。</w:t>
      </w:r>
    </w:p>
    <w:p w14:paraId="114D3BD8">
      <w:pPr>
        <w:pageBreakBefore w:val="0"/>
        <w:spacing w:line="360" w:lineRule="auto"/>
        <w:ind w:firstLine="420"/>
        <w:jc w:val="left"/>
        <w:rPr>
          <w:rFonts w:ascii="Times New Roman" w:hAnsi="Times New Roman" w:eastAsia="宋体"/>
          <w:color w:val="auto"/>
          <w:szCs w:val="21"/>
          <w:highlight w:val="none"/>
        </w:rPr>
      </w:pPr>
      <w:r>
        <w:rPr>
          <w:rFonts w:hint="eastAsia" w:ascii="Times New Roman" w:hAnsi="Times New Roman" w:eastAsia="宋体"/>
          <w:color w:val="auto"/>
          <w:szCs w:val="21"/>
          <w:highlight w:val="none"/>
        </w:rPr>
        <w:t>8.2当采购项目或者采购包中含有多种产品，供应商为该采购项目或者采购包提供的符合本国产品标准的产品成本之和占该供应商提供的全部产品成本之和的比例达到80%以上时（供应商需在“第六章投标文件格式”的“分项报价表”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457B6BE6">
      <w:pPr>
        <w:keepNext w:val="0"/>
        <w:keepLines w:val="0"/>
        <w:pageBreakBefore w:val="0"/>
        <w:widowControl w:val="0"/>
        <w:spacing w:line="360" w:lineRule="auto"/>
        <w:ind w:firstLine="420"/>
        <w:jc w:val="left"/>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8.3供应商需按照招标文件的要求提供《关于符合本国产品标准的声明函》（以下简称《声明函》），如不提供将不享受本国产品价格评审优惠。</w:t>
      </w:r>
    </w:p>
    <w:p w14:paraId="2F963FDB">
      <w:pPr>
        <w:keepNext w:val="0"/>
        <w:keepLines w:val="0"/>
        <w:pageBreakBefore w:val="0"/>
        <w:widowControl w:val="0"/>
        <w:spacing w:line="360" w:lineRule="auto"/>
        <w:ind w:firstLine="420"/>
        <w:jc w:val="left"/>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8.4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0EF47E9F">
      <w:pPr>
        <w:keepNext w:val="0"/>
        <w:keepLines w:val="0"/>
        <w:pageBreakBefore w:val="0"/>
        <w:widowControl w:val="0"/>
        <w:spacing w:line="360" w:lineRule="auto"/>
        <w:ind w:firstLine="420"/>
        <w:jc w:val="left"/>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8.5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3DADAAE4">
      <w:pPr>
        <w:pageBreakBefore w:val="0"/>
        <w:spacing w:line="360" w:lineRule="auto"/>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br w:type="page" w:clear="all"/>
      </w:r>
    </w:p>
    <w:p w14:paraId="553BA37A">
      <w:pPr>
        <w:pStyle w:val="211"/>
        <w:keepNext w:val="0"/>
        <w:keepLines w:val="0"/>
        <w:pageBreakBefore w:val="0"/>
        <w:widowControl w:val="0"/>
        <w:spacing w:before="0" w:after="0" w:line="360" w:lineRule="auto"/>
        <w:ind w:firstLine="422"/>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t>三、评标标准</w:t>
      </w:r>
    </w:p>
    <w:tbl>
      <w:tblPr>
        <w:tblStyle w:val="41"/>
        <w:tblW w:w="95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2"/>
        <w:gridCol w:w="1421"/>
        <w:gridCol w:w="6894"/>
      </w:tblGrid>
      <w:tr w14:paraId="54FA8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33" w:type="dxa"/>
            <w:gridSpan w:val="2"/>
            <w:tcBorders>
              <w:top w:val="single" w:color="auto" w:sz="4" w:space="0"/>
              <w:left w:val="single" w:color="auto" w:sz="4" w:space="0"/>
              <w:bottom w:val="single" w:color="auto" w:sz="4" w:space="0"/>
              <w:right w:val="single" w:color="auto" w:sz="4" w:space="0"/>
            </w:tcBorders>
            <w:noWrap w:val="0"/>
            <w:vAlign w:val="center"/>
          </w:tcPr>
          <w:p w14:paraId="170DBF84">
            <w:pPr>
              <w:jc w:val="center"/>
              <w:rPr>
                <w:rFonts w:ascii="宋体" w:hAnsi="宋体" w:cs="宋体"/>
              </w:rPr>
            </w:pPr>
            <w:r>
              <w:rPr>
                <w:rFonts w:hint="eastAsia" w:ascii="宋体" w:hAnsi="宋体" w:cs="宋体"/>
              </w:rPr>
              <w:t>项目</w:t>
            </w:r>
          </w:p>
        </w:tc>
        <w:tc>
          <w:tcPr>
            <w:tcW w:w="6894" w:type="dxa"/>
            <w:tcBorders>
              <w:top w:val="single" w:color="auto" w:sz="4" w:space="0"/>
              <w:left w:val="single" w:color="auto" w:sz="4" w:space="0"/>
              <w:bottom w:val="single" w:color="auto" w:sz="4" w:space="0"/>
              <w:right w:val="single" w:color="auto" w:sz="4" w:space="0"/>
            </w:tcBorders>
            <w:noWrap w:val="0"/>
            <w:vAlign w:val="center"/>
          </w:tcPr>
          <w:p w14:paraId="7E646013">
            <w:pPr>
              <w:jc w:val="center"/>
              <w:rPr>
                <w:rFonts w:ascii="宋体" w:hAnsi="宋体" w:cs="宋体"/>
              </w:rPr>
            </w:pPr>
            <w:r>
              <w:rPr>
                <w:rFonts w:hint="eastAsia" w:ascii="宋体" w:hAnsi="宋体" w:cs="宋体"/>
              </w:rPr>
              <w:t>评审标准</w:t>
            </w:r>
          </w:p>
        </w:tc>
      </w:tr>
      <w:tr w14:paraId="323D3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33" w:type="dxa"/>
            <w:gridSpan w:val="2"/>
            <w:tcBorders>
              <w:top w:val="single" w:color="auto" w:sz="4" w:space="0"/>
              <w:left w:val="single" w:color="auto" w:sz="4" w:space="0"/>
              <w:bottom w:val="single" w:color="auto" w:sz="4" w:space="0"/>
              <w:right w:val="single" w:color="auto" w:sz="4" w:space="0"/>
            </w:tcBorders>
            <w:noWrap w:val="0"/>
            <w:vAlign w:val="center"/>
          </w:tcPr>
          <w:p w14:paraId="18516B3A">
            <w:pPr>
              <w:jc w:val="center"/>
              <w:rPr>
                <w:rFonts w:ascii="宋体" w:hAnsi="宋体" w:cs="宋体"/>
              </w:rPr>
            </w:pPr>
            <w:r>
              <w:rPr>
                <w:rFonts w:hint="eastAsia" w:ascii="宋体" w:hAnsi="宋体" w:cs="宋体"/>
              </w:rPr>
              <w:t>报价部分（</w:t>
            </w:r>
            <w:r>
              <w:rPr>
                <w:rFonts w:hint="eastAsia" w:ascii="宋体" w:hAnsi="宋体" w:cs="宋体"/>
                <w:lang w:val="en-US" w:eastAsia="zh-CN"/>
              </w:rPr>
              <w:t>20</w:t>
            </w:r>
            <w:r>
              <w:rPr>
                <w:rFonts w:hint="eastAsia" w:ascii="宋体" w:hAnsi="宋体" w:cs="宋体"/>
              </w:rPr>
              <w:t>分）</w:t>
            </w:r>
          </w:p>
        </w:tc>
        <w:tc>
          <w:tcPr>
            <w:tcW w:w="6894" w:type="dxa"/>
            <w:tcBorders>
              <w:top w:val="single" w:color="auto" w:sz="4" w:space="0"/>
              <w:left w:val="single" w:color="auto" w:sz="4" w:space="0"/>
              <w:bottom w:val="single" w:color="auto" w:sz="4" w:space="0"/>
              <w:right w:val="single" w:color="auto" w:sz="4" w:space="0"/>
            </w:tcBorders>
            <w:noWrap w:val="0"/>
            <w:vAlign w:val="center"/>
          </w:tcPr>
          <w:p w14:paraId="2335020B">
            <w:pPr>
              <w:rPr>
                <w:rFonts w:ascii="宋体" w:hAnsi="宋体" w:cs="宋体"/>
              </w:rPr>
            </w:pPr>
            <w:r>
              <w:rPr>
                <w:rFonts w:ascii="宋体" w:hAnsi="宋体" w:cs="宋体"/>
              </w:rPr>
              <w:t>以满足招标文件要求的最低投标报价为评标基准价，得满分</w:t>
            </w:r>
            <w:r>
              <w:rPr>
                <w:rFonts w:hint="eastAsia" w:ascii="宋体" w:hAnsi="宋体" w:cs="宋体"/>
                <w:lang w:val="en-US" w:eastAsia="zh-CN"/>
              </w:rPr>
              <w:t>20</w:t>
            </w:r>
            <w:r>
              <w:rPr>
                <w:rFonts w:ascii="宋体" w:hAnsi="宋体" w:cs="宋体"/>
              </w:rPr>
              <w:t>分。</w:t>
            </w:r>
          </w:p>
          <w:p w14:paraId="4FB6468A">
            <w:pPr>
              <w:rPr>
                <w:rFonts w:ascii="宋体" w:hAnsi="宋体" w:cs="宋体"/>
              </w:rPr>
            </w:pPr>
            <w:r>
              <w:rPr>
                <w:rFonts w:ascii="宋体" w:hAnsi="宋体" w:cs="宋体"/>
              </w:rPr>
              <w:t>其他投标报价得分＝（评标基准价/其他投标报价）×</w:t>
            </w:r>
            <w:r>
              <w:rPr>
                <w:rFonts w:hint="eastAsia" w:ascii="宋体" w:hAnsi="宋体" w:cs="宋体"/>
                <w:lang w:val="en-US" w:eastAsia="zh-CN"/>
              </w:rPr>
              <w:t>20</w:t>
            </w:r>
            <w:r>
              <w:rPr>
                <w:rFonts w:ascii="宋体" w:hAnsi="宋体" w:cs="宋体"/>
              </w:rPr>
              <w:t>×100％。</w:t>
            </w:r>
          </w:p>
        </w:tc>
      </w:tr>
      <w:tr w14:paraId="1705A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6" w:hRule="atLeast"/>
          <w:jc w:val="center"/>
        </w:trPr>
        <w:tc>
          <w:tcPr>
            <w:tcW w:w="1212" w:type="dxa"/>
            <w:vMerge w:val="restart"/>
            <w:tcBorders>
              <w:left w:val="single" w:color="auto" w:sz="4" w:space="0"/>
              <w:right w:val="single" w:color="auto" w:sz="4" w:space="0"/>
            </w:tcBorders>
            <w:noWrap w:val="0"/>
            <w:vAlign w:val="center"/>
          </w:tcPr>
          <w:p w14:paraId="30793EEA">
            <w:pPr>
              <w:jc w:val="center"/>
              <w:rPr>
                <w:rFonts w:hint="eastAsia" w:ascii="宋体" w:hAnsi="宋体" w:cs="宋体"/>
              </w:rPr>
            </w:pPr>
            <w:r>
              <w:rPr>
                <w:rFonts w:hint="eastAsia" w:ascii="宋体" w:hAnsi="宋体" w:cs="宋体"/>
              </w:rPr>
              <w:t>商务部分（</w:t>
            </w:r>
            <w:r>
              <w:rPr>
                <w:rFonts w:hint="eastAsia" w:ascii="宋体" w:hAnsi="宋体" w:cs="宋体"/>
                <w:lang w:val="en-US" w:eastAsia="zh-CN"/>
              </w:rPr>
              <w:t>32</w:t>
            </w:r>
            <w:r>
              <w:rPr>
                <w:rFonts w:hint="eastAsia" w:ascii="宋体" w:hAnsi="宋体" w:cs="宋体"/>
              </w:rPr>
              <w:t>）</w:t>
            </w:r>
          </w:p>
        </w:tc>
        <w:tc>
          <w:tcPr>
            <w:tcW w:w="142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0A8D163">
            <w:pPr>
              <w:jc w:val="center"/>
              <w:rPr>
                <w:rFonts w:ascii="宋体" w:hAnsi="宋体" w:cs="宋体"/>
              </w:rPr>
            </w:pPr>
            <w:r>
              <w:rPr>
                <w:rFonts w:hint="eastAsia" w:ascii="宋体" w:hAnsi="宋体" w:cs="宋体"/>
                <w:lang w:val="en-US" w:eastAsia="zh-CN"/>
              </w:rPr>
              <w:t>类似</w:t>
            </w:r>
            <w:r>
              <w:rPr>
                <w:rFonts w:hint="eastAsia" w:ascii="宋体" w:hAnsi="宋体" w:cs="宋体"/>
              </w:rPr>
              <w:t>业绩</w:t>
            </w:r>
          </w:p>
          <w:p w14:paraId="481AA938">
            <w:pPr>
              <w:jc w:val="center"/>
              <w:rPr>
                <w:rFonts w:hint="eastAsia" w:ascii="宋体" w:hAnsi="宋体" w:cs="宋体" w:eastAsiaTheme="minorEastAsia"/>
                <w:kern w:val="2"/>
                <w:sz w:val="21"/>
                <w:szCs w:val="24"/>
                <w:lang w:val="en-US" w:eastAsia="zh-CN" w:bidi="ar-SA"/>
              </w:rPr>
            </w:pPr>
            <w:r>
              <w:rPr>
                <w:rFonts w:hint="eastAsia" w:ascii="宋体" w:hAnsi="宋体" w:cs="宋体"/>
              </w:rPr>
              <w:t>（</w:t>
            </w:r>
            <w:r>
              <w:rPr>
                <w:rFonts w:ascii="宋体" w:hAnsi="宋体" w:cs="宋体"/>
              </w:rPr>
              <w:t>10</w:t>
            </w:r>
            <w:r>
              <w:rPr>
                <w:rFonts w:hint="eastAsia" w:ascii="宋体" w:hAnsi="宋体" w:cs="宋体"/>
              </w:rPr>
              <w:t>分）</w:t>
            </w:r>
          </w:p>
        </w:tc>
        <w:tc>
          <w:tcPr>
            <w:tcW w:w="689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BEC75A0">
            <w:pPr>
              <w:ind w:hanging="7"/>
              <w:rPr>
                <w:rFonts w:ascii="宋体" w:hAnsi="宋体" w:cs="宋体"/>
              </w:rPr>
            </w:pPr>
            <w:r>
              <w:rPr>
                <w:rFonts w:ascii="宋体" w:hAnsi="宋体" w:cs="宋体"/>
              </w:rPr>
              <w:t>投标人</w:t>
            </w:r>
            <w:r>
              <w:rPr>
                <w:rFonts w:hint="eastAsia" w:ascii="宋体" w:hAnsi="宋体" w:cs="宋体"/>
              </w:rPr>
              <w:t>自2021</w:t>
            </w:r>
            <w:r>
              <w:rPr>
                <w:rFonts w:ascii="宋体" w:hAnsi="宋体" w:cs="宋体"/>
              </w:rPr>
              <w:t>年1月1日以来（以合同签订时间</w:t>
            </w:r>
            <w:r>
              <w:rPr>
                <w:rFonts w:hint="eastAsia" w:ascii="宋体" w:hAnsi="宋体" w:cs="宋体"/>
              </w:rPr>
              <w:t>为准</w:t>
            </w:r>
            <w:r>
              <w:rPr>
                <w:rFonts w:ascii="宋体" w:hAnsi="宋体" w:cs="宋体"/>
              </w:rPr>
              <w:t>）承担</w:t>
            </w:r>
            <w:r>
              <w:rPr>
                <w:rFonts w:hint="eastAsia" w:ascii="宋体" w:hAnsi="宋体" w:cs="宋体"/>
              </w:rPr>
              <w:t>过类似项目</w:t>
            </w:r>
            <w:r>
              <w:rPr>
                <w:rFonts w:hint="eastAsia" w:ascii="宋体" w:hAnsi="宋体" w:cs="宋体"/>
                <w:lang w:val="en-US" w:eastAsia="zh-CN"/>
              </w:rPr>
              <w:t>业绩</w:t>
            </w:r>
            <w:r>
              <w:rPr>
                <w:rFonts w:hint="eastAsia" w:ascii="宋体" w:hAnsi="宋体" w:cs="宋体"/>
              </w:rPr>
              <w:t>的</w:t>
            </w:r>
            <w:r>
              <w:rPr>
                <w:rFonts w:ascii="宋体" w:hAnsi="宋体" w:cs="宋体"/>
              </w:rPr>
              <w:t>，每个得2分，最高得10分</w:t>
            </w:r>
            <w:r>
              <w:rPr>
                <w:rFonts w:hint="eastAsia" w:ascii="宋体" w:hAnsi="宋体" w:cs="宋体"/>
              </w:rPr>
              <w:t>，</w:t>
            </w:r>
            <w:r>
              <w:rPr>
                <w:rFonts w:ascii="宋体" w:hAnsi="宋体" w:cs="宋体"/>
              </w:rPr>
              <w:t>没有不得分。</w:t>
            </w:r>
          </w:p>
          <w:p w14:paraId="68742DD5">
            <w:pPr>
              <w:ind w:hanging="7" w:firstLineChars="0"/>
              <w:rPr>
                <w:rFonts w:ascii="宋体" w:hAnsi="宋体" w:cs="宋体" w:eastAsiaTheme="minorEastAsia"/>
                <w:b/>
                <w:kern w:val="2"/>
                <w:sz w:val="21"/>
                <w:szCs w:val="24"/>
                <w:lang w:val="en-US" w:eastAsia="zh-CN" w:bidi="ar-SA"/>
              </w:rPr>
            </w:pPr>
            <w:r>
              <w:rPr>
                <w:rFonts w:ascii="宋体" w:hAnsi="宋体" w:cs="宋体"/>
                <w:b/>
              </w:rPr>
              <w:t>注：须提供合同</w:t>
            </w:r>
            <w:r>
              <w:rPr>
                <w:rFonts w:hint="eastAsia" w:ascii="宋体" w:hAnsi="宋体" w:cs="宋体"/>
                <w:b/>
              </w:rPr>
              <w:t>原件，</w:t>
            </w:r>
            <w:r>
              <w:rPr>
                <w:rFonts w:ascii="宋体" w:hAnsi="宋体" w:cs="宋体"/>
                <w:b/>
              </w:rPr>
              <w:t>扫描</w:t>
            </w:r>
            <w:r>
              <w:rPr>
                <w:rFonts w:hint="eastAsia" w:ascii="宋体" w:hAnsi="宋体" w:cs="宋体"/>
                <w:b/>
              </w:rPr>
              <w:t>上传</w:t>
            </w:r>
            <w:r>
              <w:rPr>
                <w:rFonts w:ascii="宋体" w:hAnsi="宋体" w:cs="宋体"/>
                <w:b/>
              </w:rPr>
              <w:t>，</w:t>
            </w:r>
            <w:r>
              <w:rPr>
                <w:rFonts w:hint="eastAsia" w:ascii="宋体" w:hAnsi="宋体" w:cs="宋体"/>
                <w:b/>
              </w:rPr>
              <w:t>同一份合同只能得一次分，</w:t>
            </w:r>
            <w:r>
              <w:rPr>
                <w:rFonts w:ascii="宋体" w:hAnsi="宋体" w:cs="宋体"/>
                <w:b/>
              </w:rPr>
              <w:t>分包、转包合同</w:t>
            </w:r>
            <w:r>
              <w:rPr>
                <w:rFonts w:hint="eastAsia" w:ascii="宋体" w:hAnsi="宋体" w:cs="宋体"/>
                <w:b/>
              </w:rPr>
              <w:t>不得分，</w:t>
            </w:r>
            <w:r>
              <w:rPr>
                <w:rFonts w:ascii="宋体" w:hAnsi="宋体" w:cs="宋体"/>
                <w:b/>
              </w:rPr>
              <w:t>未按要求提供不得分。</w:t>
            </w:r>
          </w:p>
        </w:tc>
      </w:tr>
      <w:tr w14:paraId="62105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12" w:type="dxa"/>
            <w:vMerge w:val="continue"/>
            <w:tcBorders>
              <w:left w:val="single" w:color="auto" w:sz="4" w:space="0"/>
              <w:right w:val="single" w:color="auto" w:sz="4" w:space="0"/>
            </w:tcBorders>
            <w:noWrap w:val="0"/>
            <w:vAlign w:val="center"/>
          </w:tcPr>
          <w:p w14:paraId="50F5272D">
            <w:pPr>
              <w:widowControl/>
              <w:jc w:val="left"/>
              <w:rPr>
                <w:rFonts w:ascii="宋体" w:hAnsi="宋体" w:cs="宋体"/>
              </w:rPr>
            </w:pPr>
          </w:p>
        </w:tc>
        <w:tc>
          <w:tcPr>
            <w:tcW w:w="142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8224C76">
            <w:pPr>
              <w:jc w:val="center"/>
              <w:rPr>
                <w:rFonts w:hint="eastAsia" w:ascii="宋体" w:hAnsi="宋体" w:cs="宋体" w:eastAsiaTheme="minorEastAsia"/>
                <w:kern w:val="2"/>
                <w:sz w:val="24"/>
                <w:szCs w:val="24"/>
                <w:lang w:val="en-US" w:eastAsia="zh-CN" w:bidi="ar-SA"/>
              </w:rPr>
            </w:pPr>
            <w:r>
              <w:rPr>
                <w:rFonts w:hint="eastAsia" w:ascii="宋体" w:hAnsi="宋体" w:cs="宋体"/>
                <w:lang w:val="en-US" w:eastAsia="zh-CN"/>
              </w:rPr>
              <w:t>项目人员构成（22分）</w:t>
            </w:r>
          </w:p>
        </w:tc>
        <w:tc>
          <w:tcPr>
            <w:tcW w:w="689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D6DC653">
            <w:pPr>
              <w:ind w:hanging="7"/>
              <w:rPr>
                <w:rFonts w:ascii="宋体" w:hAnsi="宋体" w:cs="宋体"/>
                <w:b/>
                <w:bCs/>
                <w:lang w:val="zh-CN"/>
              </w:rPr>
            </w:pPr>
            <w:r>
              <w:rPr>
                <w:rFonts w:ascii="宋体" w:hAnsi="宋体" w:cs="宋体"/>
                <w:lang w:val="zh-CN"/>
              </w:rPr>
              <w:t>（1）项目负责人</w:t>
            </w:r>
            <w:r>
              <w:rPr>
                <w:rFonts w:hint="eastAsia" w:ascii="宋体" w:hAnsi="宋体" w:cs="宋体"/>
                <w:lang w:val="zh-CN"/>
              </w:rPr>
              <w:t>：</w:t>
            </w:r>
            <w:r>
              <w:rPr>
                <w:rFonts w:ascii="宋体" w:hAnsi="宋体" w:cs="宋体"/>
                <w:lang w:val="zh-CN"/>
              </w:rPr>
              <w:t>同时具备正高级工程师职称</w:t>
            </w:r>
            <w:r>
              <w:rPr>
                <w:rFonts w:hint="eastAsia" w:ascii="宋体" w:hAnsi="宋体" w:cs="宋体"/>
                <w:lang w:val="zh-CN"/>
              </w:rPr>
              <w:t>、</w:t>
            </w:r>
            <w:r>
              <w:rPr>
                <w:rFonts w:ascii="宋体" w:hAnsi="宋体" w:cs="宋体"/>
                <w:lang w:val="zh-CN"/>
              </w:rPr>
              <w:t>注册测绘师证书</w:t>
            </w:r>
            <w:r>
              <w:rPr>
                <w:rFonts w:hint="eastAsia" w:ascii="宋体" w:hAnsi="宋体" w:cs="宋体"/>
                <w:lang w:val="zh-CN"/>
              </w:rPr>
              <w:t>、</w:t>
            </w:r>
            <w:r>
              <w:rPr>
                <w:rFonts w:hint="eastAsia" w:ascii="宋体" w:hAnsi="宋体" w:cs="宋体"/>
                <w:lang w:val="en-US" w:eastAsia="zh-CN"/>
              </w:rPr>
              <w:t>项目管理师证书</w:t>
            </w:r>
            <w:r>
              <w:rPr>
                <w:rFonts w:ascii="宋体" w:hAnsi="宋体" w:cs="宋体"/>
                <w:lang w:val="zh-CN"/>
              </w:rPr>
              <w:t>的得</w:t>
            </w:r>
            <w:r>
              <w:rPr>
                <w:rFonts w:hint="eastAsia" w:ascii="宋体" w:hAnsi="宋体" w:cs="宋体"/>
                <w:lang w:val="en-US" w:eastAsia="zh-CN"/>
              </w:rPr>
              <w:t>4.5</w:t>
            </w:r>
            <w:r>
              <w:rPr>
                <w:rFonts w:ascii="宋体" w:hAnsi="宋体" w:cs="宋体"/>
                <w:lang w:val="zh-CN"/>
              </w:rPr>
              <w:t>分</w:t>
            </w:r>
            <w:r>
              <w:rPr>
                <w:rFonts w:hint="eastAsia" w:ascii="宋体" w:hAnsi="宋体" w:cs="宋体"/>
                <w:lang w:val="zh-CN"/>
              </w:rPr>
              <w:t>，具备任一项的得</w:t>
            </w:r>
            <w:r>
              <w:rPr>
                <w:rFonts w:hint="eastAsia" w:ascii="宋体" w:hAnsi="宋体" w:cs="宋体"/>
                <w:lang w:val="en-US" w:eastAsia="zh-CN"/>
              </w:rPr>
              <w:t>1.5</w:t>
            </w:r>
            <w:r>
              <w:rPr>
                <w:rFonts w:hint="eastAsia" w:ascii="宋体" w:hAnsi="宋体" w:cs="宋体"/>
                <w:lang w:val="zh-CN"/>
              </w:rPr>
              <w:t>分，</w:t>
            </w:r>
            <w:r>
              <w:rPr>
                <w:rFonts w:hint="eastAsia" w:ascii="宋体" w:hAnsi="宋体" w:cs="宋体"/>
                <w:lang w:val="en-US" w:eastAsia="zh-CN"/>
              </w:rPr>
              <w:t>最高得4.5分</w:t>
            </w:r>
            <w:r>
              <w:rPr>
                <w:rFonts w:hint="eastAsia" w:ascii="宋体" w:hAnsi="宋体" w:cs="宋体"/>
                <w:lang w:val="zh-CN"/>
              </w:rPr>
              <w:t>。</w:t>
            </w:r>
            <w:r>
              <w:rPr>
                <w:rFonts w:ascii="宋体" w:hAnsi="宋体" w:cs="宋体"/>
                <w:b/>
                <w:bCs/>
                <w:lang w:val="zh-CN"/>
              </w:rPr>
              <w:t xml:space="preserve"> </w:t>
            </w:r>
          </w:p>
          <w:p w14:paraId="5AF14446">
            <w:pPr>
              <w:ind w:hanging="7"/>
              <w:rPr>
                <w:rFonts w:ascii="宋体" w:hAnsi="宋体" w:cs="宋体"/>
                <w:lang w:val="zh-CN"/>
              </w:rPr>
            </w:pPr>
            <w:r>
              <w:rPr>
                <w:rFonts w:hint="eastAsia" w:ascii="宋体" w:hAnsi="宋体" w:cs="宋体"/>
                <w:lang w:val="zh-CN"/>
              </w:rPr>
              <w:t>（2）技术负责人：同时具备正高级工程师职称、注册测绘师证书的得</w:t>
            </w:r>
            <w:r>
              <w:rPr>
                <w:rFonts w:ascii="宋体" w:hAnsi="宋体" w:cs="宋体"/>
                <w:lang w:val="zh-CN"/>
              </w:rPr>
              <w:t>4</w:t>
            </w:r>
            <w:r>
              <w:rPr>
                <w:rFonts w:hint="eastAsia" w:ascii="宋体" w:hAnsi="宋体" w:cs="宋体"/>
                <w:lang w:val="zh-CN"/>
              </w:rPr>
              <w:t>分，具备任一项的得</w:t>
            </w:r>
            <w:r>
              <w:rPr>
                <w:rFonts w:hint="eastAsia" w:ascii="宋体" w:hAnsi="宋体" w:cs="宋体"/>
                <w:lang w:val="en-US" w:eastAsia="zh-CN"/>
              </w:rPr>
              <w:t>2</w:t>
            </w:r>
            <w:r>
              <w:rPr>
                <w:rFonts w:hint="eastAsia" w:ascii="宋体" w:hAnsi="宋体" w:cs="宋体"/>
                <w:lang w:val="zh-CN"/>
              </w:rPr>
              <w:t>分，</w:t>
            </w:r>
            <w:r>
              <w:rPr>
                <w:rFonts w:hint="eastAsia" w:ascii="宋体" w:hAnsi="宋体" w:cs="宋体"/>
                <w:lang w:val="en-US" w:eastAsia="zh-CN"/>
              </w:rPr>
              <w:t>最高得4分</w:t>
            </w:r>
            <w:r>
              <w:rPr>
                <w:rFonts w:hint="eastAsia" w:ascii="宋体" w:hAnsi="宋体" w:cs="宋体"/>
                <w:lang w:val="zh-CN"/>
              </w:rPr>
              <w:t>。</w:t>
            </w:r>
          </w:p>
          <w:p w14:paraId="443F33CE">
            <w:pPr>
              <w:spacing w:before="41"/>
              <w:rPr>
                <w:rFonts w:ascii="宋体" w:hAnsi="宋体" w:cs="宋体"/>
                <w:spacing w:val="8"/>
              </w:rPr>
            </w:pPr>
            <w:r>
              <w:rPr>
                <w:rFonts w:ascii="宋体" w:hAnsi="宋体" w:cs="宋体"/>
                <w:spacing w:val="8"/>
              </w:rPr>
              <w:t>（3）质量负责人：同时具备正高级工程师职称</w:t>
            </w:r>
            <w:r>
              <w:rPr>
                <w:rFonts w:hint="eastAsia" w:ascii="宋体" w:hAnsi="宋体" w:cs="宋体"/>
                <w:spacing w:val="8"/>
                <w:lang w:eastAsia="zh-CN"/>
              </w:rPr>
              <w:t>、</w:t>
            </w:r>
            <w:r>
              <w:rPr>
                <w:rFonts w:ascii="宋体" w:hAnsi="宋体" w:cs="宋体"/>
                <w:spacing w:val="8"/>
              </w:rPr>
              <w:t>注册测绘师证书</w:t>
            </w:r>
            <w:r>
              <w:rPr>
                <w:rFonts w:hint="eastAsia" w:ascii="宋体" w:hAnsi="宋体" w:cs="宋体"/>
                <w:spacing w:val="8"/>
                <w:lang w:eastAsia="zh-CN"/>
              </w:rPr>
              <w:t>、</w:t>
            </w:r>
            <w:r>
              <w:rPr>
                <w:rFonts w:hint="eastAsia" w:ascii="宋体" w:hAnsi="宋体" w:cs="宋体"/>
                <w:spacing w:val="8"/>
                <w:lang w:val="en-US" w:eastAsia="zh-CN"/>
              </w:rPr>
              <w:t>核心涉密人员证书</w:t>
            </w:r>
            <w:r>
              <w:rPr>
                <w:rFonts w:ascii="宋体" w:hAnsi="宋体" w:cs="宋体"/>
                <w:spacing w:val="8"/>
              </w:rPr>
              <w:t>的得</w:t>
            </w:r>
            <w:r>
              <w:rPr>
                <w:rFonts w:hint="eastAsia" w:ascii="宋体" w:hAnsi="宋体" w:cs="宋体"/>
                <w:spacing w:val="8"/>
                <w:lang w:val="en-US" w:eastAsia="zh-CN"/>
              </w:rPr>
              <w:t>4.5</w:t>
            </w:r>
            <w:r>
              <w:rPr>
                <w:rFonts w:ascii="宋体" w:hAnsi="宋体" w:cs="宋体"/>
                <w:spacing w:val="8"/>
              </w:rPr>
              <w:t>分；</w:t>
            </w:r>
            <w:r>
              <w:rPr>
                <w:rFonts w:hint="eastAsia" w:ascii="宋体" w:hAnsi="宋体" w:cs="宋体"/>
                <w:spacing w:val="8"/>
              </w:rPr>
              <w:t>具备任一项</w:t>
            </w:r>
            <w:r>
              <w:rPr>
                <w:rFonts w:ascii="宋体" w:hAnsi="宋体" w:cs="宋体"/>
                <w:spacing w:val="8"/>
              </w:rPr>
              <w:t>的得1</w:t>
            </w:r>
            <w:r>
              <w:rPr>
                <w:rFonts w:hint="eastAsia" w:ascii="宋体" w:hAnsi="宋体" w:cs="宋体"/>
                <w:spacing w:val="8"/>
                <w:lang w:val="en-US" w:eastAsia="zh-CN"/>
              </w:rPr>
              <w:t>.5</w:t>
            </w:r>
            <w:r>
              <w:rPr>
                <w:rFonts w:ascii="宋体" w:hAnsi="宋体" w:cs="宋体"/>
                <w:spacing w:val="8"/>
              </w:rPr>
              <w:t>分</w:t>
            </w:r>
            <w:r>
              <w:rPr>
                <w:rFonts w:hint="eastAsia" w:ascii="宋体" w:hAnsi="宋体" w:cs="宋体"/>
                <w:lang w:val="zh-CN"/>
              </w:rPr>
              <w:t>，</w:t>
            </w:r>
            <w:r>
              <w:rPr>
                <w:rFonts w:hint="eastAsia" w:ascii="宋体" w:hAnsi="宋体" w:cs="宋体"/>
                <w:lang w:val="en-US" w:eastAsia="zh-CN"/>
              </w:rPr>
              <w:t>最高得4.5分</w:t>
            </w:r>
            <w:r>
              <w:rPr>
                <w:rFonts w:ascii="宋体" w:hAnsi="宋体" w:cs="宋体"/>
                <w:spacing w:val="8"/>
              </w:rPr>
              <w:t>。</w:t>
            </w:r>
          </w:p>
          <w:p w14:paraId="4A36E97B">
            <w:pPr>
              <w:ind w:hanging="7"/>
              <w:rPr>
                <w:rFonts w:ascii="宋体" w:hAnsi="宋体" w:cs="宋体"/>
                <w:lang w:val="zh-CN"/>
              </w:rPr>
            </w:pPr>
            <w:r>
              <w:rPr>
                <w:rFonts w:hint="eastAsia" w:ascii="宋体" w:hAnsi="宋体" w:cs="宋体"/>
                <w:lang w:val="zh-CN"/>
              </w:rPr>
              <w:t>（</w:t>
            </w:r>
            <w:r>
              <w:rPr>
                <w:rFonts w:ascii="宋体" w:hAnsi="宋体" w:cs="宋体"/>
                <w:lang w:val="zh-CN"/>
              </w:rPr>
              <w:t>4</w:t>
            </w:r>
            <w:r>
              <w:rPr>
                <w:rFonts w:hint="eastAsia" w:ascii="宋体" w:hAnsi="宋体" w:cs="宋体"/>
                <w:lang w:val="zh-CN"/>
              </w:rPr>
              <w:t>）项目组成员：</w:t>
            </w:r>
            <w:r>
              <w:rPr>
                <w:rFonts w:ascii="宋体" w:hAnsi="宋体" w:cs="宋体"/>
                <w:spacing w:val="8"/>
              </w:rPr>
              <w:t>具备高级工程师职称</w:t>
            </w:r>
            <w:r>
              <w:rPr>
                <w:rFonts w:hint="eastAsia" w:ascii="宋体" w:hAnsi="宋体" w:cs="宋体"/>
                <w:spacing w:val="8"/>
                <w:lang w:val="en-US" w:eastAsia="zh-CN"/>
              </w:rPr>
              <w:t>以上（含）证书的，</w:t>
            </w:r>
            <w:r>
              <w:rPr>
                <w:rFonts w:hint="eastAsia" w:ascii="宋体" w:hAnsi="宋体" w:cs="宋体"/>
                <w:lang w:val="zh-CN"/>
              </w:rPr>
              <w:t>每个得</w:t>
            </w:r>
            <w:r>
              <w:rPr>
                <w:rFonts w:hint="eastAsia" w:ascii="宋体" w:hAnsi="宋体" w:cs="宋体"/>
                <w:lang w:val="en-US" w:eastAsia="zh-CN"/>
              </w:rPr>
              <w:t>0.5</w:t>
            </w:r>
            <w:r>
              <w:rPr>
                <w:rFonts w:hint="eastAsia" w:ascii="宋体" w:hAnsi="宋体" w:cs="宋体"/>
                <w:lang w:val="zh-CN"/>
              </w:rPr>
              <w:t>分，最多得</w:t>
            </w:r>
            <w:r>
              <w:rPr>
                <w:rFonts w:hint="eastAsia" w:ascii="宋体" w:hAnsi="宋体" w:cs="宋体"/>
                <w:lang w:val="en-US" w:eastAsia="zh-CN"/>
              </w:rPr>
              <w:t>4</w:t>
            </w:r>
            <w:r>
              <w:rPr>
                <w:rFonts w:hint="eastAsia" w:ascii="宋体" w:hAnsi="宋体" w:cs="宋体"/>
                <w:lang w:val="zh-CN"/>
              </w:rPr>
              <w:t>分</w:t>
            </w:r>
            <w:r>
              <w:rPr>
                <w:rFonts w:hint="eastAsia" w:ascii="宋体" w:hAnsi="宋体" w:cs="宋体"/>
                <w:spacing w:val="8"/>
                <w:lang w:val="en-US" w:eastAsia="zh-CN"/>
              </w:rPr>
              <w:t>；</w:t>
            </w:r>
            <w:r>
              <w:rPr>
                <w:rFonts w:hint="eastAsia" w:ascii="宋体" w:hAnsi="宋体" w:cs="宋体"/>
                <w:lang w:val="zh-CN"/>
              </w:rPr>
              <w:t>具有注册测绘师证书，每个得</w:t>
            </w:r>
            <w:r>
              <w:rPr>
                <w:rFonts w:hint="eastAsia" w:ascii="宋体" w:hAnsi="宋体" w:cs="宋体"/>
                <w:lang w:val="en-US" w:eastAsia="zh-CN"/>
              </w:rPr>
              <w:t>0.5</w:t>
            </w:r>
            <w:r>
              <w:rPr>
                <w:rFonts w:hint="eastAsia" w:ascii="宋体" w:hAnsi="宋体" w:cs="宋体"/>
                <w:lang w:val="zh-CN"/>
              </w:rPr>
              <w:t>分，最多得</w:t>
            </w:r>
            <w:r>
              <w:rPr>
                <w:rFonts w:hint="eastAsia" w:ascii="宋体" w:hAnsi="宋体" w:cs="宋体"/>
                <w:lang w:val="en-US" w:eastAsia="zh-CN"/>
              </w:rPr>
              <w:t>5</w:t>
            </w:r>
            <w:r>
              <w:rPr>
                <w:rFonts w:hint="eastAsia" w:ascii="宋体" w:hAnsi="宋体" w:cs="宋体"/>
                <w:lang w:val="zh-CN"/>
              </w:rPr>
              <w:t>分；本项最多得</w:t>
            </w:r>
            <w:r>
              <w:rPr>
                <w:rFonts w:hint="eastAsia" w:ascii="宋体" w:hAnsi="宋体" w:cs="宋体"/>
                <w:lang w:val="en-US" w:eastAsia="zh-CN"/>
              </w:rPr>
              <w:t>9</w:t>
            </w:r>
            <w:r>
              <w:rPr>
                <w:rFonts w:hint="eastAsia" w:ascii="宋体" w:hAnsi="宋体" w:cs="宋体"/>
                <w:lang w:val="zh-CN"/>
              </w:rPr>
              <w:t>分</w:t>
            </w:r>
            <w:r>
              <w:rPr>
                <w:rFonts w:hint="eastAsia" w:ascii="宋体" w:hAnsi="宋体" w:cs="宋体"/>
                <w:b/>
                <w:lang w:val="zh-CN"/>
              </w:rPr>
              <w:t>（本项内不可重复计算）</w:t>
            </w:r>
            <w:r>
              <w:rPr>
                <w:rFonts w:hint="eastAsia" w:ascii="宋体" w:hAnsi="宋体" w:cs="宋体"/>
                <w:lang w:val="zh-CN"/>
              </w:rPr>
              <w:t>。</w:t>
            </w:r>
          </w:p>
          <w:p w14:paraId="5064EDE9">
            <w:pPr>
              <w:ind w:hanging="7"/>
              <w:rPr>
                <w:rFonts w:hint="eastAsia" w:ascii="宋体" w:hAnsi="宋体" w:cs="宋体"/>
                <w:b/>
                <w:bCs/>
                <w:spacing w:val="-8"/>
                <w:lang w:val="en-US" w:eastAsia="zh-CN"/>
              </w:rPr>
            </w:pPr>
            <w:r>
              <w:rPr>
                <w:rFonts w:ascii="宋体" w:hAnsi="宋体" w:cs="宋体"/>
                <w:lang w:val="zh-CN"/>
              </w:rPr>
              <w:t>注：</w:t>
            </w:r>
            <w:r>
              <w:rPr>
                <w:rFonts w:hint="eastAsia" w:ascii="宋体" w:hAnsi="宋体" w:cs="宋体"/>
                <w:b/>
                <w:lang w:val="zh-CN"/>
              </w:rPr>
              <w:t>以上项目负责人、技术负责人、质量负责人和项目组成员不可重复计算，</w:t>
            </w:r>
            <w:r>
              <w:rPr>
                <w:rFonts w:hint="eastAsia" w:ascii="宋体" w:hAnsi="宋体" w:cs="宋体"/>
                <w:b/>
                <w:bCs/>
                <w:spacing w:val="-8"/>
              </w:rPr>
              <w:t>以上须提供证书及投标人近3个月任意一月为其缴纳社保的证明，原件扫描上传</w:t>
            </w:r>
            <w:r>
              <w:rPr>
                <w:rFonts w:ascii="宋体" w:hAnsi="宋体" w:cs="宋体"/>
                <w:b/>
                <w:bCs/>
                <w:spacing w:val="-8"/>
              </w:rPr>
              <w:t>，未按要求提供不得分。</w:t>
            </w:r>
          </w:p>
        </w:tc>
      </w:tr>
      <w:tr w14:paraId="6B6CB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9" w:hRule="atLeast"/>
          <w:jc w:val="center"/>
        </w:trPr>
        <w:tc>
          <w:tcPr>
            <w:tcW w:w="1212" w:type="dxa"/>
            <w:vMerge w:val="restart"/>
            <w:tcBorders>
              <w:top w:val="single" w:color="auto" w:sz="4" w:space="0"/>
              <w:left w:val="single" w:color="auto" w:sz="4" w:space="0"/>
              <w:bottom w:val="single" w:color="auto" w:sz="4" w:space="0"/>
              <w:right w:val="single" w:color="auto" w:sz="4" w:space="0"/>
            </w:tcBorders>
            <w:noWrap w:val="0"/>
            <w:vAlign w:val="center"/>
          </w:tcPr>
          <w:p w14:paraId="751F90B2">
            <w:pPr>
              <w:jc w:val="center"/>
              <w:rPr>
                <w:rFonts w:ascii="宋体" w:hAnsi="宋体" w:cs="宋体"/>
              </w:rPr>
            </w:pPr>
            <w:r>
              <w:rPr>
                <w:rFonts w:hint="eastAsia" w:ascii="宋体" w:hAnsi="宋体" w:cs="宋体"/>
              </w:rPr>
              <w:t>技术</w:t>
            </w:r>
          </w:p>
          <w:p w14:paraId="532DD4C0">
            <w:pPr>
              <w:jc w:val="center"/>
              <w:rPr>
                <w:rFonts w:ascii="宋体" w:hAnsi="宋体" w:cs="宋体"/>
              </w:rPr>
            </w:pPr>
            <w:r>
              <w:rPr>
                <w:rFonts w:hint="eastAsia" w:ascii="宋体" w:hAnsi="宋体" w:cs="宋体"/>
              </w:rPr>
              <w:t>部分</w:t>
            </w:r>
          </w:p>
          <w:p w14:paraId="3FD32DCF">
            <w:pPr>
              <w:jc w:val="center"/>
              <w:rPr>
                <w:rFonts w:ascii="宋体" w:hAnsi="宋体" w:cs="宋体"/>
              </w:rPr>
            </w:pPr>
            <w:r>
              <w:rPr>
                <w:rFonts w:hint="eastAsia" w:ascii="宋体" w:hAnsi="宋体" w:cs="宋体"/>
              </w:rPr>
              <w:t>（</w:t>
            </w:r>
            <w:r>
              <w:rPr>
                <w:rFonts w:hint="eastAsia" w:ascii="宋体" w:hAnsi="宋体" w:cs="宋体"/>
                <w:lang w:val="en-US" w:eastAsia="zh-CN"/>
              </w:rPr>
              <w:t>48</w:t>
            </w:r>
            <w:r>
              <w:rPr>
                <w:rFonts w:hint="eastAsia" w:ascii="宋体" w:hAnsi="宋体" w:cs="宋体"/>
              </w:rPr>
              <w:t>分）</w:t>
            </w:r>
          </w:p>
        </w:tc>
        <w:tc>
          <w:tcPr>
            <w:tcW w:w="1421" w:type="dxa"/>
            <w:tcBorders>
              <w:top w:val="single" w:color="auto" w:sz="4" w:space="0"/>
              <w:left w:val="single" w:color="auto" w:sz="4" w:space="0"/>
              <w:bottom w:val="single" w:color="auto" w:sz="4" w:space="0"/>
              <w:right w:val="single" w:color="auto" w:sz="4" w:space="0"/>
            </w:tcBorders>
            <w:noWrap w:val="0"/>
            <w:vAlign w:val="center"/>
          </w:tcPr>
          <w:p w14:paraId="58331DBE">
            <w:pPr>
              <w:jc w:val="center"/>
              <w:rPr>
                <w:rFonts w:hint="eastAsia" w:ascii="宋体" w:hAnsi="宋体" w:cs="宋体"/>
              </w:rPr>
            </w:pPr>
            <w:r>
              <w:rPr>
                <w:rFonts w:hint="eastAsia" w:ascii="宋体" w:hAnsi="宋体" w:cs="宋体"/>
                <w:lang w:val="en-US" w:eastAsia="zh-CN"/>
              </w:rPr>
              <w:t>技术</w:t>
            </w:r>
            <w:r>
              <w:rPr>
                <w:rFonts w:hint="eastAsia" w:ascii="宋体" w:hAnsi="宋体" w:cs="宋体"/>
              </w:rPr>
              <w:t>方案</w:t>
            </w:r>
          </w:p>
          <w:p w14:paraId="5C640F4E">
            <w:pPr>
              <w:jc w:val="center"/>
              <w:rPr>
                <w:rFonts w:ascii="宋体" w:hAnsi="宋体" w:cs="宋体"/>
              </w:rPr>
            </w:pPr>
            <w:r>
              <w:rPr>
                <w:rFonts w:hint="eastAsia" w:ascii="宋体" w:hAnsi="宋体" w:cs="宋体"/>
              </w:rPr>
              <w:t>（</w:t>
            </w:r>
            <w:r>
              <w:rPr>
                <w:rFonts w:hint="eastAsia" w:ascii="宋体" w:hAnsi="宋体" w:cs="宋体"/>
                <w:lang w:val="en-US" w:eastAsia="zh-CN"/>
              </w:rPr>
              <w:t>10</w:t>
            </w:r>
            <w:r>
              <w:rPr>
                <w:rFonts w:hint="eastAsia" w:ascii="宋体" w:hAnsi="宋体" w:cs="宋体"/>
              </w:rPr>
              <w:t>分）</w:t>
            </w:r>
          </w:p>
        </w:tc>
        <w:tc>
          <w:tcPr>
            <w:tcW w:w="6894" w:type="dxa"/>
            <w:tcBorders>
              <w:top w:val="single" w:color="auto" w:sz="4" w:space="0"/>
              <w:left w:val="single" w:color="auto" w:sz="4" w:space="0"/>
              <w:bottom w:val="single" w:color="auto" w:sz="4" w:space="0"/>
              <w:right w:val="single" w:color="auto" w:sz="4" w:space="0"/>
            </w:tcBorders>
            <w:noWrap w:val="0"/>
            <w:vAlign w:val="center"/>
          </w:tcPr>
          <w:p w14:paraId="73A56C65">
            <w:pPr>
              <w:spacing w:before="41"/>
              <w:ind w:left="111"/>
              <w:rPr>
                <w:rFonts w:hint="eastAsia" w:ascii="宋体" w:hAnsi="宋体" w:cs="宋体" w:eastAsiaTheme="minorEastAsia"/>
                <w:spacing w:val="8"/>
                <w:lang w:eastAsia="zh-CN"/>
              </w:rPr>
            </w:pPr>
            <w:r>
              <w:rPr>
                <w:rFonts w:hint="eastAsia" w:ascii="宋体" w:hAnsi="宋体" w:cs="宋体"/>
                <w:spacing w:val="8"/>
              </w:rPr>
              <w:t>根据投标人</w:t>
            </w:r>
            <w:r>
              <w:rPr>
                <w:rFonts w:hint="eastAsia" w:ascii="宋体" w:hAnsi="宋体" w:cs="宋体"/>
                <w:spacing w:val="8"/>
                <w:lang w:val="en-US" w:eastAsia="zh-CN"/>
              </w:rPr>
              <w:t>为</w:t>
            </w:r>
            <w:r>
              <w:rPr>
                <w:rFonts w:hint="eastAsia" w:ascii="宋体" w:hAnsi="宋体" w:cs="宋体"/>
                <w:spacing w:val="8"/>
              </w:rPr>
              <w:t>本项目制定的技术方案（内容包括：年度变更</w:t>
            </w:r>
            <w:r>
              <w:rPr>
                <w:rFonts w:hint="eastAsia" w:ascii="宋体" w:hAnsi="宋体" w:cs="宋体"/>
                <w:spacing w:val="8"/>
                <w:lang w:val="en-US" w:eastAsia="zh-CN"/>
              </w:rPr>
              <w:t>方案</w:t>
            </w:r>
            <w:r>
              <w:rPr>
                <w:rFonts w:hint="eastAsia" w:ascii="宋体" w:hAnsi="宋体" w:cs="宋体"/>
                <w:spacing w:val="8"/>
                <w:lang w:eastAsia="zh-CN"/>
              </w:rPr>
              <w:t>、</w:t>
            </w:r>
            <w:r>
              <w:rPr>
                <w:rFonts w:hint="eastAsia" w:ascii="宋体" w:hAnsi="宋体" w:cs="宋体"/>
                <w:spacing w:val="8"/>
              </w:rPr>
              <w:t>日常变更方案，外业测量、内业处理）进行综合评定</w:t>
            </w:r>
            <w:r>
              <w:rPr>
                <w:rFonts w:hint="eastAsia" w:ascii="宋体" w:hAnsi="宋体" w:cs="宋体"/>
                <w:spacing w:val="8"/>
                <w:lang w:eastAsia="zh-CN"/>
              </w:rPr>
              <w:t>：</w:t>
            </w:r>
          </w:p>
          <w:p w14:paraId="70D2AB8B">
            <w:pPr>
              <w:spacing w:before="41"/>
              <w:ind w:left="111"/>
              <w:rPr>
                <w:rFonts w:hint="eastAsia" w:ascii="宋体" w:hAnsi="宋体" w:cs="宋体"/>
                <w:spacing w:val="8"/>
              </w:rPr>
            </w:pPr>
            <w:r>
              <w:rPr>
                <w:rFonts w:hint="eastAsia" w:ascii="宋体" w:hAnsi="宋体" w:cs="宋体"/>
                <w:spacing w:val="8"/>
              </w:rPr>
              <w:t>方案完整详细、思路清晰明了、对作业区域现状有全面深入的了解、符合实际，完全满足要求的得10分；</w:t>
            </w:r>
          </w:p>
          <w:p w14:paraId="24F11DB2">
            <w:pPr>
              <w:spacing w:before="41"/>
              <w:ind w:left="111"/>
              <w:rPr>
                <w:rFonts w:hint="eastAsia" w:ascii="宋体" w:hAnsi="宋体" w:cs="宋体"/>
                <w:spacing w:val="8"/>
              </w:rPr>
            </w:pPr>
            <w:r>
              <w:rPr>
                <w:rFonts w:hint="eastAsia" w:ascii="宋体" w:hAnsi="宋体" w:cs="宋体"/>
                <w:spacing w:val="8"/>
              </w:rPr>
              <w:t>方案完整、思路清楚、对作业区域现状有了解、可实施性基本满足要求的得</w:t>
            </w:r>
            <w:r>
              <w:rPr>
                <w:rFonts w:hint="eastAsia" w:ascii="宋体" w:hAnsi="宋体" w:cs="宋体"/>
                <w:spacing w:val="8"/>
                <w:lang w:val="en-US" w:eastAsia="zh-CN"/>
              </w:rPr>
              <w:t>8</w:t>
            </w:r>
            <w:r>
              <w:rPr>
                <w:rFonts w:hint="eastAsia" w:ascii="宋体" w:hAnsi="宋体" w:cs="宋体"/>
                <w:spacing w:val="8"/>
              </w:rPr>
              <w:t xml:space="preserve">分； </w:t>
            </w:r>
          </w:p>
          <w:p w14:paraId="2F726B40">
            <w:pPr>
              <w:spacing w:before="41"/>
              <w:ind w:left="111"/>
              <w:rPr>
                <w:rFonts w:hint="eastAsia" w:ascii="宋体" w:hAnsi="宋体" w:cs="宋体"/>
                <w:spacing w:val="8"/>
              </w:rPr>
            </w:pPr>
            <w:r>
              <w:rPr>
                <w:rFonts w:hint="eastAsia" w:ascii="宋体" w:hAnsi="宋体" w:cs="宋体"/>
                <w:spacing w:val="8"/>
              </w:rPr>
              <w:t>方案较完整、有漏缺1项的，但不影响项目实施或思路简单、对作业区域现状了解不深、可实施性一般得</w:t>
            </w:r>
            <w:r>
              <w:rPr>
                <w:rFonts w:hint="eastAsia" w:ascii="宋体" w:hAnsi="宋体" w:cs="宋体"/>
                <w:spacing w:val="8"/>
                <w:lang w:val="en-US" w:eastAsia="zh-CN"/>
              </w:rPr>
              <w:t>6</w:t>
            </w:r>
            <w:r>
              <w:rPr>
                <w:rFonts w:hint="eastAsia" w:ascii="宋体" w:hAnsi="宋体" w:cs="宋体"/>
                <w:spacing w:val="8"/>
              </w:rPr>
              <w:t>分；</w:t>
            </w:r>
          </w:p>
          <w:p w14:paraId="2D531012">
            <w:pPr>
              <w:spacing w:before="41"/>
              <w:ind w:left="111"/>
              <w:rPr>
                <w:rFonts w:hint="eastAsia" w:ascii="宋体" w:hAnsi="宋体" w:cs="宋体"/>
                <w:spacing w:val="8"/>
              </w:rPr>
            </w:pPr>
            <w:r>
              <w:rPr>
                <w:rFonts w:hint="eastAsia" w:ascii="宋体" w:hAnsi="宋体" w:cs="宋体"/>
                <w:spacing w:val="8"/>
              </w:rPr>
              <w:t>方案不完整，有漏缺2-3项的或没有针对性解释说明，存在实施难度的得</w:t>
            </w:r>
            <w:r>
              <w:rPr>
                <w:rFonts w:hint="eastAsia" w:ascii="宋体" w:hAnsi="宋体" w:cs="宋体"/>
                <w:spacing w:val="8"/>
                <w:lang w:val="en-US" w:eastAsia="zh-CN"/>
              </w:rPr>
              <w:t>4</w:t>
            </w:r>
            <w:r>
              <w:rPr>
                <w:rFonts w:hint="eastAsia" w:ascii="宋体" w:hAnsi="宋体" w:cs="宋体"/>
                <w:spacing w:val="8"/>
              </w:rPr>
              <w:t>分；</w:t>
            </w:r>
          </w:p>
          <w:p w14:paraId="63C12E3A">
            <w:pPr>
              <w:spacing w:before="41"/>
              <w:ind w:left="111"/>
              <w:rPr>
                <w:rFonts w:hint="eastAsia" w:ascii="宋体" w:hAnsi="宋体" w:cs="宋体"/>
                <w:spacing w:val="8"/>
              </w:rPr>
            </w:pPr>
            <w:r>
              <w:rPr>
                <w:rFonts w:hint="eastAsia" w:ascii="宋体" w:hAnsi="宋体" w:cs="宋体"/>
                <w:spacing w:val="8"/>
              </w:rPr>
              <w:t>漏缺4项或未提供方案的不得分；</w:t>
            </w:r>
          </w:p>
        </w:tc>
      </w:tr>
      <w:tr w14:paraId="0CD4D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jc w:val="center"/>
        </w:trPr>
        <w:tc>
          <w:tcPr>
            <w:tcW w:w="1212" w:type="dxa"/>
            <w:vMerge w:val="continue"/>
            <w:tcBorders>
              <w:top w:val="single" w:color="auto" w:sz="4" w:space="0"/>
              <w:left w:val="single" w:color="auto" w:sz="4" w:space="0"/>
              <w:bottom w:val="single" w:color="auto" w:sz="4" w:space="0"/>
              <w:right w:val="single" w:color="auto" w:sz="4" w:space="0"/>
            </w:tcBorders>
            <w:noWrap w:val="0"/>
            <w:vAlign w:val="center"/>
          </w:tcPr>
          <w:p w14:paraId="0BEAEBE3">
            <w:pPr>
              <w:widowControl/>
              <w:jc w:val="left"/>
              <w:rPr>
                <w:rFonts w:ascii="宋体" w:hAnsi="宋体" w:cs="宋体"/>
              </w:rPr>
            </w:pPr>
          </w:p>
        </w:tc>
        <w:tc>
          <w:tcPr>
            <w:tcW w:w="1421" w:type="dxa"/>
            <w:tcBorders>
              <w:top w:val="single" w:color="auto" w:sz="4" w:space="0"/>
              <w:left w:val="single" w:color="auto" w:sz="4" w:space="0"/>
              <w:bottom w:val="single" w:color="auto" w:sz="4" w:space="0"/>
              <w:right w:val="single" w:color="auto" w:sz="4" w:space="0"/>
            </w:tcBorders>
            <w:noWrap w:val="0"/>
            <w:vAlign w:val="center"/>
          </w:tcPr>
          <w:p w14:paraId="750B8110">
            <w:pPr>
              <w:jc w:val="center"/>
              <w:rPr>
                <w:rFonts w:ascii="宋体" w:hAnsi="宋体" w:cs="宋体"/>
              </w:rPr>
            </w:pPr>
            <w:r>
              <w:rPr>
                <w:rFonts w:hint="eastAsia" w:ascii="宋体" w:hAnsi="宋体" w:cs="宋体"/>
                <w:lang w:val="en-US" w:eastAsia="zh-CN"/>
              </w:rPr>
              <w:t>项目管理方案</w:t>
            </w:r>
            <w:r>
              <w:rPr>
                <w:rFonts w:hint="eastAsia" w:ascii="宋体" w:hAnsi="宋体" w:cs="宋体"/>
              </w:rPr>
              <w:t>（</w:t>
            </w:r>
            <w:r>
              <w:rPr>
                <w:rFonts w:hint="eastAsia" w:ascii="宋体" w:hAnsi="宋体" w:cs="宋体"/>
                <w:lang w:val="en-US" w:eastAsia="zh-CN"/>
              </w:rPr>
              <w:t>10</w:t>
            </w:r>
            <w:r>
              <w:rPr>
                <w:rFonts w:hint="eastAsia" w:ascii="宋体" w:hAnsi="宋体" w:cs="宋体"/>
              </w:rPr>
              <w:t>分）</w:t>
            </w:r>
          </w:p>
        </w:tc>
        <w:tc>
          <w:tcPr>
            <w:tcW w:w="6894" w:type="dxa"/>
            <w:tcBorders>
              <w:top w:val="single" w:color="auto" w:sz="4" w:space="0"/>
              <w:left w:val="single" w:color="auto" w:sz="4" w:space="0"/>
              <w:bottom w:val="single" w:color="auto" w:sz="4" w:space="0"/>
              <w:right w:val="single" w:color="auto" w:sz="4" w:space="0"/>
            </w:tcBorders>
            <w:noWrap w:val="0"/>
            <w:vAlign w:val="center"/>
          </w:tcPr>
          <w:p w14:paraId="3B61C434">
            <w:pPr>
              <w:spacing w:before="41"/>
              <w:ind w:left="111"/>
              <w:rPr>
                <w:rFonts w:hint="eastAsia" w:ascii="宋体" w:hAnsi="宋体" w:cs="宋体"/>
                <w:spacing w:val="8"/>
              </w:rPr>
            </w:pPr>
            <w:r>
              <w:rPr>
                <w:rFonts w:hint="eastAsia" w:ascii="宋体" w:hAnsi="宋体" w:cs="宋体"/>
                <w:spacing w:val="8"/>
              </w:rPr>
              <w:t>根据投标人对本项目的项目管理方案（内容包括：单位组织机构、各项制度、责任分工、人员配备情况）进行综合评定。</w:t>
            </w:r>
          </w:p>
          <w:p w14:paraId="4FAFB522">
            <w:pPr>
              <w:spacing w:before="41"/>
              <w:ind w:left="111"/>
              <w:rPr>
                <w:rFonts w:hint="eastAsia" w:ascii="宋体" w:hAnsi="宋体" w:cs="宋体"/>
                <w:spacing w:val="8"/>
                <w:lang w:val="zh-CN"/>
              </w:rPr>
            </w:pPr>
            <w:r>
              <w:rPr>
                <w:rFonts w:hint="eastAsia" w:ascii="宋体" w:hAnsi="宋体" w:cs="宋体"/>
                <w:spacing w:val="8"/>
              </w:rPr>
              <w:t>方案完整详细，单位组织机构齐全，各项制度健全，责任分工明确，</w:t>
            </w:r>
            <w:r>
              <w:rPr>
                <w:rFonts w:hint="eastAsia" w:ascii="宋体" w:hAnsi="宋体" w:cs="宋体"/>
                <w:spacing w:val="8"/>
                <w:lang w:val="zh-CN"/>
              </w:rPr>
              <w:t>成立专项工作组，人员配置充分</w:t>
            </w:r>
            <w:r>
              <w:rPr>
                <w:rFonts w:hint="eastAsia" w:ascii="宋体" w:hAnsi="宋体" w:cs="宋体"/>
                <w:spacing w:val="8"/>
              </w:rPr>
              <w:t>。符合实际，完全满足要求的得</w:t>
            </w:r>
            <w:r>
              <w:rPr>
                <w:rFonts w:hint="eastAsia" w:ascii="宋体" w:hAnsi="宋体" w:cs="宋体"/>
                <w:spacing w:val="8"/>
                <w:lang w:val="en-US" w:eastAsia="zh-CN"/>
              </w:rPr>
              <w:t>10</w:t>
            </w:r>
            <w:r>
              <w:rPr>
                <w:rFonts w:hint="eastAsia" w:ascii="宋体" w:hAnsi="宋体" w:cs="宋体"/>
                <w:spacing w:val="8"/>
              </w:rPr>
              <w:t>分；</w:t>
            </w:r>
          </w:p>
          <w:p w14:paraId="6A343182">
            <w:pPr>
              <w:spacing w:before="41"/>
              <w:ind w:left="111"/>
              <w:rPr>
                <w:rFonts w:hint="eastAsia" w:ascii="宋体" w:hAnsi="宋体" w:cs="宋体"/>
                <w:spacing w:val="8"/>
              </w:rPr>
            </w:pPr>
            <w:r>
              <w:rPr>
                <w:rFonts w:hint="eastAsia" w:ascii="宋体" w:hAnsi="宋体" w:cs="宋体"/>
                <w:spacing w:val="8"/>
              </w:rPr>
              <w:t>方案完整，</w:t>
            </w:r>
            <w:r>
              <w:rPr>
                <w:rFonts w:hint="eastAsia" w:ascii="宋体" w:hAnsi="宋体" w:cs="宋体"/>
                <w:spacing w:val="8"/>
                <w:lang w:val="zh-CN"/>
              </w:rPr>
              <w:t>单位组织机构齐全，各项制度较健全，责任分工明确，成立专项工作组，人员配置合理。</w:t>
            </w:r>
            <w:r>
              <w:rPr>
                <w:rFonts w:hint="eastAsia" w:ascii="宋体" w:hAnsi="宋体" w:cs="宋体"/>
                <w:spacing w:val="8"/>
              </w:rPr>
              <w:t>可实施性基本满足要求的得</w:t>
            </w:r>
            <w:r>
              <w:rPr>
                <w:rFonts w:hint="eastAsia" w:ascii="宋体" w:hAnsi="宋体" w:cs="宋体"/>
                <w:spacing w:val="8"/>
                <w:lang w:val="en-US" w:eastAsia="zh-CN"/>
              </w:rPr>
              <w:t>8</w:t>
            </w:r>
            <w:r>
              <w:rPr>
                <w:rFonts w:hint="eastAsia" w:ascii="宋体" w:hAnsi="宋体" w:cs="宋体"/>
                <w:spacing w:val="8"/>
              </w:rPr>
              <w:t>分；</w:t>
            </w:r>
          </w:p>
          <w:p w14:paraId="7ED0E0A5">
            <w:pPr>
              <w:spacing w:before="41"/>
              <w:ind w:left="111"/>
              <w:rPr>
                <w:rFonts w:hint="eastAsia" w:ascii="宋体" w:hAnsi="宋体" w:cs="宋体"/>
                <w:spacing w:val="8"/>
              </w:rPr>
            </w:pPr>
            <w:r>
              <w:rPr>
                <w:rFonts w:hint="eastAsia" w:ascii="宋体" w:hAnsi="宋体" w:cs="宋体"/>
                <w:spacing w:val="8"/>
              </w:rPr>
              <w:t>方案较完整、有漏缺1项的，但不影响项目实施或</w:t>
            </w:r>
            <w:r>
              <w:rPr>
                <w:rFonts w:hint="eastAsia" w:ascii="宋体" w:hAnsi="宋体" w:cs="宋体"/>
                <w:spacing w:val="8"/>
                <w:lang w:val="zh-CN"/>
              </w:rPr>
              <w:t>各项制度较健全，责任分工较明确，成立专项工作组，人员配置一般，</w:t>
            </w:r>
            <w:r>
              <w:rPr>
                <w:rFonts w:hint="eastAsia" w:ascii="宋体" w:hAnsi="宋体" w:cs="宋体"/>
                <w:spacing w:val="8"/>
              </w:rPr>
              <w:t>可实施性一般得</w:t>
            </w:r>
            <w:r>
              <w:rPr>
                <w:rFonts w:hint="eastAsia" w:ascii="宋体" w:hAnsi="宋体" w:cs="宋体"/>
                <w:spacing w:val="8"/>
                <w:lang w:val="en-US" w:eastAsia="zh-CN"/>
              </w:rPr>
              <w:t>6</w:t>
            </w:r>
            <w:r>
              <w:rPr>
                <w:rFonts w:hint="eastAsia" w:ascii="宋体" w:hAnsi="宋体" w:cs="宋体"/>
                <w:spacing w:val="8"/>
              </w:rPr>
              <w:t>分；</w:t>
            </w:r>
          </w:p>
          <w:p w14:paraId="653268B7">
            <w:pPr>
              <w:spacing w:before="41"/>
              <w:ind w:left="111"/>
              <w:rPr>
                <w:rFonts w:hint="eastAsia" w:ascii="宋体" w:hAnsi="宋体" w:cs="宋体"/>
                <w:spacing w:val="8"/>
              </w:rPr>
            </w:pPr>
            <w:r>
              <w:rPr>
                <w:rFonts w:hint="eastAsia" w:ascii="宋体" w:hAnsi="宋体" w:cs="宋体"/>
                <w:spacing w:val="8"/>
              </w:rPr>
              <w:t>方案不完整，有漏缺2-3项的或没有针对性解释说明，存在实施难度的得</w:t>
            </w:r>
            <w:r>
              <w:rPr>
                <w:rFonts w:hint="eastAsia" w:ascii="宋体" w:hAnsi="宋体" w:cs="宋体"/>
                <w:spacing w:val="8"/>
                <w:lang w:val="en-US" w:eastAsia="zh-CN"/>
              </w:rPr>
              <w:t>4</w:t>
            </w:r>
            <w:r>
              <w:rPr>
                <w:rFonts w:hint="eastAsia" w:ascii="宋体" w:hAnsi="宋体" w:cs="宋体"/>
                <w:spacing w:val="8"/>
              </w:rPr>
              <w:t>分；</w:t>
            </w:r>
          </w:p>
          <w:p w14:paraId="21B47E56">
            <w:pPr>
              <w:spacing w:before="41"/>
              <w:ind w:left="111"/>
              <w:rPr>
                <w:rFonts w:hint="eastAsia" w:ascii="宋体" w:hAnsi="宋体" w:cs="宋体"/>
                <w:spacing w:val="8"/>
              </w:rPr>
            </w:pPr>
            <w:r>
              <w:rPr>
                <w:rFonts w:hint="eastAsia" w:ascii="宋体" w:hAnsi="宋体" w:cs="宋体"/>
                <w:spacing w:val="8"/>
              </w:rPr>
              <w:t>漏缺4项或未提供方案的不得分；</w:t>
            </w:r>
          </w:p>
        </w:tc>
      </w:tr>
      <w:tr w14:paraId="6ABC1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jc w:val="center"/>
        </w:trPr>
        <w:tc>
          <w:tcPr>
            <w:tcW w:w="1212" w:type="dxa"/>
            <w:vMerge w:val="continue"/>
            <w:tcBorders>
              <w:top w:val="single" w:color="auto" w:sz="4" w:space="0"/>
              <w:left w:val="single" w:color="auto" w:sz="4" w:space="0"/>
              <w:bottom w:val="single" w:color="auto" w:sz="4" w:space="0"/>
              <w:right w:val="single" w:color="auto" w:sz="4" w:space="0"/>
            </w:tcBorders>
            <w:noWrap w:val="0"/>
            <w:vAlign w:val="center"/>
          </w:tcPr>
          <w:p w14:paraId="535EF786">
            <w:pPr>
              <w:widowControl/>
              <w:jc w:val="left"/>
              <w:rPr>
                <w:rFonts w:ascii="宋体" w:hAnsi="宋体" w:cs="宋体"/>
              </w:rPr>
            </w:pPr>
          </w:p>
        </w:tc>
        <w:tc>
          <w:tcPr>
            <w:tcW w:w="142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2AE10EA">
            <w:pPr>
              <w:jc w:val="center"/>
              <w:rPr>
                <w:rFonts w:hint="default" w:ascii="宋体" w:hAnsi="宋体" w:cs="宋体" w:eastAsiaTheme="minorEastAsia"/>
                <w:lang w:val="en-US" w:eastAsia="zh-CN"/>
              </w:rPr>
            </w:pPr>
            <w:r>
              <w:rPr>
                <w:rFonts w:hint="eastAsia" w:ascii="宋体" w:hAnsi="宋体" w:cs="宋体"/>
              </w:rPr>
              <w:t>质量保证</w:t>
            </w:r>
            <w:r>
              <w:rPr>
                <w:rFonts w:hint="eastAsia" w:ascii="宋体" w:hAnsi="宋体" w:cs="宋体"/>
                <w:lang w:val="en-US" w:eastAsia="zh-CN"/>
              </w:rPr>
              <w:t>和进度控制</w:t>
            </w:r>
          </w:p>
          <w:p w14:paraId="0F6E7858">
            <w:pPr>
              <w:jc w:val="center"/>
              <w:rPr>
                <w:rFonts w:ascii="宋体" w:hAnsi="宋体" w:cs="宋体" w:eastAsiaTheme="minorEastAsia"/>
                <w:kern w:val="2"/>
                <w:sz w:val="21"/>
                <w:szCs w:val="24"/>
                <w:lang w:val="en-US" w:eastAsia="zh-CN" w:bidi="ar-SA"/>
              </w:rPr>
            </w:pPr>
            <w:r>
              <w:rPr>
                <w:rFonts w:hint="eastAsia" w:ascii="宋体" w:hAnsi="宋体" w:cs="宋体"/>
              </w:rPr>
              <w:t>（</w:t>
            </w:r>
            <w:r>
              <w:rPr>
                <w:rFonts w:hint="eastAsia" w:ascii="宋体" w:hAnsi="宋体" w:cs="宋体"/>
                <w:lang w:val="en-US" w:eastAsia="zh-CN"/>
              </w:rPr>
              <w:t>8</w:t>
            </w:r>
            <w:r>
              <w:rPr>
                <w:rFonts w:hint="eastAsia" w:ascii="宋体" w:hAnsi="宋体" w:cs="宋体"/>
              </w:rPr>
              <w:t>分）</w:t>
            </w:r>
          </w:p>
        </w:tc>
        <w:tc>
          <w:tcPr>
            <w:tcW w:w="689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11CFFDD">
            <w:pPr>
              <w:spacing w:before="41"/>
              <w:ind w:left="111"/>
              <w:rPr>
                <w:rFonts w:hint="eastAsia" w:ascii="宋体" w:hAnsi="宋体" w:cs="宋体"/>
                <w:spacing w:val="8"/>
              </w:rPr>
            </w:pPr>
            <w:r>
              <w:rPr>
                <w:rFonts w:hint="eastAsia" w:ascii="宋体" w:hAnsi="宋体" w:cs="宋体"/>
                <w:spacing w:val="8"/>
              </w:rPr>
              <w:t>根据投标人对本项目的质量控制措施和进度控制措施（内容包括：总体目标，质量控制措施，进度优化方案，进度保证措施）进行综合评定。</w:t>
            </w:r>
          </w:p>
          <w:p w14:paraId="2A015A04">
            <w:pPr>
              <w:spacing w:before="41"/>
              <w:ind w:left="111"/>
              <w:rPr>
                <w:rFonts w:hint="eastAsia" w:ascii="宋体" w:hAnsi="宋体" w:cs="宋体"/>
                <w:spacing w:val="8"/>
              </w:rPr>
            </w:pPr>
            <w:r>
              <w:rPr>
                <w:rFonts w:hint="eastAsia" w:ascii="宋体" w:hAnsi="宋体" w:cs="宋体"/>
                <w:spacing w:val="8"/>
              </w:rPr>
              <w:t>方案完整详细、总体目标清晰明了、</w:t>
            </w:r>
            <w:r>
              <w:rPr>
                <w:rFonts w:hint="eastAsia" w:ascii="宋体" w:hAnsi="宋体" w:cs="宋体"/>
                <w:spacing w:val="8"/>
                <w:lang w:val="zh-CN"/>
              </w:rPr>
              <w:t>质量措施周全、</w:t>
            </w:r>
            <w:r>
              <w:rPr>
                <w:rFonts w:hint="eastAsia" w:ascii="宋体" w:hAnsi="宋体" w:cs="宋体"/>
                <w:spacing w:val="8"/>
              </w:rPr>
              <w:t>进度</w:t>
            </w:r>
            <w:r>
              <w:rPr>
                <w:rFonts w:hint="eastAsia" w:ascii="宋体" w:hAnsi="宋体" w:cs="宋体"/>
                <w:spacing w:val="8"/>
                <w:lang w:val="zh-CN"/>
              </w:rPr>
              <w:t>安排合理、进度措施科学，</w:t>
            </w:r>
            <w:r>
              <w:rPr>
                <w:rFonts w:hint="eastAsia" w:ascii="宋体" w:hAnsi="宋体" w:cs="宋体"/>
                <w:spacing w:val="8"/>
              </w:rPr>
              <w:t>符合实际，完全满足要求的得</w:t>
            </w:r>
            <w:r>
              <w:rPr>
                <w:rFonts w:hint="eastAsia" w:ascii="宋体" w:hAnsi="宋体" w:cs="宋体"/>
                <w:spacing w:val="8"/>
                <w:lang w:val="en-US" w:eastAsia="zh-CN"/>
              </w:rPr>
              <w:t>8</w:t>
            </w:r>
            <w:r>
              <w:rPr>
                <w:rFonts w:hint="eastAsia" w:ascii="宋体" w:hAnsi="宋体" w:cs="宋体"/>
                <w:spacing w:val="8"/>
              </w:rPr>
              <w:t>分；</w:t>
            </w:r>
          </w:p>
          <w:p w14:paraId="671E1A97">
            <w:pPr>
              <w:spacing w:before="41"/>
              <w:ind w:left="111"/>
              <w:rPr>
                <w:rFonts w:hint="eastAsia" w:ascii="宋体" w:hAnsi="宋体" w:cs="宋体"/>
                <w:spacing w:val="8"/>
              </w:rPr>
            </w:pPr>
            <w:r>
              <w:rPr>
                <w:rFonts w:hint="eastAsia" w:ascii="宋体" w:hAnsi="宋体" w:cs="宋体"/>
                <w:spacing w:val="8"/>
              </w:rPr>
              <w:t>方案完整、总体目标清楚、进度</w:t>
            </w:r>
            <w:r>
              <w:rPr>
                <w:rFonts w:hint="eastAsia" w:ascii="宋体" w:hAnsi="宋体" w:cs="宋体"/>
                <w:spacing w:val="8"/>
                <w:lang w:val="zh-CN"/>
              </w:rPr>
              <w:t>安排较合理、质量措施、进度措施较全面、</w:t>
            </w:r>
            <w:r>
              <w:rPr>
                <w:rFonts w:hint="eastAsia" w:ascii="宋体" w:hAnsi="宋体" w:cs="宋体"/>
                <w:spacing w:val="8"/>
              </w:rPr>
              <w:t>可实施性基本满足要求的得</w:t>
            </w:r>
            <w:r>
              <w:rPr>
                <w:rFonts w:hint="eastAsia" w:ascii="宋体" w:hAnsi="宋体" w:cs="宋体"/>
                <w:spacing w:val="8"/>
                <w:lang w:val="en-US" w:eastAsia="zh-CN"/>
              </w:rPr>
              <w:t>6</w:t>
            </w:r>
            <w:r>
              <w:rPr>
                <w:rFonts w:hint="eastAsia" w:ascii="宋体" w:hAnsi="宋体" w:cs="宋体"/>
                <w:spacing w:val="8"/>
              </w:rPr>
              <w:t>分；</w:t>
            </w:r>
          </w:p>
          <w:p w14:paraId="6937CB41">
            <w:pPr>
              <w:spacing w:before="41"/>
              <w:ind w:left="111"/>
              <w:rPr>
                <w:rFonts w:hint="eastAsia" w:ascii="宋体" w:hAnsi="宋体" w:cs="宋体"/>
                <w:spacing w:val="8"/>
              </w:rPr>
            </w:pPr>
            <w:r>
              <w:rPr>
                <w:rFonts w:hint="eastAsia" w:ascii="宋体" w:hAnsi="宋体" w:cs="宋体"/>
                <w:spacing w:val="8"/>
              </w:rPr>
              <w:t>方案较完整、有漏缺1项的，但不影响项目实施或总体目标简洁、进度</w:t>
            </w:r>
            <w:r>
              <w:rPr>
                <w:rFonts w:hint="eastAsia" w:ascii="宋体" w:hAnsi="宋体" w:cs="宋体"/>
                <w:spacing w:val="8"/>
                <w:lang w:val="zh-CN"/>
              </w:rPr>
              <w:t>安排合理、质量措施、进度措施</w:t>
            </w:r>
            <w:r>
              <w:rPr>
                <w:rFonts w:hint="eastAsia" w:ascii="宋体" w:hAnsi="宋体" w:cs="宋体"/>
                <w:spacing w:val="8"/>
              </w:rPr>
              <w:t>略有欠缺</w:t>
            </w:r>
            <w:r>
              <w:rPr>
                <w:rFonts w:hint="eastAsia" w:ascii="宋体" w:hAnsi="宋体" w:cs="宋体"/>
                <w:spacing w:val="8"/>
                <w:lang w:val="zh-CN"/>
              </w:rPr>
              <w:t>，</w:t>
            </w:r>
            <w:r>
              <w:rPr>
                <w:rFonts w:hint="eastAsia" w:ascii="宋体" w:hAnsi="宋体" w:cs="宋体"/>
                <w:spacing w:val="8"/>
              </w:rPr>
              <w:t>可实施性一般得</w:t>
            </w:r>
            <w:r>
              <w:rPr>
                <w:rFonts w:hint="eastAsia" w:ascii="宋体" w:hAnsi="宋体" w:cs="宋体"/>
                <w:spacing w:val="8"/>
                <w:lang w:val="en-US" w:eastAsia="zh-CN"/>
              </w:rPr>
              <w:t>4</w:t>
            </w:r>
            <w:r>
              <w:rPr>
                <w:rFonts w:hint="eastAsia" w:ascii="宋体" w:hAnsi="宋体" w:cs="宋体"/>
                <w:spacing w:val="8"/>
              </w:rPr>
              <w:t>分；</w:t>
            </w:r>
          </w:p>
          <w:p w14:paraId="3D8B4D71">
            <w:pPr>
              <w:spacing w:before="41"/>
              <w:ind w:left="111"/>
              <w:rPr>
                <w:rFonts w:hint="eastAsia" w:ascii="宋体" w:hAnsi="宋体" w:cs="宋体"/>
                <w:spacing w:val="8"/>
              </w:rPr>
            </w:pPr>
            <w:r>
              <w:rPr>
                <w:rFonts w:hint="eastAsia" w:ascii="宋体" w:hAnsi="宋体" w:cs="宋体"/>
                <w:spacing w:val="8"/>
              </w:rPr>
              <w:t>方案不完整，有漏缺2-3项的或没有针对性解释说明，存在实施难度的得2分；</w:t>
            </w:r>
          </w:p>
          <w:p w14:paraId="6FA57FE7">
            <w:pPr>
              <w:spacing w:before="41"/>
              <w:ind w:left="111"/>
              <w:rPr>
                <w:rFonts w:hint="eastAsia" w:ascii="宋体" w:hAnsi="宋体" w:cs="宋体"/>
                <w:spacing w:val="8"/>
                <w:lang w:val="en-US" w:eastAsia="zh-CN"/>
              </w:rPr>
            </w:pPr>
            <w:r>
              <w:rPr>
                <w:rFonts w:hint="eastAsia" w:ascii="宋体" w:hAnsi="宋体" w:cs="宋体"/>
                <w:spacing w:val="8"/>
              </w:rPr>
              <w:t>漏缺4项或未提供方案的不得分；</w:t>
            </w:r>
          </w:p>
        </w:tc>
      </w:tr>
      <w:tr w14:paraId="7C2D6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jc w:val="center"/>
        </w:trPr>
        <w:tc>
          <w:tcPr>
            <w:tcW w:w="1212" w:type="dxa"/>
            <w:vMerge w:val="continue"/>
            <w:tcBorders>
              <w:top w:val="single" w:color="auto" w:sz="4" w:space="0"/>
              <w:left w:val="single" w:color="auto" w:sz="4" w:space="0"/>
              <w:bottom w:val="single" w:color="auto" w:sz="4" w:space="0"/>
              <w:right w:val="single" w:color="auto" w:sz="4" w:space="0"/>
            </w:tcBorders>
            <w:noWrap w:val="0"/>
            <w:vAlign w:val="center"/>
          </w:tcPr>
          <w:p w14:paraId="67457D83">
            <w:pPr>
              <w:widowControl/>
              <w:jc w:val="left"/>
              <w:rPr>
                <w:rFonts w:ascii="宋体" w:hAnsi="宋体" w:cs="宋体"/>
              </w:rPr>
            </w:pPr>
          </w:p>
        </w:tc>
        <w:tc>
          <w:tcPr>
            <w:tcW w:w="1421" w:type="dxa"/>
            <w:tcBorders>
              <w:top w:val="single" w:color="auto" w:sz="4" w:space="0"/>
              <w:left w:val="single" w:color="auto" w:sz="4" w:space="0"/>
              <w:bottom w:val="single" w:color="auto" w:sz="4" w:space="0"/>
              <w:right w:val="single" w:color="auto" w:sz="4" w:space="0"/>
            </w:tcBorders>
            <w:noWrap w:val="0"/>
            <w:vAlign w:val="center"/>
          </w:tcPr>
          <w:p w14:paraId="5AC7D226">
            <w:pPr>
              <w:jc w:val="center"/>
              <w:rPr>
                <w:rFonts w:hint="default" w:ascii="宋体" w:hAnsi="宋体" w:cs="宋体" w:eastAsiaTheme="minorEastAsia"/>
                <w:lang w:val="en-US" w:eastAsia="zh-CN"/>
              </w:rPr>
            </w:pPr>
            <w:r>
              <w:rPr>
                <w:rFonts w:hint="eastAsia" w:ascii="宋体" w:hAnsi="宋体" w:cs="宋体"/>
                <w:lang w:val="en-US" w:eastAsia="zh-CN"/>
              </w:rPr>
              <w:t>安全生产和保密（5分）</w:t>
            </w:r>
          </w:p>
        </w:tc>
        <w:tc>
          <w:tcPr>
            <w:tcW w:w="6894" w:type="dxa"/>
            <w:tcBorders>
              <w:top w:val="single" w:color="auto" w:sz="4" w:space="0"/>
              <w:left w:val="single" w:color="auto" w:sz="4" w:space="0"/>
              <w:bottom w:val="single" w:color="auto" w:sz="4" w:space="0"/>
              <w:right w:val="single" w:color="auto" w:sz="4" w:space="0"/>
            </w:tcBorders>
            <w:noWrap w:val="0"/>
            <w:vAlign w:val="center"/>
          </w:tcPr>
          <w:p w14:paraId="71D91BB6">
            <w:pPr>
              <w:spacing w:before="41"/>
              <w:ind w:left="111"/>
              <w:rPr>
                <w:rFonts w:hint="eastAsia" w:ascii="宋体" w:hAnsi="宋体" w:cs="宋体"/>
                <w:spacing w:val="8"/>
                <w:lang w:val="zh-CN"/>
              </w:rPr>
            </w:pPr>
            <w:r>
              <w:rPr>
                <w:rFonts w:hint="eastAsia" w:ascii="宋体" w:hAnsi="宋体" w:cs="宋体"/>
                <w:spacing w:val="8"/>
              </w:rPr>
              <w:t>根据投标人对本项目的</w:t>
            </w:r>
            <w:r>
              <w:rPr>
                <w:rFonts w:hint="eastAsia" w:ascii="宋体" w:hAnsi="宋体" w:cs="宋体"/>
                <w:spacing w:val="8"/>
                <w:lang w:val="zh-CN"/>
              </w:rPr>
              <w:t>合理化建议、数据安全、涉密问题管控措施</w:t>
            </w:r>
            <w:r>
              <w:rPr>
                <w:rFonts w:hint="eastAsia" w:ascii="宋体" w:hAnsi="宋体" w:cs="宋体"/>
                <w:spacing w:val="8"/>
              </w:rPr>
              <w:t>进行综合评定</w:t>
            </w:r>
            <w:r>
              <w:rPr>
                <w:rFonts w:hint="eastAsia" w:ascii="宋体" w:hAnsi="宋体" w:cs="宋体"/>
                <w:spacing w:val="8"/>
                <w:lang w:val="zh-CN"/>
              </w:rPr>
              <w:t>。</w:t>
            </w:r>
          </w:p>
          <w:p w14:paraId="27DBAA1E">
            <w:pPr>
              <w:spacing w:before="41"/>
              <w:ind w:left="111"/>
              <w:rPr>
                <w:rFonts w:hint="eastAsia" w:ascii="宋体" w:hAnsi="宋体" w:cs="宋体"/>
                <w:spacing w:val="8"/>
                <w:lang w:val="zh-CN"/>
              </w:rPr>
            </w:pPr>
            <w:r>
              <w:rPr>
                <w:rFonts w:hint="eastAsia" w:ascii="宋体" w:hAnsi="宋体" w:cs="宋体"/>
                <w:spacing w:val="8"/>
              </w:rPr>
              <w:t>方案完整详细、</w:t>
            </w:r>
            <w:r>
              <w:rPr>
                <w:rFonts w:hint="eastAsia" w:ascii="宋体" w:hAnsi="宋体" w:cs="宋体"/>
                <w:spacing w:val="8"/>
                <w:lang w:val="zh-CN"/>
              </w:rPr>
              <w:t>建议创新、创优、措施完善合理、可操作性高，</w:t>
            </w:r>
            <w:r>
              <w:rPr>
                <w:rFonts w:hint="eastAsia" w:ascii="宋体" w:hAnsi="宋体" w:cs="宋体"/>
                <w:spacing w:val="8"/>
              </w:rPr>
              <w:t>符合实际，完全满足要求的得</w:t>
            </w:r>
            <w:r>
              <w:rPr>
                <w:rFonts w:hint="eastAsia" w:ascii="宋体" w:hAnsi="宋体" w:cs="宋体"/>
                <w:spacing w:val="8"/>
                <w:lang w:val="en-US" w:eastAsia="zh-CN"/>
              </w:rPr>
              <w:t>5</w:t>
            </w:r>
            <w:r>
              <w:rPr>
                <w:rFonts w:hint="eastAsia" w:ascii="宋体" w:hAnsi="宋体" w:cs="宋体"/>
                <w:spacing w:val="8"/>
              </w:rPr>
              <w:t>分；</w:t>
            </w:r>
          </w:p>
          <w:p w14:paraId="1002E83B">
            <w:pPr>
              <w:spacing w:before="41"/>
              <w:ind w:left="111"/>
              <w:rPr>
                <w:rFonts w:hint="eastAsia" w:ascii="宋体" w:hAnsi="宋体" w:cs="宋体"/>
                <w:spacing w:val="8"/>
                <w:lang w:val="zh-CN"/>
              </w:rPr>
            </w:pPr>
            <w:r>
              <w:rPr>
                <w:rFonts w:hint="eastAsia" w:ascii="宋体" w:hAnsi="宋体" w:cs="宋体"/>
                <w:spacing w:val="8"/>
              </w:rPr>
              <w:t>方案完整、</w:t>
            </w:r>
            <w:r>
              <w:rPr>
                <w:rFonts w:hint="eastAsia" w:ascii="宋体" w:hAnsi="宋体" w:cs="宋体"/>
                <w:spacing w:val="8"/>
                <w:lang w:val="zh-CN"/>
              </w:rPr>
              <w:t>建议科学合理、措施较合理、</w:t>
            </w:r>
            <w:r>
              <w:rPr>
                <w:rFonts w:hint="eastAsia" w:ascii="宋体" w:hAnsi="宋体" w:cs="宋体"/>
                <w:spacing w:val="8"/>
              </w:rPr>
              <w:t>可实施性基本满足要求的得</w:t>
            </w:r>
            <w:r>
              <w:rPr>
                <w:rFonts w:hint="eastAsia" w:ascii="宋体" w:hAnsi="宋体" w:cs="宋体"/>
                <w:spacing w:val="8"/>
                <w:lang w:val="en-US" w:eastAsia="zh-CN"/>
              </w:rPr>
              <w:t>4</w:t>
            </w:r>
            <w:r>
              <w:rPr>
                <w:rFonts w:hint="eastAsia" w:ascii="宋体" w:hAnsi="宋体" w:cs="宋体"/>
                <w:spacing w:val="8"/>
              </w:rPr>
              <w:t>分；</w:t>
            </w:r>
          </w:p>
          <w:p w14:paraId="3C98FF3E">
            <w:pPr>
              <w:spacing w:before="41"/>
              <w:ind w:left="111"/>
              <w:rPr>
                <w:rFonts w:hint="eastAsia" w:ascii="宋体" w:hAnsi="宋体" w:cs="宋体"/>
                <w:spacing w:val="8"/>
              </w:rPr>
            </w:pPr>
            <w:r>
              <w:rPr>
                <w:rFonts w:hint="eastAsia" w:ascii="宋体" w:hAnsi="宋体" w:cs="宋体"/>
                <w:spacing w:val="8"/>
              </w:rPr>
              <w:t>方案较完整、有漏缺1项的，但不影响项目实施的或建议一般、措施一般、可操作性一般得</w:t>
            </w:r>
            <w:r>
              <w:rPr>
                <w:rFonts w:hint="eastAsia" w:ascii="宋体" w:hAnsi="宋体" w:cs="宋体"/>
                <w:spacing w:val="8"/>
                <w:lang w:val="en-US" w:eastAsia="zh-CN"/>
              </w:rPr>
              <w:t>3</w:t>
            </w:r>
            <w:r>
              <w:rPr>
                <w:rFonts w:hint="eastAsia" w:ascii="宋体" w:hAnsi="宋体" w:cs="宋体"/>
                <w:spacing w:val="8"/>
              </w:rPr>
              <w:t>分；</w:t>
            </w:r>
          </w:p>
          <w:p w14:paraId="01BCA024">
            <w:pPr>
              <w:spacing w:before="41"/>
              <w:ind w:left="111"/>
              <w:rPr>
                <w:rFonts w:hint="eastAsia" w:ascii="宋体" w:hAnsi="宋体" w:cs="宋体"/>
                <w:spacing w:val="8"/>
              </w:rPr>
            </w:pPr>
            <w:r>
              <w:rPr>
                <w:rFonts w:hint="eastAsia" w:ascii="宋体" w:hAnsi="宋体" w:cs="宋体"/>
                <w:spacing w:val="8"/>
              </w:rPr>
              <w:t>方案不完整，有漏缺2项的或没有针对性解释说明，存在实施难度的得</w:t>
            </w:r>
            <w:r>
              <w:rPr>
                <w:rFonts w:hint="eastAsia" w:ascii="宋体" w:hAnsi="宋体" w:cs="宋体"/>
                <w:spacing w:val="8"/>
                <w:lang w:val="en-US" w:eastAsia="zh-CN"/>
              </w:rPr>
              <w:t>2</w:t>
            </w:r>
            <w:r>
              <w:rPr>
                <w:rFonts w:hint="eastAsia" w:ascii="宋体" w:hAnsi="宋体" w:cs="宋体"/>
                <w:spacing w:val="8"/>
              </w:rPr>
              <w:t>分；</w:t>
            </w:r>
          </w:p>
          <w:p w14:paraId="0C38B6AB">
            <w:pPr>
              <w:spacing w:before="41"/>
              <w:ind w:left="111"/>
              <w:rPr>
                <w:rFonts w:hint="eastAsia" w:ascii="宋体" w:hAnsi="宋体" w:cs="宋体"/>
                <w:spacing w:val="8"/>
              </w:rPr>
            </w:pPr>
            <w:r>
              <w:rPr>
                <w:rFonts w:hint="eastAsia" w:ascii="宋体" w:hAnsi="宋体" w:cs="宋体"/>
                <w:spacing w:val="8"/>
              </w:rPr>
              <w:t>漏缺3项或未提供方案的不得分；</w:t>
            </w:r>
          </w:p>
        </w:tc>
      </w:tr>
      <w:tr w14:paraId="73E73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1212" w:type="dxa"/>
            <w:vMerge w:val="continue"/>
            <w:tcBorders>
              <w:top w:val="single" w:color="auto" w:sz="4" w:space="0"/>
              <w:left w:val="single" w:color="auto" w:sz="4" w:space="0"/>
              <w:bottom w:val="single" w:color="auto" w:sz="4" w:space="0"/>
              <w:right w:val="single" w:color="auto" w:sz="4" w:space="0"/>
            </w:tcBorders>
            <w:noWrap w:val="0"/>
            <w:vAlign w:val="center"/>
          </w:tcPr>
          <w:p w14:paraId="5F0FB1C0">
            <w:pPr>
              <w:widowControl/>
              <w:jc w:val="left"/>
              <w:rPr>
                <w:rFonts w:ascii="宋体" w:hAnsi="宋体" w:cs="宋体"/>
              </w:rPr>
            </w:pPr>
          </w:p>
        </w:tc>
        <w:tc>
          <w:tcPr>
            <w:tcW w:w="1421" w:type="dxa"/>
            <w:tcBorders>
              <w:top w:val="single" w:color="auto" w:sz="4" w:space="0"/>
              <w:left w:val="single" w:color="auto" w:sz="4" w:space="0"/>
              <w:bottom w:val="single" w:color="auto" w:sz="4" w:space="0"/>
              <w:right w:val="single" w:color="auto" w:sz="4" w:space="0"/>
            </w:tcBorders>
            <w:noWrap w:val="0"/>
            <w:vAlign w:val="center"/>
          </w:tcPr>
          <w:p w14:paraId="7243B2B6">
            <w:pPr>
              <w:jc w:val="center"/>
              <w:rPr>
                <w:rFonts w:ascii="宋体" w:hAnsi="宋体" w:cs="宋体"/>
              </w:rPr>
            </w:pPr>
            <w:r>
              <w:rPr>
                <w:rFonts w:hint="eastAsia" w:ascii="宋体" w:hAnsi="宋体" w:cs="宋体"/>
              </w:rPr>
              <w:t>软</w:t>
            </w:r>
            <w:r>
              <w:rPr>
                <w:rFonts w:ascii="宋体" w:hAnsi="宋体" w:cs="宋体"/>
              </w:rPr>
              <w:t>硬件</w:t>
            </w:r>
            <w:r>
              <w:rPr>
                <w:rFonts w:hint="eastAsia" w:ascii="宋体" w:hAnsi="宋体" w:cs="宋体"/>
              </w:rPr>
              <w:t>投入（</w:t>
            </w:r>
            <w:r>
              <w:rPr>
                <w:rFonts w:ascii="宋体" w:hAnsi="宋体" w:cs="宋体"/>
              </w:rPr>
              <w:t>1</w:t>
            </w:r>
            <w:r>
              <w:rPr>
                <w:rFonts w:hint="eastAsia" w:ascii="宋体" w:hAnsi="宋体" w:cs="宋体"/>
                <w:lang w:val="en-US" w:eastAsia="zh-CN"/>
              </w:rPr>
              <w:t>2</w:t>
            </w:r>
            <w:r>
              <w:rPr>
                <w:rFonts w:hint="eastAsia" w:ascii="宋体" w:hAnsi="宋体" w:cs="宋体"/>
              </w:rPr>
              <w:t>分）</w:t>
            </w:r>
          </w:p>
        </w:tc>
        <w:tc>
          <w:tcPr>
            <w:tcW w:w="6894" w:type="dxa"/>
            <w:tcBorders>
              <w:top w:val="single" w:color="auto" w:sz="4" w:space="0"/>
              <w:left w:val="single" w:color="auto" w:sz="4" w:space="0"/>
              <w:bottom w:val="single" w:color="auto" w:sz="4" w:space="0"/>
              <w:right w:val="single" w:color="auto" w:sz="4" w:space="0"/>
            </w:tcBorders>
            <w:noWrap w:val="0"/>
            <w:vAlign w:val="center"/>
          </w:tcPr>
          <w:p w14:paraId="1B794495">
            <w:pPr>
              <w:spacing w:before="41"/>
              <w:ind w:left="111"/>
              <w:rPr>
                <w:rFonts w:ascii="宋体" w:hAnsi="宋体" w:cs="宋体"/>
                <w:spacing w:val="8"/>
              </w:rPr>
            </w:pPr>
            <w:r>
              <w:rPr>
                <w:rFonts w:hint="eastAsia" w:ascii="宋体" w:hAnsi="宋体" w:cs="宋体"/>
                <w:spacing w:val="8"/>
              </w:rPr>
              <w:t>（1）投标人投入无人机航测设备4套以上(含)得</w:t>
            </w:r>
            <w:r>
              <w:rPr>
                <w:rFonts w:hint="eastAsia" w:ascii="宋体" w:hAnsi="宋体" w:cs="宋体"/>
                <w:spacing w:val="8"/>
                <w:lang w:val="en-US" w:eastAsia="zh-CN"/>
              </w:rPr>
              <w:t>4</w:t>
            </w:r>
            <w:r>
              <w:rPr>
                <w:rFonts w:hint="eastAsia" w:ascii="宋体" w:hAnsi="宋体" w:cs="宋体"/>
                <w:spacing w:val="8"/>
              </w:rPr>
              <w:t>分，3套得</w:t>
            </w:r>
            <w:r>
              <w:rPr>
                <w:rFonts w:hint="eastAsia" w:ascii="宋体" w:hAnsi="宋体" w:cs="宋体"/>
                <w:spacing w:val="8"/>
                <w:lang w:val="en-US" w:eastAsia="zh-CN"/>
              </w:rPr>
              <w:t>2</w:t>
            </w:r>
            <w:r>
              <w:rPr>
                <w:rFonts w:hint="eastAsia" w:ascii="宋体" w:hAnsi="宋体" w:cs="宋体"/>
                <w:spacing w:val="8"/>
              </w:rPr>
              <w:t>分，2套得</w:t>
            </w:r>
            <w:r>
              <w:rPr>
                <w:rFonts w:hint="eastAsia" w:ascii="宋体" w:hAnsi="宋体" w:cs="宋体"/>
                <w:spacing w:val="8"/>
                <w:lang w:val="en-US" w:eastAsia="zh-CN"/>
              </w:rPr>
              <w:t>1</w:t>
            </w:r>
            <w:r>
              <w:rPr>
                <w:rFonts w:hint="eastAsia" w:ascii="宋体" w:hAnsi="宋体" w:cs="宋体"/>
                <w:spacing w:val="8"/>
              </w:rPr>
              <w:t>分，其他不得分；</w:t>
            </w:r>
          </w:p>
          <w:p w14:paraId="35E2B47B">
            <w:pPr>
              <w:spacing w:before="41"/>
              <w:ind w:left="111"/>
              <w:rPr>
                <w:rFonts w:hint="eastAsia" w:ascii="宋体" w:hAnsi="宋体" w:cs="宋体"/>
                <w:spacing w:val="8"/>
              </w:rPr>
            </w:pPr>
            <w:r>
              <w:rPr>
                <w:rFonts w:hint="eastAsia" w:ascii="宋体" w:hAnsi="宋体" w:cs="宋体"/>
                <w:spacing w:val="8"/>
              </w:rPr>
              <w:t>（2）投标人投入遥感影像数据集群处理环境</w:t>
            </w:r>
            <w:r>
              <w:rPr>
                <w:rFonts w:hint="eastAsia" w:ascii="宋体" w:hAnsi="宋体" w:cs="宋体"/>
                <w:spacing w:val="8"/>
                <w:lang w:val="en-US" w:eastAsia="zh-CN"/>
              </w:rPr>
              <w:t>的</w:t>
            </w:r>
            <w:r>
              <w:rPr>
                <w:rFonts w:hint="eastAsia" w:ascii="宋体" w:hAnsi="宋体" w:cs="宋体"/>
                <w:spacing w:val="8"/>
              </w:rPr>
              <w:t>得</w:t>
            </w:r>
            <w:r>
              <w:rPr>
                <w:rFonts w:hint="eastAsia" w:ascii="宋体" w:hAnsi="宋体" w:cs="宋体"/>
                <w:spacing w:val="8"/>
                <w:lang w:val="en-US" w:eastAsia="zh-CN"/>
              </w:rPr>
              <w:t>2</w:t>
            </w:r>
            <w:r>
              <w:rPr>
                <w:rFonts w:hint="eastAsia" w:ascii="宋体" w:hAnsi="宋体" w:cs="宋体"/>
                <w:spacing w:val="8"/>
              </w:rPr>
              <w:t>分</w:t>
            </w:r>
            <w:r>
              <w:rPr>
                <w:rFonts w:hint="eastAsia" w:ascii="宋体" w:hAnsi="宋体" w:cs="宋体"/>
                <w:spacing w:val="8"/>
                <w:lang w:eastAsia="zh-CN"/>
              </w:rPr>
              <w:t>，</w:t>
            </w:r>
            <w:r>
              <w:rPr>
                <w:rFonts w:hint="eastAsia" w:ascii="宋体" w:hAnsi="宋体" w:cs="宋体"/>
                <w:spacing w:val="8"/>
                <w:lang w:val="en-US" w:eastAsia="zh-CN"/>
              </w:rPr>
              <w:t>没有不得分</w:t>
            </w:r>
            <w:r>
              <w:rPr>
                <w:rFonts w:hint="eastAsia" w:ascii="宋体" w:hAnsi="宋体" w:cs="宋体"/>
                <w:spacing w:val="8"/>
              </w:rPr>
              <w:t>。</w:t>
            </w:r>
          </w:p>
          <w:p w14:paraId="0064BCF7">
            <w:pPr>
              <w:spacing w:before="41"/>
              <w:ind w:left="111"/>
              <w:rPr>
                <w:rFonts w:hint="eastAsia" w:ascii="宋体" w:hAnsi="宋体" w:cs="宋体" w:eastAsiaTheme="minorEastAsia"/>
                <w:spacing w:val="8"/>
                <w:lang w:eastAsia="zh-CN"/>
              </w:rPr>
            </w:pPr>
            <w:r>
              <w:rPr>
                <w:rFonts w:hint="eastAsia" w:ascii="宋体" w:hAnsi="宋体" w:cs="宋体"/>
                <w:b/>
                <w:spacing w:val="8"/>
              </w:rPr>
              <w:t>注:须提供采购合同</w:t>
            </w:r>
            <w:r>
              <w:rPr>
                <w:rFonts w:hint="eastAsia" w:ascii="宋体" w:hAnsi="宋体" w:cs="宋体"/>
                <w:b/>
                <w:spacing w:val="8"/>
                <w:lang w:val="en-US" w:eastAsia="zh-CN"/>
              </w:rPr>
              <w:t>或租赁合同</w:t>
            </w:r>
            <w:r>
              <w:rPr>
                <w:rFonts w:hint="eastAsia" w:ascii="宋体" w:hAnsi="宋体" w:cs="宋体"/>
                <w:b/>
                <w:spacing w:val="8"/>
              </w:rPr>
              <w:t>或发票等证明材料并加盖供应商公章</w:t>
            </w:r>
            <w:r>
              <w:rPr>
                <w:rFonts w:hint="eastAsia" w:ascii="宋体" w:hAnsi="宋体" w:cs="宋体"/>
                <w:b/>
                <w:spacing w:val="8"/>
                <w:lang w:val="en-US" w:eastAsia="zh-CN"/>
              </w:rPr>
              <w:t>上传</w:t>
            </w:r>
            <w:r>
              <w:rPr>
                <w:rFonts w:hint="eastAsia" w:ascii="宋体" w:hAnsi="宋体" w:cs="宋体"/>
                <w:b/>
                <w:spacing w:val="8"/>
                <w:lang w:eastAsia="zh-CN"/>
              </w:rPr>
              <w:t>，</w:t>
            </w:r>
            <w:r>
              <w:rPr>
                <w:rFonts w:hint="eastAsia" w:ascii="宋体" w:hAnsi="宋体" w:cs="宋体"/>
                <w:b/>
                <w:bCs/>
              </w:rPr>
              <w:t>未按要求提供不得分</w:t>
            </w:r>
            <w:r>
              <w:rPr>
                <w:rFonts w:hint="eastAsia" w:ascii="宋体" w:hAnsi="宋体" w:cs="宋体"/>
                <w:b/>
                <w:bCs/>
                <w:lang w:eastAsia="zh-CN"/>
              </w:rPr>
              <w:t>。</w:t>
            </w:r>
          </w:p>
          <w:p w14:paraId="1A511A19">
            <w:pPr>
              <w:spacing w:before="41"/>
              <w:ind w:left="111"/>
              <w:rPr>
                <w:rFonts w:hint="eastAsia" w:ascii="宋体" w:hAnsi="宋体" w:cs="宋体"/>
                <w:spacing w:val="8"/>
              </w:rPr>
            </w:pPr>
            <w:r>
              <w:rPr>
                <w:rFonts w:hint="eastAsia" w:ascii="宋体" w:hAnsi="宋体" w:cs="宋体"/>
                <w:spacing w:val="8"/>
              </w:rPr>
              <w:t>（</w:t>
            </w:r>
            <w:r>
              <w:rPr>
                <w:rFonts w:hint="eastAsia" w:ascii="宋体" w:hAnsi="宋体" w:cs="宋体"/>
                <w:spacing w:val="8"/>
                <w:lang w:val="en-US" w:eastAsia="zh-CN"/>
              </w:rPr>
              <w:t>3</w:t>
            </w:r>
            <w:r>
              <w:rPr>
                <w:rFonts w:hint="eastAsia" w:ascii="宋体" w:hAnsi="宋体" w:cs="宋体"/>
                <w:spacing w:val="8"/>
              </w:rPr>
              <w:t>）投标人</w:t>
            </w:r>
            <w:r>
              <w:rPr>
                <w:rFonts w:hint="eastAsia" w:ascii="宋体" w:hAnsi="宋体" w:cs="宋体"/>
                <w:spacing w:val="8"/>
                <w:lang w:val="en-US" w:eastAsia="zh-CN"/>
              </w:rPr>
              <w:t>投入自有权籍调查、土地调查数据建库、土地调查数据库质检相关</w:t>
            </w:r>
            <w:r>
              <w:rPr>
                <w:rFonts w:hint="eastAsia" w:ascii="宋体" w:hAnsi="宋体" w:cs="宋体"/>
                <w:spacing w:val="8"/>
              </w:rPr>
              <w:t>软件</w:t>
            </w:r>
            <w:r>
              <w:rPr>
                <w:rFonts w:hint="eastAsia" w:ascii="宋体" w:hAnsi="宋体" w:cs="宋体"/>
                <w:spacing w:val="8"/>
                <w:lang w:val="en-US" w:eastAsia="zh-CN"/>
              </w:rPr>
              <w:t>产品的，每类得2分，最高得6分。</w:t>
            </w:r>
          </w:p>
          <w:p w14:paraId="3B542AA4">
            <w:pPr>
              <w:spacing w:before="41"/>
              <w:ind w:left="111"/>
              <w:rPr>
                <w:rFonts w:hint="eastAsia" w:ascii="宋体" w:hAnsi="宋体" w:cs="宋体"/>
                <w:b/>
                <w:spacing w:val="8"/>
              </w:rPr>
            </w:pPr>
            <w:r>
              <w:rPr>
                <w:rFonts w:hint="eastAsia" w:ascii="宋体" w:hAnsi="宋体" w:cs="宋体"/>
                <w:b/>
                <w:spacing w:val="8"/>
                <w:lang w:val="en-US" w:eastAsia="zh-CN"/>
              </w:rPr>
              <w:t>注：</w:t>
            </w:r>
            <w:r>
              <w:rPr>
                <w:rFonts w:hint="eastAsia" w:ascii="宋体" w:hAnsi="宋体" w:cs="宋体"/>
                <w:b/>
                <w:spacing w:val="8"/>
              </w:rPr>
              <w:t>须</w:t>
            </w:r>
            <w:r>
              <w:rPr>
                <w:rFonts w:hint="eastAsia" w:ascii="宋体" w:hAnsi="宋体" w:cs="宋体"/>
                <w:b/>
                <w:spacing w:val="8"/>
                <w:lang w:val="en-US" w:eastAsia="zh-CN"/>
              </w:rPr>
              <w:t>同时</w:t>
            </w:r>
            <w:r>
              <w:rPr>
                <w:rFonts w:hint="eastAsia" w:ascii="宋体" w:hAnsi="宋体" w:cs="宋体"/>
                <w:b/>
                <w:spacing w:val="8"/>
              </w:rPr>
              <w:t>提供</w:t>
            </w:r>
            <w:r>
              <w:rPr>
                <w:rFonts w:hint="eastAsia" w:ascii="宋体" w:hAnsi="宋体" w:cs="宋体"/>
                <w:b/>
                <w:spacing w:val="8"/>
                <w:lang w:val="en-US" w:eastAsia="zh-CN"/>
              </w:rPr>
              <w:t>承诺函（格式自拟）、行政部门颁发的软件著作权证书等证明材料原件扫描上传，未按要求提供不得分。</w:t>
            </w:r>
          </w:p>
        </w:tc>
      </w:tr>
      <w:tr w14:paraId="294F0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2" w:type="dxa"/>
            <w:vMerge w:val="continue"/>
            <w:tcBorders>
              <w:top w:val="single" w:color="auto" w:sz="4" w:space="0"/>
              <w:left w:val="single" w:color="auto" w:sz="4" w:space="0"/>
              <w:bottom w:val="single" w:color="auto" w:sz="4" w:space="0"/>
              <w:right w:val="single" w:color="auto" w:sz="4" w:space="0"/>
            </w:tcBorders>
            <w:noWrap w:val="0"/>
            <w:vAlign w:val="center"/>
          </w:tcPr>
          <w:p w14:paraId="11554FEF">
            <w:pPr>
              <w:widowControl/>
              <w:jc w:val="left"/>
              <w:rPr>
                <w:rFonts w:ascii="宋体" w:hAnsi="宋体" w:cs="宋体"/>
              </w:rPr>
            </w:pPr>
          </w:p>
        </w:tc>
        <w:tc>
          <w:tcPr>
            <w:tcW w:w="1421" w:type="dxa"/>
            <w:tcBorders>
              <w:top w:val="single" w:color="auto" w:sz="4" w:space="0"/>
              <w:left w:val="single" w:color="auto" w:sz="4" w:space="0"/>
              <w:bottom w:val="single" w:color="auto" w:sz="4" w:space="0"/>
              <w:right w:val="single" w:color="auto" w:sz="4" w:space="0"/>
            </w:tcBorders>
            <w:noWrap w:val="0"/>
            <w:vAlign w:val="center"/>
          </w:tcPr>
          <w:p w14:paraId="7594BD15">
            <w:pPr>
              <w:jc w:val="center"/>
              <w:rPr>
                <w:rFonts w:hint="eastAsia" w:ascii="宋体" w:hAnsi="宋体" w:cs="宋体"/>
              </w:rPr>
            </w:pPr>
            <w:r>
              <w:rPr>
                <w:rFonts w:hint="eastAsia" w:ascii="宋体" w:hAnsi="宋体" w:cs="宋体"/>
              </w:rPr>
              <w:t>售后服务</w:t>
            </w:r>
          </w:p>
          <w:p w14:paraId="4B4E2B0F">
            <w:pPr>
              <w:jc w:val="center"/>
              <w:rPr>
                <w:rFonts w:ascii="宋体" w:hAnsi="宋体" w:cs="宋体"/>
              </w:rPr>
            </w:pPr>
            <w:r>
              <w:rPr>
                <w:rFonts w:hint="eastAsia" w:ascii="宋体" w:hAnsi="宋体" w:cs="宋体"/>
              </w:rPr>
              <w:t>（</w:t>
            </w:r>
            <w:r>
              <w:rPr>
                <w:rFonts w:hint="eastAsia" w:ascii="宋体" w:hAnsi="宋体" w:cs="宋体"/>
                <w:lang w:val="en-US" w:eastAsia="zh-CN"/>
              </w:rPr>
              <w:t>3</w:t>
            </w:r>
            <w:r>
              <w:rPr>
                <w:rFonts w:hint="eastAsia" w:ascii="宋体" w:hAnsi="宋体" w:cs="宋体"/>
              </w:rPr>
              <w:t>分）</w:t>
            </w:r>
          </w:p>
        </w:tc>
        <w:tc>
          <w:tcPr>
            <w:tcW w:w="6894" w:type="dxa"/>
            <w:tcBorders>
              <w:top w:val="single" w:color="auto" w:sz="4" w:space="0"/>
              <w:left w:val="single" w:color="auto" w:sz="4" w:space="0"/>
              <w:bottom w:val="single" w:color="auto" w:sz="4" w:space="0"/>
              <w:right w:val="single" w:color="auto" w:sz="4" w:space="0"/>
            </w:tcBorders>
            <w:noWrap w:val="0"/>
            <w:vAlign w:val="center"/>
          </w:tcPr>
          <w:p w14:paraId="26C38564">
            <w:pPr>
              <w:ind w:hanging="7"/>
              <w:rPr>
                <w:rFonts w:ascii="宋体" w:hAnsi="宋体" w:cs="宋体"/>
                <w:lang w:val="zh-CN"/>
              </w:rPr>
            </w:pPr>
            <w:r>
              <w:rPr>
                <w:rFonts w:ascii="宋体" w:hAnsi="宋体" w:cs="宋体"/>
                <w:lang w:val="zh-CN"/>
              </w:rPr>
              <w:t>（1）售后服务体系完备合理的得</w:t>
            </w:r>
            <w:r>
              <w:rPr>
                <w:rFonts w:hint="eastAsia" w:ascii="宋体" w:hAnsi="宋体" w:cs="宋体"/>
                <w:lang w:val="en-US" w:eastAsia="zh-CN"/>
              </w:rPr>
              <w:t>1</w:t>
            </w:r>
            <w:r>
              <w:rPr>
                <w:rFonts w:ascii="宋体" w:hAnsi="宋体" w:cs="宋体"/>
                <w:lang w:val="zh-CN"/>
              </w:rPr>
              <w:t>分，没有不得分；</w:t>
            </w:r>
          </w:p>
          <w:p w14:paraId="3EA6D470">
            <w:pPr>
              <w:ind w:hanging="7"/>
              <w:rPr>
                <w:rFonts w:ascii="宋体" w:hAnsi="宋体" w:cs="宋体"/>
                <w:lang w:val="zh-CN"/>
              </w:rPr>
            </w:pPr>
            <w:r>
              <w:rPr>
                <w:rFonts w:ascii="宋体" w:hAnsi="宋体" w:cs="宋体"/>
                <w:lang w:val="zh-CN"/>
              </w:rPr>
              <w:t>（2）针对本项目制定合理的培训方案的得</w:t>
            </w:r>
            <w:r>
              <w:rPr>
                <w:rFonts w:hint="eastAsia" w:ascii="宋体" w:hAnsi="宋体" w:cs="宋体"/>
                <w:lang w:val="en-US" w:eastAsia="zh-CN"/>
              </w:rPr>
              <w:t>1</w:t>
            </w:r>
            <w:r>
              <w:rPr>
                <w:rFonts w:ascii="宋体" w:hAnsi="宋体" w:cs="宋体"/>
                <w:lang w:val="zh-CN"/>
              </w:rPr>
              <w:t>分，没有不得分。</w:t>
            </w:r>
          </w:p>
          <w:p w14:paraId="258871AC">
            <w:pPr>
              <w:ind w:hanging="7"/>
              <w:rPr>
                <w:spacing w:val="7"/>
              </w:rPr>
            </w:pPr>
            <w:r>
              <w:rPr>
                <w:rFonts w:hint="eastAsia" w:ascii="宋体" w:hAnsi="宋体" w:cs="宋体"/>
                <w:lang w:val="zh-CN"/>
              </w:rPr>
              <w:t>（3）项目实施期间承诺提供驻场服务的得</w:t>
            </w:r>
            <w:r>
              <w:rPr>
                <w:rFonts w:hint="eastAsia" w:ascii="宋体" w:hAnsi="宋体" w:cs="宋体"/>
                <w:lang w:val="en-US" w:eastAsia="zh-CN"/>
              </w:rPr>
              <w:t>1</w:t>
            </w:r>
            <w:r>
              <w:rPr>
                <w:rFonts w:hint="eastAsia" w:ascii="宋体" w:hAnsi="宋体" w:cs="宋体"/>
                <w:lang w:val="zh-CN"/>
              </w:rPr>
              <w:t>分，</w:t>
            </w:r>
            <w:r>
              <w:rPr>
                <w:rFonts w:ascii="宋体" w:hAnsi="宋体" w:cs="宋体"/>
                <w:lang w:val="zh-CN"/>
              </w:rPr>
              <w:t>没有不得分</w:t>
            </w:r>
            <w:r>
              <w:rPr>
                <w:rFonts w:hint="eastAsia" w:ascii="宋体"/>
                <w:b/>
                <w:bCs/>
              </w:rPr>
              <w:t>(提供承诺书，格式自拟，扫描上传)</w:t>
            </w:r>
            <w:r>
              <w:rPr>
                <w:rFonts w:hint="eastAsia" w:ascii="宋体" w:hAnsi="宋体" w:cs="宋体"/>
                <w:lang w:val="zh-CN"/>
              </w:rPr>
              <w:t>。</w:t>
            </w:r>
          </w:p>
        </w:tc>
      </w:tr>
    </w:tbl>
    <w:p w14:paraId="1D8315D8">
      <w:pPr>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br w:type="page" w:clear="all"/>
      </w:r>
    </w:p>
    <w:p w14:paraId="67ACC253">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b/>
          <w:color w:val="auto"/>
          <w:szCs w:val="21"/>
          <w:highlight w:val="none"/>
        </w:rPr>
        <w:t>四、评审委员会启动异常低价投标（响应）审查的情形和具体要求，包括：</w:t>
      </w:r>
    </w:p>
    <w:p w14:paraId="1189A31D">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lang w:eastAsia="zh-CN"/>
        </w:rPr>
        <w:t>（</w:t>
      </w:r>
      <w:r>
        <w:rPr>
          <w:rFonts w:hint="eastAsia" w:ascii="Times New Roman" w:hAnsi="Times New Roman" w:eastAsia="宋体"/>
          <w:bCs/>
          <w:color w:val="auto"/>
          <w:szCs w:val="21"/>
          <w:highlight w:val="none"/>
          <w:lang w:val="en-US" w:eastAsia="zh-CN"/>
        </w:rPr>
        <w:t>一</w:t>
      </w:r>
      <w:r>
        <w:rPr>
          <w:rFonts w:hint="eastAsia" w:ascii="Times New Roman" w:hAnsi="Times New Roman" w:eastAsia="宋体"/>
          <w:bCs/>
          <w:color w:val="auto"/>
          <w:szCs w:val="21"/>
          <w:highlight w:val="none"/>
          <w:lang w:eastAsia="zh-CN"/>
        </w:rPr>
        <w:t>）</w:t>
      </w:r>
      <w:r>
        <w:rPr>
          <w:rFonts w:hint="eastAsia" w:ascii="Times New Roman" w:hAnsi="Times New Roman" w:eastAsia="宋体"/>
          <w:bCs/>
          <w:color w:val="auto"/>
          <w:szCs w:val="21"/>
          <w:highlight w:val="none"/>
        </w:rPr>
        <w:t>评标过程中出现下列情形之一的，评标委员会应当启动异常低价投标审查程序：</w:t>
      </w:r>
    </w:p>
    <w:p w14:paraId="478F9CC7">
      <w:pPr>
        <w:pageBreakBefore w:val="0"/>
        <w:spacing w:line="360" w:lineRule="auto"/>
        <w:ind w:firstLine="420"/>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1.投标（响应）报价低于全部通过符合性审查供应商投标（响应）报价平均值50%的，即投标（响应）报价&lt;全部通过符合性审查供应商投标（响应）报价平均值×50%； </w:t>
      </w:r>
    </w:p>
    <w:p w14:paraId="6067F5A2">
      <w:pPr>
        <w:pageBreakBefore w:val="0"/>
        <w:spacing w:line="360" w:lineRule="auto"/>
        <w:ind w:firstLine="420"/>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2.投标（响应）报价低于通过符合性审查的次低报价供应商投标（响应）报价50%的，即投标（响应）报价&lt;通过符合性审查的次低报价供应商投标（响应）报价×50%； </w:t>
      </w:r>
    </w:p>
    <w:p w14:paraId="0C319EA2">
      <w:pPr>
        <w:pageBreakBefore w:val="0"/>
        <w:spacing w:line="360" w:lineRule="auto"/>
        <w:ind w:firstLine="420"/>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3.投标（响应）报价低于采购项目最高限价45%的，即投标（响应）报价&lt;采购项目最高限价×45%； </w:t>
      </w:r>
    </w:p>
    <w:p w14:paraId="4568526B">
      <w:pPr>
        <w:pageBreakBefore w:val="0"/>
        <w:spacing w:line="360" w:lineRule="auto"/>
        <w:ind w:firstLine="420"/>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4.评审委员会基于专业判断，认为供应商报价过低，有可能影响产品质量或者不能诚信履约的其他情形。 </w:t>
      </w:r>
    </w:p>
    <w:p w14:paraId="5E36602D">
      <w:pPr>
        <w:pageBreakBefore w:val="0"/>
        <w:spacing w:line="360" w:lineRule="auto"/>
        <w:ind w:firstLine="420"/>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采购人可以结合具体项目实际情况，提高上述第1项至第3项中启动异常低价投标（响应）审查的数值标准，但是最高不得超过65%。</w:t>
      </w:r>
    </w:p>
    <w:p w14:paraId="688307FA">
      <w:pPr>
        <w:pageBreakBefore w:val="0"/>
        <w:spacing w:line="360" w:lineRule="auto"/>
        <w:ind w:firstLine="420"/>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lang w:eastAsia="zh-CN"/>
        </w:rPr>
        <w:t>（</w:t>
      </w:r>
      <w:r>
        <w:rPr>
          <w:rFonts w:hint="eastAsia" w:ascii="Times New Roman" w:hAnsi="Times New Roman" w:eastAsia="宋体"/>
          <w:bCs/>
          <w:color w:val="auto"/>
          <w:szCs w:val="21"/>
          <w:highlight w:val="none"/>
          <w:lang w:val="en-US" w:eastAsia="zh-CN"/>
        </w:rPr>
        <w:t>二</w:t>
      </w:r>
      <w:r>
        <w:rPr>
          <w:rFonts w:hint="eastAsia" w:ascii="Times New Roman" w:hAnsi="Times New Roman" w:eastAsia="宋体"/>
          <w:bCs/>
          <w:color w:val="auto"/>
          <w:szCs w:val="21"/>
          <w:highlight w:val="none"/>
          <w:lang w:eastAsia="zh-CN"/>
        </w:rPr>
        <w:t>）</w:t>
      </w:r>
      <w:r>
        <w:rPr>
          <w:rFonts w:hint="eastAsia" w:ascii="Times New Roman" w:hAnsi="Times New Roman" w:eastAsia="宋体"/>
          <w:bCs/>
          <w:color w:val="auto"/>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608FF776">
      <w:pPr>
        <w:pageBreakBefore w:val="0"/>
        <w:spacing w:line="360" w:lineRule="auto"/>
        <w:ind w:firstLine="420"/>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lang w:eastAsia="zh-CN"/>
        </w:rPr>
        <w:t>（</w:t>
      </w:r>
      <w:r>
        <w:rPr>
          <w:rFonts w:hint="eastAsia" w:ascii="Times New Roman" w:hAnsi="Times New Roman" w:eastAsia="宋体"/>
          <w:bCs/>
          <w:color w:val="auto"/>
          <w:szCs w:val="21"/>
          <w:highlight w:val="none"/>
          <w:lang w:val="en-US" w:eastAsia="zh-CN"/>
        </w:rPr>
        <w:t>三</w:t>
      </w:r>
      <w:r>
        <w:rPr>
          <w:rFonts w:hint="eastAsia" w:ascii="Times New Roman" w:hAnsi="Times New Roman" w:eastAsia="宋体"/>
          <w:bCs/>
          <w:color w:val="auto"/>
          <w:szCs w:val="21"/>
          <w:highlight w:val="none"/>
          <w:lang w:eastAsia="zh-CN"/>
        </w:rPr>
        <w:t>）</w:t>
      </w:r>
      <w:r>
        <w:rPr>
          <w:rFonts w:hint="eastAsia" w:ascii="Times New Roman" w:hAnsi="Times New Roman" w:eastAsia="宋体"/>
          <w:bCs/>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6625808B">
      <w:pPr>
        <w:pageBreakBefore w:val="0"/>
        <w:spacing w:line="360" w:lineRule="auto"/>
        <w:ind w:firstLine="420"/>
        <w:rPr>
          <w:rFonts w:hint="eastAsia" w:ascii="Times New Roman" w:hAnsi="Times New Roman" w:eastAsia="宋体"/>
          <w:b/>
          <w:color w:val="auto"/>
          <w:szCs w:val="21"/>
          <w:highlight w:val="none"/>
        </w:rPr>
      </w:pPr>
      <w:r>
        <w:rPr>
          <w:rFonts w:hint="eastAsia" w:ascii="Times New Roman" w:hAnsi="Times New Roman" w:eastAsia="宋体"/>
          <w:bCs/>
          <w:color w:val="auto"/>
          <w:szCs w:val="21"/>
          <w:highlight w:val="none"/>
          <w:lang w:eastAsia="zh-CN"/>
        </w:rPr>
        <w:t>（</w:t>
      </w:r>
      <w:r>
        <w:rPr>
          <w:rFonts w:hint="eastAsia" w:ascii="Times New Roman" w:hAnsi="Times New Roman" w:eastAsia="宋体"/>
          <w:bCs/>
          <w:color w:val="auto"/>
          <w:szCs w:val="21"/>
          <w:highlight w:val="none"/>
          <w:lang w:val="en-US" w:eastAsia="zh-CN"/>
        </w:rPr>
        <w:t>四</w:t>
      </w:r>
      <w:r>
        <w:rPr>
          <w:rFonts w:hint="eastAsia" w:ascii="Times New Roman" w:hAnsi="Times New Roman" w:eastAsia="宋体"/>
          <w:bCs/>
          <w:color w:val="auto"/>
          <w:szCs w:val="21"/>
          <w:highlight w:val="none"/>
          <w:lang w:eastAsia="zh-CN"/>
        </w:rPr>
        <w:t>）</w:t>
      </w:r>
      <w:r>
        <w:rPr>
          <w:rFonts w:hint="eastAsia" w:ascii="Times New Roman" w:hAnsi="Times New Roman" w:eastAsia="宋体"/>
          <w:bCs/>
          <w:color w:val="auto"/>
          <w:szCs w:val="21"/>
          <w:highlight w:val="none"/>
        </w:rPr>
        <w:t>异常低价投标（响应）审查的启动原因、审查意见和审查结果应当在评审报告中记录，并随供应商提供的相关书面说明及证明材料，以及评审委员会有关互联网浏览、查询历史一并归档。</w:t>
      </w:r>
    </w:p>
    <w:p w14:paraId="2EF5A958">
      <w:pPr>
        <w:pageBreakBefore w:val="0"/>
        <w:spacing w:line="360" w:lineRule="auto"/>
        <w:rPr>
          <w:rFonts w:hint="eastAsia" w:ascii="Times New Roman" w:hAnsi="Times New Roman" w:eastAsia="宋体" w:cs="宋体"/>
          <w:b/>
          <w:color w:val="auto"/>
          <w:szCs w:val="21"/>
          <w:highlight w:val="none"/>
        </w:rPr>
      </w:pPr>
    </w:p>
    <w:p w14:paraId="66982277">
      <w:pPr>
        <w:pStyle w:val="197"/>
        <w:pageBreakBefore w:val="0"/>
        <w:spacing w:before="0" w:after="0" w:line="360" w:lineRule="auto"/>
        <w:rPr>
          <w:rFonts w:hint="eastAsia" w:ascii="Times New Roman" w:hAnsi="Times New Roman" w:eastAsia="宋体"/>
          <w:color w:val="auto"/>
          <w:highlight w:val="none"/>
        </w:rPr>
      </w:pPr>
    </w:p>
    <w:p w14:paraId="0102F29A">
      <w:pPr>
        <w:pStyle w:val="2"/>
        <w:pageBreakBefore w:val="0"/>
        <w:spacing w:before="0" w:after="0" w:line="360" w:lineRule="auto"/>
        <w:jc w:val="center"/>
        <w:rPr>
          <w:rFonts w:hint="eastAsia" w:ascii="Times New Roman" w:hAnsi="Times New Roman" w:eastAsia="宋体"/>
          <w:color w:val="auto"/>
          <w:sz w:val="36"/>
          <w:szCs w:val="36"/>
          <w:highlight w:val="none"/>
        </w:rPr>
        <w:sectPr>
          <w:pgSz w:w="11906" w:h="16838"/>
          <w:pgMar w:top="1440" w:right="1800" w:bottom="1440" w:left="1800" w:header="851" w:footer="992" w:gutter="0"/>
          <w:cols w:space="720" w:num="1"/>
          <w:docGrid w:linePitch="360" w:charSpace="0"/>
        </w:sectPr>
      </w:pPr>
      <w:bookmarkStart w:id="65" w:name="_Toc9838"/>
    </w:p>
    <w:p w14:paraId="54D7C7C2">
      <w:pPr>
        <w:pStyle w:val="2"/>
        <w:pageBreakBefore w:val="0"/>
        <w:spacing w:before="0" w:after="0" w:line="360" w:lineRule="auto"/>
        <w:jc w:val="center"/>
        <w:rPr>
          <w:rFonts w:ascii="Times New Roman" w:hAnsi="Times New Roman" w:eastAsia="宋体"/>
          <w:color w:val="auto"/>
          <w:sz w:val="36"/>
          <w:highlight w:val="none"/>
        </w:rPr>
      </w:pPr>
      <w:r>
        <w:rPr>
          <w:rFonts w:hint="eastAsia" w:ascii="Times New Roman" w:hAnsi="Times New Roman" w:eastAsia="宋体"/>
          <w:color w:val="auto"/>
          <w:sz w:val="36"/>
          <w:szCs w:val="36"/>
          <w:highlight w:val="none"/>
        </w:rPr>
        <w:t>第六章</w:t>
      </w:r>
      <w:r>
        <w:rPr>
          <w:rFonts w:hint="eastAsia" w:ascii="Times New Roman" w:hAnsi="Times New Roman" w:eastAsia="宋体"/>
          <w:color w:val="auto"/>
          <w:sz w:val="36"/>
          <w:szCs w:val="36"/>
          <w:highlight w:val="none"/>
          <w:lang w:val="en-US" w:eastAsia="zh-CN"/>
        </w:rPr>
        <w:t xml:space="preserve"> </w:t>
      </w:r>
      <w:r>
        <w:rPr>
          <w:rFonts w:hint="eastAsia" w:ascii="Times New Roman" w:hAnsi="Times New Roman" w:eastAsia="宋体"/>
          <w:color w:val="auto"/>
          <w:sz w:val="36"/>
          <w:szCs w:val="36"/>
          <w:highlight w:val="none"/>
        </w:rPr>
        <w:t>投标文件格式</w:t>
      </w:r>
      <w:bookmarkEnd w:id="65"/>
    </w:p>
    <w:p w14:paraId="0993F4FB">
      <w:pPr>
        <w:pageBreakBefore w:val="0"/>
        <w:spacing w:line="360" w:lineRule="auto"/>
        <w:rPr>
          <w:rFonts w:ascii="Times New Roman" w:hAnsi="Times New Roman" w:eastAsia="宋体"/>
          <w:bCs/>
          <w:color w:val="auto"/>
          <w:sz w:val="44"/>
          <w:highlight w:val="none"/>
        </w:rPr>
      </w:pPr>
    </w:p>
    <w:p w14:paraId="34366185">
      <w:pPr>
        <w:pageBreakBefore w:val="0"/>
        <w:spacing w:line="360" w:lineRule="auto"/>
        <w:jc w:val="center"/>
        <w:rPr>
          <w:rFonts w:ascii="Times New Roman" w:hAnsi="Times New Roman" w:eastAsia="宋体"/>
          <w:b/>
          <w:color w:val="auto"/>
          <w:sz w:val="72"/>
          <w:highlight w:val="none"/>
        </w:rPr>
      </w:pPr>
      <w:r>
        <w:rPr>
          <w:rFonts w:hint="eastAsia" w:ascii="Times New Roman" w:hAnsi="Times New Roman" w:eastAsia="宋体"/>
          <w:b/>
          <w:color w:val="auto"/>
          <w:sz w:val="72"/>
          <w:highlight w:val="none"/>
        </w:rPr>
        <w:t>投标文件</w:t>
      </w:r>
    </w:p>
    <w:p w14:paraId="18775048">
      <w:pPr>
        <w:pageBreakBefore w:val="0"/>
        <w:spacing w:line="360" w:lineRule="auto"/>
        <w:jc w:val="center"/>
        <w:rPr>
          <w:rFonts w:ascii="Times New Roman" w:hAnsi="Times New Roman" w:eastAsia="宋体"/>
          <w:b/>
          <w:color w:val="auto"/>
          <w:sz w:val="72"/>
          <w:highlight w:val="none"/>
        </w:rPr>
      </w:pPr>
    </w:p>
    <w:p w14:paraId="593ECF56">
      <w:pPr>
        <w:pageBreakBefore w:val="0"/>
        <w:spacing w:line="360" w:lineRule="auto"/>
        <w:jc w:val="center"/>
        <w:rPr>
          <w:rFonts w:ascii="Times New Roman" w:hAnsi="Times New Roman" w:eastAsia="宋体"/>
          <w:b/>
          <w:color w:val="auto"/>
          <w:sz w:val="72"/>
          <w:highlight w:val="none"/>
        </w:rPr>
      </w:pPr>
    </w:p>
    <w:p w14:paraId="07204712">
      <w:pPr>
        <w:pageBreakBefore w:val="0"/>
        <w:spacing w:line="360" w:lineRule="auto"/>
        <w:jc w:val="center"/>
        <w:rPr>
          <w:rFonts w:ascii="Times New Roman" w:hAnsi="Times New Roman" w:eastAsia="宋体"/>
          <w:b/>
          <w:color w:val="auto"/>
          <w:sz w:val="36"/>
          <w:highlight w:val="none"/>
        </w:rPr>
      </w:pPr>
    </w:p>
    <w:p w14:paraId="3A3C29D8">
      <w:pPr>
        <w:pageBreakBefore w:val="0"/>
        <w:spacing w:line="360" w:lineRule="auto"/>
        <w:jc w:val="center"/>
        <w:rPr>
          <w:rFonts w:ascii="Times New Roman" w:hAnsi="Times New Roman" w:eastAsia="宋体"/>
          <w:b/>
          <w:color w:val="auto"/>
          <w:sz w:val="36"/>
          <w:highlight w:val="none"/>
        </w:rPr>
      </w:pPr>
    </w:p>
    <w:p w14:paraId="49C31573">
      <w:pPr>
        <w:pageBreakBefore w:val="0"/>
        <w:spacing w:line="360" w:lineRule="auto"/>
        <w:jc w:val="center"/>
        <w:rPr>
          <w:rFonts w:ascii="Times New Roman" w:hAnsi="Times New Roman" w:eastAsia="宋体"/>
          <w:b/>
          <w:color w:val="auto"/>
          <w:sz w:val="36"/>
          <w:highlight w:val="none"/>
        </w:rPr>
      </w:pPr>
    </w:p>
    <w:p w14:paraId="27744F21">
      <w:pPr>
        <w:pageBreakBefore w:val="0"/>
        <w:spacing w:line="360" w:lineRule="auto"/>
        <w:jc w:val="center"/>
        <w:rPr>
          <w:rFonts w:ascii="Times New Roman" w:hAnsi="Times New Roman" w:eastAsia="宋体"/>
          <w:b/>
          <w:color w:val="auto"/>
          <w:sz w:val="36"/>
          <w:highlight w:val="none"/>
        </w:rPr>
      </w:pPr>
    </w:p>
    <w:p w14:paraId="0E71841B">
      <w:pPr>
        <w:pageBreakBefore w:val="0"/>
        <w:spacing w:line="360" w:lineRule="auto"/>
        <w:rPr>
          <w:rFonts w:ascii="Times New Roman" w:hAnsi="Times New Roman" w:eastAsia="宋体"/>
          <w:b/>
          <w:color w:val="auto"/>
          <w:sz w:val="36"/>
          <w:highlight w:val="none"/>
        </w:rPr>
      </w:pPr>
    </w:p>
    <w:p w14:paraId="7C57CC38">
      <w:pPr>
        <w:pageBreakBefore w:val="0"/>
        <w:spacing w:line="360" w:lineRule="auto"/>
        <w:jc w:val="center"/>
        <w:rPr>
          <w:rFonts w:ascii="Times New Roman" w:hAnsi="Times New Roman" w:eastAsia="宋体"/>
          <w:b/>
          <w:color w:val="auto"/>
          <w:sz w:val="36"/>
          <w:highlight w:val="none"/>
        </w:rPr>
      </w:pPr>
    </w:p>
    <w:p w14:paraId="2CFE4966">
      <w:pPr>
        <w:pageBreakBefore w:val="0"/>
        <w:spacing w:line="360" w:lineRule="auto"/>
        <w:ind w:firstLine="1084"/>
        <w:rPr>
          <w:rFonts w:ascii="Times New Roman" w:hAnsi="Times New Roman" w:eastAsia="宋体"/>
          <w:b/>
          <w:color w:val="auto"/>
          <w:sz w:val="36"/>
          <w:highlight w:val="none"/>
        </w:rPr>
      </w:pPr>
      <w:r>
        <w:rPr>
          <w:rFonts w:hint="eastAsia" w:ascii="Times New Roman" w:hAnsi="Times New Roman" w:eastAsia="宋体"/>
          <w:b/>
          <w:color w:val="auto"/>
          <w:sz w:val="36"/>
          <w:highlight w:val="none"/>
        </w:rPr>
        <w:t>项目名称：</w:t>
      </w:r>
    </w:p>
    <w:p w14:paraId="37A51482">
      <w:pPr>
        <w:pageBreakBefore w:val="0"/>
        <w:spacing w:line="360" w:lineRule="auto"/>
        <w:ind w:firstLine="1084"/>
        <w:rPr>
          <w:rFonts w:ascii="Times New Roman" w:hAnsi="Times New Roman" w:eastAsia="宋体"/>
          <w:b/>
          <w:color w:val="auto"/>
          <w:sz w:val="36"/>
          <w:highlight w:val="none"/>
          <w:u w:val="single"/>
        </w:rPr>
      </w:pPr>
      <w:r>
        <w:rPr>
          <w:rFonts w:hint="eastAsia" w:ascii="Times New Roman" w:hAnsi="Times New Roman" w:eastAsia="宋体"/>
          <w:b/>
          <w:color w:val="auto"/>
          <w:sz w:val="36"/>
          <w:highlight w:val="none"/>
        </w:rPr>
        <w:t>招标编号：</w:t>
      </w:r>
    </w:p>
    <w:p w14:paraId="4B77C49C">
      <w:pPr>
        <w:pageBreakBefore w:val="0"/>
        <w:spacing w:line="360" w:lineRule="auto"/>
        <w:ind w:firstLine="1084"/>
        <w:rPr>
          <w:rFonts w:ascii="Times New Roman" w:hAnsi="Times New Roman" w:eastAsia="宋体"/>
          <w:b/>
          <w:color w:val="auto"/>
          <w:sz w:val="36"/>
          <w:highlight w:val="none"/>
          <w:u w:val="single"/>
        </w:rPr>
      </w:pPr>
      <w:r>
        <w:rPr>
          <w:rFonts w:hint="eastAsia" w:ascii="Times New Roman" w:hAnsi="Times New Roman" w:eastAsia="宋体"/>
          <w:b/>
          <w:color w:val="auto"/>
          <w:sz w:val="36"/>
          <w:highlight w:val="none"/>
        </w:rPr>
        <w:t>投标人名称：</w:t>
      </w:r>
    </w:p>
    <w:p w14:paraId="060A5FEE">
      <w:pPr>
        <w:pageBreakBefore w:val="0"/>
        <w:spacing w:line="360" w:lineRule="auto"/>
        <w:ind w:firstLine="1084"/>
        <w:rPr>
          <w:rFonts w:ascii="Times New Roman" w:hAnsi="Times New Roman" w:eastAsia="宋体"/>
          <w:b/>
          <w:color w:val="auto"/>
          <w:sz w:val="36"/>
          <w:highlight w:val="none"/>
          <w:u w:val="single"/>
        </w:rPr>
      </w:pPr>
      <w:r>
        <w:rPr>
          <w:rFonts w:hint="eastAsia" w:ascii="Times New Roman" w:hAnsi="Times New Roman" w:eastAsia="宋体"/>
          <w:b/>
          <w:color w:val="auto"/>
          <w:sz w:val="36"/>
          <w:highlight w:val="none"/>
        </w:rPr>
        <w:t>日期：</w:t>
      </w:r>
    </w:p>
    <w:p w14:paraId="20FFF218">
      <w:pPr>
        <w:pageBreakBefore w:val="0"/>
        <w:spacing w:line="360" w:lineRule="auto"/>
        <w:ind w:firstLine="1084"/>
        <w:rPr>
          <w:rFonts w:ascii="Times New Roman" w:hAnsi="Times New Roman" w:eastAsia="宋体"/>
          <w:b/>
          <w:color w:val="auto"/>
          <w:sz w:val="36"/>
          <w:highlight w:val="none"/>
        </w:rPr>
      </w:pPr>
      <w:r>
        <w:rPr>
          <w:rFonts w:hint="eastAsia" w:ascii="Times New Roman" w:hAnsi="Times New Roman" w:eastAsia="宋体"/>
          <w:b/>
          <w:color w:val="auto"/>
          <w:sz w:val="36"/>
          <w:highlight w:val="none"/>
        </w:rPr>
        <w:t>投标人：（电子签章）</w:t>
      </w:r>
    </w:p>
    <w:p w14:paraId="57E4CC26">
      <w:pPr>
        <w:pageBreakBefore w:val="0"/>
        <w:spacing w:line="360" w:lineRule="auto"/>
        <w:jc w:val="center"/>
        <w:rPr>
          <w:rFonts w:ascii="Times New Roman" w:hAnsi="Times New Roman" w:eastAsia="宋体"/>
          <w:b/>
          <w:bCs/>
          <w:color w:val="auto"/>
          <w:sz w:val="32"/>
          <w:szCs w:val="32"/>
          <w:highlight w:val="none"/>
        </w:rPr>
      </w:pPr>
    </w:p>
    <w:p w14:paraId="1B47C9C0">
      <w:pPr>
        <w:pageBreakBefore w:val="0"/>
        <w:spacing w:line="360" w:lineRule="auto"/>
        <w:jc w:val="center"/>
        <w:rPr>
          <w:rFonts w:ascii="Times New Roman" w:hAnsi="Times New Roman" w:eastAsia="宋体"/>
          <w:b/>
          <w:bCs/>
          <w:color w:val="auto"/>
          <w:sz w:val="32"/>
          <w:szCs w:val="32"/>
          <w:highlight w:val="none"/>
        </w:rPr>
      </w:pPr>
    </w:p>
    <w:p w14:paraId="1B5DFE22">
      <w:pPr>
        <w:pageBreakBefore w:val="0"/>
        <w:spacing w:line="360" w:lineRule="auto"/>
        <w:jc w:val="both"/>
        <w:rPr>
          <w:rFonts w:ascii="Times New Roman" w:hAnsi="Times New Roman" w:eastAsia="宋体"/>
          <w:b/>
          <w:bCs/>
          <w:color w:val="auto"/>
          <w:sz w:val="32"/>
          <w:szCs w:val="32"/>
          <w:highlight w:val="none"/>
        </w:rPr>
        <w:sectPr>
          <w:pgSz w:w="11906" w:h="16838"/>
          <w:pgMar w:top="1440" w:right="1800" w:bottom="1440" w:left="1800" w:header="851" w:footer="992" w:gutter="0"/>
          <w:cols w:space="720" w:num="1"/>
          <w:docGrid w:linePitch="360" w:charSpace="0"/>
        </w:sectPr>
      </w:pPr>
    </w:p>
    <w:p w14:paraId="0ED3AB73">
      <w:pPr>
        <w:pageBreakBefore w:val="0"/>
        <w:spacing w:line="360" w:lineRule="auto"/>
        <w:jc w:val="center"/>
        <w:rPr>
          <w:rFonts w:ascii="Times New Roman" w:hAnsi="Times New Roman" w:eastAsia="宋体"/>
          <w:b/>
          <w:bCs/>
          <w:color w:val="auto"/>
          <w:sz w:val="32"/>
          <w:szCs w:val="32"/>
          <w:highlight w:val="none"/>
        </w:rPr>
      </w:pPr>
      <w:r>
        <w:rPr>
          <w:rFonts w:hint="eastAsia" w:ascii="Times New Roman" w:hAnsi="Times New Roman" w:eastAsia="宋体"/>
          <w:b/>
          <w:bCs/>
          <w:color w:val="auto"/>
          <w:sz w:val="32"/>
          <w:szCs w:val="32"/>
          <w:highlight w:val="none"/>
        </w:rPr>
        <w:t>投标主要文件目录</w:t>
      </w:r>
    </w:p>
    <w:p w14:paraId="6213B845">
      <w:pPr>
        <w:pageBreakBefore w:val="0"/>
        <w:spacing w:line="360" w:lineRule="auto"/>
        <w:jc w:val="center"/>
        <w:rPr>
          <w:rFonts w:ascii="Times New Roman" w:hAnsi="Times New Roman" w:eastAsia="宋体"/>
          <w:b/>
          <w:bCs/>
          <w:color w:val="auto"/>
          <w:sz w:val="32"/>
          <w:szCs w:val="32"/>
          <w:highlight w:val="none"/>
        </w:rPr>
      </w:pPr>
    </w:p>
    <w:p w14:paraId="20380358">
      <w:pPr>
        <w:pageBreakBefore w:val="0"/>
        <w:spacing w:line="360" w:lineRule="auto"/>
        <w:ind w:firstLine="480"/>
        <w:rPr>
          <w:rFonts w:ascii="Times New Roman" w:hAnsi="Times New Roman" w:eastAsia="宋体"/>
          <w:color w:val="auto"/>
          <w:sz w:val="24"/>
          <w:highlight w:val="none"/>
        </w:rPr>
      </w:pPr>
      <w:r>
        <w:rPr>
          <w:rFonts w:hint="eastAsia" w:ascii="Times New Roman" w:hAnsi="Times New Roman" w:eastAsia="宋体"/>
          <w:color w:val="auto"/>
          <w:sz w:val="24"/>
          <w:highlight w:val="none"/>
        </w:rPr>
        <w:t>一、资格审查响应对照表</w:t>
      </w:r>
    </w:p>
    <w:p w14:paraId="40FA22FD">
      <w:pPr>
        <w:pageBreakBefore w:val="0"/>
        <w:spacing w:line="360" w:lineRule="auto"/>
        <w:ind w:left="480"/>
        <w:rPr>
          <w:rFonts w:ascii="Times New Roman" w:hAnsi="Times New Roman" w:eastAsia="宋体"/>
          <w:color w:val="auto"/>
          <w:sz w:val="24"/>
          <w:highlight w:val="none"/>
        </w:rPr>
      </w:pPr>
      <w:r>
        <w:rPr>
          <w:rFonts w:hint="eastAsia" w:ascii="Times New Roman" w:hAnsi="Times New Roman" w:eastAsia="宋体"/>
          <w:color w:val="auto"/>
          <w:sz w:val="24"/>
          <w:highlight w:val="none"/>
        </w:rPr>
        <w:t>二、符合性审查响应对照表</w:t>
      </w:r>
    </w:p>
    <w:p w14:paraId="5DBD2E44">
      <w:pPr>
        <w:pageBreakBefore w:val="0"/>
        <w:spacing w:line="360" w:lineRule="auto"/>
        <w:ind w:left="480"/>
        <w:rPr>
          <w:rFonts w:ascii="Times New Roman" w:hAnsi="Times New Roman" w:eastAsia="宋体"/>
          <w:color w:val="auto"/>
          <w:sz w:val="24"/>
          <w:highlight w:val="none"/>
        </w:rPr>
      </w:pPr>
      <w:r>
        <w:rPr>
          <w:rFonts w:hint="eastAsia" w:ascii="Times New Roman" w:hAnsi="Times New Roman" w:eastAsia="宋体"/>
          <w:color w:val="auto"/>
          <w:sz w:val="24"/>
          <w:highlight w:val="none"/>
        </w:rPr>
        <w:t>三、非实质性响应对照表</w:t>
      </w:r>
    </w:p>
    <w:p w14:paraId="3806EBD3">
      <w:pPr>
        <w:pageBreakBefore w:val="0"/>
        <w:spacing w:line="360" w:lineRule="auto"/>
        <w:ind w:firstLine="480"/>
        <w:rPr>
          <w:rFonts w:ascii="Times New Roman" w:hAnsi="Times New Roman" w:eastAsia="宋体"/>
          <w:b/>
          <w:bCs/>
          <w:color w:val="auto"/>
          <w:sz w:val="24"/>
          <w:highlight w:val="none"/>
        </w:rPr>
      </w:pPr>
      <w:r>
        <w:rPr>
          <w:rFonts w:hint="eastAsia" w:ascii="Times New Roman" w:hAnsi="Times New Roman" w:eastAsia="宋体"/>
          <w:color w:val="auto"/>
          <w:sz w:val="24"/>
          <w:highlight w:val="none"/>
        </w:rPr>
        <w:t>四</w:t>
      </w:r>
      <w:r>
        <w:rPr>
          <w:rFonts w:hint="eastAsia" w:ascii="Times New Roman" w:hAnsi="Times New Roman" w:eastAsia="宋体"/>
          <w:b/>
          <w:bCs/>
          <w:color w:val="auto"/>
          <w:sz w:val="24"/>
          <w:highlight w:val="none"/>
        </w:rPr>
        <w:t>、</w:t>
      </w:r>
      <w:r>
        <w:rPr>
          <w:rFonts w:hint="eastAsia" w:ascii="Times New Roman" w:hAnsi="Times New Roman" w:eastAsia="宋体"/>
          <w:i/>
          <w:color w:val="auto"/>
          <w:sz w:val="24"/>
          <w:highlight w:val="none"/>
          <w:u w:val="single"/>
        </w:rPr>
        <w:t>开标一览表</w:t>
      </w:r>
    </w:p>
    <w:p w14:paraId="1F89B161">
      <w:pPr>
        <w:pageBreakBefore w:val="0"/>
        <w:spacing w:line="360" w:lineRule="auto"/>
        <w:ind w:firstLine="480"/>
        <w:rPr>
          <w:rFonts w:ascii="Times New Roman" w:hAnsi="Times New Roman" w:eastAsia="宋体"/>
          <w:color w:val="auto"/>
          <w:sz w:val="24"/>
          <w:highlight w:val="none"/>
        </w:rPr>
      </w:pPr>
      <w:r>
        <w:rPr>
          <w:rFonts w:hint="eastAsia" w:ascii="Times New Roman" w:hAnsi="Times New Roman" w:eastAsia="宋体"/>
          <w:color w:val="auto"/>
          <w:sz w:val="24"/>
          <w:highlight w:val="none"/>
        </w:rPr>
        <w:t>五、分项报价表</w:t>
      </w:r>
    </w:p>
    <w:p w14:paraId="0808007C">
      <w:pPr>
        <w:pageBreakBefore w:val="0"/>
        <w:spacing w:line="360" w:lineRule="auto"/>
        <w:ind w:firstLine="480"/>
        <w:rPr>
          <w:rFonts w:ascii="Times New Roman" w:hAnsi="Times New Roman" w:eastAsia="宋体"/>
          <w:color w:val="auto"/>
          <w:sz w:val="24"/>
          <w:highlight w:val="none"/>
        </w:rPr>
      </w:pPr>
      <w:r>
        <w:rPr>
          <w:rFonts w:hint="eastAsia" w:ascii="Times New Roman" w:hAnsi="Times New Roman" w:eastAsia="宋体"/>
          <w:color w:val="auto"/>
          <w:sz w:val="24"/>
          <w:highlight w:val="none"/>
        </w:rPr>
        <w:t>六</w:t>
      </w:r>
      <w:r>
        <w:rPr>
          <w:rFonts w:hint="eastAsia" w:ascii="Times New Roman" w:hAnsi="Times New Roman" w:eastAsia="宋体" w:cs="Courier New"/>
          <w:color w:val="auto"/>
          <w:sz w:val="24"/>
          <w:szCs w:val="24"/>
          <w:highlight w:val="none"/>
        </w:rPr>
        <w:t>、</w:t>
      </w:r>
      <w:r>
        <w:rPr>
          <w:rFonts w:hint="eastAsia" w:ascii="Times New Roman" w:hAnsi="Times New Roman" w:eastAsia="宋体"/>
          <w:color w:val="auto"/>
          <w:sz w:val="24"/>
          <w:szCs w:val="24"/>
          <w:highlight w:val="none"/>
        </w:rPr>
        <w:t>技术参数响应及偏离表</w:t>
      </w:r>
    </w:p>
    <w:p w14:paraId="0B665ECD">
      <w:pPr>
        <w:pageBreakBefore w:val="0"/>
        <w:spacing w:line="360" w:lineRule="auto"/>
        <w:ind w:firstLine="480"/>
        <w:rPr>
          <w:rFonts w:ascii="Times New Roman" w:hAnsi="Times New Roman" w:eastAsia="宋体"/>
          <w:color w:val="auto"/>
          <w:sz w:val="24"/>
          <w:highlight w:val="none"/>
        </w:rPr>
      </w:pPr>
      <w:r>
        <w:rPr>
          <w:rFonts w:hint="eastAsia" w:ascii="Times New Roman" w:hAnsi="Times New Roman" w:eastAsia="宋体"/>
          <w:color w:val="auto"/>
          <w:sz w:val="24"/>
          <w:highlight w:val="none"/>
        </w:rPr>
        <w:t>七、商务条款响应及偏离表</w:t>
      </w:r>
    </w:p>
    <w:p w14:paraId="293457A7">
      <w:pPr>
        <w:pageBreakBefore w:val="0"/>
        <w:spacing w:line="360" w:lineRule="auto"/>
        <w:ind w:firstLine="480"/>
        <w:rPr>
          <w:rFonts w:ascii="Times New Roman" w:hAnsi="Times New Roman" w:eastAsia="宋体"/>
          <w:color w:val="auto"/>
          <w:sz w:val="36"/>
          <w:szCs w:val="36"/>
          <w:highlight w:val="none"/>
        </w:rPr>
      </w:pPr>
      <w:r>
        <w:rPr>
          <w:rFonts w:hint="eastAsia" w:ascii="Times New Roman" w:hAnsi="Times New Roman" w:eastAsia="宋体"/>
          <w:color w:val="auto"/>
          <w:sz w:val="24"/>
          <w:highlight w:val="none"/>
        </w:rPr>
        <w:t>八、其他（投标人认为有必要提供的声明和文件，如有自拟并自行添加）</w:t>
      </w:r>
    </w:p>
    <w:p w14:paraId="18C66CDB">
      <w:pPr>
        <w:pageBreakBefore w:val="0"/>
        <w:spacing w:line="360" w:lineRule="auto"/>
        <w:contextualSpacing/>
        <w:jc w:val="center"/>
        <w:rPr>
          <w:rFonts w:ascii="Times New Roman" w:hAnsi="Times New Roman" w:eastAsia="宋体"/>
          <w:b/>
          <w:color w:val="auto"/>
          <w:sz w:val="72"/>
          <w:highlight w:val="none"/>
        </w:rPr>
      </w:pPr>
    </w:p>
    <w:p w14:paraId="3A1E8E6D">
      <w:pPr>
        <w:pageBreakBefore w:val="0"/>
        <w:spacing w:line="360" w:lineRule="auto"/>
        <w:contextualSpacing/>
        <w:jc w:val="center"/>
        <w:rPr>
          <w:rFonts w:ascii="Times New Roman" w:hAnsi="Times New Roman" w:eastAsia="宋体"/>
          <w:b/>
          <w:color w:val="auto"/>
          <w:sz w:val="72"/>
          <w:highlight w:val="none"/>
        </w:rPr>
      </w:pPr>
    </w:p>
    <w:p w14:paraId="7ECEF540">
      <w:pPr>
        <w:pageBreakBefore w:val="0"/>
        <w:spacing w:line="360" w:lineRule="auto"/>
        <w:contextualSpacing/>
        <w:jc w:val="center"/>
        <w:rPr>
          <w:rFonts w:ascii="Times New Roman" w:hAnsi="Times New Roman" w:eastAsia="宋体"/>
          <w:b/>
          <w:color w:val="auto"/>
          <w:sz w:val="72"/>
          <w:highlight w:val="none"/>
        </w:rPr>
      </w:pPr>
    </w:p>
    <w:p w14:paraId="3DEA1197">
      <w:pPr>
        <w:pageBreakBefore w:val="0"/>
        <w:spacing w:line="360" w:lineRule="auto"/>
        <w:contextualSpacing/>
        <w:rPr>
          <w:rFonts w:ascii="Times New Roman" w:hAnsi="Times New Roman" w:eastAsia="宋体"/>
          <w:b/>
          <w:color w:val="auto"/>
          <w:sz w:val="36"/>
          <w:highlight w:val="none"/>
        </w:rPr>
      </w:pPr>
    </w:p>
    <w:p w14:paraId="32BFADBE">
      <w:pPr>
        <w:pageBreakBefore w:val="0"/>
        <w:spacing w:line="360" w:lineRule="auto"/>
        <w:contextualSpacing/>
        <w:rPr>
          <w:rFonts w:ascii="Times New Roman" w:hAnsi="Times New Roman" w:eastAsia="宋体"/>
          <w:b/>
          <w:color w:val="auto"/>
          <w:sz w:val="36"/>
          <w:highlight w:val="none"/>
        </w:rPr>
      </w:pPr>
    </w:p>
    <w:p w14:paraId="0281EC54">
      <w:pPr>
        <w:pageBreakBefore w:val="0"/>
        <w:spacing w:line="360" w:lineRule="auto"/>
        <w:contextualSpacing/>
        <w:rPr>
          <w:rFonts w:ascii="Times New Roman" w:hAnsi="Times New Roman" w:eastAsia="宋体"/>
          <w:b/>
          <w:color w:val="auto"/>
          <w:sz w:val="36"/>
          <w:highlight w:val="none"/>
        </w:rPr>
      </w:pPr>
    </w:p>
    <w:p w14:paraId="589CFF34">
      <w:pPr>
        <w:pageBreakBefore w:val="0"/>
        <w:spacing w:line="360" w:lineRule="auto"/>
        <w:contextualSpacing/>
        <w:rPr>
          <w:rFonts w:ascii="Times New Roman" w:hAnsi="Times New Roman" w:eastAsia="宋体"/>
          <w:b/>
          <w:color w:val="auto"/>
          <w:sz w:val="36"/>
          <w:highlight w:val="none"/>
        </w:rPr>
      </w:pPr>
    </w:p>
    <w:p w14:paraId="7D0E16C5">
      <w:pPr>
        <w:pageBreakBefore w:val="0"/>
        <w:spacing w:line="360" w:lineRule="auto"/>
        <w:contextualSpacing/>
        <w:rPr>
          <w:rFonts w:ascii="Times New Roman" w:hAnsi="Times New Roman" w:eastAsia="宋体"/>
          <w:b/>
          <w:color w:val="auto"/>
          <w:sz w:val="36"/>
          <w:highlight w:val="none"/>
        </w:rPr>
      </w:pPr>
    </w:p>
    <w:p w14:paraId="4595B48A">
      <w:pPr>
        <w:pageBreakBefore w:val="0"/>
        <w:spacing w:line="360" w:lineRule="auto"/>
        <w:contextualSpacing/>
        <w:rPr>
          <w:rFonts w:ascii="Times New Roman" w:hAnsi="Times New Roman" w:eastAsia="宋体"/>
          <w:b/>
          <w:color w:val="auto"/>
          <w:sz w:val="36"/>
          <w:highlight w:val="none"/>
        </w:rPr>
      </w:pPr>
    </w:p>
    <w:p w14:paraId="5FC89126">
      <w:pPr>
        <w:pageBreakBefore w:val="0"/>
        <w:spacing w:line="360" w:lineRule="auto"/>
        <w:contextualSpacing/>
        <w:rPr>
          <w:rFonts w:ascii="Times New Roman" w:hAnsi="Times New Roman" w:eastAsia="宋体"/>
          <w:b/>
          <w:color w:val="auto"/>
          <w:sz w:val="36"/>
          <w:highlight w:val="none"/>
        </w:rPr>
      </w:pPr>
    </w:p>
    <w:p w14:paraId="6B05ABA9">
      <w:pPr>
        <w:pageBreakBefore w:val="0"/>
        <w:spacing w:line="360" w:lineRule="auto"/>
        <w:rPr>
          <w:rFonts w:ascii="Times New Roman" w:hAnsi="Times New Roman" w:eastAsia="宋体"/>
          <w:b/>
          <w:color w:val="auto"/>
          <w:sz w:val="32"/>
          <w:szCs w:val="32"/>
          <w:highlight w:val="none"/>
        </w:rPr>
      </w:pPr>
    </w:p>
    <w:p w14:paraId="4BF14E38">
      <w:pPr>
        <w:pStyle w:val="3"/>
        <w:pageBreakBefore w:val="0"/>
        <w:spacing w:before="0" w:after="0" w:line="360" w:lineRule="auto"/>
        <w:rPr>
          <w:rFonts w:ascii="Times New Roman" w:hAnsi="Times New Roman" w:eastAsia="宋体"/>
          <w:b w:val="0"/>
          <w:color w:val="auto"/>
          <w:sz w:val="32"/>
          <w:szCs w:val="32"/>
          <w:highlight w:val="none"/>
        </w:rPr>
      </w:pPr>
      <w:r>
        <w:rPr>
          <w:rFonts w:hint="eastAsia" w:ascii="Times New Roman" w:hAnsi="Times New Roman" w:eastAsia="宋体"/>
          <w:color w:val="auto"/>
          <w:sz w:val="32"/>
          <w:szCs w:val="32"/>
          <w:highlight w:val="none"/>
        </w:rPr>
        <w:br w:type="page" w:clear="all"/>
      </w:r>
      <w:bookmarkStart w:id="66" w:name="_Toc31039"/>
      <w:bookmarkStart w:id="67" w:name="_Toc5792"/>
      <w:bookmarkStart w:id="68" w:name="_Toc2029"/>
      <w:r>
        <w:rPr>
          <w:rFonts w:hint="eastAsia" w:ascii="Times New Roman" w:hAnsi="Times New Roman" w:eastAsia="宋体"/>
          <w:color w:val="auto"/>
          <w:sz w:val="32"/>
          <w:highlight w:val="none"/>
        </w:rPr>
        <w:t>一、资格审查响应对照表</w:t>
      </w:r>
      <w:bookmarkEnd w:id="66"/>
      <w:bookmarkEnd w:id="67"/>
      <w:bookmarkEnd w:id="68"/>
    </w:p>
    <w:tbl>
      <w:tblPr>
        <w:tblStyle w:val="41"/>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447"/>
        <w:gridCol w:w="2158"/>
      </w:tblGrid>
      <w:tr w14:paraId="2792E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646" w:type="dxa"/>
            <w:noWrap w:val="0"/>
            <w:vAlign w:val="center"/>
          </w:tcPr>
          <w:p w14:paraId="77313F5B">
            <w:pPr>
              <w:pageBreakBefore w:val="0"/>
              <w:spacing w:line="360" w:lineRule="auto"/>
              <w:jc w:val="center"/>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序号</w:t>
            </w:r>
          </w:p>
        </w:tc>
        <w:tc>
          <w:tcPr>
            <w:tcW w:w="5447" w:type="dxa"/>
            <w:noWrap w:val="0"/>
            <w:vAlign w:val="center"/>
          </w:tcPr>
          <w:p w14:paraId="1D4CA805">
            <w:pPr>
              <w:pageBreakBefore w:val="0"/>
              <w:spacing w:line="360" w:lineRule="auto"/>
              <w:jc w:val="center"/>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资格审查响应内容</w:t>
            </w:r>
          </w:p>
        </w:tc>
        <w:tc>
          <w:tcPr>
            <w:tcW w:w="2158" w:type="dxa"/>
            <w:noWrap w:val="0"/>
            <w:vAlign w:val="center"/>
          </w:tcPr>
          <w:p w14:paraId="0C977C5F">
            <w:pPr>
              <w:pageBreakBefore w:val="0"/>
              <w:spacing w:line="360" w:lineRule="auto"/>
              <w:jc w:val="center"/>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是否响应</w:t>
            </w:r>
          </w:p>
          <w:p w14:paraId="115D5582">
            <w:pPr>
              <w:pageBreakBefore w:val="0"/>
              <w:spacing w:line="360" w:lineRule="auto"/>
              <w:jc w:val="center"/>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（填是或者否）</w:t>
            </w:r>
          </w:p>
        </w:tc>
      </w:tr>
      <w:tr w14:paraId="1EBD0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8251" w:type="dxa"/>
            <w:gridSpan w:val="3"/>
            <w:noWrap w:val="0"/>
            <w:vAlign w:val="center"/>
          </w:tcPr>
          <w:p w14:paraId="2441526F">
            <w:pP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通用资格条件</w:t>
            </w:r>
          </w:p>
        </w:tc>
      </w:tr>
      <w:tr w14:paraId="4E162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trPr>
        <w:tc>
          <w:tcPr>
            <w:tcW w:w="646" w:type="dxa"/>
            <w:noWrap w:val="0"/>
            <w:vAlign w:val="center"/>
          </w:tcPr>
          <w:p w14:paraId="6D23A25B">
            <w:pPr>
              <w:pageBreakBefore w:val="0"/>
              <w:spacing w:line="360" w:lineRule="auto"/>
              <w:jc w:val="center"/>
              <w:rPr>
                <w:rFonts w:ascii="Times New Roman" w:hAnsi="Times New Roman" w:eastAsia="宋体"/>
                <w:b/>
                <w:color w:val="auto"/>
                <w:szCs w:val="21"/>
                <w:highlight w:val="none"/>
              </w:rPr>
            </w:pPr>
            <w:r>
              <w:rPr>
                <w:rFonts w:hint="eastAsia" w:ascii="Times New Roman" w:hAnsi="Times New Roman" w:eastAsia="宋体"/>
                <w:color w:val="auto"/>
                <w:szCs w:val="21"/>
                <w:highlight w:val="none"/>
              </w:rPr>
              <w:t>1</w:t>
            </w:r>
          </w:p>
        </w:tc>
        <w:tc>
          <w:tcPr>
            <w:tcW w:w="5447" w:type="dxa"/>
            <w:noWrap w:val="0"/>
            <w:vAlign w:val="center"/>
          </w:tcPr>
          <w:p w14:paraId="7B272F78">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cs="宋体"/>
                <w:color w:val="auto"/>
                <w:szCs w:val="21"/>
                <w:highlight w:val="none"/>
              </w:rPr>
              <w:t>法人或者其他组织的营业执照等证明文件，自然人的身份证明</w:t>
            </w:r>
            <w:r>
              <w:rPr>
                <w:rFonts w:hint="eastAsia" w:ascii="Times New Roman" w:hAnsi="Times New Roman" w:eastAsia="宋体"/>
                <w:color w:val="auto"/>
                <w:szCs w:val="21"/>
                <w:highlight w:val="none"/>
              </w:rPr>
              <w:t>（身份证为正、反面）</w:t>
            </w:r>
          </w:p>
        </w:tc>
        <w:tc>
          <w:tcPr>
            <w:tcW w:w="2158" w:type="dxa"/>
            <w:noWrap w:val="0"/>
            <w:vAlign w:val="center"/>
          </w:tcPr>
          <w:p w14:paraId="44A31E1E">
            <w:pPr>
              <w:pageBreakBefore w:val="0"/>
              <w:spacing w:line="360" w:lineRule="auto"/>
              <w:rPr>
                <w:rFonts w:ascii="Times New Roman" w:hAnsi="Times New Roman" w:eastAsia="宋体"/>
                <w:b/>
                <w:color w:val="auto"/>
                <w:szCs w:val="21"/>
                <w:highlight w:val="none"/>
              </w:rPr>
            </w:pPr>
          </w:p>
        </w:tc>
      </w:tr>
      <w:tr w14:paraId="0072E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noWrap w:val="0"/>
            <w:vAlign w:val="center"/>
          </w:tcPr>
          <w:p w14:paraId="1C6D1F8A">
            <w:pPr>
              <w:pageBreakBefore w:val="0"/>
              <w:spacing w:line="360" w:lineRule="auto"/>
              <w:jc w:val="center"/>
              <w:rPr>
                <w:rFonts w:ascii="Times New Roman" w:hAnsi="Times New Roman" w:eastAsia="宋体"/>
                <w:color w:val="auto"/>
                <w:szCs w:val="21"/>
                <w:highlight w:val="none"/>
              </w:rPr>
            </w:pPr>
            <w:r>
              <w:rPr>
                <w:rFonts w:hint="eastAsia" w:ascii="Times New Roman" w:hAnsi="Times New Roman" w:eastAsia="宋体"/>
                <w:color w:val="auto"/>
                <w:szCs w:val="21"/>
                <w:highlight w:val="none"/>
              </w:rPr>
              <w:t>2</w:t>
            </w:r>
          </w:p>
        </w:tc>
        <w:tc>
          <w:tcPr>
            <w:tcW w:w="5447" w:type="dxa"/>
            <w:noWrap w:val="0"/>
            <w:vAlign w:val="center"/>
          </w:tcPr>
          <w:p w14:paraId="7438C98D">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cs="宋体"/>
                <w:iCs/>
                <w:color w:val="auto"/>
                <w:szCs w:val="21"/>
                <w:highlight w:val="none"/>
              </w:rPr>
              <w:t>依法缴纳税收和社会保障资金的相关材料（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p>
        </w:tc>
        <w:tc>
          <w:tcPr>
            <w:tcW w:w="2158" w:type="dxa"/>
            <w:noWrap w:val="0"/>
            <w:vAlign w:val="center"/>
          </w:tcPr>
          <w:p w14:paraId="0E463561">
            <w:pPr>
              <w:pageBreakBefore w:val="0"/>
              <w:spacing w:line="360" w:lineRule="auto"/>
              <w:rPr>
                <w:rFonts w:ascii="Times New Roman" w:hAnsi="Times New Roman" w:eastAsia="宋体"/>
                <w:color w:val="auto"/>
                <w:szCs w:val="21"/>
                <w:highlight w:val="none"/>
              </w:rPr>
            </w:pPr>
          </w:p>
        </w:tc>
      </w:tr>
      <w:tr w14:paraId="6BFB8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46" w:type="dxa"/>
            <w:noWrap w:val="0"/>
            <w:vAlign w:val="center"/>
          </w:tcPr>
          <w:p w14:paraId="79D5A278">
            <w:pPr>
              <w:pageBreakBefore w:val="0"/>
              <w:spacing w:line="360" w:lineRule="auto"/>
              <w:jc w:val="center"/>
              <w:rPr>
                <w:rFonts w:ascii="Times New Roman" w:hAnsi="Times New Roman" w:eastAsia="宋体"/>
                <w:color w:val="auto"/>
                <w:szCs w:val="21"/>
                <w:highlight w:val="none"/>
              </w:rPr>
            </w:pPr>
            <w:r>
              <w:rPr>
                <w:rFonts w:hint="eastAsia" w:ascii="Times New Roman" w:hAnsi="Times New Roman" w:eastAsia="宋体"/>
                <w:color w:val="auto"/>
                <w:szCs w:val="21"/>
                <w:highlight w:val="none"/>
              </w:rPr>
              <w:t>3</w:t>
            </w:r>
          </w:p>
        </w:tc>
        <w:tc>
          <w:tcPr>
            <w:tcW w:w="5447" w:type="dxa"/>
            <w:noWrap w:val="0"/>
            <w:vAlign w:val="center"/>
          </w:tcPr>
          <w:p w14:paraId="39AA677F">
            <w:pPr>
              <w:pageBreakBefore w:val="0"/>
              <w:spacing w:line="360" w:lineRule="auto"/>
              <w:rPr>
                <w:rFonts w:ascii="Times New Roman" w:hAnsi="Times New Roman" w:eastAsia="宋体"/>
                <w:iCs/>
                <w:color w:val="auto"/>
                <w:szCs w:val="21"/>
                <w:highlight w:val="none"/>
              </w:rPr>
            </w:pPr>
            <w:r>
              <w:rPr>
                <w:rFonts w:hint="eastAsia" w:ascii="Times New Roman" w:hAnsi="Times New Roman"/>
                <w:iCs/>
                <w:color w:val="auto"/>
                <w:szCs w:val="21"/>
                <w:highlight w:val="none"/>
                <w:lang w:val="en-US" w:eastAsia="zh-CN"/>
              </w:rPr>
              <w:t>上一年度</w:t>
            </w:r>
            <w:r>
              <w:rPr>
                <w:rFonts w:hint="eastAsia" w:ascii="Times New Roman" w:hAnsi="Times New Roman" w:eastAsia="宋体"/>
                <w:iCs/>
                <w:color w:val="auto"/>
                <w:szCs w:val="21"/>
                <w:highlight w:val="none"/>
              </w:rPr>
              <w:t>财务报告情况</w:t>
            </w:r>
            <w:r>
              <w:rPr>
                <w:rFonts w:hint="eastAsia" w:ascii="Times New Roman" w:hAnsi="Times New Roman" w:eastAsia="宋体"/>
                <w:b/>
                <w:bCs/>
                <w:iCs/>
                <w:color w:val="auto"/>
                <w:szCs w:val="21"/>
                <w:highlight w:val="none"/>
              </w:rPr>
              <w:t>（成立不满一年不需提供）</w:t>
            </w:r>
          </w:p>
        </w:tc>
        <w:tc>
          <w:tcPr>
            <w:tcW w:w="2158" w:type="dxa"/>
            <w:noWrap w:val="0"/>
            <w:vAlign w:val="center"/>
          </w:tcPr>
          <w:p w14:paraId="04E54D33">
            <w:pPr>
              <w:pageBreakBefore w:val="0"/>
              <w:spacing w:line="360" w:lineRule="auto"/>
              <w:rPr>
                <w:rFonts w:ascii="Times New Roman" w:hAnsi="Times New Roman" w:eastAsia="宋体"/>
                <w:color w:val="auto"/>
                <w:szCs w:val="21"/>
                <w:highlight w:val="none"/>
              </w:rPr>
            </w:pPr>
          </w:p>
        </w:tc>
      </w:tr>
      <w:tr w14:paraId="25715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646" w:type="dxa"/>
            <w:noWrap w:val="0"/>
            <w:vAlign w:val="center"/>
          </w:tcPr>
          <w:p w14:paraId="34308AF2">
            <w:pPr>
              <w:pageBreakBefore w:val="0"/>
              <w:spacing w:line="360" w:lineRule="auto"/>
              <w:jc w:val="center"/>
              <w:rPr>
                <w:rFonts w:ascii="Times New Roman" w:hAnsi="Times New Roman" w:eastAsia="宋体"/>
                <w:color w:val="auto"/>
                <w:szCs w:val="21"/>
                <w:highlight w:val="none"/>
              </w:rPr>
            </w:pPr>
            <w:r>
              <w:rPr>
                <w:rFonts w:hint="eastAsia" w:ascii="Times New Roman" w:hAnsi="Times New Roman" w:eastAsia="宋体"/>
                <w:color w:val="auto"/>
                <w:szCs w:val="21"/>
                <w:highlight w:val="none"/>
              </w:rPr>
              <w:t>4</w:t>
            </w:r>
          </w:p>
        </w:tc>
        <w:tc>
          <w:tcPr>
            <w:tcW w:w="5447" w:type="dxa"/>
            <w:noWrap w:val="0"/>
            <w:vAlign w:val="center"/>
          </w:tcPr>
          <w:p w14:paraId="72A6313B">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rPr>
              <w:t>具备履行合同所必需的设备和专业技术能力的证明材料</w:t>
            </w:r>
          </w:p>
        </w:tc>
        <w:tc>
          <w:tcPr>
            <w:tcW w:w="2158" w:type="dxa"/>
            <w:noWrap w:val="0"/>
            <w:vAlign w:val="center"/>
          </w:tcPr>
          <w:p w14:paraId="6420F382">
            <w:pPr>
              <w:pageBreakBefore w:val="0"/>
              <w:spacing w:line="360" w:lineRule="auto"/>
              <w:rPr>
                <w:rFonts w:ascii="Times New Roman" w:hAnsi="Times New Roman" w:eastAsia="宋体"/>
                <w:color w:val="auto"/>
                <w:szCs w:val="21"/>
                <w:highlight w:val="none"/>
              </w:rPr>
            </w:pPr>
          </w:p>
        </w:tc>
      </w:tr>
      <w:tr w14:paraId="09178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646" w:type="dxa"/>
            <w:noWrap w:val="0"/>
            <w:vAlign w:val="center"/>
          </w:tcPr>
          <w:p w14:paraId="7D22FA3A">
            <w:pPr>
              <w:pageBreakBefore w:val="0"/>
              <w:spacing w:line="360" w:lineRule="auto"/>
              <w:jc w:val="center"/>
              <w:rPr>
                <w:rFonts w:ascii="Times New Roman" w:hAnsi="Times New Roman" w:eastAsia="宋体"/>
                <w:color w:val="auto"/>
                <w:szCs w:val="21"/>
                <w:highlight w:val="none"/>
              </w:rPr>
            </w:pPr>
            <w:r>
              <w:rPr>
                <w:rFonts w:hint="eastAsia" w:ascii="Times New Roman" w:hAnsi="Times New Roman" w:eastAsia="宋体"/>
                <w:color w:val="auto"/>
                <w:szCs w:val="21"/>
                <w:highlight w:val="none"/>
              </w:rPr>
              <w:t>5</w:t>
            </w:r>
          </w:p>
        </w:tc>
        <w:tc>
          <w:tcPr>
            <w:tcW w:w="5447" w:type="dxa"/>
            <w:noWrap w:val="0"/>
            <w:vAlign w:val="center"/>
          </w:tcPr>
          <w:p w14:paraId="5C1CC480">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rPr>
              <w:t>参加本次政府采购活动前3年内在经营活动中没有重大违法记录的书面声明</w:t>
            </w:r>
          </w:p>
        </w:tc>
        <w:tc>
          <w:tcPr>
            <w:tcW w:w="2158" w:type="dxa"/>
            <w:noWrap w:val="0"/>
            <w:vAlign w:val="center"/>
          </w:tcPr>
          <w:p w14:paraId="3B412A86">
            <w:pPr>
              <w:pageBreakBefore w:val="0"/>
              <w:spacing w:line="360" w:lineRule="auto"/>
              <w:rPr>
                <w:rFonts w:ascii="Times New Roman" w:hAnsi="Times New Roman" w:eastAsia="宋体"/>
                <w:color w:val="auto"/>
                <w:szCs w:val="21"/>
                <w:highlight w:val="none"/>
              </w:rPr>
            </w:pPr>
          </w:p>
        </w:tc>
      </w:tr>
      <w:tr w14:paraId="662CE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646" w:type="dxa"/>
            <w:noWrap w:val="0"/>
            <w:vAlign w:val="center"/>
          </w:tcPr>
          <w:p w14:paraId="1AF2BC41">
            <w:pPr>
              <w:pageBreakBefore w:val="0"/>
              <w:spacing w:line="360" w:lineRule="auto"/>
              <w:jc w:val="center"/>
              <w:rPr>
                <w:rFonts w:ascii="Times New Roman" w:hAnsi="Times New Roman" w:eastAsia="宋体"/>
                <w:color w:val="auto"/>
                <w:szCs w:val="21"/>
                <w:highlight w:val="none"/>
              </w:rPr>
            </w:pPr>
            <w:r>
              <w:rPr>
                <w:rFonts w:hint="eastAsia" w:ascii="Times New Roman" w:hAnsi="Times New Roman" w:eastAsia="宋体"/>
                <w:color w:val="auto"/>
                <w:szCs w:val="21"/>
                <w:highlight w:val="none"/>
              </w:rPr>
              <w:t>6</w:t>
            </w:r>
          </w:p>
        </w:tc>
        <w:tc>
          <w:tcPr>
            <w:tcW w:w="5447" w:type="dxa"/>
            <w:noWrap w:val="0"/>
            <w:vAlign w:val="center"/>
          </w:tcPr>
          <w:p w14:paraId="7407DBB1">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未被“信用中国”网站（www.creditchina.gov.cn）、“中国政府采购网"（www.ccgp.gov.cn）列入失信被执行人、重大税收违法案件当事人名单、政府采购严重违法失信行为记录名单</w:t>
            </w:r>
          </w:p>
        </w:tc>
        <w:tc>
          <w:tcPr>
            <w:tcW w:w="2158" w:type="dxa"/>
            <w:noWrap w:val="0"/>
            <w:vAlign w:val="center"/>
          </w:tcPr>
          <w:p w14:paraId="2B82F61A">
            <w:pPr>
              <w:pageBreakBefore w:val="0"/>
              <w:spacing w:line="360" w:lineRule="auto"/>
              <w:rPr>
                <w:rFonts w:ascii="Times New Roman" w:hAnsi="Times New Roman" w:eastAsia="宋体"/>
                <w:color w:val="auto"/>
                <w:szCs w:val="21"/>
                <w:highlight w:val="none"/>
              </w:rPr>
            </w:pPr>
          </w:p>
        </w:tc>
      </w:tr>
      <w:tr w14:paraId="67C1A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646" w:type="dxa"/>
            <w:noWrap w:val="0"/>
            <w:vAlign w:val="center"/>
          </w:tcPr>
          <w:p w14:paraId="7BDC413F">
            <w:pPr>
              <w:pageBreakBefore w:val="0"/>
              <w:spacing w:line="360" w:lineRule="auto"/>
              <w:jc w:val="center"/>
              <w:rPr>
                <w:rFonts w:ascii="Times New Roman" w:hAnsi="Times New Roman" w:eastAsia="宋体"/>
                <w:color w:val="auto"/>
                <w:szCs w:val="21"/>
                <w:highlight w:val="none"/>
              </w:rPr>
            </w:pPr>
            <w:r>
              <w:rPr>
                <w:rFonts w:hint="eastAsia" w:ascii="Times New Roman" w:hAnsi="Times New Roman" w:eastAsia="宋体"/>
                <w:color w:val="auto"/>
                <w:szCs w:val="21"/>
                <w:highlight w:val="none"/>
              </w:rPr>
              <w:t>7</w:t>
            </w:r>
          </w:p>
        </w:tc>
        <w:tc>
          <w:tcPr>
            <w:tcW w:w="5447" w:type="dxa"/>
            <w:noWrap w:val="0"/>
            <w:vAlign w:val="center"/>
          </w:tcPr>
          <w:p w14:paraId="59F4AE89">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供应商信用承诺函</w:t>
            </w:r>
          </w:p>
        </w:tc>
        <w:tc>
          <w:tcPr>
            <w:tcW w:w="2158" w:type="dxa"/>
            <w:noWrap w:val="0"/>
            <w:vAlign w:val="center"/>
          </w:tcPr>
          <w:p w14:paraId="70ACD234">
            <w:pPr>
              <w:pageBreakBefore w:val="0"/>
              <w:spacing w:line="360" w:lineRule="auto"/>
              <w:rPr>
                <w:rFonts w:ascii="Times New Roman" w:hAnsi="Times New Roman" w:eastAsia="宋体"/>
                <w:color w:val="auto"/>
                <w:szCs w:val="21"/>
                <w:highlight w:val="none"/>
              </w:rPr>
            </w:pPr>
          </w:p>
        </w:tc>
      </w:tr>
      <w:tr w14:paraId="47AC4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8251" w:type="dxa"/>
            <w:gridSpan w:val="3"/>
            <w:noWrap w:val="0"/>
            <w:vAlign w:val="center"/>
          </w:tcPr>
          <w:p w14:paraId="6A6ECB25">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s="宋体"/>
                <w:b/>
                <w:bCs/>
                <w:color w:val="auto"/>
                <w:szCs w:val="21"/>
                <w:highlight w:val="none"/>
              </w:rPr>
              <w:t>落实政府采购政策需满足的资格要求</w:t>
            </w:r>
          </w:p>
        </w:tc>
      </w:tr>
      <w:tr w14:paraId="251E0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46" w:type="dxa"/>
            <w:noWrap w:val="0"/>
            <w:vAlign w:val="center"/>
          </w:tcPr>
          <w:p w14:paraId="40F3052A">
            <w:pPr>
              <w:pageBreakBefore w:val="0"/>
              <w:spacing w:line="360" w:lineRule="auto"/>
              <w:jc w:val="center"/>
              <w:rPr>
                <w:rFonts w:hint="eastAsia"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8</w:t>
            </w:r>
          </w:p>
        </w:tc>
        <w:tc>
          <w:tcPr>
            <w:tcW w:w="5447" w:type="dxa"/>
            <w:noWrap w:val="0"/>
            <w:vAlign w:val="center"/>
          </w:tcPr>
          <w:p w14:paraId="474CF49D">
            <w:pPr>
              <w:pageBreakBefore w:val="0"/>
              <w:spacing w:line="360" w:lineRule="auto"/>
              <w:rPr>
                <w:rFonts w:hint="eastAsia" w:ascii="Times New Roman" w:hAnsi="Times New Roman" w:eastAsia="宋体"/>
                <w:color w:val="auto"/>
                <w:highlight w:val="none"/>
                <w:lang w:val="en-US" w:eastAsia="zh-CN"/>
              </w:rPr>
            </w:pPr>
            <w:r>
              <w:rPr>
                <w:rFonts w:hint="eastAsia" w:ascii="Times New Roman" w:hAnsi="Times New Roman"/>
                <w:color w:val="auto"/>
                <w:highlight w:val="none"/>
                <w:lang w:val="en-US" w:eastAsia="zh-CN"/>
              </w:rPr>
              <w:t>无</w:t>
            </w:r>
          </w:p>
        </w:tc>
        <w:tc>
          <w:tcPr>
            <w:tcW w:w="2158" w:type="dxa"/>
            <w:noWrap w:val="0"/>
            <w:vAlign w:val="center"/>
          </w:tcPr>
          <w:p w14:paraId="54DD5409">
            <w:pPr>
              <w:pageBreakBefore w:val="0"/>
              <w:spacing w:line="360" w:lineRule="auto"/>
              <w:rPr>
                <w:rFonts w:ascii="Times New Roman" w:hAnsi="Times New Roman" w:eastAsia="宋体"/>
                <w:color w:val="auto"/>
                <w:szCs w:val="21"/>
                <w:highlight w:val="none"/>
              </w:rPr>
            </w:pPr>
          </w:p>
        </w:tc>
      </w:tr>
      <w:tr w14:paraId="710D4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8251" w:type="dxa"/>
            <w:gridSpan w:val="3"/>
            <w:noWrap w:val="0"/>
            <w:vAlign w:val="center"/>
          </w:tcPr>
          <w:p w14:paraId="345B8177">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b/>
                <w:color w:val="auto"/>
                <w:szCs w:val="21"/>
                <w:highlight w:val="none"/>
              </w:rPr>
              <w:t>特定资格条件</w:t>
            </w:r>
          </w:p>
        </w:tc>
      </w:tr>
      <w:tr w14:paraId="78BA6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646" w:type="dxa"/>
            <w:noWrap w:val="0"/>
            <w:vAlign w:val="center"/>
          </w:tcPr>
          <w:p w14:paraId="209B8FCD">
            <w:pPr>
              <w:pageBreakBefore w:val="0"/>
              <w:spacing w:line="360" w:lineRule="auto"/>
              <w:jc w:val="center"/>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9</w:t>
            </w:r>
          </w:p>
        </w:tc>
        <w:tc>
          <w:tcPr>
            <w:tcW w:w="5447" w:type="dxa"/>
            <w:noWrap w:val="0"/>
            <w:vAlign w:val="center"/>
          </w:tcPr>
          <w:p w14:paraId="64F5826C">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cs="宋体"/>
                <w:color w:val="auto"/>
                <w:szCs w:val="21"/>
                <w:highlight w:val="none"/>
                <w:lang w:val="en-US" w:eastAsia="zh-CN"/>
              </w:rPr>
              <w:t>供应商须具备有效的乙级及以上测绘资质（专业类别须同时涵盖界线与不动产测绘、摄影测量与遥感、地理信息系统工程）</w:t>
            </w:r>
          </w:p>
        </w:tc>
        <w:tc>
          <w:tcPr>
            <w:tcW w:w="2158" w:type="dxa"/>
            <w:noWrap w:val="0"/>
            <w:vAlign w:val="center"/>
          </w:tcPr>
          <w:p w14:paraId="4B4CCCBB">
            <w:pPr>
              <w:pageBreakBefore w:val="0"/>
              <w:spacing w:line="360" w:lineRule="auto"/>
              <w:rPr>
                <w:rFonts w:ascii="Times New Roman" w:hAnsi="Times New Roman" w:eastAsia="宋体"/>
                <w:color w:val="auto"/>
                <w:szCs w:val="21"/>
                <w:highlight w:val="none"/>
              </w:rPr>
            </w:pPr>
          </w:p>
        </w:tc>
      </w:tr>
      <w:tr w14:paraId="31208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8251" w:type="dxa"/>
            <w:gridSpan w:val="3"/>
            <w:noWrap w:val="0"/>
            <w:vAlign w:val="center"/>
          </w:tcPr>
          <w:p w14:paraId="1443F35F">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b/>
                <w:color w:val="auto"/>
                <w:szCs w:val="21"/>
                <w:highlight w:val="none"/>
              </w:rPr>
              <w:t>其他资格条件</w:t>
            </w:r>
          </w:p>
        </w:tc>
      </w:tr>
      <w:tr w14:paraId="4DBCE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46" w:type="dxa"/>
            <w:noWrap w:val="0"/>
            <w:vAlign w:val="center"/>
          </w:tcPr>
          <w:p w14:paraId="33944DA4">
            <w:pPr>
              <w:pageBreakBefore w:val="0"/>
              <w:spacing w:line="360" w:lineRule="auto"/>
              <w:jc w:val="center"/>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10</w:t>
            </w:r>
          </w:p>
        </w:tc>
        <w:tc>
          <w:tcPr>
            <w:tcW w:w="5447" w:type="dxa"/>
            <w:noWrap w:val="0"/>
            <w:vAlign w:val="center"/>
          </w:tcPr>
          <w:p w14:paraId="6F8F2CB1">
            <w:pPr>
              <w:pageBreakBefore w:val="0"/>
              <w:spacing w:line="360" w:lineRule="auto"/>
              <w:jc w:val="left"/>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rPr>
              <w:t>投标函</w:t>
            </w:r>
          </w:p>
        </w:tc>
        <w:tc>
          <w:tcPr>
            <w:tcW w:w="2158" w:type="dxa"/>
            <w:noWrap w:val="0"/>
            <w:vAlign w:val="center"/>
          </w:tcPr>
          <w:p w14:paraId="2C729238">
            <w:pPr>
              <w:pageBreakBefore w:val="0"/>
              <w:spacing w:line="360" w:lineRule="auto"/>
              <w:rPr>
                <w:rFonts w:ascii="Times New Roman" w:hAnsi="Times New Roman" w:eastAsia="宋体"/>
                <w:color w:val="auto"/>
                <w:szCs w:val="21"/>
                <w:highlight w:val="none"/>
              </w:rPr>
            </w:pPr>
          </w:p>
        </w:tc>
      </w:tr>
      <w:tr w14:paraId="4E17E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46" w:type="dxa"/>
            <w:noWrap w:val="0"/>
            <w:vAlign w:val="center"/>
          </w:tcPr>
          <w:p w14:paraId="3C71BC7D">
            <w:pPr>
              <w:pageBreakBefore w:val="0"/>
              <w:spacing w:line="360" w:lineRule="auto"/>
              <w:jc w:val="center"/>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11</w:t>
            </w:r>
          </w:p>
        </w:tc>
        <w:tc>
          <w:tcPr>
            <w:tcW w:w="5447" w:type="dxa"/>
            <w:noWrap w:val="0"/>
            <w:vAlign w:val="center"/>
          </w:tcPr>
          <w:p w14:paraId="011FC53D">
            <w:pPr>
              <w:pageBreakBefore w:val="0"/>
              <w:spacing w:line="360" w:lineRule="auto"/>
              <w:jc w:val="left"/>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rPr>
              <w:t>法人授权书</w:t>
            </w:r>
          </w:p>
        </w:tc>
        <w:tc>
          <w:tcPr>
            <w:tcW w:w="2158" w:type="dxa"/>
            <w:noWrap w:val="0"/>
            <w:vAlign w:val="center"/>
          </w:tcPr>
          <w:p w14:paraId="77B1EC2E">
            <w:pPr>
              <w:pageBreakBefore w:val="0"/>
              <w:spacing w:line="360" w:lineRule="auto"/>
              <w:rPr>
                <w:rFonts w:ascii="Times New Roman" w:hAnsi="Times New Roman" w:eastAsia="宋体"/>
                <w:color w:val="auto"/>
                <w:szCs w:val="21"/>
                <w:highlight w:val="none"/>
              </w:rPr>
            </w:pPr>
          </w:p>
        </w:tc>
      </w:tr>
    </w:tbl>
    <w:p w14:paraId="1AF30FA7">
      <w:pPr>
        <w:pageBreakBefore w:val="0"/>
        <w:spacing w:line="360" w:lineRule="auto"/>
        <w:ind w:firstLine="1476"/>
        <w:rPr>
          <w:rFonts w:ascii="Times New Roman" w:hAnsi="Times New Roman" w:eastAsia="宋体"/>
          <w:b/>
          <w:bCs/>
          <w:color w:val="auto"/>
          <w:highlight w:val="none"/>
        </w:rPr>
        <w:sectPr>
          <w:pgSz w:w="11906" w:h="16838"/>
          <w:pgMar w:top="1440" w:right="1800" w:bottom="1440" w:left="1800" w:header="851" w:footer="992" w:gutter="0"/>
          <w:cols w:space="720" w:num="1"/>
          <w:docGrid w:linePitch="360" w:charSpace="0"/>
        </w:sectPr>
      </w:pPr>
    </w:p>
    <w:p w14:paraId="6A74FD2D">
      <w:pPr>
        <w:pageBreakBefore w:val="0"/>
        <w:spacing w:line="360" w:lineRule="auto"/>
        <w:ind w:firstLine="1476"/>
        <w:rPr>
          <w:rFonts w:hint="eastAsia" w:ascii="Times New Roman" w:hAnsi="Times New Roman" w:eastAsia="宋体"/>
          <w:b/>
          <w:bCs/>
          <w:color w:val="auto"/>
          <w:highlight w:val="none"/>
        </w:rPr>
      </w:pPr>
    </w:p>
    <w:p w14:paraId="718E8793">
      <w:pPr>
        <w:pageBreakBefore w:val="0"/>
        <w:spacing w:line="360" w:lineRule="auto"/>
        <w:ind w:firstLine="1476"/>
        <w:rPr>
          <w:rFonts w:ascii="Times New Roman" w:hAnsi="Times New Roman" w:eastAsia="宋体"/>
          <w:b/>
          <w:bCs/>
          <w:color w:val="auto"/>
          <w:highlight w:val="none"/>
        </w:rPr>
      </w:pPr>
      <w:r>
        <w:rPr>
          <w:rFonts w:hint="eastAsia" w:ascii="Times New Roman" w:hAnsi="Times New Roman" w:eastAsia="宋体"/>
          <w:b/>
          <w:bCs/>
          <w:color w:val="auto"/>
          <w:highlight w:val="none"/>
        </w:rPr>
        <w:t>具备履行合同所必需的设备和专业技术能力的书面声明</w:t>
      </w:r>
    </w:p>
    <w:p w14:paraId="5161B7A9">
      <w:pPr>
        <w:pageBreakBefore w:val="0"/>
        <w:spacing w:line="360" w:lineRule="auto"/>
        <w:ind w:firstLine="492"/>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我单位郑重声明：我单位具备履行本项采购合同所必需的设备和专业技术能力，为履行本项采购合同我公司具备如下主要设备和主要专业技术能力：</w:t>
      </w:r>
    </w:p>
    <w:p w14:paraId="7107E96A">
      <w:pPr>
        <w:pageBreakBefore w:val="0"/>
        <w:spacing w:line="360" w:lineRule="auto"/>
        <w:ind w:firstLine="492"/>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主要设备有：。</w:t>
      </w:r>
    </w:p>
    <w:p w14:paraId="213BCCE7">
      <w:pPr>
        <w:pageBreakBefore w:val="0"/>
        <w:spacing w:line="360" w:lineRule="auto"/>
        <w:ind w:firstLine="492"/>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主要专业技术能力有：。</w:t>
      </w:r>
    </w:p>
    <w:p w14:paraId="63060252">
      <w:pPr>
        <w:pageBreakBefore w:val="0"/>
        <w:spacing w:line="360" w:lineRule="auto"/>
        <w:contextualSpacing/>
        <w:rPr>
          <w:rFonts w:ascii="Times New Roman" w:hAnsi="Times New Roman" w:eastAsia="宋体"/>
          <w:b/>
          <w:color w:val="auto"/>
          <w:sz w:val="36"/>
          <w:highlight w:val="none"/>
        </w:rPr>
      </w:pPr>
    </w:p>
    <w:p w14:paraId="73A8DCC6">
      <w:pPr>
        <w:pageBreakBefore w:val="0"/>
        <w:spacing w:line="360" w:lineRule="auto"/>
        <w:contextualSpacing/>
        <w:rPr>
          <w:rFonts w:ascii="Times New Roman" w:hAnsi="Times New Roman" w:eastAsia="宋体"/>
          <w:b/>
          <w:color w:val="auto"/>
          <w:sz w:val="36"/>
          <w:highlight w:val="none"/>
        </w:rPr>
      </w:pPr>
    </w:p>
    <w:p w14:paraId="5AF652F1">
      <w:pPr>
        <w:pageBreakBefore w:val="0"/>
        <w:spacing w:line="360" w:lineRule="auto"/>
        <w:contextualSpacing/>
        <w:rPr>
          <w:rFonts w:ascii="Times New Roman" w:hAnsi="Times New Roman" w:eastAsia="宋体"/>
          <w:b/>
          <w:color w:val="auto"/>
          <w:sz w:val="36"/>
          <w:highlight w:val="none"/>
        </w:rPr>
      </w:pPr>
    </w:p>
    <w:p w14:paraId="0F5FDFEE">
      <w:pPr>
        <w:pageBreakBefore w:val="0"/>
        <w:spacing w:line="360" w:lineRule="auto"/>
        <w:contextualSpacing/>
        <w:rPr>
          <w:rFonts w:ascii="Times New Roman" w:hAnsi="Times New Roman" w:eastAsia="宋体"/>
          <w:b/>
          <w:color w:val="auto"/>
          <w:sz w:val="36"/>
          <w:highlight w:val="none"/>
        </w:rPr>
      </w:pPr>
    </w:p>
    <w:p w14:paraId="0B707C9A">
      <w:pPr>
        <w:pageBreakBefore w:val="0"/>
        <w:spacing w:line="360" w:lineRule="auto"/>
        <w:contextualSpacing/>
        <w:rPr>
          <w:rFonts w:ascii="Times New Roman" w:hAnsi="Times New Roman" w:eastAsia="宋体"/>
          <w:b/>
          <w:color w:val="auto"/>
          <w:sz w:val="36"/>
          <w:highlight w:val="none"/>
        </w:rPr>
      </w:pPr>
    </w:p>
    <w:p w14:paraId="2CF00185">
      <w:pPr>
        <w:pageBreakBefore w:val="0"/>
        <w:spacing w:line="360" w:lineRule="auto"/>
        <w:contextualSpacing/>
        <w:rPr>
          <w:rFonts w:ascii="Times New Roman" w:hAnsi="Times New Roman" w:eastAsia="宋体"/>
          <w:b/>
          <w:color w:val="auto"/>
          <w:sz w:val="36"/>
          <w:highlight w:val="none"/>
        </w:rPr>
      </w:pPr>
    </w:p>
    <w:p w14:paraId="0E829C75">
      <w:pPr>
        <w:pageBreakBefore w:val="0"/>
        <w:spacing w:line="360" w:lineRule="auto"/>
        <w:contextualSpacing/>
        <w:rPr>
          <w:rFonts w:ascii="Times New Roman" w:hAnsi="Times New Roman" w:eastAsia="宋体"/>
          <w:b/>
          <w:color w:val="auto"/>
          <w:sz w:val="36"/>
          <w:highlight w:val="none"/>
        </w:rPr>
      </w:pPr>
    </w:p>
    <w:p w14:paraId="3C6B725D">
      <w:pPr>
        <w:pageBreakBefore w:val="0"/>
        <w:spacing w:line="360" w:lineRule="auto"/>
        <w:contextualSpacing/>
        <w:rPr>
          <w:rFonts w:ascii="Times New Roman" w:hAnsi="Times New Roman" w:eastAsia="宋体"/>
          <w:b/>
          <w:color w:val="auto"/>
          <w:sz w:val="36"/>
          <w:highlight w:val="none"/>
        </w:rPr>
      </w:pPr>
    </w:p>
    <w:p w14:paraId="3F29C3ED">
      <w:pPr>
        <w:pageBreakBefore w:val="0"/>
        <w:spacing w:line="360" w:lineRule="auto"/>
        <w:contextualSpacing/>
        <w:rPr>
          <w:rFonts w:ascii="Times New Roman" w:hAnsi="Times New Roman" w:eastAsia="宋体"/>
          <w:b/>
          <w:color w:val="auto"/>
          <w:sz w:val="36"/>
          <w:highlight w:val="none"/>
        </w:rPr>
      </w:pPr>
    </w:p>
    <w:p w14:paraId="3F8210D1">
      <w:pPr>
        <w:pageBreakBefore w:val="0"/>
        <w:spacing w:line="360" w:lineRule="auto"/>
        <w:contextualSpacing/>
        <w:rPr>
          <w:rFonts w:ascii="Times New Roman" w:hAnsi="Times New Roman" w:eastAsia="宋体"/>
          <w:b/>
          <w:color w:val="auto"/>
          <w:sz w:val="36"/>
          <w:highlight w:val="none"/>
        </w:rPr>
      </w:pPr>
    </w:p>
    <w:p w14:paraId="291DAEE4">
      <w:pPr>
        <w:pageBreakBefore w:val="0"/>
        <w:spacing w:line="360" w:lineRule="auto"/>
        <w:contextualSpacing/>
        <w:rPr>
          <w:rFonts w:ascii="Times New Roman" w:hAnsi="Times New Roman" w:eastAsia="宋体"/>
          <w:b/>
          <w:color w:val="auto"/>
          <w:sz w:val="36"/>
          <w:highlight w:val="none"/>
        </w:rPr>
      </w:pPr>
    </w:p>
    <w:p w14:paraId="271FBCC0">
      <w:pPr>
        <w:pageBreakBefore w:val="0"/>
        <w:spacing w:line="360" w:lineRule="auto"/>
        <w:contextualSpacing/>
        <w:rPr>
          <w:rFonts w:ascii="Times New Roman" w:hAnsi="Times New Roman" w:eastAsia="宋体"/>
          <w:b/>
          <w:color w:val="auto"/>
          <w:sz w:val="36"/>
          <w:highlight w:val="none"/>
        </w:rPr>
      </w:pPr>
    </w:p>
    <w:p w14:paraId="5D5D1075">
      <w:pPr>
        <w:pageBreakBefore w:val="0"/>
        <w:spacing w:line="360" w:lineRule="auto"/>
        <w:contextualSpacing/>
        <w:rPr>
          <w:rFonts w:ascii="Times New Roman" w:hAnsi="Times New Roman" w:eastAsia="宋体"/>
          <w:b/>
          <w:color w:val="auto"/>
          <w:sz w:val="36"/>
          <w:highlight w:val="none"/>
        </w:rPr>
      </w:pPr>
    </w:p>
    <w:p w14:paraId="22DE9CDF">
      <w:pPr>
        <w:pageBreakBefore w:val="0"/>
        <w:spacing w:line="360" w:lineRule="auto"/>
        <w:contextualSpacing/>
        <w:rPr>
          <w:rFonts w:ascii="Times New Roman" w:hAnsi="Times New Roman" w:eastAsia="宋体"/>
          <w:b/>
          <w:color w:val="auto"/>
          <w:sz w:val="36"/>
          <w:highlight w:val="none"/>
        </w:rPr>
      </w:pPr>
    </w:p>
    <w:p w14:paraId="1C45776C">
      <w:pPr>
        <w:pageBreakBefore w:val="0"/>
        <w:spacing w:line="360" w:lineRule="auto"/>
        <w:contextualSpacing/>
        <w:rPr>
          <w:rFonts w:ascii="Times New Roman" w:hAnsi="Times New Roman" w:eastAsia="宋体"/>
          <w:b/>
          <w:color w:val="auto"/>
          <w:sz w:val="36"/>
          <w:highlight w:val="none"/>
        </w:rPr>
      </w:pPr>
    </w:p>
    <w:p w14:paraId="62E6B192">
      <w:pPr>
        <w:pageBreakBefore w:val="0"/>
        <w:spacing w:line="360" w:lineRule="auto"/>
        <w:contextualSpacing/>
        <w:rPr>
          <w:rFonts w:ascii="Times New Roman" w:hAnsi="Times New Roman" w:eastAsia="宋体"/>
          <w:b/>
          <w:color w:val="auto"/>
          <w:sz w:val="36"/>
          <w:highlight w:val="none"/>
        </w:rPr>
      </w:pPr>
    </w:p>
    <w:p w14:paraId="1B6F69E8">
      <w:pPr>
        <w:pageBreakBefore w:val="0"/>
        <w:spacing w:line="360" w:lineRule="auto"/>
        <w:contextualSpacing/>
        <w:rPr>
          <w:rFonts w:ascii="Times New Roman" w:hAnsi="Times New Roman" w:eastAsia="宋体"/>
          <w:b/>
          <w:color w:val="auto"/>
          <w:sz w:val="36"/>
          <w:highlight w:val="none"/>
        </w:rPr>
      </w:pPr>
    </w:p>
    <w:p w14:paraId="44A80437">
      <w:pPr>
        <w:pageBreakBefore w:val="0"/>
        <w:spacing w:line="360" w:lineRule="auto"/>
        <w:contextualSpacing/>
        <w:rPr>
          <w:rFonts w:ascii="Times New Roman" w:hAnsi="Times New Roman" w:eastAsia="宋体"/>
          <w:b/>
          <w:color w:val="auto"/>
          <w:sz w:val="36"/>
          <w:highlight w:val="none"/>
        </w:rPr>
      </w:pPr>
    </w:p>
    <w:p w14:paraId="4B58B251">
      <w:pPr>
        <w:pageBreakBefore w:val="0"/>
        <w:spacing w:line="360" w:lineRule="auto"/>
        <w:jc w:val="center"/>
        <w:rPr>
          <w:rFonts w:ascii="Times New Roman" w:hAnsi="Times New Roman" w:eastAsia="宋体"/>
          <w:b/>
          <w:bCs/>
          <w:color w:val="auto"/>
          <w:highlight w:val="none"/>
        </w:rPr>
      </w:pPr>
    </w:p>
    <w:p w14:paraId="17C8FB69">
      <w:pPr>
        <w:pageBreakBefore w:val="0"/>
        <w:spacing w:line="360" w:lineRule="auto"/>
        <w:rPr>
          <w:rFonts w:ascii="Times New Roman" w:hAnsi="Times New Roman" w:eastAsia="宋体"/>
          <w:b/>
          <w:bCs/>
          <w:color w:val="auto"/>
          <w:highlight w:val="none"/>
        </w:rPr>
      </w:pPr>
    </w:p>
    <w:p w14:paraId="1BA03594">
      <w:pPr>
        <w:pageBreakBefore w:val="0"/>
        <w:spacing w:line="360" w:lineRule="auto"/>
        <w:jc w:val="center"/>
        <w:rPr>
          <w:rFonts w:ascii="Times New Roman" w:hAnsi="Times New Roman" w:eastAsia="宋体"/>
          <w:b/>
          <w:bCs/>
          <w:color w:val="auto"/>
          <w:highlight w:val="none"/>
        </w:rPr>
      </w:pPr>
      <w:r>
        <w:rPr>
          <w:rFonts w:hint="eastAsia" w:ascii="Times New Roman" w:hAnsi="Times New Roman" w:eastAsia="宋体"/>
          <w:b/>
          <w:bCs/>
          <w:color w:val="auto"/>
          <w:highlight w:val="none"/>
        </w:rPr>
        <w:t>参加本次政府采购活动前3年内在经营活动中没有重大违法记录的书面声明</w:t>
      </w:r>
    </w:p>
    <w:p w14:paraId="67D4EFA7">
      <w:pPr>
        <w:pageBreakBefore w:val="0"/>
        <w:spacing w:line="360" w:lineRule="auto"/>
        <w:rPr>
          <w:rFonts w:ascii="Times New Roman" w:hAnsi="Times New Roman" w:eastAsia="宋体"/>
          <w:color w:val="auto"/>
          <w:highlight w:val="none"/>
        </w:rPr>
      </w:pPr>
    </w:p>
    <w:p w14:paraId="61A8EBFB">
      <w:pPr>
        <w:pageBreakBefore w:val="0"/>
        <w:spacing w:line="360" w:lineRule="auto"/>
        <w:jc w:val="center"/>
        <w:rPr>
          <w:rFonts w:ascii="Times New Roman" w:hAnsi="Times New Roman" w:eastAsia="宋体"/>
          <w:b/>
          <w:bCs/>
          <w:color w:val="auto"/>
          <w:highlight w:val="none"/>
        </w:rPr>
      </w:pPr>
      <w:r>
        <w:rPr>
          <w:rFonts w:hint="eastAsia" w:ascii="Times New Roman" w:hAnsi="Times New Roman" w:eastAsia="宋体"/>
          <w:b/>
          <w:bCs/>
          <w:color w:val="auto"/>
          <w:highlight w:val="none"/>
        </w:rPr>
        <w:t>声明</w:t>
      </w:r>
    </w:p>
    <w:p w14:paraId="7E58E0E5">
      <w:pPr>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我公司郑重声明：参加本次政府采购活动前3年内，我公司在经营活动中没有因违法经营受到刑事处罚或者责令停产停业、吊销许可证或者执照、较大数额罚款等行政处罚。</w:t>
      </w:r>
    </w:p>
    <w:p w14:paraId="23F301E5">
      <w:pPr>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供应商名称（公章）：</w:t>
      </w:r>
    </w:p>
    <w:p w14:paraId="23FB9EB4">
      <w:pPr>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法定代表人签章：</w:t>
      </w:r>
      <w:r>
        <w:rPr>
          <w:rFonts w:hint="eastAsia" w:ascii="Times New Roman" w:hAnsi="Times New Roman" w:eastAsia="宋体"/>
          <w:bCs/>
          <w:color w:val="auto"/>
          <w:highlight w:val="none"/>
          <w:u w:val="single"/>
        </w:rPr>
        <w:t>_______________________</w:t>
      </w:r>
    </w:p>
    <w:p w14:paraId="6C787A70">
      <w:pPr>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日期：年月日</w:t>
      </w:r>
    </w:p>
    <w:p w14:paraId="55436F20">
      <w:pPr>
        <w:pageBreakBefore w:val="0"/>
        <w:spacing w:line="360" w:lineRule="auto"/>
        <w:jc w:val="center"/>
        <w:rPr>
          <w:rFonts w:ascii="Times New Roman" w:hAnsi="Times New Roman" w:eastAsia="宋体"/>
          <w:b/>
          <w:bCs/>
          <w:color w:val="auto"/>
          <w:highlight w:val="none"/>
        </w:rPr>
      </w:pPr>
    </w:p>
    <w:p w14:paraId="54E7E1B4">
      <w:pPr>
        <w:pageBreakBefore w:val="0"/>
        <w:spacing w:line="360" w:lineRule="auto"/>
        <w:jc w:val="center"/>
        <w:rPr>
          <w:rFonts w:ascii="Times New Roman" w:hAnsi="Times New Roman" w:eastAsia="宋体"/>
          <w:b/>
          <w:bCs/>
          <w:color w:val="auto"/>
          <w:highlight w:val="none"/>
        </w:rPr>
      </w:pPr>
    </w:p>
    <w:p w14:paraId="517800F5">
      <w:pPr>
        <w:pageBreakBefore w:val="0"/>
        <w:spacing w:line="360" w:lineRule="auto"/>
        <w:jc w:val="center"/>
        <w:rPr>
          <w:rFonts w:ascii="Times New Roman" w:hAnsi="Times New Roman" w:eastAsia="宋体"/>
          <w:b/>
          <w:bCs/>
          <w:color w:val="auto"/>
          <w:highlight w:val="none"/>
        </w:rPr>
      </w:pPr>
    </w:p>
    <w:p w14:paraId="080CDF65">
      <w:pPr>
        <w:pageBreakBefore w:val="0"/>
        <w:spacing w:line="360" w:lineRule="auto"/>
        <w:jc w:val="center"/>
        <w:rPr>
          <w:rFonts w:ascii="Times New Roman" w:hAnsi="Times New Roman" w:eastAsia="宋体"/>
          <w:b/>
          <w:bCs/>
          <w:color w:val="auto"/>
          <w:highlight w:val="none"/>
        </w:rPr>
      </w:pPr>
    </w:p>
    <w:p w14:paraId="2EDD82DD">
      <w:pPr>
        <w:pageBreakBefore w:val="0"/>
        <w:spacing w:line="360" w:lineRule="auto"/>
        <w:jc w:val="center"/>
        <w:rPr>
          <w:rFonts w:ascii="Times New Roman" w:hAnsi="Times New Roman" w:eastAsia="宋体"/>
          <w:b/>
          <w:bCs/>
          <w:color w:val="auto"/>
          <w:highlight w:val="none"/>
        </w:rPr>
      </w:pPr>
    </w:p>
    <w:p w14:paraId="39DF4FAC">
      <w:pPr>
        <w:pageBreakBefore w:val="0"/>
        <w:spacing w:line="360" w:lineRule="auto"/>
        <w:jc w:val="center"/>
        <w:rPr>
          <w:rFonts w:ascii="Times New Roman" w:hAnsi="Times New Roman" w:eastAsia="宋体"/>
          <w:b/>
          <w:bCs/>
          <w:color w:val="auto"/>
          <w:highlight w:val="none"/>
        </w:rPr>
      </w:pPr>
    </w:p>
    <w:p w14:paraId="2E85B222">
      <w:pPr>
        <w:pageBreakBefore w:val="0"/>
        <w:spacing w:line="360" w:lineRule="auto"/>
        <w:jc w:val="center"/>
        <w:rPr>
          <w:rFonts w:ascii="Times New Roman" w:hAnsi="Times New Roman" w:eastAsia="宋体"/>
          <w:b/>
          <w:color w:val="auto"/>
          <w:szCs w:val="21"/>
          <w:highlight w:val="none"/>
        </w:rPr>
      </w:pPr>
      <w:r>
        <w:rPr>
          <w:rFonts w:hint="eastAsia" w:ascii="Times New Roman" w:hAnsi="Times New Roman" w:eastAsia="宋体"/>
          <w:b/>
          <w:bCs/>
          <w:color w:val="auto"/>
          <w:highlight w:val="none"/>
        </w:rPr>
        <w:br w:type="page" w:clear="all"/>
      </w:r>
      <w:r>
        <w:rPr>
          <w:rFonts w:hint="eastAsia" w:ascii="Times New Roman" w:hAnsi="Times New Roman" w:eastAsia="宋体"/>
          <w:b/>
          <w:color w:val="auto"/>
          <w:szCs w:val="21"/>
          <w:highlight w:val="none"/>
        </w:rPr>
        <w:t>供应商信用承诺书</w:t>
      </w:r>
    </w:p>
    <w:p w14:paraId="643F3CCE">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承诺主体名称：</w:t>
      </w:r>
    </w:p>
    <w:p w14:paraId="390F0623">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统一社会信用代码：</w:t>
      </w:r>
    </w:p>
    <w:p w14:paraId="0EEE463A">
      <w:pPr>
        <w:pageBreakBefore w:val="0"/>
        <w:spacing w:line="360" w:lineRule="auto"/>
        <w:ind w:firstLine="420"/>
        <w:rPr>
          <w:rFonts w:ascii="Times New Roman" w:hAnsi="Times New Roman" w:eastAsia="宋体"/>
          <w:color w:val="auto"/>
          <w:szCs w:val="21"/>
          <w:highlight w:val="none"/>
        </w:rPr>
      </w:pPr>
      <w:r>
        <w:rPr>
          <w:rFonts w:hint="eastAsia" w:ascii="Times New Roman" w:hAnsi="Times New Roman" w:eastAsia="宋体"/>
          <w:color w:val="auto"/>
          <w:szCs w:val="21"/>
          <w:highlight w:val="none"/>
        </w:rPr>
        <w:t>为维护公平竞争、规范有序的市场秩序，营造诚实守信的信用环境，共同推进社会信用体系建设完善，树立企业诚信守法形象，本企业对________________________项目政府采购活动郑重承诺如下：</w:t>
      </w:r>
    </w:p>
    <w:p w14:paraId="53C5529F">
      <w:pPr>
        <w:pageBreakBefore w:val="0"/>
        <w:spacing w:line="360" w:lineRule="auto"/>
        <w:ind w:firstLine="420"/>
        <w:rPr>
          <w:rFonts w:ascii="Times New Roman" w:hAnsi="Times New Roman" w:eastAsia="宋体"/>
          <w:color w:val="auto"/>
          <w:szCs w:val="21"/>
          <w:highlight w:val="none"/>
        </w:rPr>
      </w:pPr>
      <w:r>
        <w:rPr>
          <w:rFonts w:hint="eastAsia" w:ascii="Times New Roman" w:hAnsi="Times New Roman" w:eastAsia="宋体"/>
          <w:color w:val="auto"/>
          <w:szCs w:val="21"/>
          <w:highlight w:val="none"/>
        </w:rPr>
        <w:t>一、对提供给注册登记部门、行业管理部门、司法部门、行业组织以及在政府采购活动中提交的所有资料的合法性、真实性、准确性和有效性负责；</w:t>
      </w:r>
    </w:p>
    <w:p w14:paraId="7A9C3C32">
      <w:pPr>
        <w:pageBreakBefore w:val="0"/>
        <w:spacing w:line="360" w:lineRule="auto"/>
        <w:ind w:firstLine="420"/>
        <w:rPr>
          <w:rFonts w:ascii="Times New Roman" w:hAnsi="Times New Roman" w:eastAsia="宋体"/>
          <w:color w:val="auto"/>
          <w:szCs w:val="21"/>
          <w:highlight w:val="none"/>
        </w:rPr>
      </w:pPr>
      <w:r>
        <w:rPr>
          <w:rFonts w:hint="eastAsia" w:ascii="Times New Roman" w:hAnsi="Times New Roman" w:eastAsia="宋体"/>
          <w:color w:val="auto"/>
          <w:szCs w:val="21"/>
          <w:highlight w:val="none"/>
        </w:rPr>
        <w:t>二、严格按照国家法律、法规和规章开展采购活动，全面履行应尽的责任和义务，全面做到履约守信，具备《中华人民共和国政府采购法》第二十二条第一款规定的条件;</w:t>
      </w:r>
    </w:p>
    <w:p w14:paraId="5A6866BC">
      <w:pPr>
        <w:pageBreakBefore w:val="0"/>
        <w:spacing w:line="360" w:lineRule="auto"/>
        <w:ind w:firstLine="420"/>
        <w:rPr>
          <w:rFonts w:ascii="Times New Roman" w:hAnsi="Times New Roman" w:eastAsia="宋体"/>
          <w:color w:val="auto"/>
          <w:szCs w:val="21"/>
          <w:highlight w:val="none"/>
        </w:rPr>
      </w:pPr>
      <w:r>
        <w:rPr>
          <w:rFonts w:hint="eastAsia" w:ascii="Times New Roman" w:hAnsi="Times New Roman" w:eastAsia="宋体"/>
          <w:color w:val="auto"/>
          <w:szCs w:val="21"/>
          <w:highlight w:val="none"/>
        </w:rPr>
        <w:t>三、严格依法开展生产经营活动，主动接受行业监管，自愿接受依法开展的日常检查；违法失信经营后将自愿接受约束和惩戒，并依法承担相应责任；</w:t>
      </w:r>
    </w:p>
    <w:p w14:paraId="3A5C3A25">
      <w:pPr>
        <w:pageBreakBefore w:val="0"/>
        <w:spacing w:line="360" w:lineRule="auto"/>
        <w:ind w:firstLine="420"/>
        <w:rPr>
          <w:rFonts w:ascii="Times New Roman" w:hAnsi="Times New Roman" w:eastAsia="宋体"/>
          <w:color w:val="auto"/>
          <w:szCs w:val="21"/>
          <w:highlight w:val="none"/>
        </w:rPr>
      </w:pPr>
      <w:r>
        <w:rPr>
          <w:rFonts w:hint="eastAsia" w:ascii="Times New Roman" w:hAnsi="Times New Roman" w:eastAsia="宋体"/>
          <w:color w:val="auto"/>
          <w:szCs w:val="21"/>
          <w:highlight w:val="none"/>
        </w:rPr>
        <w:t>四、自觉接受行政管理部门、行业组织、社会公众、新闻舆论的监督；</w:t>
      </w:r>
    </w:p>
    <w:p w14:paraId="4D7F190A">
      <w:pPr>
        <w:pageBreakBefore w:val="0"/>
        <w:spacing w:line="360" w:lineRule="auto"/>
        <w:ind w:firstLine="420"/>
        <w:rPr>
          <w:rFonts w:ascii="Times New Roman" w:hAnsi="Times New Roman" w:eastAsia="宋体"/>
          <w:color w:val="auto"/>
          <w:szCs w:val="21"/>
          <w:highlight w:val="none"/>
        </w:rPr>
      </w:pPr>
      <w:r>
        <w:rPr>
          <w:rFonts w:hint="eastAsia" w:ascii="Times New Roman" w:hAnsi="Times New Roman" w:eastAsia="宋体"/>
          <w:color w:val="auto"/>
          <w:szCs w:val="21"/>
          <w:highlight w:val="none"/>
        </w:rPr>
        <w:t>五、自觉做到自我约束、自我管理，不制假售假、商标侵权、虚假宣传、违约毁约、恶意逃债、偷税漏税、垄断和不正当竞争，维护经营者、消费者的合法权益；</w:t>
      </w:r>
    </w:p>
    <w:p w14:paraId="117F7AE0">
      <w:pPr>
        <w:pageBreakBefore w:val="0"/>
        <w:spacing w:line="360" w:lineRule="auto"/>
        <w:ind w:firstLine="420"/>
        <w:rPr>
          <w:rFonts w:ascii="Times New Roman" w:hAnsi="Times New Roman" w:eastAsia="宋体"/>
          <w:color w:val="auto"/>
          <w:szCs w:val="21"/>
          <w:highlight w:val="none"/>
        </w:rPr>
      </w:pPr>
      <w:r>
        <w:rPr>
          <w:rFonts w:hint="eastAsia" w:ascii="Times New Roman" w:hAnsi="Times New Roman" w:eastAsia="宋体"/>
          <w:color w:val="auto"/>
          <w:szCs w:val="21"/>
          <w:highlight w:val="none"/>
        </w:rPr>
        <w:t>六、提出政府采购质疑和投诉坚持依法依规、诚实信用原则，在全国范围12个月内没有三次以上查无实据的政府采购投诉；</w:t>
      </w:r>
    </w:p>
    <w:p w14:paraId="178262C7">
      <w:pPr>
        <w:pageBreakBefore w:val="0"/>
        <w:spacing w:line="360" w:lineRule="auto"/>
        <w:ind w:firstLine="420"/>
        <w:rPr>
          <w:rFonts w:ascii="Times New Roman" w:hAnsi="Times New Roman" w:eastAsia="宋体"/>
          <w:color w:val="auto"/>
          <w:szCs w:val="21"/>
          <w:highlight w:val="none"/>
        </w:rPr>
      </w:pPr>
      <w:r>
        <w:rPr>
          <w:rFonts w:hint="eastAsia" w:ascii="Times New Roman" w:hAnsi="Times New Roman" w:eastAsia="宋体"/>
          <w:color w:val="auto"/>
          <w:szCs w:val="21"/>
          <w:highlight w:val="none"/>
        </w:rPr>
        <w:t>七、严格遵守信用信息公示相关规定，向社会公示信用信息；</w:t>
      </w:r>
    </w:p>
    <w:p w14:paraId="490729B5">
      <w:pPr>
        <w:pageBreakBefore w:val="0"/>
        <w:spacing w:line="360" w:lineRule="auto"/>
        <w:ind w:firstLine="420"/>
        <w:rPr>
          <w:rFonts w:ascii="Times New Roman" w:hAnsi="Times New Roman" w:eastAsia="宋体"/>
          <w:color w:val="auto"/>
          <w:szCs w:val="21"/>
          <w:highlight w:val="none"/>
        </w:rPr>
      </w:pPr>
      <w:r>
        <w:rPr>
          <w:rFonts w:hint="eastAsia" w:ascii="Times New Roman" w:hAnsi="Times New Roman" w:eastAsia="宋体"/>
          <w:color w:val="auto"/>
          <w:szCs w:val="21"/>
          <w:highlight w:val="none"/>
        </w:rPr>
        <w:t>八、在“信用中国”和“中国政府采购网”网站中无违法违规、较重或严重失信记录；</w:t>
      </w:r>
    </w:p>
    <w:p w14:paraId="6D55902A">
      <w:pPr>
        <w:pageBreakBefore w:val="0"/>
        <w:spacing w:line="360" w:lineRule="auto"/>
        <w:ind w:firstLine="420"/>
        <w:rPr>
          <w:rFonts w:ascii="Times New Roman" w:hAnsi="Times New Roman" w:eastAsia="宋体"/>
          <w:color w:val="auto"/>
          <w:szCs w:val="21"/>
          <w:highlight w:val="none"/>
        </w:rPr>
      </w:pPr>
      <w:r>
        <w:rPr>
          <w:rFonts w:hint="eastAsia" w:ascii="Times New Roman" w:hAnsi="Times New Roman" w:eastAsia="宋体"/>
          <w:color w:val="auto"/>
          <w:szCs w:val="21"/>
          <w:highlight w:val="none"/>
        </w:rPr>
        <w:t>九、如违反承诺，自愿接受管理部门依法给予的行政处罚，同意将违反承诺的行为作为不良记录记入信用档案，依法依规进行信息公示，并承担所产生的一切法律责任和经济损失。</w:t>
      </w:r>
    </w:p>
    <w:p w14:paraId="69044B32">
      <w:pPr>
        <w:pageBreakBefore w:val="0"/>
        <w:spacing w:line="360" w:lineRule="auto"/>
        <w:ind w:firstLine="420"/>
        <w:rPr>
          <w:rFonts w:ascii="Times New Roman" w:hAnsi="Times New Roman" w:eastAsia="宋体"/>
          <w:color w:val="auto"/>
          <w:szCs w:val="21"/>
          <w:highlight w:val="none"/>
        </w:rPr>
      </w:pPr>
      <w:r>
        <w:rPr>
          <w:rFonts w:hint="eastAsia" w:ascii="Times New Roman" w:hAnsi="Times New Roman" w:eastAsia="宋体"/>
          <w:color w:val="auto"/>
          <w:szCs w:val="21"/>
          <w:highlight w:val="none"/>
        </w:rPr>
        <w:t>十、本承诺书自签订之日起生效。</w:t>
      </w:r>
    </w:p>
    <w:p w14:paraId="7B6B12D7">
      <w:pPr>
        <w:pageBreakBefore w:val="0"/>
        <w:spacing w:line="360" w:lineRule="auto"/>
        <w:ind w:firstLine="420"/>
        <w:rPr>
          <w:rFonts w:ascii="Times New Roman" w:hAnsi="Times New Roman" w:eastAsia="宋体"/>
          <w:color w:val="auto"/>
          <w:szCs w:val="21"/>
          <w:highlight w:val="none"/>
        </w:rPr>
      </w:pPr>
      <w:r>
        <w:rPr>
          <w:rFonts w:hint="eastAsia" w:ascii="Times New Roman" w:hAnsi="Times New Roman" w:eastAsia="宋体"/>
          <w:color w:val="auto"/>
          <w:szCs w:val="21"/>
          <w:highlight w:val="none"/>
        </w:rPr>
        <w:t>（注：法定代表人或负责人、主体名称发生变更的应当重新做出承诺。）</w:t>
      </w:r>
    </w:p>
    <w:p w14:paraId="2D764BD7">
      <w:pPr>
        <w:pageBreakBefore w:val="0"/>
        <w:spacing w:line="360" w:lineRule="auto"/>
        <w:jc w:val="center"/>
        <w:rPr>
          <w:rFonts w:ascii="Times New Roman" w:hAnsi="Times New Roman" w:eastAsia="宋体"/>
          <w:color w:val="auto"/>
          <w:szCs w:val="21"/>
          <w:highlight w:val="none"/>
        </w:rPr>
      </w:pPr>
      <w:r>
        <w:rPr>
          <w:rFonts w:hint="eastAsia" w:ascii="Times New Roman" w:hAnsi="Times New Roman" w:eastAsia="宋体"/>
          <w:color w:val="auto"/>
          <w:szCs w:val="21"/>
          <w:highlight w:val="none"/>
        </w:rPr>
        <w:t>承诺单位（签章）：</w:t>
      </w:r>
    </w:p>
    <w:p w14:paraId="3A440F64">
      <w:pPr>
        <w:pageBreakBefore w:val="0"/>
        <w:spacing w:line="360" w:lineRule="auto"/>
        <w:jc w:val="center"/>
        <w:rPr>
          <w:rFonts w:ascii="Times New Roman" w:hAnsi="Times New Roman" w:eastAsia="宋体"/>
          <w:color w:val="auto"/>
          <w:szCs w:val="21"/>
          <w:highlight w:val="none"/>
        </w:rPr>
      </w:pPr>
      <w:r>
        <w:rPr>
          <w:rFonts w:hint="eastAsia" w:ascii="Times New Roman" w:hAnsi="Times New Roman" w:eastAsia="宋体"/>
          <w:color w:val="auto"/>
          <w:szCs w:val="21"/>
          <w:highlight w:val="none"/>
        </w:rPr>
        <w:t>法定代表人（负责人）：</w:t>
      </w:r>
    </w:p>
    <w:p w14:paraId="2C6BD154">
      <w:pPr>
        <w:pageBreakBefore w:val="0"/>
        <w:spacing w:line="360" w:lineRule="auto"/>
        <w:jc w:val="center"/>
        <w:rPr>
          <w:rFonts w:ascii="Times New Roman" w:hAnsi="Times New Roman" w:eastAsia="宋体"/>
          <w:color w:val="auto"/>
          <w:szCs w:val="21"/>
          <w:highlight w:val="none"/>
        </w:rPr>
      </w:pPr>
      <w:r>
        <w:rPr>
          <w:rFonts w:hint="eastAsia" w:ascii="Times New Roman" w:hAnsi="Times New Roman" w:eastAsia="宋体"/>
          <w:color w:val="auto"/>
          <w:szCs w:val="21"/>
          <w:highlight w:val="none"/>
        </w:rPr>
        <w:t>年月日</w:t>
      </w:r>
    </w:p>
    <w:p w14:paraId="4F7C9A63">
      <w:pPr>
        <w:pageBreakBefore w:val="0"/>
        <w:spacing w:line="360" w:lineRule="auto"/>
        <w:jc w:val="center"/>
        <w:rPr>
          <w:rFonts w:ascii="Times New Roman" w:hAnsi="Times New Roman" w:eastAsia="宋体" w:cs="宋体"/>
          <w:color w:val="auto"/>
          <w:szCs w:val="21"/>
          <w:highlight w:val="none"/>
        </w:rPr>
      </w:pPr>
    </w:p>
    <w:p w14:paraId="0883D5A8">
      <w:pPr>
        <w:pageBreakBefore w:val="0"/>
        <w:spacing w:line="360" w:lineRule="auto"/>
        <w:rPr>
          <w:rFonts w:ascii="Times New Roman" w:hAnsi="Times New Roman" w:eastAsia="宋体" w:cs="宋体"/>
          <w:color w:val="auto"/>
          <w:szCs w:val="21"/>
          <w:highlight w:val="none"/>
        </w:rPr>
      </w:pPr>
    </w:p>
    <w:p w14:paraId="30FA7FBD">
      <w:pPr>
        <w:pageBreakBefore w:val="0"/>
        <w:spacing w:line="360" w:lineRule="auto"/>
        <w:rPr>
          <w:rFonts w:ascii="Times New Roman" w:hAnsi="Times New Roman" w:eastAsia="宋体" w:cs="宋体"/>
          <w:color w:val="auto"/>
          <w:szCs w:val="21"/>
          <w:highlight w:val="none"/>
        </w:rPr>
      </w:pPr>
    </w:p>
    <w:p w14:paraId="3B4260A5">
      <w:pPr>
        <w:pageBreakBefore w:val="0"/>
        <w:spacing w:line="360" w:lineRule="auto"/>
        <w:jc w:val="center"/>
        <w:rPr>
          <w:rFonts w:ascii="Times New Roman" w:hAnsi="Times New Roman" w:eastAsia="宋体"/>
          <w:b/>
          <w:bCs/>
          <w:color w:val="auto"/>
          <w:highlight w:val="none"/>
        </w:rPr>
      </w:pPr>
      <w:r>
        <w:rPr>
          <w:rFonts w:hint="eastAsia" w:ascii="Times New Roman" w:hAnsi="Times New Roman" w:eastAsia="宋体"/>
          <w:b/>
          <w:bCs/>
          <w:color w:val="auto"/>
          <w:highlight w:val="none"/>
        </w:rPr>
        <w:br w:type="page" w:clear="all"/>
      </w:r>
    </w:p>
    <w:p w14:paraId="12A41C93">
      <w:pPr>
        <w:pageBreakBefore w:val="0"/>
        <w:spacing w:line="360" w:lineRule="auto"/>
        <w:jc w:val="center"/>
        <w:rPr>
          <w:rFonts w:ascii="Times New Roman" w:hAnsi="Times New Roman" w:eastAsia="宋体"/>
          <w:b/>
          <w:bCs/>
          <w:color w:val="auto"/>
          <w:highlight w:val="none"/>
        </w:rPr>
      </w:pPr>
      <w:r>
        <w:rPr>
          <w:rFonts w:hint="eastAsia" w:ascii="Times New Roman" w:hAnsi="Times New Roman" w:eastAsia="宋体"/>
          <w:b/>
          <w:bCs/>
          <w:color w:val="auto"/>
          <w:highlight w:val="none"/>
        </w:rPr>
        <w:t>投标函格式</w:t>
      </w:r>
    </w:p>
    <w:p w14:paraId="3BA0C046">
      <w:pPr>
        <w:pStyle w:val="211"/>
        <w:pageBreakBefore w:val="0"/>
        <w:spacing w:before="0" w:after="0" w:line="360" w:lineRule="auto"/>
        <w:ind w:firstLine="0"/>
        <w:rPr>
          <w:rFonts w:hint="eastAsia" w:ascii="Times New Roman" w:hAnsi="Times New Roman" w:eastAsia="宋体"/>
          <w:color w:val="auto"/>
          <w:sz w:val="21"/>
          <w:szCs w:val="21"/>
          <w:highlight w:val="none"/>
          <w:lang w:eastAsia="zh-CN"/>
        </w:rPr>
      </w:pPr>
      <w:r>
        <w:rPr>
          <w:rFonts w:hint="eastAsia" w:ascii="Times New Roman" w:hAnsi="Times New Roman" w:eastAsia="宋体"/>
          <w:color w:val="auto"/>
          <w:sz w:val="21"/>
          <w:szCs w:val="21"/>
          <w:highlight w:val="none"/>
        </w:rPr>
        <w:t>致：</w:t>
      </w:r>
      <w:r>
        <w:rPr>
          <w:rFonts w:hint="eastAsia" w:ascii="Times New Roman" w:hAnsi="Times New Roman"/>
          <w:color w:val="auto"/>
          <w:sz w:val="21"/>
          <w:highlight w:val="none"/>
          <w:lang w:eastAsia="zh-CN"/>
        </w:rPr>
        <w:t>江苏中瑞建设项目管理有限公司</w:t>
      </w:r>
    </w:p>
    <w:p w14:paraId="5673E70B">
      <w:pPr>
        <w:pStyle w:val="211"/>
        <w:pageBreakBefore w:val="0"/>
        <w:spacing w:before="0" w:after="0" w:line="360" w:lineRule="auto"/>
        <w:ind w:firstLine="420"/>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根据贵方的（）号招标文件，正式授权下述签字人_________________（姓名）代表我方______________（投标人的名称），全权处理本次项目投标的有关事宜。</w:t>
      </w:r>
    </w:p>
    <w:p w14:paraId="535732FF">
      <w:pPr>
        <w:pStyle w:val="211"/>
        <w:pageBreakBefore w:val="0"/>
        <w:spacing w:before="0" w:after="0" w:line="360" w:lineRule="auto"/>
        <w:ind w:firstLine="420"/>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据此函，__________签字人（姓名）兹宣布同意如下：</w:t>
      </w:r>
    </w:p>
    <w:p w14:paraId="1DEF78B9">
      <w:pPr>
        <w:pStyle w:val="211"/>
        <w:pageBreakBefore w:val="0"/>
        <w:spacing w:before="0" w:after="0" w:line="360" w:lineRule="auto"/>
        <w:ind w:firstLine="420"/>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1.按招标文件规定的各项要求，向买方提供所需货物与服务。</w:t>
      </w:r>
    </w:p>
    <w:p w14:paraId="2CF4CBDF">
      <w:pPr>
        <w:pStyle w:val="211"/>
        <w:pageBreakBefore w:val="0"/>
        <w:spacing w:before="0" w:after="0" w:line="360" w:lineRule="auto"/>
        <w:ind w:firstLine="420"/>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2.我们完全理解贵方不一定将合同授予最低报价的投标人。</w:t>
      </w:r>
    </w:p>
    <w:p w14:paraId="2E8B1856">
      <w:pPr>
        <w:pStyle w:val="211"/>
        <w:pageBreakBefore w:val="0"/>
        <w:spacing w:before="0" w:after="0" w:line="360" w:lineRule="auto"/>
        <w:ind w:firstLine="420"/>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3.我们已详细审核全部招标文件及其有效补充文件，我们知道必须放弃提出含糊不清或误解问题的权利。</w:t>
      </w:r>
    </w:p>
    <w:p w14:paraId="345A7148">
      <w:pPr>
        <w:pStyle w:val="211"/>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4.我们同意从规定的开标日期起遵循本投标文件，并在规定的投标有效期期满之前均具有约束力。</w:t>
      </w:r>
    </w:p>
    <w:p w14:paraId="4CAB1340">
      <w:pPr>
        <w:pStyle w:val="211"/>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5.同意向贵方提供贵方可能另外要求的与投标有关的任何证据或资料，并保证我方已提供和将要提供的文件是真实的、准确的。</w:t>
      </w:r>
    </w:p>
    <w:p w14:paraId="3ADE864F">
      <w:pPr>
        <w:pStyle w:val="211"/>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6.一旦我方中标,我方将根据招标文件的规定，严格履行合同的责任和义务,并保证在招标文件规定的时间完成项目，交付买方验收、使用。</w:t>
      </w:r>
    </w:p>
    <w:p w14:paraId="02C53008">
      <w:pPr>
        <w:pStyle w:val="211"/>
        <w:pageBreakBefore w:val="0"/>
        <w:spacing w:before="0" w:after="0" w:line="360" w:lineRule="auto"/>
        <w:ind w:left="425" w:firstLine="105"/>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7.与本投标有关的正式通讯地址为：</w:t>
      </w:r>
    </w:p>
    <w:p w14:paraId="56073971">
      <w:pPr>
        <w:pStyle w:val="211"/>
        <w:pageBreakBefore w:val="0"/>
        <w:spacing w:before="0" w:after="0" w:line="360" w:lineRule="auto"/>
        <w:ind w:firstLine="478"/>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地址：</w:t>
      </w:r>
    </w:p>
    <w:p w14:paraId="42F41767">
      <w:pPr>
        <w:pStyle w:val="211"/>
        <w:pageBreakBefore w:val="0"/>
        <w:spacing w:before="0" w:after="0" w:line="360" w:lineRule="auto"/>
        <w:ind w:firstLine="478"/>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邮编：</w:t>
      </w:r>
    </w:p>
    <w:p w14:paraId="52FCE1AF">
      <w:pPr>
        <w:pStyle w:val="211"/>
        <w:pageBreakBefore w:val="0"/>
        <w:spacing w:before="0" w:after="0" w:line="360" w:lineRule="auto"/>
        <w:ind w:firstLine="478"/>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电话：</w:t>
      </w:r>
    </w:p>
    <w:p w14:paraId="35D1C5E3">
      <w:pPr>
        <w:pStyle w:val="211"/>
        <w:pageBreakBefore w:val="0"/>
        <w:spacing w:before="0" w:after="0" w:line="360" w:lineRule="auto"/>
        <w:ind w:firstLine="478"/>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传真：</w:t>
      </w:r>
    </w:p>
    <w:p w14:paraId="6B5678D3">
      <w:pPr>
        <w:pStyle w:val="211"/>
        <w:pageBreakBefore w:val="0"/>
        <w:spacing w:before="0" w:after="0" w:line="360" w:lineRule="auto"/>
        <w:ind w:firstLine="478"/>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投标人开户行：</w:t>
      </w:r>
    </w:p>
    <w:p w14:paraId="3C77B6D8">
      <w:pPr>
        <w:pStyle w:val="211"/>
        <w:pageBreakBefore w:val="0"/>
        <w:spacing w:before="0" w:after="0" w:line="360" w:lineRule="auto"/>
        <w:ind w:firstLine="478"/>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账户：</w:t>
      </w:r>
    </w:p>
    <w:p w14:paraId="06972F75">
      <w:pPr>
        <w:pStyle w:val="211"/>
        <w:pageBreakBefore w:val="0"/>
        <w:spacing w:before="0" w:after="0" w:line="360" w:lineRule="auto"/>
        <w:ind w:firstLine="478"/>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行号：</w:t>
      </w:r>
    </w:p>
    <w:p w14:paraId="5C568163">
      <w:pPr>
        <w:pStyle w:val="211"/>
        <w:pageBreakBefore w:val="0"/>
        <w:spacing w:before="0" w:after="0" w:line="360" w:lineRule="auto"/>
        <w:ind w:firstLine="478"/>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日期：________年____月____日</w:t>
      </w:r>
    </w:p>
    <w:p w14:paraId="62DA260B">
      <w:pPr>
        <w:pageBreakBefore w:val="0"/>
        <w:spacing w:line="360" w:lineRule="auto"/>
        <w:contextualSpacing/>
        <w:rPr>
          <w:rFonts w:ascii="Times New Roman" w:hAnsi="Times New Roman" w:eastAsia="宋体"/>
          <w:b/>
          <w:bCs/>
          <w:color w:val="auto"/>
          <w:sz w:val="32"/>
          <w:szCs w:val="32"/>
          <w:highlight w:val="none"/>
        </w:rPr>
      </w:pPr>
    </w:p>
    <w:p w14:paraId="25BBA0DC">
      <w:pPr>
        <w:pageBreakBefore w:val="0"/>
        <w:spacing w:line="360" w:lineRule="auto"/>
        <w:rPr>
          <w:rFonts w:ascii="Times New Roman" w:hAnsi="Times New Roman" w:eastAsia="宋体"/>
          <w:b/>
          <w:color w:val="auto"/>
          <w:sz w:val="32"/>
          <w:szCs w:val="32"/>
          <w:highlight w:val="none"/>
        </w:rPr>
      </w:pPr>
      <w:r>
        <w:rPr>
          <w:rFonts w:hint="eastAsia" w:ascii="Times New Roman" w:hAnsi="Times New Roman" w:eastAsia="宋体"/>
          <w:b/>
          <w:color w:val="auto"/>
          <w:sz w:val="32"/>
          <w:szCs w:val="32"/>
          <w:highlight w:val="none"/>
        </w:rPr>
        <w:br w:type="page" w:clear="all"/>
      </w:r>
    </w:p>
    <w:p w14:paraId="6DB1F2F4">
      <w:pPr>
        <w:pStyle w:val="212"/>
        <w:pageBreakBefore w:val="0"/>
        <w:spacing w:line="360" w:lineRule="auto"/>
        <w:ind w:firstLine="422"/>
        <w:jc w:val="center"/>
        <w:rPr>
          <w:rFonts w:ascii="Times New Roman" w:hAnsi="Times New Roman" w:eastAsia="宋体"/>
          <w:b/>
          <w:color w:val="auto"/>
          <w:sz w:val="21"/>
          <w:szCs w:val="21"/>
          <w:highlight w:val="none"/>
        </w:rPr>
      </w:pPr>
      <w:r>
        <w:rPr>
          <w:rFonts w:hint="eastAsia" w:ascii="Times New Roman" w:hAnsi="Times New Roman" w:eastAsia="宋体"/>
          <w:b/>
          <w:color w:val="auto"/>
          <w:sz w:val="21"/>
          <w:szCs w:val="21"/>
          <w:highlight w:val="none"/>
        </w:rPr>
        <w:t>法人授权书</w:t>
      </w:r>
    </w:p>
    <w:p w14:paraId="28861894">
      <w:pPr>
        <w:pStyle w:val="212"/>
        <w:pageBreakBefore w:val="0"/>
        <w:spacing w:line="360" w:lineRule="auto"/>
        <w:ind w:firstLine="420"/>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本授权书声明：</w:t>
      </w:r>
      <w:r>
        <w:rPr>
          <w:rFonts w:ascii="Times New Roman" w:hAnsi="Times New Roman" w:eastAsia="宋体"/>
          <w:color w:val="auto"/>
          <w:sz w:val="21"/>
          <w:szCs w:val="21"/>
          <w:highlight w:val="none"/>
        </w:rPr>
        <w:t>________________</w:t>
      </w:r>
      <w:r>
        <w:rPr>
          <w:rFonts w:hint="eastAsia" w:ascii="Times New Roman" w:hAnsi="Times New Roman" w:eastAsia="宋体"/>
          <w:color w:val="auto"/>
          <w:sz w:val="21"/>
          <w:szCs w:val="21"/>
          <w:highlight w:val="none"/>
        </w:rPr>
        <w:t>（投标人名称）授权</w:t>
      </w:r>
      <w:r>
        <w:rPr>
          <w:rFonts w:ascii="Times New Roman" w:hAnsi="Times New Roman" w:eastAsia="宋体"/>
          <w:color w:val="auto"/>
          <w:sz w:val="21"/>
          <w:szCs w:val="21"/>
          <w:highlight w:val="none"/>
        </w:rPr>
        <w:t>________________</w:t>
      </w:r>
      <w:r>
        <w:rPr>
          <w:rFonts w:hint="eastAsia" w:ascii="Times New Roman" w:hAnsi="Times New Roman" w:eastAsia="宋体"/>
          <w:color w:val="auto"/>
          <w:sz w:val="21"/>
          <w:szCs w:val="21"/>
          <w:highlight w:val="none"/>
        </w:rPr>
        <w:t>（被授权人的姓名）为我方就（项目编号）号（项目名称）项目采购活动的合法代理人，以本公司名义全权处理一切与该项目采购有关的事务。</w:t>
      </w:r>
    </w:p>
    <w:p w14:paraId="6FB57F2E">
      <w:pPr>
        <w:pStyle w:val="212"/>
        <w:pageBreakBefore w:val="0"/>
        <w:spacing w:line="360" w:lineRule="auto"/>
        <w:ind w:firstLine="420"/>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本授权书于</w:t>
      </w:r>
      <w:r>
        <w:rPr>
          <w:rFonts w:ascii="Times New Roman" w:hAnsi="Times New Roman" w:eastAsia="宋体"/>
          <w:color w:val="auto"/>
          <w:sz w:val="21"/>
          <w:szCs w:val="21"/>
          <w:highlight w:val="none"/>
        </w:rPr>
        <w:t>______</w:t>
      </w:r>
      <w:r>
        <w:rPr>
          <w:rFonts w:hint="eastAsia" w:ascii="Times New Roman" w:hAnsi="Times New Roman" w:eastAsia="宋体"/>
          <w:color w:val="auto"/>
          <w:sz w:val="21"/>
          <w:szCs w:val="21"/>
          <w:highlight w:val="none"/>
        </w:rPr>
        <w:t>年</w:t>
      </w:r>
      <w:r>
        <w:rPr>
          <w:rFonts w:ascii="Times New Roman" w:hAnsi="Times New Roman" w:eastAsia="宋体"/>
          <w:color w:val="auto"/>
          <w:sz w:val="21"/>
          <w:szCs w:val="21"/>
          <w:highlight w:val="none"/>
        </w:rPr>
        <w:t>____</w:t>
      </w:r>
      <w:r>
        <w:rPr>
          <w:rFonts w:hint="eastAsia" w:ascii="Times New Roman" w:hAnsi="Times New Roman" w:eastAsia="宋体"/>
          <w:color w:val="auto"/>
          <w:sz w:val="21"/>
          <w:szCs w:val="21"/>
          <w:highlight w:val="none"/>
        </w:rPr>
        <w:t>月</w:t>
      </w:r>
      <w:r>
        <w:rPr>
          <w:rFonts w:ascii="Times New Roman" w:hAnsi="Times New Roman" w:eastAsia="宋体"/>
          <w:color w:val="auto"/>
          <w:sz w:val="21"/>
          <w:szCs w:val="21"/>
          <w:highlight w:val="none"/>
        </w:rPr>
        <w:t>____</w:t>
      </w:r>
      <w:r>
        <w:rPr>
          <w:rFonts w:hint="eastAsia" w:ascii="Times New Roman" w:hAnsi="Times New Roman" w:eastAsia="宋体"/>
          <w:color w:val="auto"/>
          <w:sz w:val="21"/>
          <w:szCs w:val="21"/>
          <w:highlight w:val="none"/>
        </w:rPr>
        <w:t>日起生效，特此声明。</w:t>
      </w:r>
    </w:p>
    <w:p w14:paraId="57AE0338">
      <w:pPr>
        <w:pStyle w:val="212"/>
        <w:pageBreakBefore w:val="0"/>
        <w:spacing w:line="360" w:lineRule="auto"/>
        <w:ind w:firstLine="0"/>
        <w:rPr>
          <w:rFonts w:ascii="Times New Roman" w:hAnsi="Times New Roman" w:eastAsia="宋体"/>
          <w:color w:val="auto"/>
          <w:sz w:val="21"/>
          <w:szCs w:val="21"/>
          <w:highlight w:val="none"/>
        </w:rPr>
      </w:pPr>
    </w:p>
    <w:p w14:paraId="58F8EE4C">
      <w:pPr>
        <w:pStyle w:val="212"/>
        <w:pageBreakBefore w:val="0"/>
        <w:spacing w:line="360" w:lineRule="auto"/>
        <w:ind w:firstLine="420"/>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被授权人姓名：</w:t>
      </w:r>
    </w:p>
    <w:p w14:paraId="5AEAB490">
      <w:pPr>
        <w:pStyle w:val="212"/>
        <w:pageBreakBefore w:val="0"/>
        <w:spacing w:line="360" w:lineRule="auto"/>
        <w:ind w:firstLine="420"/>
        <w:rPr>
          <w:rFonts w:ascii="Times New Roman" w:hAnsi="Times New Roman" w:eastAsia="宋体"/>
          <w:color w:val="auto"/>
          <w:sz w:val="21"/>
          <w:szCs w:val="21"/>
          <w:highlight w:val="none"/>
          <w:u w:val="single"/>
        </w:rPr>
      </w:pPr>
      <w:r>
        <w:rPr>
          <w:rFonts w:hint="eastAsia" w:ascii="Times New Roman" w:hAnsi="Times New Roman" w:eastAsia="宋体"/>
          <w:color w:val="auto"/>
          <w:sz w:val="21"/>
          <w:szCs w:val="21"/>
          <w:highlight w:val="none"/>
        </w:rPr>
        <w:t>联系电话（手机）：</w:t>
      </w:r>
    </w:p>
    <w:p w14:paraId="20FA9735">
      <w:pPr>
        <w:pStyle w:val="212"/>
        <w:pageBreakBefore w:val="0"/>
        <w:spacing w:line="360" w:lineRule="auto"/>
        <w:ind w:firstLine="420"/>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单位名称：</w:t>
      </w:r>
    </w:p>
    <w:p w14:paraId="7D9414AC">
      <w:pPr>
        <w:pStyle w:val="212"/>
        <w:pageBreakBefore w:val="0"/>
        <w:spacing w:line="360" w:lineRule="auto"/>
        <w:ind w:firstLine="420"/>
        <w:rPr>
          <w:rFonts w:ascii="Times New Roman" w:hAnsi="Times New Roman" w:eastAsia="宋体"/>
          <w:color w:val="auto"/>
          <w:sz w:val="21"/>
          <w:szCs w:val="21"/>
          <w:highlight w:val="none"/>
          <w:u w:val="single"/>
        </w:rPr>
      </w:pPr>
      <w:r>
        <w:rPr>
          <w:rFonts w:hint="eastAsia" w:ascii="Times New Roman" w:hAnsi="Times New Roman" w:eastAsia="宋体"/>
          <w:color w:val="auto"/>
          <w:sz w:val="21"/>
          <w:szCs w:val="21"/>
          <w:highlight w:val="none"/>
        </w:rPr>
        <w:t>单位地址：</w:t>
      </w:r>
    </w:p>
    <w:p w14:paraId="6F58BBF5">
      <w:pPr>
        <w:pStyle w:val="212"/>
        <w:pageBreakBefore w:val="0"/>
        <w:spacing w:line="360" w:lineRule="auto"/>
        <w:ind w:firstLine="420"/>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日期：</w:t>
      </w:r>
    </w:p>
    <w:p w14:paraId="4EF75D1A">
      <w:pPr>
        <w:pageBreakBefore w:val="0"/>
        <w:spacing w:line="360" w:lineRule="auto"/>
        <w:rPr>
          <w:rFonts w:ascii="Times New Roman" w:hAnsi="Times New Roman" w:eastAsia="宋体"/>
          <w:bCs/>
          <w:color w:val="auto"/>
          <w:highlight w:val="none"/>
        </w:rPr>
      </w:pPr>
    </w:p>
    <w:p w14:paraId="6DC29E8D">
      <w:pPr>
        <w:pageBreakBefore w:val="0"/>
        <w:spacing w:line="360" w:lineRule="auto"/>
        <w:ind w:firstLine="420"/>
        <w:rPr>
          <w:rFonts w:ascii="Times New Roman" w:hAnsi="Times New Roman" w:eastAsia="宋体"/>
          <w:color w:val="auto"/>
          <w:highlight w:val="none"/>
        </w:rPr>
      </w:pPr>
      <w:r>
        <w:rPr>
          <w:rFonts w:hint="eastAsia" w:ascii="Times New Roman" w:hAnsi="Times New Roman" w:eastAsia="宋体"/>
          <w:color w:val="auto"/>
          <w:highlight w:val="none"/>
        </w:rPr>
        <w:t>法定代表人身份证复印件</w:t>
      </w:r>
    </w:p>
    <w:p w14:paraId="61BD7D20">
      <w:pPr>
        <w:pageBreakBefore w:val="0"/>
        <w:spacing w:line="360" w:lineRule="auto"/>
        <w:rPr>
          <w:rFonts w:ascii="Times New Roman" w:hAnsi="Times New Roman" w:eastAsia="宋体"/>
          <w:bCs/>
          <w:color w:val="auto"/>
          <w:sz w:val="24"/>
          <w:highlight w:val="none"/>
        </w:rPr>
      </w:pPr>
    </w:p>
    <w:p w14:paraId="30466779">
      <w:pPr>
        <w:pageBreakBefore w:val="0"/>
        <w:spacing w:line="360" w:lineRule="auto"/>
        <w:ind w:firstLine="420"/>
        <w:rPr>
          <w:rFonts w:ascii="Times New Roman" w:hAnsi="Times New Roman" w:eastAsia="宋体"/>
          <w:bCs/>
          <w:color w:val="auto"/>
          <w:highlight w:val="none"/>
        </w:rPr>
      </w:pPr>
      <w:r>
        <w:rPr>
          <w:rFonts w:hint="eastAsia" w:ascii="Times New Roman" w:hAnsi="Times New Roman" w:eastAsia="宋体"/>
          <w:bCs/>
          <w:color w:val="auto"/>
          <w:highlight w:val="none"/>
        </w:rPr>
        <w:t>被授权人身份证复印件</w:t>
      </w:r>
    </w:p>
    <w:p w14:paraId="4B960B3F">
      <w:pPr>
        <w:pageBreakBefore w:val="0"/>
        <w:spacing w:line="360" w:lineRule="auto"/>
        <w:ind w:firstLine="420"/>
        <w:rPr>
          <w:rFonts w:ascii="Times New Roman" w:hAnsi="Times New Roman" w:eastAsia="宋体"/>
          <w:bCs/>
          <w:color w:val="auto"/>
          <w:highlight w:val="none"/>
        </w:rPr>
      </w:pPr>
    </w:p>
    <w:p w14:paraId="2FE6AA2D">
      <w:pPr>
        <w:pageBreakBefore w:val="0"/>
        <w:spacing w:line="360" w:lineRule="auto"/>
        <w:ind w:firstLine="420"/>
        <w:rPr>
          <w:rFonts w:ascii="Times New Roman" w:hAnsi="Times New Roman" w:eastAsia="宋体"/>
          <w:bCs/>
          <w:color w:val="auto"/>
          <w:highlight w:val="none"/>
        </w:rPr>
      </w:pPr>
    </w:p>
    <w:p w14:paraId="18BA8AC8">
      <w:pPr>
        <w:pageBreakBefore w:val="0"/>
        <w:spacing w:line="360" w:lineRule="auto"/>
        <w:ind w:firstLine="420"/>
        <w:rPr>
          <w:rFonts w:ascii="Times New Roman" w:hAnsi="Times New Roman" w:eastAsia="宋体"/>
          <w:bCs/>
          <w:color w:val="auto"/>
          <w:highlight w:val="none"/>
        </w:rPr>
      </w:pPr>
    </w:p>
    <w:p w14:paraId="68C6D72A">
      <w:pPr>
        <w:pageBreakBefore w:val="0"/>
        <w:pBdr>
          <w:top w:val="none" w:color="000000" w:sz="0" w:space="0"/>
          <w:left w:val="none" w:color="000000" w:sz="0" w:space="0"/>
          <w:bottom w:val="none" w:color="000000" w:sz="0" w:space="0"/>
          <w:right w:val="none" w:color="000000" w:sz="0" w:space="0"/>
        </w:pBdr>
        <w:spacing w:after="361" w:line="360" w:lineRule="auto"/>
        <w:jc w:val="center"/>
        <w:rPr>
          <w:rFonts w:ascii="Times New Roman" w:hAnsi="Times New Roman" w:eastAsia="宋体" w:cs="宋体"/>
          <w:b/>
          <w:color w:val="auto"/>
          <w:sz w:val="21"/>
          <w:szCs w:val="21"/>
          <w:highlight w:val="none"/>
        </w:rPr>
        <w:sectPr>
          <w:headerReference r:id="rId6" w:type="default"/>
          <w:pgSz w:w="11906" w:h="16838"/>
          <w:pgMar w:top="1440" w:right="1800" w:bottom="1440" w:left="1800" w:header="851" w:footer="992" w:gutter="0"/>
          <w:cols w:space="720" w:num="1"/>
          <w:docGrid w:linePitch="360" w:charSpace="0"/>
        </w:sectPr>
      </w:pPr>
    </w:p>
    <w:p w14:paraId="08B79E18">
      <w:pPr>
        <w:pageBreakBefore w:val="0"/>
        <w:pBdr>
          <w:top w:val="none" w:color="000000" w:sz="0" w:space="0"/>
          <w:left w:val="none" w:color="000000" w:sz="0" w:space="0"/>
          <w:bottom w:val="none" w:color="000000" w:sz="0" w:space="0"/>
          <w:right w:val="none" w:color="000000" w:sz="0" w:space="0"/>
        </w:pBdr>
        <w:spacing w:after="361" w:line="360" w:lineRule="auto"/>
        <w:jc w:val="center"/>
        <w:rPr>
          <w:rFonts w:ascii="Times New Roman" w:hAnsi="Times New Roman" w:eastAsia="宋体"/>
          <w:color w:val="auto"/>
          <w:sz w:val="21"/>
          <w:szCs w:val="21"/>
          <w:highlight w:val="none"/>
        </w:rPr>
      </w:pPr>
      <w:r>
        <w:rPr>
          <w:rFonts w:ascii="Times New Roman" w:hAnsi="Times New Roman" w:eastAsia="宋体" w:cs="宋体"/>
          <w:b/>
          <w:color w:val="auto"/>
          <w:sz w:val="21"/>
          <w:szCs w:val="21"/>
          <w:highlight w:val="none"/>
        </w:rPr>
        <w:t>中小企业声明函（服务类项目）（采购包号：**）</w:t>
      </w:r>
    </w:p>
    <w:p w14:paraId="11EB2FF8">
      <w:pPr>
        <w:pageBreakBefore w:val="0"/>
        <w:pBdr>
          <w:top w:val="none" w:color="000000" w:sz="0" w:space="0"/>
          <w:left w:val="none" w:color="000000" w:sz="0" w:space="0"/>
          <w:bottom w:val="none" w:color="000000" w:sz="0" w:space="0"/>
          <w:right w:val="none" w:color="000000" w:sz="0" w:space="0"/>
        </w:pBdr>
        <w:spacing w:line="360" w:lineRule="auto"/>
        <w:ind w:firstLine="360"/>
        <w:rPr>
          <w:rFonts w:ascii="Times New Roman" w:hAnsi="Times New Roman" w:eastAsia="宋体"/>
          <w:color w:val="auto"/>
          <w:sz w:val="21"/>
          <w:szCs w:val="21"/>
          <w:highlight w:val="none"/>
        </w:rPr>
      </w:pPr>
      <w:r>
        <w:rPr>
          <w:rFonts w:ascii="Times New Roman" w:hAnsi="Times New Roman" w:eastAsia="宋体" w:cs="宋体"/>
          <w:color w:val="auto"/>
          <w:sz w:val="21"/>
          <w:szCs w:val="21"/>
          <w:highlight w:val="none"/>
        </w:rPr>
        <w:t>本公司（联合体）郑重声明，根据《政府采购促进中小企业发展管理办法》(财库[2020]46号)的规定，本公司（联合体）参加</w:t>
      </w:r>
      <w:r>
        <w:rPr>
          <w:rFonts w:hint="eastAsia" w:ascii="Times New Roman" w:hAnsi="Times New Roman" w:cs="宋体"/>
          <w:color w:val="auto"/>
          <w:sz w:val="21"/>
          <w:szCs w:val="21"/>
          <w:highlight w:val="none"/>
          <w:lang w:eastAsia="zh-CN"/>
        </w:rPr>
        <w:t>江苏中瑞建设项目管理有限公司</w:t>
      </w:r>
      <w:r>
        <w:rPr>
          <w:rFonts w:ascii="Times New Roman" w:hAnsi="Times New Roman" w:eastAsia="宋体" w:cs="宋体"/>
          <w:color w:val="auto"/>
          <w:sz w:val="21"/>
          <w:szCs w:val="21"/>
          <w:highlight w:val="none"/>
        </w:rPr>
        <w:t>组织的</w:t>
      </w:r>
      <w:r>
        <w:rPr>
          <w:rFonts w:ascii="Times New Roman" w:hAnsi="Times New Roman" w:eastAsia="宋体" w:cs="宋体"/>
          <w:color w:val="auto"/>
          <w:sz w:val="21"/>
          <w:szCs w:val="21"/>
          <w:highlight w:val="none"/>
          <w:u w:val="single"/>
        </w:rPr>
        <w:t>（项目名称）（采购包号：**）</w:t>
      </w:r>
      <w:r>
        <w:rPr>
          <w:rFonts w:ascii="Times New Roman" w:hAnsi="Times New Roman" w:eastAsia="宋体" w:cs="宋体"/>
          <w:color w:val="auto"/>
          <w:sz w:val="21"/>
          <w:szCs w:val="21"/>
          <w:highlight w:val="none"/>
        </w:rPr>
        <w:t>的采购活动，服务全部由符合政策的中小企业承接。相关企业（含联合体中的中小企业、签订采购包意向协议的中小企业）的具体情况如下：</w:t>
      </w:r>
    </w:p>
    <w:p w14:paraId="233D919D">
      <w:pPr>
        <w:pageBreakBefore w:val="0"/>
        <w:pBdr>
          <w:top w:val="none" w:color="000000" w:sz="0" w:space="0"/>
          <w:left w:val="none" w:color="000000" w:sz="0" w:space="0"/>
          <w:bottom w:val="none" w:color="000000" w:sz="0" w:space="0"/>
          <w:right w:val="none" w:color="000000" w:sz="0" w:space="0"/>
        </w:pBdr>
        <w:spacing w:line="360" w:lineRule="auto"/>
        <w:ind w:firstLine="360"/>
        <w:rPr>
          <w:rFonts w:ascii="Times New Roman" w:hAnsi="Times New Roman" w:eastAsia="宋体"/>
          <w:color w:val="auto"/>
          <w:sz w:val="21"/>
          <w:szCs w:val="21"/>
          <w:highlight w:val="none"/>
        </w:rPr>
      </w:pPr>
      <w:r>
        <w:rPr>
          <w:rFonts w:ascii="Times New Roman" w:hAnsi="Times New Roman" w:eastAsia="宋体" w:cs="宋体"/>
          <w:color w:val="auto"/>
          <w:sz w:val="21"/>
          <w:szCs w:val="21"/>
          <w:highlight w:val="none"/>
        </w:rPr>
        <w:t>1.</w:t>
      </w:r>
      <w:r>
        <w:rPr>
          <w:rFonts w:ascii="Times New Roman" w:hAnsi="Times New Roman" w:eastAsia="宋体" w:cs="宋体"/>
          <w:color w:val="auto"/>
          <w:sz w:val="21"/>
          <w:szCs w:val="21"/>
          <w:highlight w:val="none"/>
          <w:u w:val="single"/>
        </w:rPr>
        <w:t>（标的名称）</w:t>
      </w:r>
      <w:r>
        <w:rPr>
          <w:rFonts w:ascii="Times New Roman" w:hAnsi="Times New Roman" w:eastAsia="宋体" w:cs="宋体"/>
          <w:i/>
          <w:color w:val="auto"/>
          <w:sz w:val="21"/>
          <w:szCs w:val="21"/>
          <w:highlight w:val="none"/>
        </w:rPr>
        <w:t>，</w:t>
      </w:r>
      <w:r>
        <w:rPr>
          <w:rFonts w:ascii="Times New Roman" w:hAnsi="Times New Roman" w:eastAsia="宋体" w:cs="宋体"/>
          <w:color w:val="auto"/>
          <w:sz w:val="21"/>
          <w:szCs w:val="21"/>
          <w:highlight w:val="none"/>
        </w:rPr>
        <w:t>属于</w:t>
      </w:r>
      <w:r>
        <w:rPr>
          <w:rFonts w:hint="eastAsia" w:ascii="Times New Roman" w:hAnsi="Times New Roman" w:eastAsia="宋体" w:cs="宋体"/>
          <w:color w:val="auto"/>
          <w:sz w:val="21"/>
          <w:szCs w:val="21"/>
          <w:highlight w:val="none"/>
          <w:u w:val="single"/>
          <w:lang w:val="en-US" w:eastAsia="zh-CN"/>
        </w:rPr>
        <w:t>其他未列明行业</w:t>
      </w:r>
      <w:r>
        <w:rPr>
          <w:rFonts w:ascii="Times New Roman" w:hAnsi="Times New Roman" w:eastAsia="宋体" w:cs="宋体"/>
          <w:color w:val="auto"/>
          <w:sz w:val="21"/>
          <w:szCs w:val="21"/>
          <w:highlight w:val="none"/>
        </w:rPr>
        <w:t>行业；承接企业为</w:t>
      </w:r>
      <w:r>
        <w:rPr>
          <w:rFonts w:ascii="Times New Roman" w:hAnsi="Times New Roman" w:eastAsia="宋体" w:cs="宋体"/>
          <w:color w:val="auto"/>
          <w:sz w:val="21"/>
          <w:szCs w:val="21"/>
          <w:highlight w:val="none"/>
          <w:u w:val="single"/>
        </w:rPr>
        <w:t>（企业名称）</w:t>
      </w:r>
      <w:r>
        <w:rPr>
          <w:rFonts w:ascii="Times New Roman" w:hAnsi="Times New Roman" w:eastAsia="宋体" w:cs="宋体"/>
          <w:color w:val="auto"/>
          <w:sz w:val="21"/>
          <w:szCs w:val="21"/>
          <w:highlight w:val="none"/>
        </w:rPr>
        <w:t>，从业人员</w:t>
      </w:r>
      <w:r>
        <w:rPr>
          <w:rFonts w:ascii="Times New Roman" w:hAnsi="Times New Roman" w:eastAsia="宋体" w:cs="宋体"/>
          <w:color w:val="auto"/>
          <w:sz w:val="21"/>
          <w:szCs w:val="21"/>
          <w:highlight w:val="none"/>
          <w:u w:val="single"/>
        </w:rPr>
        <w:t xml:space="preserve">      </w:t>
      </w:r>
      <w:r>
        <w:rPr>
          <w:rFonts w:ascii="Times New Roman" w:hAnsi="Times New Roman" w:eastAsia="宋体" w:cs="宋体"/>
          <w:color w:val="auto"/>
          <w:sz w:val="21"/>
          <w:szCs w:val="21"/>
          <w:highlight w:val="none"/>
        </w:rPr>
        <w:t>人，营业收入为</w:t>
      </w:r>
      <w:r>
        <w:rPr>
          <w:rFonts w:ascii="Times New Roman" w:hAnsi="Times New Roman" w:eastAsia="宋体" w:cs="宋体"/>
          <w:color w:val="auto"/>
          <w:sz w:val="21"/>
          <w:szCs w:val="21"/>
          <w:highlight w:val="none"/>
          <w:u w:val="single"/>
        </w:rPr>
        <w:t xml:space="preserve">     </w:t>
      </w:r>
      <w:r>
        <w:rPr>
          <w:rFonts w:ascii="Times New Roman" w:hAnsi="Times New Roman" w:eastAsia="宋体" w:cs="宋体"/>
          <w:color w:val="auto"/>
          <w:sz w:val="21"/>
          <w:szCs w:val="21"/>
          <w:highlight w:val="none"/>
        </w:rPr>
        <w:t>万元，资产总额为</w:t>
      </w:r>
      <w:r>
        <w:rPr>
          <w:rFonts w:ascii="Times New Roman" w:hAnsi="Times New Roman" w:eastAsia="宋体" w:cs="宋体"/>
          <w:color w:val="auto"/>
          <w:sz w:val="21"/>
          <w:szCs w:val="21"/>
          <w:highlight w:val="none"/>
          <w:u w:val="single"/>
        </w:rPr>
        <w:t xml:space="preserve">      </w:t>
      </w:r>
      <w:r>
        <w:rPr>
          <w:rFonts w:ascii="Times New Roman" w:hAnsi="Times New Roman" w:eastAsia="宋体" w:cs="宋体"/>
          <w:color w:val="auto"/>
          <w:sz w:val="21"/>
          <w:szCs w:val="21"/>
          <w:highlight w:val="none"/>
        </w:rPr>
        <w:t>万元</w:t>
      </w:r>
      <w:r>
        <w:rPr>
          <w:rFonts w:ascii="Times New Roman" w:hAnsi="Times New Roman" w:eastAsia="宋体" w:cs="宋体"/>
          <w:color w:val="auto"/>
          <w:sz w:val="21"/>
          <w:szCs w:val="21"/>
          <w:highlight w:val="none"/>
          <w:vertAlign w:val="superscript"/>
        </w:rPr>
        <w:t>1</w:t>
      </w:r>
      <w:r>
        <w:rPr>
          <w:rFonts w:ascii="Times New Roman" w:hAnsi="Times New Roman" w:eastAsia="宋体" w:cs="宋体"/>
          <w:color w:val="auto"/>
          <w:sz w:val="21"/>
          <w:szCs w:val="21"/>
          <w:highlight w:val="none"/>
        </w:rPr>
        <w:t>，属于</w:t>
      </w:r>
      <w:r>
        <w:rPr>
          <w:rFonts w:ascii="Times New Roman" w:hAnsi="Times New Roman" w:eastAsia="宋体" w:cs="宋体"/>
          <w:color w:val="auto"/>
          <w:sz w:val="21"/>
          <w:szCs w:val="21"/>
          <w:highlight w:val="none"/>
          <w:u w:val="single"/>
        </w:rPr>
        <w:t>（□中型企业 □小型企业 □微型企业）；</w:t>
      </w:r>
    </w:p>
    <w:p w14:paraId="01A163EF">
      <w:pPr>
        <w:pageBreakBefore w:val="0"/>
        <w:pBdr>
          <w:top w:val="none" w:color="000000" w:sz="0" w:space="0"/>
          <w:left w:val="none" w:color="000000" w:sz="0" w:space="0"/>
          <w:bottom w:val="none" w:color="000000" w:sz="0" w:space="0"/>
          <w:right w:val="none" w:color="000000" w:sz="0" w:space="0"/>
        </w:pBdr>
        <w:spacing w:line="360" w:lineRule="auto"/>
        <w:ind w:firstLine="360"/>
        <w:rPr>
          <w:rFonts w:ascii="Times New Roman" w:hAnsi="Times New Roman" w:eastAsia="宋体"/>
          <w:color w:val="auto"/>
          <w:sz w:val="21"/>
          <w:szCs w:val="21"/>
          <w:highlight w:val="none"/>
        </w:rPr>
      </w:pPr>
      <w:r>
        <w:rPr>
          <w:rFonts w:ascii="Times New Roman" w:hAnsi="Times New Roman" w:eastAsia="宋体" w:cs="宋体"/>
          <w:color w:val="auto"/>
          <w:sz w:val="21"/>
          <w:szCs w:val="21"/>
          <w:highlight w:val="none"/>
        </w:rPr>
        <w:t>2.</w:t>
      </w:r>
      <w:r>
        <w:rPr>
          <w:rFonts w:ascii="Times New Roman" w:hAnsi="Times New Roman" w:eastAsia="宋体" w:cs="宋体"/>
          <w:color w:val="auto"/>
          <w:sz w:val="21"/>
          <w:szCs w:val="21"/>
          <w:highlight w:val="none"/>
          <w:u w:val="single"/>
        </w:rPr>
        <w:t>（标的名称）</w:t>
      </w:r>
      <w:r>
        <w:rPr>
          <w:rFonts w:ascii="Times New Roman" w:hAnsi="Times New Roman" w:eastAsia="宋体" w:cs="宋体"/>
          <w:i/>
          <w:color w:val="auto"/>
          <w:sz w:val="21"/>
          <w:szCs w:val="21"/>
          <w:highlight w:val="none"/>
        </w:rPr>
        <w:t>，</w:t>
      </w:r>
      <w:r>
        <w:rPr>
          <w:rFonts w:ascii="Times New Roman" w:hAnsi="Times New Roman" w:eastAsia="宋体" w:cs="宋体"/>
          <w:color w:val="auto"/>
          <w:sz w:val="21"/>
          <w:szCs w:val="21"/>
          <w:highlight w:val="none"/>
        </w:rPr>
        <w:t>属于</w:t>
      </w:r>
      <w:r>
        <w:rPr>
          <w:rFonts w:ascii="Times New Roman" w:hAnsi="Times New Roman" w:eastAsia="宋体" w:cs="宋体"/>
          <w:color w:val="auto"/>
          <w:sz w:val="21"/>
          <w:szCs w:val="21"/>
          <w:highlight w:val="none"/>
          <w:u w:val="single"/>
        </w:rPr>
        <w:t>（供应商填写招标文件中明确的所属行业）</w:t>
      </w:r>
      <w:r>
        <w:rPr>
          <w:rFonts w:ascii="Times New Roman" w:hAnsi="Times New Roman" w:eastAsia="宋体" w:cs="宋体"/>
          <w:color w:val="auto"/>
          <w:sz w:val="21"/>
          <w:szCs w:val="21"/>
          <w:highlight w:val="none"/>
        </w:rPr>
        <w:t>行业；承接企业为</w:t>
      </w:r>
      <w:r>
        <w:rPr>
          <w:rFonts w:ascii="Times New Roman" w:hAnsi="Times New Roman" w:eastAsia="宋体" w:cs="宋体"/>
          <w:color w:val="auto"/>
          <w:sz w:val="21"/>
          <w:szCs w:val="21"/>
          <w:highlight w:val="none"/>
          <w:u w:val="single"/>
        </w:rPr>
        <w:t>（企业名称）</w:t>
      </w:r>
      <w:r>
        <w:rPr>
          <w:rFonts w:ascii="Times New Roman" w:hAnsi="Times New Roman" w:eastAsia="宋体" w:cs="宋体"/>
          <w:color w:val="auto"/>
          <w:sz w:val="21"/>
          <w:szCs w:val="21"/>
          <w:highlight w:val="none"/>
        </w:rPr>
        <w:t>，从业人员</w:t>
      </w:r>
      <w:r>
        <w:rPr>
          <w:rFonts w:ascii="Times New Roman" w:hAnsi="Times New Roman" w:eastAsia="宋体" w:cs="宋体"/>
          <w:color w:val="auto"/>
          <w:sz w:val="21"/>
          <w:szCs w:val="21"/>
          <w:highlight w:val="none"/>
          <w:u w:val="single"/>
        </w:rPr>
        <w:t xml:space="preserve">      </w:t>
      </w:r>
      <w:r>
        <w:rPr>
          <w:rFonts w:ascii="Times New Roman" w:hAnsi="Times New Roman" w:eastAsia="宋体" w:cs="宋体"/>
          <w:color w:val="auto"/>
          <w:sz w:val="21"/>
          <w:szCs w:val="21"/>
          <w:highlight w:val="none"/>
        </w:rPr>
        <w:t>人，营业收入为</w:t>
      </w:r>
      <w:r>
        <w:rPr>
          <w:rFonts w:ascii="Times New Roman" w:hAnsi="Times New Roman" w:eastAsia="宋体" w:cs="宋体"/>
          <w:color w:val="auto"/>
          <w:sz w:val="21"/>
          <w:szCs w:val="21"/>
          <w:highlight w:val="none"/>
          <w:u w:val="single"/>
        </w:rPr>
        <w:t xml:space="preserve">     </w:t>
      </w:r>
      <w:r>
        <w:rPr>
          <w:rFonts w:ascii="Times New Roman" w:hAnsi="Times New Roman" w:eastAsia="宋体" w:cs="宋体"/>
          <w:color w:val="auto"/>
          <w:sz w:val="21"/>
          <w:szCs w:val="21"/>
          <w:highlight w:val="none"/>
        </w:rPr>
        <w:t>万元，资产总额为</w:t>
      </w:r>
      <w:r>
        <w:rPr>
          <w:rFonts w:ascii="Times New Roman" w:hAnsi="Times New Roman" w:eastAsia="宋体" w:cs="宋体"/>
          <w:color w:val="auto"/>
          <w:sz w:val="21"/>
          <w:szCs w:val="21"/>
          <w:highlight w:val="none"/>
          <w:u w:val="single"/>
        </w:rPr>
        <w:t xml:space="preserve">      </w:t>
      </w:r>
      <w:r>
        <w:rPr>
          <w:rFonts w:ascii="Times New Roman" w:hAnsi="Times New Roman" w:eastAsia="宋体" w:cs="宋体"/>
          <w:color w:val="auto"/>
          <w:sz w:val="21"/>
          <w:szCs w:val="21"/>
          <w:highlight w:val="none"/>
        </w:rPr>
        <w:t>万元</w:t>
      </w:r>
      <w:r>
        <w:rPr>
          <w:rFonts w:ascii="Times New Roman" w:hAnsi="Times New Roman" w:eastAsia="宋体" w:cs="宋体"/>
          <w:color w:val="auto"/>
          <w:sz w:val="21"/>
          <w:szCs w:val="21"/>
          <w:highlight w:val="none"/>
          <w:vertAlign w:val="superscript"/>
        </w:rPr>
        <w:t>1</w:t>
      </w:r>
      <w:r>
        <w:rPr>
          <w:rFonts w:ascii="Times New Roman" w:hAnsi="Times New Roman" w:eastAsia="宋体" w:cs="宋体"/>
          <w:color w:val="auto"/>
          <w:sz w:val="21"/>
          <w:szCs w:val="21"/>
          <w:highlight w:val="none"/>
        </w:rPr>
        <w:t>，属于</w:t>
      </w:r>
      <w:r>
        <w:rPr>
          <w:rFonts w:ascii="Times New Roman" w:hAnsi="Times New Roman" w:eastAsia="宋体" w:cs="宋体"/>
          <w:color w:val="auto"/>
          <w:sz w:val="21"/>
          <w:szCs w:val="21"/>
          <w:highlight w:val="none"/>
          <w:u w:val="single"/>
        </w:rPr>
        <w:t>（□中型企业 □小型企业 □微型企业）；</w:t>
      </w:r>
    </w:p>
    <w:p w14:paraId="2170EE0E">
      <w:pPr>
        <w:pageBreakBefore w:val="0"/>
        <w:pBdr>
          <w:top w:val="none" w:color="000000" w:sz="0" w:space="0"/>
          <w:left w:val="none" w:color="000000" w:sz="0" w:space="0"/>
          <w:bottom w:val="none" w:color="000000" w:sz="0" w:space="0"/>
          <w:right w:val="none" w:color="000000" w:sz="0" w:space="0"/>
        </w:pBdr>
        <w:spacing w:line="360" w:lineRule="auto"/>
        <w:ind w:firstLine="360"/>
        <w:rPr>
          <w:rFonts w:ascii="Times New Roman" w:hAnsi="Times New Roman" w:eastAsia="宋体"/>
          <w:color w:val="auto"/>
          <w:sz w:val="21"/>
          <w:szCs w:val="21"/>
          <w:highlight w:val="none"/>
        </w:rPr>
      </w:pPr>
      <w:r>
        <w:rPr>
          <w:rFonts w:ascii="Times New Roman" w:hAnsi="Times New Roman" w:eastAsia="宋体" w:cs="宋体"/>
          <w:color w:val="auto"/>
          <w:sz w:val="21"/>
          <w:szCs w:val="21"/>
          <w:highlight w:val="none"/>
        </w:rPr>
        <w:t>……</w:t>
      </w:r>
    </w:p>
    <w:p w14:paraId="2B07B061">
      <w:pPr>
        <w:pageBreakBefore w:val="0"/>
        <w:pBdr>
          <w:top w:val="none" w:color="000000" w:sz="0" w:space="0"/>
          <w:left w:val="none" w:color="000000" w:sz="0" w:space="0"/>
          <w:bottom w:val="none" w:color="000000" w:sz="0" w:space="0"/>
          <w:right w:val="none" w:color="000000" w:sz="0" w:space="0"/>
        </w:pBdr>
        <w:spacing w:line="360" w:lineRule="auto"/>
        <w:ind w:firstLine="360"/>
        <w:rPr>
          <w:rFonts w:ascii="Times New Roman" w:hAnsi="Times New Roman" w:eastAsia="宋体"/>
          <w:color w:val="auto"/>
          <w:sz w:val="21"/>
          <w:szCs w:val="21"/>
          <w:highlight w:val="none"/>
        </w:rPr>
      </w:pPr>
      <w:r>
        <w:rPr>
          <w:rFonts w:ascii="Times New Roman" w:hAnsi="Times New Roman" w:eastAsia="宋体" w:cs="宋体"/>
          <w:color w:val="auto"/>
          <w:sz w:val="21"/>
          <w:szCs w:val="21"/>
          <w:highlight w:val="none"/>
        </w:rPr>
        <w:t>以上企业，不属于大企业的分支机构，不存在控股股东为大企业的情形，也不存在与大企业的负责人为同一人的情形。</w:t>
      </w:r>
    </w:p>
    <w:p w14:paraId="60CF0D63">
      <w:pPr>
        <w:pageBreakBefore w:val="0"/>
        <w:pBdr>
          <w:top w:val="none" w:color="000000" w:sz="0" w:space="0"/>
          <w:left w:val="none" w:color="000000" w:sz="0" w:space="0"/>
          <w:bottom w:val="none" w:color="000000" w:sz="0" w:space="0"/>
          <w:right w:val="none" w:color="000000" w:sz="0" w:space="0"/>
        </w:pBdr>
        <w:spacing w:line="360" w:lineRule="auto"/>
        <w:ind w:firstLine="360"/>
        <w:rPr>
          <w:rFonts w:ascii="Times New Roman" w:hAnsi="Times New Roman" w:eastAsia="宋体"/>
          <w:color w:val="auto"/>
          <w:sz w:val="21"/>
          <w:szCs w:val="21"/>
          <w:highlight w:val="none"/>
        </w:rPr>
      </w:pPr>
      <w:r>
        <w:rPr>
          <w:rFonts w:ascii="Times New Roman" w:hAnsi="Times New Roman" w:eastAsia="宋体" w:cs="宋体"/>
          <w:color w:val="auto"/>
          <w:sz w:val="21"/>
          <w:szCs w:val="21"/>
          <w:highlight w:val="none"/>
        </w:rPr>
        <w:t>本企业对上述声明内容的真实性负责。如有虚假，将依法承担相应责任</w:t>
      </w:r>
    </w:p>
    <w:p w14:paraId="1A14AE66">
      <w:pPr>
        <w:pageBreakBefore w:val="0"/>
        <w:pBdr>
          <w:top w:val="none" w:color="000000" w:sz="0" w:space="0"/>
          <w:left w:val="none" w:color="000000" w:sz="0" w:space="0"/>
          <w:bottom w:val="none" w:color="000000" w:sz="0" w:space="0"/>
          <w:right w:val="none" w:color="000000" w:sz="0" w:space="0"/>
        </w:pBdr>
        <w:spacing w:line="360" w:lineRule="auto"/>
        <w:ind w:right="72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w:t>
      </w:r>
    </w:p>
    <w:p w14:paraId="32E7B956">
      <w:pPr>
        <w:pageBreakBefore w:val="0"/>
        <w:pBdr>
          <w:top w:val="none" w:color="000000" w:sz="0" w:space="0"/>
          <w:left w:val="none" w:color="000000" w:sz="0" w:space="0"/>
          <w:bottom w:val="none" w:color="000000" w:sz="0" w:space="0"/>
          <w:right w:val="none" w:color="000000" w:sz="0" w:space="0"/>
        </w:pBdr>
        <w:spacing w:line="360" w:lineRule="auto"/>
        <w:ind w:right="180" w:firstLine="360"/>
        <w:jc w:val="right"/>
        <w:rPr>
          <w:rFonts w:ascii="Times New Roman" w:hAnsi="Times New Roman" w:eastAsia="宋体"/>
          <w:color w:val="auto"/>
          <w:sz w:val="21"/>
          <w:szCs w:val="21"/>
          <w:highlight w:val="none"/>
        </w:rPr>
      </w:pPr>
      <w:r>
        <w:rPr>
          <w:rFonts w:ascii="Times New Roman" w:hAnsi="Times New Roman" w:eastAsia="宋体" w:cs="宋体"/>
          <w:color w:val="auto"/>
          <w:sz w:val="21"/>
          <w:szCs w:val="21"/>
          <w:highlight w:val="none"/>
        </w:rPr>
        <w:t>企业名称（加盖CA电子公章）：</w:t>
      </w:r>
    </w:p>
    <w:p w14:paraId="38FEF2B0">
      <w:pPr>
        <w:pageBreakBefore w:val="0"/>
        <w:pBdr>
          <w:top w:val="none" w:color="000000" w:sz="0" w:space="0"/>
          <w:left w:val="none" w:color="000000" w:sz="0" w:space="0"/>
          <w:bottom w:val="none" w:color="000000" w:sz="0" w:space="0"/>
          <w:right w:val="none" w:color="000000" w:sz="0" w:space="0"/>
        </w:pBdr>
        <w:spacing w:line="360" w:lineRule="auto"/>
        <w:ind w:right="480" w:firstLine="5400"/>
        <w:rPr>
          <w:rFonts w:ascii="Times New Roman" w:hAnsi="Times New Roman" w:eastAsia="宋体"/>
          <w:color w:val="auto"/>
          <w:sz w:val="21"/>
          <w:szCs w:val="21"/>
          <w:highlight w:val="none"/>
        </w:rPr>
      </w:pPr>
      <w:r>
        <w:rPr>
          <w:rFonts w:ascii="Times New Roman" w:hAnsi="Times New Roman" w:eastAsia="宋体" w:cs="宋体"/>
          <w:color w:val="auto"/>
          <w:sz w:val="21"/>
          <w:szCs w:val="21"/>
          <w:highlight w:val="none"/>
        </w:rPr>
        <w:t>日  期：</w:t>
      </w:r>
    </w:p>
    <w:p w14:paraId="05D262EC">
      <w:pPr>
        <w:pageBreakBefore w:val="0"/>
        <w:pBdr>
          <w:top w:val="none" w:color="000000" w:sz="0" w:space="0"/>
          <w:left w:val="none" w:color="000000" w:sz="0" w:space="0"/>
          <w:bottom w:val="none" w:color="000000" w:sz="0" w:space="0"/>
          <w:right w:val="none" w:color="000000" w:sz="0" w:space="0"/>
        </w:pBdr>
        <w:spacing w:line="360" w:lineRule="auto"/>
        <w:ind w:firstLine="24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w:t>
      </w:r>
    </w:p>
    <w:p w14:paraId="49D025F1">
      <w:pPr>
        <w:pageBreakBefore w:val="0"/>
        <w:pBdr>
          <w:top w:val="none" w:color="000000" w:sz="0" w:space="0"/>
          <w:left w:val="none" w:color="000000" w:sz="0" w:space="0"/>
          <w:bottom w:val="none" w:color="000000" w:sz="0" w:space="0"/>
          <w:right w:val="none" w:color="000000" w:sz="0" w:space="0"/>
        </w:pBdr>
        <w:spacing w:line="360" w:lineRule="auto"/>
        <w:ind w:firstLine="480"/>
        <w:rPr>
          <w:rFonts w:ascii="Times New Roman" w:hAnsi="Times New Roman" w:eastAsia="宋体"/>
          <w:color w:val="auto"/>
          <w:sz w:val="21"/>
          <w:szCs w:val="21"/>
          <w:highlight w:val="none"/>
        </w:rPr>
      </w:pPr>
      <w:r>
        <w:rPr>
          <w:rFonts w:ascii="Times New Roman" w:hAnsi="Times New Roman" w:eastAsia="宋体" w:cs="宋体"/>
          <w:color w:val="auto"/>
          <w:sz w:val="21"/>
          <w:szCs w:val="21"/>
          <w:highlight w:val="none"/>
        </w:rPr>
        <w:t>备注：</w:t>
      </w:r>
    </w:p>
    <w:p w14:paraId="6822DB61">
      <w:pPr>
        <w:pageBreakBefore w:val="0"/>
        <w:pBdr>
          <w:top w:val="none" w:color="000000" w:sz="0" w:space="0"/>
          <w:left w:val="none" w:color="000000" w:sz="0" w:space="0"/>
          <w:bottom w:val="none" w:color="000000" w:sz="0" w:space="0"/>
          <w:right w:val="none" w:color="000000" w:sz="0" w:space="0"/>
        </w:pBdr>
        <w:spacing w:line="360" w:lineRule="auto"/>
        <w:ind w:firstLine="480"/>
        <w:rPr>
          <w:rFonts w:ascii="Times New Roman" w:hAnsi="Times New Roman" w:eastAsia="宋体"/>
          <w:color w:val="auto"/>
          <w:sz w:val="21"/>
          <w:szCs w:val="21"/>
          <w:highlight w:val="none"/>
        </w:rPr>
      </w:pPr>
      <w:r>
        <w:rPr>
          <w:rFonts w:ascii="Times New Roman" w:hAnsi="Times New Roman" w:eastAsia="宋体" w:cs="宋体"/>
          <w:color w:val="auto"/>
          <w:sz w:val="21"/>
          <w:szCs w:val="21"/>
          <w:highlight w:val="none"/>
        </w:rPr>
        <w:t>1.从业人员、营业收入、资产总额填报上一年度数据，无上一年度数据的新成立企业可不填报。</w:t>
      </w:r>
    </w:p>
    <w:p w14:paraId="6A13AF69">
      <w:pPr>
        <w:pageBreakBefore w:val="0"/>
        <w:pBdr>
          <w:top w:val="none" w:color="000000" w:sz="0" w:space="0"/>
          <w:left w:val="none" w:color="000000" w:sz="0" w:space="0"/>
          <w:bottom w:val="none" w:color="000000" w:sz="0" w:space="0"/>
          <w:right w:val="none" w:color="000000" w:sz="0" w:space="0"/>
        </w:pBdr>
        <w:spacing w:line="360" w:lineRule="auto"/>
        <w:ind w:firstLine="480"/>
        <w:rPr>
          <w:rFonts w:ascii="Times New Roman" w:hAnsi="Times New Roman" w:eastAsia="宋体"/>
          <w:color w:val="auto"/>
          <w:sz w:val="21"/>
          <w:szCs w:val="21"/>
          <w:highlight w:val="none"/>
        </w:rPr>
      </w:pPr>
      <w:r>
        <w:rPr>
          <w:rFonts w:ascii="Times New Roman" w:hAnsi="Times New Roman" w:eastAsia="宋体" w:cs="宋体"/>
          <w:color w:val="auto"/>
          <w:sz w:val="21"/>
          <w:szCs w:val="21"/>
          <w:highlight w:val="none"/>
        </w:rPr>
        <w:t>2.专门面向中小微型企业采购的项目，供应商如不提供此声明函，则不能通过资格审查；非专门面向中小微型企业采购的项目，供应商如不提供此声明函，价格将不做相应扣除。</w:t>
      </w:r>
    </w:p>
    <w:p w14:paraId="3251F289">
      <w:pPr>
        <w:pageBreakBefore w:val="0"/>
        <w:pBdr>
          <w:top w:val="none" w:color="000000" w:sz="0" w:space="0"/>
          <w:left w:val="none" w:color="000000" w:sz="0" w:space="0"/>
          <w:bottom w:val="none" w:color="000000" w:sz="0" w:space="0"/>
          <w:right w:val="none" w:color="000000" w:sz="0" w:space="0"/>
        </w:pBdr>
        <w:spacing w:line="360" w:lineRule="auto"/>
        <w:ind w:left="540" w:hanging="120"/>
        <w:rPr>
          <w:rFonts w:ascii="Times New Roman" w:hAnsi="Times New Roman" w:eastAsia="宋体"/>
          <w:color w:val="auto"/>
          <w:sz w:val="21"/>
          <w:szCs w:val="21"/>
          <w:highlight w:val="none"/>
        </w:rPr>
      </w:pPr>
      <w:r>
        <w:rPr>
          <w:rFonts w:ascii="Times New Roman" w:hAnsi="Times New Roman" w:eastAsia="宋体" w:cs="宋体"/>
          <w:color w:val="auto"/>
          <w:sz w:val="21"/>
          <w:szCs w:val="21"/>
          <w:highlight w:val="none"/>
        </w:rPr>
        <w:t>3.供应商应对照《工业和信息化部、国家统计局、国家发展和改革委员会、财政</w:t>
      </w:r>
    </w:p>
    <w:p w14:paraId="3E763991">
      <w:pPr>
        <w:pageBreakBefore w:val="0"/>
        <w:pBdr>
          <w:top w:val="none" w:color="000000" w:sz="0" w:space="0"/>
          <w:left w:val="none" w:color="000000" w:sz="0" w:space="0"/>
          <w:bottom w:val="none" w:color="000000" w:sz="0" w:space="0"/>
          <w:right w:val="none" w:color="000000" w:sz="0" w:space="0"/>
        </w:pBdr>
        <w:spacing w:line="360" w:lineRule="auto"/>
        <w:rPr>
          <w:rFonts w:ascii="Times New Roman" w:hAnsi="Times New Roman" w:eastAsia="宋体"/>
          <w:color w:val="auto"/>
          <w:sz w:val="21"/>
          <w:szCs w:val="21"/>
          <w:highlight w:val="none"/>
        </w:rPr>
      </w:pPr>
      <w:r>
        <w:rPr>
          <w:rFonts w:ascii="Times New Roman" w:hAnsi="Times New Roman" w:eastAsia="宋体" w:cs="宋体"/>
          <w:color w:val="auto"/>
          <w:sz w:val="21"/>
          <w:szCs w:val="21"/>
          <w:highlight w:val="none"/>
        </w:rPr>
        <w:t>部关于印发中小企业划型标准规定的通知》(工信部联企业[2011]300号)《国家统计局关于印发〈统计上大中小微型企业划分办法（2017）〉的通知》（国统字〔2017〕213号）的规定，自行勾选承接企业的企业规模类型。 </w:t>
      </w:r>
    </w:p>
    <w:p w14:paraId="6C04466F">
      <w:pPr>
        <w:pageBreakBefore w:val="0"/>
        <w:spacing w:line="360" w:lineRule="auto"/>
        <w:jc w:val="center"/>
        <w:rPr>
          <w:rStyle w:val="44"/>
          <w:rFonts w:ascii="Times New Roman" w:hAnsi="Times New Roman" w:eastAsia="宋体" w:cs="仿宋"/>
          <w:color w:val="auto"/>
          <w:szCs w:val="21"/>
          <w:highlight w:val="none"/>
        </w:rPr>
      </w:pPr>
      <w:r>
        <w:rPr>
          <w:rStyle w:val="44"/>
          <w:rFonts w:hint="eastAsia" w:ascii="Times New Roman" w:hAnsi="Times New Roman" w:eastAsia="宋体" w:cs="仿宋"/>
          <w:color w:val="auto"/>
          <w:szCs w:val="21"/>
          <w:highlight w:val="none"/>
        </w:rPr>
        <w:t>中小微企业划型标准</w:t>
      </w:r>
    </w:p>
    <w:p w14:paraId="1528076F">
      <w:pPr>
        <w:pStyle w:val="37"/>
        <w:pageBreakBefore w:val="0"/>
        <w:widowControl/>
        <w:spacing w:line="360" w:lineRule="auto"/>
        <w:ind w:firstLine="420"/>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中小微企业划型标准如下：</w:t>
      </w:r>
    </w:p>
    <w:tbl>
      <w:tblPr>
        <w:tblStyle w:val="41"/>
        <w:tblW w:w="8988"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446"/>
        <w:gridCol w:w="1739"/>
        <w:gridCol w:w="1181"/>
        <w:gridCol w:w="1413"/>
        <w:gridCol w:w="1709"/>
        <w:gridCol w:w="1500"/>
      </w:tblGrid>
      <w:tr w14:paraId="1996014C">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blCellSpacing w:w="15" w:type="dxa"/>
        </w:trPr>
        <w:tc>
          <w:tcPr>
            <w:tcW w:w="1401" w:type="dxa"/>
            <w:tcBorders>
              <w:top w:val="single" w:color="auto" w:sz="6" w:space="0"/>
              <w:left w:val="single" w:color="auto" w:sz="6" w:space="0"/>
              <w:bottom w:val="single" w:color="auto" w:sz="6" w:space="0"/>
              <w:right w:val="single" w:color="auto" w:sz="6" w:space="0"/>
            </w:tcBorders>
            <w:noWrap w:val="0"/>
            <w:tcMar>
              <w:top w:w="0" w:type="dxa"/>
              <w:left w:w="105" w:type="dxa"/>
              <w:bottom w:w="0" w:type="dxa"/>
              <w:right w:w="105" w:type="dxa"/>
            </w:tcMar>
            <w:vAlign w:val="center"/>
          </w:tcPr>
          <w:p w14:paraId="57CD4596">
            <w:pPr>
              <w:pStyle w:val="37"/>
              <w:pageBreakBefore w:val="0"/>
              <w:widowControl/>
              <w:spacing w:line="360" w:lineRule="auto"/>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行业名称</w:t>
            </w:r>
          </w:p>
        </w:tc>
        <w:tc>
          <w:tcPr>
            <w:tcW w:w="1709" w:type="dxa"/>
            <w:tcBorders>
              <w:top w:val="single" w:color="auto" w:sz="6" w:space="0"/>
              <w:left w:val="nil"/>
              <w:bottom w:val="single" w:color="999999" w:sz="6" w:space="0"/>
              <w:right w:val="single" w:color="999999" w:sz="6" w:space="0"/>
            </w:tcBorders>
            <w:noWrap w:val="0"/>
            <w:tcMar>
              <w:top w:w="0" w:type="dxa"/>
              <w:left w:w="105" w:type="dxa"/>
              <w:bottom w:w="0" w:type="dxa"/>
              <w:right w:w="105" w:type="dxa"/>
            </w:tcMar>
            <w:vAlign w:val="center"/>
          </w:tcPr>
          <w:p w14:paraId="263844B1">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指标名称</w:t>
            </w:r>
          </w:p>
        </w:tc>
        <w:tc>
          <w:tcPr>
            <w:tcW w:w="1151" w:type="dxa"/>
            <w:tcBorders>
              <w:top w:val="single" w:color="auto" w:sz="6" w:space="0"/>
              <w:left w:val="nil"/>
              <w:bottom w:val="single" w:color="999999" w:sz="6" w:space="0"/>
              <w:right w:val="single" w:color="999999" w:sz="6" w:space="0"/>
            </w:tcBorders>
            <w:noWrap w:val="0"/>
            <w:tcMar>
              <w:top w:w="0" w:type="dxa"/>
              <w:left w:w="105" w:type="dxa"/>
              <w:bottom w:w="0" w:type="dxa"/>
              <w:right w:w="105" w:type="dxa"/>
            </w:tcMar>
            <w:vAlign w:val="center"/>
          </w:tcPr>
          <w:p w14:paraId="398A0DD2">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计量单位</w:t>
            </w:r>
          </w:p>
        </w:tc>
        <w:tc>
          <w:tcPr>
            <w:tcW w:w="1383" w:type="dxa"/>
            <w:tcBorders>
              <w:top w:val="single" w:color="auto" w:sz="6" w:space="0"/>
              <w:left w:val="nil"/>
              <w:bottom w:val="single" w:color="999999" w:sz="6" w:space="0"/>
              <w:right w:val="single" w:color="999999" w:sz="6" w:space="0"/>
            </w:tcBorders>
            <w:noWrap w:val="0"/>
            <w:tcMar>
              <w:top w:w="0" w:type="dxa"/>
              <w:left w:w="105" w:type="dxa"/>
              <w:bottom w:w="0" w:type="dxa"/>
              <w:right w:w="105" w:type="dxa"/>
            </w:tcMar>
            <w:vAlign w:val="center"/>
          </w:tcPr>
          <w:p w14:paraId="427359B3">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中型</w:t>
            </w:r>
          </w:p>
        </w:tc>
        <w:tc>
          <w:tcPr>
            <w:tcW w:w="1679" w:type="dxa"/>
            <w:tcBorders>
              <w:top w:val="single" w:color="auto" w:sz="6" w:space="0"/>
              <w:left w:val="nil"/>
              <w:bottom w:val="single" w:color="999999" w:sz="6" w:space="0"/>
              <w:right w:val="single" w:color="999999" w:sz="6" w:space="0"/>
            </w:tcBorders>
            <w:noWrap w:val="0"/>
            <w:tcMar>
              <w:top w:w="0" w:type="dxa"/>
              <w:left w:w="105" w:type="dxa"/>
              <w:bottom w:w="0" w:type="dxa"/>
              <w:right w:w="105" w:type="dxa"/>
            </w:tcMar>
            <w:vAlign w:val="center"/>
          </w:tcPr>
          <w:p w14:paraId="6043C9B0">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小型</w:t>
            </w:r>
          </w:p>
        </w:tc>
        <w:tc>
          <w:tcPr>
            <w:tcW w:w="1455" w:type="dxa"/>
            <w:tcBorders>
              <w:top w:val="single" w:color="auto" w:sz="6" w:space="0"/>
              <w:left w:val="nil"/>
              <w:bottom w:val="single" w:color="999999" w:sz="6" w:space="0"/>
              <w:right w:val="single" w:color="999999" w:sz="6" w:space="0"/>
            </w:tcBorders>
            <w:noWrap w:val="0"/>
            <w:tcMar>
              <w:top w:w="0" w:type="dxa"/>
              <w:left w:w="105" w:type="dxa"/>
              <w:bottom w:w="0" w:type="dxa"/>
              <w:right w:w="105" w:type="dxa"/>
            </w:tcMar>
            <w:vAlign w:val="center"/>
          </w:tcPr>
          <w:p w14:paraId="102D9531">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微型</w:t>
            </w:r>
          </w:p>
        </w:tc>
      </w:tr>
      <w:tr w14:paraId="0DD41A8B">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center"/>
          </w:tcPr>
          <w:p w14:paraId="7152FCFB">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农、林、牧、渔</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D9556B3">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营业收入（Y）</w:t>
            </w:r>
          </w:p>
        </w:tc>
        <w:tc>
          <w:tcPr>
            <w:tcW w:w="115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38234AC">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万元</w:t>
            </w:r>
          </w:p>
        </w:tc>
        <w:tc>
          <w:tcPr>
            <w:tcW w:w="138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DA72E70">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500≤Y＜20000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787417C">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50≤Y＜500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352C169">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Y＜50</w:t>
            </w:r>
          </w:p>
        </w:tc>
      </w:tr>
      <w:tr w14:paraId="04EFFF91">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center"/>
          </w:tcPr>
          <w:p w14:paraId="131D4EBA">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工业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C6BE3F5">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从业人员（X）</w:t>
            </w:r>
          </w:p>
        </w:tc>
        <w:tc>
          <w:tcPr>
            <w:tcW w:w="115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92FF948">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人</w:t>
            </w:r>
          </w:p>
        </w:tc>
        <w:tc>
          <w:tcPr>
            <w:tcW w:w="138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5E54EE6">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300≤X＜1000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290A39E">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20≤X＜300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0762EF6">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X＜20</w:t>
            </w:r>
          </w:p>
        </w:tc>
      </w:tr>
      <w:tr w14:paraId="31D23D4D">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14:paraId="1BC96A46">
            <w:pPr>
              <w:pageBreakBefore w:val="0"/>
              <w:widowControl/>
              <w:spacing w:line="360" w:lineRule="auto"/>
              <w:jc w:val="center"/>
              <w:rPr>
                <w:rFonts w:ascii="Times New Roman" w:hAnsi="Times New Roman" w:eastAsia="宋体"/>
                <w:color w:val="auto"/>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457A526">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营业收入（Y）</w:t>
            </w:r>
          </w:p>
        </w:tc>
        <w:tc>
          <w:tcPr>
            <w:tcW w:w="115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7579E62">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万元</w:t>
            </w:r>
          </w:p>
        </w:tc>
        <w:tc>
          <w:tcPr>
            <w:tcW w:w="138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52D2C9B">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2000≤Y＜40000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F9AFA38">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300≤Y＜2000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8FC77F6">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Y＜300</w:t>
            </w:r>
          </w:p>
        </w:tc>
      </w:tr>
      <w:tr w14:paraId="592EE037">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center"/>
          </w:tcPr>
          <w:p w14:paraId="1768D76D">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建筑业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4B9A4B6">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营业收入（Y）</w:t>
            </w:r>
          </w:p>
        </w:tc>
        <w:tc>
          <w:tcPr>
            <w:tcW w:w="115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2E65246">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万元</w:t>
            </w:r>
          </w:p>
        </w:tc>
        <w:tc>
          <w:tcPr>
            <w:tcW w:w="138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E805BBD">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6000≤Y＜80000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CC9A7AF">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300≤Y＜6000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B0778BD">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Y＜300</w:t>
            </w:r>
          </w:p>
        </w:tc>
      </w:tr>
      <w:tr w14:paraId="154692D8">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14:paraId="247A0690">
            <w:pPr>
              <w:pageBreakBefore w:val="0"/>
              <w:widowControl/>
              <w:spacing w:line="360" w:lineRule="auto"/>
              <w:jc w:val="center"/>
              <w:rPr>
                <w:rFonts w:ascii="Times New Roman" w:hAnsi="Times New Roman" w:eastAsia="宋体"/>
                <w:color w:val="auto"/>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C350881">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资产总额（Z）</w:t>
            </w:r>
          </w:p>
        </w:tc>
        <w:tc>
          <w:tcPr>
            <w:tcW w:w="115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5DC1C7F">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万元</w:t>
            </w:r>
          </w:p>
        </w:tc>
        <w:tc>
          <w:tcPr>
            <w:tcW w:w="138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FBC59EE">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5000≤Z＜80000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2907D0C">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300≤Z＜5000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82BF710">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Z＜300</w:t>
            </w:r>
          </w:p>
        </w:tc>
      </w:tr>
      <w:tr w14:paraId="20AAFEFF">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center"/>
          </w:tcPr>
          <w:p w14:paraId="5E6A40E7">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批发业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C48C608">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从业人员（X）</w:t>
            </w:r>
          </w:p>
        </w:tc>
        <w:tc>
          <w:tcPr>
            <w:tcW w:w="115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7BE3C45">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人</w:t>
            </w:r>
          </w:p>
        </w:tc>
        <w:tc>
          <w:tcPr>
            <w:tcW w:w="138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C9AFC28">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20≤X＜200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52333FF">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5≤X＜20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12DD02B">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X＜5</w:t>
            </w:r>
          </w:p>
        </w:tc>
      </w:tr>
      <w:tr w14:paraId="6E91BEA4">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14:paraId="088A7BD1">
            <w:pPr>
              <w:pageBreakBefore w:val="0"/>
              <w:widowControl/>
              <w:spacing w:line="360" w:lineRule="auto"/>
              <w:jc w:val="center"/>
              <w:rPr>
                <w:rFonts w:ascii="Times New Roman" w:hAnsi="Times New Roman" w:eastAsia="宋体"/>
                <w:color w:val="auto"/>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2DD3F7E">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营业收入（Y）</w:t>
            </w:r>
          </w:p>
        </w:tc>
        <w:tc>
          <w:tcPr>
            <w:tcW w:w="115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D9AC32E">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万元</w:t>
            </w:r>
          </w:p>
        </w:tc>
        <w:tc>
          <w:tcPr>
            <w:tcW w:w="138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8663944">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5000≤Y＜40000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55B2F6B">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1000≤Y＜5000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B3979E6">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Y＜1000</w:t>
            </w:r>
          </w:p>
        </w:tc>
      </w:tr>
      <w:tr w14:paraId="0056A4EE">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center"/>
          </w:tcPr>
          <w:p w14:paraId="3AB83B01">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零售业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C540C71">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从业人员（X）</w:t>
            </w:r>
          </w:p>
        </w:tc>
        <w:tc>
          <w:tcPr>
            <w:tcW w:w="115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5461FAC">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人</w:t>
            </w:r>
          </w:p>
        </w:tc>
        <w:tc>
          <w:tcPr>
            <w:tcW w:w="138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AD41B30">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50≤X＜300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3634FE2">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10≤X＜50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4F225D1">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X＜10</w:t>
            </w:r>
          </w:p>
        </w:tc>
      </w:tr>
      <w:tr w14:paraId="7C334C70">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14:paraId="6491B236">
            <w:pPr>
              <w:pageBreakBefore w:val="0"/>
              <w:widowControl/>
              <w:spacing w:line="360" w:lineRule="auto"/>
              <w:jc w:val="center"/>
              <w:rPr>
                <w:rFonts w:ascii="Times New Roman" w:hAnsi="Times New Roman" w:eastAsia="宋体"/>
                <w:color w:val="auto"/>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BC5AB2A">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营业收入（Y）</w:t>
            </w:r>
          </w:p>
        </w:tc>
        <w:tc>
          <w:tcPr>
            <w:tcW w:w="115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FFBB263">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万元</w:t>
            </w:r>
          </w:p>
        </w:tc>
        <w:tc>
          <w:tcPr>
            <w:tcW w:w="138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6365500">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500≤Y＜20000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5F00050">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100≤Y＜500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B885B12">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Y＜100</w:t>
            </w:r>
          </w:p>
        </w:tc>
      </w:tr>
      <w:tr w14:paraId="56DA47D7">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center"/>
          </w:tcPr>
          <w:p w14:paraId="6E8EE250">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交通运输业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00C6F41">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从业人员（X）</w:t>
            </w:r>
          </w:p>
        </w:tc>
        <w:tc>
          <w:tcPr>
            <w:tcW w:w="115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B94B2A8">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人</w:t>
            </w:r>
          </w:p>
        </w:tc>
        <w:tc>
          <w:tcPr>
            <w:tcW w:w="138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4C65D37">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300≤X＜1000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E1CCE26">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20≤X＜300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E9FE657">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X＜20</w:t>
            </w:r>
          </w:p>
        </w:tc>
      </w:tr>
      <w:tr w14:paraId="1561633D">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14:paraId="546FF698">
            <w:pPr>
              <w:pageBreakBefore w:val="0"/>
              <w:widowControl/>
              <w:spacing w:line="360" w:lineRule="auto"/>
              <w:jc w:val="center"/>
              <w:rPr>
                <w:rFonts w:ascii="Times New Roman" w:hAnsi="Times New Roman" w:eastAsia="宋体"/>
                <w:color w:val="auto"/>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823116E">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营业收入（Y）</w:t>
            </w:r>
          </w:p>
        </w:tc>
        <w:tc>
          <w:tcPr>
            <w:tcW w:w="115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AA908FC">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万元</w:t>
            </w:r>
          </w:p>
        </w:tc>
        <w:tc>
          <w:tcPr>
            <w:tcW w:w="138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DE6CA6A">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3000≤Y＜30000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5F1DE72">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200≤Y＜3000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CDDD100">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Y＜200</w:t>
            </w:r>
          </w:p>
        </w:tc>
      </w:tr>
      <w:tr w14:paraId="0D87CFDD">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center"/>
          </w:tcPr>
          <w:p w14:paraId="16320B89">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仓储业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A76EF02">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从业人员（X）</w:t>
            </w:r>
          </w:p>
        </w:tc>
        <w:tc>
          <w:tcPr>
            <w:tcW w:w="115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F4DF537">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人</w:t>
            </w:r>
          </w:p>
        </w:tc>
        <w:tc>
          <w:tcPr>
            <w:tcW w:w="138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5C97F46">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100≤X＜200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D386746">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20≤X＜100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931B9EB">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X＜20</w:t>
            </w:r>
          </w:p>
        </w:tc>
      </w:tr>
      <w:tr w14:paraId="63865D88">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14:paraId="58F91E76">
            <w:pPr>
              <w:pageBreakBefore w:val="0"/>
              <w:widowControl/>
              <w:spacing w:line="360" w:lineRule="auto"/>
              <w:jc w:val="center"/>
              <w:rPr>
                <w:rFonts w:ascii="Times New Roman" w:hAnsi="Times New Roman" w:eastAsia="宋体"/>
                <w:color w:val="auto"/>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4CB0576">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营业收入（Y）</w:t>
            </w:r>
          </w:p>
        </w:tc>
        <w:tc>
          <w:tcPr>
            <w:tcW w:w="115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895A61C">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万元</w:t>
            </w:r>
          </w:p>
        </w:tc>
        <w:tc>
          <w:tcPr>
            <w:tcW w:w="138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215B0F0">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1000≤Y＜30000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EAB7E08">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100≤Y＜1000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D37DAFE">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Y＜100</w:t>
            </w:r>
          </w:p>
        </w:tc>
      </w:tr>
      <w:tr w14:paraId="49163054">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center"/>
          </w:tcPr>
          <w:p w14:paraId="6B791215">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邮政业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B072E71">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从业人员（X）</w:t>
            </w:r>
          </w:p>
        </w:tc>
        <w:tc>
          <w:tcPr>
            <w:tcW w:w="115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253BE85">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人</w:t>
            </w:r>
          </w:p>
        </w:tc>
        <w:tc>
          <w:tcPr>
            <w:tcW w:w="138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E90C317">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300≤X＜1000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1C48902">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20≤X＜300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A69AE39">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X＜20</w:t>
            </w:r>
          </w:p>
        </w:tc>
      </w:tr>
      <w:tr w14:paraId="3F2448ED">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14:paraId="52E798FB">
            <w:pPr>
              <w:pageBreakBefore w:val="0"/>
              <w:widowControl/>
              <w:spacing w:line="360" w:lineRule="auto"/>
              <w:jc w:val="center"/>
              <w:rPr>
                <w:rFonts w:ascii="Times New Roman" w:hAnsi="Times New Roman" w:eastAsia="宋体"/>
                <w:color w:val="auto"/>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9322AFE">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营业收入（Y）</w:t>
            </w:r>
          </w:p>
        </w:tc>
        <w:tc>
          <w:tcPr>
            <w:tcW w:w="115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9947190">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万元</w:t>
            </w:r>
          </w:p>
        </w:tc>
        <w:tc>
          <w:tcPr>
            <w:tcW w:w="138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4AE0D49">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2000≤Y＜30000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C98FA74">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100≤Y＜2000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F10076A">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Y＜100</w:t>
            </w:r>
          </w:p>
        </w:tc>
      </w:tr>
      <w:tr w14:paraId="4DDB3415">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center"/>
          </w:tcPr>
          <w:p w14:paraId="023A0FC3">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住宿业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26C2E73">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从业人员（X）</w:t>
            </w:r>
          </w:p>
        </w:tc>
        <w:tc>
          <w:tcPr>
            <w:tcW w:w="115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407EF64">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人</w:t>
            </w:r>
          </w:p>
        </w:tc>
        <w:tc>
          <w:tcPr>
            <w:tcW w:w="138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BDA0D31">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100≤X＜300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679DC6E">
            <w:pPr>
              <w:pStyle w:val="37"/>
              <w:pageBreakBefore w:val="0"/>
              <w:widowControl/>
              <w:spacing w:line="360" w:lineRule="auto"/>
              <w:ind w:firstLine="420"/>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10≤X＜100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B65B87F">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X＜10</w:t>
            </w:r>
          </w:p>
        </w:tc>
      </w:tr>
      <w:tr w14:paraId="4021040B">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14:paraId="11C76023">
            <w:pPr>
              <w:pageBreakBefore w:val="0"/>
              <w:widowControl/>
              <w:spacing w:line="360" w:lineRule="auto"/>
              <w:jc w:val="center"/>
              <w:rPr>
                <w:rFonts w:ascii="Times New Roman" w:hAnsi="Times New Roman" w:eastAsia="宋体"/>
                <w:color w:val="auto"/>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FD0307D">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营业收入（Y）</w:t>
            </w:r>
          </w:p>
        </w:tc>
        <w:tc>
          <w:tcPr>
            <w:tcW w:w="115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3680363">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万元</w:t>
            </w:r>
          </w:p>
        </w:tc>
        <w:tc>
          <w:tcPr>
            <w:tcW w:w="138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BB3AA4C">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2000≤Y＜10000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F6568FC">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100≤Y＜2000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DD5E237">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Y＜100</w:t>
            </w:r>
          </w:p>
        </w:tc>
      </w:tr>
      <w:tr w14:paraId="18C1601C">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center"/>
          </w:tcPr>
          <w:p w14:paraId="04814614">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餐饮业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95FDEA5">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从业人员（X）</w:t>
            </w:r>
          </w:p>
        </w:tc>
        <w:tc>
          <w:tcPr>
            <w:tcW w:w="115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E9200EA">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人</w:t>
            </w:r>
          </w:p>
        </w:tc>
        <w:tc>
          <w:tcPr>
            <w:tcW w:w="138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8D58C02">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100≤X＜300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B0E73D4">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10≤X＜100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4BA362C">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X＜10</w:t>
            </w:r>
          </w:p>
        </w:tc>
      </w:tr>
      <w:tr w14:paraId="052740AF">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14:paraId="4F0FB7E8">
            <w:pPr>
              <w:pageBreakBefore w:val="0"/>
              <w:widowControl/>
              <w:spacing w:line="360" w:lineRule="auto"/>
              <w:jc w:val="center"/>
              <w:rPr>
                <w:rFonts w:ascii="Times New Roman" w:hAnsi="Times New Roman" w:eastAsia="宋体"/>
                <w:color w:val="auto"/>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9695A74">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营业收入（Y）</w:t>
            </w:r>
          </w:p>
        </w:tc>
        <w:tc>
          <w:tcPr>
            <w:tcW w:w="115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2E391D8">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万元</w:t>
            </w:r>
          </w:p>
        </w:tc>
        <w:tc>
          <w:tcPr>
            <w:tcW w:w="138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13D5155">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2000≤Y＜10000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7439BC3">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100≤Y＜2000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C793F9A">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Y＜100</w:t>
            </w:r>
          </w:p>
        </w:tc>
      </w:tr>
      <w:tr w14:paraId="0AA33C85">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center"/>
          </w:tcPr>
          <w:p w14:paraId="7807FF7A">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信息传输业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629D091">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从业人员（X）</w:t>
            </w:r>
          </w:p>
        </w:tc>
        <w:tc>
          <w:tcPr>
            <w:tcW w:w="115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B9026E3">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人</w:t>
            </w:r>
          </w:p>
        </w:tc>
        <w:tc>
          <w:tcPr>
            <w:tcW w:w="138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A573186">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100≤X＜2000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62A3C4D">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10≤X＜100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FCACB27">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X＜10</w:t>
            </w:r>
          </w:p>
        </w:tc>
      </w:tr>
      <w:tr w14:paraId="4D9E8254">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14:paraId="2F915BFD">
            <w:pPr>
              <w:pageBreakBefore w:val="0"/>
              <w:widowControl/>
              <w:spacing w:line="360" w:lineRule="auto"/>
              <w:jc w:val="center"/>
              <w:rPr>
                <w:rFonts w:ascii="Times New Roman" w:hAnsi="Times New Roman" w:eastAsia="宋体"/>
                <w:color w:val="auto"/>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36B212A">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营业收入（Y）</w:t>
            </w:r>
          </w:p>
        </w:tc>
        <w:tc>
          <w:tcPr>
            <w:tcW w:w="115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CCA66B1">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万元</w:t>
            </w:r>
          </w:p>
        </w:tc>
        <w:tc>
          <w:tcPr>
            <w:tcW w:w="138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844AC13">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1000≤Y＜100000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1BEC6EF">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100≤Y＜1000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9978A43">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Y＜100</w:t>
            </w:r>
          </w:p>
        </w:tc>
      </w:tr>
      <w:tr w14:paraId="0553E6BD">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center"/>
          </w:tcPr>
          <w:p w14:paraId="0C46D364">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软件和信息技术服务业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CFF1C64">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从业人员（X）</w:t>
            </w:r>
          </w:p>
        </w:tc>
        <w:tc>
          <w:tcPr>
            <w:tcW w:w="115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35B52AC">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人</w:t>
            </w:r>
          </w:p>
        </w:tc>
        <w:tc>
          <w:tcPr>
            <w:tcW w:w="138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F94AFF0">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100≤X＜300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556E10E">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10≤X＜100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FCAA19B">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X＜10</w:t>
            </w:r>
          </w:p>
        </w:tc>
      </w:tr>
      <w:tr w14:paraId="6E52146D">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14:paraId="5A92FF8C">
            <w:pPr>
              <w:pageBreakBefore w:val="0"/>
              <w:widowControl/>
              <w:spacing w:line="360" w:lineRule="auto"/>
              <w:jc w:val="center"/>
              <w:rPr>
                <w:rFonts w:ascii="Times New Roman" w:hAnsi="Times New Roman" w:eastAsia="宋体"/>
                <w:color w:val="auto"/>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E68F07F">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营业收入（Y）</w:t>
            </w:r>
          </w:p>
        </w:tc>
        <w:tc>
          <w:tcPr>
            <w:tcW w:w="115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2AA346E">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万元</w:t>
            </w:r>
          </w:p>
        </w:tc>
        <w:tc>
          <w:tcPr>
            <w:tcW w:w="138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10938A6">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1000≤Y＜10000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7075B76">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50≤Y＜1000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E689F1E">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Y＜50</w:t>
            </w:r>
          </w:p>
        </w:tc>
      </w:tr>
      <w:tr w14:paraId="1E2461D7">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center"/>
          </w:tcPr>
          <w:p w14:paraId="3B4C4857">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房地产开发经营</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DE5A720">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营业收入（Y）</w:t>
            </w:r>
          </w:p>
        </w:tc>
        <w:tc>
          <w:tcPr>
            <w:tcW w:w="115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BA9BABC">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万元</w:t>
            </w:r>
          </w:p>
        </w:tc>
        <w:tc>
          <w:tcPr>
            <w:tcW w:w="138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B0A8902">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1000≤Y＜200000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D3A5F38">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100≤X＜1000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0251981">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X＜100</w:t>
            </w:r>
          </w:p>
        </w:tc>
      </w:tr>
      <w:tr w14:paraId="1325FDD3">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14:paraId="4DA4EB19">
            <w:pPr>
              <w:pageBreakBefore w:val="0"/>
              <w:widowControl/>
              <w:spacing w:line="360" w:lineRule="auto"/>
              <w:jc w:val="center"/>
              <w:rPr>
                <w:rFonts w:ascii="Times New Roman" w:hAnsi="Times New Roman" w:eastAsia="宋体"/>
                <w:color w:val="auto"/>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87A0B59">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资产总额（Z）</w:t>
            </w:r>
          </w:p>
        </w:tc>
        <w:tc>
          <w:tcPr>
            <w:tcW w:w="115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E4823BA">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万元</w:t>
            </w:r>
          </w:p>
        </w:tc>
        <w:tc>
          <w:tcPr>
            <w:tcW w:w="138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64F96B5">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5000≤Z＜10000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0BE6ABC">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2000≤Y＜5000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4737E47">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Y＜2000</w:t>
            </w:r>
          </w:p>
        </w:tc>
      </w:tr>
      <w:tr w14:paraId="1B116A6E">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center"/>
          </w:tcPr>
          <w:p w14:paraId="6E2F0D49">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物业管理</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0EABAE1">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从业人员（X）</w:t>
            </w:r>
          </w:p>
        </w:tc>
        <w:tc>
          <w:tcPr>
            <w:tcW w:w="115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B4BF7A7">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人</w:t>
            </w:r>
          </w:p>
        </w:tc>
        <w:tc>
          <w:tcPr>
            <w:tcW w:w="138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61D4174">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300≤X＜1000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596A005">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100≤X＜300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CF6474E">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X＜100</w:t>
            </w:r>
          </w:p>
        </w:tc>
      </w:tr>
      <w:tr w14:paraId="64CCF946">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14:paraId="43191FA1">
            <w:pPr>
              <w:pageBreakBefore w:val="0"/>
              <w:widowControl/>
              <w:spacing w:line="360" w:lineRule="auto"/>
              <w:jc w:val="center"/>
              <w:rPr>
                <w:rFonts w:ascii="Times New Roman" w:hAnsi="Times New Roman" w:eastAsia="宋体"/>
                <w:color w:val="auto"/>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7B06C71">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营业收入（Y）</w:t>
            </w:r>
          </w:p>
        </w:tc>
        <w:tc>
          <w:tcPr>
            <w:tcW w:w="115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1F484D0">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万元</w:t>
            </w:r>
          </w:p>
        </w:tc>
        <w:tc>
          <w:tcPr>
            <w:tcW w:w="138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FD8DE55">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1000≤Y＜5000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4BB5132">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500≤Y＜1000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CB17A87">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Y＜500</w:t>
            </w:r>
          </w:p>
        </w:tc>
      </w:tr>
      <w:tr w14:paraId="4E34CD51">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restart"/>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center"/>
          </w:tcPr>
          <w:p w14:paraId="5A8FC321">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租赁和商务服务业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18D233F">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从业人员（X）</w:t>
            </w:r>
          </w:p>
        </w:tc>
        <w:tc>
          <w:tcPr>
            <w:tcW w:w="115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D53F139">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人</w:t>
            </w:r>
          </w:p>
        </w:tc>
        <w:tc>
          <w:tcPr>
            <w:tcW w:w="138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C15D3DB">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100≤X＜300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A96F4E9">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10≤X＜100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2A9997E">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X＜10</w:t>
            </w:r>
          </w:p>
        </w:tc>
      </w:tr>
      <w:tr w14:paraId="29FE197F">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vMerge w:val="continue"/>
            <w:tcBorders>
              <w:top w:val="nil"/>
              <w:left w:val="single" w:color="auto" w:sz="6" w:space="0"/>
              <w:bottom w:val="single" w:color="999999" w:sz="6" w:space="0"/>
              <w:right w:val="single" w:color="999999" w:sz="6" w:space="0"/>
            </w:tcBorders>
            <w:noWrap w:val="0"/>
            <w:vAlign w:val="center"/>
          </w:tcPr>
          <w:p w14:paraId="203CAE19">
            <w:pPr>
              <w:pageBreakBefore w:val="0"/>
              <w:widowControl/>
              <w:spacing w:line="360" w:lineRule="auto"/>
              <w:jc w:val="center"/>
              <w:rPr>
                <w:rFonts w:ascii="Times New Roman" w:hAnsi="Times New Roman" w:eastAsia="宋体"/>
                <w:color w:val="auto"/>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B5BB0D2">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资产总额（Z）</w:t>
            </w:r>
          </w:p>
        </w:tc>
        <w:tc>
          <w:tcPr>
            <w:tcW w:w="115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71BDB9A">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万元</w:t>
            </w:r>
          </w:p>
        </w:tc>
        <w:tc>
          <w:tcPr>
            <w:tcW w:w="138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E839463">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8000≤Z＜120000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CB6DC8B">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100≤Z＜8000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7ABC057">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Y＜100</w:t>
            </w:r>
          </w:p>
        </w:tc>
      </w:tr>
      <w:tr w14:paraId="2D5337F7">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tcBorders>
              <w:top w:val="nil"/>
              <w:left w:val="single" w:color="auto" w:sz="6" w:space="0"/>
              <w:bottom w:val="single" w:color="999999" w:sz="6" w:space="0"/>
              <w:right w:val="single" w:color="999999" w:sz="6" w:space="0"/>
            </w:tcBorders>
            <w:noWrap w:val="0"/>
            <w:tcMar>
              <w:top w:w="0" w:type="dxa"/>
              <w:left w:w="105" w:type="dxa"/>
              <w:bottom w:w="0" w:type="dxa"/>
              <w:right w:w="105" w:type="dxa"/>
            </w:tcMar>
            <w:vAlign w:val="center"/>
          </w:tcPr>
          <w:p w14:paraId="78DEA950">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其他未列明行业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F1654F8">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从业人员（X）</w:t>
            </w:r>
          </w:p>
        </w:tc>
        <w:tc>
          <w:tcPr>
            <w:tcW w:w="1151"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094B160">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人</w:t>
            </w:r>
          </w:p>
        </w:tc>
        <w:tc>
          <w:tcPr>
            <w:tcW w:w="1383"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66933C0">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100≤X＜300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BC5DB05">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10≤X＜100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E29931D">
            <w:pPr>
              <w:pStyle w:val="37"/>
              <w:pageBreakBefore w:val="0"/>
              <w:widowControl/>
              <w:spacing w:line="360" w:lineRule="auto"/>
              <w:jc w:val="center"/>
              <w:rPr>
                <w:rFonts w:ascii="Times New Roman" w:hAnsi="Times New Roman" w:eastAsia="宋体"/>
                <w:color w:val="auto"/>
                <w:sz w:val="21"/>
                <w:szCs w:val="21"/>
                <w:highlight w:val="none"/>
              </w:rPr>
            </w:pPr>
            <w:r>
              <w:rPr>
                <w:rStyle w:val="44"/>
                <w:rFonts w:hint="eastAsia" w:ascii="Times New Roman" w:hAnsi="Times New Roman" w:eastAsia="宋体" w:cs="仿宋"/>
                <w:color w:val="auto"/>
                <w:sz w:val="21"/>
                <w:szCs w:val="21"/>
                <w:highlight w:val="none"/>
              </w:rPr>
              <w:t>X＜10</w:t>
            </w:r>
          </w:p>
        </w:tc>
      </w:tr>
    </w:tbl>
    <w:p w14:paraId="0D641FAD">
      <w:pPr>
        <w:pStyle w:val="37"/>
        <w:pageBreakBefore w:val="0"/>
        <w:widowControl/>
        <w:spacing w:line="360" w:lineRule="auto"/>
        <w:ind w:firstLine="810"/>
        <w:rPr>
          <w:rStyle w:val="44"/>
          <w:rFonts w:ascii="Times New Roman" w:hAnsi="Times New Roman" w:eastAsia="宋体" w:cs="仿宋"/>
          <w:color w:val="auto"/>
          <w:sz w:val="21"/>
          <w:szCs w:val="21"/>
          <w:highlight w:val="none"/>
        </w:rPr>
      </w:pPr>
      <w:r>
        <w:rPr>
          <w:rStyle w:val="44"/>
          <w:rFonts w:hint="eastAsia" w:ascii="Times New Roman" w:hAnsi="Times New Roman" w:eastAsia="宋体" w:cs="仿宋"/>
          <w:color w:val="auto"/>
          <w:sz w:val="21"/>
          <w:szCs w:val="21"/>
          <w:highlight w:val="none"/>
        </w:rPr>
        <w:t>说明：上述标准参照《关于印发中小企业划型标准规定的通知》（工信部联企业</w:t>
      </w:r>
      <w:r>
        <w:rPr>
          <w:rStyle w:val="44"/>
          <w:rFonts w:hint="eastAsia" w:ascii="Times New Roman" w:hAnsi="Times New Roman" w:eastAsia="宋体" w:cs="仿宋"/>
          <w:color w:val="auto"/>
          <w:sz w:val="21"/>
          <w:szCs w:val="21"/>
          <w:highlight w:val="none"/>
          <w:lang w:eastAsia="zh-CN"/>
        </w:rPr>
        <w:t>〔2011〕300号</w:t>
      </w:r>
      <w:r>
        <w:rPr>
          <w:rStyle w:val="44"/>
          <w:rFonts w:hint="eastAsia" w:ascii="Times New Roman" w:hAnsi="Times New Roman" w:eastAsia="宋体" w:cs="仿宋"/>
          <w:color w:val="auto"/>
          <w:sz w:val="21"/>
          <w:szCs w:val="21"/>
          <w:highlight w:val="none"/>
        </w:rPr>
        <w:t>），大型、中型和小型企业须同时满足所列指标的下限，否则下划一档；微型企业只须满足所列指标中的一项即可。</w:t>
      </w:r>
    </w:p>
    <w:p w14:paraId="26B29F2D">
      <w:pPr>
        <w:pageBreakBefore w:val="0"/>
        <w:spacing w:line="360" w:lineRule="auto"/>
        <w:ind w:firstLine="420"/>
        <w:rPr>
          <w:rFonts w:ascii="Times New Roman" w:hAnsi="Times New Roman" w:eastAsia="宋体"/>
          <w:bCs/>
          <w:color w:val="auto"/>
          <w:highlight w:val="none"/>
        </w:rPr>
      </w:pPr>
    </w:p>
    <w:p w14:paraId="1C1771CC">
      <w:pPr>
        <w:pageBreakBefore w:val="0"/>
        <w:spacing w:line="360" w:lineRule="auto"/>
        <w:ind w:firstLine="420"/>
        <w:rPr>
          <w:rFonts w:ascii="Times New Roman" w:hAnsi="Times New Roman" w:eastAsia="宋体"/>
          <w:color w:val="auto"/>
          <w:highlight w:val="none"/>
        </w:rPr>
      </w:pPr>
    </w:p>
    <w:p w14:paraId="2D01206C">
      <w:pPr>
        <w:pageBreakBefore w:val="0"/>
        <w:spacing w:line="360" w:lineRule="auto"/>
        <w:rPr>
          <w:rFonts w:ascii="Times New Roman" w:hAnsi="Times New Roman" w:eastAsia="宋体"/>
          <w:color w:val="auto"/>
          <w:highlight w:val="none"/>
        </w:rPr>
      </w:pPr>
    </w:p>
    <w:p w14:paraId="4EBFA287">
      <w:pPr>
        <w:pageBreakBefore w:val="0"/>
        <w:spacing w:line="360" w:lineRule="auto"/>
        <w:rPr>
          <w:rFonts w:ascii="Times New Roman" w:hAnsi="Times New Roman" w:eastAsia="宋体"/>
          <w:color w:val="auto"/>
          <w:highlight w:val="none"/>
        </w:rPr>
      </w:pPr>
    </w:p>
    <w:p w14:paraId="039375F5">
      <w:pPr>
        <w:pageBreakBefore w:val="0"/>
        <w:spacing w:line="360" w:lineRule="auto"/>
        <w:rPr>
          <w:rFonts w:ascii="Times New Roman" w:hAnsi="Times New Roman" w:eastAsia="宋体"/>
          <w:color w:val="auto"/>
          <w:highlight w:val="none"/>
        </w:rPr>
      </w:pPr>
    </w:p>
    <w:p w14:paraId="7E4C415B">
      <w:pPr>
        <w:pStyle w:val="3"/>
        <w:pageBreakBefore w:val="0"/>
        <w:spacing w:before="0" w:after="0" w:line="360" w:lineRule="auto"/>
        <w:jc w:val="both"/>
        <w:rPr>
          <w:rFonts w:hint="eastAsia" w:ascii="Times New Roman" w:hAnsi="Times New Roman" w:eastAsia="宋体"/>
          <w:color w:val="auto"/>
          <w:sz w:val="32"/>
          <w:highlight w:val="none"/>
        </w:rPr>
        <w:sectPr>
          <w:pgSz w:w="11906" w:h="16838"/>
          <w:pgMar w:top="1440" w:right="1800" w:bottom="1440" w:left="1800" w:header="851" w:footer="992" w:gutter="0"/>
          <w:cols w:space="720" w:num="1"/>
          <w:docGrid w:linePitch="360" w:charSpace="0"/>
        </w:sectPr>
      </w:pPr>
      <w:bookmarkStart w:id="69" w:name="_Toc10588"/>
      <w:bookmarkStart w:id="70" w:name="_Toc29496"/>
      <w:bookmarkStart w:id="71" w:name="_Toc20616"/>
    </w:p>
    <w:p w14:paraId="0B3E92B8">
      <w:pPr>
        <w:pStyle w:val="3"/>
        <w:pageBreakBefore w:val="0"/>
        <w:spacing w:before="0" w:after="0" w:line="360" w:lineRule="auto"/>
        <w:rPr>
          <w:rFonts w:ascii="Times New Roman" w:hAnsi="Times New Roman" w:eastAsia="宋体"/>
          <w:color w:val="auto"/>
          <w:sz w:val="32"/>
          <w:highlight w:val="none"/>
        </w:rPr>
      </w:pPr>
      <w:r>
        <w:rPr>
          <w:rFonts w:hint="eastAsia" w:ascii="Times New Roman" w:hAnsi="Times New Roman" w:eastAsia="宋体"/>
          <w:color w:val="auto"/>
          <w:sz w:val="32"/>
          <w:highlight w:val="none"/>
        </w:rPr>
        <w:t>二、符合性审查响应对照表</w:t>
      </w:r>
      <w:bookmarkEnd w:id="69"/>
      <w:bookmarkEnd w:id="70"/>
      <w:bookmarkEnd w:id="71"/>
    </w:p>
    <w:p w14:paraId="2954D057">
      <w:pPr>
        <w:pageBreakBefore w:val="0"/>
        <w:spacing w:line="360" w:lineRule="auto"/>
        <w:rPr>
          <w:rFonts w:ascii="Times New Roman" w:hAnsi="Times New Roman" w:eastAsia="宋体"/>
          <w:b/>
          <w:color w:val="auto"/>
          <w:sz w:val="32"/>
          <w:szCs w:val="32"/>
          <w:highlight w:val="none"/>
        </w:rPr>
      </w:pPr>
    </w:p>
    <w:tbl>
      <w:tblPr>
        <w:tblStyle w:val="41"/>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181"/>
        <w:gridCol w:w="1946"/>
        <w:gridCol w:w="1308"/>
      </w:tblGrid>
      <w:tr w14:paraId="077DE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noWrap w:val="0"/>
            <w:vAlign w:val="center"/>
          </w:tcPr>
          <w:p w14:paraId="52283EED">
            <w:pPr>
              <w:pageBreakBefore w:val="0"/>
              <w:spacing w:line="360" w:lineRule="auto"/>
              <w:jc w:val="center"/>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序号</w:t>
            </w:r>
          </w:p>
        </w:tc>
        <w:tc>
          <w:tcPr>
            <w:tcW w:w="5181" w:type="dxa"/>
            <w:noWrap w:val="0"/>
            <w:vAlign w:val="center"/>
          </w:tcPr>
          <w:p w14:paraId="021E00ED">
            <w:pPr>
              <w:pageBreakBefore w:val="0"/>
              <w:spacing w:line="360" w:lineRule="auto"/>
              <w:jc w:val="center"/>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符合性审查响应内容</w:t>
            </w:r>
          </w:p>
        </w:tc>
        <w:tc>
          <w:tcPr>
            <w:tcW w:w="1946" w:type="dxa"/>
            <w:noWrap w:val="0"/>
            <w:vAlign w:val="center"/>
          </w:tcPr>
          <w:p w14:paraId="7E5460E7">
            <w:pPr>
              <w:pageBreakBefore w:val="0"/>
              <w:spacing w:line="360" w:lineRule="auto"/>
              <w:jc w:val="center"/>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是否响应</w:t>
            </w:r>
          </w:p>
          <w:p w14:paraId="1F442FB6">
            <w:pPr>
              <w:pageBreakBefore w:val="0"/>
              <w:spacing w:line="360" w:lineRule="auto"/>
              <w:jc w:val="center"/>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（填是或者否）</w:t>
            </w:r>
          </w:p>
        </w:tc>
        <w:tc>
          <w:tcPr>
            <w:tcW w:w="1308" w:type="dxa"/>
            <w:noWrap w:val="0"/>
            <w:vAlign w:val="center"/>
          </w:tcPr>
          <w:p w14:paraId="0A69A139">
            <w:pPr>
              <w:pageBreakBefore w:val="0"/>
              <w:spacing w:line="360" w:lineRule="auto"/>
              <w:jc w:val="center"/>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响应情况</w:t>
            </w:r>
          </w:p>
        </w:tc>
      </w:tr>
      <w:tr w14:paraId="4143B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noWrap w:val="0"/>
            <w:vAlign w:val="center"/>
          </w:tcPr>
          <w:p w14:paraId="03D18CED">
            <w:pPr>
              <w:pageBreakBefore w:val="0"/>
              <w:spacing w:line="360" w:lineRule="auto"/>
              <w:jc w:val="center"/>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1</w:t>
            </w:r>
          </w:p>
        </w:tc>
        <w:tc>
          <w:tcPr>
            <w:tcW w:w="5181" w:type="dxa"/>
            <w:noWrap w:val="0"/>
            <w:vAlign w:val="center"/>
          </w:tcPr>
          <w:p w14:paraId="719F16FF">
            <w:pPr>
              <w:pageBreakBefore w:val="0"/>
              <w:spacing w:line="360" w:lineRule="auto"/>
              <w:rPr>
                <w:rFonts w:ascii="Times New Roman" w:hAnsi="Times New Roman" w:eastAsia="宋体"/>
                <w:bCs/>
                <w:iCs/>
                <w:color w:val="auto"/>
                <w:szCs w:val="21"/>
                <w:highlight w:val="none"/>
              </w:rPr>
            </w:pPr>
            <w:r>
              <w:rPr>
                <w:rFonts w:hint="eastAsia" w:ascii="Times New Roman" w:hAnsi="Times New Roman" w:eastAsia="宋体"/>
                <w:bCs/>
                <w:iCs/>
                <w:color w:val="auto"/>
                <w:szCs w:val="21"/>
                <w:highlight w:val="none"/>
              </w:rPr>
              <w:t>采购需求中必须满足的实质性要求（即加斜体下划线内容，每条详细列出）</w:t>
            </w:r>
          </w:p>
        </w:tc>
        <w:tc>
          <w:tcPr>
            <w:tcW w:w="1946" w:type="dxa"/>
            <w:noWrap w:val="0"/>
            <w:vAlign w:val="center"/>
          </w:tcPr>
          <w:p w14:paraId="38F2CFDD">
            <w:pPr>
              <w:pageBreakBefore w:val="0"/>
              <w:spacing w:line="360" w:lineRule="auto"/>
              <w:rPr>
                <w:rFonts w:ascii="Times New Roman" w:hAnsi="Times New Roman" w:eastAsia="宋体"/>
                <w:b/>
                <w:color w:val="auto"/>
                <w:szCs w:val="21"/>
                <w:highlight w:val="none"/>
              </w:rPr>
            </w:pPr>
          </w:p>
        </w:tc>
        <w:tc>
          <w:tcPr>
            <w:tcW w:w="1308" w:type="dxa"/>
            <w:noWrap w:val="0"/>
            <w:vAlign w:val="center"/>
          </w:tcPr>
          <w:p w14:paraId="2A301344">
            <w:pPr>
              <w:pageBreakBefore w:val="0"/>
              <w:spacing w:line="360" w:lineRule="auto"/>
              <w:rPr>
                <w:rFonts w:ascii="Times New Roman" w:hAnsi="Times New Roman" w:eastAsia="宋体"/>
                <w:b/>
                <w:color w:val="auto"/>
                <w:szCs w:val="21"/>
                <w:highlight w:val="none"/>
              </w:rPr>
            </w:pPr>
          </w:p>
        </w:tc>
      </w:tr>
      <w:tr w14:paraId="63B04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noWrap w:val="0"/>
            <w:vAlign w:val="center"/>
          </w:tcPr>
          <w:p w14:paraId="763CF285">
            <w:pPr>
              <w:pageBreakBefore w:val="0"/>
              <w:spacing w:line="360" w:lineRule="auto"/>
              <w:jc w:val="center"/>
              <w:rPr>
                <w:rFonts w:ascii="Times New Roman" w:hAnsi="Times New Roman" w:eastAsia="宋体"/>
                <w:color w:val="auto"/>
                <w:szCs w:val="21"/>
                <w:highlight w:val="none"/>
              </w:rPr>
            </w:pPr>
            <w:r>
              <w:rPr>
                <w:rFonts w:hint="eastAsia" w:ascii="Times New Roman" w:hAnsi="Times New Roman" w:eastAsia="宋体"/>
                <w:color w:val="auto"/>
                <w:szCs w:val="21"/>
                <w:highlight w:val="none"/>
              </w:rPr>
              <w:t>2</w:t>
            </w:r>
          </w:p>
        </w:tc>
        <w:tc>
          <w:tcPr>
            <w:tcW w:w="5181" w:type="dxa"/>
            <w:noWrap w:val="0"/>
            <w:vAlign w:val="center"/>
          </w:tcPr>
          <w:p w14:paraId="2258424E">
            <w:pPr>
              <w:pageBreakBefore w:val="0"/>
              <w:spacing w:line="360" w:lineRule="auto"/>
              <w:rPr>
                <w:rFonts w:ascii="Times New Roman" w:hAnsi="Times New Roman" w:eastAsia="宋体"/>
                <w:iCs/>
                <w:color w:val="auto"/>
                <w:szCs w:val="21"/>
                <w:highlight w:val="none"/>
              </w:rPr>
            </w:pPr>
          </w:p>
        </w:tc>
        <w:tc>
          <w:tcPr>
            <w:tcW w:w="1946" w:type="dxa"/>
            <w:noWrap w:val="0"/>
            <w:vAlign w:val="center"/>
          </w:tcPr>
          <w:p w14:paraId="1945D2A9">
            <w:pPr>
              <w:pageBreakBefore w:val="0"/>
              <w:spacing w:line="360" w:lineRule="auto"/>
              <w:rPr>
                <w:rFonts w:ascii="Times New Roman" w:hAnsi="Times New Roman" w:eastAsia="宋体"/>
                <w:color w:val="auto"/>
                <w:szCs w:val="21"/>
                <w:highlight w:val="none"/>
              </w:rPr>
            </w:pPr>
          </w:p>
        </w:tc>
        <w:tc>
          <w:tcPr>
            <w:tcW w:w="1308" w:type="dxa"/>
            <w:noWrap w:val="0"/>
            <w:vAlign w:val="center"/>
          </w:tcPr>
          <w:p w14:paraId="3EA43EE1">
            <w:pPr>
              <w:pageBreakBefore w:val="0"/>
              <w:spacing w:line="360" w:lineRule="auto"/>
              <w:rPr>
                <w:rFonts w:ascii="Times New Roman" w:hAnsi="Times New Roman" w:eastAsia="宋体"/>
                <w:color w:val="auto"/>
                <w:szCs w:val="21"/>
                <w:highlight w:val="none"/>
              </w:rPr>
            </w:pPr>
          </w:p>
        </w:tc>
      </w:tr>
      <w:tr w14:paraId="1A5FF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noWrap w:val="0"/>
            <w:vAlign w:val="center"/>
          </w:tcPr>
          <w:p w14:paraId="39603660">
            <w:pPr>
              <w:pageBreakBefore w:val="0"/>
              <w:spacing w:line="360" w:lineRule="auto"/>
              <w:jc w:val="center"/>
              <w:rPr>
                <w:rFonts w:ascii="Times New Roman" w:hAnsi="Times New Roman" w:eastAsia="宋体"/>
                <w:color w:val="auto"/>
                <w:szCs w:val="21"/>
                <w:highlight w:val="none"/>
              </w:rPr>
            </w:pPr>
            <w:r>
              <w:rPr>
                <w:rFonts w:hint="eastAsia" w:ascii="Times New Roman" w:hAnsi="Times New Roman" w:eastAsia="宋体"/>
                <w:color w:val="auto"/>
                <w:szCs w:val="21"/>
                <w:highlight w:val="none"/>
              </w:rPr>
              <w:t>3</w:t>
            </w:r>
          </w:p>
        </w:tc>
        <w:tc>
          <w:tcPr>
            <w:tcW w:w="5181" w:type="dxa"/>
            <w:noWrap w:val="0"/>
            <w:vAlign w:val="center"/>
          </w:tcPr>
          <w:p w14:paraId="73A9BA58">
            <w:pPr>
              <w:pageBreakBefore w:val="0"/>
              <w:spacing w:line="360" w:lineRule="auto"/>
              <w:rPr>
                <w:rFonts w:ascii="Times New Roman" w:hAnsi="Times New Roman" w:eastAsia="宋体"/>
                <w:iCs/>
                <w:color w:val="auto"/>
                <w:szCs w:val="21"/>
                <w:highlight w:val="none"/>
              </w:rPr>
            </w:pPr>
          </w:p>
        </w:tc>
        <w:tc>
          <w:tcPr>
            <w:tcW w:w="1946" w:type="dxa"/>
            <w:noWrap w:val="0"/>
            <w:vAlign w:val="center"/>
          </w:tcPr>
          <w:p w14:paraId="3A07980A">
            <w:pPr>
              <w:pageBreakBefore w:val="0"/>
              <w:spacing w:line="360" w:lineRule="auto"/>
              <w:rPr>
                <w:rFonts w:ascii="Times New Roman" w:hAnsi="Times New Roman" w:eastAsia="宋体"/>
                <w:color w:val="auto"/>
                <w:szCs w:val="21"/>
                <w:highlight w:val="none"/>
              </w:rPr>
            </w:pPr>
          </w:p>
        </w:tc>
        <w:tc>
          <w:tcPr>
            <w:tcW w:w="1308" w:type="dxa"/>
            <w:noWrap w:val="0"/>
            <w:vAlign w:val="center"/>
          </w:tcPr>
          <w:p w14:paraId="7F931468">
            <w:pPr>
              <w:pageBreakBefore w:val="0"/>
              <w:spacing w:line="360" w:lineRule="auto"/>
              <w:rPr>
                <w:rFonts w:ascii="Times New Roman" w:hAnsi="Times New Roman" w:eastAsia="宋体"/>
                <w:color w:val="auto"/>
                <w:szCs w:val="21"/>
                <w:highlight w:val="none"/>
              </w:rPr>
            </w:pPr>
          </w:p>
        </w:tc>
      </w:tr>
      <w:tr w14:paraId="2809B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46" w:type="dxa"/>
            <w:noWrap w:val="0"/>
            <w:vAlign w:val="center"/>
          </w:tcPr>
          <w:p w14:paraId="11C3F5A4">
            <w:pPr>
              <w:pageBreakBefore w:val="0"/>
              <w:spacing w:line="360" w:lineRule="auto"/>
              <w:jc w:val="center"/>
              <w:rPr>
                <w:rFonts w:ascii="Times New Roman" w:hAnsi="Times New Roman" w:eastAsia="宋体"/>
                <w:color w:val="auto"/>
                <w:szCs w:val="21"/>
                <w:highlight w:val="none"/>
              </w:rPr>
            </w:pPr>
            <w:r>
              <w:rPr>
                <w:rFonts w:hint="eastAsia" w:ascii="Times New Roman" w:hAnsi="Times New Roman" w:eastAsia="宋体"/>
                <w:color w:val="auto"/>
                <w:szCs w:val="21"/>
                <w:highlight w:val="none"/>
              </w:rPr>
              <w:t>4</w:t>
            </w:r>
          </w:p>
        </w:tc>
        <w:tc>
          <w:tcPr>
            <w:tcW w:w="5181" w:type="dxa"/>
            <w:noWrap w:val="0"/>
            <w:vAlign w:val="center"/>
          </w:tcPr>
          <w:p w14:paraId="558E2BD9">
            <w:pPr>
              <w:pageBreakBefore w:val="0"/>
              <w:spacing w:line="360" w:lineRule="auto"/>
              <w:rPr>
                <w:rFonts w:ascii="Times New Roman" w:hAnsi="Times New Roman" w:eastAsia="宋体"/>
                <w:iCs/>
                <w:color w:val="auto"/>
                <w:szCs w:val="21"/>
                <w:highlight w:val="none"/>
              </w:rPr>
            </w:pPr>
          </w:p>
        </w:tc>
        <w:tc>
          <w:tcPr>
            <w:tcW w:w="1946" w:type="dxa"/>
            <w:noWrap w:val="0"/>
            <w:vAlign w:val="center"/>
          </w:tcPr>
          <w:p w14:paraId="4EC1E86A">
            <w:pPr>
              <w:pageBreakBefore w:val="0"/>
              <w:spacing w:line="360" w:lineRule="auto"/>
              <w:rPr>
                <w:rFonts w:ascii="Times New Roman" w:hAnsi="Times New Roman" w:eastAsia="宋体"/>
                <w:color w:val="auto"/>
                <w:szCs w:val="21"/>
                <w:highlight w:val="none"/>
              </w:rPr>
            </w:pPr>
          </w:p>
        </w:tc>
        <w:tc>
          <w:tcPr>
            <w:tcW w:w="1308" w:type="dxa"/>
            <w:noWrap w:val="0"/>
            <w:vAlign w:val="center"/>
          </w:tcPr>
          <w:p w14:paraId="04A590C3">
            <w:pPr>
              <w:pageBreakBefore w:val="0"/>
              <w:spacing w:line="360" w:lineRule="auto"/>
              <w:rPr>
                <w:rFonts w:ascii="Times New Roman" w:hAnsi="Times New Roman" w:eastAsia="宋体"/>
                <w:color w:val="auto"/>
                <w:szCs w:val="21"/>
                <w:highlight w:val="none"/>
              </w:rPr>
            </w:pPr>
          </w:p>
        </w:tc>
      </w:tr>
      <w:tr w14:paraId="72804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646" w:type="dxa"/>
            <w:noWrap w:val="0"/>
            <w:vAlign w:val="center"/>
          </w:tcPr>
          <w:p w14:paraId="3F394B46">
            <w:pPr>
              <w:pageBreakBefore w:val="0"/>
              <w:spacing w:line="360" w:lineRule="auto"/>
              <w:jc w:val="center"/>
              <w:rPr>
                <w:rFonts w:ascii="Times New Roman" w:hAnsi="Times New Roman" w:eastAsia="宋体"/>
                <w:color w:val="auto"/>
                <w:szCs w:val="21"/>
                <w:highlight w:val="none"/>
              </w:rPr>
            </w:pPr>
            <w:r>
              <w:rPr>
                <w:rFonts w:hint="eastAsia" w:ascii="Times New Roman" w:hAnsi="Times New Roman" w:eastAsia="宋体"/>
                <w:color w:val="auto"/>
                <w:szCs w:val="21"/>
                <w:highlight w:val="none"/>
              </w:rPr>
              <w:t>5</w:t>
            </w:r>
          </w:p>
        </w:tc>
        <w:tc>
          <w:tcPr>
            <w:tcW w:w="5181" w:type="dxa"/>
            <w:noWrap w:val="0"/>
            <w:vAlign w:val="center"/>
          </w:tcPr>
          <w:p w14:paraId="1471FBD3">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t>……</w:t>
            </w:r>
          </w:p>
        </w:tc>
        <w:tc>
          <w:tcPr>
            <w:tcW w:w="1946" w:type="dxa"/>
            <w:noWrap w:val="0"/>
            <w:vAlign w:val="center"/>
          </w:tcPr>
          <w:p w14:paraId="556D5BC7">
            <w:pPr>
              <w:pageBreakBefore w:val="0"/>
              <w:spacing w:line="360" w:lineRule="auto"/>
              <w:rPr>
                <w:rFonts w:ascii="Times New Roman" w:hAnsi="Times New Roman" w:eastAsia="宋体"/>
                <w:color w:val="auto"/>
                <w:szCs w:val="21"/>
                <w:highlight w:val="none"/>
              </w:rPr>
            </w:pPr>
          </w:p>
        </w:tc>
        <w:tc>
          <w:tcPr>
            <w:tcW w:w="1308" w:type="dxa"/>
            <w:noWrap w:val="0"/>
            <w:vAlign w:val="center"/>
          </w:tcPr>
          <w:p w14:paraId="5D256308">
            <w:pPr>
              <w:pageBreakBefore w:val="0"/>
              <w:spacing w:line="360" w:lineRule="auto"/>
              <w:rPr>
                <w:rFonts w:ascii="Times New Roman" w:hAnsi="Times New Roman" w:eastAsia="宋体"/>
                <w:color w:val="auto"/>
                <w:szCs w:val="21"/>
                <w:highlight w:val="none"/>
              </w:rPr>
            </w:pPr>
          </w:p>
        </w:tc>
      </w:tr>
    </w:tbl>
    <w:p w14:paraId="6E48D940">
      <w:pPr>
        <w:pageBreakBefore w:val="0"/>
        <w:spacing w:line="360" w:lineRule="auto"/>
        <w:contextualSpacing/>
        <w:jc w:val="center"/>
        <w:rPr>
          <w:rFonts w:ascii="Times New Roman" w:hAnsi="Times New Roman" w:eastAsia="宋体"/>
          <w:b/>
          <w:bCs/>
          <w:color w:val="auto"/>
          <w:sz w:val="32"/>
          <w:szCs w:val="32"/>
          <w:highlight w:val="none"/>
        </w:rPr>
      </w:pPr>
    </w:p>
    <w:p w14:paraId="55DFEC77">
      <w:pPr>
        <w:pageBreakBefore w:val="0"/>
        <w:spacing w:line="360" w:lineRule="auto"/>
        <w:contextualSpacing/>
        <w:jc w:val="center"/>
        <w:rPr>
          <w:rFonts w:ascii="Times New Roman" w:hAnsi="Times New Roman" w:eastAsia="宋体"/>
          <w:b/>
          <w:bCs/>
          <w:color w:val="auto"/>
          <w:sz w:val="32"/>
          <w:szCs w:val="32"/>
          <w:highlight w:val="none"/>
        </w:rPr>
      </w:pPr>
    </w:p>
    <w:p w14:paraId="3852A613">
      <w:pPr>
        <w:pageBreakBefore w:val="0"/>
        <w:spacing w:line="360" w:lineRule="auto"/>
        <w:contextualSpacing/>
        <w:jc w:val="center"/>
        <w:rPr>
          <w:rFonts w:ascii="Times New Roman" w:hAnsi="Times New Roman" w:eastAsia="宋体"/>
          <w:b/>
          <w:bCs/>
          <w:color w:val="auto"/>
          <w:sz w:val="32"/>
          <w:szCs w:val="32"/>
          <w:highlight w:val="none"/>
        </w:rPr>
      </w:pPr>
    </w:p>
    <w:p w14:paraId="014E63F0">
      <w:pPr>
        <w:pageBreakBefore w:val="0"/>
        <w:spacing w:line="360" w:lineRule="auto"/>
        <w:contextualSpacing/>
        <w:jc w:val="center"/>
        <w:rPr>
          <w:rFonts w:ascii="Times New Roman" w:hAnsi="Times New Roman" w:eastAsia="宋体"/>
          <w:b/>
          <w:bCs/>
          <w:color w:val="auto"/>
          <w:sz w:val="32"/>
          <w:szCs w:val="32"/>
          <w:highlight w:val="none"/>
        </w:rPr>
      </w:pPr>
    </w:p>
    <w:p w14:paraId="56622928">
      <w:pPr>
        <w:pageBreakBefore w:val="0"/>
        <w:spacing w:line="360" w:lineRule="auto"/>
        <w:contextualSpacing/>
        <w:jc w:val="center"/>
        <w:rPr>
          <w:rFonts w:ascii="Times New Roman" w:hAnsi="Times New Roman" w:eastAsia="宋体"/>
          <w:b/>
          <w:bCs/>
          <w:color w:val="auto"/>
          <w:sz w:val="32"/>
          <w:szCs w:val="32"/>
          <w:highlight w:val="none"/>
        </w:rPr>
      </w:pPr>
    </w:p>
    <w:p w14:paraId="7EC9BC68">
      <w:pPr>
        <w:pageBreakBefore w:val="0"/>
        <w:spacing w:line="360" w:lineRule="auto"/>
        <w:contextualSpacing/>
        <w:jc w:val="center"/>
        <w:rPr>
          <w:rFonts w:ascii="Times New Roman" w:hAnsi="Times New Roman" w:eastAsia="宋体"/>
          <w:b/>
          <w:bCs/>
          <w:color w:val="auto"/>
          <w:sz w:val="32"/>
          <w:szCs w:val="32"/>
          <w:highlight w:val="none"/>
        </w:rPr>
      </w:pPr>
    </w:p>
    <w:p w14:paraId="301DC2C7">
      <w:pPr>
        <w:pageBreakBefore w:val="0"/>
        <w:spacing w:line="360" w:lineRule="auto"/>
        <w:contextualSpacing/>
        <w:jc w:val="center"/>
        <w:rPr>
          <w:rFonts w:ascii="Times New Roman" w:hAnsi="Times New Roman" w:eastAsia="宋体"/>
          <w:b/>
          <w:bCs/>
          <w:color w:val="auto"/>
          <w:sz w:val="32"/>
          <w:szCs w:val="32"/>
          <w:highlight w:val="none"/>
        </w:rPr>
      </w:pPr>
    </w:p>
    <w:p w14:paraId="2C653863">
      <w:pPr>
        <w:pageBreakBefore w:val="0"/>
        <w:spacing w:line="360" w:lineRule="auto"/>
        <w:contextualSpacing/>
        <w:jc w:val="center"/>
        <w:rPr>
          <w:rFonts w:ascii="Times New Roman" w:hAnsi="Times New Roman" w:eastAsia="宋体"/>
          <w:b/>
          <w:bCs/>
          <w:color w:val="auto"/>
          <w:sz w:val="32"/>
          <w:szCs w:val="32"/>
          <w:highlight w:val="none"/>
        </w:rPr>
      </w:pPr>
    </w:p>
    <w:p w14:paraId="3CE72753">
      <w:pPr>
        <w:pageBreakBefore w:val="0"/>
        <w:spacing w:line="360" w:lineRule="auto"/>
        <w:contextualSpacing/>
        <w:jc w:val="center"/>
        <w:rPr>
          <w:rFonts w:ascii="Times New Roman" w:hAnsi="Times New Roman" w:eastAsia="宋体"/>
          <w:b/>
          <w:bCs/>
          <w:color w:val="auto"/>
          <w:sz w:val="32"/>
          <w:szCs w:val="32"/>
          <w:highlight w:val="none"/>
        </w:rPr>
      </w:pPr>
    </w:p>
    <w:p w14:paraId="228B2EE4">
      <w:pPr>
        <w:pageBreakBefore w:val="0"/>
        <w:spacing w:line="360" w:lineRule="auto"/>
        <w:contextualSpacing/>
        <w:jc w:val="center"/>
        <w:rPr>
          <w:rFonts w:ascii="Times New Roman" w:hAnsi="Times New Roman" w:eastAsia="宋体"/>
          <w:b/>
          <w:bCs/>
          <w:color w:val="auto"/>
          <w:sz w:val="32"/>
          <w:szCs w:val="32"/>
          <w:highlight w:val="none"/>
        </w:rPr>
      </w:pPr>
    </w:p>
    <w:p w14:paraId="45CAC628">
      <w:pPr>
        <w:pageBreakBefore w:val="0"/>
        <w:spacing w:line="360" w:lineRule="auto"/>
        <w:contextualSpacing/>
        <w:jc w:val="center"/>
        <w:rPr>
          <w:rFonts w:ascii="Times New Roman" w:hAnsi="Times New Roman" w:eastAsia="宋体"/>
          <w:b/>
          <w:bCs/>
          <w:color w:val="auto"/>
          <w:sz w:val="32"/>
          <w:szCs w:val="32"/>
          <w:highlight w:val="none"/>
        </w:rPr>
      </w:pPr>
    </w:p>
    <w:p w14:paraId="32D81C4D">
      <w:pPr>
        <w:pageBreakBefore w:val="0"/>
        <w:spacing w:line="360" w:lineRule="auto"/>
        <w:contextualSpacing/>
        <w:jc w:val="center"/>
        <w:rPr>
          <w:rFonts w:ascii="Times New Roman" w:hAnsi="Times New Roman" w:eastAsia="宋体"/>
          <w:b/>
          <w:bCs/>
          <w:color w:val="auto"/>
          <w:sz w:val="32"/>
          <w:szCs w:val="32"/>
          <w:highlight w:val="none"/>
        </w:rPr>
      </w:pPr>
    </w:p>
    <w:p w14:paraId="63B07159">
      <w:pPr>
        <w:pageBreakBefore w:val="0"/>
        <w:spacing w:line="360" w:lineRule="auto"/>
        <w:contextualSpacing/>
        <w:jc w:val="center"/>
        <w:rPr>
          <w:rFonts w:ascii="Times New Roman" w:hAnsi="Times New Roman" w:eastAsia="宋体"/>
          <w:b/>
          <w:bCs/>
          <w:color w:val="auto"/>
          <w:sz w:val="32"/>
          <w:szCs w:val="32"/>
          <w:highlight w:val="none"/>
        </w:rPr>
      </w:pPr>
    </w:p>
    <w:p w14:paraId="0C3CB793">
      <w:pPr>
        <w:pageBreakBefore w:val="0"/>
        <w:spacing w:line="360" w:lineRule="auto"/>
        <w:contextualSpacing/>
        <w:jc w:val="center"/>
        <w:rPr>
          <w:rFonts w:ascii="Times New Roman" w:hAnsi="Times New Roman" w:eastAsia="宋体"/>
          <w:b/>
          <w:bCs/>
          <w:color w:val="auto"/>
          <w:sz w:val="32"/>
          <w:szCs w:val="32"/>
          <w:highlight w:val="none"/>
        </w:rPr>
      </w:pPr>
    </w:p>
    <w:p w14:paraId="26CA2AAA">
      <w:pPr>
        <w:pStyle w:val="3"/>
        <w:pageBreakBefore w:val="0"/>
        <w:spacing w:before="0" w:after="0" w:line="360" w:lineRule="auto"/>
        <w:rPr>
          <w:rFonts w:ascii="Times New Roman" w:hAnsi="Times New Roman" w:eastAsia="宋体"/>
          <w:color w:val="auto"/>
          <w:sz w:val="32"/>
          <w:highlight w:val="none"/>
        </w:rPr>
      </w:pPr>
      <w:bookmarkStart w:id="72" w:name="_Toc13365"/>
      <w:bookmarkStart w:id="73" w:name="_Toc23420"/>
      <w:bookmarkStart w:id="74" w:name="_Toc3706"/>
      <w:r>
        <w:rPr>
          <w:rFonts w:hint="eastAsia" w:ascii="Times New Roman" w:hAnsi="Times New Roman" w:eastAsia="宋体"/>
          <w:color w:val="auto"/>
          <w:sz w:val="32"/>
          <w:highlight w:val="none"/>
        </w:rPr>
        <w:t>三、非实质性响应对照表</w:t>
      </w:r>
      <w:bookmarkEnd w:id="72"/>
      <w:bookmarkEnd w:id="73"/>
      <w:bookmarkEnd w:id="74"/>
    </w:p>
    <w:p w14:paraId="646A1530">
      <w:pPr>
        <w:pageBreakBefore w:val="0"/>
        <w:spacing w:line="360" w:lineRule="auto"/>
        <w:rPr>
          <w:rFonts w:ascii="Times New Roman" w:hAnsi="Times New Roman" w:eastAsia="宋体"/>
          <w:b/>
          <w:color w:val="auto"/>
          <w:sz w:val="32"/>
          <w:szCs w:val="32"/>
          <w:highlight w:val="none"/>
        </w:rPr>
      </w:pPr>
    </w:p>
    <w:tbl>
      <w:tblPr>
        <w:tblStyle w:val="41"/>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262"/>
        <w:gridCol w:w="1865"/>
        <w:gridCol w:w="1308"/>
      </w:tblGrid>
      <w:tr w14:paraId="47FA7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noWrap w:val="0"/>
            <w:vAlign w:val="center"/>
          </w:tcPr>
          <w:p w14:paraId="37ADD636">
            <w:pPr>
              <w:pageBreakBefore w:val="0"/>
              <w:spacing w:line="360" w:lineRule="auto"/>
              <w:jc w:val="center"/>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序号</w:t>
            </w:r>
          </w:p>
        </w:tc>
        <w:tc>
          <w:tcPr>
            <w:tcW w:w="5262" w:type="dxa"/>
            <w:noWrap w:val="0"/>
            <w:vAlign w:val="center"/>
          </w:tcPr>
          <w:p w14:paraId="4BAC64B6">
            <w:pPr>
              <w:pageBreakBefore w:val="0"/>
              <w:spacing w:line="360" w:lineRule="auto"/>
              <w:jc w:val="center"/>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非实质性响应内容</w:t>
            </w:r>
          </w:p>
        </w:tc>
        <w:tc>
          <w:tcPr>
            <w:tcW w:w="1865" w:type="dxa"/>
            <w:noWrap w:val="0"/>
            <w:vAlign w:val="center"/>
          </w:tcPr>
          <w:p w14:paraId="4E0BB356">
            <w:pPr>
              <w:pageBreakBefore w:val="0"/>
              <w:spacing w:line="360" w:lineRule="auto"/>
              <w:jc w:val="center"/>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是否响应</w:t>
            </w:r>
          </w:p>
          <w:p w14:paraId="401D7769">
            <w:pPr>
              <w:pageBreakBefore w:val="0"/>
              <w:spacing w:line="360" w:lineRule="auto"/>
              <w:jc w:val="center"/>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（填是或者否）</w:t>
            </w:r>
          </w:p>
        </w:tc>
        <w:tc>
          <w:tcPr>
            <w:tcW w:w="1308" w:type="dxa"/>
            <w:noWrap w:val="0"/>
            <w:vAlign w:val="center"/>
          </w:tcPr>
          <w:p w14:paraId="31321344">
            <w:pPr>
              <w:pageBreakBefore w:val="0"/>
              <w:spacing w:line="360" w:lineRule="auto"/>
              <w:jc w:val="center"/>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响应情况</w:t>
            </w:r>
          </w:p>
        </w:tc>
      </w:tr>
      <w:tr w14:paraId="56A09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noWrap w:val="0"/>
            <w:vAlign w:val="center"/>
          </w:tcPr>
          <w:p w14:paraId="2A3E3885">
            <w:pPr>
              <w:pageBreakBefore w:val="0"/>
              <w:spacing w:line="360" w:lineRule="auto"/>
              <w:jc w:val="center"/>
              <w:rPr>
                <w:rFonts w:ascii="Times New Roman" w:hAnsi="Times New Roman" w:eastAsia="宋体"/>
                <w:b/>
                <w:color w:val="auto"/>
                <w:szCs w:val="21"/>
                <w:highlight w:val="none"/>
              </w:rPr>
            </w:pPr>
            <w:r>
              <w:rPr>
                <w:rFonts w:hint="eastAsia" w:ascii="Times New Roman" w:hAnsi="Times New Roman" w:eastAsia="宋体"/>
                <w:color w:val="auto"/>
                <w:szCs w:val="21"/>
                <w:highlight w:val="none"/>
              </w:rPr>
              <w:t>1</w:t>
            </w:r>
          </w:p>
        </w:tc>
        <w:tc>
          <w:tcPr>
            <w:tcW w:w="5262" w:type="dxa"/>
            <w:noWrap w:val="0"/>
            <w:vAlign w:val="center"/>
          </w:tcPr>
          <w:p w14:paraId="57139405">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color w:val="auto"/>
                <w:szCs w:val="21"/>
                <w:highlight w:val="none"/>
              </w:rPr>
              <w:t>《残疾人福利性单位声明函》</w:t>
            </w:r>
          </w:p>
        </w:tc>
        <w:tc>
          <w:tcPr>
            <w:tcW w:w="1865" w:type="dxa"/>
            <w:noWrap w:val="0"/>
            <w:vAlign w:val="center"/>
          </w:tcPr>
          <w:p w14:paraId="3C7769C0">
            <w:pPr>
              <w:pageBreakBefore w:val="0"/>
              <w:spacing w:line="360" w:lineRule="auto"/>
              <w:rPr>
                <w:rFonts w:ascii="Times New Roman" w:hAnsi="Times New Roman" w:eastAsia="宋体"/>
                <w:b/>
                <w:color w:val="auto"/>
                <w:szCs w:val="21"/>
                <w:highlight w:val="none"/>
              </w:rPr>
            </w:pPr>
          </w:p>
        </w:tc>
        <w:tc>
          <w:tcPr>
            <w:tcW w:w="1308" w:type="dxa"/>
            <w:noWrap w:val="0"/>
            <w:vAlign w:val="center"/>
          </w:tcPr>
          <w:p w14:paraId="1E78B36E">
            <w:pPr>
              <w:pageBreakBefore w:val="0"/>
              <w:spacing w:line="360" w:lineRule="auto"/>
              <w:rPr>
                <w:rFonts w:ascii="Times New Roman" w:hAnsi="Times New Roman" w:eastAsia="宋体"/>
                <w:b/>
                <w:color w:val="auto"/>
                <w:szCs w:val="21"/>
                <w:highlight w:val="none"/>
              </w:rPr>
            </w:pPr>
          </w:p>
        </w:tc>
      </w:tr>
      <w:tr w14:paraId="52421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noWrap w:val="0"/>
            <w:vAlign w:val="center"/>
          </w:tcPr>
          <w:p w14:paraId="644E7AA4">
            <w:pPr>
              <w:pageBreakBefore w:val="0"/>
              <w:spacing w:line="360" w:lineRule="auto"/>
              <w:jc w:val="center"/>
              <w:rPr>
                <w:rFonts w:ascii="Times New Roman" w:hAnsi="Times New Roman" w:eastAsia="宋体"/>
                <w:color w:val="auto"/>
                <w:szCs w:val="21"/>
                <w:highlight w:val="none"/>
              </w:rPr>
            </w:pPr>
            <w:r>
              <w:rPr>
                <w:rFonts w:hint="eastAsia" w:ascii="Times New Roman" w:hAnsi="Times New Roman" w:eastAsia="宋体"/>
                <w:color w:val="auto"/>
                <w:szCs w:val="21"/>
                <w:highlight w:val="none"/>
              </w:rPr>
              <w:t>2</w:t>
            </w:r>
          </w:p>
        </w:tc>
        <w:tc>
          <w:tcPr>
            <w:tcW w:w="5262" w:type="dxa"/>
            <w:noWrap w:val="0"/>
            <w:vAlign w:val="center"/>
          </w:tcPr>
          <w:p w14:paraId="12414EF5">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t>……</w:t>
            </w:r>
          </w:p>
        </w:tc>
        <w:tc>
          <w:tcPr>
            <w:tcW w:w="1865" w:type="dxa"/>
            <w:noWrap w:val="0"/>
            <w:vAlign w:val="center"/>
          </w:tcPr>
          <w:p w14:paraId="6AA58768">
            <w:pPr>
              <w:pageBreakBefore w:val="0"/>
              <w:spacing w:line="360" w:lineRule="auto"/>
              <w:rPr>
                <w:rFonts w:ascii="Times New Roman" w:hAnsi="Times New Roman" w:eastAsia="宋体"/>
                <w:color w:val="auto"/>
                <w:szCs w:val="21"/>
                <w:highlight w:val="none"/>
              </w:rPr>
            </w:pPr>
          </w:p>
        </w:tc>
        <w:tc>
          <w:tcPr>
            <w:tcW w:w="1308" w:type="dxa"/>
            <w:noWrap w:val="0"/>
            <w:vAlign w:val="center"/>
          </w:tcPr>
          <w:p w14:paraId="7F72AD59">
            <w:pPr>
              <w:pageBreakBefore w:val="0"/>
              <w:spacing w:line="360" w:lineRule="auto"/>
              <w:rPr>
                <w:rFonts w:ascii="Times New Roman" w:hAnsi="Times New Roman" w:eastAsia="宋体"/>
                <w:color w:val="auto"/>
                <w:szCs w:val="21"/>
                <w:highlight w:val="none"/>
              </w:rPr>
            </w:pPr>
          </w:p>
        </w:tc>
      </w:tr>
      <w:tr w14:paraId="71D47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646" w:type="dxa"/>
            <w:noWrap w:val="0"/>
            <w:vAlign w:val="center"/>
          </w:tcPr>
          <w:p w14:paraId="45DB9EE8">
            <w:pPr>
              <w:pageBreakBefore w:val="0"/>
              <w:spacing w:line="360" w:lineRule="auto"/>
              <w:jc w:val="center"/>
              <w:rPr>
                <w:rFonts w:ascii="Times New Roman" w:hAnsi="Times New Roman" w:eastAsia="宋体"/>
                <w:color w:val="auto"/>
                <w:szCs w:val="21"/>
                <w:highlight w:val="none"/>
              </w:rPr>
            </w:pPr>
            <w:r>
              <w:rPr>
                <w:rFonts w:hint="eastAsia" w:ascii="Times New Roman" w:hAnsi="Times New Roman" w:eastAsia="宋体"/>
                <w:color w:val="auto"/>
                <w:szCs w:val="21"/>
                <w:highlight w:val="none"/>
              </w:rPr>
              <w:t>3</w:t>
            </w:r>
          </w:p>
        </w:tc>
        <w:tc>
          <w:tcPr>
            <w:tcW w:w="5262" w:type="dxa"/>
            <w:noWrap w:val="0"/>
            <w:vAlign w:val="center"/>
          </w:tcPr>
          <w:p w14:paraId="1B00570A">
            <w:pPr>
              <w:pageBreakBefore w:val="0"/>
              <w:spacing w:line="360" w:lineRule="auto"/>
              <w:rPr>
                <w:rFonts w:ascii="Times New Roman" w:hAnsi="Times New Roman" w:eastAsia="宋体"/>
                <w:iCs/>
                <w:color w:val="auto"/>
                <w:szCs w:val="21"/>
                <w:highlight w:val="none"/>
              </w:rPr>
            </w:pPr>
          </w:p>
        </w:tc>
        <w:tc>
          <w:tcPr>
            <w:tcW w:w="1865" w:type="dxa"/>
            <w:noWrap w:val="0"/>
            <w:vAlign w:val="center"/>
          </w:tcPr>
          <w:p w14:paraId="4011BFD7">
            <w:pPr>
              <w:pageBreakBefore w:val="0"/>
              <w:spacing w:line="360" w:lineRule="auto"/>
              <w:rPr>
                <w:rFonts w:ascii="Times New Roman" w:hAnsi="Times New Roman" w:eastAsia="宋体"/>
                <w:color w:val="auto"/>
                <w:szCs w:val="21"/>
                <w:highlight w:val="none"/>
              </w:rPr>
            </w:pPr>
          </w:p>
        </w:tc>
        <w:tc>
          <w:tcPr>
            <w:tcW w:w="1308" w:type="dxa"/>
            <w:noWrap w:val="0"/>
            <w:vAlign w:val="center"/>
          </w:tcPr>
          <w:p w14:paraId="1AA452AD">
            <w:pPr>
              <w:pageBreakBefore w:val="0"/>
              <w:spacing w:line="360" w:lineRule="auto"/>
              <w:rPr>
                <w:rFonts w:ascii="Times New Roman" w:hAnsi="Times New Roman" w:eastAsia="宋体"/>
                <w:color w:val="auto"/>
                <w:szCs w:val="21"/>
                <w:highlight w:val="none"/>
              </w:rPr>
            </w:pPr>
          </w:p>
        </w:tc>
      </w:tr>
    </w:tbl>
    <w:p w14:paraId="3E0E6CD9">
      <w:pPr>
        <w:pageBreakBefore w:val="0"/>
        <w:spacing w:line="360" w:lineRule="auto"/>
        <w:contextualSpacing/>
        <w:jc w:val="center"/>
        <w:rPr>
          <w:rFonts w:ascii="Times New Roman" w:hAnsi="Times New Roman" w:eastAsia="宋体"/>
          <w:b/>
          <w:bCs/>
          <w:color w:val="auto"/>
          <w:sz w:val="32"/>
          <w:szCs w:val="32"/>
          <w:highlight w:val="none"/>
        </w:rPr>
      </w:pPr>
    </w:p>
    <w:p w14:paraId="4C65B3B5">
      <w:pPr>
        <w:pageBreakBefore w:val="0"/>
        <w:spacing w:line="360" w:lineRule="auto"/>
        <w:contextualSpacing/>
        <w:jc w:val="center"/>
        <w:rPr>
          <w:rFonts w:ascii="Times New Roman" w:hAnsi="Times New Roman" w:eastAsia="宋体"/>
          <w:b/>
          <w:bCs/>
          <w:color w:val="auto"/>
          <w:sz w:val="32"/>
          <w:szCs w:val="32"/>
          <w:highlight w:val="none"/>
        </w:rPr>
      </w:pPr>
    </w:p>
    <w:p w14:paraId="4137628B">
      <w:pPr>
        <w:pageBreakBefore w:val="0"/>
        <w:spacing w:line="360" w:lineRule="auto"/>
        <w:rPr>
          <w:rFonts w:ascii="Times New Roman" w:hAnsi="Times New Roman" w:eastAsia="宋体"/>
          <w:color w:val="auto"/>
          <w:highlight w:val="none"/>
        </w:rPr>
      </w:pPr>
    </w:p>
    <w:p w14:paraId="6CEDDD21">
      <w:pPr>
        <w:pageBreakBefore w:val="0"/>
        <w:widowControl/>
        <w:spacing w:line="360" w:lineRule="auto"/>
        <w:jc w:val="left"/>
        <w:rPr>
          <w:rFonts w:ascii="Times New Roman" w:hAnsi="Times New Roman" w:eastAsia="宋体" w:cs="Arial"/>
          <w:b/>
          <w:bCs/>
          <w:color w:val="auto"/>
          <w:highlight w:val="none"/>
        </w:rPr>
      </w:pPr>
    </w:p>
    <w:p w14:paraId="40CDD2BD">
      <w:pPr>
        <w:pageBreakBefore w:val="0"/>
        <w:widowControl/>
        <w:spacing w:line="360" w:lineRule="auto"/>
        <w:jc w:val="left"/>
        <w:rPr>
          <w:rFonts w:ascii="Times New Roman" w:hAnsi="Times New Roman" w:eastAsia="宋体" w:cs="Arial"/>
          <w:b/>
          <w:bCs/>
          <w:color w:val="auto"/>
          <w:highlight w:val="none"/>
        </w:rPr>
      </w:pPr>
    </w:p>
    <w:p w14:paraId="287E43F1">
      <w:pPr>
        <w:pageBreakBefore w:val="0"/>
        <w:widowControl/>
        <w:spacing w:line="360" w:lineRule="auto"/>
        <w:jc w:val="left"/>
        <w:rPr>
          <w:rFonts w:ascii="Times New Roman" w:hAnsi="Times New Roman" w:eastAsia="宋体" w:cs="Arial"/>
          <w:b/>
          <w:bCs/>
          <w:color w:val="auto"/>
          <w:highlight w:val="none"/>
        </w:rPr>
      </w:pPr>
    </w:p>
    <w:p w14:paraId="19B999B1">
      <w:pPr>
        <w:pageBreakBefore w:val="0"/>
        <w:widowControl/>
        <w:spacing w:line="360" w:lineRule="auto"/>
        <w:jc w:val="left"/>
        <w:rPr>
          <w:rFonts w:ascii="Times New Roman" w:hAnsi="Times New Roman" w:eastAsia="宋体" w:cs="Arial"/>
          <w:b/>
          <w:bCs/>
          <w:color w:val="auto"/>
          <w:highlight w:val="none"/>
        </w:rPr>
      </w:pPr>
    </w:p>
    <w:p w14:paraId="3582ED7A">
      <w:pPr>
        <w:pageBreakBefore w:val="0"/>
        <w:widowControl/>
        <w:spacing w:line="360" w:lineRule="auto"/>
        <w:jc w:val="left"/>
        <w:rPr>
          <w:rFonts w:ascii="Times New Roman" w:hAnsi="Times New Roman" w:eastAsia="宋体" w:cs="Arial"/>
          <w:b/>
          <w:bCs/>
          <w:color w:val="auto"/>
          <w:highlight w:val="none"/>
        </w:rPr>
      </w:pPr>
    </w:p>
    <w:p w14:paraId="6F1EFC43">
      <w:pPr>
        <w:pageBreakBefore w:val="0"/>
        <w:widowControl/>
        <w:spacing w:line="360" w:lineRule="auto"/>
        <w:jc w:val="left"/>
        <w:rPr>
          <w:rFonts w:ascii="Times New Roman" w:hAnsi="Times New Roman" w:eastAsia="宋体" w:cs="Arial"/>
          <w:b/>
          <w:bCs/>
          <w:color w:val="auto"/>
          <w:highlight w:val="none"/>
        </w:rPr>
      </w:pPr>
    </w:p>
    <w:p w14:paraId="74F17394">
      <w:pPr>
        <w:pageBreakBefore w:val="0"/>
        <w:widowControl/>
        <w:spacing w:line="360" w:lineRule="auto"/>
        <w:jc w:val="left"/>
        <w:rPr>
          <w:rFonts w:ascii="Times New Roman" w:hAnsi="Times New Roman" w:eastAsia="宋体" w:cs="Arial"/>
          <w:b/>
          <w:bCs/>
          <w:color w:val="auto"/>
          <w:highlight w:val="none"/>
        </w:rPr>
      </w:pPr>
    </w:p>
    <w:p w14:paraId="42EACCFE">
      <w:pPr>
        <w:pageBreakBefore w:val="0"/>
        <w:widowControl/>
        <w:spacing w:line="360" w:lineRule="auto"/>
        <w:jc w:val="left"/>
        <w:rPr>
          <w:rFonts w:ascii="Times New Roman" w:hAnsi="Times New Roman" w:eastAsia="宋体" w:cs="Arial"/>
          <w:b/>
          <w:bCs/>
          <w:color w:val="auto"/>
          <w:highlight w:val="none"/>
        </w:rPr>
      </w:pPr>
    </w:p>
    <w:p w14:paraId="03BBFFA9">
      <w:pPr>
        <w:pageBreakBefore w:val="0"/>
        <w:widowControl/>
        <w:spacing w:line="360" w:lineRule="auto"/>
        <w:jc w:val="left"/>
        <w:rPr>
          <w:rFonts w:ascii="Times New Roman" w:hAnsi="Times New Roman" w:eastAsia="宋体" w:cs="Arial"/>
          <w:b/>
          <w:bCs/>
          <w:color w:val="auto"/>
          <w:highlight w:val="none"/>
        </w:rPr>
      </w:pPr>
    </w:p>
    <w:p w14:paraId="4C71C361">
      <w:pPr>
        <w:pageBreakBefore w:val="0"/>
        <w:widowControl/>
        <w:spacing w:line="360" w:lineRule="auto"/>
        <w:jc w:val="left"/>
        <w:rPr>
          <w:rFonts w:ascii="Times New Roman" w:hAnsi="Times New Roman" w:eastAsia="宋体" w:cs="Arial"/>
          <w:b/>
          <w:bCs/>
          <w:color w:val="auto"/>
          <w:highlight w:val="none"/>
        </w:rPr>
      </w:pPr>
    </w:p>
    <w:p w14:paraId="2D0AE241">
      <w:pPr>
        <w:pageBreakBefore w:val="0"/>
        <w:widowControl/>
        <w:spacing w:line="360" w:lineRule="auto"/>
        <w:jc w:val="left"/>
        <w:rPr>
          <w:rFonts w:ascii="Times New Roman" w:hAnsi="Times New Roman" w:eastAsia="宋体" w:cs="Arial"/>
          <w:b/>
          <w:bCs/>
          <w:color w:val="auto"/>
          <w:highlight w:val="none"/>
        </w:rPr>
      </w:pPr>
    </w:p>
    <w:p w14:paraId="7DA23A4F">
      <w:pPr>
        <w:pageBreakBefore w:val="0"/>
        <w:widowControl/>
        <w:spacing w:line="360" w:lineRule="auto"/>
        <w:jc w:val="left"/>
        <w:rPr>
          <w:rFonts w:ascii="Times New Roman" w:hAnsi="Times New Roman" w:eastAsia="宋体" w:cs="Arial"/>
          <w:b/>
          <w:bCs/>
          <w:color w:val="auto"/>
          <w:highlight w:val="none"/>
        </w:rPr>
      </w:pPr>
    </w:p>
    <w:p w14:paraId="07890C82">
      <w:pPr>
        <w:pageBreakBefore w:val="0"/>
        <w:widowControl/>
        <w:spacing w:line="360" w:lineRule="auto"/>
        <w:jc w:val="left"/>
        <w:rPr>
          <w:rFonts w:ascii="Times New Roman" w:hAnsi="Times New Roman" w:eastAsia="宋体" w:cs="Arial"/>
          <w:b/>
          <w:bCs/>
          <w:color w:val="auto"/>
          <w:highlight w:val="none"/>
        </w:rPr>
      </w:pPr>
    </w:p>
    <w:p w14:paraId="5B188DBB">
      <w:pPr>
        <w:pageBreakBefore w:val="0"/>
        <w:widowControl/>
        <w:spacing w:line="360" w:lineRule="auto"/>
        <w:jc w:val="left"/>
        <w:rPr>
          <w:rFonts w:ascii="Times New Roman" w:hAnsi="Times New Roman" w:eastAsia="宋体" w:cs="Arial"/>
          <w:b/>
          <w:bCs/>
          <w:color w:val="auto"/>
          <w:highlight w:val="none"/>
        </w:rPr>
      </w:pPr>
    </w:p>
    <w:p w14:paraId="06EBDBDD">
      <w:pPr>
        <w:pageBreakBefore w:val="0"/>
        <w:widowControl/>
        <w:spacing w:line="360" w:lineRule="auto"/>
        <w:jc w:val="left"/>
        <w:rPr>
          <w:rFonts w:ascii="Times New Roman" w:hAnsi="Times New Roman" w:eastAsia="宋体" w:cs="Arial"/>
          <w:b/>
          <w:bCs/>
          <w:color w:val="auto"/>
          <w:highlight w:val="none"/>
        </w:rPr>
      </w:pPr>
    </w:p>
    <w:p w14:paraId="5508967D">
      <w:pPr>
        <w:pageBreakBefore w:val="0"/>
        <w:widowControl/>
        <w:spacing w:line="360" w:lineRule="auto"/>
        <w:jc w:val="left"/>
        <w:rPr>
          <w:rFonts w:ascii="Times New Roman" w:hAnsi="Times New Roman" w:eastAsia="宋体" w:cs="Arial"/>
          <w:b/>
          <w:bCs/>
          <w:color w:val="auto"/>
          <w:highlight w:val="none"/>
        </w:rPr>
      </w:pPr>
    </w:p>
    <w:p w14:paraId="7B255E49">
      <w:pPr>
        <w:pageBreakBefore w:val="0"/>
        <w:widowControl/>
        <w:spacing w:line="360" w:lineRule="auto"/>
        <w:jc w:val="left"/>
        <w:rPr>
          <w:rFonts w:ascii="Times New Roman" w:hAnsi="Times New Roman" w:eastAsia="宋体" w:cs="Arial"/>
          <w:b/>
          <w:bCs/>
          <w:color w:val="auto"/>
          <w:highlight w:val="none"/>
        </w:rPr>
      </w:pPr>
    </w:p>
    <w:p w14:paraId="0511A736">
      <w:pPr>
        <w:pStyle w:val="4"/>
        <w:pageBreakBefore w:val="0"/>
        <w:spacing w:before="0" w:after="0" w:line="360" w:lineRule="auto"/>
        <w:rPr>
          <w:rStyle w:val="44"/>
          <w:rFonts w:ascii="Times New Roman" w:hAnsi="Times New Roman" w:eastAsia="宋体" w:cs="仿宋"/>
          <w:b w:val="0"/>
          <w:color w:val="auto"/>
          <w:sz w:val="21"/>
          <w:szCs w:val="21"/>
          <w:highlight w:val="none"/>
        </w:rPr>
      </w:pPr>
      <w:r>
        <w:rPr>
          <w:rStyle w:val="44"/>
          <w:rFonts w:ascii="Times New Roman" w:hAnsi="Times New Roman" w:eastAsia="宋体" w:cs="仿宋"/>
          <w:b w:val="0"/>
          <w:color w:val="auto"/>
          <w:sz w:val="21"/>
          <w:szCs w:val="21"/>
          <w:highlight w:val="none"/>
        </w:rPr>
        <w:br w:type="page" w:clear="all"/>
      </w:r>
    </w:p>
    <w:p w14:paraId="62EA4AA5">
      <w:pPr>
        <w:pageBreakBefore w:val="0"/>
        <w:spacing w:line="360" w:lineRule="auto"/>
        <w:ind w:firstLine="2726"/>
        <w:rPr>
          <w:rFonts w:ascii="Times New Roman" w:hAnsi="Times New Roman" w:eastAsia="宋体"/>
          <w:b/>
          <w:bCs/>
          <w:color w:val="auto"/>
          <w:highlight w:val="none"/>
        </w:rPr>
      </w:pPr>
      <w:r>
        <w:rPr>
          <w:rFonts w:hint="eastAsia" w:ascii="Times New Roman" w:hAnsi="Times New Roman" w:eastAsia="宋体"/>
          <w:b/>
          <w:bCs/>
          <w:color w:val="auto"/>
          <w:highlight w:val="none"/>
        </w:rPr>
        <w:t>残疾人福利性单位声明函</w:t>
      </w:r>
    </w:p>
    <w:p w14:paraId="0544FC21">
      <w:pPr>
        <w:pageBreakBefore w:val="0"/>
        <w:spacing w:line="360" w:lineRule="auto"/>
        <w:ind w:firstLine="624"/>
        <w:rPr>
          <w:rFonts w:ascii="Times New Roman" w:hAnsi="Times New Roman" w:eastAsia="宋体"/>
          <w:color w:val="auto"/>
          <w:spacing w:val="6"/>
          <w:sz w:val="30"/>
          <w:szCs w:val="30"/>
          <w:highlight w:val="none"/>
        </w:rPr>
      </w:pPr>
    </w:p>
    <w:p w14:paraId="23E47243">
      <w:pPr>
        <w:pageBreakBefore w:val="0"/>
        <w:spacing w:line="360" w:lineRule="auto"/>
        <w:ind w:firstLine="420"/>
        <w:rPr>
          <w:rFonts w:ascii="Times New Roman" w:hAnsi="Times New Roman" w:eastAsia="宋体"/>
          <w:color w:val="auto"/>
          <w:szCs w:val="21"/>
          <w:highlight w:val="none"/>
        </w:rPr>
      </w:pPr>
      <w:r>
        <w:rPr>
          <w:rFonts w:hint="eastAsia" w:ascii="Times New Roman" w:hAnsi="Times New Roman" w:eastAsia="宋体"/>
          <w:color w:val="auto"/>
          <w:szCs w:val="21"/>
          <w:highlight w:val="none"/>
        </w:rPr>
        <w:t>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p>
    <w:p w14:paraId="5B1BEEC7">
      <w:pPr>
        <w:pageBreakBefore w:val="0"/>
        <w:spacing w:line="360" w:lineRule="auto"/>
        <w:ind w:firstLine="420"/>
        <w:rPr>
          <w:rFonts w:ascii="Times New Roman" w:hAnsi="Times New Roman" w:eastAsia="宋体"/>
          <w:color w:val="auto"/>
          <w:szCs w:val="21"/>
          <w:highlight w:val="none"/>
        </w:rPr>
      </w:pPr>
      <w:r>
        <w:rPr>
          <w:rFonts w:hint="eastAsia" w:ascii="Times New Roman" w:hAnsi="Times New Roman" w:eastAsia="宋体"/>
          <w:color w:val="auto"/>
          <w:szCs w:val="21"/>
          <w:highlight w:val="none"/>
        </w:rPr>
        <w:t>本单位在本次政府采购活动中提供的残疾人福利单位产品报价合计为人民币（大写）圆整（￥：）。</w:t>
      </w:r>
    </w:p>
    <w:p w14:paraId="623C4712">
      <w:pPr>
        <w:pageBreakBefore w:val="0"/>
        <w:spacing w:line="360" w:lineRule="auto"/>
        <w:ind w:firstLine="420"/>
        <w:rPr>
          <w:rFonts w:ascii="Times New Roman" w:hAnsi="Times New Roman" w:eastAsia="宋体"/>
          <w:color w:val="auto"/>
          <w:szCs w:val="21"/>
          <w:highlight w:val="none"/>
        </w:rPr>
      </w:pPr>
      <w:r>
        <w:rPr>
          <w:rFonts w:hint="eastAsia" w:ascii="Times New Roman" w:hAnsi="Times New Roman" w:eastAsia="宋体"/>
          <w:color w:val="auto"/>
          <w:szCs w:val="21"/>
          <w:highlight w:val="none"/>
        </w:rPr>
        <w:t>本单位对上述声明的真实性负责。如有虚假，将依法承担相应责任。</w:t>
      </w:r>
    </w:p>
    <w:p w14:paraId="3ACAF4D0">
      <w:pPr>
        <w:pageBreakBefore w:val="0"/>
        <w:spacing w:line="360" w:lineRule="auto"/>
        <w:ind w:firstLine="420"/>
        <w:rPr>
          <w:rFonts w:ascii="Times New Roman" w:hAnsi="Times New Roman" w:eastAsia="宋体"/>
          <w:color w:val="auto"/>
          <w:szCs w:val="21"/>
          <w:highlight w:val="none"/>
        </w:rPr>
      </w:pPr>
    </w:p>
    <w:p w14:paraId="6EB425FB">
      <w:pPr>
        <w:pageBreakBefore w:val="0"/>
        <w:spacing w:line="360" w:lineRule="auto"/>
        <w:ind w:firstLine="420"/>
        <w:rPr>
          <w:rFonts w:ascii="Times New Roman" w:hAnsi="Times New Roman" w:eastAsia="宋体"/>
          <w:color w:val="auto"/>
          <w:szCs w:val="21"/>
          <w:highlight w:val="none"/>
        </w:rPr>
      </w:pPr>
      <w:r>
        <w:rPr>
          <w:rFonts w:hint="eastAsia" w:ascii="Times New Roman" w:hAnsi="Times New Roman" w:eastAsia="宋体"/>
          <w:color w:val="auto"/>
          <w:szCs w:val="21"/>
          <w:highlight w:val="none"/>
        </w:rPr>
        <w:t>备注：1.专门面向中小微型企业采购的项目，供应商为残疾人福利性单位并提供本单位制造的货物</w:t>
      </w:r>
      <w:r>
        <w:rPr>
          <w:rFonts w:hint="eastAsia" w:ascii="Times New Roman" w:hAnsi="Times New Roman" w:eastAsia="宋体"/>
          <w:color w:val="auto"/>
          <w:szCs w:val="21"/>
          <w:highlight w:val="none"/>
          <w:lang w:eastAsia="zh-CN"/>
        </w:rPr>
        <w:t>（</w:t>
      </w:r>
      <w:r>
        <w:rPr>
          <w:rFonts w:hint="eastAsia" w:ascii="Times New Roman" w:hAnsi="Times New Roman" w:eastAsia="宋体"/>
          <w:color w:val="auto"/>
          <w:szCs w:val="21"/>
          <w:highlight w:val="none"/>
          <w:lang w:val="en-US" w:eastAsia="zh-CN"/>
        </w:rPr>
        <w:t>服务</w:t>
      </w:r>
      <w:r>
        <w:rPr>
          <w:rFonts w:hint="eastAsia" w:ascii="Times New Roman" w:hAnsi="Times New Roman" w:eastAsia="宋体"/>
          <w:color w:val="auto"/>
          <w:szCs w:val="21"/>
          <w:highlight w:val="none"/>
          <w:lang w:eastAsia="zh-CN"/>
        </w:rPr>
        <w:t>）</w:t>
      </w:r>
      <w:r>
        <w:rPr>
          <w:rFonts w:hint="eastAsia" w:ascii="Times New Roman" w:hAnsi="Times New Roman" w:eastAsia="宋体"/>
          <w:color w:val="auto"/>
          <w:szCs w:val="21"/>
          <w:highlight w:val="none"/>
        </w:rPr>
        <w:t>，或者提供其他残疾人福利性单位制造的货物</w:t>
      </w:r>
      <w:r>
        <w:rPr>
          <w:rFonts w:hint="eastAsia" w:ascii="Times New Roman" w:hAnsi="Times New Roman" w:eastAsia="宋体"/>
          <w:color w:val="auto"/>
          <w:szCs w:val="21"/>
          <w:highlight w:val="none"/>
          <w:lang w:eastAsia="zh-CN"/>
        </w:rPr>
        <w:t>（</w:t>
      </w:r>
      <w:r>
        <w:rPr>
          <w:rFonts w:hint="eastAsia" w:ascii="Times New Roman" w:hAnsi="Times New Roman" w:eastAsia="宋体"/>
          <w:color w:val="auto"/>
          <w:szCs w:val="21"/>
          <w:highlight w:val="none"/>
          <w:lang w:val="en-US" w:eastAsia="zh-CN"/>
        </w:rPr>
        <w:t>服务</w:t>
      </w:r>
      <w:r>
        <w:rPr>
          <w:rFonts w:hint="eastAsia" w:ascii="Times New Roman" w:hAnsi="Times New Roman" w:eastAsia="宋体"/>
          <w:color w:val="auto"/>
          <w:szCs w:val="21"/>
          <w:highlight w:val="none"/>
          <w:lang w:eastAsia="zh-CN"/>
        </w:rPr>
        <w:t>）</w:t>
      </w:r>
      <w:r>
        <w:rPr>
          <w:rFonts w:hint="eastAsia" w:ascii="Times New Roman" w:hAnsi="Times New Roman" w:eastAsia="宋体"/>
          <w:color w:val="auto"/>
          <w:szCs w:val="21"/>
          <w:highlight w:val="none"/>
        </w:rPr>
        <w:t>，必须提供此声明函，否则将不能通过资格审查。</w:t>
      </w:r>
    </w:p>
    <w:p w14:paraId="2C244BBE">
      <w:pPr>
        <w:pageBreakBefore w:val="0"/>
        <w:spacing w:line="360" w:lineRule="auto"/>
        <w:ind w:firstLine="420"/>
        <w:rPr>
          <w:rFonts w:ascii="Times New Roman" w:hAnsi="Times New Roman" w:eastAsia="宋体"/>
          <w:color w:val="auto"/>
          <w:szCs w:val="21"/>
          <w:highlight w:val="none"/>
        </w:rPr>
      </w:pPr>
      <w:r>
        <w:rPr>
          <w:rFonts w:hint="eastAsia" w:ascii="Times New Roman" w:hAnsi="Times New Roman" w:eastAsia="宋体"/>
          <w:color w:val="auto"/>
          <w:szCs w:val="21"/>
          <w:highlight w:val="none"/>
        </w:rPr>
        <w:t>2.非专门面向中小微型企业采购的项目，供应商如不提供此声明函，价格将不做相应扣除。</w:t>
      </w:r>
    </w:p>
    <w:p w14:paraId="4B466B8D">
      <w:pPr>
        <w:pageBreakBefore w:val="0"/>
        <w:spacing w:line="360" w:lineRule="auto"/>
        <w:ind w:firstLine="420"/>
        <w:rPr>
          <w:rFonts w:ascii="Times New Roman" w:hAnsi="Times New Roman" w:eastAsia="宋体"/>
          <w:color w:val="auto"/>
          <w:szCs w:val="21"/>
          <w:highlight w:val="none"/>
        </w:rPr>
      </w:pPr>
      <w:r>
        <w:rPr>
          <w:rFonts w:hint="eastAsia" w:ascii="Times New Roman" w:hAnsi="Times New Roman" w:eastAsia="宋体"/>
          <w:color w:val="auto"/>
          <w:szCs w:val="21"/>
          <w:highlight w:val="none"/>
        </w:rPr>
        <w:t>3.中标/成交供应商为残疾人福利性单位的，此声明函将随中标/成交结果同时公告，接受社会监督。</w:t>
      </w:r>
    </w:p>
    <w:p w14:paraId="1B322F0F">
      <w:pPr>
        <w:pageBreakBefore w:val="0"/>
        <w:spacing w:line="360" w:lineRule="auto"/>
        <w:ind w:firstLine="444"/>
        <w:rPr>
          <w:rFonts w:ascii="Times New Roman" w:hAnsi="Times New Roman" w:eastAsia="宋体"/>
          <w:color w:val="auto"/>
          <w:spacing w:val="6"/>
          <w:szCs w:val="21"/>
          <w:highlight w:val="none"/>
        </w:rPr>
      </w:pPr>
    </w:p>
    <w:p w14:paraId="47A865C0">
      <w:pPr>
        <w:pageBreakBefore w:val="0"/>
        <w:tabs>
          <w:tab w:val="left" w:pos="4860"/>
        </w:tabs>
        <w:spacing w:line="360" w:lineRule="auto"/>
        <w:ind w:right="1560" w:firstLine="420"/>
        <w:jc w:val="center"/>
        <w:rPr>
          <w:rFonts w:ascii="Times New Roman" w:hAnsi="Times New Roman" w:eastAsia="宋体"/>
          <w:color w:val="auto"/>
          <w:szCs w:val="21"/>
          <w:highlight w:val="none"/>
        </w:rPr>
      </w:pPr>
      <w:r>
        <w:rPr>
          <w:rFonts w:hint="eastAsia" w:ascii="Times New Roman" w:hAnsi="Times New Roman" w:eastAsia="宋体"/>
          <w:color w:val="auto"/>
          <w:szCs w:val="21"/>
          <w:highlight w:val="none"/>
        </w:rPr>
        <w:t>供应商全称（盖章）：</w:t>
      </w:r>
    </w:p>
    <w:p w14:paraId="22C9B097">
      <w:pPr>
        <w:pageBreakBefore w:val="0"/>
        <w:tabs>
          <w:tab w:val="left" w:pos="4860"/>
        </w:tabs>
        <w:spacing w:line="360" w:lineRule="auto"/>
        <w:ind w:right="1560" w:firstLine="420"/>
        <w:jc w:val="center"/>
        <w:rPr>
          <w:rFonts w:ascii="Times New Roman" w:hAnsi="Times New Roman" w:eastAsia="宋体"/>
          <w:color w:val="auto"/>
          <w:szCs w:val="21"/>
          <w:highlight w:val="none"/>
        </w:rPr>
      </w:pPr>
      <w:r>
        <w:rPr>
          <w:rFonts w:hint="eastAsia" w:ascii="Times New Roman" w:hAnsi="Times New Roman" w:eastAsia="宋体"/>
          <w:color w:val="auto"/>
          <w:szCs w:val="21"/>
          <w:highlight w:val="none"/>
        </w:rPr>
        <w:t>日期：</w:t>
      </w:r>
    </w:p>
    <w:p w14:paraId="6812CE9D">
      <w:pPr>
        <w:pageBreakBefore w:val="0"/>
        <w:widowControl/>
        <w:spacing w:line="360" w:lineRule="auto"/>
        <w:jc w:val="left"/>
        <w:rPr>
          <w:rFonts w:ascii="Times New Roman" w:hAnsi="Times New Roman" w:eastAsia="宋体" w:cs="Arial"/>
          <w:b/>
          <w:bCs/>
          <w:color w:val="auto"/>
          <w:highlight w:val="none"/>
        </w:rPr>
      </w:pPr>
    </w:p>
    <w:p w14:paraId="190B2B9A">
      <w:pPr>
        <w:pageBreakBefore w:val="0"/>
        <w:widowControl/>
        <w:spacing w:line="360" w:lineRule="auto"/>
        <w:jc w:val="left"/>
        <w:rPr>
          <w:rFonts w:ascii="Times New Roman" w:hAnsi="Times New Roman" w:eastAsia="宋体" w:cs="Arial"/>
          <w:b/>
          <w:bCs/>
          <w:color w:val="auto"/>
          <w:highlight w:val="none"/>
        </w:rPr>
      </w:pPr>
    </w:p>
    <w:p w14:paraId="24C24B48">
      <w:pPr>
        <w:pageBreakBefore w:val="0"/>
        <w:widowControl/>
        <w:spacing w:line="360" w:lineRule="auto"/>
        <w:jc w:val="left"/>
        <w:rPr>
          <w:rFonts w:ascii="Times New Roman" w:hAnsi="Times New Roman" w:eastAsia="宋体" w:cs="Arial"/>
          <w:b/>
          <w:bCs/>
          <w:color w:val="auto"/>
          <w:highlight w:val="none"/>
        </w:rPr>
      </w:pPr>
    </w:p>
    <w:p w14:paraId="46949813">
      <w:pPr>
        <w:pStyle w:val="3"/>
        <w:pageBreakBefore w:val="0"/>
        <w:spacing w:before="0" w:after="0" w:line="360" w:lineRule="auto"/>
        <w:jc w:val="both"/>
        <w:rPr>
          <w:rFonts w:ascii="Times New Roman" w:hAnsi="Times New Roman" w:eastAsia="宋体"/>
          <w:color w:val="auto"/>
          <w:sz w:val="32"/>
          <w:highlight w:val="none"/>
        </w:rPr>
        <w:sectPr>
          <w:pgSz w:w="11906" w:h="16838"/>
          <w:pgMar w:top="1440" w:right="1800" w:bottom="1440" w:left="1800" w:header="851" w:footer="992" w:gutter="0"/>
          <w:cols w:space="720" w:num="1"/>
          <w:docGrid w:linePitch="360" w:charSpace="0"/>
        </w:sectPr>
      </w:pPr>
      <w:bookmarkStart w:id="75" w:name="_Toc19910"/>
    </w:p>
    <w:p w14:paraId="08996931">
      <w:pPr>
        <w:pStyle w:val="3"/>
        <w:pageBreakBefore w:val="0"/>
        <w:spacing w:before="0" w:after="0" w:line="360" w:lineRule="auto"/>
        <w:jc w:val="center"/>
        <w:rPr>
          <w:rFonts w:ascii="Times New Roman" w:hAnsi="Times New Roman" w:eastAsia="宋体"/>
          <w:color w:val="auto"/>
          <w:sz w:val="32"/>
          <w:highlight w:val="none"/>
        </w:rPr>
      </w:pPr>
      <w:bookmarkStart w:id="76" w:name="_Toc24565"/>
      <w:bookmarkStart w:id="77" w:name="_Toc29012"/>
      <w:r>
        <w:rPr>
          <w:rFonts w:hint="eastAsia" w:ascii="Times New Roman" w:hAnsi="Times New Roman" w:eastAsia="宋体"/>
          <w:color w:val="auto"/>
          <w:sz w:val="32"/>
          <w:highlight w:val="none"/>
        </w:rPr>
        <w:t>四、开标一览表</w:t>
      </w:r>
      <w:bookmarkEnd w:id="75"/>
      <w:bookmarkEnd w:id="76"/>
      <w:bookmarkEnd w:id="77"/>
    </w:p>
    <w:p w14:paraId="398EBFC5">
      <w:pPr>
        <w:pageBreakBefore w:val="0"/>
        <w:spacing w:line="360" w:lineRule="auto"/>
        <w:ind w:firstLine="480"/>
        <w:rPr>
          <w:rFonts w:ascii="Times New Roman" w:hAnsi="Times New Roman" w:eastAsia="宋体"/>
          <w:color w:val="auto"/>
          <w:szCs w:val="21"/>
          <w:highlight w:val="none"/>
        </w:rPr>
      </w:pPr>
      <w:r>
        <w:rPr>
          <w:rFonts w:hint="eastAsia" w:ascii="Times New Roman" w:hAnsi="Times New Roman" w:eastAsia="宋体"/>
          <w:color w:val="auto"/>
          <w:szCs w:val="21"/>
          <w:highlight w:val="none"/>
        </w:rPr>
        <w:t>项目名称：</w:t>
      </w:r>
    </w:p>
    <w:p w14:paraId="7CD4F8E6">
      <w:pPr>
        <w:pageBreakBefore w:val="0"/>
        <w:spacing w:line="360" w:lineRule="auto"/>
        <w:ind w:firstLine="480"/>
        <w:rPr>
          <w:rFonts w:ascii="Times New Roman" w:hAnsi="Times New Roman" w:eastAsia="宋体"/>
          <w:color w:val="auto"/>
          <w:szCs w:val="21"/>
          <w:highlight w:val="none"/>
        </w:rPr>
      </w:pPr>
      <w:r>
        <w:rPr>
          <w:rFonts w:hint="eastAsia" w:ascii="Times New Roman" w:hAnsi="Times New Roman" w:eastAsia="宋体"/>
          <w:color w:val="auto"/>
          <w:szCs w:val="21"/>
          <w:highlight w:val="none"/>
        </w:rPr>
        <w:t>项目编号：</w:t>
      </w:r>
    </w:p>
    <w:p w14:paraId="6A914957">
      <w:pPr>
        <w:pageBreakBefore w:val="0"/>
        <w:spacing w:line="360" w:lineRule="auto"/>
        <w:ind w:firstLine="480"/>
        <w:rPr>
          <w:rFonts w:ascii="Times New Roman" w:hAnsi="Times New Roman" w:eastAsia="宋体"/>
          <w:color w:val="auto"/>
          <w:szCs w:val="21"/>
          <w:highlight w:val="none"/>
        </w:rPr>
      </w:pPr>
      <w:r>
        <w:rPr>
          <w:rFonts w:hint="eastAsia" w:ascii="Times New Roman" w:hAnsi="Times New Roman" w:eastAsia="宋体"/>
          <w:color w:val="auto"/>
          <w:szCs w:val="21"/>
          <w:highlight w:val="none"/>
        </w:rPr>
        <w:t>分包号（如有）：</w:t>
      </w:r>
    </w:p>
    <w:p w14:paraId="00B4ACD2">
      <w:pPr>
        <w:pageBreakBefore w:val="0"/>
        <w:spacing w:line="360" w:lineRule="auto"/>
        <w:ind w:firstLine="480"/>
        <w:rPr>
          <w:rFonts w:ascii="Times New Roman" w:hAnsi="Times New Roman" w:eastAsia="宋体"/>
          <w:color w:val="auto"/>
          <w:szCs w:val="21"/>
          <w:highlight w:val="none"/>
        </w:rPr>
      </w:pPr>
    </w:p>
    <w:tbl>
      <w:tblPr>
        <w:tblStyle w:val="41"/>
        <w:tblW w:w="88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81"/>
        <w:gridCol w:w="6405"/>
      </w:tblGrid>
      <w:tr w14:paraId="7B733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98" w:hRule="atLeast"/>
          <w:jc w:val="center"/>
        </w:trPr>
        <w:tc>
          <w:tcPr>
            <w:tcW w:w="2481" w:type="dxa"/>
            <w:noWrap w:val="0"/>
            <w:vAlign w:val="center"/>
          </w:tcPr>
          <w:p w14:paraId="34250B6E">
            <w:pPr>
              <w:pStyle w:val="15"/>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投标服务名称</w:t>
            </w:r>
          </w:p>
        </w:tc>
        <w:tc>
          <w:tcPr>
            <w:tcW w:w="6405" w:type="dxa"/>
            <w:noWrap w:val="0"/>
            <w:vAlign w:val="center"/>
          </w:tcPr>
          <w:p w14:paraId="5414AB69">
            <w:pPr>
              <w:pageBreakBefore w:val="0"/>
              <w:spacing w:line="360" w:lineRule="auto"/>
              <w:jc w:val="center"/>
              <w:rPr>
                <w:rFonts w:hint="eastAsia" w:ascii="Times New Roman" w:hAnsi="Times New Roman" w:eastAsia="宋体"/>
                <w:color w:val="auto"/>
                <w:szCs w:val="21"/>
                <w:highlight w:val="none"/>
                <w:lang w:eastAsia="zh-CN"/>
              </w:rPr>
            </w:pPr>
            <w:r>
              <w:rPr>
                <w:rFonts w:hint="eastAsia" w:ascii="Times New Roman" w:hAnsi="Times New Roman" w:eastAsia="宋体"/>
                <w:color w:val="auto"/>
                <w:szCs w:val="21"/>
                <w:highlight w:val="none"/>
              </w:rPr>
              <w:t>投标报价</w:t>
            </w:r>
          </w:p>
        </w:tc>
      </w:tr>
      <w:tr w14:paraId="6BB0F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97" w:hRule="atLeast"/>
          <w:jc w:val="center"/>
        </w:trPr>
        <w:tc>
          <w:tcPr>
            <w:tcW w:w="2481" w:type="dxa"/>
            <w:noWrap w:val="0"/>
            <w:vAlign w:val="center"/>
          </w:tcPr>
          <w:p w14:paraId="5B5A047D">
            <w:pPr>
              <w:pStyle w:val="15"/>
              <w:pageBreakBefore w:val="0"/>
              <w:spacing w:line="360" w:lineRule="auto"/>
              <w:rPr>
                <w:rFonts w:ascii="Times New Roman" w:hAnsi="Times New Roman" w:eastAsia="宋体" w:cs="宋体"/>
                <w:color w:val="auto"/>
                <w:sz w:val="21"/>
                <w:szCs w:val="21"/>
                <w:highlight w:val="none"/>
              </w:rPr>
            </w:pPr>
          </w:p>
        </w:tc>
        <w:tc>
          <w:tcPr>
            <w:tcW w:w="6405" w:type="dxa"/>
            <w:noWrap w:val="0"/>
            <w:vAlign w:val="center"/>
          </w:tcPr>
          <w:p w14:paraId="257BFD49">
            <w:pPr>
              <w:pageBreakBefore w:val="0"/>
              <w:spacing w:line="360" w:lineRule="auto"/>
              <w:jc w:val="left"/>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rPr>
              <w:t>大写：</w:t>
            </w:r>
            <w:r>
              <w:rPr>
                <w:rFonts w:hint="eastAsia" w:ascii="Times New Roman" w:hAnsi="Times New Roman" w:eastAsia="宋体"/>
                <w:color w:val="auto"/>
                <w:szCs w:val="21"/>
                <w:highlight w:val="none"/>
                <w:lang w:val="en-US" w:eastAsia="zh-CN"/>
              </w:rPr>
              <w:t xml:space="preserve">       </w:t>
            </w:r>
          </w:p>
          <w:p w14:paraId="5349E1F3">
            <w:pPr>
              <w:pageBreakBefore w:val="0"/>
              <w:spacing w:line="360" w:lineRule="auto"/>
              <w:jc w:val="left"/>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小写：</w:t>
            </w:r>
            <w:r>
              <w:rPr>
                <w:rFonts w:hint="eastAsia" w:ascii="Times New Roman" w:hAnsi="Times New Roman" w:eastAsia="宋体"/>
                <w:color w:val="auto"/>
                <w:szCs w:val="21"/>
                <w:highlight w:val="none"/>
                <w:lang w:val="en-US" w:eastAsia="zh-CN"/>
              </w:rPr>
              <w:t xml:space="preserve">       </w:t>
            </w:r>
            <w:r>
              <w:rPr>
                <w:rFonts w:hint="eastAsia" w:ascii="Times New Roman" w:hAnsi="Times New Roman" w:eastAsia="宋体"/>
                <w:color w:val="auto"/>
                <w:szCs w:val="21"/>
                <w:highlight w:val="none"/>
              </w:rPr>
              <w:t>（人民币）</w:t>
            </w:r>
          </w:p>
          <w:p w14:paraId="6D7BC494">
            <w:pPr>
              <w:pStyle w:val="211"/>
              <w:pageBreakBefore w:val="0"/>
              <w:spacing w:before="0" w:after="0" w:line="360" w:lineRule="auto"/>
              <w:ind w:firstLine="0"/>
              <w:rPr>
                <w:rFonts w:ascii="Times New Roman" w:hAnsi="Times New Roman" w:eastAsia="宋体" w:cs="宋体"/>
                <w:color w:val="auto"/>
                <w:sz w:val="21"/>
                <w:szCs w:val="21"/>
                <w:highlight w:val="none"/>
              </w:rPr>
            </w:pPr>
          </w:p>
        </w:tc>
      </w:tr>
      <w:tr w14:paraId="1CB0A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97" w:hRule="atLeast"/>
          <w:jc w:val="center"/>
        </w:trPr>
        <w:tc>
          <w:tcPr>
            <w:tcW w:w="2481" w:type="dxa"/>
            <w:noWrap w:val="0"/>
            <w:vAlign w:val="center"/>
          </w:tcPr>
          <w:p w14:paraId="4767C7EF">
            <w:pPr>
              <w:pStyle w:val="15"/>
              <w:pageBreakBefore w:val="0"/>
              <w:spacing w:line="360" w:lineRule="auto"/>
              <w:jc w:val="center"/>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备注</w:t>
            </w:r>
          </w:p>
        </w:tc>
        <w:tc>
          <w:tcPr>
            <w:tcW w:w="6405" w:type="dxa"/>
            <w:noWrap w:val="0"/>
            <w:vAlign w:val="center"/>
          </w:tcPr>
          <w:p w14:paraId="05545FC5">
            <w:pPr>
              <w:pStyle w:val="211"/>
              <w:pageBreakBefore w:val="0"/>
              <w:spacing w:before="0" w:after="0" w:line="360" w:lineRule="auto"/>
              <w:ind w:firstLine="0"/>
              <w:jc w:val="center"/>
              <w:rPr>
                <w:rFonts w:hint="default" w:ascii="Times New Roman" w:hAnsi="Times New Roman" w:eastAsia="宋体" w:cs="宋体"/>
                <w:color w:val="auto"/>
                <w:sz w:val="21"/>
                <w:szCs w:val="21"/>
                <w:highlight w:val="none"/>
                <w:lang w:val="en-US" w:eastAsia="zh-CN"/>
              </w:rPr>
            </w:pPr>
          </w:p>
        </w:tc>
      </w:tr>
    </w:tbl>
    <w:p w14:paraId="5D2B49A6">
      <w:pPr>
        <w:pageBreakBefore w:val="0"/>
        <w:spacing w:line="360" w:lineRule="auto"/>
        <w:rPr>
          <w:rFonts w:ascii="Times New Roman" w:hAnsi="Times New Roman" w:eastAsia="宋体"/>
          <w:color w:val="auto"/>
          <w:szCs w:val="21"/>
          <w:highlight w:val="none"/>
        </w:rPr>
      </w:pPr>
    </w:p>
    <w:p w14:paraId="49BBEE64">
      <w:pPr>
        <w:pageBreakBefore w:val="0"/>
        <w:spacing w:line="360" w:lineRule="auto"/>
        <w:ind w:firstLine="480"/>
        <w:rPr>
          <w:rFonts w:ascii="Times New Roman" w:hAnsi="Times New Roman" w:eastAsia="宋体"/>
          <w:color w:val="auto"/>
          <w:sz w:val="32"/>
          <w:szCs w:val="32"/>
          <w:highlight w:val="none"/>
        </w:rPr>
      </w:pPr>
      <w:r>
        <w:rPr>
          <w:rFonts w:hint="eastAsia" w:ascii="Times New Roman" w:hAnsi="Times New Roman" w:eastAsia="宋体"/>
          <w:color w:val="auto"/>
          <w:szCs w:val="21"/>
          <w:highlight w:val="none"/>
        </w:rPr>
        <w:t>日期：年月日</w:t>
      </w:r>
    </w:p>
    <w:p w14:paraId="02FFAD4E">
      <w:pPr>
        <w:pStyle w:val="12"/>
        <w:pageBreakBefore w:val="0"/>
        <w:spacing w:line="360" w:lineRule="auto"/>
        <w:ind w:firstLine="640"/>
        <w:rPr>
          <w:rFonts w:ascii="Times New Roman" w:hAnsi="Times New Roman" w:eastAsia="宋体"/>
          <w:color w:val="auto"/>
          <w:sz w:val="32"/>
          <w:szCs w:val="32"/>
          <w:highlight w:val="none"/>
        </w:rPr>
      </w:pPr>
    </w:p>
    <w:p w14:paraId="6DBD1D24">
      <w:pPr>
        <w:pageBreakBefore w:val="0"/>
        <w:spacing w:line="360" w:lineRule="auto"/>
        <w:rPr>
          <w:rFonts w:ascii="Times New Roman" w:hAnsi="Times New Roman" w:eastAsia="宋体"/>
          <w:color w:val="auto"/>
          <w:sz w:val="32"/>
          <w:szCs w:val="32"/>
          <w:highlight w:val="none"/>
        </w:rPr>
      </w:pPr>
      <w:r>
        <w:rPr>
          <w:rFonts w:hint="eastAsia" w:ascii="Times New Roman" w:hAnsi="Times New Roman" w:eastAsia="宋体"/>
          <w:color w:val="auto"/>
          <w:sz w:val="32"/>
          <w:szCs w:val="32"/>
          <w:highlight w:val="none"/>
        </w:rPr>
        <w:br w:type="page" w:clear="all"/>
      </w:r>
    </w:p>
    <w:p w14:paraId="3B2934D9">
      <w:pPr>
        <w:pStyle w:val="250"/>
        <w:pageBreakBefore w:val="0"/>
        <w:spacing w:after="0" w:line="360" w:lineRule="auto"/>
        <w:jc w:val="center"/>
        <w:rPr>
          <w:rFonts w:ascii="Times New Roman" w:hAnsi="Times New Roman" w:eastAsia="宋体"/>
          <w:b/>
          <w:bCs/>
          <w:color w:val="auto"/>
          <w:sz w:val="24"/>
          <w:szCs w:val="24"/>
          <w:highlight w:val="none"/>
          <w:lang w:eastAsia="zh-CN"/>
        </w:rPr>
      </w:pPr>
      <w:bookmarkStart w:id="78" w:name="_Toc17891"/>
      <w:bookmarkStart w:id="79" w:name="_Toc5967"/>
      <w:r>
        <w:rPr>
          <w:rFonts w:hint="eastAsia" w:ascii="Times New Roman" w:hAnsi="Times New Roman" w:eastAsia="宋体"/>
          <w:b/>
          <w:bCs/>
          <w:color w:val="auto"/>
          <w:sz w:val="32"/>
          <w:highlight w:val="none"/>
        </w:rPr>
        <w:t>五、分项报价表</w:t>
      </w:r>
      <w:bookmarkEnd w:id="78"/>
    </w:p>
    <w:p w14:paraId="358BADF0">
      <w:pPr>
        <w:pageBreakBefore w:val="0"/>
        <w:spacing w:line="360" w:lineRule="auto"/>
        <w:rPr>
          <w:rFonts w:ascii="Times New Roman" w:hAnsi="Times New Roman" w:eastAsia="宋体" w:cs="宋体"/>
          <w:color w:val="auto"/>
          <w:szCs w:val="21"/>
          <w:highlight w:val="none"/>
        </w:rPr>
      </w:pPr>
    </w:p>
    <w:tbl>
      <w:tblPr>
        <w:tblStyle w:val="41"/>
        <w:tblW w:w="9767" w:type="dxa"/>
        <w:jc w:val="center"/>
        <w:tblLayout w:type="fixed"/>
        <w:tblCellMar>
          <w:top w:w="0" w:type="dxa"/>
          <w:left w:w="10" w:type="dxa"/>
          <w:bottom w:w="0" w:type="dxa"/>
          <w:right w:w="10" w:type="dxa"/>
        </w:tblCellMar>
      </w:tblPr>
      <w:tblGrid>
        <w:gridCol w:w="999"/>
        <w:gridCol w:w="2690"/>
        <w:gridCol w:w="957"/>
        <w:gridCol w:w="787"/>
        <w:gridCol w:w="1334"/>
        <w:gridCol w:w="1497"/>
        <w:gridCol w:w="1503"/>
      </w:tblGrid>
      <w:tr w14:paraId="717CA722">
        <w:tblPrEx>
          <w:tblCellMar>
            <w:top w:w="0" w:type="dxa"/>
            <w:left w:w="10" w:type="dxa"/>
            <w:bottom w:w="0" w:type="dxa"/>
            <w:right w:w="10" w:type="dxa"/>
          </w:tblCellMar>
        </w:tblPrEx>
        <w:trPr>
          <w:trHeight w:val="567" w:hRule="atLeast"/>
          <w:jc w:val="center"/>
        </w:trPr>
        <w:tc>
          <w:tcPr>
            <w:tcW w:w="999" w:type="dxa"/>
            <w:tcBorders>
              <w:top w:val="single" w:color="auto" w:sz="4" w:space="0"/>
              <w:left w:val="single" w:color="auto" w:sz="4" w:space="0"/>
              <w:bottom w:val="single" w:color="auto" w:sz="4" w:space="0"/>
            </w:tcBorders>
            <w:shd w:val="clear" w:color="auto" w:fill="FFFFFF"/>
            <w:noWrap w:val="0"/>
            <w:vAlign w:val="center"/>
          </w:tcPr>
          <w:p w14:paraId="66BAD32D">
            <w:pPr>
              <w:pageBreakBefore w:val="0"/>
              <w:spacing w:line="360" w:lineRule="auto"/>
              <w:jc w:val="center"/>
              <w:rPr>
                <w:rFonts w:hint="eastAsia" w:ascii="Times New Roman" w:hAnsi="Times New Roman" w:eastAsia="宋体" w:cs="宋体"/>
                <w:b/>
                <w:bCs/>
                <w:color w:val="auto"/>
                <w:szCs w:val="21"/>
                <w:highlight w:val="none"/>
                <w:lang w:eastAsia="zh-CN"/>
              </w:rPr>
            </w:pPr>
            <w:r>
              <w:rPr>
                <w:rFonts w:hint="eastAsia" w:ascii="Times New Roman" w:hAnsi="Times New Roman" w:eastAsia="宋体" w:cs="宋体"/>
                <w:b/>
                <w:bCs/>
                <w:color w:val="auto"/>
                <w:szCs w:val="21"/>
                <w:highlight w:val="none"/>
                <w:lang w:val="en-US" w:eastAsia="zh-CN"/>
              </w:rPr>
              <w:t>序号</w:t>
            </w:r>
          </w:p>
        </w:tc>
        <w:tc>
          <w:tcPr>
            <w:tcW w:w="2690" w:type="dxa"/>
            <w:tcBorders>
              <w:top w:val="single" w:color="auto" w:sz="4" w:space="0"/>
              <w:left w:val="single" w:color="auto" w:sz="4" w:space="0"/>
            </w:tcBorders>
            <w:shd w:val="clear" w:color="auto" w:fill="FFFFFF"/>
            <w:noWrap w:val="0"/>
            <w:vAlign w:val="center"/>
          </w:tcPr>
          <w:p w14:paraId="7ACEF4BC">
            <w:pPr>
              <w:pageBreakBefore w:val="0"/>
              <w:spacing w:line="360" w:lineRule="auto"/>
              <w:jc w:val="center"/>
              <w:rPr>
                <w:rFonts w:hint="eastAsia" w:ascii="Times New Roman" w:hAnsi="Times New Roman" w:eastAsia="宋体" w:cs="宋体"/>
                <w:b/>
                <w:bCs/>
                <w:color w:val="auto"/>
                <w:szCs w:val="21"/>
                <w:highlight w:val="none"/>
                <w:lang w:eastAsia="zh-CN"/>
              </w:rPr>
            </w:pPr>
            <w:r>
              <w:rPr>
                <w:rFonts w:hint="eastAsia" w:ascii="Times New Roman" w:hAnsi="Times New Roman" w:eastAsia="宋体" w:cs="宋体"/>
                <w:b/>
                <w:bCs/>
                <w:color w:val="auto"/>
                <w:szCs w:val="21"/>
                <w:highlight w:val="none"/>
                <w:lang w:val="en-US" w:eastAsia="zh-CN"/>
              </w:rPr>
              <w:t>名称</w:t>
            </w:r>
          </w:p>
        </w:tc>
        <w:tc>
          <w:tcPr>
            <w:tcW w:w="957" w:type="dxa"/>
            <w:tcBorders>
              <w:top w:val="single" w:color="auto" w:sz="4" w:space="0"/>
              <w:left w:val="single" w:color="auto" w:sz="4" w:space="0"/>
            </w:tcBorders>
            <w:shd w:val="clear" w:color="auto" w:fill="FFFFFF"/>
            <w:noWrap w:val="0"/>
            <w:vAlign w:val="center"/>
          </w:tcPr>
          <w:p w14:paraId="0A2362DD">
            <w:pPr>
              <w:pageBreakBefore w:val="0"/>
              <w:spacing w:line="360" w:lineRule="auto"/>
              <w:jc w:val="center"/>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单位</w:t>
            </w:r>
          </w:p>
        </w:tc>
        <w:tc>
          <w:tcPr>
            <w:tcW w:w="787" w:type="dxa"/>
            <w:tcBorders>
              <w:top w:val="single" w:color="auto" w:sz="4" w:space="0"/>
              <w:left w:val="single" w:color="auto" w:sz="4" w:space="0"/>
            </w:tcBorders>
            <w:shd w:val="clear" w:color="auto" w:fill="FFFFFF"/>
            <w:noWrap w:val="0"/>
            <w:vAlign w:val="center"/>
          </w:tcPr>
          <w:p w14:paraId="1D4EB18A">
            <w:pPr>
              <w:pageBreakBefore w:val="0"/>
              <w:spacing w:line="360" w:lineRule="auto"/>
              <w:jc w:val="center"/>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数量</w:t>
            </w:r>
          </w:p>
        </w:tc>
        <w:tc>
          <w:tcPr>
            <w:tcW w:w="1334" w:type="dxa"/>
            <w:tcBorders>
              <w:top w:val="single" w:color="auto" w:sz="4" w:space="0"/>
              <w:left w:val="single" w:color="auto" w:sz="4" w:space="0"/>
            </w:tcBorders>
            <w:shd w:val="clear" w:color="auto" w:fill="FFFFFF"/>
            <w:noWrap w:val="0"/>
            <w:vAlign w:val="center"/>
          </w:tcPr>
          <w:p w14:paraId="19613B87">
            <w:pPr>
              <w:pageBreakBefore w:val="0"/>
              <w:spacing w:line="360" w:lineRule="auto"/>
              <w:jc w:val="center"/>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单价</w:t>
            </w:r>
          </w:p>
          <w:p w14:paraId="79DB4590">
            <w:pPr>
              <w:pageBreakBefore w:val="0"/>
              <w:spacing w:line="360" w:lineRule="auto"/>
              <w:jc w:val="center"/>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（元）</w:t>
            </w:r>
          </w:p>
        </w:tc>
        <w:tc>
          <w:tcPr>
            <w:tcW w:w="1497" w:type="dxa"/>
            <w:tcBorders>
              <w:top w:val="single" w:color="auto" w:sz="4" w:space="0"/>
              <w:left w:val="single" w:color="auto" w:sz="4" w:space="0"/>
            </w:tcBorders>
            <w:shd w:val="clear" w:color="auto" w:fill="FFFFFF"/>
            <w:noWrap w:val="0"/>
            <w:vAlign w:val="center"/>
          </w:tcPr>
          <w:p w14:paraId="0E559EA8">
            <w:pPr>
              <w:pageBreakBefore w:val="0"/>
              <w:spacing w:line="360" w:lineRule="auto"/>
              <w:jc w:val="center"/>
              <w:rPr>
                <w:rFonts w:hint="eastAsia" w:ascii="Times New Roman" w:hAnsi="Times New Roman" w:eastAsia="宋体" w:cs="宋体"/>
                <w:b/>
                <w:bCs/>
                <w:color w:val="auto"/>
                <w:szCs w:val="21"/>
                <w:highlight w:val="none"/>
                <w:lang w:val="en-US" w:eastAsia="zh-CN"/>
              </w:rPr>
            </w:pPr>
            <w:r>
              <w:rPr>
                <w:rFonts w:hint="eastAsia" w:ascii="Times New Roman" w:hAnsi="Times New Roman" w:eastAsia="宋体" w:cs="宋体"/>
                <w:b/>
                <w:bCs/>
                <w:color w:val="auto"/>
                <w:szCs w:val="21"/>
                <w:highlight w:val="none"/>
                <w:lang w:val="en-US" w:eastAsia="zh-CN"/>
              </w:rPr>
              <w:t>单价合计</w:t>
            </w:r>
          </w:p>
          <w:p w14:paraId="590BADC9">
            <w:pPr>
              <w:pageBreakBefore w:val="0"/>
              <w:spacing w:line="360" w:lineRule="auto"/>
              <w:jc w:val="center"/>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（元）</w:t>
            </w:r>
          </w:p>
        </w:tc>
        <w:tc>
          <w:tcPr>
            <w:tcW w:w="1503" w:type="dxa"/>
            <w:tcBorders>
              <w:top w:val="single" w:color="auto" w:sz="4" w:space="0"/>
              <w:left w:val="single" w:color="auto" w:sz="4" w:space="0"/>
              <w:right w:val="single" w:color="auto" w:sz="4" w:space="0"/>
            </w:tcBorders>
            <w:shd w:val="clear" w:color="auto" w:fill="FFFFFF"/>
            <w:noWrap w:val="0"/>
            <w:vAlign w:val="center"/>
          </w:tcPr>
          <w:p w14:paraId="04648AD3">
            <w:pPr>
              <w:pageBreakBefore w:val="0"/>
              <w:spacing w:line="360" w:lineRule="auto"/>
              <w:jc w:val="center"/>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备注</w:t>
            </w:r>
          </w:p>
        </w:tc>
      </w:tr>
      <w:tr w14:paraId="62D2338B">
        <w:tblPrEx>
          <w:tblCellMar>
            <w:top w:w="0" w:type="dxa"/>
            <w:left w:w="10" w:type="dxa"/>
            <w:bottom w:w="0" w:type="dxa"/>
            <w:right w:w="10" w:type="dxa"/>
          </w:tblCellMar>
        </w:tblPrEx>
        <w:trPr>
          <w:trHeight w:val="567" w:hRule="atLeast"/>
          <w:jc w:val="center"/>
        </w:trPr>
        <w:tc>
          <w:tcPr>
            <w:tcW w:w="999" w:type="dxa"/>
            <w:tcBorders>
              <w:top w:val="single" w:color="auto" w:sz="4" w:space="0"/>
              <w:left w:val="single" w:color="auto" w:sz="4" w:space="0"/>
              <w:bottom w:val="single" w:color="auto" w:sz="4" w:space="0"/>
            </w:tcBorders>
            <w:shd w:val="clear" w:color="auto" w:fill="FFFFFF"/>
            <w:noWrap w:val="0"/>
            <w:vAlign w:val="center"/>
          </w:tcPr>
          <w:p w14:paraId="5075F06C">
            <w:pPr>
              <w:pageBreakBefore w:val="0"/>
              <w:spacing w:line="360" w:lineRule="auto"/>
              <w:jc w:val="center"/>
              <w:rPr>
                <w:rFonts w:ascii="Times New Roman" w:hAnsi="Times New Roman" w:eastAsia="宋体" w:cs="宋体"/>
                <w:color w:val="auto"/>
                <w:szCs w:val="21"/>
                <w:highlight w:val="none"/>
              </w:rPr>
            </w:pPr>
          </w:p>
        </w:tc>
        <w:tc>
          <w:tcPr>
            <w:tcW w:w="2690" w:type="dxa"/>
            <w:tcBorders>
              <w:top w:val="single" w:color="auto" w:sz="4" w:space="0"/>
              <w:left w:val="single" w:color="auto" w:sz="4" w:space="0"/>
            </w:tcBorders>
            <w:shd w:val="clear" w:color="auto" w:fill="FFFFFF"/>
            <w:noWrap w:val="0"/>
            <w:vAlign w:val="center"/>
          </w:tcPr>
          <w:p w14:paraId="1D319DD5">
            <w:pPr>
              <w:pageBreakBefore w:val="0"/>
              <w:spacing w:line="360" w:lineRule="auto"/>
              <w:jc w:val="center"/>
              <w:rPr>
                <w:rFonts w:ascii="Times New Roman" w:hAnsi="Times New Roman" w:eastAsia="宋体" w:cs="宋体"/>
                <w:color w:val="auto"/>
                <w:szCs w:val="21"/>
                <w:highlight w:val="none"/>
              </w:rPr>
            </w:pPr>
          </w:p>
        </w:tc>
        <w:tc>
          <w:tcPr>
            <w:tcW w:w="957" w:type="dxa"/>
            <w:tcBorders>
              <w:top w:val="single" w:color="auto" w:sz="4" w:space="0"/>
              <w:left w:val="single" w:color="auto" w:sz="4" w:space="0"/>
            </w:tcBorders>
            <w:shd w:val="clear" w:color="auto" w:fill="FFFFFF"/>
            <w:noWrap w:val="0"/>
            <w:vAlign w:val="center"/>
          </w:tcPr>
          <w:p w14:paraId="738115C9">
            <w:pPr>
              <w:pageBreakBefore w:val="0"/>
              <w:spacing w:line="360" w:lineRule="auto"/>
              <w:jc w:val="center"/>
              <w:rPr>
                <w:rFonts w:ascii="Times New Roman" w:hAnsi="Times New Roman" w:eastAsia="宋体" w:cs="宋体"/>
                <w:color w:val="auto"/>
                <w:szCs w:val="21"/>
                <w:highlight w:val="none"/>
                <w:lang w:val="zh-TW" w:eastAsia="zh-TW"/>
              </w:rPr>
            </w:pPr>
          </w:p>
        </w:tc>
        <w:tc>
          <w:tcPr>
            <w:tcW w:w="787" w:type="dxa"/>
            <w:tcBorders>
              <w:top w:val="single" w:color="auto" w:sz="4" w:space="0"/>
              <w:left w:val="single" w:color="auto" w:sz="4" w:space="0"/>
            </w:tcBorders>
            <w:shd w:val="clear" w:color="auto" w:fill="FFFFFF"/>
            <w:noWrap w:val="0"/>
            <w:vAlign w:val="center"/>
          </w:tcPr>
          <w:p w14:paraId="10762164">
            <w:pPr>
              <w:pageBreakBefore w:val="0"/>
              <w:spacing w:line="360" w:lineRule="auto"/>
              <w:jc w:val="center"/>
              <w:rPr>
                <w:rFonts w:ascii="Times New Roman" w:hAnsi="Times New Roman" w:eastAsia="宋体" w:cs="宋体"/>
                <w:color w:val="auto"/>
                <w:szCs w:val="21"/>
                <w:highlight w:val="none"/>
              </w:rPr>
            </w:pPr>
          </w:p>
        </w:tc>
        <w:tc>
          <w:tcPr>
            <w:tcW w:w="1334" w:type="dxa"/>
            <w:tcBorders>
              <w:top w:val="single" w:color="auto" w:sz="4" w:space="0"/>
              <w:left w:val="single" w:color="auto" w:sz="4" w:space="0"/>
            </w:tcBorders>
            <w:shd w:val="clear" w:color="auto" w:fill="FFFFFF"/>
            <w:noWrap w:val="0"/>
            <w:vAlign w:val="center"/>
          </w:tcPr>
          <w:p w14:paraId="6769FAEB">
            <w:pPr>
              <w:pageBreakBefore w:val="0"/>
              <w:spacing w:line="360" w:lineRule="auto"/>
              <w:jc w:val="center"/>
              <w:rPr>
                <w:rFonts w:ascii="Times New Roman" w:hAnsi="Times New Roman" w:eastAsia="宋体" w:cs="宋体"/>
                <w:color w:val="auto"/>
                <w:szCs w:val="21"/>
                <w:highlight w:val="none"/>
                <w:lang w:val="zh-TW" w:eastAsia="zh-TW"/>
              </w:rPr>
            </w:pPr>
          </w:p>
        </w:tc>
        <w:tc>
          <w:tcPr>
            <w:tcW w:w="1497" w:type="dxa"/>
            <w:tcBorders>
              <w:top w:val="single" w:color="auto" w:sz="4" w:space="0"/>
              <w:left w:val="single" w:color="auto" w:sz="4" w:space="0"/>
            </w:tcBorders>
            <w:shd w:val="clear" w:color="auto" w:fill="FFFFFF"/>
            <w:noWrap w:val="0"/>
            <w:vAlign w:val="center"/>
          </w:tcPr>
          <w:p w14:paraId="0AB44C36">
            <w:pPr>
              <w:pageBreakBefore w:val="0"/>
              <w:spacing w:line="360" w:lineRule="auto"/>
              <w:jc w:val="center"/>
              <w:rPr>
                <w:rFonts w:ascii="Times New Roman" w:hAnsi="Times New Roman" w:eastAsia="宋体" w:cs="宋体"/>
                <w:color w:val="auto"/>
                <w:szCs w:val="21"/>
                <w:highlight w:val="none"/>
              </w:rPr>
            </w:pPr>
          </w:p>
        </w:tc>
        <w:tc>
          <w:tcPr>
            <w:tcW w:w="150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56C0C99">
            <w:pPr>
              <w:pageBreakBefore w:val="0"/>
              <w:spacing w:line="360" w:lineRule="auto"/>
              <w:jc w:val="center"/>
              <w:rPr>
                <w:rFonts w:ascii="Times New Roman" w:hAnsi="Times New Roman" w:eastAsia="宋体" w:cs="宋体"/>
                <w:color w:val="auto"/>
                <w:szCs w:val="21"/>
                <w:highlight w:val="none"/>
              </w:rPr>
            </w:pPr>
          </w:p>
        </w:tc>
      </w:tr>
      <w:tr w14:paraId="3D8AC93E">
        <w:tblPrEx>
          <w:tblCellMar>
            <w:top w:w="0" w:type="dxa"/>
            <w:left w:w="10" w:type="dxa"/>
            <w:bottom w:w="0" w:type="dxa"/>
            <w:right w:w="10" w:type="dxa"/>
          </w:tblCellMar>
        </w:tblPrEx>
        <w:trPr>
          <w:trHeight w:val="567" w:hRule="atLeast"/>
          <w:jc w:val="center"/>
        </w:trPr>
        <w:tc>
          <w:tcPr>
            <w:tcW w:w="999" w:type="dxa"/>
            <w:tcBorders>
              <w:top w:val="single" w:color="auto" w:sz="4" w:space="0"/>
              <w:left w:val="single" w:color="auto" w:sz="4" w:space="0"/>
              <w:bottom w:val="single" w:color="auto" w:sz="4" w:space="0"/>
            </w:tcBorders>
            <w:shd w:val="clear" w:color="auto" w:fill="FFFFFF"/>
            <w:noWrap w:val="0"/>
            <w:vAlign w:val="center"/>
          </w:tcPr>
          <w:p w14:paraId="26DBF1CC">
            <w:pPr>
              <w:pageBreakBefore w:val="0"/>
              <w:spacing w:line="360" w:lineRule="auto"/>
              <w:jc w:val="center"/>
              <w:rPr>
                <w:rFonts w:ascii="Times New Roman" w:hAnsi="Times New Roman" w:eastAsia="宋体" w:cs="宋体"/>
                <w:color w:val="auto"/>
                <w:szCs w:val="21"/>
                <w:highlight w:val="none"/>
              </w:rPr>
            </w:pPr>
          </w:p>
        </w:tc>
        <w:tc>
          <w:tcPr>
            <w:tcW w:w="2690" w:type="dxa"/>
            <w:tcBorders>
              <w:top w:val="single" w:color="auto" w:sz="4" w:space="0"/>
              <w:left w:val="single" w:color="auto" w:sz="4" w:space="0"/>
            </w:tcBorders>
            <w:shd w:val="clear" w:color="auto" w:fill="FFFFFF"/>
            <w:noWrap w:val="0"/>
            <w:vAlign w:val="center"/>
          </w:tcPr>
          <w:p w14:paraId="7DA9AD75">
            <w:pPr>
              <w:pageBreakBefore w:val="0"/>
              <w:spacing w:line="360" w:lineRule="auto"/>
              <w:jc w:val="center"/>
              <w:rPr>
                <w:rFonts w:ascii="Times New Roman" w:hAnsi="Times New Roman" w:eastAsia="宋体" w:cs="宋体"/>
                <w:color w:val="auto"/>
                <w:szCs w:val="21"/>
                <w:highlight w:val="none"/>
              </w:rPr>
            </w:pPr>
          </w:p>
        </w:tc>
        <w:tc>
          <w:tcPr>
            <w:tcW w:w="957" w:type="dxa"/>
            <w:tcBorders>
              <w:top w:val="single" w:color="auto" w:sz="4" w:space="0"/>
              <w:left w:val="single" w:color="auto" w:sz="4" w:space="0"/>
              <w:bottom w:val="single" w:color="auto" w:sz="4" w:space="0"/>
            </w:tcBorders>
            <w:shd w:val="clear" w:color="auto" w:fill="FFFFFF"/>
            <w:noWrap w:val="0"/>
            <w:vAlign w:val="center"/>
          </w:tcPr>
          <w:p w14:paraId="0D58E258">
            <w:pPr>
              <w:pageBreakBefore w:val="0"/>
              <w:spacing w:line="360" w:lineRule="auto"/>
              <w:jc w:val="center"/>
              <w:rPr>
                <w:rFonts w:ascii="Times New Roman" w:hAnsi="Times New Roman" w:eastAsia="宋体" w:cs="宋体"/>
                <w:color w:val="auto"/>
                <w:szCs w:val="21"/>
                <w:highlight w:val="none"/>
                <w:lang w:val="zh-TW" w:eastAsia="zh-TW"/>
              </w:rPr>
            </w:pPr>
          </w:p>
        </w:tc>
        <w:tc>
          <w:tcPr>
            <w:tcW w:w="787" w:type="dxa"/>
            <w:tcBorders>
              <w:top w:val="single" w:color="auto" w:sz="4" w:space="0"/>
              <w:left w:val="single" w:color="auto" w:sz="4" w:space="0"/>
              <w:bottom w:val="single" w:color="auto" w:sz="4" w:space="0"/>
            </w:tcBorders>
            <w:shd w:val="clear" w:color="auto" w:fill="FFFFFF"/>
            <w:noWrap w:val="0"/>
            <w:vAlign w:val="center"/>
          </w:tcPr>
          <w:p w14:paraId="4F4F3314">
            <w:pPr>
              <w:pageBreakBefore w:val="0"/>
              <w:spacing w:line="360" w:lineRule="auto"/>
              <w:jc w:val="center"/>
              <w:rPr>
                <w:rFonts w:ascii="Times New Roman" w:hAnsi="Times New Roman" w:eastAsia="宋体" w:cs="宋体"/>
                <w:color w:val="auto"/>
                <w:szCs w:val="21"/>
                <w:highlight w:val="none"/>
              </w:rPr>
            </w:pPr>
          </w:p>
        </w:tc>
        <w:tc>
          <w:tcPr>
            <w:tcW w:w="1334" w:type="dxa"/>
            <w:tcBorders>
              <w:top w:val="single" w:color="auto" w:sz="4" w:space="0"/>
              <w:left w:val="single" w:color="auto" w:sz="4" w:space="0"/>
              <w:bottom w:val="single" w:color="auto" w:sz="4" w:space="0"/>
            </w:tcBorders>
            <w:shd w:val="clear" w:color="auto" w:fill="FFFFFF"/>
            <w:noWrap w:val="0"/>
            <w:vAlign w:val="center"/>
          </w:tcPr>
          <w:p w14:paraId="04F58132">
            <w:pPr>
              <w:pageBreakBefore w:val="0"/>
              <w:spacing w:line="360" w:lineRule="auto"/>
              <w:jc w:val="center"/>
              <w:rPr>
                <w:rFonts w:ascii="Times New Roman" w:hAnsi="Times New Roman" w:eastAsia="宋体" w:cs="宋体"/>
                <w:color w:val="auto"/>
                <w:szCs w:val="21"/>
                <w:highlight w:val="none"/>
                <w:lang w:val="zh-TW" w:eastAsia="zh-TW"/>
              </w:rPr>
            </w:pPr>
          </w:p>
        </w:tc>
        <w:tc>
          <w:tcPr>
            <w:tcW w:w="1497" w:type="dxa"/>
            <w:tcBorders>
              <w:top w:val="single" w:color="auto" w:sz="4" w:space="0"/>
              <w:left w:val="single" w:color="auto" w:sz="4" w:space="0"/>
              <w:bottom w:val="single" w:color="auto" w:sz="4" w:space="0"/>
            </w:tcBorders>
            <w:shd w:val="clear" w:color="auto" w:fill="FFFFFF"/>
            <w:noWrap w:val="0"/>
            <w:vAlign w:val="center"/>
          </w:tcPr>
          <w:p w14:paraId="717E6A96">
            <w:pPr>
              <w:pageBreakBefore w:val="0"/>
              <w:spacing w:line="360" w:lineRule="auto"/>
              <w:jc w:val="center"/>
              <w:rPr>
                <w:rFonts w:ascii="Times New Roman" w:hAnsi="Times New Roman" w:eastAsia="宋体" w:cs="宋体"/>
                <w:color w:val="auto"/>
                <w:szCs w:val="21"/>
                <w:highlight w:val="none"/>
              </w:rPr>
            </w:pPr>
          </w:p>
        </w:tc>
        <w:tc>
          <w:tcPr>
            <w:tcW w:w="150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3595A28">
            <w:pPr>
              <w:pageBreakBefore w:val="0"/>
              <w:spacing w:line="360" w:lineRule="auto"/>
              <w:jc w:val="center"/>
              <w:rPr>
                <w:rFonts w:ascii="Times New Roman" w:hAnsi="Times New Roman" w:eastAsia="宋体" w:cs="宋体"/>
                <w:color w:val="auto"/>
                <w:szCs w:val="21"/>
                <w:highlight w:val="none"/>
              </w:rPr>
            </w:pPr>
          </w:p>
        </w:tc>
      </w:tr>
      <w:tr w14:paraId="2496E8C3">
        <w:tblPrEx>
          <w:tblCellMar>
            <w:top w:w="0" w:type="dxa"/>
            <w:left w:w="10" w:type="dxa"/>
            <w:bottom w:w="0" w:type="dxa"/>
            <w:right w:w="10" w:type="dxa"/>
          </w:tblCellMar>
        </w:tblPrEx>
        <w:trPr>
          <w:trHeight w:val="567" w:hRule="atLeast"/>
          <w:jc w:val="center"/>
        </w:trPr>
        <w:tc>
          <w:tcPr>
            <w:tcW w:w="999" w:type="dxa"/>
            <w:tcBorders>
              <w:top w:val="single" w:color="auto" w:sz="4" w:space="0"/>
              <w:left w:val="single" w:color="auto" w:sz="4" w:space="0"/>
              <w:bottom w:val="single" w:color="auto" w:sz="4" w:space="0"/>
            </w:tcBorders>
            <w:shd w:val="clear" w:color="auto" w:fill="FFFFFF"/>
            <w:noWrap w:val="0"/>
            <w:vAlign w:val="center"/>
          </w:tcPr>
          <w:p w14:paraId="51D2993F">
            <w:pPr>
              <w:pageBreakBefore w:val="0"/>
              <w:spacing w:line="360" w:lineRule="auto"/>
              <w:jc w:val="center"/>
              <w:rPr>
                <w:rFonts w:ascii="Times New Roman" w:hAnsi="Times New Roman" w:eastAsia="宋体" w:cs="宋体"/>
                <w:color w:val="auto"/>
                <w:szCs w:val="21"/>
                <w:highlight w:val="none"/>
              </w:rPr>
            </w:pPr>
          </w:p>
        </w:tc>
        <w:tc>
          <w:tcPr>
            <w:tcW w:w="2690" w:type="dxa"/>
            <w:tcBorders>
              <w:top w:val="single" w:color="auto" w:sz="4" w:space="0"/>
              <w:left w:val="single" w:color="auto" w:sz="4" w:space="0"/>
              <w:bottom w:val="single" w:color="auto" w:sz="4" w:space="0"/>
            </w:tcBorders>
            <w:shd w:val="clear" w:color="auto" w:fill="FFFFFF"/>
            <w:noWrap w:val="0"/>
            <w:vAlign w:val="center"/>
          </w:tcPr>
          <w:p w14:paraId="5C15D33F">
            <w:pPr>
              <w:pageBreakBefore w:val="0"/>
              <w:spacing w:line="360" w:lineRule="auto"/>
              <w:jc w:val="center"/>
              <w:rPr>
                <w:rFonts w:ascii="Times New Roman" w:hAnsi="Times New Roman" w:eastAsia="宋体" w:cs="宋体"/>
                <w:color w:val="auto"/>
                <w:szCs w:val="21"/>
                <w:highlight w:val="none"/>
                <w:lang w:val="zh-TW" w:eastAsia="zh-TW"/>
              </w:rPr>
            </w:pPr>
          </w:p>
        </w:tc>
        <w:tc>
          <w:tcPr>
            <w:tcW w:w="957" w:type="dxa"/>
            <w:tcBorders>
              <w:top w:val="single" w:color="auto" w:sz="4" w:space="0"/>
              <w:left w:val="single" w:color="auto" w:sz="4" w:space="0"/>
              <w:bottom w:val="single" w:color="auto" w:sz="4" w:space="0"/>
            </w:tcBorders>
            <w:shd w:val="clear" w:color="auto" w:fill="FFFFFF"/>
            <w:noWrap w:val="0"/>
            <w:vAlign w:val="center"/>
          </w:tcPr>
          <w:p w14:paraId="36C37592">
            <w:pPr>
              <w:pageBreakBefore w:val="0"/>
              <w:spacing w:line="360" w:lineRule="auto"/>
              <w:jc w:val="center"/>
              <w:rPr>
                <w:rFonts w:ascii="Times New Roman" w:hAnsi="Times New Roman" w:eastAsia="宋体" w:cs="宋体"/>
                <w:color w:val="auto"/>
                <w:szCs w:val="21"/>
                <w:highlight w:val="none"/>
                <w:lang w:val="zh-TW"/>
              </w:rPr>
            </w:pPr>
          </w:p>
        </w:tc>
        <w:tc>
          <w:tcPr>
            <w:tcW w:w="787" w:type="dxa"/>
            <w:tcBorders>
              <w:top w:val="single" w:color="auto" w:sz="4" w:space="0"/>
              <w:left w:val="single" w:color="auto" w:sz="4" w:space="0"/>
              <w:bottom w:val="single" w:color="auto" w:sz="4" w:space="0"/>
            </w:tcBorders>
            <w:shd w:val="clear" w:color="auto" w:fill="FFFFFF"/>
            <w:noWrap w:val="0"/>
            <w:vAlign w:val="center"/>
          </w:tcPr>
          <w:p w14:paraId="4A97313E">
            <w:pPr>
              <w:pageBreakBefore w:val="0"/>
              <w:spacing w:line="360" w:lineRule="auto"/>
              <w:jc w:val="center"/>
              <w:rPr>
                <w:rFonts w:ascii="Times New Roman" w:hAnsi="Times New Roman" w:eastAsia="宋体" w:cs="宋体"/>
                <w:color w:val="auto"/>
                <w:szCs w:val="21"/>
                <w:highlight w:val="none"/>
                <w:lang w:val="zh-TW" w:eastAsia="zh-TW"/>
              </w:rPr>
            </w:pPr>
          </w:p>
        </w:tc>
        <w:tc>
          <w:tcPr>
            <w:tcW w:w="1334" w:type="dxa"/>
            <w:tcBorders>
              <w:top w:val="single" w:color="auto" w:sz="4" w:space="0"/>
              <w:left w:val="single" w:color="auto" w:sz="4" w:space="0"/>
              <w:bottom w:val="single" w:color="auto" w:sz="4" w:space="0"/>
            </w:tcBorders>
            <w:shd w:val="clear" w:color="auto" w:fill="FFFFFF"/>
            <w:noWrap w:val="0"/>
            <w:vAlign w:val="center"/>
          </w:tcPr>
          <w:p w14:paraId="755D61FE">
            <w:pPr>
              <w:pageBreakBefore w:val="0"/>
              <w:spacing w:line="360" w:lineRule="auto"/>
              <w:jc w:val="center"/>
              <w:rPr>
                <w:rFonts w:ascii="Times New Roman" w:hAnsi="Times New Roman" w:eastAsia="宋体" w:cs="宋体"/>
                <w:color w:val="auto"/>
                <w:szCs w:val="21"/>
                <w:highlight w:val="none"/>
                <w:lang w:val="zh-TW" w:eastAsia="zh-TW"/>
              </w:rPr>
            </w:pPr>
          </w:p>
        </w:tc>
        <w:tc>
          <w:tcPr>
            <w:tcW w:w="1497" w:type="dxa"/>
            <w:tcBorders>
              <w:top w:val="single" w:color="auto" w:sz="4" w:space="0"/>
              <w:left w:val="single" w:color="auto" w:sz="4" w:space="0"/>
              <w:bottom w:val="single" w:color="auto" w:sz="4" w:space="0"/>
            </w:tcBorders>
            <w:shd w:val="clear" w:color="auto" w:fill="FFFFFF"/>
            <w:noWrap w:val="0"/>
            <w:vAlign w:val="center"/>
          </w:tcPr>
          <w:p w14:paraId="3A36506C">
            <w:pPr>
              <w:pageBreakBefore w:val="0"/>
              <w:spacing w:line="360" w:lineRule="auto"/>
              <w:jc w:val="center"/>
              <w:rPr>
                <w:rFonts w:ascii="Times New Roman" w:hAnsi="Times New Roman" w:eastAsia="宋体" w:cs="宋体"/>
                <w:color w:val="auto"/>
                <w:szCs w:val="21"/>
                <w:highlight w:val="none"/>
                <w:lang w:val="zh-TW" w:eastAsia="zh-TW"/>
              </w:rPr>
            </w:pPr>
          </w:p>
        </w:tc>
        <w:tc>
          <w:tcPr>
            <w:tcW w:w="150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C6584B8">
            <w:pPr>
              <w:pStyle w:val="251"/>
              <w:pageBreakBefore w:val="0"/>
              <w:spacing w:line="360" w:lineRule="auto"/>
              <w:rPr>
                <w:rFonts w:ascii="Times New Roman" w:hAnsi="Times New Roman" w:eastAsia="宋体"/>
                <w:color w:val="auto"/>
                <w:sz w:val="21"/>
                <w:szCs w:val="21"/>
                <w:highlight w:val="none"/>
                <w:lang w:eastAsia="zh-CN"/>
              </w:rPr>
            </w:pPr>
          </w:p>
        </w:tc>
      </w:tr>
      <w:tr w14:paraId="447B2A63">
        <w:tblPrEx>
          <w:tblCellMar>
            <w:top w:w="0" w:type="dxa"/>
            <w:left w:w="10" w:type="dxa"/>
            <w:bottom w:w="0" w:type="dxa"/>
            <w:right w:w="10" w:type="dxa"/>
          </w:tblCellMar>
        </w:tblPrEx>
        <w:trPr>
          <w:trHeight w:val="567" w:hRule="atLeast"/>
          <w:jc w:val="center"/>
        </w:trPr>
        <w:tc>
          <w:tcPr>
            <w:tcW w:w="999" w:type="dxa"/>
            <w:tcBorders>
              <w:top w:val="single" w:color="auto" w:sz="4" w:space="0"/>
              <w:left w:val="single" w:color="auto" w:sz="4" w:space="0"/>
              <w:bottom w:val="single" w:color="auto" w:sz="4" w:space="0"/>
            </w:tcBorders>
            <w:shd w:val="clear" w:color="auto" w:fill="FFFFFF"/>
            <w:noWrap w:val="0"/>
            <w:vAlign w:val="center"/>
          </w:tcPr>
          <w:p w14:paraId="6E67C864">
            <w:pPr>
              <w:pageBreakBefore w:val="0"/>
              <w:spacing w:line="360" w:lineRule="auto"/>
              <w:jc w:val="center"/>
              <w:rPr>
                <w:rFonts w:ascii="Times New Roman" w:hAnsi="Times New Roman" w:eastAsia="宋体" w:cs="宋体"/>
                <w:color w:val="auto"/>
                <w:szCs w:val="21"/>
                <w:highlight w:val="none"/>
              </w:rPr>
            </w:pPr>
          </w:p>
        </w:tc>
        <w:tc>
          <w:tcPr>
            <w:tcW w:w="2690" w:type="dxa"/>
            <w:tcBorders>
              <w:top w:val="single" w:color="auto" w:sz="4" w:space="0"/>
              <w:left w:val="single" w:color="auto" w:sz="4" w:space="0"/>
              <w:bottom w:val="single" w:color="auto" w:sz="4" w:space="0"/>
            </w:tcBorders>
            <w:shd w:val="clear" w:color="auto" w:fill="FFFFFF"/>
            <w:noWrap w:val="0"/>
            <w:vAlign w:val="center"/>
          </w:tcPr>
          <w:p w14:paraId="7433A0A1">
            <w:pPr>
              <w:pageBreakBefore w:val="0"/>
              <w:spacing w:line="360" w:lineRule="auto"/>
              <w:jc w:val="center"/>
              <w:rPr>
                <w:rFonts w:ascii="Times New Roman" w:hAnsi="Times New Roman" w:eastAsia="宋体" w:cs="宋体"/>
                <w:color w:val="auto"/>
                <w:szCs w:val="21"/>
                <w:highlight w:val="none"/>
                <w:lang w:val="zh-TW" w:eastAsia="zh-TW"/>
              </w:rPr>
            </w:pPr>
          </w:p>
        </w:tc>
        <w:tc>
          <w:tcPr>
            <w:tcW w:w="957" w:type="dxa"/>
            <w:tcBorders>
              <w:top w:val="single" w:color="auto" w:sz="4" w:space="0"/>
              <w:left w:val="single" w:color="auto" w:sz="4" w:space="0"/>
              <w:bottom w:val="single" w:color="auto" w:sz="4" w:space="0"/>
            </w:tcBorders>
            <w:shd w:val="clear" w:color="auto" w:fill="FFFFFF"/>
            <w:noWrap w:val="0"/>
            <w:vAlign w:val="center"/>
          </w:tcPr>
          <w:p w14:paraId="3DB64888">
            <w:pPr>
              <w:pageBreakBefore w:val="0"/>
              <w:spacing w:line="360" w:lineRule="auto"/>
              <w:jc w:val="center"/>
              <w:rPr>
                <w:rFonts w:ascii="Times New Roman" w:hAnsi="Times New Roman" w:eastAsia="宋体" w:cs="宋体"/>
                <w:color w:val="auto"/>
                <w:szCs w:val="21"/>
                <w:highlight w:val="none"/>
              </w:rPr>
            </w:pPr>
          </w:p>
        </w:tc>
        <w:tc>
          <w:tcPr>
            <w:tcW w:w="787" w:type="dxa"/>
            <w:tcBorders>
              <w:top w:val="single" w:color="auto" w:sz="4" w:space="0"/>
              <w:left w:val="single" w:color="auto" w:sz="4" w:space="0"/>
              <w:bottom w:val="single" w:color="auto" w:sz="4" w:space="0"/>
            </w:tcBorders>
            <w:shd w:val="clear" w:color="auto" w:fill="FFFFFF"/>
            <w:noWrap w:val="0"/>
            <w:vAlign w:val="center"/>
          </w:tcPr>
          <w:p w14:paraId="4FF3860F">
            <w:pPr>
              <w:pageBreakBefore w:val="0"/>
              <w:spacing w:line="360" w:lineRule="auto"/>
              <w:jc w:val="center"/>
              <w:rPr>
                <w:rFonts w:ascii="Times New Roman" w:hAnsi="Times New Roman" w:eastAsia="宋体" w:cs="宋体"/>
                <w:color w:val="auto"/>
                <w:szCs w:val="21"/>
                <w:highlight w:val="none"/>
              </w:rPr>
            </w:pPr>
          </w:p>
        </w:tc>
        <w:tc>
          <w:tcPr>
            <w:tcW w:w="1334" w:type="dxa"/>
            <w:tcBorders>
              <w:top w:val="single" w:color="auto" w:sz="4" w:space="0"/>
              <w:left w:val="single" w:color="auto" w:sz="4" w:space="0"/>
              <w:bottom w:val="single" w:color="auto" w:sz="4" w:space="0"/>
            </w:tcBorders>
            <w:shd w:val="clear" w:color="auto" w:fill="FFFFFF"/>
            <w:noWrap w:val="0"/>
            <w:vAlign w:val="center"/>
          </w:tcPr>
          <w:p w14:paraId="01CFF20B">
            <w:pPr>
              <w:pageBreakBefore w:val="0"/>
              <w:spacing w:line="360" w:lineRule="auto"/>
              <w:jc w:val="center"/>
              <w:rPr>
                <w:rFonts w:ascii="Times New Roman" w:hAnsi="Times New Roman" w:eastAsia="宋体" w:cs="宋体"/>
                <w:color w:val="auto"/>
                <w:szCs w:val="21"/>
                <w:highlight w:val="none"/>
              </w:rPr>
            </w:pPr>
          </w:p>
        </w:tc>
        <w:tc>
          <w:tcPr>
            <w:tcW w:w="1497" w:type="dxa"/>
            <w:tcBorders>
              <w:top w:val="single" w:color="auto" w:sz="4" w:space="0"/>
              <w:left w:val="single" w:color="auto" w:sz="4" w:space="0"/>
              <w:bottom w:val="single" w:color="auto" w:sz="4" w:space="0"/>
            </w:tcBorders>
            <w:shd w:val="clear" w:color="auto" w:fill="FFFFFF"/>
            <w:noWrap w:val="0"/>
            <w:vAlign w:val="center"/>
          </w:tcPr>
          <w:p w14:paraId="57491D4C">
            <w:pPr>
              <w:pStyle w:val="251"/>
              <w:pageBreakBefore w:val="0"/>
              <w:spacing w:line="360" w:lineRule="auto"/>
              <w:rPr>
                <w:rFonts w:ascii="Times New Roman" w:hAnsi="Times New Roman" w:eastAsia="宋体"/>
                <w:color w:val="auto"/>
                <w:sz w:val="21"/>
                <w:szCs w:val="21"/>
                <w:highlight w:val="none"/>
              </w:rPr>
            </w:pPr>
          </w:p>
        </w:tc>
        <w:tc>
          <w:tcPr>
            <w:tcW w:w="150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FBC4CCB">
            <w:pPr>
              <w:pStyle w:val="251"/>
              <w:pageBreakBefore w:val="0"/>
              <w:spacing w:line="360" w:lineRule="auto"/>
              <w:rPr>
                <w:rFonts w:ascii="Times New Roman" w:hAnsi="Times New Roman" w:eastAsia="宋体"/>
                <w:color w:val="auto"/>
                <w:sz w:val="21"/>
                <w:szCs w:val="21"/>
                <w:highlight w:val="none"/>
              </w:rPr>
            </w:pPr>
          </w:p>
        </w:tc>
      </w:tr>
      <w:tr w14:paraId="50C9E02A">
        <w:tblPrEx>
          <w:tblCellMar>
            <w:top w:w="0" w:type="dxa"/>
            <w:left w:w="10" w:type="dxa"/>
            <w:bottom w:w="0" w:type="dxa"/>
            <w:right w:w="10" w:type="dxa"/>
          </w:tblCellMar>
        </w:tblPrEx>
        <w:trPr>
          <w:trHeight w:val="567" w:hRule="atLeast"/>
          <w:jc w:val="center"/>
        </w:trPr>
        <w:tc>
          <w:tcPr>
            <w:tcW w:w="999" w:type="dxa"/>
            <w:tcBorders>
              <w:top w:val="single" w:color="auto" w:sz="4" w:space="0"/>
              <w:left w:val="single" w:color="auto" w:sz="4" w:space="0"/>
              <w:bottom w:val="single" w:color="auto" w:sz="4" w:space="0"/>
            </w:tcBorders>
            <w:shd w:val="clear" w:color="auto" w:fill="FFFFFF"/>
            <w:noWrap w:val="0"/>
            <w:vAlign w:val="center"/>
          </w:tcPr>
          <w:p w14:paraId="09A66037">
            <w:pPr>
              <w:pageBreakBefore w:val="0"/>
              <w:spacing w:line="360" w:lineRule="auto"/>
              <w:jc w:val="center"/>
              <w:rPr>
                <w:rFonts w:ascii="Times New Roman" w:hAnsi="Times New Roman" w:eastAsia="宋体" w:cs="宋体"/>
                <w:color w:val="auto"/>
                <w:szCs w:val="21"/>
                <w:highlight w:val="none"/>
              </w:rPr>
            </w:pPr>
          </w:p>
        </w:tc>
        <w:tc>
          <w:tcPr>
            <w:tcW w:w="2690" w:type="dxa"/>
            <w:tcBorders>
              <w:top w:val="single" w:color="auto" w:sz="4" w:space="0"/>
              <w:left w:val="single" w:color="auto" w:sz="4" w:space="0"/>
              <w:bottom w:val="single" w:color="auto" w:sz="4" w:space="0"/>
            </w:tcBorders>
            <w:shd w:val="clear" w:color="auto" w:fill="FFFFFF"/>
            <w:noWrap w:val="0"/>
            <w:vAlign w:val="center"/>
          </w:tcPr>
          <w:p w14:paraId="195E3968">
            <w:pPr>
              <w:pageBreakBefore w:val="0"/>
              <w:spacing w:line="360" w:lineRule="auto"/>
              <w:jc w:val="center"/>
              <w:rPr>
                <w:rFonts w:ascii="Times New Roman" w:hAnsi="Times New Roman" w:eastAsia="宋体" w:cs="宋体"/>
                <w:color w:val="auto"/>
                <w:szCs w:val="21"/>
                <w:highlight w:val="none"/>
                <w:lang w:val="zh-TW" w:eastAsia="zh-TW"/>
              </w:rPr>
            </w:pPr>
          </w:p>
        </w:tc>
        <w:tc>
          <w:tcPr>
            <w:tcW w:w="957" w:type="dxa"/>
            <w:tcBorders>
              <w:top w:val="single" w:color="auto" w:sz="4" w:space="0"/>
              <w:left w:val="single" w:color="auto" w:sz="4" w:space="0"/>
              <w:bottom w:val="single" w:color="auto" w:sz="4" w:space="0"/>
            </w:tcBorders>
            <w:shd w:val="clear" w:color="auto" w:fill="FFFFFF"/>
            <w:noWrap w:val="0"/>
            <w:vAlign w:val="center"/>
          </w:tcPr>
          <w:p w14:paraId="31D12487">
            <w:pPr>
              <w:pageBreakBefore w:val="0"/>
              <w:spacing w:line="360" w:lineRule="auto"/>
              <w:jc w:val="center"/>
              <w:rPr>
                <w:rFonts w:ascii="Times New Roman" w:hAnsi="Times New Roman" w:eastAsia="宋体" w:cs="宋体"/>
                <w:color w:val="auto"/>
                <w:szCs w:val="21"/>
                <w:highlight w:val="none"/>
              </w:rPr>
            </w:pPr>
          </w:p>
        </w:tc>
        <w:tc>
          <w:tcPr>
            <w:tcW w:w="787" w:type="dxa"/>
            <w:tcBorders>
              <w:top w:val="single" w:color="auto" w:sz="4" w:space="0"/>
              <w:left w:val="single" w:color="auto" w:sz="4" w:space="0"/>
              <w:bottom w:val="single" w:color="auto" w:sz="4" w:space="0"/>
            </w:tcBorders>
            <w:shd w:val="clear" w:color="auto" w:fill="FFFFFF"/>
            <w:noWrap w:val="0"/>
            <w:vAlign w:val="center"/>
          </w:tcPr>
          <w:p w14:paraId="79D979CD">
            <w:pPr>
              <w:pageBreakBefore w:val="0"/>
              <w:spacing w:line="360" w:lineRule="auto"/>
              <w:jc w:val="center"/>
              <w:rPr>
                <w:rFonts w:ascii="Times New Roman" w:hAnsi="Times New Roman" w:eastAsia="宋体" w:cs="宋体"/>
                <w:color w:val="auto"/>
                <w:szCs w:val="21"/>
                <w:highlight w:val="none"/>
              </w:rPr>
            </w:pPr>
          </w:p>
        </w:tc>
        <w:tc>
          <w:tcPr>
            <w:tcW w:w="1334" w:type="dxa"/>
            <w:tcBorders>
              <w:top w:val="single" w:color="auto" w:sz="4" w:space="0"/>
              <w:left w:val="single" w:color="auto" w:sz="4" w:space="0"/>
              <w:bottom w:val="single" w:color="auto" w:sz="4" w:space="0"/>
            </w:tcBorders>
            <w:shd w:val="clear" w:color="auto" w:fill="FFFFFF"/>
            <w:noWrap w:val="0"/>
            <w:vAlign w:val="center"/>
          </w:tcPr>
          <w:p w14:paraId="1398EBCB">
            <w:pPr>
              <w:pageBreakBefore w:val="0"/>
              <w:spacing w:line="360" w:lineRule="auto"/>
              <w:jc w:val="center"/>
              <w:rPr>
                <w:rFonts w:ascii="Times New Roman" w:hAnsi="Times New Roman" w:eastAsia="宋体" w:cs="宋体"/>
                <w:color w:val="auto"/>
                <w:szCs w:val="21"/>
                <w:highlight w:val="none"/>
              </w:rPr>
            </w:pPr>
          </w:p>
        </w:tc>
        <w:tc>
          <w:tcPr>
            <w:tcW w:w="1497" w:type="dxa"/>
            <w:tcBorders>
              <w:top w:val="single" w:color="auto" w:sz="4" w:space="0"/>
              <w:left w:val="single" w:color="auto" w:sz="4" w:space="0"/>
              <w:bottom w:val="single" w:color="auto" w:sz="4" w:space="0"/>
            </w:tcBorders>
            <w:shd w:val="clear" w:color="auto" w:fill="FFFFFF"/>
            <w:noWrap w:val="0"/>
            <w:vAlign w:val="center"/>
          </w:tcPr>
          <w:p w14:paraId="296EF6BC">
            <w:pPr>
              <w:pStyle w:val="251"/>
              <w:pageBreakBefore w:val="0"/>
              <w:spacing w:line="360" w:lineRule="auto"/>
              <w:ind w:firstLine="180"/>
              <w:rPr>
                <w:rFonts w:ascii="Times New Roman" w:hAnsi="Times New Roman" w:eastAsia="宋体"/>
                <w:color w:val="auto"/>
                <w:sz w:val="21"/>
                <w:szCs w:val="21"/>
                <w:highlight w:val="none"/>
              </w:rPr>
            </w:pPr>
          </w:p>
        </w:tc>
        <w:tc>
          <w:tcPr>
            <w:tcW w:w="150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2C3792F">
            <w:pPr>
              <w:pStyle w:val="251"/>
              <w:pageBreakBefore w:val="0"/>
              <w:spacing w:line="360" w:lineRule="auto"/>
              <w:ind w:firstLine="180"/>
              <w:rPr>
                <w:rFonts w:ascii="Times New Roman" w:hAnsi="Times New Roman" w:eastAsia="宋体"/>
                <w:color w:val="auto"/>
                <w:sz w:val="21"/>
                <w:szCs w:val="21"/>
                <w:highlight w:val="none"/>
              </w:rPr>
            </w:pPr>
          </w:p>
        </w:tc>
      </w:tr>
      <w:tr w14:paraId="3FF19B34">
        <w:tblPrEx>
          <w:tblCellMar>
            <w:top w:w="0" w:type="dxa"/>
            <w:left w:w="10" w:type="dxa"/>
            <w:bottom w:w="0" w:type="dxa"/>
            <w:right w:w="10" w:type="dxa"/>
          </w:tblCellMar>
        </w:tblPrEx>
        <w:trPr>
          <w:trHeight w:val="567" w:hRule="atLeast"/>
          <w:jc w:val="center"/>
        </w:trPr>
        <w:tc>
          <w:tcPr>
            <w:tcW w:w="6767" w:type="dxa"/>
            <w:gridSpan w:val="5"/>
            <w:tcBorders>
              <w:top w:val="single" w:color="auto" w:sz="4" w:space="0"/>
              <w:left w:val="single" w:color="auto" w:sz="4" w:space="0"/>
              <w:bottom w:val="single" w:color="auto" w:sz="4" w:space="0"/>
            </w:tcBorders>
            <w:shd w:val="clear" w:color="auto" w:fill="FFFFFF"/>
            <w:noWrap w:val="0"/>
            <w:vAlign w:val="center"/>
          </w:tcPr>
          <w:p w14:paraId="679CF56F">
            <w:pPr>
              <w:pageBreakBefore w:val="0"/>
              <w:spacing w:line="360" w:lineRule="auto"/>
              <w:jc w:val="center"/>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合计（元）</w:t>
            </w:r>
          </w:p>
        </w:tc>
        <w:tc>
          <w:tcPr>
            <w:tcW w:w="1497" w:type="dxa"/>
            <w:tcBorders>
              <w:top w:val="single" w:color="auto" w:sz="4" w:space="0"/>
              <w:left w:val="single" w:color="auto" w:sz="4" w:space="0"/>
              <w:bottom w:val="single" w:color="auto" w:sz="4" w:space="0"/>
            </w:tcBorders>
            <w:shd w:val="clear" w:color="auto" w:fill="FFFFFF"/>
            <w:noWrap w:val="0"/>
            <w:vAlign w:val="center"/>
          </w:tcPr>
          <w:p w14:paraId="6C96A5E9">
            <w:pPr>
              <w:pageBreakBefore w:val="0"/>
              <w:spacing w:line="360" w:lineRule="auto"/>
              <w:jc w:val="center"/>
              <w:rPr>
                <w:rFonts w:ascii="Times New Roman" w:hAnsi="Times New Roman" w:eastAsia="宋体" w:cs="宋体"/>
                <w:color w:val="auto"/>
                <w:szCs w:val="21"/>
                <w:highlight w:val="none"/>
              </w:rPr>
            </w:pPr>
          </w:p>
        </w:tc>
        <w:tc>
          <w:tcPr>
            <w:tcW w:w="150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6EF2996">
            <w:pPr>
              <w:pageBreakBefore w:val="0"/>
              <w:spacing w:line="360" w:lineRule="auto"/>
              <w:jc w:val="center"/>
              <w:rPr>
                <w:rFonts w:ascii="Times New Roman" w:hAnsi="Times New Roman" w:eastAsia="宋体" w:cs="宋体"/>
                <w:color w:val="auto"/>
                <w:szCs w:val="21"/>
                <w:highlight w:val="none"/>
              </w:rPr>
            </w:pPr>
          </w:p>
        </w:tc>
      </w:tr>
    </w:tbl>
    <w:p w14:paraId="5238043D">
      <w:pPr>
        <w:pageBreakBefore w:val="0"/>
        <w:widowControl/>
        <w:spacing w:line="360" w:lineRule="auto"/>
        <w:jc w:val="left"/>
        <w:rPr>
          <w:rFonts w:ascii="Times New Roman" w:hAnsi="Times New Roman" w:eastAsia="宋体"/>
          <w:color w:val="auto"/>
          <w:szCs w:val="21"/>
          <w:highlight w:val="none"/>
        </w:rPr>
      </w:pPr>
    </w:p>
    <w:p w14:paraId="48F28790">
      <w:pPr>
        <w:pageBreakBefore w:val="0"/>
        <w:widowControl/>
        <w:spacing w:line="360" w:lineRule="auto"/>
        <w:jc w:val="left"/>
        <w:rPr>
          <w:rFonts w:ascii="Times New Roman" w:hAnsi="Times New Roman" w:eastAsia="宋体"/>
          <w:color w:val="auto"/>
          <w:szCs w:val="21"/>
          <w:highlight w:val="none"/>
        </w:rPr>
      </w:pPr>
    </w:p>
    <w:p w14:paraId="53B6D4FF">
      <w:pPr>
        <w:pageBreakBefore w:val="0"/>
        <w:spacing w:line="360" w:lineRule="auto"/>
        <w:jc w:val="left"/>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备注：</w:t>
      </w:r>
    </w:p>
    <w:p w14:paraId="4DD7A9C8">
      <w:pPr>
        <w:pageBreakBefore w:val="0"/>
        <w:spacing w:line="360" w:lineRule="auto"/>
        <w:jc w:val="left"/>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1、各供应商可以根据实际情况合理安排，对上述项目适当予以调整。  </w:t>
      </w:r>
    </w:p>
    <w:p w14:paraId="5DFAB218">
      <w:pPr>
        <w:pageBreakBefore w:val="0"/>
        <w:spacing w:line="360" w:lineRule="auto"/>
        <w:jc w:val="left"/>
        <w:rPr>
          <w:rFonts w:hint="eastAsia" w:ascii="Times New Roman" w:hAnsi="Times New Roman" w:eastAsia="宋体" w:cs="宋体"/>
          <w:color w:val="auto"/>
          <w:szCs w:val="21"/>
          <w:highlight w:val="none"/>
          <w:lang w:eastAsia="zh-CN"/>
        </w:rPr>
        <w:sectPr>
          <w:pgSz w:w="11906" w:h="16838"/>
          <w:pgMar w:top="1440" w:right="1800" w:bottom="1440" w:left="1800" w:header="851" w:footer="992" w:gutter="0"/>
          <w:cols w:space="720" w:num="1"/>
          <w:docGrid w:linePitch="360" w:charSpace="0"/>
        </w:sectPr>
      </w:pPr>
      <w:r>
        <w:rPr>
          <w:rFonts w:hint="eastAsia" w:ascii="Times New Roman" w:hAnsi="Times New Roman" w:eastAsia="宋体" w:cs="宋体"/>
          <w:color w:val="auto"/>
          <w:szCs w:val="21"/>
          <w:highlight w:val="none"/>
        </w:rPr>
        <w:t>2、所有报价（含各分项报价）必须符合国家法律法规及本次采购文件要求</w:t>
      </w:r>
    </w:p>
    <w:p w14:paraId="6B9A7FD4">
      <w:pPr>
        <w:pStyle w:val="3"/>
        <w:pageBreakBefore w:val="0"/>
        <w:spacing w:before="0" w:after="0" w:line="360" w:lineRule="auto"/>
        <w:rPr>
          <w:rFonts w:ascii="Times New Roman" w:hAnsi="Times New Roman" w:eastAsia="宋体"/>
          <w:color w:val="auto"/>
          <w:sz w:val="32"/>
          <w:highlight w:val="none"/>
        </w:rPr>
      </w:pPr>
      <w:bookmarkStart w:id="80" w:name="_Toc1749"/>
      <w:bookmarkStart w:id="81" w:name="_Toc24125"/>
      <w:r>
        <w:rPr>
          <w:rFonts w:hint="eastAsia" w:ascii="Times New Roman" w:hAnsi="Times New Roman" w:eastAsia="宋体"/>
          <w:color w:val="auto"/>
          <w:sz w:val="32"/>
          <w:highlight w:val="none"/>
        </w:rPr>
        <w:t>六、技术参数响应及偏离表</w:t>
      </w:r>
      <w:bookmarkEnd w:id="79"/>
      <w:bookmarkEnd w:id="80"/>
      <w:bookmarkEnd w:id="81"/>
    </w:p>
    <w:tbl>
      <w:tblPr>
        <w:tblStyle w:val="41"/>
        <w:tblW w:w="89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4"/>
        <w:gridCol w:w="2551"/>
        <w:gridCol w:w="2701"/>
        <w:gridCol w:w="1458"/>
        <w:gridCol w:w="1210"/>
      </w:tblGrid>
      <w:tr w14:paraId="731EE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84" w:type="dxa"/>
            <w:noWrap w:val="0"/>
            <w:vAlign w:val="center"/>
          </w:tcPr>
          <w:p w14:paraId="172084A1">
            <w:pPr>
              <w:pageBreakBefore w:val="0"/>
              <w:spacing w:line="360" w:lineRule="auto"/>
              <w:jc w:val="center"/>
              <w:rPr>
                <w:rFonts w:ascii="Times New Roman" w:hAnsi="Times New Roman" w:eastAsia="宋体"/>
                <w:color w:val="auto"/>
                <w:szCs w:val="21"/>
                <w:highlight w:val="none"/>
              </w:rPr>
            </w:pPr>
            <w:r>
              <w:rPr>
                <w:rFonts w:hint="eastAsia" w:ascii="Times New Roman" w:hAnsi="Times New Roman" w:eastAsia="宋体"/>
                <w:color w:val="auto"/>
                <w:szCs w:val="21"/>
                <w:highlight w:val="none"/>
              </w:rPr>
              <w:t>序号</w:t>
            </w:r>
          </w:p>
        </w:tc>
        <w:tc>
          <w:tcPr>
            <w:tcW w:w="2551" w:type="dxa"/>
            <w:noWrap w:val="0"/>
            <w:vAlign w:val="center"/>
          </w:tcPr>
          <w:p w14:paraId="21C42DD7">
            <w:pPr>
              <w:pageBreakBefore w:val="0"/>
              <w:spacing w:line="360" w:lineRule="auto"/>
              <w:jc w:val="center"/>
              <w:rPr>
                <w:rFonts w:ascii="Times New Roman" w:hAnsi="Times New Roman" w:eastAsia="宋体"/>
                <w:color w:val="auto"/>
                <w:szCs w:val="21"/>
                <w:highlight w:val="none"/>
              </w:rPr>
            </w:pPr>
            <w:r>
              <w:rPr>
                <w:rFonts w:hint="eastAsia" w:ascii="Times New Roman" w:hAnsi="Times New Roman" w:eastAsia="宋体"/>
                <w:color w:val="auto"/>
                <w:szCs w:val="21"/>
                <w:highlight w:val="none"/>
              </w:rPr>
              <w:t>招标要求</w:t>
            </w:r>
          </w:p>
        </w:tc>
        <w:tc>
          <w:tcPr>
            <w:tcW w:w="2701" w:type="dxa"/>
            <w:noWrap w:val="0"/>
            <w:vAlign w:val="center"/>
          </w:tcPr>
          <w:p w14:paraId="292ACAAE">
            <w:pPr>
              <w:pageBreakBefore w:val="0"/>
              <w:spacing w:line="360" w:lineRule="auto"/>
              <w:jc w:val="center"/>
              <w:rPr>
                <w:rFonts w:ascii="Times New Roman" w:hAnsi="Times New Roman" w:eastAsia="宋体"/>
                <w:color w:val="auto"/>
                <w:szCs w:val="21"/>
                <w:highlight w:val="none"/>
              </w:rPr>
            </w:pPr>
            <w:r>
              <w:rPr>
                <w:rFonts w:hint="eastAsia" w:ascii="Times New Roman" w:hAnsi="Times New Roman" w:eastAsia="宋体"/>
                <w:color w:val="auto"/>
                <w:szCs w:val="21"/>
                <w:highlight w:val="none"/>
              </w:rPr>
              <w:t>投标响应</w:t>
            </w:r>
          </w:p>
        </w:tc>
        <w:tc>
          <w:tcPr>
            <w:tcW w:w="1458" w:type="dxa"/>
            <w:noWrap w:val="0"/>
            <w:vAlign w:val="center"/>
          </w:tcPr>
          <w:p w14:paraId="08ECC926">
            <w:pPr>
              <w:pageBreakBefore w:val="0"/>
              <w:spacing w:line="360" w:lineRule="auto"/>
              <w:jc w:val="center"/>
              <w:rPr>
                <w:rFonts w:ascii="Times New Roman" w:hAnsi="Times New Roman" w:eastAsia="宋体"/>
                <w:color w:val="auto"/>
                <w:szCs w:val="21"/>
                <w:highlight w:val="none"/>
              </w:rPr>
            </w:pPr>
            <w:r>
              <w:rPr>
                <w:rFonts w:hint="eastAsia" w:ascii="Times New Roman" w:hAnsi="Times New Roman" w:eastAsia="宋体"/>
                <w:color w:val="auto"/>
                <w:szCs w:val="21"/>
                <w:highlight w:val="none"/>
              </w:rPr>
              <w:t>超出、符合或偏离</w:t>
            </w:r>
          </w:p>
        </w:tc>
        <w:tc>
          <w:tcPr>
            <w:tcW w:w="1210" w:type="dxa"/>
            <w:noWrap w:val="0"/>
            <w:vAlign w:val="center"/>
          </w:tcPr>
          <w:p w14:paraId="79A4571E">
            <w:pPr>
              <w:pageBreakBefore w:val="0"/>
              <w:spacing w:line="360" w:lineRule="auto"/>
              <w:jc w:val="center"/>
              <w:rPr>
                <w:rFonts w:ascii="Times New Roman" w:hAnsi="Times New Roman" w:eastAsia="宋体"/>
                <w:color w:val="auto"/>
                <w:szCs w:val="21"/>
                <w:highlight w:val="none"/>
              </w:rPr>
            </w:pPr>
            <w:r>
              <w:rPr>
                <w:rFonts w:hint="eastAsia" w:ascii="Times New Roman" w:hAnsi="Times New Roman" w:eastAsia="宋体"/>
                <w:color w:val="auto"/>
                <w:szCs w:val="21"/>
                <w:highlight w:val="none"/>
              </w:rPr>
              <w:t>证明材料</w:t>
            </w:r>
          </w:p>
        </w:tc>
      </w:tr>
      <w:tr w14:paraId="67E71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noWrap w:val="0"/>
          </w:tcPr>
          <w:p w14:paraId="3B3307B0">
            <w:pPr>
              <w:pageBreakBefore w:val="0"/>
              <w:spacing w:line="360" w:lineRule="auto"/>
              <w:jc w:val="center"/>
              <w:rPr>
                <w:rFonts w:ascii="Times New Roman" w:hAnsi="Times New Roman" w:eastAsia="宋体"/>
                <w:color w:val="auto"/>
                <w:szCs w:val="21"/>
                <w:highlight w:val="none"/>
              </w:rPr>
            </w:pPr>
          </w:p>
        </w:tc>
        <w:tc>
          <w:tcPr>
            <w:tcW w:w="2551" w:type="dxa"/>
            <w:noWrap w:val="0"/>
          </w:tcPr>
          <w:p w14:paraId="3DD07E23">
            <w:pPr>
              <w:pageBreakBefore w:val="0"/>
              <w:spacing w:line="360" w:lineRule="auto"/>
              <w:jc w:val="center"/>
              <w:rPr>
                <w:rFonts w:ascii="Times New Roman" w:hAnsi="Times New Roman" w:eastAsia="宋体"/>
                <w:color w:val="auto"/>
                <w:szCs w:val="21"/>
                <w:highlight w:val="none"/>
              </w:rPr>
            </w:pPr>
          </w:p>
        </w:tc>
        <w:tc>
          <w:tcPr>
            <w:tcW w:w="2701" w:type="dxa"/>
            <w:noWrap w:val="0"/>
          </w:tcPr>
          <w:p w14:paraId="51B71672">
            <w:pPr>
              <w:pageBreakBefore w:val="0"/>
              <w:spacing w:line="360" w:lineRule="auto"/>
              <w:jc w:val="center"/>
              <w:rPr>
                <w:rFonts w:ascii="Times New Roman" w:hAnsi="Times New Roman" w:eastAsia="宋体"/>
                <w:color w:val="auto"/>
                <w:szCs w:val="21"/>
                <w:highlight w:val="none"/>
              </w:rPr>
            </w:pPr>
          </w:p>
        </w:tc>
        <w:tc>
          <w:tcPr>
            <w:tcW w:w="1458" w:type="dxa"/>
            <w:noWrap w:val="0"/>
          </w:tcPr>
          <w:p w14:paraId="727429D7">
            <w:pPr>
              <w:pageBreakBefore w:val="0"/>
              <w:spacing w:line="360" w:lineRule="auto"/>
              <w:jc w:val="center"/>
              <w:rPr>
                <w:rFonts w:ascii="Times New Roman" w:hAnsi="Times New Roman" w:eastAsia="宋体"/>
                <w:color w:val="auto"/>
                <w:szCs w:val="21"/>
                <w:highlight w:val="none"/>
              </w:rPr>
            </w:pPr>
          </w:p>
        </w:tc>
        <w:tc>
          <w:tcPr>
            <w:tcW w:w="1210" w:type="dxa"/>
            <w:noWrap w:val="0"/>
          </w:tcPr>
          <w:p w14:paraId="4ABE3BC2">
            <w:pPr>
              <w:pageBreakBefore w:val="0"/>
              <w:spacing w:line="360" w:lineRule="auto"/>
              <w:jc w:val="center"/>
              <w:rPr>
                <w:rFonts w:ascii="Times New Roman" w:hAnsi="Times New Roman" w:eastAsia="宋体"/>
                <w:color w:val="auto"/>
                <w:szCs w:val="21"/>
                <w:highlight w:val="none"/>
              </w:rPr>
            </w:pPr>
          </w:p>
        </w:tc>
      </w:tr>
      <w:tr w14:paraId="6A65A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noWrap w:val="0"/>
          </w:tcPr>
          <w:p w14:paraId="525DCC82">
            <w:pPr>
              <w:pageBreakBefore w:val="0"/>
              <w:spacing w:line="360" w:lineRule="auto"/>
              <w:jc w:val="center"/>
              <w:rPr>
                <w:rFonts w:ascii="Times New Roman" w:hAnsi="Times New Roman" w:eastAsia="宋体"/>
                <w:color w:val="auto"/>
                <w:szCs w:val="21"/>
                <w:highlight w:val="none"/>
              </w:rPr>
            </w:pPr>
          </w:p>
        </w:tc>
        <w:tc>
          <w:tcPr>
            <w:tcW w:w="2551" w:type="dxa"/>
            <w:noWrap w:val="0"/>
          </w:tcPr>
          <w:p w14:paraId="3801D945">
            <w:pPr>
              <w:pageBreakBefore w:val="0"/>
              <w:spacing w:line="360" w:lineRule="auto"/>
              <w:jc w:val="center"/>
              <w:rPr>
                <w:rFonts w:ascii="Times New Roman" w:hAnsi="Times New Roman" w:eastAsia="宋体"/>
                <w:color w:val="auto"/>
                <w:szCs w:val="21"/>
                <w:highlight w:val="none"/>
              </w:rPr>
            </w:pPr>
          </w:p>
        </w:tc>
        <w:tc>
          <w:tcPr>
            <w:tcW w:w="2701" w:type="dxa"/>
            <w:noWrap w:val="0"/>
          </w:tcPr>
          <w:p w14:paraId="511563D4">
            <w:pPr>
              <w:pageBreakBefore w:val="0"/>
              <w:spacing w:line="360" w:lineRule="auto"/>
              <w:jc w:val="center"/>
              <w:rPr>
                <w:rFonts w:ascii="Times New Roman" w:hAnsi="Times New Roman" w:eastAsia="宋体"/>
                <w:color w:val="auto"/>
                <w:szCs w:val="21"/>
                <w:highlight w:val="none"/>
              </w:rPr>
            </w:pPr>
          </w:p>
        </w:tc>
        <w:tc>
          <w:tcPr>
            <w:tcW w:w="1458" w:type="dxa"/>
            <w:noWrap w:val="0"/>
          </w:tcPr>
          <w:p w14:paraId="4B1FA10F">
            <w:pPr>
              <w:pageBreakBefore w:val="0"/>
              <w:spacing w:line="360" w:lineRule="auto"/>
              <w:jc w:val="center"/>
              <w:rPr>
                <w:rFonts w:ascii="Times New Roman" w:hAnsi="Times New Roman" w:eastAsia="宋体"/>
                <w:color w:val="auto"/>
                <w:szCs w:val="21"/>
                <w:highlight w:val="none"/>
              </w:rPr>
            </w:pPr>
          </w:p>
        </w:tc>
        <w:tc>
          <w:tcPr>
            <w:tcW w:w="1210" w:type="dxa"/>
            <w:noWrap w:val="0"/>
          </w:tcPr>
          <w:p w14:paraId="341E1A75">
            <w:pPr>
              <w:pageBreakBefore w:val="0"/>
              <w:spacing w:line="360" w:lineRule="auto"/>
              <w:jc w:val="center"/>
              <w:rPr>
                <w:rFonts w:ascii="Times New Roman" w:hAnsi="Times New Roman" w:eastAsia="宋体"/>
                <w:color w:val="auto"/>
                <w:szCs w:val="21"/>
                <w:highlight w:val="none"/>
              </w:rPr>
            </w:pPr>
          </w:p>
        </w:tc>
      </w:tr>
      <w:tr w14:paraId="7FC86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noWrap w:val="0"/>
          </w:tcPr>
          <w:p w14:paraId="4925DDBE">
            <w:pPr>
              <w:pageBreakBefore w:val="0"/>
              <w:spacing w:line="360" w:lineRule="auto"/>
              <w:jc w:val="center"/>
              <w:rPr>
                <w:rFonts w:ascii="Times New Roman" w:hAnsi="Times New Roman" w:eastAsia="宋体"/>
                <w:color w:val="auto"/>
                <w:szCs w:val="21"/>
                <w:highlight w:val="none"/>
              </w:rPr>
            </w:pPr>
          </w:p>
        </w:tc>
        <w:tc>
          <w:tcPr>
            <w:tcW w:w="2551" w:type="dxa"/>
            <w:noWrap w:val="0"/>
          </w:tcPr>
          <w:p w14:paraId="4D8E4C26">
            <w:pPr>
              <w:pageBreakBefore w:val="0"/>
              <w:spacing w:line="360" w:lineRule="auto"/>
              <w:jc w:val="center"/>
              <w:rPr>
                <w:rFonts w:ascii="Times New Roman" w:hAnsi="Times New Roman" w:eastAsia="宋体"/>
                <w:color w:val="auto"/>
                <w:szCs w:val="21"/>
                <w:highlight w:val="none"/>
              </w:rPr>
            </w:pPr>
          </w:p>
        </w:tc>
        <w:tc>
          <w:tcPr>
            <w:tcW w:w="2701" w:type="dxa"/>
            <w:noWrap w:val="0"/>
          </w:tcPr>
          <w:p w14:paraId="4DF19EF2">
            <w:pPr>
              <w:pageBreakBefore w:val="0"/>
              <w:spacing w:line="360" w:lineRule="auto"/>
              <w:jc w:val="center"/>
              <w:rPr>
                <w:rFonts w:ascii="Times New Roman" w:hAnsi="Times New Roman" w:eastAsia="宋体"/>
                <w:color w:val="auto"/>
                <w:szCs w:val="21"/>
                <w:highlight w:val="none"/>
              </w:rPr>
            </w:pPr>
          </w:p>
        </w:tc>
        <w:tc>
          <w:tcPr>
            <w:tcW w:w="1458" w:type="dxa"/>
            <w:noWrap w:val="0"/>
          </w:tcPr>
          <w:p w14:paraId="346A4DF4">
            <w:pPr>
              <w:pageBreakBefore w:val="0"/>
              <w:spacing w:line="360" w:lineRule="auto"/>
              <w:jc w:val="center"/>
              <w:rPr>
                <w:rFonts w:ascii="Times New Roman" w:hAnsi="Times New Roman" w:eastAsia="宋体"/>
                <w:color w:val="auto"/>
                <w:szCs w:val="21"/>
                <w:highlight w:val="none"/>
              </w:rPr>
            </w:pPr>
          </w:p>
        </w:tc>
        <w:tc>
          <w:tcPr>
            <w:tcW w:w="1210" w:type="dxa"/>
            <w:noWrap w:val="0"/>
          </w:tcPr>
          <w:p w14:paraId="6FF75960">
            <w:pPr>
              <w:pageBreakBefore w:val="0"/>
              <w:spacing w:line="360" w:lineRule="auto"/>
              <w:jc w:val="center"/>
              <w:rPr>
                <w:rFonts w:ascii="Times New Roman" w:hAnsi="Times New Roman" w:eastAsia="宋体"/>
                <w:color w:val="auto"/>
                <w:szCs w:val="21"/>
                <w:highlight w:val="none"/>
              </w:rPr>
            </w:pPr>
          </w:p>
        </w:tc>
      </w:tr>
      <w:tr w14:paraId="6105F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noWrap w:val="0"/>
          </w:tcPr>
          <w:p w14:paraId="38CA3F5D">
            <w:pPr>
              <w:pageBreakBefore w:val="0"/>
              <w:spacing w:line="360" w:lineRule="auto"/>
              <w:jc w:val="center"/>
              <w:rPr>
                <w:rFonts w:ascii="Times New Roman" w:hAnsi="Times New Roman" w:eastAsia="宋体"/>
                <w:color w:val="auto"/>
                <w:szCs w:val="21"/>
                <w:highlight w:val="none"/>
              </w:rPr>
            </w:pPr>
          </w:p>
        </w:tc>
        <w:tc>
          <w:tcPr>
            <w:tcW w:w="2551" w:type="dxa"/>
            <w:noWrap w:val="0"/>
          </w:tcPr>
          <w:p w14:paraId="6DB6BDBD">
            <w:pPr>
              <w:pageBreakBefore w:val="0"/>
              <w:spacing w:line="360" w:lineRule="auto"/>
              <w:jc w:val="center"/>
              <w:rPr>
                <w:rFonts w:ascii="Times New Roman" w:hAnsi="Times New Roman" w:eastAsia="宋体"/>
                <w:color w:val="auto"/>
                <w:szCs w:val="21"/>
                <w:highlight w:val="none"/>
              </w:rPr>
            </w:pPr>
          </w:p>
        </w:tc>
        <w:tc>
          <w:tcPr>
            <w:tcW w:w="2701" w:type="dxa"/>
            <w:noWrap w:val="0"/>
          </w:tcPr>
          <w:p w14:paraId="1E960061">
            <w:pPr>
              <w:pageBreakBefore w:val="0"/>
              <w:spacing w:line="360" w:lineRule="auto"/>
              <w:jc w:val="center"/>
              <w:rPr>
                <w:rFonts w:ascii="Times New Roman" w:hAnsi="Times New Roman" w:eastAsia="宋体"/>
                <w:color w:val="auto"/>
                <w:szCs w:val="21"/>
                <w:highlight w:val="none"/>
              </w:rPr>
            </w:pPr>
          </w:p>
        </w:tc>
        <w:tc>
          <w:tcPr>
            <w:tcW w:w="1458" w:type="dxa"/>
            <w:noWrap w:val="0"/>
          </w:tcPr>
          <w:p w14:paraId="6AF46B88">
            <w:pPr>
              <w:pageBreakBefore w:val="0"/>
              <w:spacing w:line="360" w:lineRule="auto"/>
              <w:jc w:val="center"/>
              <w:rPr>
                <w:rFonts w:ascii="Times New Roman" w:hAnsi="Times New Roman" w:eastAsia="宋体"/>
                <w:color w:val="auto"/>
                <w:szCs w:val="21"/>
                <w:highlight w:val="none"/>
              </w:rPr>
            </w:pPr>
          </w:p>
        </w:tc>
        <w:tc>
          <w:tcPr>
            <w:tcW w:w="1210" w:type="dxa"/>
            <w:noWrap w:val="0"/>
          </w:tcPr>
          <w:p w14:paraId="27126303">
            <w:pPr>
              <w:pageBreakBefore w:val="0"/>
              <w:spacing w:line="360" w:lineRule="auto"/>
              <w:jc w:val="center"/>
              <w:rPr>
                <w:rFonts w:ascii="Times New Roman" w:hAnsi="Times New Roman" w:eastAsia="宋体"/>
                <w:color w:val="auto"/>
                <w:szCs w:val="21"/>
                <w:highlight w:val="none"/>
              </w:rPr>
            </w:pPr>
          </w:p>
        </w:tc>
      </w:tr>
      <w:tr w14:paraId="1B972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noWrap w:val="0"/>
          </w:tcPr>
          <w:p w14:paraId="4920CD41">
            <w:pPr>
              <w:pageBreakBefore w:val="0"/>
              <w:spacing w:line="360" w:lineRule="auto"/>
              <w:jc w:val="center"/>
              <w:rPr>
                <w:rFonts w:ascii="Times New Roman" w:hAnsi="Times New Roman" w:eastAsia="宋体"/>
                <w:color w:val="auto"/>
                <w:szCs w:val="21"/>
                <w:highlight w:val="none"/>
              </w:rPr>
            </w:pPr>
          </w:p>
        </w:tc>
        <w:tc>
          <w:tcPr>
            <w:tcW w:w="2551" w:type="dxa"/>
            <w:noWrap w:val="0"/>
          </w:tcPr>
          <w:p w14:paraId="59B4D6BC">
            <w:pPr>
              <w:pageBreakBefore w:val="0"/>
              <w:spacing w:line="360" w:lineRule="auto"/>
              <w:jc w:val="center"/>
              <w:rPr>
                <w:rFonts w:ascii="Times New Roman" w:hAnsi="Times New Roman" w:eastAsia="宋体"/>
                <w:color w:val="auto"/>
                <w:szCs w:val="21"/>
                <w:highlight w:val="none"/>
              </w:rPr>
            </w:pPr>
          </w:p>
        </w:tc>
        <w:tc>
          <w:tcPr>
            <w:tcW w:w="2701" w:type="dxa"/>
            <w:noWrap w:val="0"/>
          </w:tcPr>
          <w:p w14:paraId="2B25E447">
            <w:pPr>
              <w:pageBreakBefore w:val="0"/>
              <w:spacing w:line="360" w:lineRule="auto"/>
              <w:jc w:val="center"/>
              <w:rPr>
                <w:rFonts w:ascii="Times New Roman" w:hAnsi="Times New Roman" w:eastAsia="宋体"/>
                <w:color w:val="auto"/>
                <w:szCs w:val="21"/>
                <w:highlight w:val="none"/>
              </w:rPr>
            </w:pPr>
          </w:p>
        </w:tc>
        <w:tc>
          <w:tcPr>
            <w:tcW w:w="1458" w:type="dxa"/>
            <w:noWrap w:val="0"/>
          </w:tcPr>
          <w:p w14:paraId="2229AFCF">
            <w:pPr>
              <w:pageBreakBefore w:val="0"/>
              <w:spacing w:line="360" w:lineRule="auto"/>
              <w:jc w:val="center"/>
              <w:rPr>
                <w:rFonts w:ascii="Times New Roman" w:hAnsi="Times New Roman" w:eastAsia="宋体"/>
                <w:color w:val="auto"/>
                <w:szCs w:val="21"/>
                <w:highlight w:val="none"/>
              </w:rPr>
            </w:pPr>
          </w:p>
        </w:tc>
        <w:tc>
          <w:tcPr>
            <w:tcW w:w="1210" w:type="dxa"/>
            <w:noWrap w:val="0"/>
          </w:tcPr>
          <w:p w14:paraId="3330C656">
            <w:pPr>
              <w:pageBreakBefore w:val="0"/>
              <w:spacing w:line="360" w:lineRule="auto"/>
              <w:jc w:val="center"/>
              <w:rPr>
                <w:rFonts w:ascii="Times New Roman" w:hAnsi="Times New Roman" w:eastAsia="宋体"/>
                <w:color w:val="auto"/>
                <w:szCs w:val="21"/>
                <w:highlight w:val="none"/>
              </w:rPr>
            </w:pPr>
          </w:p>
        </w:tc>
      </w:tr>
      <w:tr w14:paraId="0989A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noWrap w:val="0"/>
          </w:tcPr>
          <w:p w14:paraId="0AFAEFB2">
            <w:pPr>
              <w:pageBreakBefore w:val="0"/>
              <w:spacing w:line="360" w:lineRule="auto"/>
              <w:jc w:val="center"/>
              <w:rPr>
                <w:rFonts w:ascii="Times New Roman" w:hAnsi="Times New Roman" w:eastAsia="宋体"/>
                <w:color w:val="auto"/>
                <w:szCs w:val="21"/>
                <w:highlight w:val="none"/>
              </w:rPr>
            </w:pPr>
          </w:p>
        </w:tc>
        <w:tc>
          <w:tcPr>
            <w:tcW w:w="2551" w:type="dxa"/>
            <w:noWrap w:val="0"/>
          </w:tcPr>
          <w:p w14:paraId="40E4FB9A">
            <w:pPr>
              <w:pageBreakBefore w:val="0"/>
              <w:spacing w:line="360" w:lineRule="auto"/>
              <w:jc w:val="center"/>
              <w:rPr>
                <w:rFonts w:ascii="Times New Roman" w:hAnsi="Times New Roman" w:eastAsia="宋体"/>
                <w:color w:val="auto"/>
                <w:szCs w:val="21"/>
                <w:highlight w:val="none"/>
              </w:rPr>
            </w:pPr>
          </w:p>
        </w:tc>
        <w:tc>
          <w:tcPr>
            <w:tcW w:w="2701" w:type="dxa"/>
            <w:noWrap w:val="0"/>
          </w:tcPr>
          <w:p w14:paraId="7F07B835">
            <w:pPr>
              <w:pageBreakBefore w:val="0"/>
              <w:spacing w:line="360" w:lineRule="auto"/>
              <w:jc w:val="center"/>
              <w:rPr>
                <w:rFonts w:ascii="Times New Roman" w:hAnsi="Times New Roman" w:eastAsia="宋体"/>
                <w:color w:val="auto"/>
                <w:szCs w:val="21"/>
                <w:highlight w:val="none"/>
              </w:rPr>
            </w:pPr>
          </w:p>
        </w:tc>
        <w:tc>
          <w:tcPr>
            <w:tcW w:w="1458" w:type="dxa"/>
            <w:noWrap w:val="0"/>
          </w:tcPr>
          <w:p w14:paraId="432F4C2D">
            <w:pPr>
              <w:pageBreakBefore w:val="0"/>
              <w:spacing w:line="360" w:lineRule="auto"/>
              <w:jc w:val="center"/>
              <w:rPr>
                <w:rFonts w:ascii="Times New Roman" w:hAnsi="Times New Roman" w:eastAsia="宋体"/>
                <w:color w:val="auto"/>
                <w:szCs w:val="21"/>
                <w:highlight w:val="none"/>
              </w:rPr>
            </w:pPr>
          </w:p>
        </w:tc>
        <w:tc>
          <w:tcPr>
            <w:tcW w:w="1210" w:type="dxa"/>
            <w:noWrap w:val="0"/>
          </w:tcPr>
          <w:p w14:paraId="6D2AEDB4">
            <w:pPr>
              <w:pageBreakBefore w:val="0"/>
              <w:spacing w:line="360" w:lineRule="auto"/>
              <w:jc w:val="center"/>
              <w:rPr>
                <w:rFonts w:ascii="Times New Roman" w:hAnsi="Times New Roman" w:eastAsia="宋体"/>
                <w:color w:val="auto"/>
                <w:szCs w:val="21"/>
                <w:highlight w:val="none"/>
              </w:rPr>
            </w:pPr>
          </w:p>
        </w:tc>
      </w:tr>
      <w:tr w14:paraId="73987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noWrap w:val="0"/>
          </w:tcPr>
          <w:p w14:paraId="3D1F9DF3">
            <w:pPr>
              <w:pageBreakBefore w:val="0"/>
              <w:spacing w:line="360" w:lineRule="auto"/>
              <w:jc w:val="center"/>
              <w:rPr>
                <w:rFonts w:ascii="Times New Roman" w:hAnsi="Times New Roman" w:eastAsia="宋体"/>
                <w:color w:val="auto"/>
                <w:szCs w:val="21"/>
                <w:highlight w:val="none"/>
              </w:rPr>
            </w:pPr>
          </w:p>
        </w:tc>
        <w:tc>
          <w:tcPr>
            <w:tcW w:w="2551" w:type="dxa"/>
            <w:noWrap w:val="0"/>
          </w:tcPr>
          <w:p w14:paraId="3B1C3B78">
            <w:pPr>
              <w:pageBreakBefore w:val="0"/>
              <w:spacing w:line="360" w:lineRule="auto"/>
              <w:jc w:val="center"/>
              <w:rPr>
                <w:rFonts w:ascii="Times New Roman" w:hAnsi="Times New Roman" w:eastAsia="宋体"/>
                <w:color w:val="auto"/>
                <w:szCs w:val="21"/>
                <w:highlight w:val="none"/>
              </w:rPr>
            </w:pPr>
          </w:p>
        </w:tc>
        <w:tc>
          <w:tcPr>
            <w:tcW w:w="2701" w:type="dxa"/>
            <w:noWrap w:val="0"/>
          </w:tcPr>
          <w:p w14:paraId="5DE3FB08">
            <w:pPr>
              <w:pageBreakBefore w:val="0"/>
              <w:spacing w:line="360" w:lineRule="auto"/>
              <w:jc w:val="center"/>
              <w:rPr>
                <w:rFonts w:ascii="Times New Roman" w:hAnsi="Times New Roman" w:eastAsia="宋体"/>
                <w:color w:val="auto"/>
                <w:szCs w:val="21"/>
                <w:highlight w:val="none"/>
              </w:rPr>
            </w:pPr>
          </w:p>
        </w:tc>
        <w:tc>
          <w:tcPr>
            <w:tcW w:w="1458" w:type="dxa"/>
            <w:noWrap w:val="0"/>
          </w:tcPr>
          <w:p w14:paraId="158C4F11">
            <w:pPr>
              <w:pageBreakBefore w:val="0"/>
              <w:spacing w:line="360" w:lineRule="auto"/>
              <w:jc w:val="center"/>
              <w:rPr>
                <w:rFonts w:ascii="Times New Roman" w:hAnsi="Times New Roman" w:eastAsia="宋体"/>
                <w:color w:val="auto"/>
                <w:szCs w:val="21"/>
                <w:highlight w:val="none"/>
              </w:rPr>
            </w:pPr>
          </w:p>
        </w:tc>
        <w:tc>
          <w:tcPr>
            <w:tcW w:w="1210" w:type="dxa"/>
            <w:noWrap w:val="0"/>
          </w:tcPr>
          <w:p w14:paraId="0D37E77B">
            <w:pPr>
              <w:pageBreakBefore w:val="0"/>
              <w:spacing w:line="360" w:lineRule="auto"/>
              <w:jc w:val="center"/>
              <w:rPr>
                <w:rFonts w:ascii="Times New Roman" w:hAnsi="Times New Roman" w:eastAsia="宋体"/>
                <w:color w:val="auto"/>
                <w:szCs w:val="21"/>
                <w:highlight w:val="none"/>
              </w:rPr>
            </w:pPr>
          </w:p>
        </w:tc>
      </w:tr>
      <w:tr w14:paraId="113AC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noWrap w:val="0"/>
          </w:tcPr>
          <w:p w14:paraId="48C9D2AA">
            <w:pPr>
              <w:pageBreakBefore w:val="0"/>
              <w:spacing w:line="360" w:lineRule="auto"/>
              <w:jc w:val="center"/>
              <w:rPr>
                <w:rFonts w:ascii="Times New Roman" w:hAnsi="Times New Roman" w:eastAsia="宋体"/>
                <w:color w:val="auto"/>
                <w:szCs w:val="21"/>
                <w:highlight w:val="none"/>
              </w:rPr>
            </w:pPr>
          </w:p>
        </w:tc>
        <w:tc>
          <w:tcPr>
            <w:tcW w:w="2551" w:type="dxa"/>
            <w:noWrap w:val="0"/>
          </w:tcPr>
          <w:p w14:paraId="4D45414D">
            <w:pPr>
              <w:pageBreakBefore w:val="0"/>
              <w:spacing w:line="360" w:lineRule="auto"/>
              <w:jc w:val="center"/>
              <w:rPr>
                <w:rFonts w:ascii="Times New Roman" w:hAnsi="Times New Roman" w:eastAsia="宋体"/>
                <w:color w:val="auto"/>
                <w:szCs w:val="21"/>
                <w:highlight w:val="none"/>
              </w:rPr>
            </w:pPr>
          </w:p>
        </w:tc>
        <w:tc>
          <w:tcPr>
            <w:tcW w:w="2701" w:type="dxa"/>
            <w:noWrap w:val="0"/>
          </w:tcPr>
          <w:p w14:paraId="0ECA4DFC">
            <w:pPr>
              <w:pageBreakBefore w:val="0"/>
              <w:spacing w:line="360" w:lineRule="auto"/>
              <w:jc w:val="center"/>
              <w:rPr>
                <w:rFonts w:ascii="Times New Roman" w:hAnsi="Times New Roman" w:eastAsia="宋体"/>
                <w:color w:val="auto"/>
                <w:szCs w:val="21"/>
                <w:highlight w:val="none"/>
              </w:rPr>
            </w:pPr>
          </w:p>
        </w:tc>
        <w:tc>
          <w:tcPr>
            <w:tcW w:w="1458" w:type="dxa"/>
            <w:noWrap w:val="0"/>
          </w:tcPr>
          <w:p w14:paraId="5B22366E">
            <w:pPr>
              <w:pageBreakBefore w:val="0"/>
              <w:spacing w:line="360" w:lineRule="auto"/>
              <w:jc w:val="center"/>
              <w:rPr>
                <w:rFonts w:ascii="Times New Roman" w:hAnsi="Times New Roman" w:eastAsia="宋体"/>
                <w:color w:val="auto"/>
                <w:szCs w:val="21"/>
                <w:highlight w:val="none"/>
              </w:rPr>
            </w:pPr>
          </w:p>
        </w:tc>
        <w:tc>
          <w:tcPr>
            <w:tcW w:w="1210" w:type="dxa"/>
            <w:noWrap w:val="0"/>
          </w:tcPr>
          <w:p w14:paraId="6B29250A">
            <w:pPr>
              <w:pageBreakBefore w:val="0"/>
              <w:spacing w:line="360" w:lineRule="auto"/>
              <w:jc w:val="center"/>
              <w:rPr>
                <w:rFonts w:ascii="Times New Roman" w:hAnsi="Times New Roman" w:eastAsia="宋体"/>
                <w:color w:val="auto"/>
                <w:szCs w:val="21"/>
                <w:highlight w:val="none"/>
              </w:rPr>
            </w:pPr>
          </w:p>
        </w:tc>
      </w:tr>
    </w:tbl>
    <w:p w14:paraId="2934B801">
      <w:pPr>
        <w:pageBreakBefore w:val="0"/>
        <w:spacing w:line="360" w:lineRule="auto"/>
        <w:rPr>
          <w:rFonts w:ascii="Times New Roman" w:hAnsi="Times New Roman" w:eastAsia="宋体"/>
          <w:color w:val="auto"/>
          <w:sz w:val="24"/>
          <w:szCs w:val="24"/>
          <w:highlight w:val="none"/>
        </w:rPr>
      </w:pPr>
    </w:p>
    <w:p w14:paraId="1CC3E946">
      <w:pPr>
        <w:pageBreakBefore w:val="0"/>
        <w:spacing w:line="360"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注：1、按照基本技术要求详细填列。</w:t>
      </w:r>
    </w:p>
    <w:p w14:paraId="3E5B2D4F">
      <w:pPr>
        <w:pageBreakBefore w:val="0"/>
        <w:spacing w:line="360" w:lineRule="auto"/>
        <w:ind w:firstLine="480"/>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2、行数不够，可自行添加。</w:t>
      </w:r>
    </w:p>
    <w:p w14:paraId="03CB513E">
      <w:pPr>
        <w:pageBreakBefore w:val="0"/>
        <w:spacing w:line="360" w:lineRule="auto"/>
        <w:jc w:val="center"/>
        <w:rPr>
          <w:rFonts w:ascii="Times New Roman" w:hAnsi="Times New Roman" w:eastAsia="宋体"/>
          <w:b/>
          <w:color w:val="auto"/>
          <w:sz w:val="36"/>
          <w:highlight w:val="none"/>
        </w:rPr>
      </w:pPr>
    </w:p>
    <w:p w14:paraId="4DAE5813">
      <w:pPr>
        <w:pageBreakBefore w:val="0"/>
        <w:spacing w:line="360" w:lineRule="auto"/>
        <w:jc w:val="center"/>
        <w:rPr>
          <w:rFonts w:ascii="Times New Roman" w:hAnsi="Times New Roman" w:eastAsia="宋体"/>
          <w:b/>
          <w:color w:val="auto"/>
          <w:sz w:val="36"/>
          <w:highlight w:val="none"/>
        </w:rPr>
      </w:pPr>
    </w:p>
    <w:p w14:paraId="4719B976">
      <w:pPr>
        <w:pageBreakBefore w:val="0"/>
        <w:spacing w:line="360" w:lineRule="auto"/>
        <w:jc w:val="center"/>
        <w:rPr>
          <w:rFonts w:ascii="Times New Roman" w:hAnsi="Times New Roman" w:eastAsia="宋体"/>
          <w:b/>
          <w:color w:val="auto"/>
          <w:sz w:val="36"/>
          <w:highlight w:val="none"/>
        </w:rPr>
      </w:pPr>
    </w:p>
    <w:p w14:paraId="62A75DBD">
      <w:pPr>
        <w:pageBreakBefore w:val="0"/>
        <w:spacing w:line="360" w:lineRule="auto"/>
        <w:jc w:val="center"/>
        <w:rPr>
          <w:rFonts w:ascii="Times New Roman" w:hAnsi="Times New Roman" w:eastAsia="宋体"/>
          <w:b/>
          <w:color w:val="auto"/>
          <w:sz w:val="36"/>
          <w:highlight w:val="none"/>
        </w:rPr>
      </w:pPr>
    </w:p>
    <w:p w14:paraId="0CBFCA7F">
      <w:pPr>
        <w:pageBreakBefore w:val="0"/>
        <w:spacing w:line="360" w:lineRule="auto"/>
        <w:rPr>
          <w:rFonts w:ascii="Times New Roman" w:hAnsi="Times New Roman" w:eastAsia="宋体"/>
          <w:color w:val="auto"/>
          <w:sz w:val="32"/>
          <w:highlight w:val="none"/>
        </w:rPr>
      </w:pPr>
    </w:p>
    <w:p w14:paraId="14A78019">
      <w:pPr>
        <w:pageBreakBefore w:val="0"/>
        <w:spacing w:line="360" w:lineRule="auto"/>
        <w:rPr>
          <w:rFonts w:ascii="Times New Roman" w:hAnsi="Times New Roman" w:eastAsia="宋体"/>
          <w:color w:val="auto"/>
          <w:sz w:val="32"/>
          <w:highlight w:val="none"/>
        </w:rPr>
      </w:pPr>
    </w:p>
    <w:p w14:paraId="05228089">
      <w:pPr>
        <w:pageBreakBefore w:val="0"/>
        <w:spacing w:line="360" w:lineRule="auto"/>
        <w:rPr>
          <w:rFonts w:ascii="Times New Roman" w:hAnsi="Times New Roman" w:eastAsia="宋体"/>
          <w:color w:val="auto"/>
          <w:sz w:val="32"/>
          <w:highlight w:val="none"/>
        </w:rPr>
      </w:pPr>
      <w:r>
        <w:rPr>
          <w:rFonts w:hint="eastAsia" w:ascii="Times New Roman" w:hAnsi="Times New Roman" w:eastAsia="宋体"/>
          <w:color w:val="auto"/>
          <w:sz w:val="32"/>
          <w:highlight w:val="none"/>
        </w:rPr>
        <w:br w:type="page" w:clear="all"/>
      </w:r>
    </w:p>
    <w:p w14:paraId="54851A34">
      <w:pPr>
        <w:pStyle w:val="3"/>
        <w:pageBreakBefore w:val="0"/>
        <w:spacing w:before="0" w:after="0" w:line="360" w:lineRule="auto"/>
        <w:rPr>
          <w:rFonts w:ascii="Times New Roman" w:hAnsi="Times New Roman" w:eastAsia="宋体"/>
          <w:color w:val="auto"/>
          <w:sz w:val="32"/>
          <w:highlight w:val="none"/>
        </w:rPr>
      </w:pPr>
      <w:bookmarkStart w:id="82" w:name="_Hlt26955054"/>
      <w:bookmarkEnd w:id="82"/>
      <w:bookmarkStart w:id="83" w:name="_Toc16820"/>
      <w:bookmarkStart w:id="84" w:name="_Toc28180"/>
      <w:bookmarkStart w:id="85" w:name="_Toc13755"/>
      <w:r>
        <w:rPr>
          <w:rFonts w:hint="eastAsia" w:ascii="Times New Roman" w:hAnsi="Times New Roman" w:eastAsia="宋体"/>
          <w:color w:val="auto"/>
          <w:sz w:val="32"/>
          <w:highlight w:val="none"/>
        </w:rPr>
        <w:t>七、商务条款响应及偏离表</w:t>
      </w:r>
      <w:bookmarkEnd w:id="83"/>
      <w:bookmarkEnd w:id="84"/>
      <w:bookmarkEnd w:id="85"/>
    </w:p>
    <w:tbl>
      <w:tblPr>
        <w:tblStyle w:val="41"/>
        <w:tblW w:w="8591"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638"/>
        <w:gridCol w:w="2502"/>
        <w:gridCol w:w="1837"/>
        <w:gridCol w:w="2614"/>
      </w:tblGrid>
      <w:tr w14:paraId="7D547D0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jc w:val="center"/>
        </w:trPr>
        <w:tc>
          <w:tcPr>
            <w:tcW w:w="1638" w:type="dxa"/>
            <w:tcBorders>
              <w:top w:val="single" w:color="auto" w:sz="4" w:space="0"/>
              <w:left w:val="single" w:color="auto" w:sz="4" w:space="0"/>
              <w:bottom w:val="single" w:color="auto" w:sz="4" w:space="0"/>
              <w:right w:val="single" w:color="auto" w:sz="4" w:space="0"/>
            </w:tcBorders>
            <w:noWrap w:val="0"/>
          </w:tcPr>
          <w:p w14:paraId="235590A3">
            <w:pPr>
              <w:pageBreakBefore w:val="0"/>
              <w:spacing w:line="360" w:lineRule="auto"/>
              <w:jc w:val="center"/>
              <w:rPr>
                <w:rFonts w:ascii="Times New Roman" w:hAnsi="Times New Roman" w:eastAsia="宋体"/>
                <w:color w:val="auto"/>
                <w:szCs w:val="21"/>
                <w:highlight w:val="none"/>
              </w:rPr>
            </w:pPr>
            <w:bookmarkStart w:id="86" w:name="_Hlt24879081"/>
            <w:bookmarkEnd w:id="86"/>
            <w:bookmarkStart w:id="87" w:name="_Hlt26955056"/>
            <w:bookmarkEnd w:id="87"/>
            <w:bookmarkStart w:id="88" w:name="_Hlt26609391"/>
            <w:bookmarkEnd w:id="88"/>
            <w:bookmarkStart w:id="89" w:name="_Hlt26671372"/>
            <w:bookmarkEnd w:id="89"/>
            <w:bookmarkStart w:id="90" w:name="_Hlt26955064"/>
            <w:bookmarkEnd w:id="90"/>
            <w:bookmarkStart w:id="91" w:name="_Hlt26782999"/>
            <w:bookmarkEnd w:id="91"/>
            <w:bookmarkStart w:id="92" w:name="_Hlt26580838"/>
            <w:bookmarkEnd w:id="92"/>
            <w:bookmarkStart w:id="93" w:name="_Hlt26671343"/>
            <w:bookmarkEnd w:id="93"/>
            <w:r>
              <w:rPr>
                <w:rFonts w:hint="eastAsia" w:ascii="Times New Roman" w:hAnsi="Times New Roman" w:eastAsia="宋体"/>
                <w:color w:val="auto"/>
                <w:szCs w:val="21"/>
                <w:highlight w:val="none"/>
              </w:rPr>
              <w:t>项目</w:t>
            </w:r>
          </w:p>
        </w:tc>
        <w:tc>
          <w:tcPr>
            <w:tcW w:w="2502" w:type="dxa"/>
            <w:tcBorders>
              <w:top w:val="single" w:color="auto" w:sz="4" w:space="0"/>
              <w:left w:val="single" w:color="auto" w:sz="4" w:space="0"/>
              <w:bottom w:val="single" w:color="auto" w:sz="4" w:space="0"/>
              <w:right w:val="single" w:color="auto" w:sz="4" w:space="0"/>
            </w:tcBorders>
            <w:noWrap w:val="0"/>
          </w:tcPr>
          <w:p w14:paraId="035970E2">
            <w:pPr>
              <w:pageBreakBefore w:val="0"/>
              <w:spacing w:line="360" w:lineRule="auto"/>
              <w:jc w:val="center"/>
              <w:rPr>
                <w:rFonts w:ascii="Times New Roman" w:hAnsi="Times New Roman" w:eastAsia="宋体"/>
                <w:color w:val="auto"/>
                <w:szCs w:val="21"/>
                <w:highlight w:val="none"/>
              </w:rPr>
            </w:pPr>
            <w:r>
              <w:rPr>
                <w:rFonts w:hint="eastAsia" w:ascii="Times New Roman" w:hAnsi="Times New Roman" w:eastAsia="宋体"/>
                <w:color w:val="auto"/>
                <w:szCs w:val="21"/>
                <w:highlight w:val="none"/>
              </w:rPr>
              <w:t>招标文件要求</w:t>
            </w:r>
          </w:p>
        </w:tc>
        <w:tc>
          <w:tcPr>
            <w:tcW w:w="1837" w:type="dxa"/>
            <w:tcBorders>
              <w:top w:val="single" w:color="auto" w:sz="4" w:space="0"/>
              <w:left w:val="single" w:color="auto" w:sz="4" w:space="0"/>
              <w:bottom w:val="single" w:color="auto" w:sz="4" w:space="0"/>
              <w:right w:val="single" w:color="auto" w:sz="4" w:space="0"/>
            </w:tcBorders>
            <w:noWrap w:val="0"/>
          </w:tcPr>
          <w:p w14:paraId="0F30E3F0">
            <w:pPr>
              <w:pageBreakBefore w:val="0"/>
              <w:spacing w:line="360" w:lineRule="auto"/>
              <w:jc w:val="center"/>
              <w:rPr>
                <w:rFonts w:ascii="Times New Roman" w:hAnsi="Times New Roman" w:eastAsia="宋体"/>
                <w:color w:val="auto"/>
                <w:szCs w:val="21"/>
                <w:highlight w:val="none"/>
              </w:rPr>
            </w:pPr>
            <w:r>
              <w:rPr>
                <w:rFonts w:hint="eastAsia" w:ascii="Times New Roman" w:hAnsi="Times New Roman" w:eastAsia="宋体"/>
                <w:color w:val="auto"/>
                <w:szCs w:val="21"/>
                <w:highlight w:val="none"/>
              </w:rPr>
              <w:t>是否响应</w:t>
            </w:r>
          </w:p>
        </w:tc>
        <w:tc>
          <w:tcPr>
            <w:tcW w:w="2614" w:type="dxa"/>
            <w:tcBorders>
              <w:top w:val="single" w:color="auto" w:sz="4" w:space="0"/>
              <w:left w:val="single" w:color="auto" w:sz="4" w:space="0"/>
              <w:bottom w:val="single" w:color="auto" w:sz="4" w:space="0"/>
              <w:right w:val="single" w:color="auto" w:sz="4" w:space="0"/>
            </w:tcBorders>
            <w:noWrap w:val="0"/>
          </w:tcPr>
          <w:p w14:paraId="5EC44A7E">
            <w:pPr>
              <w:pageBreakBefore w:val="0"/>
              <w:spacing w:line="360" w:lineRule="auto"/>
              <w:jc w:val="center"/>
              <w:rPr>
                <w:rFonts w:ascii="Times New Roman" w:hAnsi="Times New Roman" w:eastAsia="宋体"/>
                <w:color w:val="auto"/>
                <w:szCs w:val="21"/>
                <w:highlight w:val="none"/>
              </w:rPr>
            </w:pPr>
            <w:r>
              <w:rPr>
                <w:rFonts w:hint="eastAsia" w:ascii="Times New Roman" w:hAnsi="Times New Roman" w:eastAsia="宋体"/>
                <w:color w:val="auto"/>
                <w:szCs w:val="21"/>
                <w:highlight w:val="none"/>
              </w:rPr>
              <w:t>投标人的承诺或说明</w:t>
            </w:r>
          </w:p>
        </w:tc>
      </w:tr>
      <w:tr w14:paraId="289C3E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9" w:hRule="atLeast"/>
          <w:jc w:val="center"/>
        </w:trPr>
        <w:tc>
          <w:tcPr>
            <w:tcW w:w="1638" w:type="dxa"/>
            <w:tcBorders>
              <w:top w:val="single" w:color="auto" w:sz="4" w:space="0"/>
              <w:left w:val="single" w:color="auto" w:sz="4" w:space="0"/>
              <w:bottom w:val="single" w:color="auto" w:sz="4" w:space="0"/>
              <w:right w:val="single" w:color="auto" w:sz="4" w:space="0"/>
            </w:tcBorders>
            <w:noWrap w:val="0"/>
            <w:vAlign w:val="center"/>
          </w:tcPr>
          <w:p w14:paraId="5AAA73AF">
            <w:pPr>
              <w:pageBreakBefore w:val="0"/>
              <w:spacing w:line="360" w:lineRule="auto"/>
              <w:jc w:val="center"/>
              <w:rPr>
                <w:rFonts w:ascii="Times New Roman" w:hAnsi="Times New Roman" w:eastAsia="宋体"/>
                <w:color w:val="auto"/>
                <w:szCs w:val="21"/>
                <w:highlight w:val="none"/>
              </w:rPr>
            </w:pPr>
            <w:r>
              <w:rPr>
                <w:rFonts w:hint="eastAsia" w:ascii="Times New Roman" w:hAnsi="Times New Roman" w:eastAsia="宋体"/>
                <w:color w:val="auto"/>
                <w:szCs w:val="21"/>
                <w:highlight w:val="none"/>
              </w:rPr>
              <w:t>服务时间</w:t>
            </w:r>
          </w:p>
        </w:tc>
        <w:tc>
          <w:tcPr>
            <w:tcW w:w="2502" w:type="dxa"/>
            <w:tcBorders>
              <w:top w:val="single" w:color="auto" w:sz="4" w:space="0"/>
              <w:left w:val="single" w:color="auto" w:sz="4" w:space="0"/>
              <w:bottom w:val="single" w:color="auto" w:sz="4" w:space="0"/>
              <w:right w:val="single" w:color="auto" w:sz="4" w:space="0"/>
            </w:tcBorders>
            <w:noWrap w:val="0"/>
          </w:tcPr>
          <w:p w14:paraId="72124407">
            <w:pPr>
              <w:pageBreakBefore w:val="0"/>
              <w:spacing w:line="360" w:lineRule="auto"/>
              <w:jc w:val="center"/>
              <w:rPr>
                <w:rFonts w:ascii="Times New Roman" w:hAnsi="Times New Roman" w:eastAsia="宋体"/>
                <w:color w:val="auto"/>
                <w:szCs w:val="21"/>
                <w:highlight w:val="none"/>
              </w:rPr>
            </w:pPr>
          </w:p>
        </w:tc>
        <w:tc>
          <w:tcPr>
            <w:tcW w:w="1837" w:type="dxa"/>
            <w:tcBorders>
              <w:top w:val="single" w:color="auto" w:sz="4" w:space="0"/>
              <w:left w:val="single" w:color="auto" w:sz="4" w:space="0"/>
              <w:bottom w:val="single" w:color="auto" w:sz="4" w:space="0"/>
              <w:right w:val="single" w:color="auto" w:sz="4" w:space="0"/>
            </w:tcBorders>
            <w:noWrap w:val="0"/>
          </w:tcPr>
          <w:p w14:paraId="2C63B509">
            <w:pPr>
              <w:pageBreakBefore w:val="0"/>
              <w:spacing w:line="360" w:lineRule="auto"/>
              <w:jc w:val="center"/>
              <w:rPr>
                <w:rFonts w:ascii="Times New Roman" w:hAnsi="Times New Roman" w:eastAsia="宋体"/>
                <w:color w:val="auto"/>
                <w:szCs w:val="21"/>
                <w:highlight w:val="none"/>
              </w:rPr>
            </w:pPr>
          </w:p>
        </w:tc>
        <w:tc>
          <w:tcPr>
            <w:tcW w:w="2614" w:type="dxa"/>
            <w:tcBorders>
              <w:top w:val="single" w:color="auto" w:sz="4" w:space="0"/>
              <w:left w:val="single" w:color="auto" w:sz="4" w:space="0"/>
              <w:bottom w:val="single" w:color="auto" w:sz="4" w:space="0"/>
              <w:right w:val="single" w:color="auto" w:sz="4" w:space="0"/>
            </w:tcBorders>
            <w:noWrap w:val="0"/>
          </w:tcPr>
          <w:p w14:paraId="298639ED">
            <w:pPr>
              <w:pageBreakBefore w:val="0"/>
              <w:spacing w:line="360" w:lineRule="auto"/>
              <w:jc w:val="center"/>
              <w:rPr>
                <w:rFonts w:ascii="Times New Roman" w:hAnsi="Times New Roman" w:eastAsia="宋体"/>
                <w:color w:val="auto"/>
                <w:szCs w:val="21"/>
                <w:highlight w:val="none"/>
              </w:rPr>
            </w:pPr>
          </w:p>
        </w:tc>
      </w:tr>
      <w:tr w14:paraId="4B700A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9" w:hRule="atLeast"/>
          <w:jc w:val="center"/>
        </w:trPr>
        <w:tc>
          <w:tcPr>
            <w:tcW w:w="1638" w:type="dxa"/>
            <w:tcBorders>
              <w:top w:val="single" w:color="auto" w:sz="4" w:space="0"/>
              <w:left w:val="single" w:color="auto" w:sz="4" w:space="0"/>
              <w:bottom w:val="single" w:color="auto" w:sz="4" w:space="0"/>
              <w:right w:val="single" w:color="auto" w:sz="4" w:space="0"/>
            </w:tcBorders>
            <w:noWrap w:val="0"/>
            <w:vAlign w:val="center"/>
          </w:tcPr>
          <w:p w14:paraId="512864E4">
            <w:pPr>
              <w:pageBreakBefore w:val="0"/>
              <w:spacing w:line="360" w:lineRule="auto"/>
              <w:jc w:val="center"/>
              <w:rPr>
                <w:rFonts w:ascii="Times New Roman" w:hAnsi="Times New Roman" w:eastAsia="宋体"/>
                <w:color w:val="auto"/>
                <w:szCs w:val="21"/>
                <w:highlight w:val="none"/>
              </w:rPr>
            </w:pPr>
            <w:r>
              <w:rPr>
                <w:rFonts w:hint="eastAsia" w:ascii="Times New Roman" w:hAnsi="Times New Roman" w:eastAsia="宋体"/>
                <w:color w:val="auto"/>
                <w:szCs w:val="21"/>
                <w:highlight w:val="none"/>
              </w:rPr>
              <w:t>服务方式</w:t>
            </w:r>
          </w:p>
        </w:tc>
        <w:tc>
          <w:tcPr>
            <w:tcW w:w="2502" w:type="dxa"/>
            <w:tcBorders>
              <w:top w:val="single" w:color="auto" w:sz="4" w:space="0"/>
              <w:left w:val="single" w:color="auto" w:sz="4" w:space="0"/>
              <w:bottom w:val="single" w:color="auto" w:sz="4" w:space="0"/>
              <w:right w:val="single" w:color="auto" w:sz="4" w:space="0"/>
            </w:tcBorders>
            <w:noWrap w:val="0"/>
          </w:tcPr>
          <w:p w14:paraId="52CB1F40">
            <w:pPr>
              <w:pageBreakBefore w:val="0"/>
              <w:spacing w:line="360" w:lineRule="auto"/>
              <w:jc w:val="center"/>
              <w:rPr>
                <w:rFonts w:ascii="Times New Roman" w:hAnsi="Times New Roman" w:eastAsia="宋体"/>
                <w:color w:val="auto"/>
                <w:szCs w:val="21"/>
                <w:highlight w:val="none"/>
              </w:rPr>
            </w:pPr>
          </w:p>
        </w:tc>
        <w:tc>
          <w:tcPr>
            <w:tcW w:w="1837" w:type="dxa"/>
            <w:tcBorders>
              <w:top w:val="single" w:color="auto" w:sz="4" w:space="0"/>
              <w:left w:val="single" w:color="auto" w:sz="4" w:space="0"/>
              <w:bottom w:val="single" w:color="auto" w:sz="4" w:space="0"/>
              <w:right w:val="single" w:color="auto" w:sz="4" w:space="0"/>
            </w:tcBorders>
            <w:noWrap w:val="0"/>
          </w:tcPr>
          <w:p w14:paraId="35B2CAD6">
            <w:pPr>
              <w:pageBreakBefore w:val="0"/>
              <w:spacing w:line="360" w:lineRule="auto"/>
              <w:jc w:val="center"/>
              <w:rPr>
                <w:rFonts w:ascii="Times New Roman" w:hAnsi="Times New Roman" w:eastAsia="宋体"/>
                <w:color w:val="auto"/>
                <w:szCs w:val="21"/>
                <w:highlight w:val="none"/>
              </w:rPr>
            </w:pPr>
          </w:p>
        </w:tc>
        <w:tc>
          <w:tcPr>
            <w:tcW w:w="2614" w:type="dxa"/>
            <w:tcBorders>
              <w:top w:val="single" w:color="auto" w:sz="4" w:space="0"/>
              <w:left w:val="single" w:color="auto" w:sz="4" w:space="0"/>
              <w:bottom w:val="single" w:color="auto" w:sz="4" w:space="0"/>
              <w:right w:val="single" w:color="auto" w:sz="4" w:space="0"/>
            </w:tcBorders>
            <w:noWrap w:val="0"/>
          </w:tcPr>
          <w:p w14:paraId="7E34EDBB">
            <w:pPr>
              <w:pageBreakBefore w:val="0"/>
              <w:spacing w:line="360" w:lineRule="auto"/>
              <w:jc w:val="center"/>
              <w:rPr>
                <w:rFonts w:ascii="Times New Roman" w:hAnsi="Times New Roman" w:eastAsia="宋体"/>
                <w:color w:val="auto"/>
                <w:szCs w:val="21"/>
                <w:highlight w:val="none"/>
              </w:rPr>
            </w:pPr>
          </w:p>
        </w:tc>
      </w:tr>
      <w:tr w14:paraId="205A5C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638" w:type="dxa"/>
            <w:tcBorders>
              <w:top w:val="single" w:color="auto" w:sz="4" w:space="0"/>
              <w:left w:val="single" w:color="auto" w:sz="4" w:space="0"/>
              <w:bottom w:val="single" w:color="auto" w:sz="4" w:space="0"/>
              <w:right w:val="single" w:color="auto" w:sz="4" w:space="0"/>
            </w:tcBorders>
            <w:noWrap w:val="0"/>
            <w:vAlign w:val="center"/>
          </w:tcPr>
          <w:p w14:paraId="2652434B">
            <w:pPr>
              <w:pageBreakBefore w:val="0"/>
              <w:spacing w:line="360" w:lineRule="auto"/>
              <w:jc w:val="center"/>
              <w:rPr>
                <w:rFonts w:ascii="Times New Roman" w:hAnsi="Times New Roman" w:eastAsia="宋体"/>
                <w:color w:val="auto"/>
                <w:szCs w:val="21"/>
                <w:highlight w:val="none"/>
              </w:rPr>
            </w:pPr>
            <w:r>
              <w:rPr>
                <w:rFonts w:hint="eastAsia" w:ascii="Times New Roman" w:hAnsi="Times New Roman" w:eastAsia="宋体"/>
                <w:color w:val="auto"/>
                <w:szCs w:val="21"/>
                <w:highlight w:val="none"/>
              </w:rPr>
              <w:t>服务地点</w:t>
            </w:r>
          </w:p>
        </w:tc>
        <w:tc>
          <w:tcPr>
            <w:tcW w:w="2502" w:type="dxa"/>
            <w:tcBorders>
              <w:top w:val="single" w:color="auto" w:sz="4" w:space="0"/>
              <w:left w:val="single" w:color="auto" w:sz="4" w:space="0"/>
              <w:bottom w:val="single" w:color="auto" w:sz="4" w:space="0"/>
              <w:right w:val="single" w:color="auto" w:sz="4" w:space="0"/>
            </w:tcBorders>
            <w:noWrap w:val="0"/>
          </w:tcPr>
          <w:p w14:paraId="3106F1D5">
            <w:pPr>
              <w:pageBreakBefore w:val="0"/>
              <w:spacing w:line="360" w:lineRule="auto"/>
              <w:jc w:val="center"/>
              <w:rPr>
                <w:rFonts w:ascii="Times New Roman" w:hAnsi="Times New Roman" w:eastAsia="宋体"/>
                <w:color w:val="auto"/>
                <w:szCs w:val="21"/>
                <w:highlight w:val="none"/>
              </w:rPr>
            </w:pPr>
          </w:p>
        </w:tc>
        <w:tc>
          <w:tcPr>
            <w:tcW w:w="1837" w:type="dxa"/>
            <w:tcBorders>
              <w:top w:val="single" w:color="auto" w:sz="4" w:space="0"/>
              <w:left w:val="single" w:color="auto" w:sz="4" w:space="0"/>
              <w:bottom w:val="single" w:color="auto" w:sz="4" w:space="0"/>
              <w:right w:val="single" w:color="auto" w:sz="4" w:space="0"/>
            </w:tcBorders>
            <w:noWrap w:val="0"/>
          </w:tcPr>
          <w:p w14:paraId="3238344D">
            <w:pPr>
              <w:pageBreakBefore w:val="0"/>
              <w:spacing w:line="360" w:lineRule="auto"/>
              <w:ind w:left="43"/>
              <w:jc w:val="center"/>
              <w:rPr>
                <w:rFonts w:ascii="Times New Roman" w:hAnsi="Times New Roman" w:eastAsia="宋体"/>
                <w:color w:val="auto"/>
                <w:szCs w:val="21"/>
                <w:highlight w:val="none"/>
              </w:rPr>
            </w:pPr>
          </w:p>
        </w:tc>
        <w:tc>
          <w:tcPr>
            <w:tcW w:w="2614" w:type="dxa"/>
            <w:tcBorders>
              <w:top w:val="single" w:color="auto" w:sz="4" w:space="0"/>
              <w:left w:val="single" w:color="auto" w:sz="4" w:space="0"/>
              <w:bottom w:val="single" w:color="auto" w:sz="4" w:space="0"/>
              <w:right w:val="single" w:color="auto" w:sz="4" w:space="0"/>
            </w:tcBorders>
            <w:noWrap w:val="0"/>
          </w:tcPr>
          <w:p w14:paraId="010C3F52">
            <w:pPr>
              <w:pageBreakBefore w:val="0"/>
              <w:spacing w:line="360" w:lineRule="auto"/>
              <w:ind w:left="43"/>
              <w:jc w:val="center"/>
              <w:rPr>
                <w:rFonts w:ascii="Times New Roman" w:hAnsi="Times New Roman" w:eastAsia="宋体"/>
                <w:color w:val="auto"/>
                <w:szCs w:val="21"/>
                <w:highlight w:val="none"/>
              </w:rPr>
            </w:pPr>
          </w:p>
        </w:tc>
      </w:tr>
      <w:tr w14:paraId="304CDE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1638" w:type="dxa"/>
            <w:tcBorders>
              <w:top w:val="single" w:color="auto" w:sz="4" w:space="0"/>
              <w:left w:val="single" w:color="auto" w:sz="4" w:space="0"/>
              <w:bottom w:val="single" w:color="auto" w:sz="4" w:space="0"/>
              <w:right w:val="single" w:color="auto" w:sz="4" w:space="0"/>
            </w:tcBorders>
            <w:noWrap w:val="0"/>
            <w:vAlign w:val="center"/>
          </w:tcPr>
          <w:p w14:paraId="2EA4ED46">
            <w:pPr>
              <w:pageBreakBefore w:val="0"/>
              <w:spacing w:line="360" w:lineRule="auto"/>
              <w:jc w:val="center"/>
              <w:rPr>
                <w:rFonts w:ascii="Times New Roman" w:hAnsi="Times New Roman" w:eastAsia="宋体"/>
                <w:color w:val="auto"/>
                <w:szCs w:val="21"/>
                <w:highlight w:val="none"/>
              </w:rPr>
            </w:pPr>
            <w:r>
              <w:rPr>
                <w:rFonts w:hint="eastAsia" w:ascii="Times New Roman" w:hAnsi="Times New Roman" w:eastAsia="宋体"/>
                <w:color w:val="auto"/>
                <w:szCs w:val="21"/>
                <w:highlight w:val="none"/>
              </w:rPr>
              <w:t>付款方式</w:t>
            </w:r>
          </w:p>
        </w:tc>
        <w:tc>
          <w:tcPr>
            <w:tcW w:w="2502" w:type="dxa"/>
            <w:tcBorders>
              <w:top w:val="single" w:color="auto" w:sz="4" w:space="0"/>
              <w:left w:val="single" w:color="auto" w:sz="4" w:space="0"/>
              <w:bottom w:val="single" w:color="auto" w:sz="4" w:space="0"/>
              <w:right w:val="single" w:color="auto" w:sz="4" w:space="0"/>
            </w:tcBorders>
            <w:noWrap w:val="0"/>
          </w:tcPr>
          <w:p w14:paraId="466987CA">
            <w:pPr>
              <w:pageBreakBefore w:val="0"/>
              <w:spacing w:line="360" w:lineRule="auto"/>
              <w:rPr>
                <w:rFonts w:ascii="Times New Roman" w:hAnsi="Times New Roman" w:eastAsia="宋体"/>
                <w:color w:val="auto"/>
                <w:szCs w:val="21"/>
                <w:highlight w:val="none"/>
              </w:rPr>
            </w:pPr>
          </w:p>
        </w:tc>
        <w:tc>
          <w:tcPr>
            <w:tcW w:w="1837" w:type="dxa"/>
            <w:tcBorders>
              <w:top w:val="single" w:color="auto" w:sz="4" w:space="0"/>
              <w:left w:val="single" w:color="auto" w:sz="4" w:space="0"/>
              <w:bottom w:val="single" w:color="auto" w:sz="4" w:space="0"/>
              <w:right w:val="single" w:color="auto" w:sz="4" w:space="0"/>
            </w:tcBorders>
            <w:noWrap w:val="0"/>
          </w:tcPr>
          <w:p w14:paraId="146FC13D">
            <w:pPr>
              <w:pageBreakBefore w:val="0"/>
              <w:spacing w:line="360" w:lineRule="auto"/>
              <w:ind w:left="43"/>
              <w:jc w:val="center"/>
              <w:rPr>
                <w:rFonts w:ascii="Times New Roman" w:hAnsi="Times New Roman" w:eastAsia="宋体"/>
                <w:color w:val="auto"/>
                <w:szCs w:val="21"/>
                <w:highlight w:val="none"/>
              </w:rPr>
            </w:pPr>
          </w:p>
        </w:tc>
        <w:tc>
          <w:tcPr>
            <w:tcW w:w="2614" w:type="dxa"/>
            <w:tcBorders>
              <w:top w:val="single" w:color="auto" w:sz="4" w:space="0"/>
              <w:left w:val="single" w:color="auto" w:sz="4" w:space="0"/>
              <w:bottom w:val="single" w:color="auto" w:sz="4" w:space="0"/>
              <w:right w:val="single" w:color="auto" w:sz="4" w:space="0"/>
            </w:tcBorders>
            <w:noWrap w:val="0"/>
          </w:tcPr>
          <w:p w14:paraId="4FE2F526">
            <w:pPr>
              <w:pageBreakBefore w:val="0"/>
              <w:spacing w:line="360" w:lineRule="auto"/>
              <w:ind w:left="43"/>
              <w:jc w:val="center"/>
              <w:rPr>
                <w:rFonts w:ascii="Times New Roman" w:hAnsi="Times New Roman" w:eastAsia="宋体"/>
                <w:color w:val="auto"/>
                <w:szCs w:val="21"/>
                <w:highlight w:val="none"/>
              </w:rPr>
            </w:pPr>
          </w:p>
        </w:tc>
      </w:tr>
      <w:tr w14:paraId="21F356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0" w:hRule="atLeast"/>
          <w:jc w:val="center"/>
        </w:trPr>
        <w:tc>
          <w:tcPr>
            <w:tcW w:w="1638" w:type="dxa"/>
            <w:tcBorders>
              <w:top w:val="single" w:color="auto" w:sz="4" w:space="0"/>
              <w:left w:val="single" w:color="auto" w:sz="4" w:space="0"/>
              <w:bottom w:val="single" w:color="auto" w:sz="4" w:space="0"/>
              <w:right w:val="single" w:color="auto" w:sz="4" w:space="0"/>
            </w:tcBorders>
            <w:noWrap w:val="0"/>
            <w:vAlign w:val="center"/>
          </w:tcPr>
          <w:p w14:paraId="2E4B2F43">
            <w:pPr>
              <w:pageBreakBefore w:val="0"/>
              <w:spacing w:line="360" w:lineRule="auto"/>
              <w:jc w:val="center"/>
              <w:rPr>
                <w:rFonts w:ascii="Times New Roman" w:hAnsi="Times New Roman" w:eastAsia="宋体"/>
                <w:color w:val="auto"/>
                <w:szCs w:val="21"/>
                <w:highlight w:val="none"/>
              </w:rPr>
            </w:pPr>
            <w:r>
              <w:rPr>
                <w:rFonts w:hint="eastAsia" w:ascii="Times New Roman" w:hAnsi="Times New Roman" w:eastAsia="宋体"/>
                <w:color w:val="auto"/>
                <w:szCs w:val="21"/>
                <w:highlight w:val="none"/>
              </w:rPr>
              <w:t>其他</w:t>
            </w:r>
          </w:p>
        </w:tc>
        <w:tc>
          <w:tcPr>
            <w:tcW w:w="2502" w:type="dxa"/>
            <w:tcBorders>
              <w:top w:val="single" w:color="auto" w:sz="4" w:space="0"/>
              <w:left w:val="single" w:color="auto" w:sz="4" w:space="0"/>
              <w:bottom w:val="single" w:color="auto" w:sz="4" w:space="0"/>
              <w:right w:val="single" w:color="auto" w:sz="4" w:space="0"/>
            </w:tcBorders>
            <w:noWrap w:val="0"/>
          </w:tcPr>
          <w:p w14:paraId="08002CE5">
            <w:pPr>
              <w:pageBreakBefore w:val="0"/>
              <w:spacing w:line="360" w:lineRule="auto"/>
              <w:rPr>
                <w:rFonts w:ascii="Times New Roman" w:hAnsi="Times New Roman" w:eastAsia="宋体"/>
                <w:color w:val="auto"/>
                <w:szCs w:val="21"/>
                <w:highlight w:val="none"/>
              </w:rPr>
            </w:pPr>
          </w:p>
        </w:tc>
        <w:tc>
          <w:tcPr>
            <w:tcW w:w="1837" w:type="dxa"/>
            <w:tcBorders>
              <w:top w:val="single" w:color="auto" w:sz="4" w:space="0"/>
              <w:left w:val="single" w:color="auto" w:sz="4" w:space="0"/>
              <w:bottom w:val="single" w:color="auto" w:sz="4" w:space="0"/>
              <w:right w:val="single" w:color="auto" w:sz="4" w:space="0"/>
            </w:tcBorders>
            <w:noWrap w:val="0"/>
          </w:tcPr>
          <w:p w14:paraId="21EC3C73">
            <w:pPr>
              <w:pageBreakBefore w:val="0"/>
              <w:spacing w:line="360" w:lineRule="auto"/>
              <w:ind w:left="43"/>
              <w:jc w:val="center"/>
              <w:rPr>
                <w:rFonts w:ascii="Times New Roman" w:hAnsi="Times New Roman" w:eastAsia="宋体"/>
                <w:color w:val="auto"/>
                <w:szCs w:val="21"/>
                <w:highlight w:val="none"/>
              </w:rPr>
            </w:pPr>
          </w:p>
        </w:tc>
        <w:tc>
          <w:tcPr>
            <w:tcW w:w="2614" w:type="dxa"/>
            <w:tcBorders>
              <w:top w:val="single" w:color="auto" w:sz="4" w:space="0"/>
              <w:left w:val="single" w:color="auto" w:sz="4" w:space="0"/>
              <w:bottom w:val="single" w:color="auto" w:sz="4" w:space="0"/>
              <w:right w:val="single" w:color="auto" w:sz="4" w:space="0"/>
            </w:tcBorders>
            <w:noWrap w:val="0"/>
          </w:tcPr>
          <w:p w14:paraId="36EB8525">
            <w:pPr>
              <w:pageBreakBefore w:val="0"/>
              <w:spacing w:line="360" w:lineRule="auto"/>
              <w:ind w:left="43"/>
              <w:jc w:val="center"/>
              <w:rPr>
                <w:rFonts w:ascii="Times New Roman" w:hAnsi="Times New Roman" w:eastAsia="宋体"/>
                <w:color w:val="auto"/>
                <w:szCs w:val="21"/>
                <w:highlight w:val="none"/>
              </w:rPr>
            </w:pPr>
          </w:p>
        </w:tc>
      </w:tr>
    </w:tbl>
    <w:p w14:paraId="25A5E24C">
      <w:pPr>
        <w:pageBreakBefore w:val="0"/>
        <w:spacing w:line="360" w:lineRule="auto"/>
        <w:rPr>
          <w:rFonts w:ascii="Times New Roman" w:hAnsi="Times New Roman" w:eastAsia="宋体"/>
          <w:color w:val="auto"/>
          <w:sz w:val="24"/>
          <w:highlight w:val="none"/>
        </w:rPr>
      </w:pPr>
    </w:p>
    <w:p w14:paraId="15AF8C50">
      <w:pPr>
        <w:pageBreakBefore w:val="0"/>
        <w:spacing w:line="360" w:lineRule="auto"/>
        <w:rPr>
          <w:rFonts w:ascii="Times New Roman" w:hAnsi="Times New Roman" w:eastAsia="宋体"/>
          <w:color w:val="auto"/>
          <w:sz w:val="30"/>
          <w:highlight w:val="none"/>
        </w:rPr>
      </w:pPr>
    </w:p>
    <w:p w14:paraId="04C86F0F">
      <w:pPr>
        <w:pStyle w:val="12"/>
        <w:pageBreakBefore w:val="0"/>
        <w:spacing w:line="360" w:lineRule="auto"/>
        <w:ind w:firstLine="480"/>
        <w:rPr>
          <w:rFonts w:ascii="Times New Roman" w:hAnsi="Times New Roman" w:eastAsia="宋体"/>
          <w:color w:val="auto"/>
          <w:sz w:val="24"/>
          <w:highlight w:val="none"/>
        </w:rPr>
      </w:pPr>
      <w:bookmarkStart w:id="94" w:name="_Hlt26609389"/>
      <w:bookmarkEnd w:id="94"/>
      <w:bookmarkStart w:id="95" w:name="_Hlt26955066"/>
      <w:bookmarkEnd w:id="95"/>
      <w:bookmarkStart w:id="96" w:name="_Hlt26671374"/>
      <w:bookmarkEnd w:id="96"/>
      <w:bookmarkStart w:id="97" w:name="_Toc462564146"/>
    </w:p>
    <w:p w14:paraId="7BB00A1D">
      <w:pPr>
        <w:pStyle w:val="12"/>
        <w:pageBreakBefore w:val="0"/>
        <w:spacing w:line="360" w:lineRule="auto"/>
        <w:ind w:firstLine="480"/>
        <w:rPr>
          <w:rFonts w:ascii="Times New Roman" w:hAnsi="Times New Roman" w:eastAsia="宋体"/>
          <w:color w:val="auto"/>
          <w:sz w:val="24"/>
          <w:highlight w:val="none"/>
        </w:rPr>
      </w:pPr>
    </w:p>
    <w:p w14:paraId="7AFFF82E">
      <w:pPr>
        <w:pStyle w:val="12"/>
        <w:pageBreakBefore w:val="0"/>
        <w:spacing w:line="360" w:lineRule="auto"/>
        <w:ind w:firstLine="480"/>
        <w:rPr>
          <w:rFonts w:ascii="Times New Roman" w:hAnsi="Times New Roman" w:eastAsia="宋体"/>
          <w:color w:val="auto"/>
          <w:sz w:val="24"/>
          <w:highlight w:val="none"/>
        </w:rPr>
      </w:pPr>
    </w:p>
    <w:p w14:paraId="09D26617">
      <w:pPr>
        <w:pStyle w:val="12"/>
        <w:pageBreakBefore w:val="0"/>
        <w:spacing w:line="360" w:lineRule="auto"/>
        <w:ind w:firstLine="480"/>
        <w:rPr>
          <w:rFonts w:ascii="Times New Roman" w:hAnsi="Times New Roman" w:eastAsia="宋体"/>
          <w:color w:val="auto"/>
          <w:sz w:val="24"/>
          <w:highlight w:val="none"/>
        </w:rPr>
      </w:pPr>
    </w:p>
    <w:p w14:paraId="6CF408CD">
      <w:pPr>
        <w:pStyle w:val="12"/>
        <w:pageBreakBefore w:val="0"/>
        <w:spacing w:line="360" w:lineRule="auto"/>
        <w:ind w:firstLine="480"/>
        <w:rPr>
          <w:rFonts w:ascii="Times New Roman" w:hAnsi="Times New Roman" w:eastAsia="宋体"/>
          <w:color w:val="auto"/>
          <w:sz w:val="24"/>
          <w:highlight w:val="none"/>
        </w:rPr>
      </w:pPr>
      <w:r>
        <w:rPr>
          <w:rFonts w:hint="eastAsia" w:ascii="Times New Roman" w:hAnsi="Times New Roman" w:eastAsia="宋体"/>
          <w:color w:val="auto"/>
          <w:sz w:val="24"/>
          <w:highlight w:val="none"/>
        </w:rPr>
        <w:t>.</w:t>
      </w:r>
    </w:p>
    <w:p w14:paraId="2865331D">
      <w:pPr>
        <w:pStyle w:val="12"/>
        <w:pageBreakBefore w:val="0"/>
        <w:spacing w:line="360" w:lineRule="auto"/>
        <w:ind w:firstLine="480"/>
        <w:rPr>
          <w:rFonts w:ascii="Times New Roman" w:hAnsi="Times New Roman" w:eastAsia="宋体"/>
          <w:color w:val="auto"/>
          <w:sz w:val="24"/>
          <w:highlight w:val="none"/>
        </w:rPr>
      </w:pPr>
    </w:p>
    <w:p w14:paraId="6313C0AA">
      <w:pPr>
        <w:pStyle w:val="12"/>
        <w:pageBreakBefore w:val="0"/>
        <w:spacing w:line="360" w:lineRule="auto"/>
        <w:ind w:firstLine="480"/>
        <w:rPr>
          <w:rFonts w:ascii="Times New Roman" w:hAnsi="Times New Roman" w:eastAsia="宋体"/>
          <w:color w:val="auto"/>
          <w:sz w:val="24"/>
          <w:highlight w:val="none"/>
        </w:rPr>
      </w:pPr>
    </w:p>
    <w:p w14:paraId="21358726">
      <w:pPr>
        <w:pStyle w:val="12"/>
        <w:pageBreakBefore w:val="0"/>
        <w:spacing w:line="360" w:lineRule="auto"/>
        <w:ind w:firstLine="480"/>
        <w:rPr>
          <w:rFonts w:ascii="Times New Roman" w:hAnsi="Times New Roman" w:eastAsia="宋体"/>
          <w:color w:val="auto"/>
          <w:sz w:val="24"/>
          <w:highlight w:val="none"/>
        </w:rPr>
      </w:pPr>
    </w:p>
    <w:p w14:paraId="1475332B">
      <w:pPr>
        <w:pStyle w:val="12"/>
        <w:pageBreakBefore w:val="0"/>
        <w:spacing w:line="360" w:lineRule="auto"/>
        <w:ind w:firstLine="480"/>
        <w:rPr>
          <w:rFonts w:ascii="Times New Roman" w:hAnsi="Times New Roman" w:eastAsia="宋体"/>
          <w:color w:val="auto"/>
          <w:sz w:val="24"/>
          <w:highlight w:val="none"/>
        </w:rPr>
      </w:pPr>
    </w:p>
    <w:p w14:paraId="49E7D625">
      <w:pPr>
        <w:pStyle w:val="12"/>
        <w:pageBreakBefore w:val="0"/>
        <w:spacing w:line="360" w:lineRule="auto"/>
        <w:ind w:firstLine="480"/>
        <w:rPr>
          <w:rFonts w:ascii="Times New Roman" w:hAnsi="Times New Roman" w:eastAsia="宋体"/>
          <w:color w:val="auto"/>
          <w:sz w:val="24"/>
          <w:highlight w:val="none"/>
        </w:rPr>
      </w:pPr>
    </w:p>
    <w:p w14:paraId="4D8A7A82">
      <w:pPr>
        <w:pStyle w:val="12"/>
        <w:pageBreakBefore w:val="0"/>
        <w:spacing w:line="360" w:lineRule="auto"/>
        <w:ind w:firstLine="480"/>
        <w:rPr>
          <w:rFonts w:ascii="Times New Roman" w:hAnsi="Times New Roman" w:eastAsia="宋体"/>
          <w:color w:val="auto"/>
          <w:sz w:val="24"/>
          <w:highlight w:val="none"/>
        </w:rPr>
      </w:pPr>
    </w:p>
    <w:p w14:paraId="4FEA441F">
      <w:pPr>
        <w:pStyle w:val="12"/>
        <w:pageBreakBefore w:val="0"/>
        <w:spacing w:line="360" w:lineRule="auto"/>
        <w:ind w:firstLine="480"/>
        <w:rPr>
          <w:rFonts w:ascii="Times New Roman" w:hAnsi="Times New Roman" w:eastAsia="宋体"/>
          <w:color w:val="auto"/>
          <w:sz w:val="24"/>
          <w:highlight w:val="none"/>
        </w:rPr>
      </w:pPr>
    </w:p>
    <w:p w14:paraId="5C7721EF">
      <w:pPr>
        <w:pStyle w:val="12"/>
        <w:pageBreakBefore w:val="0"/>
        <w:spacing w:line="360" w:lineRule="auto"/>
        <w:ind w:firstLine="480"/>
        <w:rPr>
          <w:rFonts w:ascii="Times New Roman" w:hAnsi="Times New Roman" w:eastAsia="宋体"/>
          <w:color w:val="auto"/>
          <w:sz w:val="24"/>
          <w:highlight w:val="none"/>
        </w:rPr>
      </w:pPr>
    </w:p>
    <w:p w14:paraId="4D4A73F6">
      <w:pPr>
        <w:pStyle w:val="12"/>
        <w:pageBreakBefore w:val="0"/>
        <w:spacing w:line="360" w:lineRule="auto"/>
        <w:ind w:firstLine="480"/>
        <w:rPr>
          <w:rFonts w:ascii="Times New Roman" w:hAnsi="Times New Roman" w:eastAsia="宋体"/>
          <w:color w:val="auto"/>
          <w:sz w:val="24"/>
          <w:highlight w:val="none"/>
        </w:rPr>
      </w:pPr>
    </w:p>
    <w:p w14:paraId="6172EE1F">
      <w:pPr>
        <w:pStyle w:val="12"/>
        <w:pageBreakBefore w:val="0"/>
        <w:spacing w:line="360" w:lineRule="auto"/>
        <w:ind w:firstLine="480"/>
        <w:rPr>
          <w:rFonts w:ascii="Times New Roman" w:hAnsi="Times New Roman" w:eastAsia="宋体"/>
          <w:color w:val="auto"/>
          <w:sz w:val="24"/>
          <w:highlight w:val="none"/>
        </w:rPr>
      </w:pPr>
    </w:p>
    <w:p w14:paraId="2EEF9187">
      <w:pPr>
        <w:pStyle w:val="12"/>
        <w:pageBreakBefore w:val="0"/>
        <w:spacing w:line="360" w:lineRule="auto"/>
        <w:ind w:firstLine="480"/>
        <w:rPr>
          <w:rFonts w:ascii="Times New Roman" w:hAnsi="Times New Roman" w:eastAsia="宋体"/>
          <w:color w:val="auto"/>
          <w:sz w:val="24"/>
          <w:highlight w:val="none"/>
        </w:rPr>
      </w:pPr>
    </w:p>
    <w:p w14:paraId="00CE58E1">
      <w:pPr>
        <w:pStyle w:val="12"/>
        <w:pageBreakBefore w:val="0"/>
        <w:spacing w:line="360" w:lineRule="auto"/>
        <w:ind w:firstLine="480"/>
        <w:rPr>
          <w:rFonts w:ascii="Times New Roman" w:hAnsi="Times New Roman" w:eastAsia="宋体"/>
          <w:color w:val="auto"/>
          <w:sz w:val="24"/>
          <w:highlight w:val="none"/>
        </w:rPr>
      </w:pPr>
    </w:p>
    <w:p w14:paraId="1406DF52">
      <w:pPr>
        <w:pStyle w:val="12"/>
        <w:pageBreakBefore w:val="0"/>
        <w:spacing w:line="360" w:lineRule="auto"/>
        <w:ind w:firstLine="480"/>
        <w:rPr>
          <w:rFonts w:ascii="Times New Roman" w:hAnsi="Times New Roman" w:eastAsia="宋体"/>
          <w:color w:val="auto"/>
          <w:sz w:val="24"/>
          <w:highlight w:val="none"/>
        </w:rPr>
      </w:pPr>
    </w:p>
    <w:p w14:paraId="1CBFEE02">
      <w:pPr>
        <w:pStyle w:val="12"/>
        <w:pageBreakBefore w:val="0"/>
        <w:spacing w:line="360" w:lineRule="auto"/>
        <w:ind w:firstLine="480"/>
        <w:rPr>
          <w:rFonts w:ascii="Times New Roman" w:hAnsi="Times New Roman" w:eastAsia="宋体"/>
          <w:color w:val="auto"/>
          <w:sz w:val="24"/>
          <w:highlight w:val="none"/>
        </w:rPr>
      </w:pPr>
    </w:p>
    <w:p w14:paraId="0FC7B9BF">
      <w:pPr>
        <w:pStyle w:val="12"/>
        <w:pageBreakBefore w:val="0"/>
        <w:spacing w:line="360" w:lineRule="auto"/>
        <w:ind w:firstLine="480"/>
        <w:rPr>
          <w:rFonts w:ascii="Times New Roman" w:hAnsi="Times New Roman" w:eastAsia="宋体"/>
          <w:color w:val="auto"/>
          <w:sz w:val="24"/>
          <w:highlight w:val="none"/>
        </w:rPr>
      </w:pPr>
    </w:p>
    <w:p w14:paraId="2A4EAF8A">
      <w:pPr>
        <w:pStyle w:val="12"/>
        <w:pageBreakBefore w:val="0"/>
        <w:spacing w:line="360" w:lineRule="auto"/>
        <w:ind w:firstLine="480"/>
        <w:rPr>
          <w:rFonts w:ascii="Times New Roman" w:hAnsi="Times New Roman" w:eastAsia="宋体"/>
          <w:color w:val="auto"/>
          <w:sz w:val="24"/>
          <w:highlight w:val="none"/>
        </w:rPr>
      </w:pPr>
    </w:p>
    <w:p w14:paraId="2641069E">
      <w:pPr>
        <w:pStyle w:val="12"/>
        <w:pageBreakBefore w:val="0"/>
        <w:spacing w:line="360" w:lineRule="auto"/>
        <w:ind w:firstLine="480"/>
        <w:rPr>
          <w:rFonts w:ascii="Times New Roman" w:hAnsi="Times New Roman" w:eastAsia="宋体"/>
          <w:color w:val="auto"/>
          <w:sz w:val="24"/>
          <w:highlight w:val="none"/>
        </w:rPr>
      </w:pPr>
    </w:p>
    <w:bookmarkEnd w:id="97"/>
    <w:p w14:paraId="24225F2B">
      <w:pPr>
        <w:pStyle w:val="12"/>
        <w:pageBreakBefore w:val="0"/>
        <w:spacing w:line="360" w:lineRule="auto"/>
        <w:ind w:firstLine="480"/>
        <w:rPr>
          <w:rFonts w:ascii="Times New Roman" w:hAnsi="Times New Roman" w:eastAsia="宋体"/>
          <w:color w:val="auto"/>
          <w:sz w:val="24"/>
          <w:highlight w:val="none"/>
        </w:rPr>
      </w:pPr>
    </w:p>
    <w:p w14:paraId="26CED1D7">
      <w:pPr>
        <w:pageBreakBefore w:val="0"/>
        <w:spacing w:line="360" w:lineRule="auto"/>
        <w:jc w:val="center"/>
        <w:rPr>
          <w:rFonts w:hint="eastAsia" w:ascii="宋体" w:hAnsi="宋体" w:cs="宋体"/>
          <w:bCs/>
          <w:highlight w:val="none"/>
        </w:rPr>
      </w:pPr>
      <w:r>
        <w:rPr>
          <w:rFonts w:hint="eastAsia" w:ascii="Times New Roman" w:hAnsi="Times New Roman" w:eastAsia="宋体"/>
          <w:b/>
          <w:color w:val="auto"/>
          <w:highlight w:val="none"/>
        </w:rPr>
        <w:t>主要标的信息（中标后将公示）</w:t>
      </w:r>
    </w:p>
    <w:p w14:paraId="44724C8B">
      <w:pPr>
        <w:spacing w:after="312" w:line="360" w:lineRule="auto"/>
        <w:ind w:firstLine="420"/>
        <w:rPr>
          <w:rFonts w:ascii="宋体" w:hAnsi="宋体"/>
          <w:b/>
          <w:color w:val="auto"/>
          <w:highlight w:val="none"/>
        </w:rPr>
      </w:pPr>
      <w:r>
        <w:rPr>
          <w:rFonts w:hint="eastAsia" w:ascii="宋体" w:hAnsi="宋体" w:cs="宋体"/>
          <w:bCs/>
          <w:highlight w:val="none"/>
        </w:rPr>
        <w:t>投标人名称（加盖CA电子公章）</w:t>
      </w:r>
      <w:r>
        <w:rPr>
          <w:rFonts w:hint="eastAsia" w:ascii="宋体" w:hAnsi="宋体"/>
          <w:color w:val="auto"/>
          <w:highlight w:val="none"/>
        </w:rPr>
        <w:t>：</w:t>
      </w:r>
    </w:p>
    <w:tbl>
      <w:tblPr>
        <w:tblStyle w:val="41"/>
        <w:tblW w:w="79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00"/>
      </w:tblGrid>
      <w:tr w14:paraId="402172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2" w:hRule="atLeast"/>
          <w:jc w:val="center"/>
        </w:trPr>
        <w:tc>
          <w:tcPr>
            <w:tcW w:w="7900" w:type="dxa"/>
            <w:noWrap w:val="0"/>
          </w:tcPr>
          <w:p w14:paraId="46BB89EE">
            <w:pPr>
              <w:spacing w:line="360" w:lineRule="auto"/>
              <w:jc w:val="center"/>
              <w:rPr>
                <w:rFonts w:ascii="宋体" w:hAnsi="宋体" w:cs="宋体"/>
                <w:color w:val="auto"/>
                <w:highlight w:val="none"/>
              </w:rPr>
            </w:pPr>
            <w:r>
              <w:rPr>
                <w:rFonts w:hint="eastAsia" w:ascii="宋体" w:hAnsi="宋体" w:cs="宋体"/>
                <w:color w:val="auto"/>
                <w:highlight w:val="none"/>
              </w:rPr>
              <w:t>服务类</w:t>
            </w:r>
          </w:p>
        </w:tc>
      </w:tr>
      <w:tr w14:paraId="70D3B7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92" w:hRule="atLeast"/>
          <w:jc w:val="center"/>
        </w:trPr>
        <w:tc>
          <w:tcPr>
            <w:tcW w:w="7900" w:type="dxa"/>
            <w:noWrap w:val="0"/>
          </w:tcPr>
          <w:p w14:paraId="1DF4E537">
            <w:pPr>
              <w:spacing w:line="360" w:lineRule="auto"/>
              <w:rPr>
                <w:rFonts w:ascii="宋体" w:hAnsi="宋体" w:cs="宋体"/>
                <w:color w:val="auto"/>
                <w:highlight w:val="none"/>
              </w:rPr>
            </w:pPr>
            <w:r>
              <w:rPr>
                <w:rFonts w:hint="eastAsia" w:ascii="宋体" w:hAnsi="宋体" w:cs="宋体"/>
                <w:color w:val="auto"/>
                <w:highlight w:val="none"/>
              </w:rPr>
              <w:t>名称：</w:t>
            </w:r>
          </w:p>
          <w:p w14:paraId="45CB376F">
            <w:pPr>
              <w:spacing w:line="360" w:lineRule="auto"/>
              <w:rPr>
                <w:rFonts w:ascii="宋体" w:hAnsi="宋体" w:cs="宋体"/>
                <w:color w:val="auto"/>
                <w:highlight w:val="none"/>
              </w:rPr>
            </w:pPr>
            <w:r>
              <w:rPr>
                <w:rFonts w:hint="eastAsia" w:ascii="宋体" w:hAnsi="宋体" w:cs="宋体"/>
                <w:color w:val="auto"/>
                <w:highlight w:val="none"/>
              </w:rPr>
              <w:t>服务范围：</w:t>
            </w:r>
          </w:p>
          <w:p w14:paraId="7D23C8C6">
            <w:pPr>
              <w:spacing w:line="360" w:lineRule="auto"/>
              <w:rPr>
                <w:rFonts w:ascii="宋体" w:hAnsi="宋体" w:cs="宋体"/>
                <w:color w:val="auto"/>
                <w:highlight w:val="none"/>
                <w:u w:val="single"/>
              </w:rPr>
            </w:pPr>
            <w:r>
              <w:rPr>
                <w:rFonts w:hint="eastAsia" w:ascii="宋体" w:hAnsi="宋体" w:cs="宋体"/>
                <w:color w:val="auto"/>
                <w:highlight w:val="none"/>
              </w:rPr>
              <w:t>服务要求：</w:t>
            </w:r>
          </w:p>
          <w:p w14:paraId="487CF3AF">
            <w:pPr>
              <w:spacing w:line="360" w:lineRule="auto"/>
              <w:rPr>
                <w:rFonts w:ascii="宋体" w:hAnsi="宋体" w:cs="宋体"/>
                <w:color w:val="auto"/>
                <w:highlight w:val="none"/>
                <w:u w:val="single"/>
              </w:rPr>
            </w:pPr>
            <w:r>
              <w:rPr>
                <w:rFonts w:hint="eastAsia" w:ascii="宋体" w:hAnsi="宋体" w:cs="宋体"/>
                <w:color w:val="auto"/>
                <w:highlight w:val="none"/>
              </w:rPr>
              <w:t>服务时间：</w:t>
            </w:r>
          </w:p>
          <w:p w14:paraId="268F4905">
            <w:pPr>
              <w:spacing w:line="360" w:lineRule="auto"/>
              <w:rPr>
                <w:rFonts w:ascii="宋体" w:hAnsi="宋体" w:cs="宋体"/>
                <w:color w:val="auto"/>
                <w:highlight w:val="none"/>
              </w:rPr>
            </w:pPr>
            <w:r>
              <w:rPr>
                <w:rFonts w:hint="eastAsia" w:ascii="宋体" w:hAnsi="宋体" w:cs="宋体"/>
                <w:color w:val="auto"/>
                <w:highlight w:val="none"/>
              </w:rPr>
              <w:t>服务标准：</w:t>
            </w:r>
          </w:p>
        </w:tc>
      </w:tr>
    </w:tbl>
    <w:p w14:paraId="3436A1AA">
      <w:pPr>
        <w:pageBreakBefore w:val="0"/>
        <w:widowControl/>
        <w:spacing w:line="360" w:lineRule="auto"/>
        <w:jc w:val="left"/>
        <w:rPr>
          <w:rFonts w:ascii="Times New Roman" w:hAnsi="Times New Roman" w:eastAsia="宋体" w:cs="宋体"/>
          <w:color w:val="auto"/>
          <w:sz w:val="24"/>
          <w:szCs w:val="24"/>
          <w:highlight w:val="none"/>
        </w:rPr>
      </w:pPr>
      <w:r>
        <w:rPr>
          <w:rFonts w:ascii="Times New Roman" w:hAnsi="Times New Roman" w:eastAsia="宋体" w:cs="宋体"/>
          <w:color w:val="auto"/>
          <w:sz w:val="24"/>
          <w:szCs w:val="24"/>
          <w:highlight w:val="none"/>
        </w:rPr>
        <w:br w:type="page" w:clear="all"/>
      </w:r>
    </w:p>
    <w:p w14:paraId="4B3F6E9E">
      <w:pPr>
        <w:pageBreakBefore w:val="0"/>
        <w:pBdr>
          <w:top w:val="none" w:color="000000" w:sz="0" w:space="0"/>
          <w:left w:val="none" w:color="000000" w:sz="0" w:space="0"/>
          <w:bottom w:val="none" w:color="000000" w:sz="0" w:space="0"/>
          <w:right w:val="none" w:color="000000" w:sz="0" w:space="0"/>
        </w:pBdr>
        <w:spacing w:line="360" w:lineRule="auto"/>
        <w:jc w:val="center"/>
        <w:rPr>
          <w:rFonts w:ascii="Times New Roman" w:hAnsi="Times New Roman" w:eastAsia="宋体" w:cs="宋体"/>
          <w:b/>
          <w:bCs/>
          <w:color w:val="auto"/>
          <w:sz w:val="21"/>
          <w:szCs w:val="21"/>
          <w:highlight w:val="none"/>
        </w:rPr>
      </w:pPr>
      <w:r>
        <w:rPr>
          <w:rFonts w:ascii="Times New Roman" w:hAnsi="Times New Roman" w:eastAsia="宋体" w:cs="宋体"/>
          <w:b/>
          <w:color w:val="auto"/>
          <w:sz w:val="21"/>
          <w:szCs w:val="21"/>
          <w:highlight w:val="none"/>
        </w:rPr>
        <w:t>联合体协议（参考格式）（采购包号：**）</w:t>
      </w:r>
    </w:p>
    <w:p w14:paraId="0F5C1881">
      <w:pPr>
        <w:pageBreakBefore w:val="0"/>
        <w:pBdr>
          <w:top w:val="none" w:color="000000" w:sz="0" w:space="0"/>
          <w:left w:val="none" w:color="000000" w:sz="0" w:space="0"/>
          <w:bottom w:val="none" w:color="000000" w:sz="0" w:space="0"/>
          <w:right w:val="none" w:color="000000" w:sz="0" w:space="0"/>
        </w:pBdr>
        <w:spacing w:line="360" w:lineRule="auto"/>
        <w:rPr>
          <w:rFonts w:ascii="Times New Roman" w:hAnsi="Times New Roman" w:eastAsia="宋体"/>
          <w:color w:val="auto"/>
          <w:sz w:val="21"/>
          <w:szCs w:val="21"/>
          <w:highlight w:val="none"/>
        </w:rPr>
      </w:pPr>
    </w:p>
    <w:p w14:paraId="72D9AFA9">
      <w:pPr>
        <w:pageBreakBefore w:val="0"/>
        <w:pBdr>
          <w:top w:val="none" w:color="000000" w:sz="0" w:space="0"/>
          <w:left w:val="none" w:color="000000" w:sz="0" w:space="0"/>
          <w:bottom w:val="none" w:color="000000" w:sz="0" w:space="0"/>
          <w:right w:val="none" w:color="000000" w:sz="0" w:space="0"/>
        </w:pBdr>
        <w:spacing w:line="360" w:lineRule="auto"/>
        <w:rPr>
          <w:rFonts w:ascii="Times New Roman" w:hAnsi="Times New Roman" w:eastAsia="宋体"/>
          <w:color w:val="auto"/>
          <w:sz w:val="21"/>
          <w:szCs w:val="21"/>
          <w:highlight w:val="none"/>
        </w:rPr>
      </w:pPr>
      <w:r>
        <w:rPr>
          <w:rFonts w:ascii="Times New Roman" w:hAnsi="Times New Roman" w:eastAsia="宋体" w:cs="宋体"/>
          <w:color w:val="auto"/>
          <w:sz w:val="21"/>
          <w:szCs w:val="21"/>
          <w:highlight w:val="none"/>
        </w:rPr>
        <w:t>（联合体中各供应商全称）在此达成以下协议：</w:t>
      </w:r>
    </w:p>
    <w:p w14:paraId="76B2A7B8">
      <w:pPr>
        <w:pageBreakBefore w:val="0"/>
        <w:pBdr>
          <w:top w:val="none" w:color="000000" w:sz="0" w:space="0"/>
          <w:left w:val="none" w:color="000000" w:sz="0" w:space="0"/>
          <w:bottom w:val="none" w:color="000000" w:sz="0" w:space="0"/>
          <w:right w:val="none" w:color="000000" w:sz="0" w:space="0"/>
        </w:pBdr>
        <w:spacing w:line="360" w:lineRule="auto"/>
        <w:ind w:firstLine="645"/>
        <w:rPr>
          <w:rFonts w:ascii="Times New Roman" w:hAnsi="Times New Roman" w:eastAsia="宋体"/>
          <w:color w:val="auto"/>
          <w:sz w:val="21"/>
          <w:szCs w:val="21"/>
          <w:highlight w:val="none"/>
        </w:rPr>
      </w:pPr>
      <w:r>
        <w:rPr>
          <w:rFonts w:ascii="Times New Roman" w:hAnsi="Times New Roman" w:eastAsia="宋体" w:cs="宋体"/>
          <w:color w:val="auto"/>
          <w:sz w:val="21"/>
          <w:szCs w:val="21"/>
          <w:highlight w:val="none"/>
        </w:rPr>
        <w:t>1、我们</w:t>
      </w:r>
      <w:r>
        <w:rPr>
          <w:rFonts w:ascii="Times New Roman" w:hAnsi="Times New Roman" w:eastAsia="宋体" w:cs="宋体"/>
          <w:color w:val="auto"/>
          <w:sz w:val="21"/>
          <w:szCs w:val="21"/>
          <w:highlight w:val="none"/>
          <w:u w:val="single"/>
        </w:rPr>
        <w:t> （供应商1），（供应商2） ，……</w:t>
      </w:r>
      <w:r>
        <w:rPr>
          <w:rFonts w:ascii="Times New Roman" w:hAnsi="Times New Roman" w:eastAsia="宋体" w:cs="宋体"/>
          <w:color w:val="auto"/>
          <w:sz w:val="21"/>
          <w:szCs w:val="21"/>
          <w:highlight w:val="none"/>
        </w:rPr>
        <w:t>自愿组成联合体，参加</w:t>
      </w:r>
      <w:r>
        <w:rPr>
          <w:rFonts w:hint="eastAsia" w:ascii="Times New Roman" w:hAnsi="Times New Roman" w:cs="宋体"/>
          <w:color w:val="auto"/>
          <w:sz w:val="21"/>
          <w:szCs w:val="21"/>
          <w:highlight w:val="none"/>
          <w:lang w:eastAsia="zh-CN"/>
        </w:rPr>
        <w:t>江苏中瑞建设项目管理有限公司</w:t>
      </w:r>
      <w:r>
        <w:rPr>
          <w:rFonts w:ascii="Times New Roman" w:hAnsi="Times New Roman" w:eastAsia="宋体" w:cs="宋体"/>
          <w:color w:val="auto"/>
          <w:sz w:val="21"/>
          <w:szCs w:val="21"/>
          <w:highlight w:val="none"/>
        </w:rPr>
        <w:t>组织的采购编号为</w:t>
      </w:r>
      <w:r>
        <w:rPr>
          <w:rFonts w:ascii="Times New Roman" w:hAnsi="Times New Roman" w:eastAsia="宋体" w:cs="宋体"/>
          <w:color w:val="auto"/>
          <w:sz w:val="21"/>
          <w:szCs w:val="21"/>
          <w:highlight w:val="none"/>
          <w:u w:val="single"/>
        </w:rPr>
        <w:t>（编号全称），（项目全称）</w:t>
      </w:r>
      <w:r>
        <w:rPr>
          <w:rFonts w:ascii="Times New Roman" w:hAnsi="Times New Roman" w:eastAsia="宋体" w:cs="宋体"/>
          <w:color w:val="auto"/>
          <w:sz w:val="21"/>
          <w:szCs w:val="21"/>
          <w:highlight w:val="none"/>
        </w:rPr>
        <w:t>项目（采购包号：**）的政府采购活动，我联合体指定</w:t>
      </w:r>
      <w:r>
        <w:rPr>
          <w:rFonts w:ascii="Times New Roman" w:hAnsi="Times New Roman" w:eastAsia="宋体" w:cs="宋体"/>
          <w:color w:val="auto"/>
          <w:sz w:val="21"/>
          <w:szCs w:val="21"/>
          <w:highlight w:val="none"/>
          <w:u w:val="single"/>
        </w:rPr>
        <w:t>（供应商*）</w:t>
      </w:r>
      <w:r>
        <w:rPr>
          <w:rFonts w:ascii="Times New Roman" w:hAnsi="Times New Roman" w:eastAsia="宋体" w:cs="宋体"/>
          <w:color w:val="auto"/>
          <w:sz w:val="21"/>
          <w:szCs w:val="21"/>
          <w:highlight w:val="none"/>
        </w:rPr>
        <w:t>为牵头单位（牵头单位必须为联合体成员）。</w:t>
      </w:r>
    </w:p>
    <w:p w14:paraId="78640B37">
      <w:pPr>
        <w:pageBreakBefore w:val="0"/>
        <w:pBdr>
          <w:top w:val="none" w:color="000000" w:sz="0" w:space="0"/>
          <w:left w:val="none" w:color="000000" w:sz="0" w:space="0"/>
          <w:bottom w:val="none" w:color="000000" w:sz="0" w:space="0"/>
          <w:right w:val="none" w:color="000000" w:sz="0" w:space="0"/>
        </w:pBdr>
        <w:spacing w:line="360" w:lineRule="auto"/>
        <w:ind w:firstLine="645"/>
        <w:rPr>
          <w:rFonts w:ascii="Times New Roman" w:hAnsi="Times New Roman" w:eastAsia="宋体"/>
          <w:color w:val="auto"/>
          <w:sz w:val="21"/>
          <w:szCs w:val="21"/>
          <w:highlight w:val="none"/>
        </w:rPr>
      </w:pPr>
      <w:r>
        <w:rPr>
          <w:rFonts w:ascii="Times New Roman" w:hAnsi="Times New Roman" w:eastAsia="宋体" w:cs="宋体"/>
          <w:color w:val="auto"/>
          <w:sz w:val="21"/>
          <w:szCs w:val="21"/>
          <w:highlight w:val="none"/>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560E15A4">
      <w:pPr>
        <w:pageBreakBefore w:val="0"/>
        <w:pBdr>
          <w:top w:val="none" w:color="000000" w:sz="0" w:space="0"/>
          <w:left w:val="none" w:color="000000" w:sz="0" w:space="0"/>
          <w:bottom w:val="none" w:color="000000" w:sz="0" w:space="0"/>
          <w:right w:val="none" w:color="000000" w:sz="0" w:space="0"/>
        </w:pBdr>
        <w:spacing w:line="360" w:lineRule="auto"/>
        <w:ind w:firstLine="645"/>
        <w:rPr>
          <w:rFonts w:ascii="Times New Roman" w:hAnsi="Times New Roman" w:eastAsia="宋体"/>
          <w:color w:val="auto"/>
          <w:sz w:val="21"/>
          <w:szCs w:val="21"/>
          <w:highlight w:val="none"/>
        </w:rPr>
      </w:pPr>
      <w:r>
        <w:rPr>
          <w:rFonts w:ascii="Times New Roman" w:hAnsi="Times New Roman" w:eastAsia="宋体" w:cs="宋体"/>
          <w:color w:val="auto"/>
          <w:sz w:val="21"/>
          <w:szCs w:val="21"/>
          <w:highlight w:val="none"/>
        </w:rPr>
        <w:t>3、其中</w:t>
      </w:r>
      <w:r>
        <w:rPr>
          <w:rFonts w:ascii="Times New Roman" w:hAnsi="Times New Roman" w:eastAsia="宋体" w:cs="宋体"/>
          <w:color w:val="auto"/>
          <w:sz w:val="21"/>
          <w:szCs w:val="21"/>
          <w:highlight w:val="none"/>
          <w:u w:val="single"/>
        </w:rPr>
        <w:t>      </w:t>
      </w:r>
      <w:r>
        <w:rPr>
          <w:rFonts w:ascii="Times New Roman" w:hAnsi="Times New Roman" w:eastAsia="宋体" w:cs="宋体"/>
          <w:color w:val="auto"/>
          <w:sz w:val="21"/>
          <w:szCs w:val="21"/>
          <w:highlight w:val="none"/>
        </w:rPr>
        <w:t>（小型、微型企业/残疾人福利性单位/监狱企业全称）为</w:t>
      </w:r>
      <w:r>
        <w:rPr>
          <w:rFonts w:ascii="Times New Roman" w:hAnsi="Times New Roman" w:eastAsia="宋体" w:cs="宋体"/>
          <w:color w:val="auto"/>
          <w:sz w:val="21"/>
          <w:szCs w:val="21"/>
          <w:highlight w:val="none"/>
          <w:u w:val="single"/>
        </w:rPr>
        <w:t>    </w:t>
      </w:r>
      <w:r>
        <w:rPr>
          <w:rFonts w:ascii="Times New Roman" w:hAnsi="Times New Roman" w:eastAsia="宋体" w:cs="宋体"/>
          <w:color w:val="auto"/>
          <w:sz w:val="21"/>
          <w:szCs w:val="21"/>
          <w:highlight w:val="none"/>
        </w:rPr>
        <w:t>（小型、微型企业/残疾人福利性单位/监狱企业）企业，且我们约定该公司/单位所承担的合同金额将占本项目合同总金额的</w:t>
      </w:r>
      <w:r>
        <w:rPr>
          <w:rFonts w:ascii="Times New Roman" w:hAnsi="Times New Roman" w:eastAsia="宋体" w:cs="宋体"/>
          <w:color w:val="auto"/>
          <w:sz w:val="21"/>
          <w:szCs w:val="21"/>
          <w:highlight w:val="none"/>
          <w:u w:val="single"/>
        </w:rPr>
        <w:t>  </w:t>
      </w:r>
      <w:r>
        <w:rPr>
          <w:rFonts w:ascii="Times New Roman" w:hAnsi="Times New Roman" w:eastAsia="宋体" w:cs="宋体"/>
          <w:color w:val="auto"/>
          <w:sz w:val="21"/>
          <w:szCs w:val="21"/>
          <w:highlight w:val="none"/>
        </w:rPr>
        <w:t> %。</w:t>
      </w:r>
    </w:p>
    <w:p w14:paraId="65466847">
      <w:pPr>
        <w:pageBreakBefore w:val="0"/>
        <w:pBdr>
          <w:top w:val="none" w:color="000000" w:sz="0" w:space="0"/>
          <w:left w:val="none" w:color="000000" w:sz="0" w:space="0"/>
          <w:bottom w:val="none" w:color="000000" w:sz="0" w:space="0"/>
          <w:right w:val="none" w:color="000000" w:sz="0" w:space="0"/>
        </w:pBdr>
        <w:spacing w:line="360" w:lineRule="auto"/>
        <w:ind w:firstLine="645"/>
        <w:rPr>
          <w:rFonts w:ascii="Times New Roman" w:hAnsi="Times New Roman" w:eastAsia="宋体"/>
          <w:color w:val="auto"/>
          <w:sz w:val="21"/>
          <w:szCs w:val="21"/>
          <w:highlight w:val="none"/>
        </w:rPr>
      </w:pPr>
      <w:r>
        <w:rPr>
          <w:rFonts w:ascii="Times New Roman" w:hAnsi="Times New Roman" w:eastAsia="宋体" w:cs="宋体"/>
          <w:color w:val="auto"/>
          <w:sz w:val="21"/>
          <w:szCs w:val="21"/>
          <w:highlight w:val="none"/>
        </w:rPr>
        <w:t> </w:t>
      </w:r>
    </w:p>
    <w:p w14:paraId="01F8880F">
      <w:pPr>
        <w:pageBreakBefore w:val="0"/>
        <w:pBdr>
          <w:top w:val="none" w:color="000000" w:sz="0" w:space="0"/>
          <w:left w:val="none" w:color="000000" w:sz="0" w:space="0"/>
          <w:bottom w:val="none" w:color="000000" w:sz="0" w:space="0"/>
          <w:right w:val="none" w:color="000000" w:sz="0" w:space="0"/>
        </w:pBdr>
        <w:spacing w:line="360" w:lineRule="auto"/>
        <w:ind w:firstLine="645"/>
        <w:rPr>
          <w:rFonts w:ascii="Times New Roman" w:hAnsi="Times New Roman" w:eastAsia="宋体"/>
          <w:color w:val="auto"/>
          <w:sz w:val="21"/>
          <w:szCs w:val="21"/>
          <w:highlight w:val="none"/>
        </w:rPr>
      </w:pPr>
      <w:r>
        <w:rPr>
          <w:rFonts w:ascii="Times New Roman" w:hAnsi="Times New Roman" w:eastAsia="宋体" w:cs="宋体"/>
          <w:color w:val="auto"/>
          <w:sz w:val="21"/>
          <w:szCs w:val="21"/>
          <w:highlight w:val="none"/>
        </w:rPr>
        <w:t>                                          </w:t>
      </w:r>
    </w:p>
    <w:p w14:paraId="640A22D8">
      <w:pPr>
        <w:pageBreakBefore w:val="0"/>
        <w:pBdr>
          <w:top w:val="none" w:color="000000" w:sz="0" w:space="0"/>
          <w:left w:val="none" w:color="000000" w:sz="0" w:space="0"/>
          <w:bottom w:val="none" w:color="000000" w:sz="0" w:space="0"/>
          <w:right w:val="none" w:color="000000" w:sz="0" w:space="0"/>
        </w:pBdr>
        <w:spacing w:line="360" w:lineRule="auto"/>
        <w:ind w:firstLine="646"/>
        <w:jc w:val="right"/>
        <w:rPr>
          <w:rFonts w:ascii="Times New Roman" w:hAnsi="Times New Roman" w:eastAsia="宋体"/>
          <w:color w:val="auto"/>
          <w:sz w:val="21"/>
          <w:szCs w:val="21"/>
          <w:highlight w:val="none"/>
        </w:rPr>
      </w:pPr>
      <w:r>
        <w:rPr>
          <w:rFonts w:ascii="Times New Roman" w:hAnsi="Times New Roman" w:eastAsia="宋体" w:cs="宋体"/>
          <w:color w:val="auto"/>
          <w:sz w:val="21"/>
          <w:szCs w:val="21"/>
          <w:highlight w:val="none"/>
        </w:rPr>
        <w:t>联合体中各供应商全称（公章）：     </w:t>
      </w:r>
    </w:p>
    <w:p w14:paraId="41619DBC">
      <w:pPr>
        <w:pageBreakBefore w:val="0"/>
        <w:pBdr>
          <w:top w:val="none" w:color="000000" w:sz="0" w:space="0"/>
          <w:left w:val="none" w:color="000000" w:sz="0" w:space="0"/>
          <w:bottom w:val="none" w:color="000000" w:sz="0" w:space="0"/>
          <w:right w:val="none" w:color="000000" w:sz="0" w:space="0"/>
        </w:pBdr>
        <w:spacing w:line="360" w:lineRule="auto"/>
        <w:ind w:firstLine="646"/>
        <w:rPr>
          <w:rFonts w:ascii="Times New Roman" w:hAnsi="Times New Roman" w:eastAsia="宋体"/>
          <w:color w:val="auto"/>
          <w:sz w:val="21"/>
          <w:szCs w:val="21"/>
          <w:highlight w:val="none"/>
        </w:rPr>
      </w:pPr>
      <w:r>
        <w:rPr>
          <w:rFonts w:ascii="Times New Roman" w:hAnsi="Times New Roman" w:eastAsia="宋体" w:cs="宋体"/>
          <w:color w:val="auto"/>
          <w:sz w:val="21"/>
          <w:szCs w:val="21"/>
          <w:highlight w:val="none"/>
        </w:rPr>
        <w:t>                                        日期：</w:t>
      </w:r>
    </w:p>
    <w:p w14:paraId="0520E0BC">
      <w:pPr>
        <w:pageBreakBefore w:val="0"/>
        <w:pBdr>
          <w:top w:val="none" w:color="000000" w:sz="0" w:space="0"/>
          <w:left w:val="none" w:color="000000" w:sz="0" w:space="0"/>
          <w:bottom w:val="none" w:color="000000" w:sz="0" w:space="0"/>
          <w:right w:val="none" w:color="000000" w:sz="0" w:space="0"/>
        </w:pBdr>
        <w:spacing w:line="360" w:lineRule="auto"/>
        <w:ind w:firstLine="645"/>
        <w:rPr>
          <w:rFonts w:ascii="Times New Roman" w:hAnsi="Times New Roman" w:eastAsia="宋体"/>
          <w:color w:val="auto"/>
          <w:sz w:val="21"/>
          <w:szCs w:val="21"/>
          <w:highlight w:val="none"/>
        </w:rPr>
      </w:pPr>
      <w:r>
        <w:rPr>
          <w:rFonts w:ascii="Times New Roman" w:hAnsi="Times New Roman" w:eastAsia="宋体" w:cs="宋体"/>
          <w:color w:val="auto"/>
          <w:sz w:val="21"/>
          <w:szCs w:val="21"/>
          <w:highlight w:val="none"/>
        </w:rPr>
        <w:t> </w:t>
      </w:r>
    </w:p>
    <w:p w14:paraId="494FD059">
      <w:pPr>
        <w:pageBreakBefore w:val="0"/>
        <w:pBdr>
          <w:top w:val="none" w:color="000000" w:sz="0" w:space="0"/>
          <w:left w:val="none" w:color="000000" w:sz="0" w:space="0"/>
          <w:bottom w:val="none" w:color="000000" w:sz="0" w:space="0"/>
          <w:right w:val="none" w:color="000000" w:sz="0" w:space="0"/>
        </w:pBdr>
        <w:spacing w:line="360" w:lineRule="auto"/>
        <w:ind w:firstLine="645"/>
        <w:rPr>
          <w:rFonts w:ascii="Times New Roman" w:hAnsi="Times New Roman" w:eastAsia="宋体"/>
          <w:color w:val="auto"/>
          <w:sz w:val="21"/>
          <w:szCs w:val="21"/>
          <w:highlight w:val="none"/>
        </w:rPr>
      </w:pPr>
      <w:r>
        <w:rPr>
          <w:rFonts w:ascii="Times New Roman" w:hAnsi="Times New Roman" w:eastAsia="宋体" w:cs="宋体"/>
          <w:color w:val="auto"/>
          <w:sz w:val="21"/>
          <w:szCs w:val="21"/>
          <w:highlight w:val="none"/>
        </w:rPr>
        <w:t> </w:t>
      </w:r>
    </w:p>
    <w:p w14:paraId="7CDC771C">
      <w:pPr>
        <w:pageBreakBefore w:val="0"/>
        <w:pBdr>
          <w:top w:val="none" w:color="000000" w:sz="0" w:space="0"/>
          <w:left w:val="none" w:color="000000" w:sz="0" w:space="0"/>
          <w:bottom w:val="none" w:color="000000" w:sz="0" w:space="0"/>
          <w:right w:val="none" w:color="000000" w:sz="0" w:space="0"/>
        </w:pBdr>
        <w:spacing w:line="360" w:lineRule="auto"/>
        <w:rPr>
          <w:rFonts w:ascii="Times New Roman" w:hAnsi="Times New Roman" w:eastAsia="宋体"/>
          <w:color w:val="auto"/>
          <w:sz w:val="21"/>
          <w:szCs w:val="21"/>
          <w:highlight w:val="none"/>
        </w:rPr>
      </w:pPr>
      <w:r>
        <w:rPr>
          <w:rFonts w:ascii="Times New Roman" w:hAnsi="Times New Roman" w:eastAsia="宋体" w:cs="宋体"/>
          <w:color w:val="auto"/>
          <w:sz w:val="21"/>
          <w:szCs w:val="21"/>
          <w:highlight w:val="none"/>
        </w:rPr>
        <w:t>备注：本招标文件中要求加盖CA电子签章的地方，仅需加盖牵头单位的CA电子签章。</w:t>
      </w:r>
    </w:p>
    <w:p w14:paraId="2E79897E">
      <w:pPr>
        <w:pageBreakBefore w:val="0"/>
        <w:spacing w:line="360" w:lineRule="auto"/>
        <w:ind w:firstLine="4620"/>
        <w:rPr>
          <w:rFonts w:ascii="Times New Roman" w:hAnsi="Times New Roman" w:eastAsia="宋体"/>
          <w:color w:val="auto"/>
          <w:highlight w:val="none"/>
        </w:rPr>
      </w:pPr>
    </w:p>
    <w:sectPr>
      <w:pgSz w:w="11906" w:h="16838"/>
      <w:pgMar w:top="1440" w:right="1800" w:bottom="1440" w:left="1800"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幼圆">
    <w:panose1 w:val="02010509060101010101"/>
    <w:charset w:val="86"/>
    <w:family w:val="auto"/>
    <w:pitch w:val="default"/>
    <w:sig w:usb0="00000001" w:usb1="080E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Noto Sans CJK JP Regular">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Segoe UI Symbol">
    <w:panose1 w:val="020B0502040204020203"/>
    <w:charset w:val="00"/>
    <w:family w:val="auto"/>
    <w:pitch w:val="default"/>
    <w:sig w:usb0="800001E3" w:usb1="1200FFEF" w:usb2="00040000" w:usb3="04000000" w:csb0="00000001" w:csb1="40000000"/>
  </w:font>
  <w:font w:name="Verdana">
    <w:panose1 w:val="020B0604030504040204"/>
    <w:charset w:val="00"/>
    <w:family w:val="auto"/>
    <w:pitch w:val="default"/>
    <w:sig w:usb0="A00006FF" w:usb1="4000205B" w:usb2="00000010" w:usb3="00000000" w:csb0="2000019F" w:csb1="00000000"/>
  </w:font>
  <w:font w:name="MingLiU">
    <w:altName w:val="Sitka Text"/>
    <w:panose1 w:val="02020500000000000000"/>
    <w:charset w:val="00"/>
    <w:family w:val="auto"/>
    <w:pitch w:val="default"/>
    <w:sig w:usb0="00000000" w:usb1="00000000" w:usb2="00000000" w:usb3="00000000" w:csb0="00000000" w:csb1="00000000"/>
  </w:font>
  <w:font w:name="Sitka Text">
    <w:panose1 w:val="02000505000000020004"/>
    <w:charset w:val="00"/>
    <w:family w:val="auto"/>
    <w:pitch w:val="default"/>
    <w:sig w:usb0="A00002EF" w:usb1="4000204B" w:usb2="00000000" w:usb3="00000000" w:csb0="2000019F" w:csb1="00000000"/>
  </w:font>
  <w:font w:name="Segoe UI">
    <w:panose1 w:val="020B0502040204020203"/>
    <w:charset w:val="00"/>
    <w:family w:val="auto"/>
    <w:pitch w:val="default"/>
    <w:sig w:usb0="E4002EFF" w:usb1="C000E47F" w:usb2="00000009" w:usb3="00000000" w:csb0="200001F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C99316">
    <w:pPr>
      <w:pStyle w:val="2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2DAC05">
    <w:pPr>
      <w:pStyle w:val="2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14:paraId="252BC89F">
                          <w:pPr>
                            <w:pStyle w:val="24"/>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8"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LNJWO7QAAAABQEAAA8AAAAAAAAAAQAgAAAAIgAAAGRycy9kb3ducmV2Lnht&#10;bFBLAQIUABQAAAAIAIdO4kAzUvqXOgIAAG4EAAAOAAAAAAAAAAEAIAAAAB8BAABkcnMvZTJvRG9j&#10;LnhtbFBLBQYAAAAABgAGAFkBAADLBQAAAAA=&#10;">
              <v:fill on="f" focussize="0,0"/>
              <v:stroke on="f" weight="0.5pt" joinstyle="miter"/>
              <v:imagedata o:title=""/>
              <o:lock v:ext="edit" aspectratio="f"/>
              <v:textbox inset="0mm,0mm,0mm,0mm" style="mso-fit-shape-to-text:t;">
                <w:txbxContent>
                  <w:p w14:paraId="252BC89F">
                    <w:pPr>
                      <w:pStyle w:val="24"/>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9F0EA9">
    <w:pPr>
      <w:pStyle w:val="26"/>
      <w:jc w:val="both"/>
      <w:rPr>
        <w:rFonts w:hint="eastAsia" w:eastAsia="宋体"/>
        <w:lang w:eastAsia="zh-CN"/>
      </w:rPr>
    </w:pPr>
    <w:r>
      <w:rPr>
        <w:rFonts w:hint="eastAsia" w:ascii="Segoe UI" w:hAnsi="Segoe UI" w:eastAsia="宋体" w:cs="Segoe UI"/>
        <w:i w:val="0"/>
        <w:iCs w:val="0"/>
        <w:caps w:val="0"/>
        <w:spacing w:val="0"/>
        <w:sz w:val="21"/>
        <w:szCs w:val="21"/>
        <w:shd w:val="clear" w:fill="FFFFFF"/>
        <w:lang w:val="en-US" w:eastAsia="zh-CN"/>
      </w:rPr>
      <w:t>编号：</w:t>
    </w:r>
    <w:r>
      <w:rPr>
        <w:rFonts w:ascii="Segoe UI" w:hAnsi="Segoe UI" w:eastAsia="Segoe UI" w:cs="Segoe UI"/>
        <w:i w:val="0"/>
        <w:iCs w:val="0"/>
        <w:caps w:val="0"/>
        <w:spacing w:val="0"/>
        <w:sz w:val="21"/>
        <w:szCs w:val="21"/>
        <w:shd w:val="clear" w:fill="FFFFFF"/>
      </w:rPr>
      <w:t>JSZC-321023-JSZR-G2026-0051</w:t>
    </w:r>
    <w:r>
      <w:rPr>
        <w:rFonts w:hint="eastAsia" w:ascii="Segoe UI" w:hAnsi="Segoe UI" w:eastAsia="宋体" w:cs="Segoe UI"/>
        <w:i w:val="0"/>
        <w:iCs w:val="0"/>
        <w:caps w:val="0"/>
        <w:spacing w:val="0"/>
        <w:sz w:val="21"/>
        <w:szCs w:val="21"/>
        <w:shd w:val="clear" w:fill="FFFFFF"/>
        <w:lang w:val="en-US" w:eastAsia="zh-CN"/>
      </w:rPr>
      <w:t xml:space="preserve">                     </w:t>
    </w:r>
    <w:r>
      <w:rPr>
        <w:rFonts w:hint="eastAsia"/>
        <w:lang w:eastAsia="zh-CN"/>
      </w:rPr>
      <w:t>江苏中瑞建设项目管理有限公司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155B66">
    <w:pPr>
      <w:pStyle w:val="26"/>
      <w:jc w:val="both"/>
      <w:rPr>
        <w:rFonts w:hint="eastAsia" w:eastAsia="宋体"/>
        <w:lang w:eastAsia="zh-CN"/>
      </w:rPr>
    </w:pPr>
    <w:r>
      <w:rPr>
        <w:rFonts w:hint="eastAsia"/>
        <w:lang w:eastAsia="zh-CN"/>
      </w:rPr>
      <w:t>JSZC-321023-JSZR-G2026-0051号</w:t>
    </w:r>
    <w:r>
      <w:tab/>
    </w:r>
    <w:r>
      <w:rPr>
        <w:rFonts w:hint="eastAsia"/>
        <w:lang w:val="en-US" w:eastAsia="zh-CN"/>
      </w:rPr>
      <w:t xml:space="preserve">                                    </w:t>
    </w:r>
    <w:r>
      <w:rPr>
        <w:rFonts w:hint="eastAsia"/>
        <w:lang w:eastAsia="zh-CN"/>
      </w:rPr>
      <w:t>江苏中瑞建设项目管理有限公司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bullet"/>
      <w:pStyle w:val="241"/>
      <w:lvlText w:val=""/>
      <w:lvlJc w:val="left"/>
      <w:pPr>
        <w:tabs>
          <w:tab w:val="left" w:pos="780"/>
        </w:tabs>
        <w:ind w:left="780" w:hanging="360"/>
      </w:pPr>
      <w:rPr>
        <w:rFonts w:ascii="Wingdings" w:hAnsi="Wingdings"/>
      </w:rPr>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abstractNum w:abstractNumId="1">
    <w:nsid w:val="C029138C"/>
    <w:multiLevelType w:val="singleLevel"/>
    <w:tmpl w:val="C029138C"/>
    <w:lvl w:ilvl="0" w:tentative="0">
      <w:start w:val="8"/>
      <w:numFmt w:val="chineseCounting"/>
      <w:suff w:val="nothing"/>
      <w:lvlText w:val="%1、"/>
      <w:lvlJc w:val="left"/>
      <w:rPr>
        <w:rFonts w:hint="eastAsia"/>
      </w:rPr>
    </w:lvl>
  </w:abstractNum>
  <w:abstractNum w:abstractNumId="2">
    <w:nsid w:val="CF092B84"/>
    <w:multiLevelType w:val="multilevel"/>
    <w:tmpl w:val="CF092B84"/>
    <w:lvl w:ilvl="0" w:tentative="0">
      <w:start w:val="2"/>
      <w:numFmt w:val="japaneseCounting"/>
      <w:pStyle w:val="196"/>
      <w:lvlText w:val="%1、"/>
      <w:lvlJc w:val="left"/>
      <w:pPr>
        <w:ind w:left="3360" w:hanging="420"/>
      </w:pPr>
      <w:rPr>
        <w:b w:val="0"/>
      </w:rPr>
    </w:lvl>
    <w:lvl w:ilvl="1" w:tentative="0">
      <w:start w:val="1"/>
      <w:numFmt w:val="lowerLetter"/>
      <w:lvlText w:val="%2)"/>
      <w:lvlJc w:val="left"/>
      <w:pPr>
        <w:ind w:left="3780" w:hanging="420"/>
      </w:pPr>
    </w:lvl>
    <w:lvl w:ilvl="2" w:tentative="0">
      <w:start w:val="1"/>
      <w:numFmt w:val="lowerRoman"/>
      <w:lvlText w:val="%3."/>
      <w:lvlJc w:val="right"/>
      <w:pPr>
        <w:ind w:left="4200" w:hanging="420"/>
      </w:pPr>
    </w:lvl>
    <w:lvl w:ilvl="3" w:tentative="0">
      <w:start w:val="1"/>
      <w:numFmt w:val="decimal"/>
      <w:lvlText w:val="%4."/>
      <w:lvlJc w:val="left"/>
      <w:pPr>
        <w:ind w:left="4620" w:hanging="420"/>
      </w:pPr>
    </w:lvl>
    <w:lvl w:ilvl="4" w:tentative="0">
      <w:start w:val="1"/>
      <w:numFmt w:val="lowerLetter"/>
      <w:lvlText w:val="%5)"/>
      <w:lvlJc w:val="left"/>
      <w:pPr>
        <w:ind w:left="5040" w:hanging="420"/>
      </w:pPr>
    </w:lvl>
    <w:lvl w:ilvl="5" w:tentative="0">
      <w:start w:val="1"/>
      <w:numFmt w:val="lowerRoman"/>
      <w:lvlText w:val="%6."/>
      <w:lvlJc w:val="right"/>
      <w:pPr>
        <w:ind w:left="5460" w:hanging="420"/>
      </w:pPr>
    </w:lvl>
    <w:lvl w:ilvl="6" w:tentative="0">
      <w:start w:val="1"/>
      <w:numFmt w:val="decimal"/>
      <w:lvlText w:val="%7."/>
      <w:lvlJc w:val="left"/>
      <w:pPr>
        <w:ind w:left="5880" w:hanging="420"/>
      </w:pPr>
    </w:lvl>
    <w:lvl w:ilvl="7" w:tentative="0">
      <w:start w:val="1"/>
      <w:numFmt w:val="lowerLetter"/>
      <w:lvlText w:val="%8)"/>
      <w:lvlJc w:val="left"/>
      <w:pPr>
        <w:ind w:left="6300" w:hanging="420"/>
      </w:pPr>
    </w:lvl>
    <w:lvl w:ilvl="8" w:tentative="0">
      <w:start w:val="1"/>
      <w:numFmt w:val="lowerRoman"/>
      <w:lvlText w:val="%9."/>
      <w:lvlJc w:val="right"/>
      <w:pPr>
        <w:ind w:left="6720" w:hanging="420"/>
      </w:pPr>
    </w:lvl>
  </w:abstractNum>
  <w:abstractNum w:abstractNumId="3">
    <w:nsid w:val="0053208E"/>
    <w:multiLevelType w:val="multilevel"/>
    <w:tmpl w:val="0053208E"/>
    <w:lvl w:ilvl="0" w:tentative="0">
      <w:start w:val="1"/>
      <w:numFmt w:val="chineseCountingThousand"/>
      <w:suff w:val="space"/>
      <w:lvlText w:val="第%1章"/>
      <w:lvlJc w:val="left"/>
      <w:pPr>
        <w:ind w:left="0" w:firstLine="0"/>
      </w:pPr>
      <w:rPr>
        <w:rFonts w:hint="eastAsia" w:ascii="黑体" w:hAnsi="黑体" w:eastAsia="黑体"/>
        <w:b/>
        <w:i w:val="0"/>
        <w:sz w:val="36"/>
      </w:rPr>
    </w:lvl>
    <w:lvl w:ilvl="1" w:tentative="0">
      <w:start w:val="1"/>
      <w:numFmt w:val="decimal"/>
      <w:isLgl/>
      <w:suff w:val="space"/>
      <w:lvlText w:val="%1.%2"/>
      <w:lvlJc w:val="left"/>
      <w:pPr>
        <w:ind w:left="0" w:firstLine="0"/>
      </w:pPr>
      <w:rPr>
        <w:rFonts w:hint="eastAsia"/>
      </w:rPr>
    </w:lvl>
    <w:lvl w:ilvl="2" w:tentative="0">
      <w:start w:val="1"/>
      <w:numFmt w:val="decimal"/>
      <w:isLgl/>
      <w:suff w:val="space"/>
      <w:lvlText w:val="%1.%2.%3"/>
      <w:lvlJc w:val="left"/>
      <w:pPr>
        <w:ind w:left="0" w:firstLine="0"/>
      </w:pPr>
      <w:rPr>
        <w:rFonts w:hint="eastAsia"/>
      </w:rPr>
    </w:lvl>
    <w:lvl w:ilvl="3" w:tentative="0">
      <w:start w:val="1"/>
      <w:numFmt w:val="decimal"/>
      <w:isLgl/>
      <w:suff w:val="space"/>
      <w:lvlText w:val="%1.%2.%3.%4"/>
      <w:lvlJc w:val="left"/>
      <w:pPr>
        <w:ind w:left="0" w:firstLine="0"/>
      </w:pPr>
      <w:rPr>
        <w:rFonts w:hint="eastAsia"/>
      </w:rPr>
    </w:lvl>
    <w:lvl w:ilvl="4" w:tentative="0">
      <w:start w:val="1"/>
      <w:numFmt w:val="decimal"/>
      <w:pStyle w:val="6"/>
      <w:isLgl/>
      <w:suff w:val="space"/>
      <w:lvlText w:val="%1.%2.%3.%4.%5"/>
      <w:lvlJc w:val="left"/>
      <w:pPr>
        <w:ind w:left="2694" w:firstLine="0"/>
      </w:pPr>
      <w:rPr>
        <w:rFonts w:hint="eastAsia"/>
      </w:rPr>
    </w:lvl>
    <w:lvl w:ilvl="5" w:tentative="0">
      <w:start w:val="1"/>
      <w:numFmt w:val="decimal"/>
      <w:isLgl/>
      <w:suff w:val="space"/>
      <w:lvlText w:val="%1.%2.%3.%4.%5.%6"/>
      <w:lvlJc w:val="left"/>
      <w:pPr>
        <w:ind w:left="-1" w:firstLine="0"/>
      </w:pPr>
      <w:rPr>
        <w:rFonts w:hint="eastAsia"/>
      </w:rPr>
    </w:lvl>
    <w:lvl w:ilvl="6" w:tentative="0">
      <w:start w:val="1"/>
      <w:numFmt w:val="decimal"/>
      <w:isLgl/>
      <w:suff w:val="space"/>
      <w:lvlText w:val="%1.%2.%3.%4.%5.%6.%7"/>
      <w:lvlJc w:val="left"/>
      <w:pPr>
        <w:ind w:left="0" w:firstLine="0"/>
      </w:pPr>
      <w:rPr>
        <w:rFonts w:hint="eastAsia"/>
      </w:rPr>
    </w:lvl>
    <w:lvl w:ilvl="7" w:tentative="0">
      <w:start w:val="1"/>
      <w:numFmt w:val="decimal"/>
      <w:isLgl/>
      <w:suff w:val="space"/>
      <w:lvlText w:val="%1.%2.%3.%4.%5.%6.%7.%8"/>
      <w:lvlJc w:val="left"/>
      <w:pPr>
        <w:ind w:left="0" w:firstLine="0"/>
      </w:pPr>
      <w:rPr>
        <w:rFonts w:hint="eastAsia"/>
      </w:rPr>
    </w:lvl>
    <w:lvl w:ilvl="8" w:tentative="0">
      <w:start w:val="1"/>
      <w:numFmt w:val="decimal"/>
      <w:isLgl/>
      <w:lvlText w:val="%1.%2.%3.%4.%5.%6.%7.%8.%9"/>
      <w:lvlJc w:val="left"/>
      <w:pPr>
        <w:ind w:left="0" w:firstLine="0"/>
      </w:pPr>
      <w:rPr>
        <w:rFonts w:hint="eastAsia"/>
      </w:rPr>
    </w:lvl>
  </w:abstractNum>
  <w:abstractNum w:abstractNumId="4">
    <w:nsid w:val="03D62ECE"/>
    <w:multiLevelType w:val="multilevel"/>
    <w:tmpl w:val="03D62ECE"/>
    <w:lvl w:ilvl="0" w:tentative="0">
      <w:start w:val="1"/>
      <w:numFmt w:val="decimal"/>
      <w:pStyle w:val="244"/>
      <w:lvlText w:val="%1"/>
      <w:lvlJc w:val="left"/>
      <w:pPr>
        <w:ind w:left="432" w:hanging="432"/>
      </w:pPr>
    </w:lvl>
    <w:lvl w:ilvl="1" w:tentative="0">
      <w:start w:val="1"/>
      <w:numFmt w:val="decimal"/>
      <w:pStyle w:val="245"/>
      <w:lvlText w:val="%1.%2"/>
      <w:lvlJc w:val="left"/>
      <w:pPr>
        <w:ind w:left="576" w:hanging="576"/>
      </w:pPr>
    </w:lvl>
    <w:lvl w:ilvl="2" w:tentative="0">
      <w:start w:val="1"/>
      <w:numFmt w:val="decimal"/>
      <w:pStyle w:val="247"/>
      <w:lvlText w:val="%1.%2.%3"/>
      <w:lvlJc w:val="left"/>
      <w:pPr>
        <w:ind w:left="1855" w:hanging="720"/>
      </w:pPr>
    </w:lvl>
    <w:lvl w:ilvl="3" w:tentative="0">
      <w:start w:val="1"/>
      <w:numFmt w:val="decimal"/>
      <w:lvlText w:val="%1.%2.%3.%4"/>
      <w:lvlJc w:val="left"/>
      <w:pPr>
        <w:ind w:left="864" w:hanging="864"/>
      </w:pPr>
    </w:lvl>
    <w:lvl w:ilvl="4" w:tentative="0">
      <w:start w:val="1"/>
      <w:numFmt w:val="decimal"/>
      <w:lvlText w:val="%1.%2.%3.%4.%5"/>
      <w:lvlJc w:val="left"/>
      <w:pPr>
        <w:ind w:left="1008" w:hanging="1008"/>
      </w:pPr>
    </w:lvl>
    <w:lvl w:ilvl="5" w:tentative="0">
      <w:start w:val="1"/>
      <w:numFmt w:val="decimal"/>
      <w:lvlText w:val="%1.%2.%3.%4.%5.%6"/>
      <w:lvlJc w:val="left"/>
      <w:pPr>
        <w:ind w:left="1152" w:hanging="1152"/>
      </w:pPr>
    </w:lvl>
    <w:lvl w:ilvl="6" w:tentative="0">
      <w:start w:val="1"/>
      <w:numFmt w:val="decimal"/>
      <w:lvlText w:val="%1.%2.%3.%4.%5.%6.%7"/>
      <w:lvlJc w:val="left"/>
      <w:pPr>
        <w:ind w:left="1296" w:hanging="1296"/>
      </w:pPr>
    </w:lvl>
    <w:lvl w:ilvl="7" w:tentative="0">
      <w:start w:val="1"/>
      <w:numFmt w:val="decimal"/>
      <w:lvlText w:val="%1.%2.%3.%4.%5.%6.%7.%8"/>
      <w:lvlJc w:val="left"/>
      <w:pPr>
        <w:ind w:left="1440" w:hanging="1440"/>
      </w:pPr>
    </w:lvl>
    <w:lvl w:ilvl="8" w:tentative="0">
      <w:start w:val="1"/>
      <w:numFmt w:val="decimal"/>
      <w:lvlText w:val="%1.%2.%3.%4.%5.%6.%7.%8.%9"/>
      <w:lvlJc w:val="left"/>
      <w:pPr>
        <w:ind w:left="1584" w:hanging="1584"/>
      </w:pPr>
    </w:lvl>
  </w:abstractNum>
  <w:abstractNum w:abstractNumId="5">
    <w:nsid w:val="25B654F3"/>
    <w:multiLevelType w:val="multilevel"/>
    <w:tmpl w:val="25B654F3"/>
    <w:lvl w:ilvl="0" w:tentative="0">
      <w:start w:val="3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59ADCABA"/>
    <w:multiLevelType w:val="multilevel"/>
    <w:tmpl w:val="59ADCABA"/>
    <w:lvl w:ilvl="0" w:tentative="0">
      <w:start w:val="1"/>
      <w:numFmt w:val="decimal"/>
      <w:pStyle w:val="215"/>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tentative="0">
      <w:start w:val="1"/>
      <w:numFmt w:val="decimal"/>
      <w:suff w:val="nothing"/>
      <w:lvlText w:val="%2）"/>
      <w:lvlJc w:val="left"/>
      <w:pPr>
        <w:ind w:left="1413" w:firstLine="0"/>
      </w:pPr>
      <w:rPr>
        <w:rFonts w:hint="eastAsia"/>
      </w:rPr>
    </w:lvl>
    <w:lvl w:ilvl="2" w:tentative="0">
      <w:start w:val="1"/>
      <w:numFmt w:val="lowerRoman"/>
      <w:lvlText w:val="%3."/>
      <w:lvlJc w:val="right"/>
      <w:pPr>
        <w:ind w:left="1833" w:firstLine="0"/>
      </w:pPr>
      <w:rPr>
        <w:rFonts w:hint="eastAsia"/>
      </w:rPr>
    </w:lvl>
    <w:lvl w:ilvl="3" w:tentative="0">
      <w:start w:val="1"/>
      <w:numFmt w:val="decimal"/>
      <w:lvlText w:val="%4）"/>
      <w:lvlJc w:val="left"/>
      <w:pPr>
        <w:ind w:left="2253" w:firstLine="0"/>
      </w:pPr>
      <w:rPr>
        <w:rFonts w:hint="eastAsia"/>
      </w:rPr>
    </w:lvl>
    <w:lvl w:ilvl="4" w:tentative="0">
      <w:start w:val="1"/>
      <w:numFmt w:val="lowerLetter"/>
      <w:lvlText w:val="%5)"/>
      <w:lvlJc w:val="left"/>
      <w:pPr>
        <w:ind w:left="2673" w:firstLine="0"/>
      </w:pPr>
      <w:rPr>
        <w:rFonts w:hint="eastAsia"/>
      </w:rPr>
    </w:lvl>
    <w:lvl w:ilvl="5" w:tentative="0">
      <w:start w:val="1"/>
      <w:numFmt w:val="lowerRoman"/>
      <w:lvlText w:val="%6."/>
      <w:lvlJc w:val="right"/>
      <w:pPr>
        <w:ind w:left="3093" w:firstLine="0"/>
      </w:pPr>
      <w:rPr>
        <w:rFonts w:hint="eastAsia"/>
      </w:rPr>
    </w:lvl>
    <w:lvl w:ilvl="6" w:tentative="0">
      <w:start w:val="1"/>
      <w:numFmt w:val="decimal"/>
      <w:lvlText w:val="%7."/>
      <w:lvlJc w:val="left"/>
      <w:pPr>
        <w:ind w:left="3513" w:firstLine="0"/>
      </w:pPr>
      <w:rPr>
        <w:rFonts w:hint="eastAsia"/>
      </w:rPr>
    </w:lvl>
    <w:lvl w:ilvl="7" w:tentative="0">
      <w:start w:val="1"/>
      <w:numFmt w:val="lowerLetter"/>
      <w:lvlText w:val="%8)"/>
      <w:lvlJc w:val="left"/>
      <w:pPr>
        <w:ind w:left="3933" w:firstLine="0"/>
      </w:pPr>
      <w:rPr>
        <w:rFonts w:hint="eastAsia"/>
      </w:rPr>
    </w:lvl>
    <w:lvl w:ilvl="8" w:tentative="0">
      <w:start w:val="1"/>
      <w:numFmt w:val="lowerRoman"/>
      <w:lvlText w:val="%9."/>
      <w:lvlJc w:val="right"/>
      <w:pPr>
        <w:ind w:left="4353" w:firstLine="0"/>
      </w:pPr>
      <w:rPr>
        <w:rFonts w:hint="eastAsia"/>
      </w:rPr>
    </w:lvl>
  </w:abstractNum>
  <w:abstractNum w:abstractNumId="7">
    <w:nsid w:val="72183CF9"/>
    <w:multiLevelType w:val="multilevel"/>
    <w:tmpl w:val="72183CF9"/>
    <w:lvl w:ilvl="0" w:tentative="0">
      <w:start w:val="10"/>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4"/>
  </w:num>
  <w:num w:numId="6">
    <w:abstractNumId w:val="5"/>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831E1A"/>
    <w:rsid w:val="028916DF"/>
    <w:rsid w:val="03CA7891"/>
    <w:rsid w:val="04083D7A"/>
    <w:rsid w:val="0E7D66F5"/>
    <w:rsid w:val="0ED445E6"/>
    <w:rsid w:val="10A51DDA"/>
    <w:rsid w:val="1D747010"/>
    <w:rsid w:val="20125029"/>
    <w:rsid w:val="266309E0"/>
    <w:rsid w:val="30F13F0B"/>
    <w:rsid w:val="3B1E4F61"/>
    <w:rsid w:val="3DC429EC"/>
    <w:rsid w:val="49C0187A"/>
    <w:rsid w:val="4A8F7A4B"/>
    <w:rsid w:val="4C0D4D77"/>
    <w:rsid w:val="4F0B1C98"/>
    <w:rsid w:val="52E50D30"/>
    <w:rsid w:val="5FBA4C9E"/>
    <w:rsid w:val="65F17C7E"/>
    <w:rsid w:val="7A746CA6"/>
    <w:rsid w:val="7C0E2624"/>
    <w:rsid w:val="7D006E9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nhideWhenUsed="0" w:uiPriority="0"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nhideWhenUsed="0" w:uiPriority="0" w:semiHidden="0" w:name="toc 9"/>
    <w:lsdException w:qFormat="1"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qFormat/>
    <w:uiPriority w:val="9"/>
    <w:pPr>
      <w:keepNext/>
      <w:keepLines/>
      <w:spacing w:before="340" w:after="330" w:line="578" w:lineRule="auto"/>
      <w:outlineLvl w:val="0"/>
    </w:pPr>
    <w:rPr>
      <w:b/>
      <w:bCs/>
      <w:sz w:val="44"/>
      <w:szCs w:val="44"/>
    </w:rPr>
  </w:style>
  <w:style w:type="paragraph" w:styleId="3">
    <w:name w:val="heading 2"/>
    <w:basedOn w:val="1"/>
    <w:next w:val="1"/>
    <w:qFormat/>
    <w:uiPriority w:val="0"/>
    <w:pPr>
      <w:keepNext/>
      <w:keepLines/>
      <w:spacing w:before="260" w:after="260" w:line="416" w:lineRule="auto"/>
      <w:jc w:val="center"/>
      <w:outlineLvl w:val="1"/>
    </w:pPr>
    <w:rPr>
      <w:rFonts w:ascii="Arial" w:hAnsi="Arial" w:eastAsia="幼圆" w:cs="Arial"/>
      <w:sz w:val="44"/>
      <w:szCs w:val="44"/>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paragraph" w:styleId="5">
    <w:name w:val="heading 4"/>
    <w:basedOn w:val="6"/>
    <w:next w:val="1"/>
    <w:qFormat/>
    <w:uiPriority w:val="9"/>
    <w:pPr>
      <w:spacing w:before="280" w:after="290" w:line="374" w:lineRule="auto"/>
      <w:outlineLvl w:val="3"/>
    </w:pPr>
    <w:rPr>
      <w:rFonts w:ascii="Arial" w:hAnsi="Arial" w:eastAsia="黑体"/>
      <w:b/>
      <w:sz w:val="28"/>
      <w:szCs w:val="28"/>
    </w:rPr>
  </w:style>
  <w:style w:type="paragraph" w:styleId="6">
    <w:name w:val="heading 5"/>
    <w:basedOn w:val="1"/>
    <w:next w:val="1"/>
    <w:qFormat/>
    <w:uiPriority w:val="9"/>
    <w:pPr>
      <w:numPr>
        <w:ilvl w:val="4"/>
        <w:numId w:val="1"/>
      </w:numPr>
      <w:spacing w:before="280" w:after="290"/>
      <w:ind w:left="425"/>
      <w:outlineLvl w:val="4"/>
    </w:pPr>
    <w:rPr>
      <w:bCs/>
      <w:szCs w:val="28"/>
    </w:rPr>
  </w:style>
  <w:style w:type="paragraph" w:styleId="7">
    <w:name w:val="heading 6"/>
    <w:basedOn w:val="1"/>
    <w:next w:val="1"/>
    <w:link w:val="55"/>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6"/>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7"/>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8"/>
    <w:unhideWhenUsed/>
    <w:qFormat/>
    <w:uiPriority w:val="9"/>
    <w:pPr>
      <w:keepNext/>
      <w:keepLines/>
      <w:spacing w:before="320" w:after="200"/>
      <w:outlineLvl w:val="8"/>
    </w:pPr>
    <w:rPr>
      <w:rFonts w:ascii="Arial" w:hAnsi="Arial" w:eastAsia="Arial" w:cs="Arial"/>
      <w:i/>
      <w:iCs/>
      <w:sz w:val="21"/>
      <w:szCs w:val="21"/>
    </w:rPr>
  </w:style>
  <w:style w:type="character" w:default="1" w:styleId="43">
    <w:name w:val="Default Paragraph Font"/>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unhideWhenUsed/>
    <w:qFormat/>
    <w:uiPriority w:val="0"/>
    <w:pPr>
      <w:ind w:firstLine="420"/>
    </w:pPr>
  </w:style>
  <w:style w:type="paragraph" w:styleId="13">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4">
    <w:name w:val="annotation text"/>
    <w:basedOn w:val="1"/>
    <w:link w:val="222"/>
    <w:qFormat/>
    <w:uiPriority w:val="0"/>
    <w:pPr>
      <w:jc w:val="left"/>
    </w:pPr>
  </w:style>
  <w:style w:type="paragraph" w:styleId="15">
    <w:name w:val="Body Text"/>
    <w:basedOn w:val="1"/>
    <w:qFormat/>
    <w:uiPriority w:val="0"/>
    <w:rPr>
      <w:rFonts w:ascii="楷体_GB2312" w:hAnsi="Arial" w:eastAsia="楷体_GB2312"/>
      <w:sz w:val="28"/>
      <w:szCs w:val="28"/>
    </w:rPr>
  </w:style>
  <w:style w:type="paragraph" w:styleId="16">
    <w:name w:val="Body Text Indent"/>
    <w:basedOn w:val="1"/>
    <w:qFormat/>
    <w:uiPriority w:val="0"/>
    <w:pPr>
      <w:spacing w:after="120"/>
      <w:ind w:left="420"/>
    </w:pPr>
    <w:rPr>
      <w:rFonts w:ascii="等线" w:hAnsi="等线" w:eastAsia="等线"/>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Plain Text"/>
    <w:basedOn w:val="1"/>
    <w:qFormat/>
    <w:uiPriority w:val="99"/>
    <w:rPr>
      <w:rFonts w:ascii="宋体" w:hAnsi="Courier New"/>
      <w:sz w:val="20"/>
      <w:szCs w:val="21"/>
    </w:rPr>
  </w:style>
  <w:style w:type="paragraph" w:styleId="20">
    <w:name w:val="toc 8"/>
    <w:basedOn w:val="1"/>
    <w:next w:val="1"/>
    <w:unhideWhenUsed/>
    <w:qFormat/>
    <w:uiPriority w:val="39"/>
    <w:pPr>
      <w:spacing w:after="57"/>
      <w:ind w:left="1984"/>
    </w:pPr>
  </w:style>
  <w:style w:type="paragraph" w:styleId="21">
    <w:name w:val="Body Text Indent 2"/>
    <w:basedOn w:val="1"/>
    <w:qFormat/>
    <w:uiPriority w:val="0"/>
    <w:pPr>
      <w:spacing w:after="120" w:line="480" w:lineRule="auto"/>
      <w:ind w:left="640"/>
    </w:pPr>
    <w:rPr>
      <w:rFonts w:eastAsia="仿宋_GB2312"/>
      <w:sz w:val="32"/>
      <w:szCs w:val="28"/>
    </w:rPr>
  </w:style>
  <w:style w:type="paragraph" w:styleId="22">
    <w:name w:val="endnote text"/>
    <w:basedOn w:val="1"/>
    <w:link w:val="194"/>
    <w:semiHidden/>
    <w:unhideWhenUsed/>
    <w:qFormat/>
    <w:uiPriority w:val="99"/>
    <w:pPr>
      <w:spacing w:after="0" w:line="240" w:lineRule="auto"/>
    </w:pPr>
    <w:rPr>
      <w:sz w:val="20"/>
    </w:rPr>
  </w:style>
  <w:style w:type="paragraph" w:styleId="23">
    <w:name w:val="Balloon Text"/>
    <w:basedOn w:val="1"/>
    <w:link w:val="213"/>
    <w:qFormat/>
    <w:uiPriority w:val="0"/>
    <w:rPr>
      <w:sz w:val="18"/>
      <w:szCs w:val="18"/>
    </w:rPr>
  </w:style>
  <w:style w:type="paragraph" w:styleId="24">
    <w:name w:val="footer"/>
    <w:basedOn w:val="1"/>
    <w:unhideWhenUsed/>
    <w:qFormat/>
    <w:uiPriority w:val="99"/>
    <w:pPr>
      <w:tabs>
        <w:tab w:val="center" w:pos="4153"/>
        <w:tab w:val="right" w:pos="8306"/>
      </w:tabs>
      <w:jc w:val="left"/>
    </w:pPr>
    <w:rPr>
      <w:sz w:val="18"/>
      <w:szCs w:val="18"/>
    </w:rPr>
  </w:style>
  <w:style w:type="paragraph" w:styleId="25">
    <w:name w:val="envelope return"/>
    <w:basedOn w:val="1"/>
    <w:unhideWhenUsed/>
    <w:qFormat/>
    <w:uiPriority w:val="99"/>
    <w:rPr>
      <w:rFonts w:ascii="Arial" w:hAnsi="Arial"/>
    </w:rPr>
  </w:style>
  <w:style w:type="paragraph" w:styleId="26">
    <w:name w:val="header"/>
    <w:basedOn w:val="1"/>
    <w:unhideWhenUsed/>
    <w:qFormat/>
    <w:uiPriority w:val="99"/>
    <w:pPr>
      <w:pBdr>
        <w:bottom w:val="single" w:color="auto" w:sz="6" w:space="1"/>
      </w:pBdr>
      <w:tabs>
        <w:tab w:val="center" w:pos="4153"/>
        <w:tab w:val="right" w:pos="8306"/>
      </w:tabs>
      <w:jc w:val="center"/>
    </w:pPr>
    <w:rPr>
      <w:sz w:val="18"/>
      <w:szCs w:val="18"/>
    </w:rPr>
  </w:style>
  <w:style w:type="paragraph" w:styleId="27">
    <w:name w:val="toc 1"/>
    <w:basedOn w:val="1"/>
    <w:next w:val="1"/>
    <w:unhideWhenUsed/>
    <w:qFormat/>
    <w:uiPriority w:val="39"/>
  </w:style>
  <w:style w:type="paragraph" w:styleId="28">
    <w:name w:val="toc 4"/>
    <w:basedOn w:val="1"/>
    <w:next w:val="1"/>
    <w:unhideWhenUsed/>
    <w:qFormat/>
    <w:uiPriority w:val="39"/>
    <w:pPr>
      <w:spacing w:after="57"/>
      <w:ind w:left="850" w:right="0" w:firstLine="0"/>
    </w:pPr>
  </w:style>
  <w:style w:type="paragraph" w:styleId="29">
    <w:name w:val="Subtitle"/>
    <w:basedOn w:val="1"/>
    <w:next w:val="1"/>
    <w:link w:val="60"/>
    <w:qFormat/>
    <w:uiPriority w:val="11"/>
    <w:pPr>
      <w:spacing w:before="200" w:after="200"/>
    </w:pPr>
    <w:rPr>
      <w:sz w:val="24"/>
      <w:szCs w:val="24"/>
    </w:rPr>
  </w:style>
  <w:style w:type="paragraph" w:styleId="30">
    <w:name w:val="footnote text"/>
    <w:basedOn w:val="1"/>
    <w:link w:val="193"/>
    <w:semiHidden/>
    <w:unhideWhenUsed/>
    <w:qFormat/>
    <w:uiPriority w:val="99"/>
    <w:pPr>
      <w:spacing w:after="40" w:line="240" w:lineRule="auto"/>
    </w:pPr>
    <w:rPr>
      <w:sz w:val="18"/>
    </w:rPr>
  </w:style>
  <w:style w:type="paragraph" w:styleId="31">
    <w:name w:val="toc 6"/>
    <w:basedOn w:val="1"/>
    <w:next w:val="1"/>
    <w:unhideWhenUsed/>
    <w:qFormat/>
    <w:uiPriority w:val="39"/>
    <w:pPr>
      <w:spacing w:after="57"/>
      <w:ind w:left="1417" w:right="0" w:firstLine="0"/>
    </w:pPr>
  </w:style>
  <w:style w:type="paragraph" w:styleId="32">
    <w:name w:val="table of figures"/>
    <w:basedOn w:val="1"/>
    <w:next w:val="1"/>
    <w:unhideWhenUsed/>
    <w:qFormat/>
    <w:uiPriority w:val="99"/>
    <w:pPr>
      <w:spacing w:after="0" w:afterAutospacing="0"/>
    </w:pPr>
  </w:style>
  <w:style w:type="paragraph" w:styleId="33">
    <w:name w:val="toc 2"/>
    <w:basedOn w:val="1"/>
    <w:next w:val="1"/>
    <w:qFormat/>
    <w:uiPriority w:val="0"/>
    <w:pPr>
      <w:ind w:left="420"/>
    </w:pPr>
  </w:style>
  <w:style w:type="paragraph" w:styleId="34">
    <w:name w:val="toc 9"/>
    <w:basedOn w:val="1"/>
    <w:next w:val="1"/>
    <w:qFormat/>
    <w:uiPriority w:val="0"/>
    <w:pPr>
      <w:ind w:left="3360"/>
    </w:pPr>
    <w:rPr>
      <w:rFonts w:ascii="Times New Roman" w:hAnsi="Times New Roman"/>
    </w:rPr>
  </w:style>
  <w:style w:type="paragraph" w:styleId="35">
    <w:name w:val="Body Text 2"/>
    <w:basedOn w:val="1"/>
    <w:qFormat/>
    <w:uiPriority w:val="0"/>
    <w:pPr>
      <w:spacing w:after="120" w:line="480" w:lineRule="auto"/>
    </w:pPr>
  </w:style>
  <w:style w:type="paragraph" w:styleId="36">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500" w:hanging="1080"/>
    </w:pPr>
    <w:rPr>
      <w:rFonts w:ascii="Arial" w:hAnsi="Arial"/>
      <w:sz w:val="24"/>
    </w:rPr>
  </w:style>
  <w:style w:type="paragraph" w:styleId="37">
    <w:name w:val="Normal (Web)"/>
    <w:basedOn w:val="1"/>
    <w:qFormat/>
    <w:uiPriority w:val="0"/>
    <w:rPr>
      <w:rFonts w:ascii="Times New Roman" w:hAnsi="Times New Roman"/>
      <w:sz w:val="24"/>
    </w:rPr>
  </w:style>
  <w:style w:type="paragraph" w:styleId="38">
    <w:name w:val="Title"/>
    <w:basedOn w:val="1"/>
    <w:next w:val="1"/>
    <w:link w:val="59"/>
    <w:qFormat/>
    <w:uiPriority w:val="10"/>
    <w:pPr>
      <w:spacing w:before="300" w:after="200"/>
      <w:contextualSpacing/>
    </w:pPr>
    <w:rPr>
      <w:sz w:val="48"/>
      <w:szCs w:val="48"/>
    </w:rPr>
  </w:style>
  <w:style w:type="paragraph" w:styleId="39">
    <w:name w:val="annotation subject"/>
    <w:basedOn w:val="14"/>
    <w:next w:val="14"/>
    <w:link w:val="223"/>
    <w:qFormat/>
    <w:uiPriority w:val="0"/>
    <w:rPr>
      <w:b/>
      <w:bCs/>
    </w:rPr>
  </w:style>
  <w:style w:type="paragraph" w:styleId="40">
    <w:name w:val="Body Text First Indent 2"/>
    <w:basedOn w:val="16"/>
    <w:qFormat/>
    <w:uiPriority w:val="0"/>
    <w:pPr>
      <w:spacing w:before="100" w:beforeAutospacing="1"/>
      <w:ind w:firstLine="420"/>
    </w:pPr>
    <w:rPr>
      <w:rFonts w:ascii="Times New Roman" w:hAnsi="Times New Roman" w:eastAsia="宋体"/>
      <w:sz w:val="20"/>
      <w:szCs w:val="21"/>
    </w:rPr>
  </w:style>
  <w:style w:type="table" w:styleId="42">
    <w:name w:val="Table Grid"/>
    <w:basedOn w:val="41"/>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4">
    <w:name w:val="Strong"/>
    <w:qFormat/>
    <w:uiPriority w:val="0"/>
    <w:rPr>
      <w:b/>
    </w:rPr>
  </w:style>
  <w:style w:type="character" w:styleId="45">
    <w:name w:val="endnote reference"/>
    <w:basedOn w:val="43"/>
    <w:semiHidden/>
    <w:unhideWhenUsed/>
    <w:qFormat/>
    <w:uiPriority w:val="99"/>
    <w:rPr>
      <w:vertAlign w:val="superscript"/>
    </w:rPr>
  </w:style>
  <w:style w:type="character" w:styleId="46">
    <w:name w:val="Emphasis"/>
    <w:qFormat/>
    <w:uiPriority w:val="0"/>
    <w:rPr>
      <w:i/>
    </w:rPr>
  </w:style>
  <w:style w:type="character" w:styleId="47">
    <w:name w:val="Hyperlink"/>
    <w:basedOn w:val="43"/>
    <w:qFormat/>
    <w:uiPriority w:val="0"/>
    <w:rPr>
      <w:color w:val="0000FF"/>
      <w:u w:val="single"/>
    </w:rPr>
  </w:style>
  <w:style w:type="character" w:styleId="48">
    <w:name w:val="annotation reference"/>
    <w:basedOn w:val="43"/>
    <w:qFormat/>
    <w:uiPriority w:val="0"/>
    <w:rPr>
      <w:sz w:val="21"/>
      <w:szCs w:val="21"/>
    </w:rPr>
  </w:style>
  <w:style w:type="character" w:styleId="49">
    <w:name w:val="footnote reference"/>
    <w:basedOn w:val="43"/>
    <w:unhideWhenUsed/>
    <w:qFormat/>
    <w:uiPriority w:val="99"/>
    <w:rPr>
      <w:vertAlign w:val="superscript"/>
    </w:rPr>
  </w:style>
  <w:style w:type="character" w:customStyle="1" w:styleId="50">
    <w:name w:val="Heading 1 Char"/>
    <w:basedOn w:val="43"/>
    <w:qFormat/>
    <w:uiPriority w:val="9"/>
    <w:rPr>
      <w:rFonts w:ascii="Arial" w:hAnsi="Arial" w:eastAsia="Arial" w:cs="Arial"/>
      <w:sz w:val="40"/>
      <w:szCs w:val="40"/>
    </w:rPr>
  </w:style>
  <w:style w:type="character" w:customStyle="1" w:styleId="51">
    <w:name w:val="Heading 2 Char"/>
    <w:basedOn w:val="43"/>
    <w:qFormat/>
    <w:uiPriority w:val="9"/>
    <w:rPr>
      <w:rFonts w:ascii="Arial" w:hAnsi="Arial" w:eastAsia="Arial" w:cs="Arial"/>
      <w:sz w:val="34"/>
    </w:rPr>
  </w:style>
  <w:style w:type="character" w:customStyle="1" w:styleId="52">
    <w:name w:val="Heading 3 Char"/>
    <w:basedOn w:val="43"/>
    <w:qFormat/>
    <w:uiPriority w:val="9"/>
    <w:rPr>
      <w:rFonts w:ascii="Arial" w:hAnsi="Arial" w:eastAsia="Arial" w:cs="Arial"/>
      <w:sz w:val="30"/>
      <w:szCs w:val="30"/>
    </w:rPr>
  </w:style>
  <w:style w:type="character" w:customStyle="1" w:styleId="53">
    <w:name w:val="Heading 4 Char"/>
    <w:basedOn w:val="43"/>
    <w:qFormat/>
    <w:uiPriority w:val="9"/>
    <w:rPr>
      <w:rFonts w:ascii="Arial" w:hAnsi="Arial" w:eastAsia="Arial" w:cs="Arial"/>
      <w:b/>
      <w:bCs/>
      <w:sz w:val="26"/>
      <w:szCs w:val="26"/>
    </w:rPr>
  </w:style>
  <w:style w:type="character" w:customStyle="1" w:styleId="54">
    <w:name w:val="Heading 5 Char"/>
    <w:basedOn w:val="43"/>
    <w:qFormat/>
    <w:uiPriority w:val="9"/>
    <w:rPr>
      <w:rFonts w:ascii="Arial" w:hAnsi="Arial" w:eastAsia="Arial" w:cs="Arial"/>
      <w:b/>
      <w:bCs/>
      <w:sz w:val="24"/>
      <w:szCs w:val="24"/>
    </w:rPr>
  </w:style>
  <w:style w:type="character" w:customStyle="1" w:styleId="55">
    <w:name w:val="Heading 6 Char"/>
    <w:basedOn w:val="43"/>
    <w:link w:val="7"/>
    <w:qFormat/>
    <w:uiPriority w:val="9"/>
    <w:rPr>
      <w:rFonts w:ascii="Arial" w:hAnsi="Arial" w:eastAsia="Arial" w:cs="Arial"/>
      <w:b/>
      <w:bCs/>
      <w:sz w:val="22"/>
      <w:szCs w:val="22"/>
    </w:rPr>
  </w:style>
  <w:style w:type="character" w:customStyle="1" w:styleId="56">
    <w:name w:val="Heading 7 Char"/>
    <w:basedOn w:val="43"/>
    <w:link w:val="8"/>
    <w:qFormat/>
    <w:uiPriority w:val="9"/>
    <w:rPr>
      <w:rFonts w:ascii="Arial" w:hAnsi="Arial" w:eastAsia="Arial" w:cs="Arial"/>
      <w:b/>
      <w:bCs/>
      <w:i/>
      <w:iCs/>
      <w:sz w:val="22"/>
      <w:szCs w:val="22"/>
    </w:rPr>
  </w:style>
  <w:style w:type="character" w:customStyle="1" w:styleId="57">
    <w:name w:val="Heading 8 Char"/>
    <w:basedOn w:val="43"/>
    <w:link w:val="9"/>
    <w:qFormat/>
    <w:uiPriority w:val="9"/>
    <w:rPr>
      <w:rFonts w:ascii="Arial" w:hAnsi="Arial" w:eastAsia="Arial" w:cs="Arial"/>
      <w:i/>
      <w:iCs/>
      <w:sz w:val="22"/>
      <w:szCs w:val="22"/>
    </w:rPr>
  </w:style>
  <w:style w:type="character" w:customStyle="1" w:styleId="58">
    <w:name w:val="Heading 9 Char"/>
    <w:basedOn w:val="43"/>
    <w:link w:val="10"/>
    <w:qFormat/>
    <w:uiPriority w:val="9"/>
    <w:rPr>
      <w:rFonts w:ascii="Arial" w:hAnsi="Arial" w:eastAsia="Arial" w:cs="Arial"/>
      <w:i/>
      <w:iCs/>
      <w:sz w:val="21"/>
      <w:szCs w:val="21"/>
    </w:rPr>
  </w:style>
  <w:style w:type="character" w:customStyle="1" w:styleId="59">
    <w:name w:val="Title Char"/>
    <w:basedOn w:val="43"/>
    <w:link w:val="38"/>
    <w:qFormat/>
    <w:uiPriority w:val="10"/>
    <w:rPr>
      <w:sz w:val="48"/>
      <w:szCs w:val="48"/>
    </w:rPr>
  </w:style>
  <w:style w:type="character" w:customStyle="1" w:styleId="60">
    <w:name w:val="Subtitle Char"/>
    <w:basedOn w:val="43"/>
    <w:link w:val="29"/>
    <w:qFormat/>
    <w:uiPriority w:val="11"/>
    <w:rPr>
      <w:sz w:val="24"/>
      <w:szCs w:val="24"/>
    </w:rPr>
  </w:style>
  <w:style w:type="paragraph" w:styleId="61">
    <w:name w:val="Quote"/>
    <w:basedOn w:val="1"/>
    <w:next w:val="1"/>
    <w:link w:val="62"/>
    <w:qFormat/>
    <w:uiPriority w:val="29"/>
    <w:pPr>
      <w:ind w:left="720" w:right="720"/>
    </w:pPr>
    <w:rPr>
      <w:i/>
    </w:rPr>
  </w:style>
  <w:style w:type="character" w:customStyle="1" w:styleId="62">
    <w:name w:val="Quote Char"/>
    <w:link w:val="61"/>
    <w:qFormat/>
    <w:uiPriority w:val="29"/>
    <w:rPr>
      <w:i/>
    </w:rPr>
  </w:style>
  <w:style w:type="paragraph" w:styleId="63">
    <w:name w:val="Intense Quote"/>
    <w:basedOn w:val="1"/>
    <w:next w:val="1"/>
    <w:link w:val="6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4">
    <w:name w:val="Intense Quote Char"/>
    <w:link w:val="63"/>
    <w:qFormat/>
    <w:uiPriority w:val="30"/>
    <w:rPr>
      <w:i/>
    </w:rPr>
  </w:style>
  <w:style w:type="character" w:customStyle="1" w:styleId="65">
    <w:name w:val="Header Char"/>
    <w:basedOn w:val="43"/>
    <w:qFormat/>
    <w:uiPriority w:val="99"/>
  </w:style>
  <w:style w:type="character" w:customStyle="1" w:styleId="66">
    <w:name w:val="Footer Char"/>
    <w:basedOn w:val="43"/>
    <w:qFormat/>
    <w:uiPriority w:val="99"/>
  </w:style>
  <w:style w:type="character" w:customStyle="1" w:styleId="67">
    <w:name w:val="Caption Char"/>
    <w:qFormat/>
    <w:uiPriority w:val="99"/>
  </w:style>
  <w:style w:type="table" w:customStyle="1" w:styleId="68">
    <w:name w:val="Table Grid Light"/>
    <w:basedOn w:val="4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9">
    <w:name w:val="Plain Table 1"/>
    <w:basedOn w:val="4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0">
    <w:name w:val="Plain Table 2"/>
    <w:basedOn w:val="41"/>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1">
    <w:name w:val="Plain Table 3"/>
    <w:basedOn w:val="41"/>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Plain Table 4"/>
    <w:basedOn w:val="41"/>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Plain Table 5"/>
    <w:basedOn w:val="41"/>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Grid Table 1 Light"/>
    <w:basedOn w:val="41"/>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5">
    <w:name w:val="Grid Table 1 Light - Accent 1"/>
    <w:basedOn w:val="41"/>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76">
    <w:name w:val="Grid Table 1 Light - Accent 2"/>
    <w:basedOn w:val="41"/>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7">
    <w:name w:val="Grid Table 1 Light - Accent 3"/>
    <w:basedOn w:val="41"/>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8">
    <w:name w:val="Grid Table 1 Light - Accent 4"/>
    <w:basedOn w:val="41"/>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79">
    <w:name w:val="Grid Table 1 Light - Accent 5"/>
    <w:basedOn w:val="41"/>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80">
    <w:name w:val="Grid Table 1 Light - Accent 6"/>
    <w:basedOn w:val="41"/>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81">
    <w:name w:val="Grid Table 2"/>
    <w:basedOn w:val="4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2 - Accent 1"/>
    <w:basedOn w:val="41"/>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3">
    <w:name w:val="Grid Table 2 - Accent 2"/>
    <w:basedOn w:val="41"/>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4">
    <w:name w:val="Grid Table 2 - Accent 3"/>
    <w:basedOn w:val="41"/>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5">
    <w:name w:val="Grid Table 2 - Accent 4"/>
    <w:basedOn w:val="41"/>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6">
    <w:name w:val="Grid Table 2 - Accent 5"/>
    <w:basedOn w:val="41"/>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7">
    <w:name w:val="Grid Table 2 - Accent 6"/>
    <w:basedOn w:val="41"/>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8">
    <w:name w:val="Grid Table 3"/>
    <w:basedOn w:val="4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3 - Accent 1"/>
    <w:basedOn w:val="41"/>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0">
    <w:name w:val="Grid Table 3 - Accent 2"/>
    <w:basedOn w:val="41"/>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1">
    <w:name w:val="Grid Table 3 - Accent 3"/>
    <w:basedOn w:val="41"/>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2">
    <w:name w:val="Grid Table 3 - Accent 4"/>
    <w:basedOn w:val="41"/>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3">
    <w:name w:val="Grid Table 3 - Accent 5"/>
    <w:basedOn w:val="41"/>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4">
    <w:name w:val="Grid Table 3 - Accent 6"/>
    <w:basedOn w:val="41"/>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5">
    <w:name w:val="Grid Table 4"/>
    <w:basedOn w:val="41"/>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4 - Accent 1"/>
    <w:basedOn w:val="41"/>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7">
    <w:name w:val="Grid Table 4 - Accent 2"/>
    <w:basedOn w:val="41"/>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8">
    <w:name w:val="Grid Table 4 - Accent 3"/>
    <w:basedOn w:val="41"/>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9">
    <w:name w:val="Grid Table 4 - Accent 4"/>
    <w:basedOn w:val="41"/>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0">
    <w:name w:val="Grid Table 4 - Accent 5"/>
    <w:basedOn w:val="41"/>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1">
    <w:name w:val="Grid Table 4 - Accent 6"/>
    <w:basedOn w:val="41"/>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2">
    <w:name w:val="Grid Table 5 Dark"/>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3">
    <w:name w:val="Grid Table 5 Dark- Accent 1"/>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4">
    <w:name w:val="Grid Table 5 Dark - Accent 2"/>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5">
    <w:name w:val="Grid Table 5 Dark - Accent 3"/>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6">
    <w:name w:val="Grid Table 5 Dark- Accent 4"/>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7">
    <w:name w:val="Grid Table 5 Dark - Accent 5"/>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08">
    <w:name w:val="Grid Table 5 Dark - Accent 6"/>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09">
    <w:name w:val="Grid Table 6 Colorful"/>
    <w:basedOn w:val="41"/>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6 Colorful - Accent 1"/>
    <w:basedOn w:val="41"/>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1">
    <w:name w:val="Grid Table 6 Colorful - Accent 2"/>
    <w:basedOn w:val="41"/>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2">
    <w:name w:val="Grid Table 6 Colorful - Accent 3"/>
    <w:basedOn w:val="41"/>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3">
    <w:name w:val="Grid Table 6 Colorful - Accent 4"/>
    <w:basedOn w:val="41"/>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4">
    <w:name w:val="Grid Table 6 Colorful - Accent 5"/>
    <w:basedOn w:val="41"/>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5">
    <w:name w:val="Grid Table 6 Colorful - Accent 6"/>
    <w:basedOn w:val="41"/>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16">
    <w:name w:val="Grid Table 7 Colorful"/>
    <w:basedOn w:val="41"/>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7">
    <w:name w:val="Grid Table 7 Colorful - Accent 1"/>
    <w:basedOn w:val="41"/>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8">
    <w:name w:val="Grid Table 7 Colorful - Accent 2"/>
    <w:basedOn w:val="41"/>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9">
    <w:name w:val="Grid Table 7 Colorful - Accent 3"/>
    <w:basedOn w:val="41"/>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20">
    <w:name w:val="Grid Table 7 Colorful - Accent 4"/>
    <w:basedOn w:val="41"/>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1">
    <w:name w:val="Grid Table 7 Colorful - Accent 5"/>
    <w:basedOn w:val="41"/>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2">
    <w:name w:val="Grid Table 7 Colorful - Accent 6"/>
    <w:basedOn w:val="41"/>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3">
    <w:name w:val="List Table 1 Light"/>
    <w:basedOn w:val="41"/>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4">
    <w:name w:val="List Table 1 Light - Accent 1"/>
    <w:basedOn w:val="41"/>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25">
    <w:name w:val="List Table 1 Light - Accent 2"/>
    <w:basedOn w:val="41"/>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6">
    <w:name w:val="List Table 1 Light - Accent 3"/>
    <w:basedOn w:val="41"/>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7">
    <w:name w:val="List Table 1 Light - Accent 4"/>
    <w:basedOn w:val="41"/>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8">
    <w:name w:val="List Table 1 Light - Accent 5"/>
    <w:basedOn w:val="41"/>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29">
    <w:name w:val="List Table 1 Light - Accent 6"/>
    <w:basedOn w:val="41"/>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30">
    <w:name w:val="List Table 2"/>
    <w:basedOn w:val="41"/>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2 - Accent 1"/>
    <w:basedOn w:val="41"/>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2">
    <w:name w:val="List Table 2 - Accent 2"/>
    <w:basedOn w:val="41"/>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3">
    <w:name w:val="List Table 2 - Accent 3"/>
    <w:basedOn w:val="41"/>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4">
    <w:name w:val="List Table 2 - Accent 4"/>
    <w:basedOn w:val="41"/>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5">
    <w:name w:val="List Table 2 - Accent 5"/>
    <w:basedOn w:val="41"/>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6">
    <w:name w:val="List Table 2 - Accent 6"/>
    <w:basedOn w:val="41"/>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7">
    <w:name w:val="List Table 3"/>
    <w:basedOn w:val="4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8">
    <w:name w:val="List Table 3 - Accent 1"/>
    <w:basedOn w:val="41"/>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39">
    <w:name w:val="List Table 3 - Accent 2"/>
    <w:basedOn w:val="41"/>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40">
    <w:name w:val="List Table 3 - Accent 3"/>
    <w:basedOn w:val="41"/>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41">
    <w:name w:val="List Table 3 - Accent 4"/>
    <w:basedOn w:val="41"/>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2">
    <w:name w:val="List Table 3 - Accent 5"/>
    <w:basedOn w:val="41"/>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43">
    <w:name w:val="List Table 3 - Accent 6"/>
    <w:basedOn w:val="41"/>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4">
    <w:name w:val="List Table 4"/>
    <w:basedOn w:val="4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5">
    <w:name w:val="List Table 4 - Accent 1"/>
    <w:basedOn w:val="41"/>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6">
    <w:name w:val="List Table 4 - Accent 2"/>
    <w:basedOn w:val="41"/>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7">
    <w:name w:val="List Table 4 - Accent 3"/>
    <w:basedOn w:val="41"/>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8">
    <w:name w:val="List Table 4 - Accent 4"/>
    <w:basedOn w:val="41"/>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9">
    <w:name w:val="List Table 4 - Accent 5"/>
    <w:basedOn w:val="41"/>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50">
    <w:name w:val="List Table 4 - Accent 6"/>
    <w:basedOn w:val="41"/>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1">
    <w:name w:val="List Table 5 Dark"/>
    <w:basedOn w:val="41"/>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2">
    <w:name w:val="List Table 5 Dark - Accent 1"/>
    <w:basedOn w:val="41"/>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53">
    <w:name w:val="List Table 5 Dark - Accent 2"/>
    <w:basedOn w:val="41"/>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4">
    <w:name w:val="List Table 5 Dark - Accent 3"/>
    <w:basedOn w:val="41"/>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5">
    <w:name w:val="List Table 5 Dark - Accent 4"/>
    <w:basedOn w:val="41"/>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6">
    <w:name w:val="List Table 5 Dark - Accent 5"/>
    <w:basedOn w:val="41"/>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7">
    <w:name w:val="List Table 5 Dark - Accent 6"/>
    <w:basedOn w:val="41"/>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8">
    <w:name w:val="List Table 6 Colorful"/>
    <w:basedOn w:val="41"/>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9">
    <w:name w:val="List Table 6 Colorful - Accent 1"/>
    <w:basedOn w:val="41"/>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0">
    <w:name w:val="List Table 6 Colorful - Accent 2"/>
    <w:basedOn w:val="41"/>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1">
    <w:name w:val="List Table 6 Colorful - Accent 3"/>
    <w:basedOn w:val="41"/>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2">
    <w:name w:val="List Table 6 Colorful - Accent 4"/>
    <w:basedOn w:val="41"/>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3">
    <w:name w:val="List Table 6 Colorful - Accent 5"/>
    <w:basedOn w:val="41"/>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4">
    <w:name w:val="List Table 6 Colorful - Accent 6"/>
    <w:basedOn w:val="41"/>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5">
    <w:name w:val="List Table 7 Colorful"/>
    <w:basedOn w:val="41"/>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6">
    <w:name w:val="List Table 7 Colorful - Accent 1"/>
    <w:basedOn w:val="41"/>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7">
    <w:name w:val="List Table 7 Colorful - Accent 2"/>
    <w:basedOn w:val="41"/>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8">
    <w:name w:val="List Table 7 Colorful - Accent 3"/>
    <w:basedOn w:val="41"/>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9">
    <w:name w:val="List Table 7 Colorful - Accent 4"/>
    <w:basedOn w:val="41"/>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0">
    <w:name w:val="List Table 7 Colorful - Accent 5"/>
    <w:basedOn w:val="41"/>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1">
    <w:name w:val="List Table 7 Colorful - Accent 6"/>
    <w:basedOn w:val="41"/>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2">
    <w:name w:val="Lined - Accent"/>
    <w:basedOn w:val="41"/>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Lined - Accent 1"/>
    <w:basedOn w:val="41"/>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4">
    <w:name w:val="Lined - Accent 2"/>
    <w:basedOn w:val="41"/>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5">
    <w:name w:val="Lined - Accent 3"/>
    <w:basedOn w:val="41"/>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6">
    <w:name w:val="Lined - Accent 4"/>
    <w:basedOn w:val="41"/>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7">
    <w:name w:val="Lined - Accent 5"/>
    <w:basedOn w:val="41"/>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8">
    <w:name w:val="Lined - Accent 6"/>
    <w:basedOn w:val="41"/>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9">
    <w:name w:val="Bordered &amp; Lined - Accent"/>
    <w:basedOn w:val="41"/>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0">
    <w:name w:val="Bordered &amp; Lined - Accent 1"/>
    <w:basedOn w:val="41"/>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1">
    <w:name w:val="Bordered &amp; Lined - Accent 2"/>
    <w:basedOn w:val="41"/>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2">
    <w:name w:val="Bordered &amp; Lined - Accent 3"/>
    <w:basedOn w:val="41"/>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3">
    <w:name w:val="Bordered &amp; Lined - Accent 4"/>
    <w:basedOn w:val="41"/>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4">
    <w:name w:val="Bordered &amp; Lined - Accent 5"/>
    <w:basedOn w:val="41"/>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5">
    <w:name w:val="Bordered &amp; Lined - Accent 6"/>
    <w:basedOn w:val="41"/>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6">
    <w:name w:val="Bordered"/>
    <w:basedOn w:val="41"/>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7">
    <w:name w:val="Bordered - Accent 1"/>
    <w:basedOn w:val="41"/>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88">
    <w:name w:val="Bordered - Accent 2"/>
    <w:basedOn w:val="41"/>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89">
    <w:name w:val="Bordered - Accent 3"/>
    <w:basedOn w:val="41"/>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90">
    <w:name w:val="Bordered - Accent 4"/>
    <w:basedOn w:val="41"/>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91">
    <w:name w:val="Bordered - Accent 5"/>
    <w:basedOn w:val="41"/>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92">
    <w:name w:val="Bordered - Accent 6"/>
    <w:basedOn w:val="41"/>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3">
    <w:name w:val="Footnote Text Char"/>
    <w:link w:val="30"/>
    <w:qFormat/>
    <w:uiPriority w:val="99"/>
    <w:rPr>
      <w:sz w:val="18"/>
    </w:rPr>
  </w:style>
  <w:style w:type="character" w:customStyle="1" w:styleId="194">
    <w:name w:val="Endnote Text Char"/>
    <w:link w:val="22"/>
    <w:qFormat/>
    <w:uiPriority w:val="99"/>
    <w:rPr>
      <w:sz w:val="20"/>
    </w:rPr>
  </w:style>
  <w:style w:type="paragraph" w:customStyle="1" w:styleId="195">
    <w:name w:val="TOC Heading"/>
    <w:unhideWhenUsed/>
    <w:qFormat/>
    <w:uiPriority w:val="39"/>
    <w:rPr>
      <w:rFonts w:hint="default" w:ascii="Times New Roman" w:hAnsi="Times New Roman" w:eastAsia="宋体" w:cs="Times New Roman"/>
    </w:rPr>
  </w:style>
  <w:style w:type="paragraph" w:customStyle="1" w:styleId="196">
    <w:name w:val="列表项目符号 211"/>
    <w:basedOn w:val="1"/>
    <w:unhideWhenUsed/>
    <w:qFormat/>
    <w:uiPriority w:val="0"/>
    <w:pPr>
      <w:numPr>
        <w:ilvl w:val="0"/>
        <w:numId w:val="2"/>
      </w:numPr>
      <w:tabs>
        <w:tab w:val="left" w:pos="780"/>
      </w:tabs>
      <w:ind w:left="0" w:firstLine="0"/>
    </w:pPr>
    <w:rPr>
      <w:rFonts w:ascii="Times New Roman" w:hAnsi="Times New Roman" w:cs="Times New Roman"/>
      <w:szCs w:val="24"/>
    </w:rPr>
  </w:style>
  <w:style w:type="paragraph" w:customStyle="1" w:styleId="197">
    <w:name w:val="正文（缩进）"/>
    <w:basedOn w:val="1"/>
    <w:next w:val="198"/>
    <w:qFormat/>
    <w:uiPriority w:val="0"/>
    <w:pPr>
      <w:spacing w:before="156" w:after="156"/>
      <w:ind w:firstLine="480"/>
    </w:pPr>
  </w:style>
  <w:style w:type="paragraph" w:customStyle="1" w:styleId="198">
    <w:name w:val="Char Char Char Char Char Char Char Char Char"/>
    <w:basedOn w:val="1"/>
    <w:next w:val="199"/>
    <w:qFormat/>
    <w:uiPriority w:val="0"/>
    <w:pPr>
      <w:ind w:left="360" w:firstLine="5784"/>
    </w:pPr>
  </w:style>
  <w:style w:type="paragraph" w:customStyle="1" w:styleId="199">
    <w:name w:val="正文文本 21"/>
    <w:basedOn w:val="1"/>
    <w:next w:val="200"/>
    <w:qFormat/>
    <w:uiPriority w:val="0"/>
    <w:pPr>
      <w:spacing w:after="120" w:line="480" w:lineRule="auto"/>
    </w:pPr>
  </w:style>
  <w:style w:type="paragraph" w:customStyle="1" w:styleId="200">
    <w:name w:val="默认段落字体 Para Char Char Char Char Char Char Char"/>
    <w:basedOn w:val="1"/>
    <w:next w:val="201"/>
    <w:qFormat/>
    <w:uiPriority w:val="0"/>
    <w:pPr>
      <w:ind w:firstLine="200"/>
    </w:pPr>
    <w:rPr>
      <w:rFonts w:ascii="Times New Roman" w:hAnsi="Times New Roman" w:cs="Arial"/>
    </w:rPr>
  </w:style>
  <w:style w:type="paragraph" w:customStyle="1" w:styleId="201">
    <w:name w:val="样式 首行缩进:  2 字符"/>
    <w:basedOn w:val="1"/>
    <w:next w:val="202"/>
    <w:qFormat/>
    <w:uiPriority w:val="0"/>
    <w:pPr>
      <w:spacing w:line="360" w:lineRule="auto"/>
      <w:ind w:left="480" w:firstLine="5856"/>
    </w:pPr>
    <w:rPr>
      <w:rFonts w:ascii="Times New Roman" w:hAnsi="Times New Roman"/>
    </w:rPr>
  </w:style>
  <w:style w:type="paragraph" w:customStyle="1" w:styleId="202">
    <w:name w:val="样式 段后: 0.25 行"/>
    <w:basedOn w:val="1"/>
    <w:next w:val="203"/>
    <w:qFormat/>
    <w:uiPriority w:val="0"/>
    <w:pPr>
      <w:widowControl/>
      <w:spacing w:line="300" w:lineRule="auto"/>
      <w:ind w:left="420" w:firstLine="5796"/>
    </w:pPr>
    <w:rPr>
      <w:rFonts w:ascii="Times New Roman" w:hAnsi="Times New Roman"/>
    </w:rPr>
  </w:style>
  <w:style w:type="paragraph" w:customStyle="1" w:styleId="203">
    <w:name w:val="正文 New New New New New New New New New New New New New New"/>
    <w:next w:val="34"/>
    <w:qFormat/>
    <w:uiPriority w:val="0"/>
    <w:pPr>
      <w:widowControl w:val="0"/>
      <w:ind w:firstLine="2048"/>
      <w:jc w:val="both"/>
    </w:pPr>
    <w:rPr>
      <w:rFonts w:hint="default" w:ascii="Calibri" w:hAnsi="Calibri" w:eastAsia="宋体" w:cs="Times New Roman"/>
      <w:lang w:val="en-US" w:eastAsia="zh-CN" w:bidi="ar-SA"/>
    </w:rPr>
  </w:style>
  <w:style w:type="paragraph" w:customStyle="1" w:styleId="204">
    <w:name w:val="首行缩进"/>
    <w:basedOn w:val="1"/>
    <w:qFormat/>
    <w:uiPriority w:val="0"/>
    <w:pPr>
      <w:spacing w:line="360" w:lineRule="auto"/>
      <w:ind w:firstLine="420"/>
    </w:pPr>
  </w:style>
  <w:style w:type="paragraph" w:customStyle="1" w:styleId="205">
    <w:name w:val="Default"/>
    <w:qFormat/>
    <w:uiPriority w:val="0"/>
    <w:pPr>
      <w:widowControl w:val="0"/>
    </w:pPr>
    <w:rPr>
      <w:rFonts w:hint="default" w:ascii="微软雅黑" w:hAnsi="Times New Roman" w:eastAsia="微软雅黑" w:cs="微软雅黑"/>
      <w:color w:val="000000"/>
      <w:sz w:val="24"/>
      <w:szCs w:val="24"/>
      <w:lang w:val="en-US" w:eastAsia="zh-CN" w:bidi="ar-SA"/>
    </w:rPr>
  </w:style>
  <w:style w:type="paragraph" w:customStyle="1" w:styleId="206">
    <w:name w:val="正文1"/>
    <w:basedOn w:val="1"/>
    <w:next w:val="207"/>
    <w:qFormat/>
    <w:uiPriority w:val="0"/>
    <w:pPr>
      <w:spacing w:line="360" w:lineRule="atLeast"/>
      <w:jc w:val="left"/>
    </w:pPr>
    <w:rPr>
      <w:rFonts w:ascii="宋体" w:hAnsiTheme="minorHAnsi" w:eastAsiaTheme="minorEastAsia" w:cstheme="minorBidi"/>
      <w:sz w:val="24"/>
      <w:szCs w:val="20"/>
    </w:rPr>
  </w:style>
  <w:style w:type="paragraph" w:customStyle="1" w:styleId="207">
    <w:name w:val="正文文本1"/>
    <w:basedOn w:val="206"/>
    <w:next w:val="208"/>
    <w:qFormat/>
    <w:uiPriority w:val="0"/>
    <w:pPr>
      <w:spacing w:after="120"/>
    </w:pPr>
    <w:rPr>
      <w:lang w:eastAsia="en-US"/>
    </w:rPr>
  </w:style>
  <w:style w:type="paragraph" w:customStyle="1" w:styleId="208">
    <w:name w:val="一级条标题"/>
    <w:basedOn w:val="209"/>
    <w:next w:val="210"/>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09">
    <w:name w:val="章标题"/>
    <w:next w:val="1"/>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lang w:val="en-US" w:eastAsia="zh-CN" w:bidi="ar-SA"/>
    </w:rPr>
  </w:style>
  <w:style w:type="paragraph" w:customStyle="1" w:styleId="210">
    <w:name w:val="段"/>
    <w:basedOn w:val="206"/>
    <w:next w:val="1"/>
    <w:qFormat/>
    <w:uiPriority w:val="0"/>
    <w:pPr>
      <w:widowControl/>
      <w:ind w:firstLine="200"/>
    </w:pPr>
    <w:rPr>
      <w:sz w:val="20"/>
    </w:rPr>
  </w:style>
  <w:style w:type="paragraph" w:customStyle="1" w:styleId="211">
    <w:name w:val="普通正文"/>
    <w:basedOn w:val="1"/>
    <w:qFormat/>
    <w:uiPriority w:val="0"/>
    <w:pPr>
      <w:spacing w:before="120" w:after="120" w:line="360" w:lineRule="auto"/>
      <w:ind w:firstLine="480"/>
      <w:jc w:val="left"/>
    </w:pPr>
    <w:rPr>
      <w:rFonts w:ascii="Arial" w:hAnsi="Arial"/>
      <w:sz w:val="24"/>
      <w:szCs w:val="24"/>
    </w:rPr>
  </w:style>
  <w:style w:type="paragraph" w:customStyle="1" w:styleId="212">
    <w:name w:val="Char"/>
    <w:basedOn w:val="1"/>
    <w:qFormat/>
    <w:uiPriority w:val="0"/>
    <w:pPr>
      <w:tabs>
        <w:tab w:val="left" w:pos="360"/>
      </w:tabs>
      <w:ind w:firstLine="200"/>
    </w:pPr>
    <w:rPr>
      <w:rFonts w:ascii="Times New Roman" w:hAnsi="Times New Roman"/>
      <w:sz w:val="28"/>
      <w:szCs w:val="30"/>
    </w:rPr>
  </w:style>
  <w:style w:type="character" w:customStyle="1" w:styleId="213">
    <w:name w:val="批注框文本 字符"/>
    <w:basedOn w:val="43"/>
    <w:link w:val="23"/>
    <w:qFormat/>
    <w:uiPriority w:val="0"/>
    <w:rPr>
      <w:sz w:val="18"/>
      <w:szCs w:val="18"/>
    </w:rPr>
  </w:style>
  <w:style w:type="paragraph" w:customStyle="1" w:styleId="214">
    <w:name w:val="Table Paragraph"/>
    <w:basedOn w:val="1"/>
    <w:qFormat/>
    <w:uiPriority w:val="1"/>
    <w:rPr>
      <w:rFonts w:ascii="Noto Sans CJK JP Regular" w:hAnsi="Noto Sans CJK JP Regular" w:eastAsia="Noto Sans CJK JP Regular" w:cs="Noto Sans CJK JP Regular"/>
    </w:rPr>
  </w:style>
  <w:style w:type="paragraph" w:customStyle="1" w:styleId="215">
    <w:name w:val="正文（1）"/>
    <w:basedOn w:val="1"/>
    <w:qFormat/>
    <w:uiPriority w:val="0"/>
    <w:pPr>
      <w:numPr>
        <w:ilvl w:val="0"/>
        <w:numId w:val="3"/>
      </w:numPr>
      <w:ind w:firstLine="200"/>
    </w:pPr>
    <w:rPr>
      <w:szCs w:val="24"/>
    </w:rPr>
  </w:style>
  <w:style w:type="paragraph" w:customStyle="1" w:styleId="216">
    <w:name w:val="朱-正文"/>
    <w:basedOn w:val="1"/>
    <w:qFormat/>
    <w:uiPriority w:val="0"/>
    <w:pPr>
      <w:ind w:firstLine="200"/>
    </w:pPr>
    <w:rPr>
      <w:rFonts w:ascii="Times New Roman"/>
      <w:color w:val="000000"/>
      <w:szCs w:val="24"/>
      <w:lang w:val="en-GB"/>
    </w:rPr>
  </w:style>
  <w:style w:type="paragraph" w:customStyle="1" w:styleId="217">
    <w:name w:val="GP正文(首行缩进)"/>
    <w:basedOn w:val="1"/>
    <w:qFormat/>
    <w:uiPriority w:val="0"/>
    <w:pPr>
      <w:ind w:firstLine="480"/>
      <w:jc w:val="left"/>
    </w:pPr>
    <w:rPr>
      <w:rFonts w:ascii="Times New Roman" w:hAnsi="宋体"/>
      <w:sz w:val="24"/>
      <w:szCs w:val="24"/>
    </w:rPr>
  </w:style>
  <w:style w:type="character" w:customStyle="1" w:styleId="218">
    <w:name w:val="font71"/>
    <w:basedOn w:val="43"/>
    <w:qFormat/>
    <w:uiPriority w:val="0"/>
    <w:rPr>
      <w:rFonts w:hint="eastAsia" w:ascii="宋体" w:hAnsi="宋体" w:eastAsia="宋体" w:cs="宋体"/>
      <w:color w:val="FF0000"/>
      <w:sz w:val="21"/>
      <w:szCs w:val="21"/>
      <w:u w:val="none"/>
    </w:rPr>
  </w:style>
  <w:style w:type="character" w:customStyle="1" w:styleId="219">
    <w:name w:val="font41"/>
    <w:basedOn w:val="43"/>
    <w:qFormat/>
    <w:uiPriority w:val="0"/>
    <w:rPr>
      <w:rFonts w:hint="eastAsia" w:ascii="宋体" w:hAnsi="宋体" w:eastAsia="宋体" w:cs="宋体"/>
      <w:color w:val="000000"/>
      <w:sz w:val="21"/>
      <w:szCs w:val="21"/>
      <w:u w:val="none"/>
    </w:rPr>
  </w:style>
  <w:style w:type="paragraph" w:styleId="220">
    <w:name w:val="List Paragraph"/>
    <w:basedOn w:val="1"/>
    <w:qFormat/>
    <w:uiPriority w:val="0"/>
    <w:pPr>
      <w:ind w:firstLine="420"/>
    </w:pPr>
  </w:style>
  <w:style w:type="paragraph" w:customStyle="1" w:styleId="221">
    <w:name w:val="列出段落2"/>
    <w:basedOn w:val="1"/>
    <w:qFormat/>
    <w:uiPriority w:val="34"/>
    <w:pPr>
      <w:ind w:firstLine="420"/>
    </w:pPr>
    <w:rPr>
      <w:rFonts w:ascii="宋体"/>
      <w:color w:val="404040"/>
    </w:rPr>
  </w:style>
  <w:style w:type="character" w:customStyle="1" w:styleId="222">
    <w:name w:val="批注文字 字符"/>
    <w:basedOn w:val="43"/>
    <w:link w:val="14"/>
    <w:qFormat/>
    <w:uiPriority w:val="0"/>
    <w:rPr>
      <w:rFonts w:ascii="Calibri" w:hAnsi="Calibri"/>
      <w:sz w:val="21"/>
      <w:szCs w:val="22"/>
    </w:rPr>
  </w:style>
  <w:style w:type="character" w:customStyle="1" w:styleId="223">
    <w:name w:val="批注主题 字符"/>
    <w:basedOn w:val="222"/>
    <w:link w:val="39"/>
    <w:qFormat/>
    <w:uiPriority w:val="0"/>
    <w:rPr>
      <w:rFonts w:ascii="Calibri" w:hAnsi="Calibri"/>
      <w:b/>
      <w:bCs/>
      <w:sz w:val="21"/>
      <w:szCs w:val="22"/>
    </w:rPr>
  </w:style>
  <w:style w:type="paragraph" w:customStyle="1" w:styleId="224">
    <w:name w:val="列表段落1"/>
    <w:basedOn w:val="1"/>
    <w:qFormat/>
    <w:uiPriority w:val="0"/>
    <w:pPr>
      <w:ind w:firstLine="200"/>
    </w:pPr>
    <w:rPr>
      <w:rFonts w:cs="宋体"/>
    </w:rPr>
  </w:style>
  <w:style w:type="character" w:customStyle="1" w:styleId="225">
    <w:name w:val="font51"/>
    <w:basedOn w:val="43"/>
    <w:qFormat/>
    <w:uiPriority w:val="0"/>
    <w:rPr>
      <w:rFonts w:hint="eastAsia" w:ascii="宋体" w:hAnsi="宋体" w:eastAsia="宋体" w:cs="宋体"/>
      <w:color w:val="000000"/>
      <w:sz w:val="24"/>
      <w:szCs w:val="24"/>
      <w:u w:val="none"/>
      <w:vertAlign w:val="subscript"/>
    </w:rPr>
  </w:style>
  <w:style w:type="character" w:customStyle="1" w:styleId="226">
    <w:name w:val="font61"/>
    <w:basedOn w:val="43"/>
    <w:qFormat/>
    <w:uiPriority w:val="0"/>
    <w:rPr>
      <w:rFonts w:hint="eastAsia" w:ascii="宋体" w:hAnsi="宋体" w:eastAsia="宋体" w:cs="宋体"/>
      <w:color w:val="000000"/>
      <w:sz w:val="24"/>
      <w:szCs w:val="24"/>
      <w:u w:val="none"/>
    </w:rPr>
  </w:style>
  <w:style w:type="character" w:customStyle="1" w:styleId="227">
    <w:name w:val="font01"/>
    <w:basedOn w:val="43"/>
    <w:qFormat/>
    <w:uiPriority w:val="0"/>
    <w:rPr>
      <w:rFonts w:hint="eastAsia" w:ascii="宋体" w:hAnsi="宋体" w:eastAsia="宋体" w:cs="宋体"/>
      <w:color w:val="000000"/>
      <w:sz w:val="24"/>
      <w:szCs w:val="24"/>
      <w:u w:val="none"/>
    </w:rPr>
  </w:style>
  <w:style w:type="character" w:customStyle="1" w:styleId="228">
    <w:name w:val="font81"/>
    <w:basedOn w:val="43"/>
    <w:qFormat/>
    <w:uiPriority w:val="0"/>
    <w:rPr>
      <w:rFonts w:ascii="微软雅黑" w:hAnsi="微软雅黑" w:eastAsia="微软雅黑" w:cs="微软雅黑"/>
      <w:color w:val="000000"/>
      <w:sz w:val="24"/>
      <w:szCs w:val="24"/>
      <w:u w:val="none"/>
    </w:rPr>
  </w:style>
  <w:style w:type="character" w:customStyle="1" w:styleId="229">
    <w:name w:val="font91"/>
    <w:basedOn w:val="43"/>
    <w:qFormat/>
    <w:uiPriority w:val="0"/>
    <w:rPr>
      <w:rFonts w:ascii="Segoe UI Symbol" w:hAnsi="Segoe UI Symbol" w:eastAsia="Segoe UI Symbol" w:cs="Segoe UI Symbol"/>
      <w:color w:val="000000"/>
      <w:sz w:val="24"/>
      <w:szCs w:val="24"/>
      <w:u w:val="none"/>
    </w:rPr>
  </w:style>
  <w:style w:type="character" w:customStyle="1" w:styleId="230">
    <w:name w:val="font101"/>
    <w:basedOn w:val="43"/>
    <w:qFormat/>
    <w:uiPriority w:val="0"/>
    <w:rPr>
      <w:rFonts w:ascii="Calibri" w:hAnsi="Calibri" w:cs="Calibri"/>
      <w:color w:val="000000"/>
      <w:sz w:val="24"/>
      <w:szCs w:val="24"/>
      <w:u w:val="none"/>
    </w:rPr>
  </w:style>
  <w:style w:type="paragraph" w:customStyle="1" w:styleId="231">
    <w:name w:val="TableItem"/>
    <w:qFormat/>
    <w:uiPriority w:val="0"/>
    <w:rPr>
      <w:rFonts w:hint="default" w:ascii="Verdana" w:hAnsi="Verdana" w:cs="Verdana" w:eastAsiaTheme="minorEastAsia"/>
      <w:b/>
      <w:bCs/>
      <w:color w:val="548235" w:themeColor="accent6" w:themeShade="BF"/>
      <w:spacing w:val="-10"/>
      <w:sz w:val="16"/>
      <w:szCs w:val="28"/>
      <w:lang w:val="en-US" w:eastAsia="zh-CN" w:bidi="ar-SA"/>
    </w:rPr>
  </w:style>
  <w:style w:type="paragraph" w:customStyle="1" w:styleId="232">
    <w:name w:val="TableEmphasis"/>
    <w:basedOn w:val="1"/>
    <w:qFormat/>
    <w:uiPriority w:val="0"/>
    <w:rPr>
      <w:rFonts w:ascii="Times New Roman" w:hAnsi="Times New Roman" w:eastAsia="Times New Roman"/>
      <w:b/>
      <w:bCs/>
      <w:color w:val="3333FF"/>
      <w:sz w:val="16"/>
      <w:szCs w:val="18"/>
    </w:rPr>
  </w:style>
  <w:style w:type="paragraph" w:customStyle="1" w:styleId="233">
    <w:name w:val="修订1"/>
    <w:hidden/>
    <w:unhideWhenUsed/>
    <w:qFormat/>
    <w:uiPriority w:val="99"/>
    <w:rPr>
      <w:rFonts w:hint="default" w:ascii="Calibri" w:hAnsi="Calibri" w:eastAsia="宋体" w:cs="Times New Roman"/>
      <w:sz w:val="21"/>
      <w:szCs w:val="22"/>
      <w:lang w:val="en-US" w:eastAsia="zh-CN" w:bidi="ar-SA"/>
    </w:rPr>
  </w:style>
  <w:style w:type="paragraph" w:customStyle="1" w:styleId="234">
    <w:name w:val="修订2"/>
    <w:hidden/>
    <w:semiHidden/>
    <w:qFormat/>
    <w:uiPriority w:val="99"/>
    <w:rPr>
      <w:rFonts w:hint="default" w:ascii="Calibri" w:hAnsi="Calibri" w:eastAsia="宋体" w:cs="Times New Roman"/>
      <w:sz w:val="21"/>
      <w:szCs w:val="22"/>
      <w:lang w:val="en-US" w:eastAsia="zh-CN" w:bidi="ar-SA"/>
    </w:rPr>
  </w:style>
  <w:style w:type="character" w:customStyle="1" w:styleId="235">
    <w:name w:val="font11"/>
    <w:basedOn w:val="43"/>
    <w:qFormat/>
    <w:uiPriority w:val="0"/>
    <w:rPr>
      <w:rFonts w:hint="eastAsia" w:ascii="宋体" w:hAnsi="宋体" w:eastAsia="宋体" w:cs="宋体"/>
      <w:color w:val="000000"/>
      <w:sz w:val="24"/>
      <w:szCs w:val="24"/>
      <w:u w:val="none"/>
    </w:rPr>
  </w:style>
  <w:style w:type="character" w:customStyle="1" w:styleId="236">
    <w:name w:val="font21"/>
    <w:basedOn w:val="43"/>
    <w:qFormat/>
    <w:uiPriority w:val="0"/>
    <w:rPr>
      <w:rFonts w:ascii="Segoe UI Symbol" w:hAnsi="Segoe UI Symbol" w:eastAsia="Segoe UI Symbol" w:cs="Segoe UI Symbol"/>
      <w:color w:val="000000"/>
      <w:sz w:val="24"/>
      <w:szCs w:val="24"/>
      <w:u w:val="none"/>
    </w:rPr>
  </w:style>
  <w:style w:type="character" w:customStyle="1" w:styleId="237">
    <w:name w:val="NormalCharacter"/>
    <w:semiHidden/>
    <w:qFormat/>
    <w:uiPriority w:val="0"/>
  </w:style>
  <w:style w:type="paragraph" w:customStyle="1" w:styleId="238">
    <w:name w:val="日期1"/>
    <w:basedOn w:val="1"/>
    <w:next w:val="1"/>
    <w:qFormat/>
    <w:uiPriority w:val="0"/>
    <w:pPr>
      <w:ind w:left="100"/>
    </w:pPr>
    <w:rPr>
      <w:rFonts w:ascii="Times New Roman" w:hAnsi="Times New Roman" w:eastAsia="楷体_GB2312"/>
      <w:b/>
      <w:bCs/>
      <w:sz w:val="32"/>
    </w:rPr>
  </w:style>
  <w:style w:type="paragraph" w:customStyle="1" w:styleId="239">
    <w:name w:val="正文文本缩进1"/>
    <w:basedOn w:val="1"/>
    <w:next w:val="1"/>
    <w:qFormat/>
    <w:uiPriority w:val="0"/>
    <w:pPr>
      <w:spacing w:after="120"/>
      <w:ind w:left="420"/>
    </w:pPr>
    <w:rPr>
      <w:rFonts w:ascii="Times New Roman" w:hAnsi="Times New Roman"/>
      <w:sz w:val="20"/>
      <w:szCs w:val="24"/>
    </w:rPr>
  </w:style>
  <w:style w:type="paragraph" w:customStyle="1" w:styleId="240">
    <w:name w:val="BodyText"/>
    <w:basedOn w:val="1"/>
    <w:qFormat/>
    <w:uiPriority w:val="0"/>
    <w:rPr>
      <w:rFonts w:ascii="楷体_GB2312" w:hAnsi="Arial" w:eastAsia="楷体_GB2312"/>
      <w:sz w:val="28"/>
      <w:szCs w:val="28"/>
    </w:rPr>
  </w:style>
  <w:style w:type="paragraph" w:customStyle="1" w:styleId="241">
    <w:name w:val="UserStyle_0"/>
    <w:basedOn w:val="1"/>
    <w:qFormat/>
    <w:uiPriority w:val="0"/>
    <w:pPr>
      <w:numPr>
        <w:ilvl w:val="0"/>
        <w:numId w:val="4"/>
      </w:numPr>
    </w:pPr>
  </w:style>
  <w:style w:type="character" w:customStyle="1" w:styleId="242">
    <w:name w:val="htd0"/>
    <w:qFormat/>
    <w:uiPriority w:val="0"/>
  </w:style>
  <w:style w:type="paragraph" w:customStyle="1" w:styleId="243">
    <w:name w:val="Normal_18"/>
    <w:qFormat/>
    <w:uiPriority w:val="0"/>
    <w:pPr>
      <w:spacing w:before="120" w:after="240"/>
      <w:jc w:val="both"/>
    </w:pPr>
    <w:rPr>
      <w:rFonts w:hint="default" w:ascii="Times New Roman" w:hAnsi="Times New Roman" w:eastAsia="Calibri" w:cs="Times New Roman"/>
      <w:sz w:val="22"/>
      <w:szCs w:val="22"/>
      <w:lang w:val="en-US" w:eastAsia="en-US" w:bidi="ar-SA"/>
    </w:rPr>
  </w:style>
  <w:style w:type="paragraph" w:customStyle="1" w:styleId="244">
    <w:name w:val="样式11"/>
    <w:basedOn w:val="2"/>
    <w:qFormat/>
    <w:uiPriority w:val="0"/>
    <w:pPr>
      <w:numPr>
        <w:ilvl w:val="0"/>
        <w:numId w:val="5"/>
      </w:numPr>
      <w:spacing w:before="0" w:after="0"/>
      <w:jc w:val="left"/>
    </w:pPr>
    <w:rPr>
      <w:rFonts w:ascii="黑体" w:hAnsi="黑体" w:eastAsia="黑体"/>
      <w:sz w:val="28"/>
      <w:szCs w:val="28"/>
      <w:lang w:val="zh-CN"/>
    </w:rPr>
  </w:style>
  <w:style w:type="paragraph" w:customStyle="1" w:styleId="245">
    <w:name w:val="样式12"/>
    <w:basedOn w:val="244"/>
    <w:qFormat/>
    <w:uiPriority w:val="0"/>
    <w:pPr>
      <w:numPr>
        <w:ilvl w:val="1"/>
      </w:numPr>
      <w:tabs>
        <w:tab w:val="left" w:pos="567"/>
      </w:tabs>
      <w:outlineLvl w:val="1"/>
    </w:pPr>
  </w:style>
  <w:style w:type="paragraph" w:customStyle="1" w:styleId="246">
    <w:name w:val="表11"/>
    <w:basedOn w:val="1"/>
    <w:qFormat/>
    <w:uiPriority w:val="0"/>
    <w:pPr>
      <w:tabs>
        <w:tab w:val="left" w:pos="4020"/>
      </w:tabs>
      <w:jc w:val="center"/>
    </w:pPr>
    <w:rPr>
      <w:rFonts w:ascii="黑体" w:hAnsi="黑体"/>
      <w:szCs w:val="24"/>
      <w:lang w:val="zh-CN"/>
    </w:rPr>
  </w:style>
  <w:style w:type="paragraph" w:customStyle="1" w:styleId="247">
    <w:name w:val="样式13"/>
    <w:basedOn w:val="245"/>
    <w:qFormat/>
    <w:uiPriority w:val="0"/>
    <w:pPr>
      <w:numPr>
        <w:ilvl w:val="2"/>
      </w:numPr>
      <w:ind w:left="510" w:hanging="170"/>
      <w:outlineLvl w:val="2"/>
    </w:pPr>
    <w:rPr>
      <w:sz w:val="24"/>
    </w:rPr>
  </w:style>
  <w:style w:type="paragraph" w:styleId="248">
    <w:name w:val="No Spacing"/>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249">
    <w:name w:val="其他"/>
    <w:basedOn w:val="1"/>
    <w:qFormat/>
    <w:uiPriority w:val="0"/>
    <w:pPr>
      <w:shd w:val="clear" w:color="auto" w:fill="FFFFFF"/>
      <w:spacing w:line="266" w:lineRule="exact"/>
    </w:pPr>
    <w:rPr>
      <w:rFonts w:ascii="MingLiU" w:hAnsi="MingLiU" w:eastAsia="MingLiU" w:cs="MingLiU"/>
      <w:sz w:val="20"/>
      <w:szCs w:val="20"/>
      <w:lang w:val="zh-CN" w:bidi="zh-CN"/>
    </w:rPr>
  </w:style>
  <w:style w:type="paragraph" w:customStyle="1" w:styleId="250">
    <w:name w:val="Body text|1"/>
    <w:basedOn w:val="1"/>
    <w:qFormat/>
    <w:uiPriority w:val="0"/>
    <w:pPr>
      <w:spacing w:after="220"/>
    </w:pPr>
    <w:rPr>
      <w:rFonts w:cs="宋体"/>
      <w:sz w:val="22"/>
      <w:lang w:val="zh-TW" w:eastAsia="zh-TW" w:bidi="zh-TW"/>
    </w:rPr>
  </w:style>
  <w:style w:type="paragraph" w:customStyle="1" w:styleId="251">
    <w:name w:val="Other|1"/>
    <w:basedOn w:val="1"/>
    <w:qFormat/>
    <w:uiPriority w:val="0"/>
    <w:pPr>
      <w:jc w:val="center"/>
    </w:pPr>
    <w:rPr>
      <w:rFonts w:cs="宋体"/>
      <w:sz w:val="20"/>
      <w:szCs w:val="20"/>
      <w:lang w:val="zh-TW" w:eastAsia="zh-TW" w:bidi="zh-TW"/>
    </w:rPr>
  </w:style>
  <w:style w:type="paragraph" w:customStyle="1" w:styleId="252">
    <w:name w:val="Table Text"/>
    <w:basedOn w:val="1"/>
    <w:semiHidden/>
    <w:qFormat/>
    <w:uiPriority w:val="0"/>
    <w:rPr>
      <w:rFonts w:ascii="宋体" w:hAnsi="宋体" w:cs="宋体"/>
      <w:sz w:val="24"/>
      <w:szCs w:val="24"/>
      <w:lang w:eastAsia="en-US"/>
    </w:rPr>
  </w:style>
  <w:style w:type="paragraph" w:customStyle="1" w:styleId="253">
    <w:name w:val="表内文字居左"/>
    <w:qFormat/>
    <w:uiPriority w:val="0"/>
    <w:pPr>
      <w:widowControl w:val="0"/>
      <w:jc w:val="both"/>
    </w:pPr>
    <w:rPr>
      <w:rFonts w:hint="default" w:ascii="Times New Roman" w:hAnsi="Times New Roman" w:eastAsia="宋体" w:cs="Times New Roman"/>
      <w:sz w:val="24"/>
      <w:szCs w:val="24"/>
      <w:lang w:val="en-US" w:eastAsia="zh-CN" w:bidi="ar-SA"/>
    </w:rPr>
  </w:style>
  <w:style w:type="paragraph" w:customStyle="1" w:styleId="254">
    <w:name w:val="纯文本1"/>
    <w:basedOn w:val="1"/>
    <w:qFormat/>
    <w:uiPriority w:val="99"/>
    <w:rPr>
      <w:rFonts w:ascii="宋体" w:hAnsi="Courier New"/>
      <w:sz w:val="20"/>
      <w:szCs w:val="21"/>
    </w:rPr>
  </w:style>
  <w:style w:type="paragraph" w:customStyle="1" w:styleId="255">
    <w:name w:val="2"/>
    <w:next w:val="1"/>
    <w:qFormat/>
    <w:uiPriority w:val="0"/>
    <w:pPr>
      <w:widowControl w:val="0"/>
      <w:jc w:val="both"/>
    </w:pPr>
    <w:rPr>
      <w:rFonts w:hint="default" w:ascii="Times New Roman" w:hAnsi="Times New Roman" w:eastAsia="宋体" w:cs="Times New Roman"/>
      <w:color w:val="FF0000"/>
      <w:sz w:val="21"/>
      <w:szCs w:val="24"/>
      <w:lang w:val="en-US" w:eastAsia="zh-CN" w:bidi="ar-SA"/>
    </w:rPr>
  </w:style>
  <w:style w:type="paragraph" w:customStyle="1" w:styleId="256">
    <w:name w:val="纯文本11"/>
    <w:basedOn w:val="1"/>
    <w:qFormat/>
    <w:uiPriority w:val="0"/>
    <w:rPr>
      <w:rFonts w:hint="eastAsia" w:ascii="宋体" w:hAnsi="Courier New"/>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AE9FA21-C106-4CB5-BE3B-0237D6F2D952}">
  <ds:schemaRefs/>
</ds:datastoreItem>
</file>

<file path=docProps/app.xml><?xml version="1.0" encoding="utf-8"?>
<Properties xmlns="http://schemas.openxmlformats.org/officeDocument/2006/extended-properties" xmlns:vt="http://schemas.openxmlformats.org/officeDocument/2006/docPropsVTypes">
  <Template>Normal.dotm</Template>
  <Company>HP</Company>
  <Pages>50</Pages>
  <Words>22792</Words>
  <Characters>24421</Characters>
  <TotalTime>37</TotalTime>
  <ScaleCrop>false</ScaleCrop>
  <LinksUpToDate>false</LinksUpToDate>
  <CharactersWithSpaces>24557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2023-11-29T03:36:00Z</dcterms:created>
  <dc:creator>Administrator</dc:creator>
  <cp:lastModifiedBy>Lemon  tea</cp:lastModifiedBy>
  <cp:lastPrinted>2026-07-08T01:14:00Z</cp:lastPrinted>
  <dcterms:modified xsi:type="dcterms:W3CDTF">2026-07-13T06:02:30Z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E436673FFC7A41869D6F514343916545_13</vt:lpwstr>
  </property>
  <property fmtid="{D5CDD505-2E9C-101B-9397-08002B2CF9AE}" pid="4" name="KSOTemplateDocerSaveRecord">
    <vt:lpwstr>eyJoZGlkIjoiNDAwM2JmOTg4MjQ2NTUwMzI3MDRiZWYwYWVlYWFhZmMiLCJ1c2VySWQiOiI5MjcxMDkxMzIifQ==</vt:lpwstr>
  </property>
</Properties>
</file>