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pStyle w:val="901"/>
        <w:ind w:firstLine="0"/>
        <w:jc w:val="center"/>
        <w:rPr>
          <w:rFonts w:eastAsia="黑体"/>
          <w:b/>
          <w:bCs/>
          <w:color w:val="auto"/>
          <w:sz w:val="84"/>
          <w:highlight w:val="none"/>
        </w:rPr>
      </w:pPr>
      <w:r>
        <w:rPr>
          <w:rFonts w:hint="eastAsia" w:eastAsia="黑体"/>
          <w:b/>
          <w:bCs/>
          <w:color w:val="auto"/>
          <w:sz w:val="84"/>
          <w:highlight w:val="none"/>
        </w:rPr>
        <w:t xml:space="preserve">竞争性磋商文件</w:t>
      </w:r>
      <w:r/>
    </w:p>
    <w:p>
      <w:pPr>
        <w:ind w:firstLine="1606"/>
        <w:rPr>
          <w:rFonts w:ascii="Arial" w:hAnsi="Arial"/>
          <w:b/>
          <w:bCs/>
          <w:color w:val="auto"/>
          <w:sz w:val="32"/>
          <w:szCs w:val="24"/>
          <w:highlight w:val="none"/>
          <w:u w:val="single"/>
        </w:rPr>
      </w:pPr>
      <w:r>
        <w:rPr>
          <w:rFonts w:hint="eastAsia" w:ascii="Arial" w:hAnsi="Arial"/>
          <w:b/>
          <w:bCs/>
          <w:color w:val="auto"/>
          <w:sz w:val="32"/>
          <w:szCs w:val="24"/>
          <w:highlight w:val="none"/>
        </w:rPr>
        <w:t xml:space="preserve">项目名称：</w:t>
      </w:r>
      <w:r>
        <w:rPr>
          <w:rFonts w:hint="eastAsia"/>
          <w:b/>
          <w:color w:val="auto"/>
          <w:sz w:val="32"/>
          <w:szCs w:val="32"/>
          <w:highlight w:val="none"/>
          <w:lang w:eastAsia="zh-CN"/>
        </w:rPr>
        <w:t xml:space="preserve">南京市雨花台区微型空气质量站服务项目</w:t>
      </w:r>
      <w:r>
        <w:rPr>
          <w:rFonts w:hint="eastAsia"/>
          <w:b/>
          <w:color w:val="auto"/>
          <w:sz w:val="32"/>
          <w:szCs w:val="32"/>
          <w:highlight w:val="none"/>
        </w:rPr>
        <w:t xml:space="preserve"> </w:t>
      </w:r>
      <w:r/>
    </w:p>
    <w:p>
      <w:pPr>
        <w:ind w:firstLine="1606"/>
        <w:jc w:val="left"/>
        <w:spacing w:before="120" w:after="120" w:line="360" w:lineRule="auto"/>
        <w:rPr>
          <w:color w:val="auto"/>
          <w:highlight w:val="none"/>
        </w:rPr>
      </w:pPr>
      <w:r>
        <w:rPr>
          <w:rFonts w:hint="eastAsia" w:ascii="Arial" w:hAnsi="Arial"/>
          <w:b/>
          <w:bCs/>
          <w:color w:val="auto"/>
          <w:sz w:val="32"/>
          <w:szCs w:val="24"/>
          <w:highlight w:val="none"/>
        </w:rPr>
        <w:t xml:space="preserve">项目编号：JSZC-320114-NJPR-C2026-0002</w:t>
      </w:r>
      <w:r/>
    </w:p>
    <w:p>
      <w:pPr>
        <w:jc w:val="center"/>
        <w:rPr>
          <w:b/>
          <w:color w:val="auto"/>
          <w:sz w:val="30"/>
          <w:szCs w:val="30"/>
          <w:highlight w:val="none"/>
        </w:rPr>
      </w:pP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center"/>
        <w:spacing w:line="48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901"/>
        <w:ind w:firstLine="0"/>
        <w:jc w:val="center"/>
        <w:rPr>
          <w:rFonts w:hint="eastAsia" w:eastAsia="宋体"/>
          <w:b/>
          <w:bCs/>
          <w:color w:val="auto"/>
          <w:sz w:val="32"/>
          <w:highlight w:val="none"/>
          <w:lang w:eastAsia="zh-CN"/>
        </w:rPr>
      </w:pPr>
      <w:r>
        <w:rPr>
          <w:rFonts w:hint="eastAsia"/>
          <w:b/>
          <w:bCs/>
          <w:color w:val="auto"/>
          <w:sz w:val="32"/>
          <w:highlight w:val="none"/>
          <w:lang w:eastAsia="zh-CN"/>
        </w:rPr>
        <w:t xml:space="preserve">南京浦瑞招投标咨询服务有限公司</w:t>
      </w:r>
      <w:r/>
    </w:p>
    <w:p>
      <w:pPr>
        <w:jc w:val="center"/>
        <w:rPr>
          <w:b/>
          <w:color w:val="auto"/>
          <w:sz w:val="32"/>
          <w:szCs w:val="32"/>
          <w:highlight w:val="none"/>
        </w:rPr>
      </w:pPr>
      <w:r>
        <w:rPr>
          <w:rFonts w:hint="eastAsia"/>
          <w:b/>
          <w:color w:val="auto"/>
          <w:sz w:val="32"/>
          <w:szCs w:val="32"/>
          <w:highlight w:val="none"/>
        </w:rPr>
        <w:t xml:space="preserve">2026年</w:t>
      </w:r>
      <w:r>
        <w:rPr>
          <w:rFonts w:hint="eastAsia"/>
          <w:b/>
          <w:color w:val="auto"/>
          <w:sz w:val="32"/>
          <w:szCs w:val="32"/>
          <w:highlight w:val="none"/>
          <w:lang w:val="en-US" w:eastAsia="zh-CN"/>
        </w:rPr>
        <w:t xml:space="preserve">8</w:t>
      </w:r>
      <w:r>
        <w:rPr>
          <w:rFonts w:hint="eastAsia"/>
          <w:b/>
          <w:color w:val="auto"/>
          <w:sz w:val="32"/>
          <w:szCs w:val="32"/>
          <w:highlight w:val="none"/>
        </w:rPr>
        <w:t xml:space="preserve">月</w:t>
      </w:r>
      <w:r/>
    </w:p>
    <w:p>
      <w:pPr>
        <w:jc w:val="left"/>
        <w:spacing w:before="120" w:after="120" w:line="360" w:lineRule="auto"/>
        <w:rPr>
          <w:rFonts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ascii="Arial" w:hAnsi="Arial"/>
          <w:color w:val="auto"/>
          <w:sz w:val="24"/>
          <w:szCs w:val="24"/>
          <w:highlight w:val="none"/>
        </w:rPr>
      </w:pPr>
      <w:r>
        <w:rPr>
          <w:rFonts w:ascii="Arial" w:hAnsi="Arial"/>
          <w:color w:val="auto"/>
          <w:sz w:val="24"/>
          <w:szCs w:val="24"/>
          <w:highlight w:val="none"/>
        </w:rPr>
      </w:r>
      <w:r/>
    </w:p>
    <w:p>
      <w:pPr>
        <w:spacing w:line="48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480" w:lineRule="auto"/>
        <w:rPr>
          <w:rFonts w:hint="eastAsia" w:ascii="黑体" w:hAnsi="Arial" w:eastAsia="黑体"/>
          <w:b/>
          <w:color w:val="auto"/>
          <w:sz w:val="44"/>
          <w:szCs w:val="21"/>
          <w:highlight w:val="none"/>
        </w:rPr>
        <w:outlineLvl w:val="0"/>
      </w:pPr>
      <w:r>
        <w:rPr>
          <w:rFonts w:hint="eastAsia" w:ascii="黑体" w:hAnsi="Arial" w:eastAsia="黑体"/>
          <w:b/>
          <w:color w:val="auto"/>
          <w:sz w:val="44"/>
          <w:szCs w:val="21"/>
          <w:highlight w:val="none"/>
        </w:rPr>
      </w:r>
      <w:r/>
    </w:p>
    <w:p>
      <w:pPr>
        <w:jc w:val="center"/>
        <w:spacing w:line="480" w:lineRule="auto"/>
        <w:rPr>
          <w:rFonts w:hint="eastAsia" w:ascii="黑体" w:hAnsi="Arial" w:eastAsia="黑体"/>
          <w:b/>
          <w:color w:val="auto"/>
          <w:sz w:val="44"/>
          <w:szCs w:val="21"/>
          <w:highlight w:val="none"/>
        </w:rPr>
        <w:outlineLvl w:val="0"/>
      </w:pPr>
      <w:r>
        <w:rPr>
          <w:rFonts w:hint="eastAsia" w:ascii="黑体" w:hAnsi="Arial" w:eastAsia="黑体"/>
          <w:b/>
          <w:color w:val="auto"/>
          <w:sz w:val="44"/>
          <w:szCs w:val="21"/>
          <w:highlight w:val="none"/>
        </w:rPr>
      </w:r>
      <w:r/>
    </w:p>
    <w:p>
      <w:pPr>
        <w:jc w:val="center"/>
        <w:spacing w:line="480" w:lineRule="auto"/>
        <w:rPr>
          <w:rFonts w:ascii="黑体" w:hAnsi="Arial" w:eastAsia="黑体"/>
          <w:b/>
          <w:color w:val="auto"/>
          <w:sz w:val="44"/>
          <w:szCs w:val="21"/>
          <w:highlight w:val="none"/>
        </w:rPr>
        <w:outlineLvl w:val="0"/>
      </w:pPr>
      <w:r>
        <w:rPr>
          <w:rFonts w:hint="eastAsia" w:ascii="黑体" w:hAnsi="Arial" w:eastAsia="黑体"/>
          <w:b/>
          <w:color w:val="auto"/>
          <w:sz w:val="44"/>
          <w:szCs w:val="21"/>
          <w:highlight w:val="none"/>
        </w:rPr>
        <w:t xml:space="preserve">总  目  录</w:t>
      </w:r>
      <w:r/>
    </w:p>
    <w:p>
      <w:pPr>
        <w:spacing w:line="480" w:lineRule="auto"/>
        <w:rPr>
          <w:rFonts w:ascii="仿宋_GB2312" w:hAnsi="Arial" w:eastAsia="仿宋_GB2312"/>
          <w:b/>
          <w:color w:val="auto"/>
          <w:sz w:val="28"/>
          <w:szCs w:val="21"/>
          <w:highlight w:val="none"/>
        </w:rPr>
      </w:pPr>
      <w:r/>
      <w:bookmarkStart w:id="0" w:name="_Toc120614210"/>
      <w:r/>
      <w:bookmarkStart w:id="1" w:name="_Toc20823272"/>
      <w:r/>
      <w:bookmarkStart w:id="2" w:name="_Toc16938516"/>
      <w:r/>
      <w:bookmarkStart w:id="3" w:name="_Toc479757206"/>
      <w:r/>
      <w:bookmarkStart w:id="4" w:name="_Toc523127445"/>
      <w:r/>
      <w:bookmarkStart w:id="5" w:name="_Toc513029200"/>
      <w:r/>
      <w:r/>
    </w:p>
    <w:p>
      <w:pPr>
        <w:numPr>
          <w:ilvl w:val="0"/>
          <w:numId w:val="4"/>
        </w:numPr>
        <w:jc w:val="center"/>
        <w:spacing w:line="960" w:lineRule="auto"/>
        <w:rPr>
          <w:rFonts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磋商邀请…………………………………… </w:t>
      </w:r>
      <w:r>
        <w:rPr>
          <w:rFonts w:hint="eastAsia" w:ascii="黑体" w:hAnsi="宋体" w:eastAsia="黑体"/>
          <w:color w:val="auto"/>
          <w:sz w:val="36"/>
          <w:szCs w:val="21"/>
          <w:highlight w:val="none"/>
          <w:lang w:val="en-US" w:eastAsia="zh-CN"/>
        </w:rPr>
        <w:t xml:space="preserve">2</w:t>
      </w:r>
      <w:r/>
    </w:p>
    <w:p>
      <w:pPr>
        <w:numPr>
          <w:ilvl w:val="0"/>
          <w:numId w:val="4"/>
        </w:numPr>
        <w:jc w:val="center"/>
        <w:spacing w:line="960" w:lineRule="auto"/>
        <w:rPr>
          <w:rFonts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供应商须知………………………………… </w:t>
      </w:r>
      <w:r>
        <w:rPr>
          <w:rFonts w:hint="eastAsia" w:ascii="黑体" w:hAnsi="宋体" w:eastAsia="黑体"/>
          <w:color w:val="auto"/>
          <w:sz w:val="36"/>
          <w:szCs w:val="21"/>
          <w:highlight w:val="none"/>
          <w:lang w:val="en-US" w:eastAsia="zh-CN"/>
        </w:rPr>
        <w:t xml:space="preserve">4</w:t>
      </w:r>
      <w:r/>
    </w:p>
    <w:p>
      <w:pPr>
        <w:numPr>
          <w:ilvl w:val="0"/>
          <w:numId w:val="4"/>
        </w:numPr>
        <w:jc w:val="center"/>
        <w:spacing w:line="960" w:lineRule="auto"/>
        <w:rPr>
          <w:rFonts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合同文本……………………………………</w:t>
      </w:r>
      <w:r>
        <w:rPr>
          <w:rFonts w:hint="eastAsia" w:ascii="黑体" w:hAnsi="宋体" w:eastAsia="黑体"/>
          <w:color w:val="auto"/>
          <w:sz w:val="36"/>
          <w:szCs w:val="21"/>
          <w:highlight w:val="none"/>
          <w:lang w:val="en-US" w:eastAsia="zh-CN"/>
        </w:rPr>
        <w:t xml:space="preserve">14</w:t>
      </w:r>
      <w:r/>
    </w:p>
    <w:p>
      <w:pPr>
        <w:numPr>
          <w:ilvl w:val="0"/>
          <w:numId w:val="4"/>
        </w:numPr>
        <w:jc w:val="center"/>
        <w:spacing w:line="960" w:lineRule="auto"/>
        <w:rPr>
          <w:rFonts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采购需求……………………………………</w:t>
      </w:r>
      <w:r>
        <w:rPr>
          <w:rFonts w:hint="eastAsia" w:ascii="黑体" w:hAnsi="宋体" w:eastAsia="黑体"/>
          <w:color w:val="auto"/>
          <w:sz w:val="36"/>
          <w:szCs w:val="21"/>
          <w:highlight w:val="none"/>
          <w:lang w:val="en-US" w:eastAsia="zh-CN"/>
        </w:rPr>
        <w:t xml:space="preserve">17</w:t>
      </w:r>
      <w:r/>
    </w:p>
    <w:p>
      <w:pPr>
        <w:numPr>
          <w:ilvl w:val="0"/>
          <w:numId w:val="4"/>
        </w:numPr>
        <w:jc w:val="center"/>
        <w:spacing w:line="960" w:lineRule="auto"/>
        <w:rPr>
          <w:rFonts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评审方法与评审标准………………………</w:t>
      </w:r>
      <w:r>
        <w:rPr>
          <w:rFonts w:hint="eastAsia" w:ascii="黑体" w:hAnsi="宋体" w:eastAsia="黑体"/>
          <w:color w:val="auto"/>
          <w:sz w:val="36"/>
          <w:szCs w:val="21"/>
          <w:highlight w:val="none"/>
          <w:lang w:val="en-US" w:eastAsia="zh-CN"/>
        </w:rPr>
        <w:t xml:space="preserve">23</w:t>
      </w:r>
      <w:r/>
    </w:p>
    <w:p>
      <w:pPr>
        <w:numPr>
          <w:ilvl w:val="0"/>
          <w:numId w:val="4"/>
        </w:numPr>
        <w:jc w:val="center"/>
        <w:spacing w:line="960" w:lineRule="auto"/>
        <w:rPr>
          <w:rFonts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响应文件格式………………………………</w:t>
      </w:r>
      <w:r>
        <w:rPr>
          <w:rFonts w:hint="eastAsia" w:ascii="黑体" w:hAnsi="宋体" w:eastAsia="黑体"/>
          <w:color w:val="auto"/>
          <w:sz w:val="36"/>
          <w:szCs w:val="21"/>
          <w:highlight w:val="none"/>
          <w:lang w:val="en-US" w:eastAsia="zh-CN"/>
        </w:rPr>
        <w:t xml:space="preserve">26</w:t>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ind w:right="840"/>
        <w:jc w:val="center"/>
        <w:rPr>
          <w:rFonts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第一章  磋商邀请</w:t>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南京市雨花台生态环境局</w:t>
      </w:r>
      <w:r>
        <w:rPr>
          <w:rFonts w:hint="eastAsia" w:ascii="宋体" w:hAnsi="宋体"/>
          <w:color w:val="auto"/>
          <w:sz w:val="24"/>
          <w:szCs w:val="24"/>
          <w:highlight w:val="none"/>
        </w:rPr>
        <w:t xml:space="preserve">委托，</w:t>
      </w:r>
      <w:r>
        <w:rPr>
          <w:rFonts w:hint="eastAsia" w:ascii="宋体" w:hAnsi="宋体"/>
          <w:color w:val="auto"/>
          <w:sz w:val="24"/>
          <w:szCs w:val="24"/>
          <w:highlight w:val="none"/>
          <w:lang w:eastAsia="zh-CN"/>
        </w:rPr>
        <w:t xml:space="preserve">南京浦瑞招投标咨询服务有限公司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南京市雨花台区微型空气质量站服务项目</w:t>
      </w:r>
      <w:r>
        <w:rPr>
          <w:rFonts w:hint="eastAsia" w:ascii="宋体" w:hAnsi="宋体"/>
          <w:color w:val="auto"/>
          <w:sz w:val="24"/>
          <w:szCs w:val="24"/>
          <w:highlight w:val="none"/>
        </w:rPr>
        <w:t xml:space="preserve">进行竞争性磋商采购，欢迎符合条件的供应商参加磋商。</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一、项目基本情况</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1.项目编号：JSZC-320114-NJPR-C2026-0002</w:t>
      </w:r>
      <w:r/>
    </w:p>
    <w:p>
      <w:pPr>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南京市雨花台区微型空气质量站服务项目</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322</w:t>
      </w:r>
      <w:r>
        <w:rPr>
          <w:rFonts w:hint="eastAsia" w:ascii="宋体" w:hAnsi="宋体" w:cs="宋体"/>
          <w:color w:val="auto"/>
          <w:sz w:val="24"/>
          <w:szCs w:val="24"/>
          <w:highlight w:val="none"/>
        </w:rPr>
        <w:t xml:space="preserve">万元</w:t>
      </w:r>
      <w:r>
        <w:rPr>
          <w:rFonts w:ascii="宋体" w:hAnsi="宋体"/>
          <w:color w:val="auto"/>
          <w:sz w:val="24"/>
          <w:szCs w:val="24"/>
          <w:highlight w:val="none"/>
        </w:rPr>
        <w:t xml:space="preserve"> </w:t>
      </w:r>
      <w:r/>
    </w:p>
    <w:p>
      <w:pPr>
        <w:ind w:firstLine="480"/>
        <w:rPr>
          <w:rFonts w:ascii="宋体" w:hAnsi="宋体" w:cs="宋体"/>
          <w:color w:val="auto"/>
          <w:sz w:val="24"/>
          <w:szCs w:val="24"/>
          <w:highlight w:val="none"/>
        </w:rPr>
      </w:pPr>
      <w:r>
        <w:rPr>
          <w:rFonts w:hint="eastAsia" w:ascii="宋体" w:hAnsi="宋体"/>
          <w:color w:val="auto"/>
          <w:sz w:val="24"/>
          <w:szCs w:val="24"/>
          <w:highlight w:val="none"/>
        </w:rPr>
        <w:t xml:space="preserve">4.最高限价：</w:t>
      </w:r>
      <w:r>
        <w:rPr>
          <w:rFonts w:hint="eastAsia" w:ascii="仿宋" w:hAnsi="仿宋" w:eastAsia="仿宋" w:cs="仿宋"/>
          <w:color w:val="auto"/>
          <w:sz w:val="24"/>
          <w:szCs w:val="24"/>
          <w:highlight w:val="none"/>
          <w:lang w:val="en-US" w:eastAsia="zh-CN"/>
        </w:rPr>
        <w:t xml:space="preserve">本项目设定最高限价为：2年服务总价不超过319.2万元。</w:t>
      </w:r>
      <w:r/>
    </w:p>
    <w:p>
      <w:pPr>
        <w:ind w:firstLine="480"/>
        <w:rPr>
          <w:rFonts w:ascii="宋体" w:hAnsi="宋体"/>
          <w:color w:val="auto"/>
          <w:sz w:val="24"/>
          <w:szCs w:val="24"/>
          <w:highlight w:val="none"/>
          <w:u w:val="single"/>
        </w:rPr>
      </w:pPr>
      <w:r>
        <w:rPr>
          <w:rFonts w:hint="eastAsia" w:ascii="宋体" w:hAnsi="宋体"/>
          <w:color w:val="auto"/>
          <w:sz w:val="24"/>
          <w:szCs w:val="24"/>
          <w:highlight w:val="none"/>
        </w:rPr>
        <w:t xml:space="preserve">5.采购需求（简介）：</w:t>
      </w:r>
      <w:r>
        <w:rPr>
          <w:rFonts w:hint="eastAsia"/>
          <w:color w:val="auto"/>
          <w:sz w:val="24"/>
          <w:szCs w:val="24"/>
          <w:highlight w:val="none"/>
        </w:rPr>
        <w:t xml:space="preserve">雨花台生态环境局拟</w:t>
      </w:r>
      <w:r>
        <w:rPr>
          <w:color w:val="auto"/>
          <w:sz w:val="24"/>
          <w:szCs w:val="24"/>
          <w:highlight w:val="none"/>
        </w:rPr>
        <w:t xml:space="preserve">在全</w:t>
      </w:r>
      <w:r>
        <w:rPr>
          <w:rFonts w:hint="eastAsia"/>
          <w:color w:val="auto"/>
          <w:sz w:val="24"/>
          <w:szCs w:val="24"/>
          <w:highlight w:val="none"/>
        </w:rPr>
        <w:t xml:space="preserve">区完善</w:t>
      </w:r>
      <w:r>
        <w:rPr>
          <w:color w:val="auto"/>
          <w:sz w:val="24"/>
          <w:szCs w:val="24"/>
          <w:highlight w:val="none"/>
        </w:rPr>
        <w:t xml:space="preserve">大气网格化监测系统，</w:t>
      </w:r>
      <w:r>
        <w:rPr>
          <w:rFonts w:hint="eastAsia"/>
          <w:color w:val="auto"/>
          <w:sz w:val="24"/>
          <w:szCs w:val="24"/>
          <w:highlight w:val="none"/>
        </w:rPr>
        <w:t xml:space="preserve">计划以购买服务方式，采购</w:t>
      </w:r>
      <w:r>
        <w:rPr>
          <w:rFonts w:hint="eastAsia"/>
          <w:color w:val="auto"/>
          <w:sz w:val="24"/>
          <w:szCs w:val="24"/>
          <w:highlight w:val="none"/>
          <w:lang w:val="en-US" w:eastAsia="zh-CN"/>
        </w:rPr>
        <w:t xml:space="preserve">最多6</w:t>
      </w:r>
      <w:r>
        <w:rPr>
          <w:rFonts w:hint="eastAsia"/>
          <w:color w:val="auto"/>
          <w:sz w:val="24"/>
          <w:szCs w:val="24"/>
          <w:highlight w:val="none"/>
        </w:rPr>
        <w:t xml:space="preserve">0套全新</w:t>
      </w:r>
      <w:r>
        <w:rPr>
          <w:color w:val="auto"/>
          <w:sz w:val="24"/>
          <w:szCs w:val="24"/>
          <w:highlight w:val="none"/>
        </w:rPr>
        <w:t xml:space="preserve">微型空气自动监测站</w:t>
      </w:r>
      <w:r>
        <w:rPr>
          <w:rFonts w:hint="eastAsia"/>
          <w:color w:val="auto"/>
          <w:sz w:val="24"/>
          <w:szCs w:val="24"/>
          <w:highlight w:val="none"/>
        </w:rPr>
        <w:t xml:space="preserve">（标准六参数）的两年数据服务</w:t>
      </w:r>
      <w:r>
        <w:rPr>
          <w:rFonts w:hint="eastAsia" w:ascii="宋体" w:hAnsi="宋体" w:cs="宋体"/>
          <w:color w:val="auto"/>
          <w:sz w:val="24"/>
          <w:szCs w:val="24"/>
          <w:highlight w:val="none"/>
        </w:rPr>
        <w:t xml:space="preserve">。（详细内容见本磋商文件第四章） </w:t>
      </w:r>
      <w:r/>
    </w:p>
    <w:p>
      <w:pPr>
        <w:ind w:firstLine="480"/>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rPr>
        <w:t xml:space="preserve">6.合同履行期限：</w:t>
      </w:r>
      <w:r>
        <w:rPr>
          <w:rFonts w:hint="eastAsia" w:ascii="宋体" w:hAnsi="宋体" w:eastAsia="宋体" w:cs="宋体"/>
          <w:color w:val="auto"/>
          <w:sz w:val="24"/>
          <w:szCs w:val="24"/>
          <w:highlight w:val="none"/>
        </w:rPr>
        <w:t xml:space="preserve">合同签订后，自有效数据上线之日起2年</w:t>
      </w:r>
      <w:r>
        <w:rPr>
          <w:rFonts w:hint="eastAsia" w:ascii="宋体" w:hAnsi="宋体" w:eastAsia="宋体" w:cs="宋体"/>
          <w:color w:val="auto"/>
          <w:sz w:val="24"/>
          <w:szCs w:val="24"/>
          <w:highlight w:val="none"/>
          <w:lang w:eastAsia="zh-CN"/>
        </w:rPr>
        <w:t xml:space="preserve">。</w:t>
      </w:r>
      <w:r/>
    </w:p>
    <w:p>
      <w:pPr>
        <w:ind w:firstLine="480"/>
        <w:rPr>
          <w:rFonts w:ascii="宋体" w:hAnsi="宋体" w:cs="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s="宋体"/>
          <w:color w:val="auto"/>
          <w:sz w:val="24"/>
          <w:szCs w:val="24"/>
          <w:highlight w:val="none"/>
        </w:rPr>
        <w:t xml:space="preserve">本项目不接受联合体参加磋商。</w:t>
      </w:r>
      <w:r/>
    </w:p>
    <w:p>
      <w:pPr>
        <w:ind w:firstLine="480"/>
        <w:widowControl/>
        <w:rPr>
          <w:rFonts w:ascii="宋体" w:hAnsi="宋体"/>
          <w:color w:val="auto"/>
          <w:sz w:val="24"/>
          <w:szCs w:val="24"/>
          <w:highlight w:val="none"/>
        </w:rPr>
      </w:pPr>
      <w:r>
        <w:rPr>
          <w:rFonts w:hint="eastAsia" w:ascii="宋体" w:hAnsi="宋体" w:cs="宋体"/>
          <w:color w:val="auto"/>
          <w:sz w:val="24"/>
          <w:szCs w:val="24"/>
          <w:highlight w:val="none"/>
        </w:rPr>
        <w:t xml:space="preserve">8.本项目不接受进口产品。</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二、申请人的资格要求</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1.满足《中华人民共和国政府采购法》第二十二条规定，并提供下列材料：</w:t>
      </w:r>
      <w:r/>
    </w:p>
    <w:p>
      <w:pPr>
        <w:ind w:firstLine="480"/>
        <w:rPr>
          <w:rFonts w:hint="eastAsia" w:ascii="宋体" w:hAnsi="宋体"/>
          <w:color w:val="auto"/>
          <w:sz w:val="24"/>
          <w:szCs w:val="24"/>
          <w:highlight w:val="none"/>
          <w:lang w:val="zh-CN"/>
        </w:rPr>
      </w:pP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供应商信用承诺函（格式见第六章）。</w:t>
      </w:r>
      <w:r/>
    </w:p>
    <w:p>
      <w:pPr>
        <w:ind w:firstLine="480"/>
        <w:rPr>
          <w:rFonts w:ascii="宋体" w:hAnsi="宋体"/>
          <w:color w:val="auto"/>
          <w:sz w:val="24"/>
          <w:szCs w:val="24"/>
          <w:highlight w:val="none"/>
        </w:rPr>
      </w:pPr>
      <w:r>
        <w:rPr>
          <w:rFonts w:hint="eastAsia" w:ascii="宋体" w:hAnsi="宋体"/>
          <w:color w:val="auto"/>
          <w:sz w:val="24"/>
          <w:szCs w:val="24"/>
          <w:highlight w:val="none"/>
          <w:lang w:val="zh-CN"/>
        </w:rPr>
        <w:t xml:space="preserve">2.落实政府采购政策需满足的资格要求：无</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（二）本项目的特定资格要求：无</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三、获取磋商文件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1.时间：自磋商文件公告发布之日起。</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2.方式：在“江苏政府采购网”免费下载。</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四、提交响应文件截止时间</w:t>
      </w:r>
      <w:r/>
    </w:p>
    <w:p>
      <w:pPr>
        <w:rPr>
          <w:rFonts w:ascii="宋体" w:hAnsi="宋体"/>
          <w:color w:val="auto"/>
          <w:sz w:val="24"/>
          <w:szCs w:val="24"/>
          <w:highlight w:val="none"/>
        </w:rPr>
      </w:pPr>
      <w:r>
        <w:rPr>
          <w:rFonts w:hint="eastAsia" w:ascii="宋体" w:hAnsi="宋体" w:cs="宋体"/>
          <w:color w:val="auto"/>
          <w:sz w:val="24"/>
          <w:szCs w:val="24"/>
          <w:highlight w:val="none"/>
        </w:rPr>
        <w:t xml:space="preserve">    202</w:t>
      </w:r>
      <w:r>
        <w:rPr>
          <w:rFonts w:hint="eastAsia" w:ascii="宋体" w:hAnsi="宋体" w:cs="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default"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14</w:t>
      </w:r>
      <w:r>
        <w:rPr>
          <w:rFonts w:hint="eastAsia"/>
          <w:color w:val="auto"/>
          <w:sz w:val="24"/>
          <w:szCs w:val="24"/>
          <w:highlight w:val="none"/>
        </w:rPr>
        <w:t xml:space="preserve">时</w:t>
      </w:r>
      <w:r>
        <w:rPr>
          <w:rFonts w:hint="eastAsia"/>
          <w:color w:val="auto"/>
          <w:sz w:val="24"/>
          <w:szCs w:val="24"/>
          <w:highlight w:val="none"/>
          <w:lang w:val="en-US" w:eastAsia="zh-CN"/>
        </w:rPr>
        <w:t xml:space="preserve"> 30 </w:t>
      </w:r>
      <w:r>
        <w:rPr>
          <w:rFonts w:hint="eastAsia" w:ascii="宋体" w:hAnsi="宋体"/>
          <w:color w:val="auto"/>
          <w:sz w:val="24"/>
          <w:szCs w:val="24"/>
          <w:highlight w:val="none"/>
        </w:rPr>
        <w:t xml:space="preserve">分（北京时间）。</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公告期限为自本公告发布之日起3个工作日。</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1.本次磋商不收取磋商保证金。</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2.本项目不组织勘察及答疑，供应商如对采购需求有疑问，请咨询采购单位联系人。 </w:t>
      </w:r>
      <w:r/>
    </w:p>
    <w:p>
      <w:pPr>
        <w:ind w:firstLine="480"/>
        <w:rPr>
          <w:color w:val="auto"/>
          <w:highlight w:val="none"/>
        </w:rPr>
      </w:pPr>
      <w:r>
        <w:rPr>
          <w:rFonts w:hint="eastAsia" w:ascii="宋体" w:hAnsi="宋体" w:cs="宋体"/>
          <w:color w:val="auto"/>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4.有关本次采购的事项若存在变动或修改，请及时关注“江苏政府采购网”（www.ccgp-jiangsu.gov.cn）更正公告。</w:t>
      </w:r>
      <w:r/>
    </w:p>
    <w:p>
      <w:pPr>
        <w:pStyle w:val="679"/>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5.政府采购信用承诺</w:t>
      </w:r>
      <w:r/>
    </w:p>
    <w:p>
      <w:pPr>
        <w:pStyle w:val="679"/>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eastAsia="宋体" w:cs="宋体"/>
          <w:color w:val="auto"/>
          <w:sz w:val="24"/>
          <w:szCs w:val="24"/>
          <w:highlight w:val="none"/>
          <w:lang w:val="en-US"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pStyle w:val="679"/>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在政府采购资格审查环节，供应商只需提供书面《南京市政府采购供应商信用记录表暨信用承诺书》，即可替代以下证明材料：</w:t>
      </w:r>
      <w:r/>
    </w:p>
    <w:p>
      <w:pPr>
        <w:pStyle w:val="679"/>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（1）符合国家相关规定的财务状况报告；</w:t>
      </w:r>
      <w:r/>
    </w:p>
    <w:p>
      <w:pPr>
        <w:pStyle w:val="679"/>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（2）依法缴纳税收的证明材料；</w:t>
      </w:r>
      <w:r/>
    </w:p>
    <w:p>
      <w:pPr>
        <w:pStyle w:val="679"/>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（3）依法缴纳社会保障资金的证明材料；</w:t>
      </w:r>
      <w:r/>
    </w:p>
    <w:p>
      <w:pPr>
        <w:pStyle w:val="679"/>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（4）具备履行政府采购合同所必需的设备和专业技术能力的证明材料；</w:t>
      </w:r>
      <w:r/>
    </w:p>
    <w:p>
      <w:pPr>
        <w:pStyle w:val="679"/>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（5）参加政府采购活动前三年内在经营活动中没有重大违法记录的证明材料；</w:t>
      </w:r>
      <w:r/>
    </w:p>
    <w:p>
      <w:pPr>
        <w:pStyle w:val="679"/>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（6）未被列入失信被执行人、重大税收违法失信主体、政府采购严重违法失信行为记录名单的证明材料。</w:t>
      </w:r>
      <w:r/>
    </w:p>
    <w:p>
      <w:pPr>
        <w:pStyle w:val="679"/>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供应商在中标（成交）后，应按采购文件要求，将上述由信用承诺书替代的证明材料提交采购人或采购代理机构核验。经核验无误后，由采购人或采购代理机构发出中标（成交）通知书。</w:t>
      </w:r>
      <w:r/>
    </w:p>
    <w:p>
      <w:pPr>
        <w:pStyle w:val="679"/>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供应商涉及以下情形的，不适用信用承诺：</w:t>
      </w:r>
      <w:r/>
    </w:p>
    <w:p>
      <w:pPr>
        <w:pStyle w:val="679"/>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（1）供应商被列入严重失信主体名单；</w:t>
      </w:r>
      <w:r/>
    </w:p>
    <w:p>
      <w:pPr>
        <w:pStyle w:val="679"/>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（2）被相关监管部门作出行政处罚且尚在处罚有效期内；</w:t>
      </w:r>
      <w:r/>
    </w:p>
    <w:p>
      <w:pPr>
        <w:pStyle w:val="679"/>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（3）其他法律、行政法规规定的不适用信用承诺的情形。</w:t>
      </w:r>
      <w:r/>
    </w:p>
    <w:p>
      <w:pPr>
        <w:pStyle w:val="679"/>
        <w:ind w:left="0" w:firstLine="0"/>
        <w:rPr>
          <w:rFonts w:hint="default" w:eastAsia="宋体"/>
          <w:color w:val="auto"/>
          <w:highlight w:val="none"/>
          <w:lang w:val="en-US" w:eastAsia="zh-CN"/>
        </w:rPr>
      </w:pPr>
      <w:r>
        <w:rPr>
          <w:rFonts w:hint="eastAsia" w:ascii="宋体" w:hAnsi="宋体" w:eastAsia="宋体" w:cs="宋体"/>
          <w:color w:val="auto"/>
          <w:sz w:val="24"/>
          <w:szCs w:val="24"/>
          <w:highlight w:val="none"/>
          <w:lang w:val="en-US" w:eastAsia="zh-CN"/>
        </w:rPr>
        <w:t xml:space="preserve">供应商对信用承诺内容的真实性、合法性、有效性负责。如作出虚假信用承诺，视同为“提供虚假材料谋取中标、成交”的违法行为。</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七、本次磋商联系方式</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1.采购人</w:t>
      </w:r>
      <w:r/>
    </w:p>
    <w:p>
      <w:pPr>
        <w:ind w:firstLine="480"/>
        <w:rPr>
          <w:rFonts w:ascii="宋体" w:hAnsi="宋体"/>
          <w:color w:val="auto"/>
          <w:sz w:val="24"/>
          <w:szCs w:val="24"/>
          <w:highlight w:val="none"/>
        </w:rPr>
      </w:pPr>
      <w:r/>
      <w:bookmarkStart w:id="6" w:name="_Toc28359009"/>
      <w:r/>
      <w:bookmarkStart w:id="7" w:name="_Toc28359086"/>
      <w:r>
        <w:rPr>
          <w:rFonts w:hint="eastAsia" w:ascii="宋体" w:hAnsi="宋体"/>
          <w:color w:val="auto"/>
          <w:sz w:val="24"/>
          <w:szCs w:val="24"/>
          <w:highlight w:val="none"/>
        </w:rPr>
        <w:t xml:space="preserve">名  称：</w:t>
      </w:r>
      <w:r>
        <w:rPr>
          <w:rFonts w:hint="eastAsia" w:ascii="宋体" w:hAnsi="宋体"/>
          <w:color w:val="auto"/>
          <w:sz w:val="24"/>
          <w:szCs w:val="24"/>
          <w:highlight w:val="none"/>
          <w:lang w:eastAsia="zh-CN"/>
        </w:rPr>
        <w:t xml:space="preserve">南京市雨花台生态环境局</w:t>
      </w:r>
      <w:r>
        <w:rPr>
          <w:rFonts w:hint="eastAsia" w:ascii="宋体" w:hAnsi="宋体"/>
          <w:color w:val="auto"/>
          <w:sz w:val="24"/>
          <w:szCs w:val="24"/>
          <w:highlight w:val="none"/>
        </w:rPr>
        <w:t xml:space="preserve">          </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地  址：南京市雨花台区普德村120号</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联系人：唐先生</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联系电话：025-52873361 </w:t>
      </w:r>
      <w:r/>
    </w:p>
    <w:p>
      <w:pPr>
        <w:ind w:firstLine="48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2.</w:t>
      </w:r>
      <w:bookmarkEnd w:id="6"/>
      <w:r/>
      <w:bookmarkEnd w:id="7"/>
      <w:r>
        <w:rPr>
          <w:rFonts w:hint="eastAsia" w:ascii="宋体" w:hAnsi="宋体"/>
          <w:color w:val="auto"/>
          <w:sz w:val="24"/>
          <w:szCs w:val="24"/>
          <w:highlight w:val="none"/>
          <w:lang w:val="en-US" w:eastAsia="zh-CN"/>
        </w:rPr>
        <w:t xml:space="preserve">采购代理机构</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名  称：南京浦瑞招投标咨询服务有限公司</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地址：南京市浦口区雨合路8号大友研发大厦8楼</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联系人：毛先生     </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联系电话：13776699750 </w:t>
      </w:r>
      <w:r/>
    </w:p>
    <w:p>
      <w:pPr>
        <w:ind w:firstLine="480"/>
        <w:rPr>
          <w:rFonts w:ascii="宋体" w:hAnsi="宋体"/>
          <w:color w:val="auto"/>
          <w:sz w:val="24"/>
          <w:szCs w:val="24"/>
          <w:highlight w:val="none"/>
        </w:rPr>
      </w:pPr>
      <w:r>
        <w:rPr>
          <w:rFonts w:ascii="宋体" w:hAnsi="宋体"/>
          <w:color w:val="auto"/>
          <w:sz w:val="24"/>
          <w:szCs w:val="24"/>
          <w:highlight w:val="none"/>
        </w:rPr>
      </w:r>
      <w:r/>
    </w:p>
    <w:p>
      <w:pPr>
        <w:jc w:val="center"/>
        <w:keepLines w:val="0"/>
        <w:keepNext w:val="0"/>
        <w:pageBreakBefore w:val="0"/>
        <w:widowControl w:val="off"/>
        <w:rPr>
          <w:rFonts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第二章  供应商须知</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bookmarkStart w:id="8" w:name="_Toc16938519"/>
      <w:r/>
      <w:bookmarkStart w:id="9" w:name="_Toc120614214"/>
      <w:r/>
      <w:bookmarkStart w:id="10" w:name="_Toc20823275"/>
      <w:r/>
      <w:bookmarkStart w:id="11" w:name="_Toc513029203"/>
      <w:r>
        <w:rPr>
          <w:rFonts w:hint="eastAsia" w:ascii="方正黑体_GBK" w:hAnsi="方正黑体_GBK" w:eastAsia="方正黑体_GBK" w:cs="方正黑体_GBK"/>
          <w:b w:val="0"/>
          <w:bCs w:val="0"/>
          <w:color w:val="auto"/>
          <w:sz w:val="30"/>
          <w:szCs w:val="30"/>
          <w:highlight w:val="none"/>
        </w:rPr>
        <w:t xml:space="preserve">一、总则</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1.采购方式</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1.1 本次政府采购活动采取竞争性磋商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以下简称“磋商”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方式，本文件仅适用于采购公告中所述项目。</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2.合格的供应商</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2.1 满足采购公告对供应商资格要求的规定。</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2.2 满足磋商文件规定的实质性要求和条件。</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3.适用法律</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3.1 本次采购及由此产生的合同受中华人民共和国有关的法律法规制约和保护</w:t>
      </w:r>
      <w:r>
        <w:rPr>
          <w:rFonts w:ascii="宋体" w:hAnsi="宋体"/>
          <w:color w:val="auto"/>
          <w:sz w:val="24"/>
          <w:szCs w:val="21"/>
          <w:highlight w:val="none"/>
        </w:rPr>
        <w:t xml:space="preserve">。</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4.磋商费用</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4.1 供应商应自行承担所有与参加采购有关的费用，无论采购过程中的做法和结果如何，</w:t>
      </w:r>
      <w:r>
        <w:rPr>
          <w:rFonts w:hint="eastAsia" w:ascii="宋体" w:hAnsi="宋体"/>
          <w:color w:val="auto"/>
          <w:sz w:val="24"/>
          <w:highlight w:val="none"/>
          <w:lang w:val="en-US" w:eastAsia="zh-CN"/>
        </w:rPr>
        <w:t xml:space="preserve">采购代理机构</w:t>
      </w:r>
      <w:r>
        <w:rPr>
          <w:rFonts w:hint="eastAsia" w:ascii="宋体" w:hAnsi="宋体"/>
          <w:color w:val="auto"/>
          <w:sz w:val="24"/>
          <w:szCs w:val="21"/>
          <w:highlight w:val="none"/>
        </w:rPr>
        <w:t xml:space="preserve">在任何情况下均无义务和责任承担这些费用。</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4.2 本项目代理服务费由采购人一次性支付给招标代理机构。其中代理费按照国家计委印发的《招标代理服务收费管理暂行办法》（计价格〔2002〕1980号）取费标准的80%计取，以中标价为基数。评委费按实结算，由采购单位支付。</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5.磋商文件的约束力</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5.1 供应商一旦参加本项目采购活动，即被认为接受了本文件的规定和约束。</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二、磋商文件</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6.磋商文件构成</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6.1 磋商文件由以下部分组成：</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（1）磋商邀请</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（2）供应商须知</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（3）合同文本</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（4）采购需求</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（5）评审方法与评审标准</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（6）响应文件格式</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供应商应仔细检查磋商文件是否齐全，如有缺漏请立即与</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联系。</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7.磋商文件的澄清</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7.1 任何要求对磋商文件进行澄清的供应商，应在磋商截止期五日前按采购公告中的通讯地址，以书面形式通知</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8.磋商文件的修改</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8.1 在响应文件提交截止时间前，</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可以对磋商文件进行修改。磋商文件的修改将在原公告媒体发布更正公告，更正内容将作为磋商文件的组成部分，并对供应商具有约束力。</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8.3 </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有权按照法定的要求推迟提交响应文件截止时间，并在原公告媒体发布更正公告。</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三、响应文件的编制</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9.响应文件的语言及度量衡单位</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9.1 供应商提交的响应文件以及供应商与</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就有关磋商的所有来往通知、函件和文件均应使用简体中文。</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9.2 除技术性能另有规定外，响应文件所使用的度量衡单位，均须采用国家法定计量单位。</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10.响应文件构成</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10.1 供应商编写的响应文件应包括资格证明文件、符合性证明文件、分项报价表、响应及偏离表、其他证明文件、磋商响应函等部分。</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如标书制作工具中格式和内容与“江苏政府采购网”发布的磋商文件不一致，以“江苏政府采购网”发布的磋商文件为准。</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11.证明磋商响应标的符合磋商文件规定的文件</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11.1 供应商</w:t>
      </w:r>
      <w:r>
        <w:rPr>
          <w:rFonts w:hint="eastAsia" w:ascii="宋体" w:hAnsi="宋体"/>
          <w:color w:val="auto"/>
          <w:sz w:val="24"/>
          <w:highlight w:val="none"/>
        </w:rPr>
        <w:t xml:space="preserve">应按照法律、法规、规章和规范性文件以及</w:t>
      </w:r>
      <w:r>
        <w:rPr>
          <w:rFonts w:hint="eastAsia" w:ascii="宋体" w:hAnsi="宋体"/>
          <w:color w:val="auto"/>
          <w:sz w:val="24"/>
          <w:szCs w:val="21"/>
          <w:highlight w:val="none"/>
        </w:rPr>
        <w:t xml:space="preserve">磋商文件要求提交证明文件，证明其响应标的符合磋商文件规定。</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11.2 磋商文件对证明文件无明确形式要求的，证明文件可以以文字资料、图纸和数据等形式提交。</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12.分项报价表</w:t>
      </w:r>
      <w:r>
        <w:rPr>
          <w:rFonts w:hint="eastAsia" w:ascii="方正楷体_GBK" w:hAnsi="方正楷体_GBK" w:eastAsia="方正楷体_GBK" w:cs="方正楷体_GBK"/>
          <w:color w:val="auto"/>
          <w:highlight w:val="none"/>
          <w:lang w:val="zh-CN"/>
        </w:rPr>
        <w:t xml:space="preserve">（如有）</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12.1 供应商应按照磋商文件规定格式填报分项报价表。</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12.2 响应文件中的单价和总价无特殊规定的采用人民币报价，以元为单位标注。磋商文件另有规定的按规定执行。</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13.响应及偏离表</w:t>
      </w:r>
      <w:r/>
    </w:p>
    <w:p>
      <w:pPr>
        <w:ind w:firstLine="420"/>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13.1</w:t>
      </w:r>
      <w:r>
        <w:rPr>
          <w:rFonts w:hint="eastAsia" w:ascii="宋体" w:hAnsi="宋体"/>
          <w:color w:val="auto"/>
          <w:sz w:val="24"/>
          <w:szCs w:val="21"/>
          <w:highlight w:val="none"/>
        </w:rPr>
        <w:t xml:space="preserve"> </w:t>
      </w:r>
      <w:r>
        <w:rPr>
          <w:rFonts w:hint="eastAsia" w:ascii="宋体" w:hAnsi="宋体"/>
          <w:color w:val="auto"/>
          <w:sz w:val="24"/>
          <w:szCs w:val="21"/>
          <w:highlight w:val="none"/>
          <w:lang w:val="zh-CN"/>
        </w:rPr>
        <w:t xml:space="preserve">供应商需对磋商文件中的技术要求与商务要求逐项作出响应或偏离说明。</w:t>
      </w:r>
      <w:r/>
    </w:p>
    <w:p>
      <w:pPr>
        <w:ind w:firstLine="420"/>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13.2</w:t>
      </w:r>
      <w:r>
        <w:rPr>
          <w:rFonts w:hint="eastAsia" w:ascii="宋体" w:hAnsi="宋体"/>
          <w:color w:val="auto"/>
          <w:sz w:val="24"/>
          <w:szCs w:val="21"/>
          <w:highlight w:val="none"/>
        </w:rPr>
        <w:t xml:space="preserve"> </w:t>
      </w:r>
      <w:r>
        <w:rPr>
          <w:rFonts w:hint="eastAsia" w:ascii="宋体" w:hAnsi="宋体"/>
          <w:color w:val="auto"/>
          <w:sz w:val="24"/>
          <w:szCs w:val="21"/>
          <w:highlight w:val="none"/>
          <w:lang w:val="zh-CN"/>
        </w:rPr>
        <w:t xml:space="preserve">供应商可在响应文件中提供认为需要的其他技术文件或说明。</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14.磋商响应函</w:t>
      </w:r>
      <w:r/>
    </w:p>
    <w:p>
      <w:pPr>
        <w:ind w:firstLine="420"/>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rPr>
        <w:t xml:space="preserve">4</w:t>
      </w: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rPr>
        <w:t xml:space="preserve"> </w:t>
      </w:r>
      <w:r>
        <w:rPr>
          <w:rFonts w:hint="eastAsia" w:ascii="宋体" w:hAnsi="宋体"/>
          <w:color w:val="auto"/>
          <w:sz w:val="24"/>
          <w:szCs w:val="21"/>
          <w:highlight w:val="none"/>
          <w:lang w:val="zh-CN"/>
        </w:rPr>
        <w:t xml:space="preserve">供应商应按照磋商文件规定格式完整、正确填报磋商响应函。</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15.磋商有效期</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15.1 磋商有效期为采购公告规定的提交响应文件截止之日起</w:t>
      </w:r>
      <w:r>
        <w:rPr>
          <w:rFonts w:hint="eastAsia" w:ascii="宋体" w:hAnsi="宋体"/>
          <w:color w:val="auto"/>
          <w:sz w:val="24"/>
          <w:szCs w:val="21"/>
          <w:highlight w:val="none"/>
          <w:lang w:val="zh-CN"/>
        </w:rPr>
        <w:t xml:space="preserve">六十天</w:t>
      </w:r>
      <w:r>
        <w:rPr>
          <w:rFonts w:hint="eastAsia" w:ascii="宋体" w:hAnsi="宋体"/>
          <w:color w:val="auto"/>
          <w:sz w:val="24"/>
          <w:szCs w:val="21"/>
          <w:highlight w:val="none"/>
        </w:rPr>
        <w:t xml:space="preserve">。磋商有效期比规定短的将被视为非实质性响应磋商文件而被拒绝。</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16.磋商有效期的延长</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16.1 在特殊情况下，</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于原磋商有效期满之前，可向供应商提出延长磋商有效期的要求。这种要求与答复均应采用书面形式。供应商可以拒绝</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的这一要求而放弃磋商。同意延长磋商有效期的供应商既不能要求也不允许修改其响应文件，同时受磋商有效期约束的所有权利与义务均延长至新的有效期满。</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四、响应文件的递交</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17.响应文件的递交</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17.1 供应商应当按照《操作手册》规定，在采购公告规定的提交响应文件截止时间前制作并上传电子响应文件。</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17.2 供应商应充分考虑网络环境、网络带宽等因素</w:t>
      </w:r>
      <w:r>
        <w:rPr>
          <w:rFonts w:hint="eastAsia" w:ascii="宋体" w:hAnsi="宋体"/>
          <w:color w:val="auto"/>
          <w:sz w:val="24"/>
          <w:highlight w:val="none"/>
        </w:rPr>
        <w:t xml:space="preserve">可能产生的影响</w:t>
      </w:r>
      <w:r>
        <w:rPr>
          <w:rFonts w:hint="eastAsia" w:ascii="宋体" w:hAnsi="宋体"/>
          <w:color w:val="auto"/>
          <w:sz w:val="24"/>
          <w:szCs w:val="21"/>
          <w:highlight w:val="none"/>
        </w:rPr>
        <w:t xml:space="preserve">，如因供应商自身原因造成的电子响应文件上传不成功的，按照本磋商文件第二章第24.3条规定做无效响应处理。</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17.3 </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可以按照规定，通过修改磋商文件酌情延长提交响应文件截止日期，在此情况下，供应商的所有权利和义务均以延长后新的截止日期为准。</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18.响应文件的拒收</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18.1 提交响应文件截止时间后上传的任何响应文件将被拒绝。</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19.响应文件的撤回和修改</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19.1 响应文件的撤回</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19.1.1 供应商可在提交响应文件截止时间前撤回其电子响应文件，具体操作方法见《操作手册》。</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19.1.2 供应商撤回电子响应文件，则认为其不再参与本项目磋商活动。</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19.2 响应文件的修改</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19.2.1 供应商可在提交响应文件截止时间前对其电子响应文件进行修改，具体操作方法见《操作手册》。</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19.2.2 提交响应文件截止时间之后，供应商不得对其电子响应文件作任何修改。</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19.3 在提交响应文件截止时间至磋商文件中规定的磋商有效期满之间的这段时间内，供应商不得撤回其响应文件。</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五、响应文件的解密与评审</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20.响应文件解密</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20.1 供应商应当按照《操作手册》规定，在苏采云系统规定的时间内对响应文件进行解密。</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21.磋商</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21.1 依法组建的磋商小组对响应文件进行评审。</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21.2 磋商小组由采购人代表和有关方面专家组成，人员构成符合政府采购有关规定。</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21.3 磋商小组独立工作，负责评审所有响应文件并推荐成交候选人，或根据采购人授权直接确定成交供应商。</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22.评审过程的保密与公正</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22.1 磋商小组、采购人和</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工作人员、相关监督人员等与评审工作有关的人员，对评审情况以及在评审过程中获悉的国家秘密、商业秘密负有保密责任。</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22.2 供应商不得以任何方式影响评审过程，否则其响应文件将被作为无效响应文件。</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22.3 </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和磋商小组不向未成交的供应商解释未成交原因，也不公布评审过程中的相关细节。</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23.评审过程中的澄清</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23.1 项目评审期间，磋商小组有权要求供应商对响应文件中含义不明确、同类问题表述不一致或者有明显文字和计算错误的内容等作出必要的澄清、说明或者补正。</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供应商的澄清、说明或者补正不得超出响应文件的范围或者改变响应文件的实质性内容。</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磋商小组并非对每个供应商都做澄清要求。</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23.2 需要供应商进行澄清、说明和补正的，磋商小组将通过苏采云系统向供应商发出</w:t>
      </w:r>
      <w:r>
        <w:rPr>
          <w:rFonts w:hint="eastAsia" w:ascii="宋体" w:hAnsi="宋体"/>
          <w:color w:val="auto"/>
          <w:sz w:val="24"/>
          <w:highlight w:val="none"/>
          <w:lang w:val="zh-CN"/>
        </w:rPr>
        <w:t xml:space="preserve">《澄清要求函》</w:t>
      </w:r>
      <w:r>
        <w:rPr>
          <w:rFonts w:hint="eastAsia" w:ascii="宋体" w:hAnsi="宋体"/>
          <w:color w:val="auto"/>
          <w:sz w:val="24"/>
          <w:szCs w:val="21"/>
          <w:highlight w:val="none"/>
        </w:rPr>
        <w:t xml:space="preserve">，接到</w:t>
      </w:r>
      <w:r>
        <w:rPr>
          <w:rFonts w:hint="eastAsia" w:ascii="宋体" w:hAnsi="宋体"/>
          <w:color w:val="auto"/>
          <w:sz w:val="24"/>
          <w:highlight w:val="none"/>
          <w:lang w:val="zh-CN"/>
        </w:rPr>
        <w:t xml:space="preserve">《澄清要求函》</w:t>
      </w:r>
      <w:r>
        <w:rPr>
          <w:rFonts w:hint="eastAsia" w:ascii="宋体" w:hAnsi="宋体"/>
          <w:color w:val="auto"/>
          <w:sz w:val="24"/>
          <w:szCs w:val="21"/>
          <w:highlight w:val="none"/>
        </w:rPr>
        <w:t xml:space="preserve">的供应商应当按照要求在苏采云系统中提交</w:t>
      </w:r>
      <w:r>
        <w:rPr>
          <w:rFonts w:hint="eastAsia" w:ascii="宋体" w:hAnsi="宋体"/>
          <w:color w:val="auto"/>
          <w:sz w:val="24"/>
          <w:highlight w:val="none"/>
          <w:lang w:val="zh-CN"/>
        </w:rPr>
        <w:t xml:space="preserve">《澄清响应函》</w:t>
      </w:r>
      <w:r>
        <w:rPr>
          <w:rFonts w:hint="eastAsia" w:ascii="宋体" w:hAnsi="宋体"/>
          <w:color w:val="auto"/>
          <w:sz w:val="24"/>
          <w:szCs w:val="21"/>
          <w:highlight w:val="none"/>
        </w:rPr>
        <w:t xml:space="preserve">并加盖电子公章。澄清、说明和补正的内容作为响应文件的补充部分，具体操作方式见《操作手册》。</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23.3 接到磋商小组澄清、说明和补正要求的供应商如未按规定做出澄清、说明和补正，其风险由供应商自行承担。</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24.响应文件的审查</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24.1 响应文件审查分为资格审查和符合性审查。</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24.1.1 资格审查。依据法律法规和磋商文件的规定，磋商小组对响应文件中的资格证明文件进行审查，以确定供应商是否具备参加磋商的资格。</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磋商小组进行资格审查时，将在“信用中国”网站（www.creditchina.gov.cn）查询供应商的信用记录，以确定供应商是否具备磋商资格,查询结果留存并归档。</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接受联合体的项目，联合体成员存在不良信用记录的，视同联合体存在不良</w:t>
      </w:r>
      <w:r>
        <w:rPr>
          <w:rFonts w:hint="eastAsia" w:ascii="宋体" w:hAnsi="宋体"/>
          <w:color w:val="auto"/>
          <w:sz w:val="24"/>
          <w:highlight w:val="none"/>
        </w:rPr>
        <w:t xml:space="preserve">信</w:t>
      </w:r>
      <w:r>
        <w:rPr>
          <w:rFonts w:hint="eastAsia" w:ascii="宋体" w:hAnsi="宋体"/>
          <w:color w:val="auto"/>
          <w:sz w:val="24"/>
          <w:highlight w:val="none"/>
          <w:lang w:val="zh-CN"/>
        </w:rPr>
        <w:t xml:space="preserve">用记录。</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24.1.2 符合性审查。依据磋商文件的规定，由磋商小组从有效性、完整性和对磋商文件的响应程度等方面对响应文件进行审查，以确定是否对磋商文件的实质性要求作出响应。</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24.1.3 未通过资格审查或符合性审查的供应商，磋商小组将通过苏采云系统告知具体原因，评审结束后将不再接受有关询问。</w:t>
      </w:r>
      <w:r/>
    </w:p>
    <w:p>
      <w:pPr>
        <w:ind w:firstLine="420"/>
        <w:rPr>
          <w:rFonts w:ascii="宋体" w:hAnsi="宋体"/>
          <w:color w:val="auto"/>
          <w:sz w:val="24"/>
          <w:highlight w:val="none"/>
          <w:lang w:val="zh-CN"/>
        </w:rPr>
      </w:pPr>
      <w:r>
        <w:rPr>
          <w:rFonts w:hint="eastAsia" w:ascii="宋体" w:hAnsi="宋体"/>
          <w:color w:val="auto"/>
          <w:sz w:val="24"/>
          <w:szCs w:val="21"/>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color w:val="auto"/>
          <w:sz w:val="24"/>
          <w:highlight w:val="none"/>
        </w:rPr>
        <w:t xml:space="preserve">采购人</w:t>
      </w:r>
      <w:r>
        <w:rPr>
          <w:rFonts w:hint="eastAsia" w:ascii="宋体" w:hAnsi="宋体"/>
          <w:color w:val="auto"/>
          <w:sz w:val="24"/>
          <w:highlight w:val="none"/>
          <w:lang w:val="zh-CN"/>
        </w:rPr>
        <w:t xml:space="preserve">的权利或供应商的义务，纠正这些偏离或保留将会对其他实质性响应的供应商产生不公正的影响。重大偏离的认定</w:t>
      </w:r>
      <w:r>
        <w:rPr>
          <w:rFonts w:hint="eastAsia" w:ascii="宋体" w:hAnsi="宋体"/>
          <w:color w:val="auto"/>
          <w:sz w:val="24"/>
          <w:highlight w:val="none"/>
        </w:rPr>
        <w:t xml:space="preserve">由</w:t>
      </w:r>
      <w:r>
        <w:rPr>
          <w:rFonts w:hint="eastAsia" w:ascii="宋体" w:hAnsi="宋体"/>
          <w:color w:val="auto"/>
          <w:sz w:val="24"/>
          <w:highlight w:val="none"/>
          <w:lang w:val="zh-CN"/>
        </w:rPr>
        <w:t xml:space="preserve">磋商小组</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少数服从多数的原则作出结论。</w:t>
      </w:r>
      <w:r>
        <w:rPr>
          <w:rFonts w:hint="eastAsia" w:ascii="宋体" w:hAnsi="宋体"/>
          <w:color w:val="auto"/>
          <w:sz w:val="24"/>
          <w:szCs w:val="21"/>
          <w:highlight w:val="none"/>
        </w:rPr>
        <w:t xml:space="preserve">磋商小组</w:t>
      </w:r>
      <w:r>
        <w:rPr>
          <w:rFonts w:hint="eastAsia" w:ascii="宋体" w:hAnsi="宋体"/>
          <w:color w:val="auto"/>
          <w:sz w:val="24"/>
          <w:highlight w:val="none"/>
        </w:rPr>
        <w:t xml:space="preserve">认</w:t>
      </w:r>
      <w:r>
        <w:rPr>
          <w:rFonts w:hint="eastAsia" w:ascii="宋体" w:hAnsi="宋体"/>
          <w:color w:val="auto"/>
          <w:sz w:val="24"/>
          <w:highlight w:val="none"/>
          <w:lang w:val="zh-CN"/>
        </w:rPr>
        <w:t xml:space="preserve">定响应文件的响应性只根据响应文件本身的内容，而不寻求外部的证据。</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24.</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异常低价审查</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评</w:t>
      </w:r>
      <w:r>
        <w:rPr>
          <w:rFonts w:hint="eastAsia" w:ascii="宋体" w:hAnsi="宋体"/>
          <w:color w:val="auto"/>
          <w:sz w:val="24"/>
          <w:highlight w:val="none"/>
        </w:rPr>
        <w:t xml:space="preserve">审</w:t>
      </w:r>
      <w:r>
        <w:rPr>
          <w:rFonts w:hint="eastAsia" w:ascii="宋体" w:hAnsi="宋体"/>
          <w:color w:val="auto"/>
          <w:sz w:val="24"/>
          <w:highlight w:val="none"/>
          <w:lang w:val="zh-CN"/>
        </w:rPr>
        <w:t xml:space="preserve">过程中出现下列情形之一的，</w:t>
      </w:r>
      <w:r>
        <w:rPr>
          <w:rFonts w:hint="eastAsia" w:ascii="宋体" w:hAnsi="宋体"/>
          <w:color w:val="auto"/>
          <w:sz w:val="24"/>
          <w:szCs w:val="21"/>
          <w:highlight w:val="none"/>
        </w:rPr>
        <w:t xml:space="preserve">磋商小组</w:t>
      </w:r>
      <w:r>
        <w:rPr>
          <w:rFonts w:hint="eastAsia" w:ascii="宋体" w:hAnsi="宋体"/>
          <w:color w:val="auto"/>
          <w:sz w:val="24"/>
          <w:highlight w:val="none"/>
          <w:lang w:val="zh-CN"/>
        </w:rPr>
        <w:t xml:space="preserve">应当启动异常低价审查程序：</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（1）投标报价低于全部通过符合性审查供应商投标报价平均值</w:t>
      </w:r>
      <w:r>
        <w:rPr>
          <w:rFonts w:hint="eastAsia" w:ascii="宋体" w:hAnsi="宋体"/>
          <w:color w:val="auto"/>
          <w:sz w:val="24"/>
          <w:highlight w:val="none"/>
          <w:u w:val="single"/>
          <w:lang w:val="zh-CN"/>
        </w:rPr>
        <w:t xml:space="preserve">50</w:t>
      </w:r>
      <w:r>
        <w:rPr>
          <w:rFonts w:ascii="宋体" w:hAnsi="宋体"/>
          <w:color w:val="auto"/>
          <w:sz w:val="24"/>
          <w:highlight w:val="none"/>
          <w:u w:val="single"/>
          <w:lang w:val="zh-CN"/>
        </w:rPr>
        <w:t xml:space="preserve">%</w:t>
      </w:r>
      <w:r>
        <w:rPr>
          <w:rFonts w:hint="eastAsia" w:ascii="宋体" w:hAnsi="宋体"/>
          <w:color w:val="auto"/>
          <w:sz w:val="24"/>
          <w:highlight w:val="none"/>
          <w:lang w:val="zh-CN"/>
        </w:rPr>
        <w:t xml:space="preserve">的，即投标报价&lt;全部通过符合性审查供应商投标报价平均值×</w:t>
      </w:r>
      <w:r>
        <w:rPr>
          <w:rFonts w:hint="eastAsia" w:ascii="宋体" w:hAnsi="宋体"/>
          <w:color w:val="auto"/>
          <w:sz w:val="24"/>
          <w:highlight w:val="none"/>
          <w:u w:val="single"/>
          <w:lang w:val="zh-CN"/>
        </w:rPr>
        <w:t xml:space="preserve">50</w:t>
      </w:r>
      <w:r>
        <w:rPr>
          <w:rFonts w:ascii="宋体" w:hAnsi="宋体"/>
          <w:color w:val="auto"/>
          <w:sz w:val="24"/>
          <w:highlight w:val="none"/>
          <w:u w:val="single"/>
          <w:lang w:val="zh-CN"/>
        </w:rPr>
        <w:t xml:space="preserve">%</w:t>
      </w:r>
      <w:r>
        <w:rPr>
          <w:rFonts w:hint="eastAsia" w:ascii="宋体" w:hAnsi="宋体"/>
          <w:color w:val="auto"/>
          <w:sz w:val="24"/>
          <w:highlight w:val="none"/>
          <w:lang w:val="zh-CN"/>
        </w:rPr>
        <w:t xml:space="preserve">；</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（2）投标报价低于通过符合性审查的次低报价供应商投标报价</w:t>
      </w:r>
      <w:r>
        <w:rPr>
          <w:rFonts w:hint="eastAsia" w:ascii="宋体" w:hAnsi="宋体"/>
          <w:color w:val="auto"/>
          <w:sz w:val="24"/>
          <w:highlight w:val="none"/>
          <w:u w:val="single"/>
          <w:lang w:val="zh-CN"/>
        </w:rPr>
        <w:t xml:space="preserve">50</w:t>
      </w:r>
      <w:r>
        <w:rPr>
          <w:rFonts w:ascii="宋体" w:hAnsi="宋体"/>
          <w:color w:val="auto"/>
          <w:sz w:val="24"/>
          <w:highlight w:val="none"/>
          <w:u w:val="single"/>
          <w:lang w:val="zh-CN"/>
        </w:rPr>
        <w:t xml:space="preserve">%</w:t>
      </w:r>
      <w:r>
        <w:rPr>
          <w:rFonts w:hint="eastAsia" w:ascii="宋体" w:hAnsi="宋体"/>
          <w:color w:val="auto"/>
          <w:sz w:val="24"/>
          <w:highlight w:val="none"/>
          <w:lang w:val="zh-CN"/>
        </w:rPr>
        <w:t xml:space="preserve">的，即投标报价&lt;通过符合性审查的次低报价供应商投标报价×</w:t>
      </w:r>
      <w:r>
        <w:rPr>
          <w:rFonts w:hint="eastAsia" w:ascii="宋体" w:hAnsi="宋体"/>
          <w:color w:val="auto"/>
          <w:sz w:val="24"/>
          <w:highlight w:val="none"/>
          <w:u w:val="single"/>
          <w:lang w:val="zh-CN"/>
        </w:rPr>
        <w:t xml:space="preserve">50</w:t>
      </w:r>
      <w:r>
        <w:rPr>
          <w:rFonts w:ascii="宋体" w:hAnsi="宋体"/>
          <w:color w:val="auto"/>
          <w:sz w:val="24"/>
          <w:highlight w:val="none"/>
          <w:u w:val="single"/>
          <w:lang w:val="zh-CN"/>
        </w:rPr>
        <w:t xml:space="preserve">%</w:t>
      </w:r>
      <w:r>
        <w:rPr>
          <w:rFonts w:hint="eastAsia" w:ascii="宋体" w:hAnsi="宋体"/>
          <w:color w:val="auto"/>
          <w:sz w:val="24"/>
          <w:highlight w:val="none"/>
          <w:lang w:val="zh-CN"/>
        </w:rPr>
        <w:t xml:space="preserve">；</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（3）投标报价低于采购项目最高限价</w:t>
      </w:r>
      <w:r>
        <w:rPr>
          <w:rFonts w:hint="eastAsia" w:ascii="宋体" w:hAnsi="宋体"/>
          <w:color w:val="auto"/>
          <w:sz w:val="24"/>
          <w:highlight w:val="none"/>
          <w:u w:val="single"/>
          <w:lang w:val="zh-CN"/>
        </w:rPr>
        <w:t xml:space="preserve">45</w:t>
      </w:r>
      <w:r>
        <w:rPr>
          <w:rFonts w:ascii="宋体" w:hAnsi="宋体"/>
          <w:color w:val="auto"/>
          <w:sz w:val="24"/>
          <w:highlight w:val="none"/>
          <w:u w:val="single"/>
          <w:lang w:val="zh-CN"/>
        </w:rPr>
        <w:t xml:space="preserve">%</w:t>
      </w:r>
      <w:r>
        <w:rPr>
          <w:rFonts w:hint="eastAsia" w:ascii="宋体" w:hAnsi="宋体"/>
          <w:color w:val="auto"/>
          <w:sz w:val="24"/>
          <w:highlight w:val="none"/>
          <w:lang w:val="zh-CN"/>
        </w:rPr>
        <w:t xml:space="preserve">的，即投标报价&lt;采购项目最高限价×</w:t>
      </w:r>
      <w:r>
        <w:rPr>
          <w:rFonts w:hint="eastAsia" w:ascii="宋体" w:hAnsi="宋体"/>
          <w:color w:val="auto"/>
          <w:sz w:val="24"/>
          <w:highlight w:val="none"/>
          <w:u w:val="single"/>
          <w:lang w:val="zh-CN"/>
        </w:rPr>
        <w:t xml:space="preserve">45</w:t>
      </w:r>
      <w:r>
        <w:rPr>
          <w:rFonts w:ascii="宋体" w:hAnsi="宋体"/>
          <w:color w:val="auto"/>
          <w:sz w:val="24"/>
          <w:highlight w:val="none"/>
          <w:u w:val="single"/>
          <w:lang w:val="zh-CN"/>
        </w:rPr>
        <w:t xml:space="preserve">%</w:t>
      </w:r>
      <w:r>
        <w:rPr>
          <w:rFonts w:hint="eastAsia" w:ascii="宋体" w:hAnsi="宋体"/>
          <w:color w:val="auto"/>
          <w:sz w:val="24"/>
          <w:highlight w:val="none"/>
          <w:lang w:val="zh-CN"/>
        </w:rPr>
        <w:t xml:space="preserve">；</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（4）评委会基于专业判断，认为供应商报价过低，有可能影响产品质量或者不能诚信履约的其他情形。</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szCs w:val="21"/>
          <w:highlight w:val="none"/>
        </w:rPr>
        <w:t xml:space="preserve">磋商小组</w:t>
      </w:r>
      <w:r>
        <w:rPr>
          <w:rFonts w:hint="eastAsia" w:ascii="宋体" w:hAnsi="宋体"/>
          <w:color w:val="auto"/>
          <w:sz w:val="24"/>
          <w:highlight w:val="none"/>
          <w:lang w:val="zh-CN"/>
        </w:rPr>
        <w:t xml:space="preserve">启动异常低价审查后，属于前述第（1）项至第（4）项情形的，应当要求相关供应商在评审现场合理的时间内对</w:t>
      </w:r>
      <w:r>
        <w:rPr>
          <w:rFonts w:hint="eastAsia" w:ascii="宋体" w:hAnsi="宋体"/>
          <w:color w:val="auto"/>
          <w:sz w:val="24"/>
          <w:szCs w:val="21"/>
          <w:highlight w:val="none"/>
        </w:rPr>
        <w:t xml:space="preserve">报价</w:t>
      </w:r>
      <w:r>
        <w:rPr>
          <w:rFonts w:hint="eastAsia" w:ascii="宋体" w:hAnsi="宋体"/>
          <w:color w:val="auto"/>
          <w:sz w:val="24"/>
          <w:highlight w:val="none"/>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color w:val="auto"/>
          <w:sz w:val="24"/>
          <w:highlight w:val="none"/>
          <w:lang w:val="zh-CN"/>
        </w:rPr>
        <w:t xml:space="preserve">供应商已随</w:t>
      </w:r>
      <w:r>
        <w:rPr>
          <w:rFonts w:hint="eastAsia" w:ascii="宋体" w:hAnsi="宋体"/>
          <w:color w:val="auto"/>
          <w:sz w:val="24"/>
          <w:highlight w:val="none"/>
        </w:rPr>
        <w:t xml:space="preserve">响应</w:t>
      </w:r>
      <w:r>
        <w:rPr>
          <w:rFonts w:hint="eastAsia" w:ascii="宋体" w:hAnsi="宋体"/>
          <w:color w:val="auto"/>
          <w:sz w:val="24"/>
          <w:highlight w:val="none"/>
          <w:lang w:val="zh-CN"/>
        </w:rPr>
        <w:t xml:space="preserve">文件一并提交相关书面说明及必要的证明材料的，在评</w:t>
      </w:r>
      <w:r>
        <w:rPr>
          <w:rFonts w:hint="eastAsia" w:ascii="宋体" w:hAnsi="宋体"/>
          <w:color w:val="auto"/>
          <w:sz w:val="24"/>
          <w:highlight w:val="none"/>
        </w:rPr>
        <w:t xml:space="preserve">审</w:t>
      </w:r>
      <w:r>
        <w:rPr>
          <w:rFonts w:hint="eastAsia" w:ascii="宋体" w:hAnsi="宋体"/>
          <w:color w:val="auto"/>
          <w:sz w:val="24"/>
          <w:highlight w:val="none"/>
          <w:lang w:val="zh-CN"/>
        </w:rPr>
        <w:t xml:space="preserve">现场可不再重复提交</w:t>
      </w:r>
      <w:bookmarkEnd w:id="12"/>
      <w:r>
        <w:rPr>
          <w:rFonts w:hint="eastAsia" w:ascii="宋体" w:hAnsi="宋体"/>
          <w:color w:val="auto"/>
          <w:sz w:val="24"/>
          <w:highlight w:val="none"/>
          <w:lang w:val="zh-CN"/>
        </w:rPr>
        <w:t xml:space="preserve">。</w:t>
      </w:r>
      <w:r/>
    </w:p>
    <w:p>
      <w:pPr>
        <w:ind w:firstLine="420"/>
        <w:rPr>
          <w:rFonts w:ascii="宋体" w:hAnsi="宋体"/>
          <w:color w:val="auto"/>
          <w:sz w:val="24"/>
          <w:highlight w:val="none"/>
          <w:lang w:val="zh-CN"/>
        </w:rPr>
      </w:pPr>
      <w:r>
        <w:rPr>
          <w:rFonts w:hint="eastAsia" w:ascii="宋体" w:hAnsi="宋体"/>
          <w:color w:val="auto"/>
          <w:sz w:val="24"/>
          <w:szCs w:val="21"/>
          <w:highlight w:val="none"/>
        </w:rPr>
        <w:t xml:space="preserve">磋商小组</w:t>
      </w:r>
      <w:r>
        <w:rPr>
          <w:rFonts w:hint="eastAsia" w:ascii="宋体" w:hAnsi="宋体"/>
          <w:color w:val="auto"/>
          <w:sz w:val="24"/>
          <w:highlight w:val="none"/>
          <w:lang w:val="zh-CN"/>
        </w:rPr>
        <w:t xml:space="preserve">依据专业经验，参考同类项目</w:t>
      </w:r>
      <w:r>
        <w:rPr>
          <w:rFonts w:hint="eastAsia" w:ascii="宋体" w:hAnsi="宋体"/>
          <w:color w:val="auto"/>
          <w:sz w:val="24"/>
          <w:highlight w:val="none"/>
        </w:rPr>
        <w:t xml:space="preserve">成交</w:t>
      </w:r>
      <w:r>
        <w:rPr>
          <w:rFonts w:hint="eastAsia" w:ascii="宋体" w:hAnsi="宋体"/>
          <w:color w:val="auto"/>
          <w:sz w:val="24"/>
          <w:highlight w:val="none"/>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auto"/>
          <w:sz w:val="24"/>
          <w:highlight w:val="none"/>
        </w:rPr>
        <w:t xml:space="preserve">磋商小组</w:t>
      </w:r>
      <w:r>
        <w:rPr>
          <w:rFonts w:hint="eastAsia" w:ascii="宋体" w:hAnsi="宋体"/>
          <w:color w:val="auto"/>
          <w:sz w:val="24"/>
          <w:highlight w:val="none"/>
          <w:lang w:val="zh-CN"/>
        </w:rPr>
        <w:t xml:space="preserve">应当将其作为</w:t>
      </w:r>
      <w:r>
        <w:rPr>
          <w:rFonts w:hint="eastAsia" w:ascii="宋体" w:hAnsi="宋体"/>
          <w:color w:val="auto"/>
          <w:sz w:val="24"/>
          <w:highlight w:val="none"/>
        </w:rPr>
        <w:t xml:space="preserve">未实质性响应磋商文件</w:t>
      </w:r>
      <w:r>
        <w:rPr>
          <w:rFonts w:hint="eastAsia" w:ascii="宋体" w:hAnsi="宋体"/>
          <w:color w:val="auto"/>
          <w:sz w:val="24"/>
          <w:highlight w:val="none"/>
          <w:lang w:val="zh-CN"/>
        </w:rPr>
        <w:t xml:space="preserve">处理。</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 未实质性响应磋商文件的情形</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24.4.1 供应商在苏采云系统规定的时间内未成功解密电子响应文件。</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24.4.2 供应商未按照磋商文件要求上传电子响应文件。</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24.4.3 同一供应商提交两个（含两个）以上不同的响应文件或者最后报价。</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24.4.4 供应商不具备磋商文件中规定的资格要求。</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24.4.5 供应商的最后报价超过了采购预算或最高限价或单价上限。</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24.4.6 不符合磋商文件中规定的实质性要求和条件（</w:t>
      </w:r>
      <w:r>
        <w:rPr>
          <w:rFonts w:hint="eastAsia" w:ascii="宋体" w:hAnsi="宋体"/>
          <w:b/>
          <w:bCs/>
          <w:color w:val="auto"/>
          <w:sz w:val="24"/>
          <w:szCs w:val="21"/>
          <w:highlight w:val="none"/>
        </w:rPr>
        <w:t xml:space="preserve">本文件中斜体且有下划线部分</w:t>
      </w:r>
      <w:r>
        <w:rPr>
          <w:rFonts w:hint="eastAsia" w:ascii="宋体" w:hAnsi="宋体"/>
          <w:b/>
          <w:bCs/>
          <w:color w:val="auto"/>
          <w:sz w:val="24"/>
          <w:szCs w:val="21"/>
          <w:highlight w:val="none"/>
          <w:lang w:val="zh-CN"/>
        </w:rPr>
        <w:t xml:space="preserve">或者打“</w:t>
      </w:r>
      <w:r>
        <w:rPr>
          <w:rFonts w:hint="eastAsia" w:ascii="宋体" w:hAnsi="宋体"/>
          <w:b/>
          <w:bCs/>
          <w:color w:val="auto"/>
          <w:sz w:val="24"/>
          <w:szCs w:val="21"/>
          <w:highlight w:val="none"/>
        </w:rPr>
        <w:t xml:space="preserve">★</w:t>
      </w:r>
      <w:r>
        <w:rPr>
          <w:rFonts w:hint="eastAsia" w:ascii="宋体" w:hAnsi="宋体"/>
          <w:b/>
          <w:bCs/>
          <w:color w:val="auto"/>
          <w:sz w:val="24"/>
          <w:szCs w:val="21"/>
          <w:highlight w:val="none"/>
          <w:lang w:val="zh-CN"/>
        </w:rPr>
        <w:t xml:space="preserve">”内容，</w:t>
      </w:r>
      <w:r>
        <w:rPr>
          <w:rFonts w:hint="eastAsia" w:ascii="宋体" w:hAnsi="宋体"/>
          <w:b/>
          <w:bCs/>
          <w:color w:val="auto"/>
          <w:sz w:val="24"/>
          <w:szCs w:val="21"/>
          <w:highlight w:val="none"/>
        </w:rPr>
        <w:t xml:space="preserve">为实质性要求和条件</w:t>
      </w:r>
      <w:r>
        <w:rPr>
          <w:rFonts w:hint="eastAsia" w:ascii="宋体" w:hAnsi="宋体"/>
          <w:color w:val="auto"/>
          <w:sz w:val="24"/>
          <w:szCs w:val="21"/>
          <w:highlight w:val="none"/>
        </w:rPr>
        <w:t xml:space="preserve">）。</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24.4.7 供应商被“信用中国”网站（www.creditchina.gov.cn）列入失信被执行人或重大税收违法案件当事人名单或政府采购严重</w:t>
      </w:r>
      <w:r>
        <w:rPr>
          <w:rFonts w:hint="eastAsia" w:ascii="宋体" w:hAnsi="宋体"/>
          <w:color w:val="auto"/>
          <w:sz w:val="24"/>
          <w:szCs w:val="21"/>
          <w:highlight w:val="none"/>
          <w:lang w:val="en-US" w:eastAsia="zh-CN"/>
        </w:rPr>
        <w:t xml:space="preserve">违法</w:t>
      </w:r>
      <w:r>
        <w:rPr>
          <w:rFonts w:hint="eastAsia" w:ascii="宋体" w:hAnsi="宋体"/>
          <w:color w:val="auto"/>
          <w:sz w:val="24"/>
          <w:szCs w:val="21"/>
          <w:highlight w:val="none"/>
        </w:rPr>
        <w:t xml:space="preserve">失信行为记录名单，或查询“信用中国”网站后发现供应商存在其他不符合《中华人民共和国政府采购法》第二十二条规定条件的信用记录。</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24.4.8 响应文件含有采购人不能接受的附加条件。</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24.4.9 磋商小组按照本采购文件规定对供应商进行异常低价审查后，认为供应商不能证明其报价合理性的。</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24.4.10 </w:t>
      </w:r>
      <w:r>
        <w:rPr>
          <w:rFonts w:hint="eastAsia" w:ascii="宋体" w:hAnsi="宋体"/>
          <w:color w:val="auto"/>
          <w:sz w:val="24"/>
          <w:szCs w:val="21"/>
          <w:highlight w:val="none"/>
          <w:lang w:val="zh-CN"/>
        </w:rPr>
        <w:t xml:space="preserve">采购产品被财政部、国家发</w:t>
      </w:r>
      <w:r>
        <w:rPr>
          <w:rFonts w:hint="eastAsia" w:ascii="宋体" w:hAnsi="宋体"/>
          <w:color w:val="auto"/>
          <w:sz w:val="24"/>
          <w:szCs w:val="21"/>
          <w:highlight w:val="none"/>
          <w:lang w:val="en-US" w:eastAsia="zh-CN"/>
        </w:rPr>
        <w:t xml:space="preserve">展</w:t>
      </w:r>
      <w:r>
        <w:rPr>
          <w:rFonts w:hint="eastAsia" w:ascii="宋体" w:hAnsi="宋体"/>
          <w:color w:val="auto"/>
          <w:sz w:val="24"/>
          <w:szCs w:val="21"/>
          <w:highlight w:val="none"/>
          <w:lang w:val="zh-CN"/>
        </w:rPr>
        <w:t xml:space="preserve">改</w:t>
      </w:r>
      <w:r>
        <w:rPr>
          <w:rFonts w:hint="eastAsia" w:ascii="宋体" w:hAnsi="宋体"/>
          <w:color w:val="auto"/>
          <w:sz w:val="24"/>
          <w:szCs w:val="21"/>
          <w:highlight w:val="none"/>
          <w:lang w:val="en-US" w:eastAsia="zh-CN"/>
        </w:rPr>
        <w:t xml:space="preserve">革</w:t>
      </w:r>
      <w:r>
        <w:rPr>
          <w:rFonts w:hint="eastAsia" w:ascii="宋体" w:hAnsi="宋体"/>
          <w:color w:val="auto"/>
          <w:sz w:val="24"/>
          <w:szCs w:val="21"/>
          <w:highlight w:val="none"/>
          <w:lang w:val="zh-CN"/>
        </w:rPr>
        <w:t xml:space="preserve">委、生态环境部等列入“节能产品品目清单”强制采购范围，而供应商提供的产品不在强制采购范围内。</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24.4.11 响应文件未按照磋商文件要求加盖电子公章。</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24.4.12 法律法规及本磋商文件规定的其他无效响应的情形。</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24.5 未实质性响应磋商文件的响应文件按无效响应处理。</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24.6 如果响应文件实质上没有响应磋商文件的要求，磋商小组将予以拒绝，供应商不得通过修改或撤销不符合要求的偏离或保留而使其成为实质性响应的文件。</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24.7 供应商在项目评审全过程中应保持通讯畅通，</w:t>
      </w:r>
      <w:r>
        <w:rPr>
          <w:rFonts w:hint="eastAsia" w:ascii="宋体" w:hAnsi="宋体"/>
          <w:color w:val="auto"/>
          <w:sz w:val="24"/>
          <w:highlight w:val="none"/>
          <w:lang w:val="zh-CN"/>
        </w:rPr>
        <w:t xml:space="preserve">及时登录苏采云系统查阅、答复相关信息，并安排专人与采购代理机构及磋商小组联系。</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25.磋商程序及评审方法与评审标准</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25.1 磋商程序</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25.2 评审方法与评审标准</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25.2.1 评审方法。见磋商文件第五章。</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25.2.2 评审标准。见磋商文件第五章。</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25.3 采购活动终止</w:t>
      </w:r>
      <w:r/>
    </w:p>
    <w:p>
      <w:pPr>
        <w:ind w:firstLine="422"/>
        <w:rPr>
          <w:rFonts w:ascii="宋体" w:hAnsi="宋体"/>
          <w:b/>
          <w:bCs/>
          <w:color w:val="auto"/>
          <w:sz w:val="24"/>
          <w:szCs w:val="21"/>
          <w:highlight w:val="none"/>
        </w:rPr>
      </w:pPr>
      <w:r>
        <w:rPr>
          <w:rFonts w:hint="eastAsia" w:ascii="宋体" w:hAnsi="宋体"/>
          <w:b/>
          <w:bCs/>
          <w:color w:val="auto"/>
          <w:sz w:val="24"/>
          <w:szCs w:val="21"/>
          <w:highlight w:val="none"/>
        </w:rPr>
        <w:t xml:space="preserve">出现下列情形之一的，本次采购活动终止：</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25.3.1 因情况变化，不再符合竞争性磋商采购方式适用情形。</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25.3.2 出现影响采购公正的违法、违规行为。</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25.3.3 在苏采云系统规定时间内成功解密电子响应文件的供应商不足三家。</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25.3.4 除本磋商文件第二章第25.1.2条第三款规定的情形外，磋商过程中符合要求的供应商或者提交最后报价且未超过采购预算或最高限价的供应商不足三家。</w:t>
      </w:r>
      <w:r/>
    </w:p>
    <w:p>
      <w:pPr>
        <w:ind w:firstLine="420"/>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2</w:t>
      </w:r>
      <w:r>
        <w:rPr>
          <w:rFonts w:hint="eastAsia" w:ascii="宋体" w:hAnsi="宋体"/>
          <w:color w:val="auto"/>
          <w:sz w:val="24"/>
          <w:szCs w:val="21"/>
          <w:highlight w:val="none"/>
        </w:rPr>
        <w:t xml:space="preserve">5</w:t>
      </w:r>
      <w:r>
        <w:rPr>
          <w:rFonts w:hint="eastAsia" w:ascii="宋体" w:hAnsi="宋体"/>
          <w:color w:val="auto"/>
          <w:sz w:val="24"/>
          <w:szCs w:val="21"/>
          <w:highlight w:val="none"/>
          <w:lang w:val="zh-CN"/>
        </w:rPr>
        <w:t xml:space="preserve">.3.5</w:t>
      </w:r>
      <w:r>
        <w:rPr>
          <w:rFonts w:hint="eastAsia" w:ascii="宋体" w:hAnsi="宋体"/>
          <w:color w:val="auto"/>
          <w:sz w:val="24"/>
          <w:szCs w:val="21"/>
          <w:highlight w:val="none"/>
        </w:rPr>
        <w:t xml:space="preserve"> </w:t>
      </w:r>
      <w:r>
        <w:rPr>
          <w:rFonts w:hint="eastAsia" w:ascii="宋体" w:hAnsi="宋体"/>
          <w:color w:val="auto"/>
          <w:sz w:val="24"/>
          <w:szCs w:val="21"/>
          <w:highlight w:val="none"/>
          <w:lang w:val="zh-CN"/>
        </w:rPr>
        <w:t xml:space="preserve">法律法规规定的其他应当终止情形。</w:t>
      </w:r>
      <w:r/>
    </w:p>
    <w:p>
      <w:pPr>
        <w:ind w:firstLine="422"/>
        <w:rPr>
          <w:rFonts w:ascii="宋体" w:hAnsi="宋体"/>
          <w:b/>
          <w:bCs/>
          <w:color w:val="auto"/>
          <w:sz w:val="24"/>
          <w:highlight w:val="none"/>
        </w:rPr>
      </w:pPr>
      <w:r>
        <w:rPr>
          <w:rFonts w:hint="eastAsia" w:ascii="宋体" w:hAnsi="宋体"/>
          <w:b/>
          <w:bCs/>
          <w:color w:val="auto"/>
          <w:sz w:val="24"/>
          <w:highlight w:val="none"/>
          <w:lang w:val="zh-CN"/>
        </w:rPr>
        <w:t xml:space="preserve">25.4 如出现25.</w:t>
      </w:r>
      <w:r>
        <w:rPr>
          <w:rFonts w:hint="eastAsia" w:ascii="宋体" w:hAnsi="宋体"/>
          <w:b/>
          <w:bCs/>
          <w:color w:val="auto"/>
          <w:sz w:val="24"/>
          <w:highlight w:val="none"/>
        </w:rPr>
        <w:t xml:space="preserve">3</w:t>
      </w:r>
      <w:r>
        <w:rPr>
          <w:rFonts w:hint="eastAsia" w:ascii="宋体" w:hAnsi="宋体"/>
          <w:b/>
          <w:bCs/>
          <w:color w:val="auto"/>
          <w:sz w:val="24"/>
          <w:highlight w:val="none"/>
          <w:lang w:val="zh-CN"/>
        </w:rPr>
        <w:t xml:space="preserve">.</w:t>
      </w:r>
      <w:r>
        <w:rPr>
          <w:rFonts w:hint="eastAsia" w:ascii="宋体" w:hAnsi="宋体"/>
          <w:b/>
          <w:bCs/>
          <w:color w:val="auto"/>
          <w:sz w:val="24"/>
          <w:highlight w:val="none"/>
        </w:rPr>
        <w:t xml:space="preserve">3</w:t>
      </w:r>
      <w:r>
        <w:rPr>
          <w:rFonts w:hint="eastAsia" w:ascii="宋体" w:hAnsi="宋体"/>
          <w:b/>
          <w:bCs/>
          <w:color w:val="auto"/>
          <w:sz w:val="24"/>
          <w:highlight w:val="none"/>
          <w:lang w:val="zh-CN"/>
        </w:rPr>
        <w:t xml:space="preserve">或25.3</w:t>
      </w:r>
      <w:r>
        <w:rPr>
          <w:rFonts w:hint="eastAsia" w:ascii="宋体" w:hAnsi="宋体"/>
          <w:b/>
          <w:bCs/>
          <w:color w:val="auto"/>
          <w:sz w:val="24"/>
          <w:highlight w:val="none"/>
        </w:rPr>
        <w:t xml:space="preserve">.4</w:t>
      </w:r>
      <w:r>
        <w:rPr>
          <w:rFonts w:hint="eastAsia" w:ascii="宋体" w:hAnsi="宋体"/>
          <w:b/>
          <w:bCs/>
          <w:color w:val="auto"/>
          <w:sz w:val="24"/>
          <w:highlight w:val="none"/>
          <w:lang w:val="zh-CN"/>
        </w:rPr>
        <w:t xml:space="preserve">情形，</w:t>
      </w:r>
      <w:r>
        <w:rPr>
          <w:rFonts w:hint="eastAsia" w:ascii="宋体" w:hAnsi="宋体"/>
          <w:b/>
          <w:bCs/>
          <w:color w:val="auto"/>
          <w:sz w:val="24"/>
          <w:highlight w:val="none"/>
        </w:rPr>
        <w:t xml:space="preserve">采购</w:t>
      </w:r>
      <w:r>
        <w:rPr>
          <w:rFonts w:hint="eastAsia" w:ascii="宋体" w:hAnsi="宋体"/>
          <w:b/>
          <w:bCs/>
          <w:color w:val="auto"/>
          <w:sz w:val="24"/>
          <w:highlight w:val="none"/>
          <w:lang w:val="zh-CN"/>
        </w:rPr>
        <w:t xml:space="preserve">活动失败，</w:t>
      </w:r>
      <w:r>
        <w:rPr>
          <w:rFonts w:hint="eastAsia" w:ascii="宋体" w:hAnsi="宋体"/>
          <w:b/>
          <w:bCs/>
          <w:color w:val="auto"/>
          <w:sz w:val="24"/>
          <w:highlight w:val="none"/>
        </w:rPr>
        <w:t xml:space="preserve">磋商小组应</w:t>
      </w:r>
      <w:r>
        <w:rPr>
          <w:rFonts w:hint="eastAsia" w:ascii="宋体" w:hAnsi="宋体"/>
          <w:b/>
          <w:bCs/>
          <w:color w:val="auto"/>
          <w:sz w:val="24"/>
          <w:highlight w:val="none"/>
          <w:lang w:bidi="ar"/>
        </w:rPr>
        <w:t xml:space="preserve">对磋商</w:t>
      </w:r>
      <w:r>
        <w:rPr>
          <w:rFonts w:hint="eastAsia" w:ascii="宋体" w:hAnsi="宋体"/>
          <w:b/>
          <w:bCs/>
          <w:color w:val="auto"/>
          <w:sz w:val="24"/>
          <w:highlight w:val="none"/>
          <w:lang w:val="zh-CN" w:bidi="ar"/>
        </w:rPr>
        <w:t xml:space="preserve">文件是否存在不合理条款</w:t>
      </w:r>
      <w:r>
        <w:rPr>
          <w:rFonts w:hint="eastAsia" w:ascii="宋体" w:hAnsi="宋体"/>
          <w:b/>
          <w:bCs/>
          <w:color w:val="auto"/>
          <w:sz w:val="24"/>
          <w:highlight w:val="none"/>
          <w:lang w:bidi="ar"/>
        </w:rPr>
        <w:t xml:space="preserve">进行论证，并在评审报告中写明</w:t>
      </w:r>
      <w:r>
        <w:rPr>
          <w:rFonts w:hint="eastAsia" w:ascii="宋体" w:hAnsi="宋体"/>
          <w:b/>
          <w:bCs/>
          <w:color w:val="auto"/>
          <w:sz w:val="24"/>
          <w:highlight w:val="none"/>
          <w:lang w:val="zh-CN" w:bidi="ar"/>
        </w:rPr>
        <w:t xml:space="preserve">论证意见。</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六、成交</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26.确定成交单位</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26.1 成交候选供应商的确定原则和数量见磋商文件第五章。</w:t>
      </w:r>
      <w:r/>
    </w:p>
    <w:p>
      <w:pPr>
        <w:ind w:firstLine="420"/>
        <w:rPr>
          <w:rFonts w:ascii="宋体" w:hAnsi="宋体"/>
          <w:color w:val="auto"/>
          <w:sz w:val="24"/>
          <w:szCs w:val="24"/>
          <w:highlight w:val="none"/>
        </w:rPr>
      </w:pPr>
      <w:r>
        <w:rPr>
          <w:rFonts w:hint="eastAsia" w:ascii="宋体" w:hAnsi="宋体"/>
          <w:color w:val="auto"/>
          <w:sz w:val="24"/>
          <w:szCs w:val="21"/>
          <w:highlight w:val="none"/>
        </w:rPr>
        <w:t xml:space="preserve">26.2 </w:t>
      </w:r>
      <w:r>
        <w:rPr>
          <w:rFonts w:hint="eastAsia" w:ascii="宋体" w:hAnsi="宋体"/>
          <w:color w:val="auto"/>
          <w:sz w:val="24"/>
          <w:szCs w:val="21"/>
          <w:highlight w:val="none"/>
          <w:lang w:val="zh-CN"/>
        </w:rPr>
        <w:t xml:space="preserve">按以下第（</w:t>
      </w:r>
      <w:r>
        <w:rPr>
          <w:rFonts w:hint="eastAsia" w:ascii="宋体" w:hAnsi="宋体"/>
          <w:color w:val="auto"/>
          <w:sz w:val="24"/>
          <w:szCs w:val="21"/>
          <w:highlight w:val="none"/>
        </w:rPr>
        <w:t xml:space="preserve">2</w:t>
      </w:r>
      <w:r>
        <w:rPr>
          <w:rFonts w:hint="eastAsia" w:ascii="宋体" w:hAnsi="宋体"/>
          <w:color w:val="auto"/>
          <w:sz w:val="24"/>
          <w:szCs w:val="21"/>
          <w:highlight w:val="none"/>
          <w:lang w:val="zh-CN"/>
        </w:rPr>
        <w:t xml:space="preserve">）种方式确定</w:t>
      </w:r>
      <w:r>
        <w:rPr>
          <w:rFonts w:hint="eastAsia" w:ascii="宋体" w:hAnsi="宋体"/>
          <w:color w:val="auto"/>
          <w:sz w:val="24"/>
          <w:szCs w:val="21"/>
          <w:highlight w:val="none"/>
        </w:rPr>
        <w:t xml:space="preserve">成交供应商</w:t>
      </w:r>
      <w:r/>
    </w:p>
    <w:p>
      <w:pPr>
        <w:ind w:firstLine="420"/>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rPr>
        <w:t xml:space="preserve">磋商小组</w:t>
      </w:r>
      <w:r>
        <w:rPr>
          <w:rFonts w:hint="eastAsia" w:ascii="宋体" w:hAnsi="宋体"/>
          <w:color w:val="auto"/>
          <w:sz w:val="24"/>
          <w:szCs w:val="21"/>
          <w:highlight w:val="none"/>
          <w:lang w:val="zh-CN"/>
        </w:rPr>
        <w:t xml:space="preserve">直接确定排名第一的</w:t>
      </w:r>
      <w:r>
        <w:rPr>
          <w:rFonts w:hint="eastAsia" w:ascii="宋体" w:hAnsi="宋体"/>
          <w:color w:val="auto"/>
          <w:sz w:val="24"/>
          <w:szCs w:val="21"/>
          <w:highlight w:val="none"/>
        </w:rPr>
        <w:t xml:space="preserve">成交候选供应商</w:t>
      </w:r>
      <w:r>
        <w:rPr>
          <w:rFonts w:hint="eastAsia" w:ascii="宋体" w:hAnsi="宋体"/>
          <w:color w:val="auto"/>
          <w:sz w:val="24"/>
          <w:szCs w:val="21"/>
          <w:highlight w:val="none"/>
          <w:lang w:val="zh-CN"/>
        </w:rPr>
        <w:t xml:space="preserve">为</w:t>
      </w:r>
      <w:r>
        <w:rPr>
          <w:rFonts w:hint="eastAsia" w:ascii="宋体" w:hAnsi="宋体"/>
          <w:color w:val="auto"/>
          <w:sz w:val="24"/>
          <w:szCs w:val="21"/>
          <w:highlight w:val="none"/>
        </w:rPr>
        <w:t xml:space="preserve">成交供应商</w:t>
      </w:r>
      <w:r>
        <w:rPr>
          <w:rFonts w:hint="eastAsia" w:ascii="宋体" w:hAnsi="宋体"/>
          <w:color w:val="auto"/>
          <w:sz w:val="24"/>
          <w:szCs w:val="21"/>
          <w:highlight w:val="none"/>
          <w:lang w:val="zh-CN"/>
        </w:rPr>
        <w:t xml:space="preserve">；</w:t>
      </w:r>
      <w:r/>
    </w:p>
    <w:p>
      <w:pPr>
        <w:ind w:firstLine="420"/>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（2）采购人在</w:t>
      </w:r>
      <w:r>
        <w:rPr>
          <w:rFonts w:hint="eastAsia" w:ascii="宋体" w:hAnsi="宋体"/>
          <w:color w:val="auto"/>
          <w:sz w:val="24"/>
          <w:szCs w:val="21"/>
          <w:highlight w:val="none"/>
        </w:rPr>
        <w:t xml:space="preserve">磋商小组</w:t>
      </w:r>
      <w:r>
        <w:rPr>
          <w:rFonts w:hint="eastAsia" w:ascii="宋体" w:hAnsi="宋体"/>
          <w:color w:val="auto"/>
          <w:sz w:val="24"/>
          <w:szCs w:val="21"/>
          <w:highlight w:val="none"/>
          <w:lang w:val="zh-CN"/>
        </w:rPr>
        <w:t xml:space="preserve">推荐的</w:t>
      </w:r>
      <w:r>
        <w:rPr>
          <w:rFonts w:hint="eastAsia" w:ascii="宋体" w:hAnsi="宋体"/>
          <w:color w:val="auto"/>
          <w:sz w:val="24"/>
          <w:szCs w:val="21"/>
          <w:highlight w:val="none"/>
        </w:rPr>
        <w:t xml:space="preserve">成交候选供应商</w:t>
      </w:r>
      <w:r>
        <w:rPr>
          <w:rFonts w:hint="eastAsia" w:ascii="宋体" w:hAnsi="宋体"/>
          <w:color w:val="auto"/>
          <w:sz w:val="24"/>
          <w:szCs w:val="21"/>
          <w:highlight w:val="none"/>
          <w:lang w:val="zh-CN"/>
        </w:rPr>
        <w:t xml:space="preserve">中按顺序确定</w:t>
      </w:r>
      <w:r>
        <w:rPr>
          <w:rFonts w:hint="eastAsia" w:ascii="宋体" w:hAnsi="宋体"/>
          <w:color w:val="auto"/>
          <w:sz w:val="24"/>
          <w:szCs w:val="21"/>
          <w:highlight w:val="none"/>
        </w:rPr>
        <w:t xml:space="preserve">成交供应商</w:t>
      </w:r>
      <w:r>
        <w:rPr>
          <w:rFonts w:hint="eastAsia" w:ascii="宋体" w:hAnsi="宋体"/>
          <w:color w:val="auto"/>
          <w:sz w:val="24"/>
          <w:szCs w:val="21"/>
          <w:highlight w:val="none"/>
          <w:lang w:val="zh-CN"/>
        </w:rPr>
        <w:t xml:space="preserve">。</w:t>
      </w:r>
      <w:r/>
    </w:p>
    <w:p>
      <w:pPr>
        <w:ind w:firstLine="420"/>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按第二种方式确定</w:t>
      </w:r>
      <w:r>
        <w:rPr>
          <w:rFonts w:hint="eastAsia" w:ascii="宋体" w:hAnsi="宋体"/>
          <w:color w:val="auto"/>
          <w:sz w:val="24"/>
          <w:szCs w:val="21"/>
          <w:highlight w:val="none"/>
        </w:rPr>
        <w:t xml:space="preserve">成交供应商</w:t>
      </w:r>
      <w:r>
        <w:rPr>
          <w:rFonts w:hint="eastAsia" w:ascii="宋体" w:hAnsi="宋体"/>
          <w:color w:val="auto"/>
          <w:sz w:val="24"/>
          <w:szCs w:val="21"/>
          <w:highlight w:val="none"/>
          <w:lang w:val="zh-CN"/>
        </w:rPr>
        <w:t xml:space="preserve">的，采购代理机构自评审结束之日起两个工作日内将评审报告送交采购人，采购人自收到评审报告之日起五个工作日内，在评审报告推荐的</w:t>
      </w:r>
      <w:r>
        <w:rPr>
          <w:rFonts w:hint="eastAsia" w:ascii="宋体" w:hAnsi="宋体"/>
          <w:color w:val="auto"/>
          <w:sz w:val="24"/>
          <w:szCs w:val="21"/>
          <w:highlight w:val="none"/>
        </w:rPr>
        <w:t xml:space="preserve">成交候选供应商</w:t>
      </w:r>
      <w:r>
        <w:rPr>
          <w:rFonts w:hint="eastAsia" w:ascii="宋体" w:hAnsi="宋体"/>
          <w:color w:val="auto"/>
          <w:sz w:val="24"/>
          <w:szCs w:val="21"/>
          <w:highlight w:val="none"/>
          <w:lang w:val="zh-CN"/>
        </w:rPr>
        <w:t xml:space="preserve">中按顺序确定</w:t>
      </w:r>
      <w:r>
        <w:rPr>
          <w:rFonts w:hint="eastAsia" w:ascii="宋体" w:hAnsi="宋体"/>
          <w:color w:val="auto"/>
          <w:sz w:val="24"/>
          <w:szCs w:val="21"/>
          <w:highlight w:val="none"/>
        </w:rPr>
        <w:t xml:space="preserve">成交供应商</w:t>
      </w:r>
      <w:r>
        <w:rPr>
          <w:rFonts w:hint="eastAsia" w:ascii="宋体" w:hAnsi="宋体"/>
          <w:color w:val="auto"/>
          <w:sz w:val="24"/>
          <w:szCs w:val="21"/>
          <w:highlight w:val="none"/>
          <w:lang w:val="zh-CN"/>
        </w:rPr>
        <w:t xml:space="preserve">。</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26.3 </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将在“江苏政府采购网”发布成交结果公告，公告期限为1个工作日。</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26.4 </w:t>
      </w:r>
      <w:r>
        <w:rPr>
          <w:rFonts w:hint="eastAsia" w:ascii="宋体" w:hAnsi="宋体"/>
          <w:b/>
          <w:bCs/>
          <w:color w:val="auto"/>
          <w:sz w:val="24"/>
          <w:szCs w:val="21"/>
          <w:highlight w:val="none"/>
        </w:rPr>
        <w:t xml:space="preserve">若有充分证据证明成交供应商有下列情况之一的，一经查实将被取消成交资格：</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26.4.1 提供虚假材料谋取成交。</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26.4.2 向评审专家、采购人或</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工作人员行贿或者提供其他不正当利益。</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26.4.3 与其他供应商、评审专家、采购人或</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工作人员恶意串通。</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26.4.4 不满足本磋商文件规定的实质性要求，但在评审过程中未被磋商小组发现。</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26.4.5 采取不正当手段诋毁、排挤其他供应商。</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27.成交通知书</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27.1 成交结果确定后，</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将向成交供应商发出《成交通知书》。成交供应商可在成交结果公告届满之日起三十日内，登录苏采云系统下载。    </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28.签订合同</w:t>
      </w:r>
      <w:r/>
    </w:p>
    <w:p>
      <w:pPr>
        <w:ind w:firstLine="420"/>
        <w:rPr>
          <w:rFonts w:ascii="宋体" w:hAnsi="宋体"/>
          <w:color w:val="auto"/>
          <w:sz w:val="24"/>
          <w:highlight w:val="none"/>
        </w:rPr>
      </w:pPr>
      <w:r>
        <w:rPr>
          <w:rFonts w:hint="eastAsia" w:ascii="宋体" w:hAnsi="宋体"/>
          <w:color w:val="auto"/>
          <w:sz w:val="24"/>
          <w:szCs w:val="21"/>
          <w:highlight w:val="none"/>
        </w:rPr>
        <w:t xml:space="preserve">28.</w:t>
      </w:r>
      <w:r>
        <w:rPr>
          <w:rFonts w:hint="eastAsia" w:ascii="宋体" w:hAnsi="宋体"/>
          <w:color w:val="auto"/>
          <w:sz w:val="24"/>
          <w:szCs w:val="21"/>
          <w:highlight w:val="none"/>
          <w:lang w:val="en-US" w:eastAsia="zh-CN"/>
        </w:rPr>
        <w:t xml:space="preserve">1</w:t>
      </w:r>
      <w:r>
        <w:rPr>
          <w:rFonts w:hint="eastAsia" w:ascii="宋体" w:hAnsi="宋体"/>
          <w:color w:val="auto"/>
          <w:sz w:val="24"/>
          <w:szCs w:val="21"/>
          <w:highlight w:val="none"/>
        </w:rPr>
        <w:t xml:space="preserve"> 成交供应商应当在《成交通知书》发出之日起三十日内，按照磋商文件确定的事项与采购人签订政府采购合同。</w:t>
      </w:r>
      <w:r>
        <w:rPr>
          <w:rFonts w:hint="eastAsia" w:ascii="宋体" w:hAnsi="宋体"/>
          <w:color w:val="auto"/>
          <w:sz w:val="24"/>
          <w:highlight w:val="none"/>
        </w:rPr>
        <w:t xml:space="preserve">采购人于合同签订后2个工作日内通过苏采云系统进行公示。</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28.2 磋商文件、成交供应商的响应文件及磋商过程中有关澄清、承诺文件均作为合同附件。</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28.4 成交供应商因自身原因拒绝与采购人签订合同的，</w:t>
      </w:r>
      <w:r>
        <w:rPr>
          <w:rFonts w:hint="eastAsia" w:ascii="宋体" w:hAnsi="宋体"/>
          <w:color w:val="auto"/>
          <w:sz w:val="24"/>
          <w:highlight w:val="none"/>
          <w:lang w:val="zh-CN"/>
        </w:rPr>
        <w:t xml:space="preserve">不得参加采购人</w:t>
      </w:r>
      <w:r>
        <w:rPr>
          <w:rFonts w:hint="eastAsia" w:ascii="宋体" w:hAnsi="宋体"/>
          <w:color w:val="auto"/>
          <w:sz w:val="24"/>
          <w:highlight w:val="none"/>
        </w:rPr>
        <w:t xml:space="preserve">重新组织的</w:t>
      </w:r>
      <w:r>
        <w:rPr>
          <w:rFonts w:hint="eastAsia" w:ascii="宋体" w:hAnsi="宋体"/>
          <w:color w:val="auto"/>
          <w:sz w:val="24"/>
          <w:highlight w:val="none"/>
          <w:lang w:val="zh-CN"/>
        </w:rPr>
        <w:t xml:space="preserve">采购活动</w:t>
      </w:r>
      <w:r>
        <w:rPr>
          <w:rFonts w:hint="eastAsia"/>
          <w:color w:val="auto"/>
          <w:highlight w:val="none"/>
        </w:rPr>
        <w:t xml:space="preserve">，</w:t>
      </w:r>
      <w:r>
        <w:rPr>
          <w:rFonts w:hint="eastAsia" w:ascii="宋体" w:hAnsi="宋体"/>
          <w:color w:val="auto"/>
          <w:sz w:val="24"/>
          <w:highlight w:val="none"/>
        </w:rPr>
        <w:t xml:space="preserve">且将可能被拒绝参加该采购人</w:t>
      </w:r>
      <w:r>
        <w:rPr>
          <w:rFonts w:hint="eastAsia" w:ascii="宋体" w:hAnsi="宋体"/>
          <w:color w:val="auto"/>
          <w:sz w:val="24"/>
          <w:highlight w:val="none"/>
          <w:lang w:val="zh-CN"/>
        </w:rPr>
        <w:t xml:space="preserve">一年内</w:t>
      </w:r>
      <w:r>
        <w:rPr>
          <w:rFonts w:hint="eastAsia" w:ascii="宋体" w:hAnsi="宋体"/>
          <w:color w:val="auto"/>
          <w:sz w:val="24"/>
          <w:highlight w:val="none"/>
        </w:rPr>
        <w:t xml:space="preserve">的其他</w:t>
      </w:r>
      <w:r>
        <w:rPr>
          <w:rFonts w:hint="eastAsia" w:ascii="宋体" w:hAnsi="宋体"/>
          <w:color w:val="auto"/>
          <w:sz w:val="24"/>
          <w:highlight w:val="none"/>
          <w:lang w:val="zh-CN"/>
        </w:rPr>
        <w:t xml:space="preserve">政府采购活动。</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29.标的物的追加</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八、质疑</w:t>
      </w:r>
      <w:r/>
    </w:p>
    <w:p>
      <w:pPr>
        <w:ind w:firstLine="420"/>
        <w:rPr>
          <w:rFonts w:ascii="宋体" w:hAnsi="宋体"/>
          <w:color w:val="auto"/>
          <w:sz w:val="24"/>
          <w:highlight w:val="none"/>
          <w:lang w:val="zh-CN"/>
        </w:rPr>
      </w:pPr>
      <w:r>
        <w:rPr>
          <w:rFonts w:hint="eastAsia" w:ascii="宋体" w:hAnsi="宋体"/>
          <w:color w:val="auto"/>
          <w:sz w:val="24"/>
          <w:highlight w:val="none"/>
          <w:lang w:val="en-US" w:eastAsia="zh-CN"/>
        </w:rPr>
        <w:t xml:space="preserve">30</w:t>
      </w:r>
      <w:r>
        <w:rPr>
          <w:rFonts w:hint="eastAsia" w:ascii="宋体" w:hAnsi="宋体"/>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第35</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规定以书面形式向采购人或采购代理机构提出质疑。</w:t>
      </w:r>
      <w:r>
        <w:rPr>
          <w:rFonts w:hint="eastAsia" w:ascii="宋体" w:hAnsi="宋体"/>
          <w:b/>
          <w:bCs/>
          <w:color w:val="auto"/>
          <w:sz w:val="24"/>
          <w:highlight w:val="none"/>
          <w:lang w:val="zh-CN"/>
        </w:rPr>
        <w:t xml:space="preserve">上述应知其权益受到损害之日是指：</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对采购文件提出质疑的，为收到采购文件之日或者采购文件公告期限届满之日。</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对采购过程提出质疑的，为各采购程序环节结束之日。</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对成交结果提出质疑的，为成交结果公告期限届满之日。</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供应商应当在法定质疑期内一次性提出针对同一采购程序环节的质疑。供应商如在法定期限内对同一采购程序环节提出多次质疑的，采购代理机构</w:t>
      </w:r>
      <w:r>
        <w:rPr>
          <w:rFonts w:hint="eastAsia" w:ascii="宋体" w:hAnsi="宋体"/>
          <w:color w:val="auto"/>
          <w:sz w:val="24"/>
          <w:highlight w:val="none"/>
        </w:rPr>
        <w:t xml:space="preserve">或</w:t>
      </w:r>
      <w:r>
        <w:rPr>
          <w:rFonts w:hint="eastAsia" w:ascii="宋体" w:hAnsi="宋体"/>
          <w:color w:val="auto"/>
          <w:sz w:val="24"/>
          <w:highlight w:val="none"/>
          <w:lang w:val="zh-CN"/>
        </w:rPr>
        <w:t xml:space="preserve">采购人将只对供应商第一次质疑作出答复。</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供应商提出质疑应提交《质疑函》原件，且尽可能通过邮寄方式送达，采购代理机构和采购人不接受无运单的快件。《质疑函》应按照本磋商文件中《质疑函范本》</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格式和内容填写。</w:t>
      </w:r>
      <w:r>
        <w:rPr>
          <w:rFonts w:hint="eastAsia" w:ascii="宋体" w:hAnsi="宋体" w:cs="仿宋"/>
          <w:b/>
          <w:bCs/>
          <w:color w:val="auto"/>
          <w:sz w:val="24"/>
          <w:szCs w:val="24"/>
          <w:highlight w:val="none"/>
        </w:rPr>
        <w:t xml:space="preserve">由授权代表负责质疑事宜的，《质疑函》附件中应提交由质疑供应商法定代表人或主要负责人签署的《授权委托书》。</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供应商如组成联合体参加采购活动，《质疑函范本》中要求加盖公章之处，联合体各方均须按要求加盖公章。</w:t>
      </w:r>
      <w:r/>
    </w:p>
    <w:p>
      <w:pPr>
        <w:ind w:firstLine="420"/>
        <w:jc w:val="left"/>
        <w:rPr>
          <w:rFonts w:ascii="宋体" w:hAnsi="宋体"/>
          <w:b/>
          <w:bCs/>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b/>
          <w:bCs/>
          <w:color w:val="auto"/>
          <w:sz w:val="24"/>
          <w:highlight w:val="none"/>
        </w:rPr>
        <w:t xml:space="preserve">采购代理机构《质疑函》接收。收件人：毛工，地址：南京市浦口区雨合路8号大友研发大厦8楼，联系电话：13776699750。</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以下情形的质疑不予受理：</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lang w:val="zh-CN"/>
        </w:rPr>
        <w:t xml:space="preserve">.1 超出政府采购法定期限的质疑；</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lang w:val="zh-CN"/>
        </w:rPr>
        <w:t xml:space="preserve">.2 </w:t>
      </w:r>
      <w:r>
        <w:rPr>
          <w:rFonts w:hint="eastAsia" w:ascii="宋体" w:hAnsi="宋体"/>
          <w:color w:val="auto"/>
          <w:sz w:val="24"/>
          <w:highlight w:val="none"/>
        </w:rPr>
        <w:t xml:space="preserve">属于第33条规定的对</w:t>
      </w:r>
      <w:r>
        <w:rPr>
          <w:rFonts w:hint="eastAsia" w:ascii="宋体" w:hAnsi="宋体"/>
          <w:color w:val="auto"/>
          <w:sz w:val="24"/>
          <w:highlight w:val="none"/>
          <w:lang w:val="zh-CN"/>
        </w:rPr>
        <w:t xml:space="preserve">同一采购程序环节提出</w:t>
      </w:r>
      <w:r>
        <w:rPr>
          <w:rFonts w:hint="eastAsia" w:ascii="宋体" w:hAnsi="宋体"/>
          <w:color w:val="auto"/>
          <w:sz w:val="24"/>
          <w:highlight w:val="none"/>
        </w:rPr>
        <w:t xml:space="preserve">的多次</w:t>
      </w:r>
      <w:r>
        <w:rPr>
          <w:rFonts w:hint="eastAsia" w:ascii="宋体" w:hAnsi="宋体"/>
          <w:color w:val="auto"/>
          <w:sz w:val="24"/>
          <w:highlight w:val="none"/>
          <w:lang w:val="zh-CN"/>
        </w:rPr>
        <w:t xml:space="preserve">质疑；</w:t>
      </w:r>
      <w:r/>
    </w:p>
    <w:p>
      <w:pPr>
        <w:ind w:firstLine="420"/>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lang w:val="zh-CN"/>
        </w:rPr>
        <w:t xml:space="preserve">.3 法律法规规定的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不予受理情形。</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lang w:val="zh-CN"/>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九、政策功能落实</w:t>
      </w:r>
      <w:r/>
    </w:p>
    <w:p>
      <w:pPr>
        <w:pStyle w:val="660"/>
        <w:ind w:firstLine="422"/>
        <w:spacing w:before="0" w:after="0" w:line="240" w:lineRule="auto"/>
        <w:rPr>
          <w:rFonts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lang w:val="en-US" w:eastAsia="zh-CN"/>
        </w:rPr>
        <w:t xml:space="preserve">7</w:t>
      </w:r>
      <w:r>
        <w:rPr>
          <w:rFonts w:hint="eastAsia" w:ascii="方正楷体_GBK" w:hAnsi="方正楷体_GBK" w:eastAsia="方正楷体_GBK" w:cs="方正楷体_GBK"/>
          <w:color w:val="auto"/>
          <w:highlight w:val="none"/>
          <w:lang w:val="zh-CN"/>
        </w:rPr>
        <w:t xml:space="preserve">.促进中小企业发展</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.1 本项目</w:t>
      </w:r>
      <w:r>
        <w:rPr>
          <w:rFonts w:hint="eastAsia" w:ascii="宋体" w:hAnsi="宋体"/>
          <w:color w:val="auto"/>
          <w:sz w:val="24"/>
          <w:highlight w:val="none"/>
          <w:lang w:val="zh-CN"/>
        </w:rPr>
        <w:t xml:space="preserve">服务由中小企业承接的，</w:t>
      </w:r>
      <w:r>
        <w:rPr>
          <w:rFonts w:hint="eastAsia" w:ascii="宋体" w:hAnsi="宋体"/>
          <w:color w:val="auto"/>
          <w:sz w:val="24"/>
          <w:highlight w:val="none"/>
        </w:rPr>
        <w:t xml:space="preserve">参与磋商的供应商</w:t>
      </w:r>
      <w:r>
        <w:rPr>
          <w:rFonts w:hint="eastAsia" w:ascii="宋体" w:hAnsi="宋体"/>
          <w:color w:val="auto"/>
          <w:sz w:val="24"/>
          <w:highlight w:val="none"/>
          <w:lang w:val="zh-CN"/>
        </w:rPr>
        <w:t xml:space="preserve">享受中小企业扶持政策：</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中小企业参加政府采购活动，应当出具《中小企业声明函》，否则不享受相关中小企业</w:t>
      </w:r>
      <w:r>
        <w:rPr>
          <w:rFonts w:hint="eastAsia" w:ascii="宋体" w:hAnsi="宋体"/>
          <w:color w:val="auto"/>
          <w:sz w:val="24"/>
          <w:highlight w:val="none"/>
        </w:rPr>
        <w:t xml:space="preserve">支持</w:t>
      </w:r>
      <w:r>
        <w:rPr>
          <w:rFonts w:hint="eastAsia" w:ascii="宋体" w:hAnsi="宋体"/>
          <w:color w:val="auto"/>
          <w:sz w:val="24"/>
          <w:highlight w:val="none"/>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.4 </w:t>
      </w:r>
      <w:r>
        <w:rPr>
          <w:rFonts w:hint="eastAsia" w:ascii="宋体" w:hAnsi="宋体"/>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lang w:val="en-US" w:eastAsia="zh-CN"/>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 </w:t>
      </w:r>
      <w:r>
        <w:rPr>
          <w:rFonts w:hint="eastAsia" w:ascii="宋体" w:hAnsi="宋体" w:cs="宋体"/>
          <w:color w:val="auto"/>
          <w:sz w:val="24"/>
          <w:szCs w:val="24"/>
          <w:highlight w:val="none"/>
        </w:rPr>
        <w:t xml:space="preserve">监狱和戒毒企业（简称监狱企业）视同小型、微型企业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《关于政府采购支持监狱企业发展有关问题的通知》（财库〔2014〕68号）</w:t>
      </w:r>
      <w:r>
        <w:rPr>
          <w:rFonts w:hint="eastAsia" w:ascii="宋体" w:hAnsi="宋体"/>
          <w:color w:val="auto"/>
          <w:sz w:val="24"/>
          <w:highlight w:val="none"/>
        </w:rPr>
        <w:t xml:space="preserve">规定，</w:t>
      </w:r>
      <w:r>
        <w:rPr>
          <w:rFonts w:hint="eastAsia" w:ascii="宋体" w:hAnsi="宋体"/>
          <w:color w:val="auto"/>
          <w:sz w:val="24"/>
          <w:highlight w:val="none"/>
          <w:lang w:val="zh-CN"/>
        </w:rPr>
        <w:t xml:space="preserve">监狱企业需提供由省级以上监狱管理局、戒毒管理局（含新疆生产建设兵团）出具的属于监狱企业的证明文件。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lang w:val="en-US" w:eastAsia="zh-CN"/>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 xml:space="preserve">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按照《关于促进残疾人就业政府采购政策的通知》（财库〔2017〕141号）规定，</w:t>
      </w:r>
      <w:r>
        <w:rPr>
          <w:rFonts w:hint="eastAsia" w:ascii="宋体" w:hAnsi="宋体" w:cs="宋体"/>
          <w:color w:val="auto"/>
          <w:sz w:val="24"/>
          <w:szCs w:val="24"/>
          <w:highlight w:val="none"/>
        </w:rPr>
        <w:t xml:space="preserve">残疾人福利单位</w:t>
      </w:r>
      <w:r>
        <w:rPr>
          <w:rFonts w:hint="eastAsia" w:ascii="宋体" w:hAnsi="宋体"/>
          <w:color w:val="auto"/>
          <w:sz w:val="24"/>
          <w:highlight w:val="none"/>
        </w:rPr>
        <w:t xml:space="preserve">需</w:t>
      </w:r>
      <w:r>
        <w:rPr>
          <w:rFonts w:hint="eastAsia" w:ascii="宋体" w:hAnsi="宋体"/>
          <w:color w:val="auto"/>
          <w:sz w:val="24"/>
          <w:highlight w:val="none"/>
          <w:lang w:val="zh-CN"/>
        </w:rPr>
        <w:t xml:space="preserve">提供《残疾人福利性单位声明函》。</w:t>
      </w:r>
      <w:bookmarkEnd w:id="8"/>
      <w:r/>
      <w:bookmarkEnd w:id="9"/>
      <w:r/>
      <w:bookmarkEnd w:id="10"/>
      <w:r/>
      <w:bookmarkEnd w:id="11"/>
      <w:r/>
      <w:r/>
    </w:p>
    <w:p>
      <w:pPr>
        <w:pStyle w:val="660"/>
        <w:ind w:firstLine="422"/>
        <w:spacing w:before="0" w:after="0" w:line="240" w:lineRule="auto"/>
        <w:rPr>
          <w:rFonts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lang w:val="en-US" w:eastAsia="zh-CN"/>
        </w:rPr>
        <w:t xml:space="preserve">8</w:t>
      </w:r>
      <w:r>
        <w:rPr>
          <w:rFonts w:hint="eastAsia" w:ascii="方正楷体_GBK" w:hAnsi="方正楷体_GBK" w:eastAsia="方正楷体_GBK" w:cs="方正楷体_GBK"/>
          <w:color w:val="auto"/>
          <w:highlight w:val="none"/>
          <w:lang w:val="zh-CN"/>
        </w:rPr>
        <w:t xml:space="preserve">.节能环保产品</w:t>
      </w:r>
      <w:r/>
    </w:p>
    <w:p>
      <w:pPr>
        <w:ind w:firstLine="420"/>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pStyle w:val="660"/>
        <w:ind w:firstLine="422"/>
        <w:spacing w:before="0" w:after="0" w:line="240" w:lineRule="auto"/>
        <w:rPr>
          <w:rFonts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en-US" w:eastAsia="zh-CN"/>
        </w:rPr>
        <w:t xml:space="preserve">39</w:t>
      </w:r>
      <w:r>
        <w:rPr>
          <w:rFonts w:hint="eastAsia" w:ascii="方正楷体_GBK" w:hAnsi="方正楷体_GBK" w:eastAsia="方正楷体_GBK" w:cs="方正楷体_GBK"/>
          <w:color w:val="auto"/>
          <w:highlight w:val="none"/>
          <w:lang w:val="zh-CN"/>
        </w:rPr>
        <w:t xml:space="preserve">.绿色采购</w:t>
      </w:r>
      <w:r/>
    </w:p>
    <w:p>
      <w:pPr>
        <w:ind w:firstLine="420"/>
        <w:rPr>
          <w:rFonts w:ascii="宋体" w:hAnsi="宋体"/>
          <w:color w:val="auto"/>
          <w:sz w:val="24"/>
          <w:highlight w:val="none"/>
        </w:rPr>
      </w:pPr>
      <w:r>
        <w:rPr>
          <w:rFonts w:hint="eastAsia" w:ascii="宋体" w:hAnsi="宋体"/>
          <w:color w:val="auto"/>
          <w:sz w:val="24"/>
          <w:highlight w:val="none"/>
          <w:lang w:val="en-US" w:eastAsia="zh-CN"/>
        </w:rPr>
        <w:t xml:space="preserve">39</w:t>
      </w:r>
      <w:r>
        <w:rPr>
          <w:rFonts w:hint="eastAsia" w:ascii="宋体" w:hAnsi="宋体"/>
          <w:color w:val="auto"/>
          <w:sz w:val="24"/>
          <w:highlight w:val="none"/>
        </w:rPr>
        <w:t xml:space="preserve">.1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color w:val="auto"/>
          <w:sz w:val="24"/>
          <w:highlight w:val="none"/>
        </w:rPr>
      </w:pPr>
      <w:r>
        <w:rPr>
          <w:rFonts w:hint="eastAsia" w:ascii="宋体" w:hAnsi="宋体"/>
          <w:color w:val="auto"/>
          <w:sz w:val="24"/>
          <w:highlight w:val="none"/>
          <w:lang w:val="en-US" w:eastAsia="zh-CN"/>
        </w:rPr>
        <w:t xml:space="preserve">39</w:t>
      </w:r>
      <w:r>
        <w:rPr>
          <w:rFonts w:hint="eastAsia" w:ascii="宋体" w:hAnsi="宋体"/>
          <w:color w:val="auto"/>
          <w:sz w:val="24"/>
          <w:highlight w:val="none"/>
        </w:rPr>
        <w:t xml:space="preserve">.2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color w:val="auto"/>
          <w:sz w:val="24"/>
          <w:highlight w:val="none"/>
        </w:rPr>
      </w:pPr>
      <w:r>
        <w:rPr>
          <w:rFonts w:hint="eastAsia" w:ascii="宋体" w:hAnsi="宋体"/>
          <w:color w:val="auto"/>
          <w:sz w:val="24"/>
          <w:highlight w:val="none"/>
          <w:lang w:val="en-US" w:eastAsia="zh-CN"/>
        </w:rPr>
        <w:t xml:space="preserve">39</w:t>
      </w:r>
      <w:r>
        <w:rPr>
          <w:rFonts w:hint="eastAsia" w:ascii="宋体" w:hAnsi="宋体"/>
          <w:color w:val="auto"/>
          <w:sz w:val="24"/>
          <w:highlight w:val="none"/>
        </w:rPr>
        <w:t xml:space="preserve">.3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color w:val="auto"/>
          <w:sz w:val="24"/>
          <w:highlight w:val="none"/>
        </w:rPr>
      </w:pPr>
      <w:r>
        <w:rPr>
          <w:rFonts w:hint="eastAsia" w:ascii="宋体" w:hAnsi="宋体"/>
          <w:color w:val="auto"/>
          <w:sz w:val="24"/>
          <w:highlight w:val="none"/>
          <w:lang w:val="en-US" w:eastAsia="zh-CN"/>
        </w:rPr>
        <w:t xml:space="preserve">39</w:t>
      </w:r>
      <w:r>
        <w:rPr>
          <w:rFonts w:hint="eastAsia" w:ascii="宋体" w:hAnsi="宋体"/>
          <w:color w:val="auto"/>
          <w:sz w:val="24"/>
          <w:highlight w:val="none"/>
        </w:rPr>
        <w:t xml:space="preserve">.4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60"/>
        <w:ind w:firstLine="422"/>
        <w:spacing w:before="0" w:after="0" w:line="240" w:lineRule="auto"/>
        <w:rPr>
          <w:rFonts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w:t>
      </w:r>
      <w:r>
        <w:rPr>
          <w:rFonts w:hint="eastAsia" w:ascii="方正楷体_GBK" w:hAnsi="方正楷体_GBK" w:eastAsia="方正楷体_GBK" w:cs="方正楷体_GBK"/>
          <w:color w:val="auto"/>
          <w:highlight w:val="none"/>
          <w:lang w:val="en-US" w:eastAsia="zh-CN"/>
        </w:rPr>
        <w:t xml:space="preserve">0</w:t>
      </w:r>
      <w:r>
        <w:rPr>
          <w:rFonts w:hint="eastAsia" w:ascii="方正楷体_GBK" w:hAnsi="方正楷体_GBK" w:eastAsia="方正楷体_GBK" w:cs="方正楷体_GBK"/>
          <w:color w:val="auto"/>
          <w:highlight w:val="none"/>
          <w:lang w:val="zh-CN"/>
        </w:rPr>
        <w:t xml:space="preserve">.创新产品采购</w:t>
      </w:r>
      <w:r/>
    </w:p>
    <w:p>
      <w:pPr>
        <w:ind w:firstLine="420"/>
        <w:widowControl/>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.1 优先采购各级政府部门公开发布的有效期内的创新产品、首台套等《目录》内的创新产品。创新产品自进入《目录》起2年内视同具备相应销售业绩。</w:t>
      </w:r>
      <w:r/>
    </w:p>
    <w:p>
      <w:pPr>
        <w:pStyle w:val="660"/>
        <w:ind w:firstLine="422"/>
        <w:spacing w:before="0" w:after="0" w:line="240" w:lineRule="auto"/>
        <w:rPr>
          <w:rFonts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w:t>
      </w:r>
      <w:r>
        <w:rPr>
          <w:rFonts w:hint="eastAsia" w:ascii="方正楷体_GBK" w:hAnsi="方正楷体_GBK" w:eastAsia="方正楷体_GBK" w:cs="方正楷体_GBK"/>
          <w:color w:val="auto"/>
          <w:highlight w:val="none"/>
          <w:lang w:val="en-US" w:eastAsia="zh-CN"/>
        </w:rPr>
        <w:t xml:space="preserve">1</w:t>
      </w:r>
      <w:r>
        <w:rPr>
          <w:rFonts w:hint="eastAsia" w:ascii="方正楷体_GBK" w:hAnsi="方正楷体_GBK" w:eastAsia="方正楷体_GBK" w:cs="方正楷体_GBK"/>
          <w:color w:val="auto"/>
          <w:highlight w:val="none"/>
          <w:lang w:val="zh-CN"/>
        </w:rPr>
        <w:t xml:space="preserve">.网络产品、市场准入类产品采购</w:t>
      </w:r>
      <w:r/>
    </w:p>
    <w:p>
      <w:pPr>
        <w:ind w:firstLine="420"/>
        <w:widowControl/>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.1 本</w:t>
      </w:r>
      <w:r>
        <w:rPr>
          <w:rFonts w:hint="eastAsia" w:ascii="宋体" w:hAnsi="宋体"/>
          <w:color w:val="auto"/>
          <w:sz w:val="24"/>
          <w:highlight w:val="none"/>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widowControl/>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660"/>
        <w:ind w:firstLine="422"/>
        <w:spacing w:before="0" w:after="0" w:line="240" w:lineRule="auto"/>
        <w:rPr>
          <w:rFonts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w:t>
      </w:r>
      <w:r>
        <w:rPr>
          <w:rFonts w:hint="eastAsia" w:ascii="方正楷体_GBK" w:hAnsi="方正楷体_GBK" w:eastAsia="方正楷体_GBK" w:cs="方正楷体_GBK"/>
          <w:color w:val="auto"/>
          <w:highlight w:val="none"/>
          <w:lang w:val="en-US" w:eastAsia="zh-CN"/>
        </w:rPr>
        <w:t xml:space="preserve">2</w:t>
      </w:r>
      <w:r>
        <w:rPr>
          <w:rFonts w:hint="eastAsia" w:ascii="方正楷体_GBK" w:hAnsi="方正楷体_GBK" w:eastAsia="方正楷体_GBK" w:cs="方正楷体_GBK"/>
          <w:color w:val="auto"/>
          <w:highlight w:val="none"/>
          <w:lang w:val="zh-CN"/>
        </w:rPr>
        <w:t xml:space="preserve">.实施本国产品标准及相关政策</w:t>
      </w:r>
      <w:r/>
    </w:p>
    <w:p>
      <w:pPr>
        <w:ind w:firstLine="420"/>
        <w:rPr>
          <w:rFonts w:ascii="宋体" w:hAnsi="宋体"/>
          <w:color w:val="auto"/>
          <w:sz w:val="24"/>
          <w:highlight w:val="none"/>
          <w:lang w:val="zh-CN"/>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highlight w:val="none"/>
          <w:lang w:val="zh-CN"/>
        </w:rPr>
        <w:t xml:space="preserve">。</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4</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.2本国产品应当符合以下条件：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（1）在中国境内生产</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（2）在中国境内生产的组件成本占比达到规定比例</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（3）特定产品的关键组件、关键工序符合相关要求</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4</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.3本国产品标准的适用范围</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.4对本国产品的支持政策</w:t>
      </w:r>
      <w:r/>
    </w:p>
    <w:p>
      <w:pPr>
        <w:ind w:firstLine="422"/>
        <w:rPr>
          <w:rFonts w:ascii="宋体" w:hAnsi="宋体"/>
          <w:b/>
          <w:bCs/>
          <w:color w:val="auto"/>
          <w:sz w:val="24"/>
          <w:highlight w:val="none"/>
        </w:rPr>
      </w:pPr>
      <w:r>
        <w:rPr>
          <w:rFonts w:hint="eastAsia" w:ascii="宋体" w:hAnsi="宋体"/>
          <w:b/>
          <w:bCs/>
          <w:color w:val="auto"/>
          <w:sz w:val="24"/>
          <w:highlight w:val="none"/>
        </w:rPr>
        <w:t xml:space="preserve">本项目如</w:t>
      </w:r>
      <w:r>
        <w:rPr>
          <w:rFonts w:hint="eastAsia" w:ascii="宋体" w:hAnsi="宋体"/>
          <w:b/>
          <w:bCs/>
          <w:color w:val="auto"/>
          <w:sz w:val="24"/>
          <w:highlight w:val="none"/>
          <w:lang w:val="zh-CN"/>
        </w:rPr>
        <w:t xml:space="preserve">既有本国产品又有非本国产品参与竞争，依法对本国产品给予价格评审优惠，</w:t>
      </w:r>
      <w:r>
        <w:rPr>
          <w:rFonts w:hint="eastAsia" w:ascii="宋体" w:hAnsi="宋体"/>
          <w:b/>
          <w:bCs/>
          <w:color w:val="auto"/>
          <w:sz w:val="24"/>
          <w:highlight w:val="none"/>
        </w:rPr>
        <w:t xml:space="preserve">具体详见第五章。</w:t>
      </w:r>
      <w:r/>
    </w:p>
    <w:p>
      <w:pPr>
        <w:ind w:firstLine="420"/>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.5政策执行要求</w:t>
      </w:r>
      <w:r/>
    </w:p>
    <w:p>
      <w:pPr>
        <w:ind w:firstLine="420"/>
        <w:rPr>
          <w:rFonts w:ascii="宋体" w:hAnsi="宋体" w:cs="宋体"/>
          <w:color w:val="auto"/>
          <w:sz w:val="24"/>
          <w:szCs w:val="24"/>
          <w:highlight w:val="none"/>
          <w:shd w:val="clear" w:color="auto" w:fill="ffffff"/>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highlight w:val="none"/>
        </w:rPr>
        <w:t xml:space="preserve">详见</w:t>
      </w:r>
      <w:r>
        <w:rPr>
          <w:rFonts w:hint="eastAsia" w:ascii="宋体" w:hAnsi="宋体" w:cs="宋体"/>
          <w:color w:val="auto"/>
          <w:sz w:val="24"/>
          <w:szCs w:val="24"/>
          <w:highlight w:val="none"/>
          <w:shd w:val="clear" w:color="auto" w:fill="ffffff"/>
        </w:rPr>
        <w:t xml:space="preserve">《国务院办公厅关于在政府采购中实施本国产品标准及相关政策的通知》（国办发〔2025〕34号）规定。</w:t>
      </w:r>
      <w:r/>
    </w:p>
    <w:p>
      <w:pPr>
        <w:ind w:firstLine="420"/>
        <w:rPr>
          <w:rFonts w:ascii="宋体" w:hAnsi="宋体"/>
          <w:b/>
          <w:bCs/>
          <w:color w:val="auto"/>
          <w:sz w:val="24"/>
          <w:highlight w:val="none"/>
        </w:rPr>
      </w:pPr>
      <w:r>
        <w:rPr>
          <w:rFonts w:hint="eastAsia" w:ascii="宋体" w:hAnsi="宋体"/>
          <w:color w:val="auto"/>
          <w:sz w:val="24"/>
          <w:highlight w:val="none"/>
          <w:lang w:val="zh-CN"/>
        </w:rPr>
        <w:t xml:space="preserve">（2）有关证明文件。</w:t>
      </w:r>
      <w:r>
        <w:rPr>
          <w:rFonts w:hint="eastAsia" w:ascii="宋体" w:hAnsi="宋体"/>
          <w:b/>
          <w:bCs/>
          <w:color w:val="auto"/>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660"/>
        <w:ind w:firstLine="422"/>
        <w:spacing w:before="0" w:after="0" w:line="240" w:lineRule="auto"/>
        <w:rPr>
          <w:rFonts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w:t>
      </w:r>
      <w:r>
        <w:rPr>
          <w:rFonts w:hint="eastAsia" w:ascii="方正楷体_GBK" w:hAnsi="方正楷体_GBK" w:eastAsia="方正楷体_GBK" w:cs="方正楷体_GBK"/>
          <w:color w:val="auto"/>
          <w:highlight w:val="none"/>
          <w:lang w:val="en-US" w:eastAsia="zh-CN"/>
        </w:rPr>
        <w:t xml:space="preserve">3</w:t>
      </w:r>
      <w:bookmarkStart w:id="42" w:name="_GoBack"/>
      <w:r/>
      <w:bookmarkEnd w:id="42"/>
      <w:r>
        <w:rPr>
          <w:rFonts w:hint="eastAsia" w:ascii="方正楷体_GBK" w:hAnsi="方正楷体_GBK" w:eastAsia="方正楷体_GBK" w:cs="方正楷体_GBK"/>
          <w:color w:val="auto"/>
          <w:highlight w:val="none"/>
          <w:lang w:val="zh-CN"/>
        </w:rPr>
        <w:t xml:space="preserve">.数据交易说明</w:t>
      </w:r>
      <w:r/>
    </w:p>
    <w:p>
      <w:pPr>
        <w:ind w:firstLine="420"/>
        <w:widowControl/>
        <w:rPr>
          <w:rFonts w:ascii="宋体" w:hAnsi="宋体"/>
          <w:color w:val="auto"/>
          <w:sz w:val="24"/>
          <w:highlight w:val="none"/>
        </w:rPr>
      </w:pPr>
      <w:r>
        <w:rPr>
          <w:rFonts w:hint="eastAsia" w:ascii="宋体" w:hAnsi="宋体"/>
          <w:color w:val="auto"/>
          <w:sz w:val="24"/>
          <w:highlight w:val="none"/>
        </w:rPr>
        <w:t xml:space="preserve">数据交易标的包括数据产品、数据服务、数据工具。</w:t>
      </w:r>
      <w:r/>
    </w:p>
    <w:p>
      <w:pPr>
        <w:ind w:firstLine="420"/>
        <w:widowControl/>
        <w:rPr>
          <w:rFonts w:ascii="宋体" w:hAnsi="宋体"/>
          <w:color w:val="auto"/>
          <w:sz w:val="24"/>
          <w:highlight w:val="none"/>
        </w:rPr>
      </w:pPr>
      <w:r>
        <w:rPr>
          <w:rFonts w:hint="eastAsia" w:ascii="宋体" w:hAnsi="宋体"/>
          <w:color w:val="auto"/>
          <w:sz w:val="24"/>
          <w:highlight w:val="none"/>
        </w:rPr>
        <w:t xml:space="preserve">数据产品是指用于交易的数据和数据衍生产品，包括但不限于数据集、数据分析报告、数据可视化产品、数据指数、API 数据、加密数据等。</w:t>
      </w:r>
      <w:r/>
    </w:p>
    <w:p>
      <w:pPr>
        <w:ind w:firstLine="420"/>
        <w:widowControl/>
        <w:rPr>
          <w:rFonts w:ascii="宋体" w:hAnsi="宋体"/>
          <w:color w:val="auto"/>
          <w:sz w:val="24"/>
          <w:highlight w:val="none"/>
        </w:rPr>
      </w:pPr>
      <w:r>
        <w:rPr>
          <w:rFonts w:hint="eastAsia" w:ascii="宋体" w:hAnsi="宋体"/>
          <w:color w:val="auto"/>
          <w:sz w:val="24"/>
          <w:highlight w:val="none"/>
        </w:rPr>
        <w:t xml:space="preserve">数据服务是指提供数据收集、存储、使用、加工、传输等服务，包括但不限于数据采集和预处理服务、数据建模、分析处理服务、数据可视化服务、数据安全服务等。</w:t>
      </w:r>
      <w:r/>
    </w:p>
    <w:p>
      <w:pPr>
        <w:ind w:firstLine="420"/>
        <w:widowControl/>
        <w:rPr>
          <w:rFonts w:ascii="宋体" w:hAnsi="宋体"/>
          <w:color w:val="auto"/>
          <w:sz w:val="24"/>
          <w:highlight w:val="none"/>
        </w:rPr>
      </w:pPr>
      <w:r>
        <w:rPr>
          <w:rFonts w:hint="eastAsia" w:ascii="宋体" w:hAnsi="宋体"/>
          <w:color w:val="auto"/>
          <w:sz w:val="24"/>
          <w:highlight w:val="none"/>
        </w:rPr>
        <w:t xml:space="preserve">数据工具是指可实现数据服务的软硬件工具，包括但不限于数据存储和管理工具、数据采集工具、数据清洗工具、数据分析工具、数据可视化工具、数据安全工具等。</w:t>
      </w:r>
      <w:r/>
    </w:p>
    <w:p>
      <w:pPr>
        <w:pStyle w:val="706"/>
        <w:ind w:firstLine="480"/>
        <w:rPr>
          <w:color w:val="auto"/>
          <w:sz w:val="24"/>
          <w:highlight w:val="none"/>
          <w:lang w:val="zh-CN"/>
        </w:rPr>
      </w:pPr>
      <w:r>
        <w:rPr>
          <w:color w:val="auto"/>
          <w:sz w:val="24"/>
          <w:highlight w:val="none"/>
          <w:lang w:val="zh-CN"/>
        </w:rPr>
      </w:r>
      <w:r/>
    </w:p>
    <w:p>
      <w:pPr>
        <w:rPr>
          <w:rFonts w:ascii="宋体" w:hAnsi="宋体"/>
          <w:color w:val="auto"/>
          <w:sz w:val="24"/>
          <w:highlight w:val="none"/>
          <w:lang w:val="zh-CN"/>
        </w:rPr>
      </w:pPr>
      <w:r>
        <w:rPr>
          <w:rFonts w:ascii="宋体" w:hAnsi="宋体"/>
          <w:color w:val="auto"/>
          <w:sz w:val="24"/>
          <w:highlight w:val="none"/>
          <w:lang w:val="zh-CN"/>
        </w:rPr>
      </w:r>
      <w:r/>
    </w:p>
    <w:p>
      <w:pPr>
        <w:pStyle w:val="706"/>
        <w:ind w:firstLine="480"/>
        <w:rPr>
          <w:color w:val="auto"/>
          <w:sz w:val="24"/>
          <w:highlight w:val="none"/>
          <w:lang w:val="zh-CN"/>
        </w:rPr>
      </w:pPr>
      <w:r>
        <w:rPr>
          <w:color w:val="auto"/>
          <w:sz w:val="24"/>
          <w:highlight w:val="none"/>
          <w:lang w:val="zh-CN"/>
        </w:rPr>
      </w:r>
      <w:r/>
    </w:p>
    <w:p>
      <w:pPr>
        <w:ind w:right="840"/>
        <w:jc w:val="center"/>
        <w:rPr>
          <w:rFonts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第三章  合同文本</w:t>
      </w:r>
      <w:r/>
    </w:p>
    <w:p>
      <w:pPr>
        <w:jc w:val="center"/>
        <w:spacing w:before="145" w:after="145"/>
        <w:rPr>
          <w:rFonts w:ascii="宋体" w:hAnsi="宋体"/>
          <w:bCs/>
          <w:color w:val="auto"/>
          <w:sz w:val="24"/>
          <w:szCs w:val="21"/>
          <w:highlight w:val="none"/>
        </w:rPr>
      </w:pPr>
      <w:r>
        <w:rPr>
          <w:rFonts w:hint="eastAsia" w:ascii="宋体" w:hAnsi="宋体"/>
          <w:bCs/>
          <w:color w:val="auto"/>
          <w:sz w:val="24"/>
          <w:szCs w:val="21"/>
          <w:highlight w:val="none"/>
        </w:rPr>
        <w:t xml:space="preserve">以下为本项目的合同条款，合同双方不得对磋商、响应文件内容作实质性修改。</w:t>
      </w:r>
      <w:r/>
    </w:p>
    <w:p>
      <w:pPr>
        <w:pStyle w:val="862"/>
        <w:ind w:left="0"/>
        <w:rPr>
          <w:color w:val="auto"/>
          <w:highlight w:val="none"/>
        </w:rPr>
      </w:pPr>
      <w:r>
        <w:rPr>
          <w:color w:val="auto"/>
          <w:highlight w:val="none"/>
        </w:rPr>
      </w:r>
      <w:bookmarkEnd w:id="0"/>
      <w:bookmarkEnd w:id="1"/>
      <w:bookmarkEnd w:id="2"/>
      <w:bookmarkEnd w:id="3"/>
      <w:bookmarkEnd w:id="4"/>
      <w:bookmarkEnd w:id="5"/>
      <w:r/>
    </w:p>
    <w:p>
      <w:pPr>
        <w:jc w:val="center"/>
        <w:spacing w:before="145" w:after="145"/>
        <w:rPr>
          <w:rFonts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t xml:space="preserve">南京市政府采购合同（服务）</w:t>
      </w:r>
      <w:r/>
    </w:p>
    <w:p>
      <w:pPr>
        <w:jc w:val="left"/>
        <w:spacing w:before="145" w:after="145"/>
        <w:rPr>
          <w:rFonts w:ascii="宋体" w:hAnsi="宋体" w:cs="Courier New"/>
          <w:color w:val="auto"/>
          <w:sz w:val="24"/>
          <w:szCs w:val="24"/>
          <w:highlight w:val="none"/>
        </w:rPr>
      </w:pPr>
      <w:r>
        <w:rPr>
          <w:rFonts w:ascii="宋体" w:hAnsi="宋体" w:cs="Courier New"/>
          <w:color w:val="auto"/>
          <w:sz w:val="24"/>
          <w:szCs w:val="24"/>
          <w:highlight w:val="none"/>
        </w:rPr>
        <w:t xml:space="preserve">合同编号：</w:t>
      </w:r>
      <w:r/>
    </w:p>
    <w:p>
      <w:pPr>
        <w:spacing w:before="145" w:after="145"/>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jc w:val="left"/>
        <w:spacing w:before="145" w:after="145"/>
        <w:rPr>
          <w:rFonts w:ascii="宋体" w:hAnsi="宋体" w:cs="Courier New"/>
          <w:color w:val="auto"/>
          <w:sz w:val="24"/>
          <w:szCs w:val="24"/>
          <w:highlight w:val="none"/>
        </w:rPr>
      </w:pPr>
      <w:r>
        <w:rPr>
          <w:rFonts w:ascii="宋体" w:hAnsi="宋体" w:cs="Courier New"/>
          <w:color w:val="auto"/>
          <w:sz w:val="24"/>
          <w:szCs w:val="24"/>
          <w:highlight w:val="none"/>
        </w:rPr>
        <w:t xml:space="preserve">甲方：（买方）</w:t>
      </w:r>
      <w:r/>
    </w:p>
    <w:p>
      <w:pPr>
        <w:jc w:val="left"/>
        <w:spacing w:before="145" w:after="145"/>
        <w:rPr>
          <w:rFonts w:ascii="宋体" w:hAnsi="宋体" w:cs="Courier New"/>
          <w:color w:val="auto"/>
          <w:sz w:val="24"/>
          <w:szCs w:val="24"/>
          <w:highlight w:val="none"/>
        </w:rPr>
      </w:pPr>
      <w:r>
        <w:rPr>
          <w:rFonts w:ascii="宋体" w:hAnsi="宋体" w:cs="Courier New"/>
          <w:color w:val="auto"/>
          <w:sz w:val="24"/>
          <w:szCs w:val="24"/>
          <w:highlight w:val="none"/>
        </w:rPr>
        <w:t xml:space="preserve">乙方：（卖方）</w:t>
      </w:r>
      <w:r/>
    </w:p>
    <w:p>
      <w:pPr>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ascii="宋体" w:hAnsi="宋体" w:cs="Courier New"/>
          <w:color w:val="auto"/>
          <w:sz w:val="24"/>
          <w:szCs w:val="24"/>
          <w:highlight w:val="none"/>
        </w:rPr>
        <w:t xml:space="preserve">甲、乙双方根据</w:t>
      </w:r>
      <w:r>
        <w:rPr>
          <w:rFonts w:hint="eastAsia" w:ascii="宋体" w:hAnsi="宋体" w:eastAsia="宋体" w:cs="Courier New"/>
          <w:color w:val="auto"/>
          <w:sz w:val="24"/>
          <w:szCs w:val="24"/>
          <w:highlight w:val="none"/>
          <w:lang w:eastAsia="zh-CN"/>
        </w:rPr>
        <w:t xml:space="preserve">南京浦瑞招投标咨询服务有限公司</w:t>
      </w:r>
      <w:r>
        <w:rPr>
          <w:rFonts w:hint="eastAsia" w:ascii="宋体" w:hAnsi="宋体" w:cs="Courier New"/>
          <w:color w:val="auto"/>
          <w:sz w:val="24"/>
          <w:szCs w:val="24"/>
          <w:highlight w:val="none"/>
        </w:rPr>
        <w:t xml:space="preserve">组织的</w:t>
      </w:r>
      <w:r>
        <w:rPr>
          <w:rFonts w:hint="eastAsia" w:hAnsi="宋体" w:cs="Courier New"/>
          <w:color w:val="auto"/>
          <w:sz w:val="24"/>
          <w:szCs w:val="24"/>
          <w:highlight w:val="none"/>
        </w:rPr>
        <w:t xml:space="preserve">____________________</w:t>
      </w:r>
      <w:r>
        <w:rPr>
          <w:rFonts w:ascii="宋体" w:hAnsi="宋体" w:cs="Courier New"/>
          <w:color w:val="auto"/>
          <w:sz w:val="24"/>
          <w:szCs w:val="24"/>
          <w:highlight w:val="none"/>
        </w:rPr>
        <w:t xml:space="preserve">项目</w:t>
      </w:r>
      <w:r>
        <w:rPr>
          <w:rFonts w:hint="eastAsia" w:ascii="宋体" w:hAnsi="宋体" w:cs="Courier New"/>
          <w:color w:val="auto"/>
          <w:sz w:val="24"/>
          <w:szCs w:val="24"/>
          <w:highlight w:val="none"/>
        </w:rPr>
        <w:t xml:space="preserve">竞争性磋商</w:t>
      </w:r>
      <w:r>
        <w:rPr>
          <w:rFonts w:ascii="宋体" w:hAnsi="宋体" w:cs="Courier New"/>
          <w:color w:val="auto"/>
          <w:sz w:val="24"/>
          <w:szCs w:val="24"/>
          <w:highlight w:val="none"/>
        </w:rPr>
        <w:t xml:space="preserve">结果，签署本合同。</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标的质量：按磋商文件及响应文件执行。</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履行地点：采购人指定地点。</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履行方式：按磋商文件及响应文件执行。</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包装方式：按磋商文件及响应文件执行。</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939"/>
        <w:rPr>
          <w:rFonts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 xml:space="preserve">本合同金额为（大写）：____________________圆（____________________元）人民币。</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3.1 乙方应按磋商文件规定的时间向甲方提供服务（包含与服务相关的货物）的有关技术资料。</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乙方保证所交付的服务（包含与服务相关的货物）的所有权完全属于乙方且无任何抵押、查封等产权瑕疵。</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不涉及</w:t>
      </w:r>
      <w:r/>
    </w:p>
    <w:p>
      <w:pPr>
        <w:rPr>
          <w:rFonts w:ascii="方正黑体_GBK" w:hAnsi="方正黑体_GBK" w:eastAsia="方正黑体_GBK" w:cs="方正黑体_GBK"/>
          <w:bCs/>
          <w:color w:val="auto"/>
          <w:sz w:val="24"/>
          <w:szCs w:val="24"/>
          <w:highlight w:val="none"/>
        </w:rPr>
      </w:pPr>
      <w:r>
        <w:rPr>
          <w:rFonts w:ascii="方正黑体_GBK" w:hAnsi="方正黑体_GBK" w:eastAsia="方正黑体_GBK" w:cs="方正黑体_GBK"/>
          <w:bCs/>
          <w:color w:val="auto"/>
          <w:sz w:val="24"/>
          <w:szCs w:val="24"/>
          <w:highlight w:val="none"/>
        </w:rPr>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7.2 乙方不得将合同标的分包给他人履行。</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pStyle w:val="939"/>
        <w:rPr>
          <w:rFonts w:hAnsi="宋体"/>
          <w:color w:val="auto"/>
          <w:sz w:val="24"/>
          <w:szCs w:val="24"/>
          <w:highlight w:val="none"/>
        </w:rPr>
      </w:pPr>
      <w:r>
        <w:rPr>
          <w:rFonts w:hint="eastAsia" w:ascii="宋体" w:hAnsi="宋体" w:cs="Courier New"/>
          <w:color w:val="auto"/>
          <w:sz w:val="24"/>
          <w:szCs w:val="24"/>
          <w:highlight w:val="none"/>
        </w:rPr>
        <w:t xml:space="preserve">8.1付款方式：根据点位布设方案，初步确定实际安装台数和合同总价。签订合同一个月内，支付合同款的1/6,2027年5月31日前，支付合同款的1/6,2028年5月31日前，支付合同款的1/3，剩余部分，待服务期满后1个月内支付。如在服务期内，点位有所增减，在最后一笔服务款中，根据服务点位数量及各点位服务时间，对合同总价核增或核减，总金额不得超过中标价。供应商提供发票后十五日内支付相应款项。</w:t>
      </w:r>
      <w:r/>
    </w:p>
    <w:p>
      <w:pPr>
        <w:pStyle w:val="939"/>
        <w:rPr>
          <w:rFonts w:hAnsi="宋体"/>
          <w:color w:val="auto"/>
          <w:sz w:val="24"/>
          <w:szCs w:val="24"/>
          <w:highlight w:val="none"/>
        </w:rPr>
      </w:pPr>
      <w:r>
        <w:rPr>
          <w:rFonts w:hint="eastAsia" w:hAnsi="宋体"/>
          <w:color w:val="auto"/>
          <w:sz w:val="24"/>
          <w:szCs w:val="24"/>
          <w:highlight w:val="none"/>
        </w:rPr>
        <w:t xml:space="preserve">8.2 根据工业和信息化部关于印发《保障中小企业款项支付投诉处理暂行办法》的通知（工信部企业〔2021〕224 号），甲方未按合同约定支付款项的，乙方可以向有关部门投诉。</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十、违约责任</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0</w:t>
      </w:r>
      <w:r>
        <w:rPr>
          <w:rFonts w:hint="eastAsia" w:ascii="宋体" w:hAnsi="宋体" w:cs="Courier New"/>
          <w:color w:val="auto"/>
          <w:sz w:val="24"/>
          <w:szCs w:val="24"/>
          <w:highlight w:val="none"/>
        </w:rPr>
        <w:t xml:space="preserve">.1 甲方无正当理由拒绝接受乙方提供服务的，应向乙方偿付拒绝接受服务合同总额</w:t>
      </w:r>
      <w:r/>
    </w:p>
    <w:p>
      <w:pPr>
        <w:rPr>
          <w:rFonts w:ascii="宋体" w:hAnsi="宋体" w:cs="Courier New"/>
          <w:color w:val="auto"/>
          <w:sz w:val="24"/>
          <w:szCs w:val="24"/>
          <w:highlight w:val="none"/>
        </w:rPr>
      </w:pP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0</w:t>
      </w:r>
      <w:r>
        <w:rPr>
          <w:rFonts w:hint="eastAsia" w:ascii="宋体" w:hAnsi="宋体" w:cs="Courier New"/>
          <w:color w:val="auto"/>
          <w:sz w:val="24"/>
          <w:szCs w:val="24"/>
          <w:highlight w:val="none"/>
        </w:rPr>
        <w:t xml:space="preserve">.2 甲方无故逾期验收和办理支付手续的，应按逾期付款总额每日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向乙方支付违约金。</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0</w:t>
      </w:r>
      <w:r>
        <w:rPr>
          <w:rFonts w:hint="eastAsia" w:ascii="宋体" w:hAnsi="宋体" w:cs="Courier New"/>
          <w:color w:val="auto"/>
          <w:sz w:val="24"/>
          <w:szCs w:val="24"/>
          <w:highlight w:val="none"/>
        </w:rPr>
        <w:t xml:space="preserve">.3 乙方逾期提供服务的，应按逾期提供服务合同总额每日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0</w:t>
      </w:r>
      <w:r>
        <w:rPr>
          <w:rFonts w:hint="eastAsia" w:ascii="宋体" w:hAnsi="宋体" w:cs="Courier New"/>
          <w:color w:val="auto"/>
          <w:sz w:val="24"/>
          <w:szCs w:val="24"/>
          <w:highlight w:val="none"/>
        </w:rPr>
        <w:t xml:space="preserve">.4 乙方所提供服务的标准不符合合同规定及磋商文件规定标准的，甲方有权拒绝接受服务，并可单方面解除合同。</w:t>
      </w:r>
      <w:r>
        <w:rPr>
          <w:color w:val="auto"/>
          <w:highlight w:val="none"/>
        </w:rPr>
      </w:r>
      <w:r/>
    </w:p>
    <w:p>
      <w:pPr>
        <w:rPr>
          <w:color w:val="auto"/>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0</w:t>
      </w:r>
      <w:r>
        <w:rPr>
          <w:rFonts w:hint="eastAsia" w:ascii="宋体" w:hAnsi="宋体" w:cs="Courier New"/>
          <w:color w:val="auto"/>
          <w:sz w:val="24"/>
          <w:szCs w:val="24"/>
          <w:highlight w:val="none"/>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w:t>
      </w:r>
      <w:r>
        <w:rPr>
          <w:rFonts w:hint="eastAsia" w:ascii="方正黑体_GBK" w:hAnsi="方正黑体_GBK" w:eastAsia="方正黑体_GBK" w:cs="方正黑体_GBK"/>
          <w:bCs/>
          <w:color w:val="auto"/>
          <w:sz w:val="24"/>
          <w:szCs w:val="24"/>
          <w:highlight w:val="none"/>
          <w:lang w:val="en-US" w:eastAsia="zh-CN"/>
        </w:rPr>
        <w:t xml:space="preserve">一</w:t>
      </w:r>
      <w:r>
        <w:rPr>
          <w:rFonts w:hint="eastAsia" w:ascii="方正黑体_GBK" w:hAnsi="方正黑体_GBK" w:eastAsia="方正黑体_GBK" w:cs="方正黑体_GBK"/>
          <w:bCs/>
          <w:color w:val="auto"/>
          <w:sz w:val="24"/>
          <w:szCs w:val="24"/>
          <w:highlight w:val="none"/>
        </w:rPr>
        <w:t xml:space="preserve">、不可抗力事件处理</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1</w:t>
      </w:r>
      <w:r>
        <w:rPr>
          <w:rFonts w:hint="eastAsia" w:ascii="宋体" w:hAnsi="宋体" w:cs="Courier New"/>
          <w:color w:val="auto"/>
          <w:sz w:val="24"/>
          <w:szCs w:val="24"/>
          <w:highlight w:val="none"/>
        </w:rPr>
        <w:t xml:space="preserve">.1 在合同有效期内，任何一方因不可抗力事件导致不能履行合同，则合同履行期可延长，其延长期与不可抗力影响期相同。</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1</w:t>
      </w:r>
      <w:r>
        <w:rPr>
          <w:rFonts w:hint="eastAsia" w:ascii="宋体" w:hAnsi="宋体" w:cs="Courier New"/>
          <w:color w:val="auto"/>
          <w:sz w:val="24"/>
          <w:szCs w:val="24"/>
          <w:highlight w:val="none"/>
        </w:rPr>
        <w:t xml:space="preserve">.2 不可抗力事件发生后，应立即通知对方并寄送有关权威机构出具的证明。</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1</w:t>
      </w:r>
      <w:r>
        <w:rPr>
          <w:rFonts w:hint="eastAsia" w:ascii="宋体" w:hAnsi="宋体" w:cs="Courier New"/>
          <w:color w:val="auto"/>
          <w:sz w:val="24"/>
          <w:szCs w:val="24"/>
          <w:highlight w:val="none"/>
        </w:rPr>
        <w:t xml:space="preserve">.3 不可抗力事件延续120天以上，双方应通过友好协商，确定是否继续履行合同。</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w:t>
      </w:r>
      <w:r>
        <w:rPr>
          <w:rFonts w:hint="eastAsia" w:ascii="方正黑体_GBK" w:hAnsi="方正黑体_GBK" w:eastAsia="方正黑体_GBK" w:cs="方正黑体_GBK"/>
          <w:bCs/>
          <w:color w:val="auto"/>
          <w:sz w:val="24"/>
          <w:szCs w:val="24"/>
          <w:highlight w:val="none"/>
          <w:lang w:val="en-US" w:eastAsia="zh-CN"/>
        </w:rPr>
        <w:t xml:space="preserve">二</w:t>
      </w:r>
      <w:r>
        <w:rPr>
          <w:rFonts w:hint="eastAsia" w:ascii="方正黑体_GBK" w:hAnsi="方正黑体_GBK" w:eastAsia="方正黑体_GBK" w:cs="方正黑体_GBK"/>
          <w:bCs/>
          <w:color w:val="auto"/>
          <w:sz w:val="24"/>
          <w:szCs w:val="24"/>
          <w:highlight w:val="none"/>
        </w:rPr>
        <w:t xml:space="preserve">、解决争议的方法</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2</w:t>
      </w:r>
      <w:r>
        <w:rPr>
          <w:rFonts w:hint="eastAsia" w:ascii="宋体" w:hAnsi="宋体" w:cs="Courier New"/>
          <w:color w:val="auto"/>
          <w:sz w:val="24"/>
          <w:szCs w:val="24"/>
          <w:highlight w:val="none"/>
        </w:rPr>
        <w:t xml:space="preserve">.1 双方在签订、履行合同中所发生的一切争议，应通过友好协商解决。如协商不成的由甲方住所地人民法院管辖。</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w:t>
      </w:r>
      <w:r>
        <w:rPr>
          <w:rFonts w:hint="eastAsia" w:ascii="方正黑体_GBK" w:hAnsi="方正黑体_GBK" w:eastAsia="方正黑体_GBK" w:cs="方正黑体_GBK"/>
          <w:bCs/>
          <w:color w:val="auto"/>
          <w:sz w:val="24"/>
          <w:szCs w:val="24"/>
          <w:highlight w:val="none"/>
          <w:lang w:val="en-US" w:eastAsia="zh-CN"/>
        </w:rPr>
        <w:t xml:space="preserve">三</w:t>
      </w:r>
      <w:r>
        <w:rPr>
          <w:rFonts w:hint="eastAsia" w:ascii="方正黑体_GBK" w:hAnsi="方正黑体_GBK" w:eastAsia="方正黑体_GBK" w:cs="方正黑体_GBK"/>
          <w:bCs/>
          <w:color w:val="auto"/>
          <w:sz w:val="24"/>
          <w:szCs w:val="24"/>
          <w:highlight w:val="none"/>
        </w:rPr>
        <w:t xml:space="preserve">、合同生效及其它</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.1 本合同经双方加盖单位公章后生效。</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.2 本合同未尽事宜，遵照《中华人民共和国民法典》《中华人民共和国政府采购法》有关条文执行。</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.3 本合同正本一式</w:t>
      </w:r>
      <w:r>
        <w:rPr>
          <w:rFonts w:hint="eastAsia" w:ascii="宋体" w:hAnsi="宋体" w:cs="Courier New"/>
          <w:color w:val="auto"/>
          <w:sz w:val="24"/>
          <w:szCs w:val="24"/>
          <w:highlight w:val="none"/>
          <w:lang w:val="en-US" w:eastAsia="zh-CN"/>
        </w:rPr>
        <w:t xml:space="preserve">陆</w:t>
      </w:r>
      <w:r>
        <w:rPr>
          <w:rFonts w:hint="eastAsia" w:ascii="宋体" w:hAnsi="宋体" w:cs="Courier New"/>
          <w:color w:val="auto"/>
          <w:sz w:val="24"/>
          <w:szCs w:val="24"/>
          <w:highlight w:val="none"/>
        </w:rPr>
        <w:t xml:space="preserve">份，具有同等法律效力，甲方、乙方各执</w:t>
      </w:r>
      <w:r>
        <w:rPr>
          <w:rFonts w:hint="eastAsia" w:ascii="宋体" w:hAnsi="宋体" w:cs="Courier New"/>
          <w:color w:val="auto"/>
          <w:sz w:val="24"/>
          <w:szCs w:val="24"/>
          <w:highlight w:val="none"/>
          <w:lang w:val="en-US" w:eastAsia="zh-CN"/>
        </w:rPr>
        <w:t xml:space="preserve">叁</w:t>
      </w:r>
      <w:r>
        <w:rPr>
          <w:rFonts w:hint="eastAsia" w:ascii="宋体" w:hAnsi="宋体" w:cs="Courier New"/>
          <w:color w:val="auto"/>
          <w:sz w:val="24"/>
          <w:szCs w:val="24"/>
          <w:highlight w:val="none"/>
        </w:rPr>
        <w:t xml:space="preserve">份。</w:t>
      </w:r>
      <w:r/>
    </w:p>
    <w:p>
      <w:pPr>
        <w:pStyle w:val="939"/>
        <w:spacing w:before="120" w:after="120"/>
        <w:rPr>
          <w:rFonts w:hAnsi="宋体"/>
          <w:color w:val="auto"/>
          <w:sz w:val="24"/>
          <w:szCs w:val="24"/>
          <w:highlight w:val="none"/>
        </w:rPr>
      </w:pPr>
      <w:r>
        <w:rPr>
          <w:rFonts w:hint="eastAsia" w:hAnsi="宋体"/>
          <w:color w:val="auto"/>
          <w:sz w:val="24"/>
          <w:szCs w:val="24"/>
          <w:highlight w:val="none"/>
        </w:rPr>
        <w:t xml:space="preserve">  </w:t>
      </w:r>
      <w:r/>
    </w:p>
    <w:p>
      <w:pPr>
        <w:pStyle w:val="939"/>
        <w:ind w:firstLine="240"/>
        <w:spacing w:before="120" w:after="120"/>
        <w:rPr>
          <w:rFonts w:hAnsi="宋体"/>
          <w:color w:val="auto"/>
          <w:sz w:val="24"/>
          <w:szCs w:val="24"/>
          <w:highlight w:val="none"/>
        </w:rPr>
      </w:pPr>
      <w:r>
        <w:rPr>
          <w:rFonts w:hint="eastAsia" w:hAnsi="宋体"/>
          <w:color w:val="auto"/>
          <w:sz w:val="24"/>
          <w:szCs w:val="24"/>
          <w:highlight w:val="none"/>
        </w:rPr>
        <w:t xml:space="preserve">甲方：（公章）                       乙方：（公章） </w:t>
      </w:r>
      <w:r/>
    </w:p>
    <w:p>
      <w:pPr>
        <w:pStyle w:val="939"/>
        <w:spacing w:before="120" w:after="120"/>
        <w:rPr>
          <w:rFonts w:hAnsi="宋体"/>
          <w:color w:val="auto"/>
          <w:sz w:val="24"/>
          <w:szCs w:val="24"/>
          <w:highlight w:val="none"/>
        </w:rPr>
      </w:pPr>
      <w:r>
        <w:rPr>
          <w:rFonts w:hint="eastAsia" w:hAnsi="宋体"/>
          <w:color w:val="auto"/>
          <w:sz w:val="24"/>
          <w:szCs w:val="24"/>
          <w:highlight w:val="none"/>
        </w:rPr>
        <w:t xml:space="preserve">  地址：                               地址： </w:t>
      </w:r>
      <w:r/>
    </w:p>
    <w:p>
      <w:pPr>
        <w:pStyle w:val="939"/>
        <w:spacing w:before="120" w:after="120"/>
        <w:rPr>
          <w:rFonts w:hAnsi="宋体"/>
          <w:color w:val="auto"/>
          <w:sz w:val="24"/>
          <w:szCs w:val="24"/>
          <w:highlight w:val="none"/>
        </w:rPr>
      </w:pPr>
      <w:r>
        <w:rPr>
          <w:rFonts w:hint="eastAsia" w:hAnsi="宋体"/>
          <w:color w:val="auto"/>
          <w:sz w:val="24"/>
          <w:szCs w:val="24"/>
          <w:highlight w:val="none"/>
        </w:rPr>
        <w:t xml:space="preserve">  法定代表人或授权代表：               法定代表人或授权代表：</w:t>
      </w:r>
      <w:r/>
    </w:p>
    <w:p>
      <w:pPr>
        <w:pStyle w:val="939"/>
        <w:ind w:firstLine="240"/>
        <w:spacing w:before="120" w:after="120"/>
        <w:rPr>
          <w:rFonts w:hAnsi="宋体"/>
          <w:color w:val="auto"/>
          <w:sz w:val="24"/>
          <w:szCs w:val="24"/>
          <w:highlight w:val="none"/>
        </w:rPr>
      </w:pPr>
      <w:r>
        <w:rPr>
          <w:rFonts w:hint="eastAsia" w:hAnsi="宋体"/>
          <w:color w:val="auto"/>
          <w:sz w:val="24"/>
          <w:szCs w:val="24"/>
          <w:highlight w:val="none"/>
        </w:rPr>
        <w:t xml:space="preserve">联系电话：                           联系电话：          </w:t>
      </w:r>
      <w:r/>
    </w:p>
    <w:p>
      <w:pPr>
        <w:pStyle w:val="939"/>
        <w:spacing w:before="120" w:after="120"/>
        <w:rPr>
          <w:rFonts w:hAnsi="宋体"/>
          <w:color w:val="auto"/>
          <w:sz w:val="24"/>
          <w:szCs w:val="24"/>
          <w:highlight w:val="none"/>
        </w:rPr>
      </w:pPr>
      <w:r>
        <w:rPr>
          <w:rFonts w:hint="eastAsia" w:hAnsi="宋体"/>
          <w:color w:val="auto"/>
          <w:sz w:val="24"/>
          <w:szCs w:val="24"/>
          <w:highlight w:val="none"/>
        </w:rPr>
        <w:t xml:space="preserve">                                          </w:t>
      </w:r>
      <w:r/>
    </w:p>
    <w:p>
      <w:pPr>
        <w:pStyle w:val="939"/>
        <w:ind w:firstLine="5280"/>
        <w:spacing w:before="120" w:after="120"/>
        <w:rPr>
          <w:rFonts w:hAnsi="宋体"/>
          <w:color w:val="auto"/>
          <w:sz w:val="24"/>
          <w:szCs w:val="24"/>
          <w:highlight w:val="none"/>
        </w:rPr>
      </w:pPr>
      <w:r>
        <w:rPr>
          <w:rFonts w:hAnsi="宋体"/>
          <w:color w:val="auto"/>
          <w:sz w:val="24"/>
          <w:szCs w:val="24"/>
          <w:highlight w:val="none"/>
        </w:rPr>
      </w:r>
      <w:r/>
    </w:p>
    <w:p>
      <w:pPr>
        <w:pStyle w:val="939"/>
        <w:ind w:firstLine="5280"/>
        <w:spacing w:before="120" w:after="120"/>
        <w:rPr>
          <w:rFonts w:hAnsi="宋体"/>
          <w:color w:val="auto"/>
          <w:sz w:val="24"/>
          <w:szCs w:val="24"/>
          <w:highlight w:val="none"/>
        </w:rPr>
      </w:pPr>
      <w:r>
        <w:rPr>
          <w:rFonts w:hint="eastAsia" w:hAnsi="宋体"/>
          <w:color w:val="auto"/>
          <w:sz w:val="24"/>
          <w:szCs w:val="24"/>
          <w:highlight w:val="none"/>
        </w:rPr>
        <w:t xml:space="preserve">签订日期：      年    月   日</w:t>
      </w:r>
      <w:r/>
    </w:p>
    <w:p>
      <w:pPr>
        <w:pStyle w:val="939"/>
        <w:ind w:firstLine="4800"/>
        <w:spacing w:before="120" w:after="120"/>
        <w:rPr>
          <w:rFonts w:hAnsi="宋体"/>
          <w:color w:val="auto"/>
          <w:sz w:val="24"/>
          <w:szCs w:val="24"/>
          <w:highlight w:val="none"/>
        </w:rPr>
      </w:pPr>
      <w:r>
        <w:rPr>
          <w:rFonts w:hAnsi="宋体"/>
          <w:color w:val="auto"/>
          <w:sz w:val="24"/>
          <w:szCs w:val="24"/>
          <w:highlight w:val="none"/>
        </w:rPr>
      </w:r>
      <w:r/>
    </w:p>
    <w:p>
      <w:pPr>
        <w:pStyle w:val="939"/>
        <w:ind w:firstLine="4800"/>
        <w:spacing w:before="120" w:after="120"/>
        <w:rPr>
          <w:rFonts w:hAnsi="宋体"/>
          <w:color w:val="auto"/>
          <w:sz w:val="24"/>
          <w:szCs w:val="24"/>
          <w:highlight w:val="none"/>
        </w:rPr>
      </w:pPr>
      <w:r>
        <w:rPr>
          <w:rFonts w:hAnsi="宋体"/>
          <w:color w:val="auto"/>
          <w:sz w:val="24"/>
          <w:szCs w:val="24"/>
          <w:highlight w:val="none"/>
        </w:rPr>
      </w:r>
      <w:r/>
    </w:p>
    <w:p>
      <w:pPr>
        <w:pStyle w:val="939"/>
        <w:ind w:firstLine="4800"/>
        <w:spacing w:before="120" w:after="120"/>
        <w:rPr>
          <w:rFonts w:hAnsi="宋体"/>
          <w:color w:val="auto"/>
          <w:sz w:val="24"/>
          <w:szCs w:val="24"/>
          <w:highlight w:val="none"/>
        </w:rPr>
      </w:pPr>
      <w:r>
        <w:rPr>
          <w:rFonts w:hAnsi="宋体"/>
          <w:color w:val="auto"/>
          <w:sz w:val="24"/>
          <w:szCs w:val="24"/>
          <w:highlight w:val="none"/>
        </w:rPr>
      </w:r>
      <w:r/>
    </w:p>
    <w:p>
      <w:pPr>
        <w:pStyle w:val="939"/>
        <w:ind w:firstLine="4800"/>
        <w:spacing w:before="120" w:after="120"/>
        <w:rPr>
          <w:rFonts w:hAnsi="宋体"/>
          <w:color w:val="auto"/>
          <w:sz w:val="24"/>
          <w:szCs w:val="24"/>
          <w:highlight w:val="none"/>
        </w:rPr>
      </w:pPr>
      <w:r>
        <w:rPr>
          <w:rFonts w:hAnsi="宋体"/>
          <w:color w:val="auto"/>
          <w:sz w:val="24"/>
          <w:szCs w:val="24"/>
          <w:highlight w:val="none"/>
        </w:rPr>
      </w:r>
      <w:r/>
    </w:p>
    <w:p>
      <w:pPr>
        <w:pStyle w:val="939"/>
        <w:ind w:firstLine="4800"/>
        <w:spacing w:before="120" w:after="120"/>
        <w:rPr>
          <w:rFonts w:hAnsi="宋体"/>
          <w:color w:val="auto"/>
          <w:sz w:val="24"/>
          <w:szCs w:val="24"/>
          <w:highlight w:val="none"/>
        </w:rPr>
      </w:pPr>
      <w:r>
        <w:rPr>
          <w:rFonts w:hAnsi="宋体"/>
          <w:color w:val="auto"/>
          <w:sz w:val="24"/>
          <w:szCs w:val="24"/>
          <w:highlight w:val="none"/>
        </w:rPr>
      </w:r>
      <w:r/>
    </w:p>
    <w:p>
      <w:pPr>
        <w:pStyle w:val="939"/>
        <w:ind w:firstLine="4800"/>
        <w:spacing w:before="120" w:after="120"/>
        <w:rPr>
          <w:rFonts w:hAnsi="宋体"/>
          <w:color w:val="auto"/>
          <w:sz w:val="24"/>
          <w:szCs w:val="24"/>
          <w:highlight w:val="none"/>
        </w:rPr>
      </w:pPr>
      <w:r>
        <w:rPr>
          <w:rFonts w:hAnsi="宋体"/>
          <w:color w:val="auto"/>
          <w:sz w:val="24"/>
          <w:szCs w:val="24"/>
          <w:highlight w:val="none"/>
        </w:rPr>
      </w:r>
      <w:r/>
    </w:p>
    <w:p>
      <w:pPr>
        <w:pStyle w:val="939"/>
        <w:ind w:firstLine="4800"/>
        <w:spacing w:before="120" w:after="120"/>
        <w:rPr>
          <w:rFonts w:hAnsi="宋体"/>
          <w:color w:val="auto"/>
          <w:sz w:val="24"/>
          <w:szCs w:val="24"/>
          <w:highlight w:val="none"/>
        </w:rPr>
      </w:pPr>
      <w:r>
        <w:rPr>
          <w:rFonts w:hAnsi="宋体"/>
          <w:color w:val="auto"/>
          <w:sz w:val="24"/>
          <w:szCs w:val="24"/>
          <w:highlight w:val="none"/>
        </w:rPr>
      </w:r>
      <w:r/>
    </w:p>
    <w:p>
      <w:pPr>
        <w:jc w:val="center"/>
        <w:spacing w:before="145" w:after="145"/>
        <w:rPr>
          <w:rFonts w:ascii="宋体" w:hAnsi="宋体"/>
          <w:b/>
          <w:color w:val="auto"/>
          <w:sz w:val="30"/>
          <w:szCs w:val="21"/>
          <w:highlight w:val="none"/>
        </w:rPr>
      </w:pPr>
      <w:r>
        <w:rPr>
          <w:rFonts w:hint="eastAsia" w:ascii="宋体" w:hAnsi="宋体"/>
          <w:b/>
          <w:color w:val="auto"/>
          <w:sz w:val="30"/>
          <w:szCs w:val="21"/>
          <w:highlight w:val="none"/>
        </w:rPr>
        <w:t xml:space="preserve">《*******合同》补充协议（合同附件）</w:t>
      </w:r>
      <w:r/>
    </w:p>
    <w:p>
      <w:pPr>
        <w:pStyle w:val="682"/>
        <w:jc w:val="left"/>
        <w:spacing w:before="120" w:after="120"/>
        <w:rPr>
          <w:rFonts w:hAnsi="宋体"/>
          <w:color w:val="auto"/>
          <w:sz w:val="24"/>
          <w:szCs w:val="24"/>
          <w:highlight w:val="none"/>
        </w:rPr>
      </w:pPr>
      <w:r>
        <w:rPr>
          <w:rFonts w:hint="eastAsia" w:hAnsi="宋体"/>
          <w:color w:val="auto"/>
          <w:sz w:val="24"/>
          <w:szCs w:val="24"/>
          <w:highlight w:val="none"/>
        </w:rPr>
        <w:t xml:space="preserve">    如遇磋商文件及合同未约定事项，双方可友好协商签订补充协议。</w:t>
      </w:r>
      <w:r/>
    </w:p>
    <w:p>
      <w:pPr>
        <w:pStyle w:val="931"/>
        <w:jc w:val="center"/>
        <w:spacing w:before="120" w:after="120" w:line="0" w:lineRule="atLeast"/>
        <w:rPr>
          <w:rFonts w:ascii="方正小标宋简体" w:hAnsi="方正小标宋简体" w:eastAsia="方正小标宋简体" w:cs="方正小标宋简体"/>
          <w:color w:val="auto"/>
          <w:sz w:val="36"/>
          <w:szCs w:val="36"/>
          <w:highlight w:val="none"/>
        </w:rPr>
        <w:outlineLvl w:val="0"/>
      </w:pPr>
      <w:r/>
      <w:bookmarkStart w:id="13" w:name="_Hlt16619350"/>
      <w:r/>
      <w:bookmarkStart w:id="14" w:name="_Toc20823346"/>
      <w:r/>
      <w:bookmarkStart w:id="15" w:name="_Toc16938590"/>
      <w:r/>
      <w:bookmarkStart w:id="16" w:name="_Toc120614244"/>
      <w:r/>
      <w:bookmarkStart w:id="17" w:name="_Toc479757211"/>
      <w:r/>
      <w:bookmarkStart w:id="18" w:name="_Toc462564139"/>
      <w:r>
        <w:rPr>
          <w:rFonts w:hint="eastAsia" w:hAnsi="宋体"/>
          <w:color w:val="auto"/>
          <w:sz w:val="24"/>
          <w:szCs w:val="24"/>
          <w:highlight w:val="none"/>
        </w:rPr>
        <w:br w:type="page" w:clear="all"/>
      </w:r>
      <w:bookmarkEnd w:id="13"/>
      <w:r/>
      <w:bookmarkEnd w:id="14"/>
      <w:r/>
      <w:bookmarkEnd w:id="15"/>
      <w:r/>
      <w:bookmarkEnd w:id="16"/>
      <w:r/>
      <w:bookmarkStart w:id="19" w:name="_Toc26554093"/>
      <w:r/>
      <w:bookmarkStart w:id="20" w:name="_Toc49090575"/>
      <w:r>
        <w:rPr>
          <w:rFonts w:hint="eastAsia" w:ascii="方正小标宋简体" w:hAnsi="方正小标宋简体" w:eastAsia="方正小标宋简体" w:cs="方正小标宋简体"/>
          <w:color w:val="auto"/>
          <w:sz w:val="36"/>
          <w:szCs w:val="36"/>
          <w:highlight w:val="none"/>
        </w:rPr>
        <w:t xml:space="preserve">第四章  采购需求</w:t>
      </w:r>
      <w:r/>
    </w:p>
    <w:p>
      <w:pPr>
        <w:ind w:firstLine="482"/>
        <w:spacing w:line="264" w:lineRule="auto"/>
        <w:rPr>
          <w:rFonts w:hint="eastAsia" w:ascii="宋体" w:hAnsi="宋体" w:eastAsia="宋体" w:cs="宋体"/>
          <w:color w:val="auto"/>
          <w:sz w:val="24"/>
          <w:szCs w:val="24"/>
          <w:highlight w:val="none"/>
        </w:rPr>
        <w:outlineLvl w:val="1"/>
      </w:pPr>
      <w:r/>
      <w:bookmarkStart w:id="21" w:name="_Toc120614281"/>
      <w:r>
        <w:rPr>
          <w:rFonts w:hint="eastAsia" w:ascii="宋体" w:hAnsi="宋体" w:eastAsia="宋体" w:cs="宋体"/>
          <w:color w:val="auto"/>
          <w:sz w:val="24"/>
          <w:szCs w:val="24"/>
          <w:highlight w:val="none"/>
        </w:rPr>
        <w:t xml:space="preserve">一、项目属性：服务类项目。</w:t>
      </w:r>
      <w:r/>
    </w:p>
    <w:p>
      <w:pPr>
        <w:ind w:firstLine="482"/>
        <w:spacing w:line="264"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二、项目概况</w:t>
      </w:r>
      <w:r/>
    </w:p>
    <w:p>
      <w:pPr>
        <w:ind w:firstLine="48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为持续深入打好污染防治攻坚战，进一步完善雨花台区大气环境监测监控网络，提高重点区域精准监管效能，雨花台生态环境局拟在全区完善大气网格化监测系统，计划以购买服务方式，采购</w:t>
      </w:r>
      <w:r>
        <w:rPr>
          <w:rFonts w:hint="eastAsia" w:ascii="宋体" w:hAnsi="宋体" w:eastAsia="宋体" w:cs="宋体"/>
          <w:color w:val="auto"/>
          <w:sz w:val="24"/>
          <w:szCs w:val="24"/>
          <w:highlight w:val="none"/>
          <w:lang w:val="en-US" w:eastAsia="zh-CN"/>
        </w:rPr>
        <w:t xml:space="preserve">最多6</w:t>
      </w:r>
      <w:r>
        <w:rPr>
          <w:rFonts w:hint="eastAsia" w:ascii="宋体" w:hAnsi="宋体" w:eastAsia="宋体" w:cs="宋体"/>
          <w:color w:val="auto"/>
          <w:sz w:val="24"/>
          <w:szCs w:val="24"/>
          <w:highlight w:val="none"/>
        </w:rPr>
        <w:t xml:space="preserve">0套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以实际安装为准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全新微型空气自动监测站（标准六参数）的两年数据服务。</w:t>
      </w:r>
      <w:r/>
    </w:p>
    <w:p>
      <w:pPr>
        <w:ind w:firstLine="482"/>
        <w:spacing w:line="264"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清单</w:t>
      </w:r>
      <w:r/>
    </w:p>
    <w:tbl>
      <w:tblPr>
        <w:tblStyle w:val="707"/>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4695"/>
        <w:gridCol w:w="907"/>
        <w:gridCol w:w="813"/>
        <w:gridCol w:w="1828"/>
        <w:gridCol w:w="1040"/>
      </w:tblGrid>
      <w:tr>
        <w:trPr>
          <w:jc w:val="center"/>
        </w:trPr>
        <w:tc>
          <w:tcPr>
            <w:tcW w:w="465" w:type="pct"/>
            <w:vAlign w:val="center"/>
            <w:textDirection w:val="lrTb"/>
            <w:noWrap w:val="false"/>
          </w:tcPr>
          <w:p>
            <w:pPr>
              <w:pStyle w:val="679"/>
              <w:ind w:left="0"/>
              <w:jc w:val="center"/>
              <w:spacing w:line="360" w:lineRule="auto"/>
              <w:rPr>
                <w:rFonts w:hint="eastAsia" w:ascii="宋体" w:hAnsi="宋体" w:eastAsia="宋体" w:cs="宋体"/>
                <w:b/>
                <w:bCs/>
                <w:color w:val="auto"/>
                <w:sz w:val="24"/>
                <w:szCs w:val="24"/>
                <w:highlight w:val="none"/>
              </w:rPr>
            </w:pPr>
            <w:r/>
            <w:bookmarkStart w:id="22" w:name="_Hlk73437396"/>
            <w:r>
              <w:rPr>
                <w:rFonts w:hint="eastAsia" w:ascii="宋体" w:hAnsi="宋体" w:eastAsia="宋体" w:cs="宋体"/>
                <w:b/>
                <w:bCs/>
                <w:color w:val="auto"/>
                <w:sz w:val="24"/>
                <w:szCs w:val="24"/>
                <w:highlight w:val="none"/>
              </w:rPr>
              <w:t xml:space="preserve">序号</w:t>
            </w:r>
            <w:r/>
          </w:p>
        </w:tc>
        <w:tc>
          <w:tcPr>
            <w:tcW w:w="2293" w:type="pct"/>
            <w:vAlign w:val="center"/>
            <w:textDirection w:val="lrTb"/>
            <w:noWrap w:val="false"/>
          </w:tcPr>
          <w:p>
            <w:pPr>
              <w:pStyle w:val="679"/>
              <w:ind w:left="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标的名称</w:t>
            </w:r>
            <w:r/>
          </w:p>
        </w:tc>
        <w:tc>
          <w:tcPr>
            <w:tcW w:w="443" w:type="pct"/>
            <w:vAlign w:val="center"/>
            <w:textDirection w:val="lrTb"/>
            <w:noWrap w:val="false"/>
          </w:tcPr>
          <w:p>
            <w:pPr>
              <w:pStyle w:val="679"/>
              <w:ind w:left="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W w:w="397" w:type="pct"/>
            <w:vAlign w:val="center"/>
            <w:textDirection w:val="lrTb"/>
            <w:noWrap w:val="false"/>
          </w:tcPr>
          <w:p>
            <w:pPr>
              <w:pStyle w:val="679"/>
              <w:ind w:left="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W w:w="893" w:type="pct"/>
            <w:vAlign w:val="center"/>
            <w:textDirection w:val="lrTb"/>
            <w:noWrap w:val="false"/>
          </w:tcPr>
          <w:p>
            <w:pPr>
              <w:pStyle w:val="679"/>
              <w:ind w:left="0"/>
              <w:jc w:val="center"/>
              <w:spacing w:line="360" w:lineRule="auto"/>
              <w:rPr>
                <w:rFonts w:hint="eastAsia" w:ascii="宋体" w:hAnsi="宋体" w:eastAsia="宋体" w:cs="宋体"/>
                <w:b/>
                <w:bCs/>
                <w:color w:val="auto"/>
                <w:sz w:val="24"/>
                <w:szCs w:val="24"/>
                <w:highlight w:val="none"/>
              </w:rPr>
            </w:pPr>
            <w:r>
              <w:rPr>
                <w:rFonts w:hint="eastAsia" w:ascii="宋体" w:hAnsi="宋体" w:cs="宋体"/>
                <w:bCs/>
                <w:color w:val="auto"/>
                <w:sz w:val="24"/>
                <w:szCs w:val="24"/>
                <w:highlight w:val="none"/>
                <w:lang w:val="en-US" w:eastAsia="zh-CN"/>
              </w:rPr>
              <w:t xml:space="preserve">中小企业划分标准</w:t>
            </w:r>
            <w:r>
              <w:rPr>
                <w:rFonts w:hint="eastAsia" w:ascii="宋体" w:hAnsi="宋体" w:eastAsia="宋体" w:cs="Times New Roman"/>
                <w:bCs/>
                <w:color w:val="auto"/>
                <w:sz w:val="24"/>
                <w:szCs w:val="24"/>
                <w:highlight w:val="none"/>
              </w:rPr>
              <w:t xml:space="preserve">所属</w:t>
            </w:r>
            <w:r>
              <w:rPr>
                <w:rFonts w:hint="eastAsia" w:ascii="宋体" w:hAnsi="宋体" w:eastAsia="宋体" w:cs="Times New Roman"/>
                <w:bCs/>
                <w:color w:val="auto"/>
                <w:sz w:val="24"/>
                <w:szCs w:val="24"/>
                <w:highlight w:val="none"/>
                <w:lang w:eastAsia="zh-CN"/>
              </w:rPr>
              <w:t xml:space="preserve">行业</w:t>
            </w:r>
            <w:r/>
          </w:p>
        </w:tc>
        <w:tc>
          <w:tcPr>
            <w:tcW w:w="508" w:type="pct"/>
            <w:vAlign w:val="center"/>
            <w:textDirection w:val="lrTb"/>
            <w:noWrap w:val="false"/>
          </w:tcPr>
          <w:p>
            <w:pPr>
              <w:pStyle w:val="679"/>
              <w:ind w:left="0"/>
              <w:jc w:val="center"/>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属性</w:t>
            </w:r>
            <w:r/>
          </w:p>
        </w:tc>
      </w:tr>
      <w:tr>
        <w:trPr>
          <w:jc w:val="center"/>
        </w:trPr>
        <w:tc>
          <w:tcPr>
            <w:tcW w:w="465" w:type="pct"/>
            <w:vAlign w:val="center"/>
            <w:textDirection w:val="lrTb"/>
            <w:noWrap w:val="false"/>
          </w:tcPr>
          <w:p>
            <w:pPr>
              <w:pStyle w:val="679"/>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293" w:type="pct"/>
            <w:vAlign w:val="center"/>
            <w:textDirection w:val="lrTb"/>
            <w:noWrap w:val="false"/>
          </w:tcPr>
          <w:p>
            <w:pPr>
              <w:pStyle w:val="679"/>
              <w:ind w:left="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0台</w:t>
            </w:r>
            <w:r>
              <w:rPr>
                <w:rFonts w:hint="eastAsia" w:ascii="宋体" w:hAnsi="宋体" w:eastAsia="宋体" w:cs="宋体"/>
                <w:bCs/>
                <w:color w:val="auto"/>
                <w:sz w:val="24"/>
                <w:szCs w:val="24"/>
                <w:highlight w:val="none"/>
                <w:lang w:val="en-US" w:eastAsia="zh-CN"/>
              </w:rPr>
              <w:t xml:space="preserve">全新</w:t>
            </w:r>
            <w:r>
              <w:rPr>
                <w:rFonts w:hint="eastAsia" w:ascii="宋体" w:hAnsi="宋体" w:eastAsia="宋体" w:cs="宋体"/>
                <w:bCs/>
                <w:color w:val="auto"/>
                <w:sz w:val="24"/>
                <w:szCs w:val="24"/>
                <w:highlight w:val="none"/>
              </w:rPr>
              <w:t xml:space="preserve">六参数微型空气自动监测站</w:t>
            </w:r>
            <w:r/>
          </w:p>
          <w:p>
            <w:pPr>
              <w:pStyle w:val="679"/>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数据服务</w:t>
            </w:r>
            <w:r/>
          </w:p>
        </w:tc>
        <w:tc>
          <w:tcPr>
            <w:tcW w:w="443" w:type="pct"/>
            <w:vAlign w:val="center"/>
            <w:textDirection w:val="lrTb"/>
            <w:noWrap w:val="false"/>
          </w:tcPr>
          <w:p>
            <w:pPr>
              <w:pStyle w:val="679"/>
              <w:ind w:left="0"/>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397" w:type="pct"/>
            <w:vAlign w:val="center"/>
            <w:textDirection w:val="lrTb"/>
            <w:noWrap w:val="false"/>
          </w:tcPr>
          <w:p>
            <w:pPr>
              <w:pStyle w:val="679"/>
              <w:ind w:left="0"/>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年</w:t>
            </w:r>
            <w:r/>
          </w:p>
        </w:tc>
        <w:tc>
          <w:tcPr>
            <w:tcW w:w="893" w:type="pct"/>
            <w:vAlign w:val="center"/>
            <w:vMerge w:val="restart"/>
            <w:textDirection w:val="lrTb"/>
            <w:noWrap w:val="false"/>
          </w:tcPr>
          <w:p>
            <w:pPr>
              <w:pStyle w:val="679"/>
              <w:ind w:left="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其他未列明行业</w:t>
            </w:r>
            <w:r/>
          </w:p>
        </w:tc>
        <w:tc>
          <w:tcPr>
            <w:tcW w:w="508" w:type="pct"/>
            <w:vAlign w:val="center"/>
            <w:vMerge w:val="restart"/>
            <w:textDirection w:val="lrTb"/>
            <w:noWrap w:val="false"/>
          </w:tcPr>
          <w:p>
            <w:pPr>
              <w:pStyle w:val="679"/>
              <w:ind w:left="0"/>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服务</w:t>
            </w:r>
            <w:r/>
          </w:p>
        </w:tc>
      </w:tr>
      <w:tr>
        <w:trPr>
          <w:jc w:val="center"/>
        </w:trPr>
        <w:tc>
          <w:tcPr>
            <w:tcW w:w="465" w:type="pct"/>
            <w:vAlign w:val="center"/>
            <w:textDirection w:val="lrTb"/>
            <w:noWrap w:val="false"/>
          </w:tcPr>
          <w:p>
            <w:pPr>
              <w:pStyle w:val="679"/>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293" w:type="pct"/>
            <w:vAlign w:val="center"/>
            <w:textDirection w:val="lrTb"/>
            <w:noWrap w:val="false"/>
          </w:tcPr>
          <w:p>
            <w:pPr>
              <w:pStyle w:val="679"/>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配套运维服务</w:t>
            </w:r>
            <w:r/>
          </w:p>
        </w:tc>
        <w:tc>
          <w:tcPr>
            <w:tcW w:w="443" w:type="pct"/>
            <w:vAlign w:val="center"/>
            <w:textDirection w:val="lrTb"/>
            <w:noWrap w:val="false"/>
          </w:tcPr>
          <w:p>
            <w:pPr>
              <w:pStyle w:val="679"/>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97" w:type="pct"/>
            <w:vAlign w:val="center"/>
            <w:textDirection w:val="lrTb"/>
            <w:noWrap w:val="false"/>
          </w:tcPr>
          <w:p>
            <w:pPr>
              <w:pStyle w:val="679"/>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p>
        </w:tc>
        <w:tc>
          <w:tcPr>
            <w:tcW w:w="893" w:type="pct"/>
            <w:vAlign w:val="center"/>
            <w:vMerge w:val="continue"/>
            <w:textDirection w:val="lrTb"/>
            <w:noWrap w:val="false"/>
          </w:tcPr>
          <w:p>
            <w:pPr>
              <w:pStyle w:val="679"/>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8" w:type="pct"/>
            <w:vAlign w:val="center"/>
            <w:vMerge w:val="continue"/>
            <w:textDirection w:val="lrTb"/>
            <w:noWrap w:val="false"/>
          </w:tcPr>
          <w:p>
            <w:pPr>
              <w:pStyle w:val="679"/>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465" w:type="pct"/>
            <w:vAlign w:val="center"/>
            <w:textDirection w:val="lrTb"/>
            <w:noWrap w:val="false"/>
          </w:tcPr>
          <w:p>
            <w:pPr>
              <w:pStyle w:val="679"/>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293" w:type="pct"/>
            <w:vAlign w:val="center"/>
            <w:textDirection w:val="lrTb"/>
            <w:noWrap w:val="false"/>
          </w:tcPr>
          <w:p>
            <w:pPr>
              <w:pStyle w:val="679"/>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数据分析服务</w:t>
            </w:r>
            <w:r/>
          </w:p>
        </w:tc>
        <w:tc>
          <w:tcPr>
            <w:tcW w:w="443" w:type="pct"/>
            <w:vAlign w:val="center"/>
            <w:textDirection w:val="lrTb"/>
            <w:noWrap w:val="false"/>
          </w:tcPr>
          <w:p>
            <w:pPr>
              <w:pStyle w:val="679"/>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97" w:type="pct"/>
            <w:vAlign w:val="center"/>
            <w:textDirection w:val="lrTb"/>
            <w:noWrap w:val="false"/>
          </w:tcPr>
          <w:p>
            <w:pPr>
              <w:pStyle w:val="679"/>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p>
        </w:tc>
        <w:tc>
          <w:tcPr>
            <w:tcW w:w="893" w:type="pct"/>
            <w:vAlign w:val="center"/>
            <w:vMerge w:val="continue"/>
            <w:textDirection w:val="lrTb"/>
            <w:noWrap w:val="false"/>
          </w:tcPr>
          <w:p>
            <w:pPr>
              <w:pStyle w:val="679"/>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8" w:type="pct"/>
            <w:vAlign w:val="center"/>
            <w:vMerge w:val="continue"/>
            <w:textDirection w:val="lrTb"/>
            <w:noWrap w:val="false"/>
          </w:tcPr>
          <w:p>
            <w:pPr>
              <w:pStyle w:val="679"/>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22"/>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5"/>
        </w:numPr>
        <w:ind w:firstLine="482"/>
        <w:spacing w:line="264"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拟采购标的需要满足的技术、商务要求</w:t>
      </w:r>
      <w:r/>
    </w:p>
    <w:p>
      <w:pPr>
        <w:ind w:firstLine="480"/>
        <w:keepLines w:val="0"/>
        <w:keepNext w:val="0"/>
        <w:pageBreakBefore w:val="0"/>
        <w:spacing w:line="264" w:lineRule="auto"/>
        <w:widowControl w:val="off"/>
        <w:rPr>
          <w:rFonts w:hint="default" w:eastAsia="宋体"/>
          <w:color w:val="auto"/>
          <w:highlight w:val="none"/>
          <w:lang w:val="en-US" w:eastAsia="zh-CN"/>
        </w:rPr>
        <w:outlineLvl w:val="2"/>
      </w:pPr>
      <w:r>
        <w:rPr>
          <w:rFonts w:hint="eastAsia" w:ascii="宋体" w:hAnsi="宋体" w:eastAsia="宋体" w:cs="宋体"/>
          <w:bCs/>
          <w:color w:val="auto"/>
          <w:sz w:val="24"/>
          <w:szCs w:val="24"/>
          <w:highlight w:val="none"/>
        </w:rPr>
        <w:t xml:space="preserve">（一）技术要求</w:t>
      </w:r>
      <w:r/>
    </w:p>
    <w:p>
      <w:pPr>
        <w:pStyle w:val="679"/>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0台六参数微型空气自动监测站数据服务</w:t>
      </w:r>
      <w:r/>
    </w:p>
    <w:p>
      <w:pPr>
        <w:pStyle w:val="679"/>
        <w:ind w:left="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Cs/>
          <w:color w:val="auto"/>
          <w:sz w:val="24"/>
          <w:szCs w:val="24"/>
          <w:highlight w:val="none"/>
        </w:rPr>
        <w:t xml:space="preserve">供应商应保证数据服务所使用的</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0台六参数微型空气自动监测站为全新设备，并</w:t>
      </w:r>
      <w:r>
        <w:rPr>
          <w:rFonts w:hint="eastAsia" w:ascii="宋体" w:hAnsi="宋体" w:eastAsia="宋体" w:cs="宋体"/>
          <w:bCs/>
          <w:color w:val="auto"/>
          <w:sz w:val="24"/>
          <w:szCs w:val="24"/>
          <w:highlight w:val="none"/>
          <w:lang w:val="en-US" w:eastAsia="zh-CN"/>
        </w:rPr>
        <w:t xml:space="preserve">在项目交付时</w:t>
      </w:r>
      <w:r>
        <w:rPr>
          <w:rFonts w:hint="eastAsia" w:ascii="宋体" w:hAnsi="宋体" w:eastAsia="宋体" w:cs="宋体"/>
          <w:bCs/>
          <w:color w:val="auto"/>
          <w:sz w:val="24"/>
          <w:szCs w:val="24"/>
          <w:highlight w:val="none"/>
        </w:rPr>
        <w:t xml:space="preserve">提供相关出厂证明。  </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监测参数：二氧化硫（SO2）、二氧化氮（NO2）、一氧化碳（CO）、臭氧（O3）、可吸入颗粒物（PM10）、细颗粒物（PM2.5）、</w:t>
      </w:r>
      <w:r>
        <w:rPr>
          <w:rFonts w:hint="eastAsia" w:ascii="宋体" w:hAnsi="宋体" w:eastAsia="宋体" w:cs="宋体"/>
          <w:color w:val="auto"/>
          <w:sz w:val="24"/>
          <w:szCs w:val="24"/>
          <w:highlight w:val="none"/>
        </w:rPr>
        <w:t xml:space="preserve">风速、风向、空气温度、相对湿度、大气压力</w:t>
      </w:r>
      <w:r>
        <w:rPr>
          <w:rFonts w:hint="eastAsia" w:ascii="宋体" w:hAnsi="宋体" w:eastAsia="宋体" w:cs="宋体"/>
          <w:bCs/>
          <w:color w:val="auto"/>
          <w:sz w:val="24"/>
          <w:szCs w:val="24"/>
          <w:highlight w:val="none"/>
        </w:rPr>
        <w:t xml:space="preserve">；</w:t>
      </w:r>
      <w:r/>
    </w:p>
    <w:p>
      <w:pPr>
        <w:pStyle w:val="673"/>
        <w:rPr>
          <w:rFonts w:hint="default" w:eastAsia="宋体"/>
          <w:color w:val="auto"/>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Cs/>
          <w:color w:val="auto"/>
          <w:sz w:val="24"/>
          <w:szCs w:val="24"/>
          <w:highlight w:val="none"/>
        </w:rPr>
        <w:t xml:space="preserve">供电方式：外接电源</w:t>
      </w:r>
      <w:r>
        <w:rPr>
          <w:rFonts w:hint="eastAsia" w:ascii="宋体" w:hAnsi="宋体" w:cs="宋体"/>
          <w:bCs/>
          <w:color w:val="auto"/>
          <w:sz w:val="24"/>
          <w:szCs w:val="24"/>
          <w:highlight w:val="none"/>
          <w:lang w:val="en-US" w:eastAsia="zh-CN"/>
        </w:rPr>
        <w:t xml:space="preserve">同时</w:t>
      </w:r>
      <w:r>
        <w:rPr>
          <w:rFonts w:hint="eastAsia" w:ascii="宋体" w:hAnsi="宋体" w:eastAsia="宋体" w:cs="宋体"/>
          <w:bCs/>
          <w:color w:val="auto"/>
          <w:sz w:val="24"/>
          <w:szCs w:val="24"/>
          <w:highlight w:val="none"/>
        </w:rPr>
        <w:t xml:space="preserve">内置电池</w:t>
      </w:r>
      <w:r>
        <w:rPr>
          <w:rFonts w:hint="eastAsia"/>
          <w:color w:val="auto"/>
          <w:highlight w:val="none"/>
          <w:lang w:eastAsia="zh-CN"/>
        </w:rPr>
        <w:t xml:space="preserve">，</w:t>
      </w:r>
      <w:r>
        <w:rPr>
          <w:rFonts w:hint="eastAsia" w:ascii="宋体" w:hAnsi="宋体" w:cs="宋体"/>
          <w:bCs/>
          <w:color w:val="auto"/>
          <w:sz w:val="24"/>
          <w:szCs w:val="24"/>
          <w:highlight w:val="none"/>
          <w:lang w:val="en-US" w:eastAsia="zh-CN"/>
        </w:rPr>
        <w:t xml:space="preserve">保障外接电断电后正常运行4个小时以上。</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采样周期：1min-1h可设；</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通讯方式：GPRS无线通讯；</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定位：</w:t>
      </w:r>
      <w:r>
        <w:rPr>
          <w:rFonts w:hint="eastAsia" w:ascii="宋体" w:hAnsi="宋体" w:eastAsia="宋体" w:cs="宋体"/>
          <w:bCs/>
          <w:color w:val="auto"/>
          <w:sz w:val="24"/>
          <w:szCs w:val="24"/>
          <w:highlight w:val="none"/>
          <w:lang w:val="en-US" w:eastAsia="zh-CN"/>
        </w:rPr>
        <w:t xml:space="preserve">内置卫星定位</w:t>
      </w:r>
      <w:r>
        <w:rPr>
          <w:rFonts w:hint="eastAsia" w:ascii="宋体" w:hAnsi="宋体" w:eastAsia="宋体" w:cs="宋体"/>
          <w:bCs/>
          <w:color w:val="auto"/>
          <w:sz w:val="24"/>
          <w:szCs w:val="24"/>
          <w:highlight w:val="none"/>
        </w:rPr>
        <w:t xml:space="preserve">；</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储存环境温度要求：-30℃~50℃；</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储存环境湿度要求：0~95%RH；工作温度要求：-30℃~50℃；</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工作环境湿度要求：0~95%RH。</w:t>
      </w:r>
      <w:r/>
    </w:p>
    <w:p>
      <w:pPr>
        <w:pStyle w:val="94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Cs/>
          <w:color w:val="auto"/>
          <w:sz w:val="24"/>
          <w:szCs w:val="24"/>
          <w:highlight w:val="none"/>
        </w:rPr>
        <w:t xml:space="preserve">数据接入：提供接口，数据接入</w:t>
      </w:r>
      <w:r>
        <w:rPr>
          <w:rFonts w:hint="eastAsia" w:ascii="宋体" w:hAnsi="宋体" w:cs="宋体"/>
          <w:bCs/>
          <w:color w:val="auto"/>
          <w:sz w:val="24"/>
          <w:szCs w:val="24"/>
          <w:highlight w:val="none"/>
          <w:lang w:val="en-US" w:eastAsia="zh-CN"/>
        </w:rPr>
        <w:t xml:space="preserve">政务云、</w:t>
      </w:r>
      <w:r>
        <w:rPr>
          <w:rFonts w:hint="eastAsia" w:ascii="宋体" w:hAnsi="宋体" w:eastAsia="宋体" w:cs="宋体"/>
          <w:color w:val="auto"/>
          <w:sz w:val="24"/>
          <w:szCs w:val="24"/>
          <w:highlight w:val="none"/>
        </w:rPr>
        <w:t xml:space="preserve">雨花台区大气智慧平台和采购方指定的其它平台。</w:t>
      </w:r>
      <w:r/>
    </w:p>
    <w:p>
      <w:pPr>
        <w:pStyle w:val="94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点位布设：</w:t>
      </w:r>
      <w:r>
        <w:rPr>
          <w:rFonts w:hint="eastAsia" w:ascii="宋体" w:hAnsi="宋体" w:eastAsia="宋体" w:cs="宋体"/>
          <w:color w:val="auto"/>
          <w:sz w:val="24"/>
          <w:szCs w:val="24"/>
          <w:highlight w:val="none"/>
        </w:rPr>
        <w:t xml:space="preserve">供应商需根据采购方要求，自行完成场地踏勘、确定点位、仪器设备安装等相关工作。在服务周期中，监测点位需根据采购方要求相应变动。</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▲颗粒物（PM2.5 和PM10）技术指标：</w:t>
      </w:r>
      <w:r>
        <w:rPr>
          <w:rFonts w:hint="eastAsia" w:ascii="宋体" w:hAnsi="宋体" w:eastAsia="宋体" w:cs="宋体"/>
          <w:b/>
          <w:bCs w:val="0"/>
          <w:color w:val="auto"/>
          <w:sz w:val="24"/>
          <w:szCs w:val="24"/>
          <w:highlight w:val="none"/>
        </w:rPr>
        <w:t xml:space="preserve">（须提供具有CNAS或CMA标识的第三方检测报告并加盖公章，且检测报告处于有效期内，证明以上比对测量误差）</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①测量范围：0~1000ug/m3</w:t>
      </w:r>
      <w:r>
        <w:rPr>
          <w:rFonts w:hint="eastAsia" w:ascii="宋体" w:hAnsi="宋体" w:eastAsia="宋体" w:cs="宋体"/>
          <w:bCs/>
          <w:color w:val="auto"/>
          <w:sz w:val="24"/>
          <w:szCs w:val="24"/>
          <w:highlight w:val="none"/>
          <w:lang w:eastAsia="zh-CN"/>
        </w:rPr>
        <w:t xml:space="preserve">；</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②平行性：≤7%</w:t>
      </w:r>
      <w:r>
        <w:rPr>
          <w:rFonts w:hint="eastAsia" w:ascii="宋体" w:hAnsi="宋体" w:eastAsia="宋体" w:cs="宋体"/>
          <w:bCs/>
          <w:color w:val="auto"/>
          <w:sz w:val="24"/>
          <w:szCs w:val="24"/>
          <w:highlight w:val="none"/>
          <w:lang w:eastAsia="zh-CN"/>
        </w:rPr>
        <w:t xml:space="preserve">；</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③测量误差≤100ug/m3：≤±20.0ug/m3 ；测量误差 ＞100ug/m3 ：≤±20%</w:t>
      </w:r>
      <w:r>
        <w:rPr>
          <w:rFonts w:hint="eastAsia" w:ascii="宋体" w:hAnsi="宋体" w:eastAsia="宋体" w:cs="宋体"/>
          <w:bCs/>
          <w:color w:val="auto"/>
          <w:sz w:val="24"/>
          <w:szCs w:val="24"/>
          <w:highlight w:val="none"/>
          <w:lang w:eastAsia="zh-CN"/>
        </w:rPr>
        <w:t xml:space="preserve">；</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④室内外比对测量相关系数：≥0.95</w:t>
      </w:r>
      <w:r>
        <w:rPr>
          <w:rFonts w:hint="eastAsia" w:ascii="宋体" w:hAnsi="宋体" w:eastAsia="宋体" w:cs="宋体"/>
          <w:bCs/>
          <w:color w:val="auto"/>
          <w:sz w:val="24"/>
          <w:szCs w:val="24"/>
          <w:highlight w:val="none"/>
          <w:lang w:eastAsia="zh-CN"/>
        </w:rPr>
        <w:t xml:space="preserve">；</w:t>
      </w:r>
      <w:r/>
    </w:p>
    <w:p>
      <w:pPr>
        <w:spacing w:line="276" w:lineRule="auto"/>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▲气态污染物技术指标：</w:t>
      </w:r>
      <w:r>
        <w:rPr>
          <w:rFonts w:hint="eastAsia" w:ascii="宋体" w:hAnsi="宋体" w:eastAsia="宋体" w:cs="宋体"/>
          <w:b/>
          <w:bCs w:val="0"/>
          <w:color w:val="auto"/>
          <w:sz w:val="24"/>
          <w:szCs w:val="24"/>
          <w:highlight w:val="none"/>
        </w:rPr>
        <w:t xml:space="preserve">（须提供具有CNAS或CMA标识的第三方检测报告并加盖公章，且检测报告处于有效期内，证明以上比对测量误差）</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1)SO2参数要求</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①SO2 测量范围：0~500ppb</w:t>
      </w:r>
      <w:r>
        <w:rPr>
          <w:rFonts w:hint="eastAsia" w:ascii="宋体" w:hAnsi="宋体" w:eastAsia="宋体" w:cs="宋体"/>
          <w:bCs/>
          <w:color w:val="auto"/>
          <w:sz w:val="24"/>
          <w:szCs w:val="24"/>
          <w:highlight w:val="none"/>
          <w:lang w:eastAsia="zh-CN"/>
        </w:rPr>
        <w:t xml:space="preserve">；</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②SO2示值误差：≤±6%F.S.</w:t>
      </w:r>
      <w:r>
        <w:rPr>
          <w:rFonts w:hint="eastAsia" w:ascii="宋体" w:hAnsi="宋体" w:eastAsia="宋体" w:cs="宋体"/>
          <w:bCs/>
          <w:color w:val="auto"/>
          <w:sz w:val="24"/>
          <w:szCs w:val="24"/>
          <w:highlight w:val="none"/>
          <w:lang w:eastAsia="zh-CN"/>
        </w:rPr>
        <w:t xml:space="preserve">；</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③SO2 重复性：≤1%</w:t>
      </w:r>
      <w:r>
        <w:rPr>
          <w:rFonts w:hint="eastAsia" w:ascii="宋体" w:hAnsi="宋体" w:eastAsia="宋体" w:cs="宋体"/>
          <w:bCs/>
          <w:color w:val="auto"/>
          <w:sz w:val="24"/>
          <w:szCs w:val="24"/>
          <w:highlight w:val="none"/>
          <w:lang w:eastAsia="zh-CN"/>
        </w:rPr>
        <w:t xml:space="preserve">；</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④SO2 环境试验误差：≤±4%F.S.</w:t>
      </w:r>
      <w:r>
        <w:rPr>
          <w:rFonts w:hint="eastAsia" w:ascii="宋体" w:hAnsi="宋体" w:eastAsia="宋体" w:cs="宋体"/>
          <w:bCs/>
          <w:color w:val="auto"/>
          <w:sz w:val="24"/>
          <w:szCs w:val="24"/>
          <w:highlight w:val="none"/>
          <w:lang w:eastAsia="zh-CN"/>
        </w:rPr>
        <w:t xml:space="preserve">；</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⑤SO2 24h零点漂移：≤±3%F.S.</w:t>
      </w:r>
      <w:r>
        <w:rPr>
          <w:rFonts w:hint="eastAsia" w:ascii="宋体" w:hAnsi="宋体" w:eastAsia="宋体" w:cs="宋体"/>
          <w:bCs/>
          <w:color w:val="auto"/>
          <w:sz w:val="24"/>
          <w:szCs w:val="24"/>
          <w:highlight w:val="none"/>
          <w:lang w:eastAsia="zh-CN"/>
        </w:rPr>
        <w:t xml:space="preserve">；</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⑥SO2 24h量程漂移：≤±10%F.S.</w:t>
      </w:r>
      <w:r>
        <w:rPr>
          <w:rFonts w:hint="eastAsia" w:ascii="宋体" w:hAnsi="宋体" w:eastAsia="宋体" w:cs="宋体"/>
          <w:bCs/>
          <w:color w:val="auto"/>
          <w:sz w:val="24"/>
          <w:szCs w:val="24"/>
          <w:highlight w:val="none"/>
          <w:lang w:eastAsia="zh-CN"/>
        </w:rPr>
        <w:t xml:space="preserve">；</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⑦SO2 响应时间：≤80s</w:t>
      </w:r>
      <w:r>
        <w:rPr>
          <w:rFonts w:hint="eastAsia" w:ascii="宋体" w:hAnsi="宋体" w:eastAsia="宋体" w:cs="宋体"/>
          <w:bCs/>
          <w:color w:val="auto"/>
          <w:sz w:val="24"/>
          <w:szCs w:val="24"/>
          <w:highlight w:val="none"/>
          <w:lang w:eastAsia="zh-CN"/>
        </w:rPr>
        <w:t xml:space="preserve">；</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2)NO2参数要求：</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①NO2 测量范围：0~500ppb</w:t>
      </w:r>
      <w:r>
        <w:rPr>
          <w:rFonts w:hint="eastAsia" w:ascii="宋体" w:hAnsi="宋体" w:eastAsia="宋体" w:cs="宋体"/>
          <w:bCs/>
          <w:color w:val="auto"/>
          <w:sz w:val="24"/>
          <w:szCs w:val="24"/>
          <w:highlight w:val="none"/>
          <w:lang w:eastAsia="zh-CN"/>
        </w:rPr>
        <w:t xml:space="preserve">；</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②NO2示值误差：≤±2%F.S.</w:t>
      </w:r>
      <w:r>
        <w:rPr>
          <w:rFonts w:hint="eastAsia" w:ascii="宋体" w:hAnsi="宋体" w:eastAsia="宋体" w:cs="宋体"/>
          <w:bCs/>
          <w:color w:val="auto"/>
          <w:sz w:val="24"/>
          <w:szCs w:val="24"/>
          <w:highlight w:val="none"/>
          <w:lang w:eastAsia="zh-CN"/>
        </w:rPr>
        <w:t xml:space="preserve">；</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③NO2 重复性：≤2%</w:t>
      </w:r>
      <w:r>
        <w:rPr>
          <w:rFonts w:hint="eastAsia" w:ascii="宋体" w:hAnsi="宋体" w:eastAsia="宋体" w:cs="宋体"/>
          <w:bCs/>
          <w:color w:val="auto"/>
          <w:sz w:val="24"/>
          <w:szCs w:val="24"/>
          <w:highlight w:val="none"/>
          <w:lang w:eastAsia="zh-CN"/>
        </w:rPr>
        <w:t xml:space="preserve">；</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④NO2 环境试验误差：≤±10%F.S.</w:t>
      </w:r>
      <w:r>
        <w:rPr>
          <w:rFonts w:hint="eastAsia" w:ascii="宋体" w:hAnsi="宋体" w:eastAsia="宋体" w:cs="宋体"/>
          <w:bCs/>
          <w:color w:val="auto"/>
          <w:sz w:val="24"/>
          <w:szCs w:val="24"/>
          <w:highlight w:val="none"/>
          <w:lang w:eastAsia="zh-CN"/>
        </w:rPr>
        <w:t xml:space="preserve">；</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⑤NO2 24h零点漂移：≤±10%F.S.</w:t>
      </w:r>
      <w:r>
        <w:rPr>
          <w:rFonts w:hint="eastAsia" w:ascii="宋体" w:hAnsi="宋体" w:eastAsia="宋体" w:cs="宋体"/>
          <w:bCs/>
          <w:color w:val="auto"/>
          <w:sz w:val="24"/>
          <w:szCs w:val="24"/>
          <w:highlight w:val="none"/>
          <w:lang w:eastAsia="zh-CN"/>
        </w:rPr>
        <w:t xml:space="preserve">；</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⑥NO2 24h量程漂移：≤±10%F.S.</w:t>
      </w:r>
      <w:r>
        <w:rPr>
          <w:rFonts w:hint="eastAsia" w:ascii="宋体" w:hAnsi="宋体" w:eastAsia="宋体" w:cs="宋体"/>
          <w:bCs/>
          <w:color w:val="auto"/>
          <w:sz w:val="24"/>
          <w:szCs w:val="24"/>
          <w:highlight w:val="none"/>
          <w:lang w:eastAsia="zh-CN"/>
        </w:rPr>
        <w:t xml:space="preserve">；</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⑦NO2 响应时间：≤60s</w:t>
      </w:r>
      <w:r>
        <w:rPr>
          <w:rFonts w:hint="eastAsia" w:ascii="宋体" w:hAnsi="宋体" w:eastAsia="宋体" w:cs="宋体"/>
          <w:bCs/>
          <w:color w:val="auto"/>
          <w:sz w:val="24"/>
          <w:szCs w:val="24"/>
          <w:highlight w:val="none"/>
          <w:lang w:eastAsia="zh-CN"/>
        </w:rPr>
        <w:t xml:space="preserve">；</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3)O3参数要求：</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①O3 测量范围：0~500ppb</w:t>
      </w:r>
      <w:r>
        <w:rPr>
          <w:rFonts w:hint="eastAsia" w:ascii="宋体" w:hAnsi="宋体" w:eastAsia="宋体" w:cs="宋体"/>
          <w:bCs/>
          <w:color w:val="auto"/>
          <w:sz w:val="24"/>
          <w:szCs w:val="24"/>
          <w:highlight w:val="none"/>
          <w:lang w:eastAsia="zh-CN"/>
        </w:rPr>
        <w:t xml:space="preserve">；</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②O3示值误差：≤±5%F.S.</w:t>
      </w:r>
      <w:r>
        <w:rPr>
          <w:rFonts w:hint="eastAsia" w:ascii="宋体" w:hAnsi="宋体" w:eastAsia="宋体" w:cs="宋体"/>
          <w:bCs/>
          <w:color w:val="auto"/>
          <w:sz w:val="24"/>
          <w:szCs w:val="24"/>
          <w:highlight w:val="none"/>
          <w:lang w:eastAsia="zh-CN"/>
        </w:rPr>
        <w:t xml:space="preserve">；</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③O3重复性：≤1%</w:t>
      </w:r>
      <w:r>
        <w:rPr>
          <w:rFonts w:hint="eastAsia" w:ascii="宋体" w:hAnsi="宋体" w:eastAsia="宋体" w:cs="宋体"/>
          <w:bCs/>
          <w:color w:val="auto"/>
          <w:sz w:val="24"/>
          <w:szCs w:val="24"/>
          <w:highlight w:val="none"/>
          <w:lang w:eastAsia="zh-CN"/>
        </w:rPr>
        <w:t xml:space="preserve">；</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④O3 环境试验误差：≤±10%F.S.</w:t>
      </w:r>
      <w:r>
        <w:rPr>
          <w:rFonts w:hint="eastAsia" w:ascii="宋体" w:hAnsi="宋体" w:eastAsia="宋体" w:cs="宋体"/>
          <w:bCs/>
          <w:color w:val="auto"/>
          <w:sz w:val="24"/>
          <w:szCs w:val="24"/>
          <w:highlight w:val="none"/>
          <w:lang w:eastAsia="zh-CN"/>
        </w:rPr>
        <w:t xml:space="preserve">；</w:t>
      </w:r>
      <w:r/>
    </w:p>
    <w:p>
      <w:p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⑤O3 24h零点漂移：≤±3%F.S.</w:t>
      </w:r>
      <w:r>
        <w:rPr>
          <w:rFonts w:hint="eastAsia" w:ascii="宋体" w:hAnsi="宋体" w:eastAsia="宋体" w:cs="宋体"/>
          <w:bCs/>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气象五参数技术指标：</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（1）环境温度：测量范围:-50～+85℃;分辨率:0.1℃;准确度:±0.1℃;</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（2）环境湿度:测量范围:0～100%;分辨率:0.1%;准确度:±2%;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（3）风向:测量范围:0～360°;分辨率: 1°;准确度:±3°;</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（4）风速:测量范围:0～75m/s;分辨率:0.1m/s;准确度:±(0.3+0.03V)m/s;</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（5）大气压力:测量范围:-300～1200hPa;分辨率:0.1hPa;准确度:±0.3hPa;</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（6）工作环境：温度：-50～85℃，湿度：100％。</w:t>
      </w:r>
      <w:r/>
    </w:p>
    <w:p>
      <w:pPr>
        <w:pStyle w:val="679"/>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-2配套运维服务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投标人根据设备运行需要，安排专职人员负责设备运维（运维人员不需驻场），制定运维方案，包括而不限于以下内容。</w:t>
      </w:r>
      <w:r/>
    </w:p>
    <w:p>
      <w:pPr>
        <w:ind w:firstLine="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日审核：实施数据有效性审核规则，每日对相关数据进行有效性审核，对于异常数据进行核实和排查，及时排除可能导致数据异常的各类故障。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）周监控：每周在检查设备在线率、报警情况、运行维护计划等不少于一次。</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）月巡检：每月在监控平台远程巡检网络设备运行状况不少于一次，具体内容包括设备运行状态、异常率等。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）季检查：每季度进行现场检查，检查内容包括准确性、设备安装状况、周边环境、设备运行状况等。</w:t>
      </w:r>
      <w:r/>
    </w:p>
    <w:p>
      <w:pPr>
        <w:pStyle w:val="6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-3数据分析服务</w:t>
      </w:r>
      <w:r/>
    </w:p>
    <w:p>
      <w:pPr>
        <w:numPr>
          <w:ilvl w:val="0"/>
          <w:numId w:val="6"/>
        </w:numPr>
        <w:ind w:firstLine="48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投标人除前述专职运维人员以外，还需</w:t>
      </w:r>
      <w:r>
        <w:rPr>
          <w:rFonts w:hint="eastAsia" w:ascii="宋体" w:hAnsi="宋体" w:cs="宋体"/>
          <w:color w:val="auto"/>
          <w:sz w:val="24"/>
          <w:szCs w:val="24"/>
          <w:highlight w:val="none"/>
          <w:lang w:val="en-US" w:eastAsia="zh-CN"/>
        </w:rPr>
        <w:t xml:space="preserve">配备</w:t>
      </w:r>
      <w:r>
        <w:rPr>
          <w:rFonts w:hint="eastAsia" w:ascii="宋体" w:hAnsi="宋体" w:eastAsia="宋体" w:cs="宋体"/>
          <w:color w:val="auto"/>
          <w:sz w:val="24"/>
          <w:szCs w:val="24"/>
          <w:highlight w:val="none"/>
        </w:rPr>
        <w:t xml:space="preserve">专职分析人员2名，</w:t>
      </w:r>
      <w:r>
        <w:rPr>
          <w:rFonts w:hint="eastAsia" w:ascii="宋体" w:hAnsi="宋体" w:eastAsia="宋体" w:cs="宋体"/>
          <w:color w:val="auto"/>
          <w:sz w:val="24"/>
          <w:szCs w:val="24"/>
          <w:highlight w:val="none"/>
          <w:lang w:val="en-US" w:eastAsia="zh-CN"/>
        </w:rPr>
        <w:t xml:space="preserve">应有本科以上学历，专业对口，工作经历一年以上，熟悉大气微站相关工作。其中1人为项目负责人，统筹管理本项目各项工作内容，兼任污染溯源、高值排查等，1人为数据分析专员，专职负责数据分析。</w:t>
      </w:r>
      <w:r>
        <w:rPr>
          <w:rFonts w:hint="eastAsia" w:ascii="宋体" w:hAnsi="宋体" w:eastAsia="宋体" w:cs="宋体"/>
          <w:color w:val="auto"/>
          <w:sz w:val="24"/>
          <w:szCs w:val="24"/>
          <w:highlight w:val="none"/>
        </w:rPr>
        <w:t xml:space="preserve">专职分析人员主要从事设备运维情况调度、</w:t>
      </w:r>
      <w:r>
        <w:rPr>
          <w:rFonts w:hint="eastAsia" w:ascii="宋体" w:hAnsi="宋体" w:cs="宋体"/>
          <w:color w:val="auto"/>
          <w:sz w:val="24"/>
          <w:szCs w:val="24"/>
          <w:highlight w:val="none"/>
          <w:lang w:val="en-US" w:eastAsia="zh-CN"/>
        </w:rPr>
        <w:t xml:space="preserve">异常数据审核、</w:t>
      </w:r>
      <w:r>
        <w:rPr>
          <w:rFonts w:hint="eastAsia" w:ascii="宋体" w:hAnsi="宋体" w:eastAsia="宋体" w:cs="宋体"/>
          <w:color w:val="auto"/>
          <w:sz w:val="24"/>
          <w:szCs w:val="24"/>
          <w:highlight w:val="none"/>
        </w:rPr>
        <w:t xml:space="preserve">空气质量分析、报警</w:t>
      </w:r>
      <w:r>
        <w:rPr>
          <w:rFonts w:hint="eastAsia" w:ascii="宋体" w:hAnsi="宋体" w:eastAsia="宋体" w:cs="宋体"/>
          <w:color w:val="auto"/>
          <w:sz w:val="24"/>
          <w:szCs w:val="24"/>
          <w:highlight w:val="none"/>
          <w:lang w:val="en-US" w:eastAsia="zh-CN"/>
        </w:rPr>
        <w:t xml:space="preserve">溯源</w:t>
      </w:r>
      <w:r>
        <w:rPr>
          <w:rFonts w:hint="eastAsia" w:ascii="宋体" w:hAnsi="宋体" w:eastAsia="宋体" w:cs="宋体"/>
          <w:color w:val="auto"/>
          <w:sz w:val="24"/>
          <w:szCs w:val="24"/>
          <w:highlight w:val="none"/>
        </w:rPr>
        <w:t xml:space="preserve">、数据统计分析等相关工作。</w:t>
      </w:r>
      <w:r/>
    </w:p>
    <w:p>
      <w:pPr>
        <w:ind w:firstLine="48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（2）采购方有权要求运维单位撤换不符合工作标准的专职分析人员。投标人更换专职分析人员，需提前至少15天告知采购方。</w:t>
      </w:r>
      <w:r>
        <w:rPr>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264"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★（二）商务要求</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1、服务周期：</w:t>
      </w:r>
      <w:r>
        <w:rPr>
          <w:rFonts w:hint="eastAsia" w:ascii="宋体" w:hAnsi="宋体" w:eastAsia="宋体" w:cs="宋体"/>
          <w:color w:val="auto"/>
          <w:sz w:val="24"/>
          <w:szCs w:val="24"/>
          <w:highlight w:val="none"/>
        </w:rPr>
        <w:t xml:space="preserve">合同签订后，自采购人按照采购方要求完成点位布设，有效数据上线之日起2年。</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2、服务期</w:t>
      </w:r>
      <w:r>
        <w:rPr>
          <w:rFonts w:hint="eastAsia" w:ascii="宋体" w:hAnsi="宋体" w:eastAsia="宋体" w:cs="宋体"/>
          <w:color w:val="auto"/>
          <w:sz w:val="24"/>
          <w:szCs w:val="24"/>
          <w:highlight w:val="none"/>
        </w:rPr>
        <w:t xml:space="preserve">：投标人应确保本次采购所有项目的安全稳定的运行，提供</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年</w:t>
      </w:r>
      <w:r>
        <w:rPr>
          <w:rFonts w:hint="eastAsia" w:ascii="宋体" w:hAnsi="宋体" w:eastAsia="宋体" w:cs="宋体"/>
          <w:b/>
          <w:bCs/>
          <w:color w:val="auto"/>
          <w:sz w:val="24"/>
          <w:szCs w:val="24"/>
          <w:highlight w:val="none"/>
        </w:rPr>
        <w:t xml:space="preserve">服务。</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3、服务要求</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b/>
          <w:bCs/>
          <w:color w:val="auto"/>
          <w:sz w:val="24"/>
          <w:szCs w:val="24"/>
          <w:highlight w:val="none"/>
          <w:lang w:val="en-US" w:eastAsia="zh-CN"/>
        </w:rPr>
        <w:t xml:space="preserve">服务</w:t>
      </w:r>
      <w:r>
        <w:rPr>
          <w:rFonts w:hint="eastAsia" w:ascii="宋体" w:hAnsi="宋体" w:eastAsia="宋体" w:cs="宋体"/>
          <w:b/>
          <w:bCs/>
          <w:color w:val="auto"/>
          <w:sz w:val="24"/>
          <w:szCs w:val="24"/>
          <w:highlight w:val="none"/>
        </w:rPr>
        <w:t xml:space="preserve">期</w:t>
      </w:r>
      <w:r>
        <w:rPr>
          <w:rFonts w:hint="eastAsia" w:ascii="宋体" w:hAnsi="宋体" w:eastAsia="宋体" w:cs="宋体"/>
          <w:color w:val="auto"/>
          <w:sz w:val="24"/>
          <w:szCs w:val="24"/>
          <w:highlight w:val="none"/>
        </w:rPr>
        <w:t xml:space="preserve">内，本合同项目所有技术和服务发生任何非人为故障，由投标人负责系统恢复。故障报修的响应时间为即时，到达现场的时间为2小时，小型故障恢复时间为4个小时，严重故障恢复时间为24小时内，并及时有效的提供解决方案。无法现场排除故障的，应及时更换备机。</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b/>
          <w:bCs/>
          <w:color w:val="auto"/>
          <w:sz w:val="24"/>
          <w:szCs w:val="24"/>
          <w:highlight w:val="none"/>
          <w:lang w:val="en-US" w:eastAsia="zh-CN"/>
        </w:rPr>
        <w:t xml:space="preserve">服务</w:t>
      </w:r>
      <w:r>
        <w:rPr>
          <w:rFonts w:hint="eastAsia" w:ascii="宋体" w:hAnsi="宋体" w:eastAsia="宋体" w:cs="宋体"/>
          <w:b/>
          <w:bCs/>
          <w:color w:val="auto"/>
          <w:sz w:val="24"/>
          <w:szCs w:val="24"/>
          <w:highlight w:val="none"/>
        </w:rPr>
        <w:t xml:space="preserve">期</w:t>
      </w:r>
      <w:r>
        <w:rPr>
          <w:rFonts w:hint="eastAsia" w:ascii="宋体" w:hAnsi="宋体" w:eastAsia="宋体" w:cs="宋体"/>
          <w:color w:val="auto"/>
          <w:sz w:val="24"/>
          <w:szCs w:val="24"/>
          <w:highlight w:val="none"/>
        </w:rPr>
        <w:t xml:space="preserve">内，对采购人提出的合理服务要求，投标人必须即时进行电话、邮件及远程网络支持，并在2小时内到场服务。如不到场，采购人有权自行处理，相关费用由投标人负责。</w:t>
      </w:r>
      <w:r/>
    </w:p>
    <w:p>
      <w:pPr>
        <w:numPr>
          <w:ilvl w:val="-1"/>
          <w:numId w:val="0"/>
        </w:numPr>
        <w:ind w:left="0" w:firstLine="0"/>
        <w:jc w:val="left"/>
        <w:pageBreakBefore w:val="0"/>
        <w:spacing w:line="440" w:lineRule="exact"/>
        <w:rPr>
          <w:rFonts w:hint="eastAsia"/>
          <w:color w:val="auto"/>
          <w:sz w:val="24"/>
          <w:szCs w:val="24"/>
          <w:highlight w:val="none"/>
          <w:lang w:val="en-US" w:eastAsia="zh-CN"/>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3</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服务期内</w:t>
      </w:r>
      <w:r>
        <w:rPr>
          <w:color w:val="auto"/>
          <w:sz w:val="24"/>
          <w:szCs w:val="24"/>
          <w:highlight w:val="none"/>
        </w:rPr>
        <w:t xml:space="preserve">，运维单位应严格按照国家及行业操作规范和规章制度，对所管理的系统及设备进行规范操作</w:t>
      </w:r>
      <w:r>
        <w:rPr>
          <w:rFonts w:hint="eastAsia"/>
          <w:color w:val="auto"/>
          <w:sz w:val="24"/>
          <w:szCs w:val="24"/>
          <w:highlight w:val="none"/>
          <w:lang w:eastAsia="zh-CN"/>
        </w:rPr>
        <w:t xml:space="preserve">、</w:t>
      </w:r>
      <w:r>
        <w:rPr>
          <w:color w:val="auto"/>
          <w:sz w:val="24"/>
          <w:szCs w:val="24"/>
          <w:highlight w:val="none"/>
        </w:rPr>
        <w:t xml:space="preserve">维护及维修，保证系统及设备的正常运行，达到招标人提出的系统及设备考核指标要求。</w:t>
      </w:r>
      <w:r>
        <w:rPr>
          <w:rFonts w:hint="eastAsia"/>
          <w:color w:val="auto"/>
          <w:sz w:val="24"/>
          <w:szCs w:val="24"/>
          <w:highlight w:val="none"/>
          <w:lang w:val="en-US" w:eastAsia="zh-CN"/>
        </w:rPr>
        <w:t xml:space="preserve">投标人应</w:t>
      </w:r>
      <w:r>
        <w:rPr>
          <w:color w:val="auto"/>
          <w:sz w:val="24"/>
          <w:szCs w:val="24"/>
          <w:highlight w:val="none"/>
        </w:rPr>
        <w:t xml:space="preserve">接受招标人的不定期</w:t>
      </w:r>
      <w:r>
        <w:rPr>
          <w:rFonts w:hint="eastAsia"/>
          <w:color w:val="auto"/>
          <w:sz w:val="24"/>
          <w:szCs w:val="24"/>
          <w:highlight w:val="none"/>
          <w:lang w:val="en-US" w:eastAsia="zh-CN"/>
        </w:rPr>
        <w:t xml:space="preserve">抽</w:t>
      </w:r>
      <w:r>
        <w:rPr>
          <w:color w:val="auto"/>
          <w:sz w:val="24"/>
          <w:szCs w:val="24"/>
          <w:highlight w:val="none"/>
        </w:rPr>
        <w:t xml:space="preserve">查和考核。</w:t>
      </w:r>
      <w:r>
        <w:rPr>
          <w:rFonts w:hint="eastAsia"/>
          <w:color w:val="auto"/>
          <w:sz w:val="24"/>
          <w:szCs w:val="24"/>
          <w:highlight w:val="none"/>
          <w:lang w:val="en-US" w:eastAsia="zh-CN"/>
        </w:rPr>
        <w:t xml:space="preserve">不符合检查要求的，及时整改。</w:t>
      </w:r>
      <w:r/>
    </w:p>
    <w:p>
      <w:pPr>
        <w:spacing w:line="360" w:lineRule="auto"/>
        <w:shd w:val="clear" w:color="auto" w:fill="ffffff"/>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服务期内，投标人应制定并实施数据有效性审核规则，设备断电、故障和异常、失真等情形数据（极端天气等不可抗力因素除外），均为无效数据，应予以剔除，投标人配合采购人每月对各点位数据有效性进行统计，数据有效性应保证在95%以上。</w:t>
      </w:r>
      <w:r/>
    </w:p>
    <w:p>
      <w:pPr>
        <w:spacing w:line="360" w:lineRule="auto"/>
        <w:shd w:val="clear" w:color="auto" w:fill="ffffff"/>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服务期内，投标人应制定完整的数据台账保存机制，包括原始数据、数据审核情况等，每月更新存档汇总并报送采购人，服务期结束后，提供项目期间全部数据台账。</w:t>
      </w:r>
      <w:r/>
    </w:p>
    <w:p>
      <w:pPr>
        <w:pStyle w:val="6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）投标人需提供定期回访服务，对采购人提出的合理优化建议应提供免费升级服务。</w:t>
      </w:r>
      <w:r/>
    </w:p>
    <w:p>
      <w:pPr>
        <w:numPr>
          <w:ilvl w:val="-1"/>
          <w:numId w:val="0"/>
        </w:numPr>
        <w:ind w:left="0" w:firstLine="0"/>
        <w:jc w:val="left"/>
        <w:pageBreakBefore w:val="0"/>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（7）投标人</w:t>
      </w:r>
      <w:r>
        <w:rPr>
          <w:rFonts w:hint="eastAsia" w:ascii="宋体" w:hAnsi="宋体" w:eastAsia="宋体" w:cs="宋体"/>
          <w:color w:val="auto"/>
          <w:sz w:val="24"/>
          <w:szCs w:val="24"/>
          <w:highlight w:val="none"/>
          <w:lang w:val="en-US" w:eastAsia="zh-Hans" w:bidi="ar-SA"/>
        </w:rPr>
        <w:t xml:space="preserve">应承担监测数据的保密责任</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Hans" w:bidi="ar-SA"/>
        </w:rPr>
        <w:t xml:space="preserve">按照</w:t>
      </w:r>
      <w:r>
        <w:rPr>
          <w:rFonts w:hint="eastAsia" w:ascii="宋体" w:hAnsi="宋体" w:eastAsia="宋体" w:cs="宋体"/>
          <w:color w:val="auto"/>
          <w:sz w:val="24"/>
          <w:szCs w:val="24"/>
          <w:highlight w:val="none"/>
          <w:lang w:val="en-US" w:eastAsia="zh-CN" w:bidi="ar-SA"/>
        </w:rPr>
        <w:t xml:space="preserve">采购</w:t>
      </w:r>
      <w:r>
        <w:rPr>
          <w:rFonts w:hint="eastAsia" w:ascii="宋体" w:hAnsi="宋体" w:eastAsia="宋体" w:cs="宋体"/>
          <w:color w:val="auto"/>
          <w:sz w:val="24"/>
          <w:szCs w:val="24"/>
          <w:highlight w:val="none"/>
          <w:lang w:val="en-US" w:eastAsia="zh-Hans" w:bidi="ar-SA"/>
        </w:rPr>
        <w:t xml:space="preserve">人的要求，进行报告和传输有关的监测数据，</w:t>
      </w:r>
      <w:r>
        <w:rPr>
          <w:rFonts w:hint="eastAsia" w:ascii="宋体" w:hAnsi="宋体" w:eastAsia="宋体" w:cs="宋体"/>
          <w:color w:val="auto"/>
          <w:sz w:val="24"/>
          <w:szCs w:val="24"/>
          <w:highlight w:val="none"/>
          <w:lang w:val="en-US" w:eastAsia="zh-CN" w:bidi="ar-SA"/>
        </w:rPr>
        <w:t xml:space="preserve">并做好数据上报记录</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未经采购人同意，</w:t>
      </w:r>
      <w:r>
        <w:rPr>
          <w:rFonts w:hint="eastAsia" w:ascii="宋体" w:hAnsi="宋体" w:eastAsia="宋体" w:cs="宋体"/>
          <w:color w:val="auto"/>
          <w:sz w:val="24"/>
          <w:szCs w:val="24"/>
          <w:highlight w:val="none"/>
          <w:lang w:val="en-US" w:eastAsia="zh-Hans" w:bidi="ar-SA"/>
        </w:rPr>
        <w:t xml:space="preserve">不得以任何方式和渠道向外界传递任何监测数据。</w:t>
      </w:r>
      <w:r/>
    </w:p>
    <w:p>
      <w:pPr>
        <w:pStyle w:val="6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）所有的服务方式均为投标人上门保修，即由投标人派员到系统使用现场进行故障恢复，由此产生的一切费用均由投标人承担。</w:t>
      </w:r>
      <w:r/>
    </w:p>
    <w:p>
      <w:pPr>
        <w:pStyle w:val="675"/>
        <w:spacing w:line="360" w:lineRule="auto"/>
        <w:rPr>
          <w:color w:val="auto"/>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）投标人需要提供2台备机，以便设备出现故障时及时替换，备机</w:t>
      </w:r>
      <w:r>
        <w:rPr>
          <w:rFonts w:hint="eastAsia" w:ascii="宋体" w:hAnsi="宋体" w:eastAsia="宋体" w:cs="宋体"/>
          <w:color w:val="auto"/>
          <w:sz w:val="24"/>
          <w:szCs w:val="24"/>
          <w:highlight w:val="none"/>
          <w:lang w:val="en-US" w:eastAsia="zh-CN"/>
        </w:rPr>
        <w:t xml:space="preserve">功能性能等参数不低于</w:t>
      </w:r>
      <w:r>
        <w:rPr>
          <w:rFonts w:hint="eastAsia" w:ascii="宋体" w:hAnsi="宋体" w:eastAsia="宋体" w:cs="宋体"/>
          <w:color w:val="auto"/>
          <w:sz w:val="24"/>
          <w:szCs w:val="24"/>
          <w:highlight w:val="none"/>
        </w:rPr>
        <w:t xml:space="preserve">投标人所投</w:t>
      </w:r>
      <w:r>
        <w:rPr>
          <w:rFonts w:hint="eastAsia" w:ascii="宋体" w:hAnsi="宋体" w:eastAsia="宋体" w:cs="宋体"/>
          <w:bCs/>
          <w:color w:val="auto"/>
          <w:sz w:val="24"/>
          <w:szCs w:val="24"/>
          <w:highlight w:val="none"/>
        </w:rPr>
        <w:t xml:space="preserve">微型空气质量传感监测站</w:t>
      </w:r>
      <w:r>
        <w:rPr>
          <w:rFonts w:hint="eastAsia" w:ascii="宋体" w:hAnsi="宋体" w:eastAsia="宋体" w:cs="宋体"/>
          <w:bCs/>
          <w:color w:val="auto"/>
          <w:sz w:val="24"/>
          <w:szCs w:val="24"/>
          <w:highlight w:val="none"/>
          <w:lang w:val="en-US" w:eastAsia="zh-CN"/>
        </w:rPr>
        <w:t xml:space="preserve">产品</w:t>
      </w:r>
      <w:r>
        <w:rPr>
          <w:rFonts w:hint="eastAsia" w:ascii="宋体" w:hAnsi="宋体" w:eastAsia="宋体" w:cs="宋体"/>
          <w:bCs/>
          <w:color w:val="auto"/>
          <w:sz w:val="24"/>
          <w:szCs w:val="24"/>
          <w:highlight w:val="none"/>
        </w:rPr>
        <w:t xml:space="preserve">。</w:t>
      </w:r>
      <w:r/>
    </w:p>
    <w:p>
      <w:pPr>
        <w:ind w:firstLine="0"/>
        <w:jc w:val="left"/>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运维合同到期前要与采购人或者其他接收方提前做好交接管理工作，确保</w:t>
      </w:r>
      <w:r>
        <w:rPr>
          <w:rFonts w:hint="eastAsia" w:ascii="宋体" w:hAnsi="宋体" w:cs="宋体"/>
          <w:color w:val="auto"/>
          <w:sz w:val="24"/>
          <w:szCs w:val="24"/>
          <w:highlight w:val="none"/>
          <w:lang w:val="en-US" w:eastAsia="zh-CN" w:bidi="ar-SA"/>
        </w:rPr>
        <w:t xml:space="preserve">巡检记录、数据分析记录、月报、季报、年报等</w:t>
      </w:r>
      <w:r>
        <w:rPr>
          <w:rFonts w:hint="eastAsia" w:ascii="宋体" w:hAnsi="宋体" w:eastAsia="宋体" w:cs="宋体"/>
          <w:color w:val="auto"/>
          <w:sz w:val="24"/>
          <w:szCs w:val="24"/>
          <w:highlight w:val="none"/>
          <w:lang w:val="en-US" w:eastAsia="zh-CN" w:bidi="ar-SA"/>
        </w:rPr>
        <w:t xml:space="preserve">档案资料完整、齐全；交接完成后，如有遗留问题，应积极配合处理。</w:t>
      </w:r>
      <w:r/>
    </w:p>
    <w:p>
      <w:pPr>
        <w:pStyle w:val="6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4、服务保障和自罚承诺</w:t>
      </w:r>
      <w:r/>
    </w:p>
    <w:p>
      <w:pPr>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投标人应对照招标文件要求，书面说明已对采购人的需求做出了实质性的响应，或申明与需求的偏差和例外。</w:t>
      </w:r>
      <w:r>
        <w:rPr>
          <w:rFonts w:hint="eastAsia" w:ascii="宋体" w:hAnsi="宋体" w:cs="宋体"/>
          <w:color w:val="auto"/>
          <w:sz w:val="24"/>
          <w:szCs w:val="24"/>
          <w:highlight w:val="none"/>
          <w:lang w:val="en-US" w:eastAsia="zh-CN"/>
        </w:rPr>
        <w:t xml:space="preserve">对于服务不到位、数据有效性不足等情形，将予以扣款</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如果发生因投标人安全措施不力造成的事故责任、或者其他工作失误，由此所产生的一切责任由投标人承担。</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如因投标人投入人员过少原因，造成无法在承诺工期内完成服务，由此产生的一切责任由投标人承担。</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、报价说明</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6.2投标人的任何错漏、优惠、竞争性报价不得作为减轻责任、减少服务、增加收费、降低服务质量的理由。</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6.3投标人报价除包含采购文件中列明的项目外还应包括保障服务正常运行应当具有的物资和服务，对服务正常运行应当具有的物资和服务理解不一致的以采购人理解为准。</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7、付款条件</w:t>
      </w:r>
      <w:r/>
    </w:p>
    <w:p>
      <w:pPr>
        <w:ind w:firstLine="48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（1）履约保证金：不涉及</w:t>
      </w:r>
      <w:r/>
    </w:p>
    <w:p>
      <w:pPr>
        <w:ind w:firstLine="480"/>
        <w:spacing w:line="264" w:lineRule="auto"/>
        <w:rPr>
          <w:rFonts w:hint="eastAsia" w:ascii="宋体" w:hAnsi="宋体" w:eastAsia="宋体" w:cs="宋体"/>
          <w:bCs/>
          <w:color w:val="auto"/>
          <w:sz w:val="24"/>
          <w:szCs w:val="24"/>
          <w:highlight w:val="none"/>
        </w:rPr>
        <w:outlineLvl w:val="2"/>
      </w:pPr>
      <w:r>
        <w:rPr>
          <w:rFonts w:hint="eastAsia" w:ascii="宋体" w:hAnsi="宋体" w:eastAsia="宋体" w:cs="宋体"/>
          <w:color w:val="auto"/>
          <w:sz w:val="24"/>
          <w:szCs w:val="24"/>
          <w:highlight w:val="none"/>
        </w:rPr>
        <w:t xml:space="preserve">（2）付款方式：</w:t>
      </w:r>
      <w:r>
        <w:rPr>
          <w:rFonts w:hint="eastAsia" w:hAnsi="宋体" w:cs="Courier New"/>
          <w:color w:val="auto"/>
          <w:sz w:val="24"/>
          <w:szCs w:val="24"/>
          <w:highlight w:val="none"/>
          <w:lang w:eastAsia="zh-CN"/>
        </w:rPr>
        <w:t xml:space="preserve">根据点位布设方案，初步确定实际安装台数和合同总价。签订合同一个月内，支付合同款的1/6,2027年5月31日前，支付合同款的1/6,2028年5月31日前，支付合同款的1/3，剩余部分，待服务期满后1个月内支付。如在服务期内，点位有所增减，在最后一笔服务款中，根据服务点位数量及各点位服务时间，对合同总价核增或核减，总金额不得超过中标价。供应商提供发票后十五日内支付相应款项。</w:t>
      </w:r>
      <w:r/>
    </w:p>
    <w:p>
      <w:pPr>
        <w:spacing w:line="264" w:lineRule="auto"/>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.其他要求</w:t>
      </w:r>
      <w:r/>
    </w:p>
    <w:p>
      <w:pPr>
        <w:ind w:firstLine="480"/>
        <w:spacing w:line="264" w:lineRule="auto"/>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spacing w:line="264" w:lineRule="auto"/>
        <w:rPr>
          <w:rFonts w:ascii="宋体" w:hAnsi="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招标文件评标方法与评标标准中涉及的相关证明材料，应在投标文件中提供，并由评审委员会在评审现场予以确认，否则无法得到相应分值。供应商在签订合同向采购人提供上述相关证明材料原件核验。</w:t>
      </w:r>
      <w:r/>
    </w:p>
    <w:p>
      <w:pPr>
        <w:ind w:firstLine="480"/>
        <w:spacing w:line="264" w:lineRule="auto"/>
        <w:rPr>
          <w:rFonts w:ascii="宋体" w:hAnsi="宋体" w:cs="宋体"/>
          <w:bCs/>
          <w:color w:val="auto"/>
          <w:sz w:val="24"/>
          <w:szCs w:val="24"/>
          <w:highlight w:val="none"/>
        </w:rPr>
        <w:outlineLvl w:val="2"/>
      </w:pPr>
      <w:r>
        <w:rPr>
          <w:rFonts w:ascii="宋体" w:hAnsi="宋体" w:cs="宋体"/>
          <w:bCs/>
          <w:color w:val="auto"/>
          <w:sz w:val="24"/>
          <w:szCs w:val="24"/>
          <w:highlight w:val="none"/>
        </w:rPr>
      </w:r>
      <w:r/>
    </w:p>
    <w:p>
      <w:pPr>
        <w:pStyle w:val="862"/>
        <w:spacing w:line="264" w:lineRule="auto"/>
        <w:rPr>
          <w:color w:val="auto"/>
          <w:highlight w:val="none"/>
          <w:lang w:val="en-US"/>
        </w:rPr>
      </w:pPr>
      <w:r>
        <w:rPr>
          <w:color w:val="auto"/>
          <w:highlight w:val="none"/>
          <w:lang w:val="en-US"/>
        </w:rPr>
      </w:r>
      <w:r/>
    </w:p>
    <w:p>
      <w:pPr>
        <w:pStyle w:val="862"/>
        <w:rPr>
          <w:color w:val="auto"/>
          <w:highlight w:val="none"/>
          <w:lang w:val="en-US"/>
        </w:rPr>
      </w:pPr>
      <w:r>
        <w:rPr>
          <w:color w:val="auto"/>
          <w:highlight w:val="none"/>
          <w:lang w:val="en-US"/>
        </w:rPr>
      </w:r>
      <w:r/>
    </w:p>
    <w:p>
      <w:pPr>
        <w:rPr>
          <w:color w:val="auto"/>
          <w:highlight w:val="none"/>
        </w:rPr>
      </w:pPr>
      <w:r>
        <w:rPr>
          <w:color w:val="auto"/>
          <w:highlight w:val="none"/>
        </w:rPr>
      </w:r>
      <w:r/>
    </w:p>
    <w:p>
      <w:pPr>
        <w:pStyle w:val="931"/>
        <w:jc w:val="center"/>
        <w:spacing w:before="120" w:after="120" w:line="0" w:lineRule="atLeast"/>
        <w:rPr>
          <w:rFonts w:ascii="方正小标宋简体" w:hAnsi="方正小标宋简体" w:eastAsia="方正小标宋简体" w:cs="方正小标宋简体"/>
          <w:color w:val="auto"/>
          <w:sz w:val="36"/>
          <w:szCs w:val="36"/>
          <w:highlight w:val="none"/>
        </w:rPr>
        <w:outlineLvl w:val="0"/>
      </w:pPr>
      <w:r>
        <w:rPr>
          <w:rFonts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第五章  评审方法与评审标准</w:t>
      </w:r>
      <w:r/>
    </w:p>
    <w:p>
      <w:pPr>
        <w:ind w:firstLine="480"/>
        <w:rPr>
          <w:rFonts w:ascii="黑体" w:hAnsi="黑体" w:eastAsia="黑体" w:cs="黑体"/>
          <w:color w:val="auto"/>
          <w:sz w:val="24"/>
          <w:szCs w:val="24"/>
          <w:highlight w:val="none"/>
        </w:rPr>
      </w:pPr>
      <w:r>
        <w:rPr>
          <w:rFonts w:ascii="黑体" w:hAnsi="黑体" w:eastAsia="黑体" w:cs="黑体"/>
          <w:color w:val="auto"/>
          <w:sz w:val="24"/>
          <w:szCs w:val="24"/>
          <w:highlight w:val="none"/>
        </w:rPr>
      </w:r>
      <w:r/>
    </w:p>
    <w:p>
      <w:pPr>
        <w:ind w:firstLine="48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一、评审方法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磋商小组按照评审总分由高到低顺序推荐</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名</w:t>
      </w:r>
      <w:r>
        <w:rPr>
          <w:rFonts w:hint="eastAsia" w:ascii="宋体" w:hAnsi="宋体" w:cs="宋体"/>
          <w:color w:val="auto"/>
          <w:sz w:val="24"/>
          <w:szCs w:val="24"/>
          <w:highlight w:val="none"/>
        </w:rPr>
        <w:t xml:space="preserve">成交候选供应商，并编写评审报告。评审得分相同的，按照最后报价由低到高的顺序推荐。评审得分且最后报价相同的，按照“评审标准2.技术”得分由高到低顺序推荐。</w:t>
      </w:r>
      <w:r/>
    </w:p>
    <w:p>
      <w:pPr>
        <w:ind w:firstLine="48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二、本国产品价格扣除</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1.本</w:t>
      </w:r>
      <w:r>
        <w:rPr>
          <w:rFonts w:hint="eastAsia" w:ascii="宋体" w:hAnsi="宋体"/>
          <w:color w:val="auto"/>
          <w:sz w:val="24"/>
          <w:highlight w:val="none"/>
        </w:rPr>
        <w:t xml:space="preserve">项目如</w:t>
      </w:r>
      <w:r>
        <w:rPr>
          <w:rFonts w:hint="eastAsia" w:ascii="宋体" w:hAnsi="宋体"/>
          <w:color w:val="auto"/>
          <w:sz w:val="24"/>
          <w:highlight w:val="none"/>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color w:val="auto"/>
          <w:sz w:val="24"/>
          <w:szCs w:val="24"/>
          <w:highlight w:val="none"/>
        </w:rPr>
      </w:pPr>
      <w:r>
        <w:rPr>
          <w:rFonts w:hint="eastAsia" w:ascii="宋体" w:hAnsi="宋体"/>
          <w:color w:val="auto"/>
          <w:sz w:val="24"/>
          <w:szCs w:val="24"/>
          <w:highlight w:val="none"/>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color w:val="auto"/>
          <w:highlight w:val="none"/>
        </w:rPr>
      </w:pPr>
      <w:r>
        <w:rPr>
          <w:rFonts w:hint="eastAsia" w:ascii="宋体" w:hAnsi="宋体"/>
          <w:color w:val="auto"/>
          <w:sz w:val="24"/>
          <w:szCs w:val="24"/>
          <w:highlight w:val="none"/>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color w:val="auto"/>
          <w:sz w:val="24"/>
          <w:szCs w:val="24"/>
          <w:highlight w:val="none"/>
        </w:rPr>
        <w:t xml:space="preserve">且供应商在投标（响应）文件中对此作出承诺的（按照采购文件要求在《分项报价表》中作出承诺），</w:t>
      </w:r>
      <w:r>
        <w:rPr>
          <w:rFonts w:hint="eastAsia" w:ascii="宋体" w:hAnsi="宋体"/>
          <w:color w:val="auto"/>
          <w:sz w:val="24"/>
          <w:szCs w:val="24"/>
          <w:highlight w:val="none"/>
        </w:rPr>
        <w:t xml:space="preserve">则依法对该供应商提供的全部产品给予价格评审优惠，即对该供应商提供的全部产品的总报价给予20%的价格扣除，用扣除后的价格参与评审。</w:t>
      </w:r>
      <w:r>
        <w:rPr>
          <w:rFonts w:hint="eastAsia" w:ascii="宋体" w:hAnsi="宋体"/>
          <w:b/>
          <w:bCs/>
          <w:color w:val="auto"/>
          <w:sz w:val="24"/>
          <w:szCs w:val="24"/>
          <w:highlight w:val="none"/>
        </w:rPr>
        <w:t xml:space="preserve">全部产品是指货物或服务采购项目或采购包中包含的全部货物、服务产品。</w:t>
      </w:r>
      <w:r/>
    </w:p>
    <w:p>
      <w:pPr>
        <w:ind w:firstLine="420"/>
        <w:rPr>
          <w:rFonts w:ascii="宋体" w:hAnsi="宋体"/>
          <w:color w:val="auto"/>
          <w:sz w:val="24"/>
          <w:highlight w:val="none"/>
        </w:rPr>
      </w:pPr>
      <w:r>
        <w:rPr>
          <w:rFonts w:hint="eastAsia" w:ascii="宋体" w:hAnsi="宋体"/>
          <w:color w:val="auto"/>
          <w:sz w:val="24"/>
          <w:highlight w:val="none"/>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widowControl/>
        <w:rPr>
          <w:rFonts w:ascii="宋体" w:hAnsi="宋体" w:cs="宋体"/>
          <w:b/>
          <w:bCs/>
          <w:color w:val="auto"/>
          <w:sz w:val="24"/>
          <w:szCs w:val="24"/>
          <w:highlight w:val="none"/>
        </w:rPr>
      </w:pPr>
      <w:r>
        <w:rPr>
          <w:rFonts w:hint="eastAsia" w:ascii="宋体" w:hAnsi="宋体"/>
          <w:color w:val="auto"/>
          <w:sz w:val="24"/>
          <w:highlight w:val="none"/>
        </w:rPr>
        <w:t xml:space="preserve">4.</w:t>
      </w:r>
      <w:r>
        <w:rPr>
          <w:rFonts w:hint="eastAsia" w:ascii="宋体" w:hAnsi="宋体"/>
          <w:b/>
          <w:bCs/>
          <w:color w:val="auto"/>
          <w:sz w:val="24"/>
          <w:highlight w:val="none"/>
          <w:lang w:val="zh-CN"/>
        </w:rPr>
        <w:t xml:space="preserve">对本国产品的支持政策与政府采购支持中小企业、节能环保等优惠政策叠加适用，对应执行价格扣除政策的项目，统一在原报价的基础上给予价格扣除。</w:t>
      </w:r>
      <w:r/>
    </w:p>
    <w:p>
      <w:pPr>
        <w:ind w:firstLine="48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三、小微企业价格扣除</w:t>
      </w:r>
      <w:r/>
    </w:p>
    <w:p>
      <w:pPr>
        <w:ind w:firstLine="480"/>
        <w:rPr>
          <w:rFonts w:ascii="宋体" w:hAnsi="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本项目服务全部由小微企业承接的，</w:t>
      </w:r>
      <w:r>
        <w:rPr>
          <w:rFonts w:hint="eastAsia" w:ascii="宋体" w:hAnsi="宋体" w:cs="宋体"/>
          <w:color w:val="auto"/>
          <w:sz w:val="24"/>
          <w:szCs w:val="24"/>
          <w:highlight w:val="none"/>
        </w:rPr>
        <w:t xml:space="preserve">对报价给予</w:t>
      </w:r>
      <w:r>
        <w:rPr>
          <w:rFonts w:hint="eastAsia" w:ascii="宋体" w:hAnsi="宋体"/>
          <w:color w:val="auto"/>
          <w:sz w:val="24"/>
          <w:szCs w:val="24"/>
          <w:highlight w:val="none"/>
        </w:rPr>
        <w:t xml:space="preserve">10%</w:t>
      </w:r>
      <w:r>
        <w:rPr>
          <w:rFonts w:hint="eastAsia" w:ascii="宋体" w:hAnsi="宋体" w:cs="宋体"/>
          <w:color w:val="auto"/>
          <w:sz w:val="24"/>
          <w:szCs w:val="24"/>
          <w:highlight w:val="none"/>
        </w:rPr>
        <w:t xml:space="preserve">的扣除，用扣除后的价格参与评审。</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的价格扣除，用扣除后的价格参与评审；监狱和戒毒企业视同小型、微型企业，给予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的价格扣除，用扣除后的价格参与评审。残疾人福利单位、监狱企业属于小型、微型企业的，不重复享受价格扣除。</w:t>
      </w:r>
      <w:r/>
    </w:p>
    <w:p>
      <w:pPr>
        <w:ind w:firstLine="48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四、评审标准</w:t>
      </w:r>
      <w:r/>
    </w:p>
    <w:tbl>
      <w:tblPr>
        <w:tblStyle w:val="667"/>
        <w:tblW w:w="51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1521"/>
        <w:gridCol w:w="6957"/>
        <w:gridCol w:w="791"/>
      </w:tblGrid>
      <w:tr>
        <w:trPr>
          <w:jc w:val="center"/>
          <w:trHeight w:val="280"/>
        </w:trPr>
        <w:tc>
          <w:tcPr>
            <w:shd w:val="clear" w:color="auto" w:fill="auto"/>
            <w:tcW w:w="441"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序号</w:t>
            </w:r>
            <w:r/>
          </w:p>
        </w:tc>
        <w:tc>
          <w:tcPr>
            <w:shd w:val="clear" w:color="auto" w:fill="auto"/>
            <w:tcW w:w="748"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评审因素</w:t>
            </w:r>
            <w:r/>
          </w:p>
        </w:tc>
        <w:tc>
          <w:tcPr>
            <w:shd w:val="clear" w:color="auto" w:fill="auto"/>
            <w:tcW w:w="3421"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评审细则</w:t>
            </w:r>
            <w:r/>
          </w:p>
        </w:tc>
        <w:tc>
          <w:tcPr>
            <w:shd w:val="clear" w:color="auto" w:fill="auto"/>
            <w:tcW w:w="388" w:type="pct"/>
            <w:vAlign w:val="center"/>
            <w:textDirection w:val="lrTb"/>
            <w:noWrap w:val="false"/>
          </w:tcPr>
          <w:p>
            <w:pP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分值</w:t>
            </w:r>
            <w:r/>
          </w:p>
        </w:tc>
      </w:tr>
      <w:tr>
        <w:trPr>
          <w:jc w:val="center"/>
          <w:trHeight w:val="280"/>
        </w:trPr>
        <w:tc>
          <w:tcPr>
            <w:gridSpan w:val="4"/>
            <w:shd w:val="clear" w:color="auto" w:fill="auto"/>
            <w:tcW w:w="5000" w:type="pct"/>
            <w:vAlign w:val="center"/>
            <w:textDirection w:val="lrTb"/>
            <w:noWrap w:val="false"/>
          </w:tcPr>
          <w:p>
            <w:pP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1.价格</w:t>
            </w:r>
            <w:r/>
          </w:p>
        </w:tc>
      </w:tr>
      <w:tr>
        <w:trPr>
          <w:jc w:val="center"/>
          <w:trHeight w:val="777"/>
        </w:trPr>
        <w:tc>
          <w:tcPr>
            <w:shd w:val="clear" w:color="auto" w:fill="auto"/>
            <w:tcW w:w="441"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1.1</w:t>
            </w:r>
            <w:r/>
          </w:p>
        </w:tc>
        <w:tc>
          <w:tcPr>
            <w:shd w:val="clear" w:color="auto" w:fill="auto"/>
            <w:tcW w:w="748"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价格</w:t>
            </w:r>
            <w:r/>
          </w:p>
        </w:tc>
        <w:tc>
          <w:tcPr>
            <w:shd w:val="clear" w:color="auto" w:fill="auto"/>
            <w:tcW w:w="3421" w:type="pct"/>
            <w:vAlign w:val="center"/>
            <w:textDirection w:val="lrTb"/>
            <w:noWrap w:val="false"/>
          </w:tcPr>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采用低价优先法计算，即满足招标文件要求且投标价格最低的投标报价为评标基准价，其价格分为满分。其他投标人的价格分统一按照下列公式计算：投标报价得分=(评标基准价/投标报价)×10</w:t>
            </w:r>
            <w:r>
              <w:rPr>
                <w:rFonts w:hint="eastAsia"/>
                <w:color w:val="auto"/>
                <w:sz w:val="21"/>
                <w:szCs w:val="21"/>
                <w:highlight w:val="none"/>
                <w:lang w:val="en-US" w:eastAsia="zh-CN"/>
              </w:rPr>
              <w:t xml:space="preserve">（小数点保留两位）</w:t>
            </w:r>
            <w:r/>
          </w:p>
        </w:tc>
        <w:tc>
          <w:tcPr>
            <w:shd w:val="clear" w:color="auto" w:fill="auto"/>
            <w:tcW w:w="388"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10</w:t>
            </w:r>
            <w:r/>
          </w:p>
        </w:tc>
      </w:tr>
      <w:tr>
        <w:trPr>
          <w:jc w:val="center"/>
          <w:trHeight w:val="280"/>
        </w:trPr>
        <w:tc>
          <w:tcPr>
            <w:gridSpan w:val="4"/>
            <w:shd w:val="clear" w:color="auto" w:fill="auto"/>
            <w:tcW w:w="5000" w:type="pct"/>
            <w:vAlign w:val="center"/>
            <w:textDirection w:val="lrTb"/>
            <w:noWrap w:val="false"/>
          </w:tcPr>
          <w:p>
            <w:pP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2.技术</w:t>
            </w:r>
            <w:r/>
          </w:p>
        </w:tc>
      </w:tr>
      <w:tr>
        <w:trPr>
          <w:jc w:val="center"/>
          <w:trHeight w:val="911"/>
        </w:trPr>
        <w:tc>
          <w:tcPr>
            <w:shd w:val="clear" w:color="auto" w:fill="auto"/>
            <w:tcW w:w="441"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2.1</w:t>
            </w:r>
            <w:r/>
          </w:p>
        </w:tc>
        <w:tc>
          <w:tcPr>
            <w:shd w:val="clear" w:color="auto" w:fill="auto"/>
            <w:tcW w:w="748"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技术要求</w:t>
            </w:r>
            <w:r/>
          </w:p>
        </w:tc>
        <w:tc>
          <w:tcPr>
            <w:shd w:val="clear" w:color="auto" w:fill="auto"/>
            <w:tcW w:w="3421" w:type="pct"/>
            <w:vAlign w:val="center"/>
            <w:textDirection w:val="lrTb"/>
            <w:noWrap w:val="false"/>
          </w:tcPr>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所提供的软硬件产品配置性能均符合</w:t>
            </w:r>
            <w:r>
              <w:rPr>
                <w:rFonts w:hint="eastAsia" w:ascii="宋体" w:hAnsi="宋体" w:cs="宋体"/>
                <w:b w:val="0"/>
                <w:bCs w:val="0"/>
                <w:color w:val="auto"/>
                <w:sz w:val="21"/>
                <w:szCs w:val="21"/>
                <w:highlight w:val="none"/>
                <w:lang w:val="en-US" w:eastAsia="zh-CN" w:bidi="ar-SA"/>
              </w:rPr>
              <w:t xml:space="preserve">采购</w:t>
            </w:r>
            <w:r>
              <w:rPr>
                <w:rFonts w:hint="eastAsia" w:ascii="宋体" w:hAnsi="宋体" w:eastAsia="宋体" w:cs="宋体"/>
                <w:b w:val="0"/>
                <w:bCs w:val="0"/>
                <w:color w:val="auto"/>
                <w:sz w:val="21"/>
                <w:szCs w:val="21"/>
                <w:highlight w:val="none"/>
                <w:lang w:val="en-US" w:bidi="ar-SA"/>
              </w:rPr>
              <w:t xml:space="preserve">文件要求的，得</w:t>
            </w:r>
            <w:r>
              <w:rPr>
                <w:rFonts w:hint="eastAsia" w:ascii="宋体" w:hAnsi="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val="en-US" w:bidi="ar-SA"/>
              </w:rPr>
              <w:t xml:space="preserve">0分。</w:t>
            </w:r>
            <w:r/>
          </w:p>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技术参数配置不详，技术参数不清，缺漏项的，有负偏离的，每处扣1分，扣完为止。</w:t>
            </w:r>
            <w:r/>
          </w:p>
        </w:tc>
        <w:tc>
          <w:tcPr>
            <w:shd w:val="clear" w:color="auto" w:fill="auto"/>
            <w:tcW w:w="388"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30</w:t>
            </w:r>
            <w:r/>
          </w:p>
        </w:tc>
      </w:tr>
      <w:tr>
        <w:trPr>
          <w:jc w:val="center"/>
          <w:trHeight w:val="911"/>
        </w:trPr>
        <w:tc>
          <w:tcPr>
            <w:shd w:val="clear" w:color="auto" w:fill="auto"/>
            <w:tcW w:w="441"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2.2</w:t>
            </w:r>
            <w:r/>
          </w:p>
        </w:tc>
        <w:tc>
          <w:tcPr>
            <w:shd w:val="clear" w:color="auto" w:fill="auto"/>
            <w:tcW w:w="748"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总体实施方案</w:t>
            </w:r>
            <w:r/>
          </w:p>
        </w:tc>
        <w:tc>
          <w:tcPr>
            <w:shd w:val="clear" w:color="auto" w:fill="auto"/>
            <w:tcW w:w="3421" w:type="pct"/>
            <w:vAlign w:val="center"/>
            <w:textDirection w:val="lrTb"/>
            <w:noWrap w:val="false"/>
          </w:tcPr>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总体实施方案：对投标人提供的实施方案进行评审。</w:t>
            </w:r>
            <w:r/>
          </w:p>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方案贴合项目需求，工作技术路线及思路清晰，实施合理得9分；</w:t>
            </w:r>
            <w:r/>
          </w:p>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工作技术路线及思路、工作安排较合理，得6分；</w:t>
            </w:r>
            <w:r/>
          </w:p>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工作技术路线及思路、工作安排一般，得3分；</w:t>
            </w:r>
            <w:r/>
          </w:p>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eastAsia="zh-CN" w:bidi="ar-SA"/>
              </w:rPr>
              <w:t xml:space="preserve">未提供方案</w:t>
            </w:r>
            <w:r>
              <w:rPr>
                <w:rFonts w:hint="eastAsia" w:ascii="宋体" w:hAnsi="宋体" w:eastAsia="宋体" w:cs="宋体"/>
                <w:b w:val="0"/>
                <w:bCs w:val="0"/>
                <w:color w:val="auto"/>
                <w:sz w:val="21"/>
                <w:szCs w:val="21"/>
                <w:highlight w:val="none"/>
                <w:lang w:val="en-US" w:bidi="ar-SA"/>
              </w:rPr>
              <w:t xml:space="preserve">得</w:t>
            </w:r>
            <w:r>
              <w:rPr>
                <w:rFonts w:hint="eastAsia" w:ascii="宋体" w:hAnsi="宋体" w:eastAsia="宋体" w:cs="宋体"/>
                <w:b w:val="0"/>
                <w:bCs w:val="0"/>
                <w:color w:val="auto"/>
                <w:sz w:val="21"/>
                <w:szCs w:val="21"/>
                <w:highlight w:val="none"/>
                <w:lang w:val="en-US" w:eastAsia="zh-CN" w:bidi="ar-SA"/>
              </w:rPr>
              <w:t xml:space="preserve">0</w:t>
            </w:r>
            <w:r>
              <w:rPr>
                <w:rFonts w:hint="eastAsia" w:ascii="宋体" w:hAnsi="宋体" w:eastAsia="宋体" w:cs="宋体"/>
                <w:b w:val="0"/>
                <w:bCs w:val="0"/>
                <w:color w:val="auto"/>
                <w:sz w:val="21"/>
                <w:szCs w:val="21"/>
                <w:highlight w:val="none"/>
                <w:lang w:val="en-US" w:bidi="ar-SA"/>
              </w:rPr>
              <w:t xml:space="preserve">分。</w:t>
            </w:r>
            <w:r/>
          </w:p>
        </w:tc>
        <w:tc>
          <w:tcPr>
            <w:shd w:val="clear" w:color="auto" w:fill="auto"/>
            <w:tcW w:w="388"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9</w:t>
            </w:r>
            <w:r/>
          </w:p>
        </w:tc>
      </w:tr>
      <w:tr>
        <w:trPr>
          <w:jc w:val="center"/>
          <w:trHeight w:val="911"/>
        </w:trPr>
        <w:tc>
          <w:tcPr>
            <w:shd w:val="clear" w:color="auto" w:fill="auto"/>
            <w:tcW w:w="441"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2.3</w:t>
            </w:r>
            <w:r/>
          </w:p>
        </w:tc>
        <w:tc>
          <w:tcPr>
            <w:shd w:val="clear" w:color="auto" w:fill="auto"/>
            <w:tcW w:w="748"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运维服务方案</w:t>
            </w:r>
            <w:r/>
          </w:p>
        </w:tc>
        <w:tc>
          <w:tcPr>
            <w:shd w:val="clear" w:color="auto" w:fill="auto"/>
            <w:tcW w:w="3421" w:type="pct"/>
            <w:vAlign w:val="center"/>
            <w:textDirection w:val="lrTb"/>
            <w:noWrap w:val="false"/>
          </w:tcPr>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运维服务方案：对投标人提供的运维服务方案进行评审，运维服务方案要包括售后服务体系、售后服务方案、培训计划以及质量保障措施。</w:t>
            </w:r>
            <w:r/>
          </w:p>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运维服务方案科学全面，能够针对本项目需求出具深度细化的运维服务内容，维保服务流程科学标准，具有合理的巡检及问题处理机制，得</w:t>
            </w:r>
            <w:r>
              <w:rPr>
                <w:rFonts w:hint="eastAsia" w:ascii="宋体" w:hAnsi="宋体" w:cs="宋体"/>
                <w:b w:val="0"/>
                <w:bCs w:val="0"/>
                <w:color w:val="auto"/>
                <w:sz w:val="21"/>
                <w:szCs w:val="21"/>
                <w:highlight w:val="none"/>
                <w:lang w:val="en-US" w:eastAsia="zh-CN" w:bidi="ar-SA"/>
              </w:rPr>
              <w:t xml:space="preserve">7</w:t>
            </w:r>
            <w:r>
              <w:rPr>
                <w:rFonts w:hint="eastAsia" w:ascii="宋体" w:hAnsi="宋体" w:eastAsia="宋体" w:cs="宋体"/>
                <w:b w:val="0"/>
                <w:bCs w:val="0"/>
                <w:color w:val="auto"/>
                <w:sz w:val="21"/>
                <w:szCs w:val="21"/>
                <w:highlight w:val="none"/>
                <w:lang w:val="en-US" w:bidi="ar-SA"/>
              </w:rPr>
              <w:t xml:space="preserve">分；</w:t>
            </w:r>
            <w:r/>
          </w:p>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运维服务方案较全面，具有主要维保服务内容，运维服务流程标准，具有巡检及问题处理机制，得</w:t>
            </w:r>
            <w:r>
              <w:rPr>
                <w:rFonts w:hint="eastAsia" w:ascii="宋体"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bidi="ar-SA"/>
              </w:rPr>
              <w:t xml:space="preserve">分；</w:t>
            </w:r>
            <w:r/>
          </w:p>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运维服务方案不全，运维服务内容缺漏，运维服务流程混乱，缺乏巡检及问题处理机制，得</w:t>
            </w:r>
            <w:r>
              <w:rPr>
                <w:rFonts w:hint="eastAsia" w:ascii="宋体" w:hAnsi="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en-US" w:bidi="ar-SA"/>
              </w:rPr>
              <w:t xml:space="preserve">分；</w:t>
            </w:r>
            <w:r/>
          </w:p>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eastAsia="zh-CN" w:bidi="ar-SA"/>
              </w:rPr>
              <w:t xml:space="preserve">未提供方案</w:t>
            </w:r>
            <w:r>
              <w:rPr>
                <w:rFonts w:hint="eastAsia" w:ascii="宋体" w:hAnsi="宋体" w:eastAsia="宋体" w:cs="宋体"/>
                <w:b w:val="0"/>
                <w:bCs w:val="0"/>
                <w:color w:val="auto"/>
                <w:sz w:val="21"/>
                <w:szCs w:val="21"/>
                <w:highlight w:val="none"/>
                <w:lang w:val="en-US" w:bidi="ar-SA"/>
              </w:rPr>
              <w:t xml:space="preserve">得</w:t>
            </w:r>
            <w:r>
              <w:rPr>
                <w:rFonts w:hint="eastAsia" w:ascii="宋体" w:hAnsi="宋体" w:eastAsia="宋体" w:cs="宋体"/>
                <w:b w:val="0"/>
                <w:bCs w:val="0"/>
                <w:color w:val="auto"/>
                <w:sz w:val="21"/>
                <w:szCs w:val="21"/>
                <w:highlight w:val="none"/>
                <w:lang w:val="en-US" w:eastAsia="zh-CN" w:bidi="ar-SA"/>
              </w:rPr>
              <w:t xml:space="preserve">0</w:t>
            </w:r>
            <w:r>
              <w:rPr>
                <w:rFonts w:hint="eastAsia" w:ascii="宋体" w:hAnsi="宋体" w:eastAsia="宋体" w:cs="宋体"/>
                <w:b w:val="0"/>
                <w:bCs w:val="0"/>
                <w:color w:val="auto"/>
                <w:sz w:val="21"/>
                <w:szCs w:val="21"/>
                <w:highlight w:val="none"/>
                <w:lang w:val="en-US" w:bidi="ar-SA"/>
              </w:rPr>
              <w:t xml:space="preserve">分。</w:t>
            </w:r>
            <w:r/>
          </w:p>
        </w:tc>
        <w:tc>
          <w:tcPr>
            <w:shd w:val="clear" w:color="auto" w:fill="auto"/>
            <w:tcW w:w="388"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7</w:t>
            </w:r>
            <w:r/>
          </w:p>
        </w:tc>
      </w:tr>
      <w:tr>
        <w:trPr>
          <w:jc w:val="center"/>
          <w:trHeight w:val="911"/>
        </w:trPr>
        <w:tc>
          <w:tcPr>
            <w:shd w:val="clear" w:color="auto" w:fill="auto"/>
            <w:tcW w:w="441"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2.4</w:t>
            </w:r>
            <w:r/>
          </w:p>
        </w:tc>
        <w:tc>
          <w:tcPr>
            <w:shd w:val="clear" w:color="auto" w:fill="auto"/>
            <w:tcW w:w="748"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数据质控方案</w:t>
            </w:r>
            <w:r/>
          </w:p>
        </w:tc>
        <w:tc>
          <w:tcPr>
            <w:shd w:val="clear" w:color="auto" w:fill="auto"/>
            <w:tcW w:w="3421" w:type="pct"/>
            <w:vAlign w:val="center"/>
            <w:textDirection w:val="lrTb"/>
            <w:noWrap w:val="false"/>
          </w:tcPr>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数据质控方案：对投标人提供的数据质控方案进行评审：</w:t>
            </w:r>
            <w:r/>
          </w:p>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方案可行、数据准确、设置科学合理可行，得</w:t>
            </w:r>
            <w:r>
              <w:rPr>
                <w:rFonts w:hint="eastAsia" w:ascii="宋体" w:hAnsi="宋体" w:eastAsia="宋体" w:cs="宋体"/>
                <w:b w:val="0"/>
                <w:bCs w:val="0"/>
                <w:color w:val="auto"/>
                <w:sz w:val="21"/>
                <w:szCs w:val="21"/>
                <w:highlight w:val="none"/>
                <w:lang w:val="en-US" w:eastAsia="zh-CN" w:bidi="ar-SA"/>
              </w:rPr>
              <w:t xml:space="preserve">7</w:t>
            </w:r>
            <w:r>
              <w:rPr>
                <w:rFonts w:hint="eastAsia" w:ascii="宋体" w:hAnsi="宋体" w:eastAsia="宋体" w:cs="宋体"/>
                <w:b w:val="0"/>
                <w:bCs w:val="0"/>
                <w:color w:val="auto"/>
                <w:sz w:val="21"/>
                <w:szCs w:val="21"/>
                <w:highlight w:val="none"/>
                <w:lang w:val="en-US" w:bidi="ar-SA"/>
              </w:rPr>
              <w:t xml:space="preserve">分；</w:t>
            </w:r>
            <w:r/>
          </w:p>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方案尚可、数据较准确、设置较科学合理可行，得</w:t>
            </w:r>
            <w:r>
              <w:rPr>
                <w:rFonts w:hint="eastAsia" w:ascii="宋体" w:hAnsi="宋体" w:eastAsia="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bidi="ar-SA"/>
              </w:rPr>
              <w:t xml:space="preserve">分；</w:t>
            </w:r>
            <w:r/>
          </w:p>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方案不可行、数据不准确、设置不科学合理可行，得1分；</w:t>
            </w:r>
            <w:r/>
          </w:p>
          <w:p>
            <w:pPr>
              <w:pStyle w:val="679"/>
              <w:ind w:left="0"/>
              <w:spacing w:line="276" w:lineRule="auto"/>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eastAsia="zh-CN" w:bidi="ar-SA"/>
              </w:rPr>
              <w:t xml:space="preserve">未提供方案</w:t>
            </w:r>
            <w:r>
              <w:rPr>
                <w:rFonts w:hint="eastAsia" w:ascii="宋体" w:hAnsi="宋体" w:eastAsia="宋体" w:cs="宋体"/>
                <w:b w:val="0"/>
                <w:bCs w:val="0"/>
                <w:color w:val="auto"/>
                <w:sz w:val="21"/>
                <w:szCs w:val="21"/>
                <w:highlight w:val="none"/>
                <w:lang w:val="en-US" w:bidi="ar-SA"/>
              </w:rPr>
              <w:t xml:space="preserve">得</w:t>
            </w:r>
            <w:r>
              <w:rPr>
                <w:rFonts w:hint="eastAsia" w:ascii="宋体" w:hAnsi="宋体" w:eastAsia="宋体" w:cs="宋体"/>
                <w:b w:val="0"/>
                <w:bCs w:val="0"/>
                <w:color w:val="auto"/>
                <w:sz w:val="21"/>
                <w:szCs w:val="21"/>
                <w:highlight w:val="none"/>
                <w:lang w:val="en-US" w:eastAsia="zh-CN" w:bidi="ar-SA"/>
              </w:rPr>
              <w:t xml:space="preserve">0</w:t>
            </w:r>
            <w:r>
              <w:rPr>
                <w:rFonts w:hint="eastAsia" w:ascii="宋体" w:hAnsi="宋体" w:eastAsia="宋体" w:cs="宋体"/>
                <w:b w:val="0"/>
                <w:bCs w:val="0"/>
                <w:color w:val="auto"/>
                <w:sz w:val="21"/>
                <w:szCs w:val="21"/>
                <w:highlight w:val="none"/>
                <w:lang w:val="en-US" w:bidi="ar-SA"/>
              </w:rPr>
              <w:t xml:space="preserve">分。</w:t>
            </w:r>
            <w:r/>
          </w:p>
        </w:tc>
        <w:tc>
          <w:tcPr>
            <w:shd w:val="clear" w:color="auto" w:fill="auto"/>
            <w:tcW w:w="388"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w:t>
            </w:r>
            <w:r/>
          </w:p>
        </w:tc>
      </w:tr>
      <w:tr>
        <w:trPr>
          <w:jc w:val="center"/>
          <w:trHeight w:val="699"/>
        </w:trPr>
        <w:tc>
          <w:tcPr>
            <w:shd w:val="clear" w:color="auto" w:fill="auto"/>
            <w:tcW w:w="441"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2.5</w:t>
            </w:r>
            <w:r/>
          </w:p>
        </w:tc>
        <w:tc>
          <w:tcPr>
            <w:shd w:val="clear" w:color="auto" w:fill="auto"/>
            <w:tcW w:w="748" w:type="pct"/>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数据分析服务方案</w:t>
            </w:r>
            <w:r/>
          </w:p>
        </w:tc>
        <w:tc>
          <w:tcPr>
            <w:shd w:val="clear" w:color="auto" w:fill="auto"/>
            <w:tcW w:w="3421" w:type="pct"/>
            <w:vAlign w:val="center"/>
            <w:textDirection w:val="lrTb"/>
            <w:noWrap w:val="false"/>
          </w:tcPr>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对采购人现状及技术需求有充分认识和理解，分析科学深入，具有明确合理的应对措施，得</w:t>
            </w:r>
            <w:r>
              <w:rPr>
                <w:rFonts w:hint="eastAsia" w:ascii="宋体" w:hAnsi="宋体" w:cs="宋体"/>
                <w:b w:val="0"/>
                <w:bCs w:val="0"/>
                <w:color w:val="auto"/>
                <w:sz w:val="21"/>
                <w:szCs w:val="21"/>
                <w:highlight w:val="none"/>
                <w:lang w:val="en-US" w:eastAsia="zh-CN" w:bidi="ar-SA"/>
              </w:rPr>
              <w:t xml:space="preserve">8</w:t>
            </w:r>
            <w:r>
              <w:rPr>
                <w:rFonts w:hint="eastAsia" w:ascii="宋体" w:hAnsi="宋体" w:eastAsia="宋体" w:cs="宋体"/>
                <w:b w:val="0"/>
                <w:bCs w:val="0"/>
                <w:color w:val="auto"/>
                <w:sz w:val="21"/>
                <w:szCs w:val="21"/>
                <w:highlight w:val="none"/>
                <w:lang w:val="en-US" w:bidi="ar-SA"/>
              </w:rPr>
              <w:t xml:space="preserve">分；</w:t>
            </w:r>
            <w:r/>
          </w:p>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对采购人现状及技术需求认识和理解不够充分，分析不够科学深入，对于应对措施考虑不全面，得</w:t>
            </w: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bidi="ar-SA"/>
              </w:rPr>
              <w:t xml:space="preserve">分；</w:t>
            </w:r>
            <w:r/>
          </w:p>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对采购人现状及技术需求没有认识和理解，分析浅显，对于分析服务重点、难点未做考虑，得</w:t>
            </w:r>
            <w:r>
              <w:rPr>
                <w:rFonts w:hint="eastAsia" w:ascii="宋体" w:hAnsi="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bidi="ar-SA"/>
              </w:rPr>
              <w:t xml:space="preserve">分；</w:t>
            </w:r>
            <w:r/>
          </w:p>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未提供</w:t>
            </w:r>
            <w:r>
              <w:rPr>
                <w:rFonts w:hint="eastAsia" w:ascii="宋体" w:hAnsi="宋体" w:eastAsia="宋体" w:cs="宋体"/>
                <w:b w:val="0"/>
                <w:bCs w:val="0"/>
                <w:color w:val="auto"/>
                <w:sz w:val="21"/>
                <w:szCs w:val="21"/>
                <w:highlight w:val="none"/>
                <w:lang w:val="en-US" w:eastAsia="zh-CN" w:bidi="ar-SA"/>
              </w:rPr>
              <w:t xml:space="preserve">方案</w:t>
            </w:r>
            <w:r>
              <w:rPr>
                <w:rFonts w:hint="eastAsia" w:ascii="宋体" w:hAnsi="宋体" w:eastAsia="宋体" w:cs="宋体"/>
                <w:b w:val="0"/>
                <w:bCs w:val="0"/>
                <w:color w:val="auto"/>
                <w:sz w:val="21"/>
                <w:szCs w:val="21"/>
                <w:highlight w:val="none"/>
                <w:lang w:val="en-US" w:bidi="ar-SA"/>
              </w:rPr>
              <w:t xml:space="preserve">得0分。</w:t>
            </w:r>
            <w:r/>
          </w:p>
        </w:tc>
        <w:tc>
          <w:tcPr>
            <w:shd w:val="clear" w:color="auto" w:fill="auto"/>
            <w:tcW w:w="388"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8</w:t>
            </w:r>
            <w:r/>
          </w:p>
        </w:tc>
      </w:tr>
      <w:tr>
        <w:trPr>
          <w:jc w:val="center"/>
          <w:trHeight w:val="280"/>
        </w:trPr>
        <w:tc>
          <w:tcPr>
            <w:gridSpan w:val="4"/>
            <w:shd w:val="clear" w:color="auto" w:fill="auto"/>
            <w:tcW w:w="5000" w:type="pct"/>
            <w:vAlign w:val="center"/>
            <w:textDirection w:val="lrTb"/>
            <w:noWrap w:val="false"/>
          </w:tcPr>
          <w:p>
            <w:pP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3.业绩</w:t>
            </w:r>
            <w:r/>
          </w:p>
        </w:tc>
      </w:tr>
      <w:tr>
        <w:trPr>
          <w:jc w:val="center"/>
          <w:trHeight w:val="1089"/>
        </w:trPr>
        <w:tc>
          <w:tcPr>
            <w:shd w:val="clear" w:color="auto" w:fill="auto"/>
            <w:tcW w:w="441"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3.1</w:t>
            </w:r>
            <w:r/>
          </w:p>
        </w:tc>
        <w:tc>
          <w:tcPr>
            <w:shd w:val="clear" w:color="auto" w:fill="auto"/>
            <w:tcW w:w="748"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业绩</w:t>
            </w:r>
            <w:r/>
          </w:p>
        </w:tc>
        <w:tc>
          <w:tcPr>
            <w:shd w:val="clear" w:color="auto" w:fill="auto"/>
            <w:tcW w:w="3421" w:type="pct"/>
            <w:vAlign w:val="center"/>
            <w:textDirection w:val="lrTb"/>
            <w:noWrap w:val="false"/>
          </w:tcPr>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eastAsia="zh-CN" w:bidi="ar-SA"/>
              </w:rPr>
              <w:t xml:space="preserve">供应商</w:t>
            </w:r>
            <w:r>
              <w:rPr>
                <w:rFonts w:hint="eastAsia" w:ascii="宋体" w:hAnsi="宋体" w:eastAsia="宋体" w:cs="宋体"/>
                <w:b w:val="0"/>
                <w:bCs w:val="0"/>
                <w:color w:val="auto"/>
                <w:sz w:val="21"/>
                <w:szCs w:val="21"/>
                <w:highlight w:val="none"/>
                <w:lang w:val="en-US" w:bidi="ar-SA"/>
              </w:rPr>
              <w:t xml:space="preserve">提供20</w:t>
            </w:r>
            <w:r>
              <w:rPr>
                <w:rFonts w:hint="eastAsia" w:ascii="宋体" w:hAnsi="宋体" w:eastAsia="宋体" w:cs="宋体"/>
                <w:b w:val="0"/>
                <w:bCs w:val="0"/>
                <w:color w:val="auto"/>
                <w:sz w:val="21"/>
                <w:szCs w:val="21"/>
                <w:highlight w:val="none"/>
                <w:lang w:val="en-US" w:eastAsia="zh-CN" w:bidi="ar-SA"/>
              </w:rPr>
              <w:t xml:space="preserve">23</w:t>
            </w:r>
            <w:r>
              <w:rPr>
                <w:rFonts w:hint="eastAsia" w:ascii="宋体" w:hAnsi="宋体" w:eastAsia="宋体" w:cs="宋体"/>
                <w:b w:val="0"/>
                <w:bCs w:val="0"/>
                <w:color w:val="auto"/>
                <w:sz w:val="21"/>
                <w:szCs w:val="21"/>
                <w:highlight w:val="none"/>
                <w:lang w:val="en-US" w:bidi="ar-SA"/>
              </w:rPr>
              <w:t xml:space="preserve">年</w:t>
            </w:r>
            <w:r>
              <w:rPr>
                <w:rFonts w:hint="eastAsia" w:ascii="宋体" w:hAnsi="宋体" w:cs="宋体"/>
                <w:b w:val="0"/>
                <w:bCs w:val="0"/>
                <w:color w:val="auto"/>
                <w:sz w:val="21"/>
                <w:szCs w:val="21"/>
                <w:highlight w:val="none"/>
                <w:lang w:val="en-US" w:eastAsia="zh-CN" w:bidi="ar-SA"/>
              </w:rPr>
              <w:t xml:space="preserve">9</w:t>
            </w:r>
            <w:r>
              <w:rPr>
                <w:rFonts w:hint="eastAsia" w:ascii="宋体" w:hAnsi="宋体" w:eastAsia="宋体" w:cs="宋体"/>
                <w:b w:val="0"/>
                <w:bCs w:val="0"/>
                <w:color w:val="auto"/>
                <w:sz w:val="21"/>
                <w:szCs w:val="21"/>
                <w:highlight w:val="none"/>
                <w:lang w:val="en-US" w:bidi="ar-SA"/>
              </w:rPr>
              <w:t xml:space="preserve">月1日至今</w:t>
            </w:r>
            <w:r>
              <w:rPr>
                <w:rFonts w:hint="eastAsia" w:ascii="宋体" w:hAnsi="宋体" w:eastAsia="宋体" w:cs="宋体"/>
                <w:b w:val="0"/>
                <w:bCs w:val="0"/>
                <w:color w:val="auto"/>
                <w:sz w:val="21"/>
                <w:szCs w:val="21"/>
                <w:highlight w:val="none"/>
                <w:lang w:val="en-US" w:eastAsia="zh-CN" w:bidi="ar-SA"/>
              </w:rPr>
              <w:t xml:space="preserve">承担的</w:t>
            </w:r>
            <w:r>
              <w:rPr>
                <w:rFonts w:hint="eastAsia" w:ascii="宋体" w:hAnsi="宋体" w:eastAsia="宋体" w:cs="宋体"/>
                <w:b w:val="0"/>
                <w:bCs w:val="0"/>
                <w:color w:val="auto"/>
                <w:sz w:val="21"/>
                <w:szCs w:val="21"/>
                <w:highlight w:val="none"/>
                <w:lang w:val="en-US" w:bidi="ar-SA"/>
              </w:rPr>
              <w:t xml:space="preserve">类似项目案例</w:t>
            </w:r>
            <w:r>
              <w:rPr>
                <w:rFonts w:hint="eastAsia" w:ascii="宋体" w:hAnsi="宋体" w:eastAsia="宋体" w:cs="宋体"/>
                <w:b w:val="0"/>
                <w:bCs w:val="0"/>
                <w:color w:val="auto"/>
                <w:sz w:val="21"/>
                <w:szCs w:val="21"/>
                <w:highlight w:val="none"/>
                <w:lang w:val="en-US" w:eastAsia="zh-CN" w:bidi="ar-SA"/>
              </w:rPr>
              <w:t xml:space="preserve">的</w:t>
            </w:r>
            <w:r>
              <w:rPr>
                <w:rFonts w:hint="eastAsia" w:ascii="宋体" w:hAnsi="宋体" w:eastAsia="宋体" w:cs="宋体"/>
                <w:b w:val="0"/>
                <w:bCs w:val="0"/>
                <w:color w:val="auto"/>
                <w:sz w:val="21"/>
                <w:szCs w:val="21"/>
                <w:highlight w:val="none"/>
                <w:lang w:val="en-US" w:bidi="ar-SA"/>
              </w:rPr>
              <w:t xml:space="preserve">，每提供1个得</w:t>
            </w: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bidi="ar-SA"/>
              </w:rPr>
              <w:t xml:space="preserve">分，最多得</w:t>
            </w:r>
            <w:r>
              <w:rPr>
                <w:rFonts w:hint="eastAsia" w:ascii="宋体" w:hAnsi="宋体" w:eastAsia="宋体" w:cs="宋体"/>
                <w:b w:val="0"/>
                <w:bCs w:val="0"/>
                <w:color w:val="auto"/>
                <w:sz w:val="21"/>
                <w:szCs w:val="21"/>
                <w:highlight w:val="none"/>
                <w:lang w:val="en-US" w:eastAsia="zh-CN" w:bidi="ar-SA"/>
              </w:rPr>
              <w:t xml:space="preserve">6</w:t>
            </w:r>
            <w:r>
              <w:rPr>
                <w:rFonts w:hint="eastAsia" w:ascii="宋体" w:hAnsi="宋体" w:eastAsia="宋体" w:cs="宋体"/>
                <w:b w:val="0"/>
                <w:bCs w:val="0"/>
                <w:color w:val="auto"/>
                <w:sz w:val="21"/>
                <w:szCs w:val="21"/>
                <w:highlight w:val="none"/>
                <w:lang w:val="en-US" w:bidi="ar-SA"/>
              </w:rPr>
              <w:t xml:space="preserve">分（提供合同复印件加盖公章，合同须能反映项目名称、主要标的物，签订时间和签章清晰可见）</w:t>
            </w:r>
            <w:r/>
          </w:p>
        </w:tc>
        <w:tc>
          <w:tcPr>
            <w:shd w:val="clear" w:color="auto" w:fill="auto"/>
            <w:tcW w:w="388" w:type="pct"/>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w:t>
            </w:r>
            <w:r/>
          </w:p>
        </w:tc>
      </w:tr>
      <w:tr>
        <w:trPr>
          <w:jc w:val="center"/>
          <w:trHeight w:val="280"/>
        </w:trPr>
        <w:tc>
          <w:tcPr>
            <w:gridSpan w:val="4"/>
            <w:shd w:val="clear" w:color="auto" w:fill="auto"/>
            <w:tcW w:w="5000" w:type="pct"/>
            <w:vAlign w:val="center"/>
            <w:textDirection w:val="lrTb"/>
            <w:noWrap w:val="false"/>
          </w:tcPr>
          <w:p>
            <w:pP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4.投标人履约能力</w:t>
            </w:r>
            <w:r/>
          </w:p>
        </w:tc>
      </w:tr>
      <w:tr>
        <w:trPr>
          <w:jc w:val="center"/>
          <w:trHeight w:val="800"/>
        </w:trPr>
        <w:tc>
          <w:tcPr>
            <w:shd w:val="clear" w:color="auto" w:fill="auto"/>
            <w:tcW w:w="441"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4.1</w:t>
            </w:r>
            <w:r/>
          </w:p>
        </w:tc>
        <w:tc>
          <w:tcPr>
            <w:shd w:val="clear" w:color="auto" w:fill="auto"/>
            <w:tcW w:w="748"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体系认证</w:t>
            </w:r>
            <w:r/>
          </w:p>
        </w:tc>
        <w:tc>
          <w:tcPr>
            <w:shd w:val="clear" w:color="auto" w:fill="auto"/>
            <w:tcW w:w="3421" w:type="pct"/>
            <w:vAlign w:val="center"/>
            <w:textDirection w:val="lrTb"/>
            <w:noWrap w:val="false"/>
          </w:tcPr>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eastAsia="zh-CN" w:bidi="ar-SA"/>
              </w:rPr>
              <w:t xml:space="preserve">供应商</w:t>
            </w:r>
            <w:r>
              <w:rPr>
                <w:rFonts w:hint="eastAsia" w:ascii="宋体" w:hAnsi="宋体" w:eastAsia="宋体" w:cs="宋体"/>
                <w:b w:val="0"/>
                <w:bCs w:val="0"/>
                <w:color w:val="auto"/>
                <w:sz w:val="21"/>
                <w:szCs w:val="21"/>
                <w:highlight w:val="none"/>
                <w:lang w:val="en-US" w:bidi="ar-SA"/>
              </w:rPr>
              <w:t xml:space="preserve">具有有效期内环境管理体系认证证书、质量管理体系认证证书</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bidi="ar-SA"/>
              </w:rPr>
              <w:t xml:space="preserve">每提供一个得</w:t>
            </w:r>
            <w:r>
              <w:rPr>
                <w:rFonts w:hint="eastAsia" w:ascii="宋体" w:hAnsi="宋体" w:cs="宋体"/>
                <w:b w:val="0"/>
                <w:bCs w:val="0"/>
                <w:color w:val="auto"/>
                <w:sz w:val="21"/>
                <w:szCs w:val="21"/>
                <w:highlight w:val="none"/>
                <w:lang w:val="en-US" w:eastAsia="zh-CN" w:bidi="ar-SA"/>
              </w:rPr>
              <w:t xml:space="preserve">2.5</w:t>
            </w:r>
            <w:r>
              <w:rPr>
                <w:rFonts w:hint="eastAsia" w:ascii="宋体" w:hAnsi="宋体" w:eastAsia="宋体" w:cs="宋体"/>
                <w:b w:val="0"/>
                <w:bCs w:val="0"/>
                <w:color w:val="auto"/>
                <w:sz w:val="21"/>
                <w:szCs w:val="21"/>
                <w:highlight w:val="none"/>
                <w:lang w:val="en-US" w:bidi="ar-SA"/>
              </w:rPr>
              <w:t xml:space="preserve">分，本项最高得</w:t>
            </w:r>
            <w:r>
              <w:rPr>
                <w:rFonts w:hint="eastAsia" w:ascii="宋体" w:hAnsi="宋体" w:eastAsia="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bidi="ar-SA"/>
              </w:rPr>
              <w:t xml:space="preserve">分；</w:t>
            </w:r>
            <w:r/>
          </w:p>
          <w:p>
            <w:pPr>
              <w:jc w:val="both"/>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（提供上述证书复印件加盖公章，未提供不得分）</w:t>
            </w:r>
            <w:r/>
          </w:p>
        </w:tc>
        <w:tc>
          <w:tcPr>
            <w:shd w:val="clear" w:color="auto" w:fill="auto"/>
            <w:tcW w:w="388"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w:t>
            </w:r>
            <w:r/>
          </w:p>
        </w:tc>
      </w:tr>
      <w:tr>
        <w:trPr>
          <w:jc w:val="center"/>
          <w:trHeight w:val="800"/>
        </w:trPr>
        <w:tc>
          <w:tcPr>
            <w:shd w:val="clear" w:color="auto" w:fill="auto"/>
            <w:tcW w:w="441"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4.2</w:t>
            </w:r>
            <w:r/>
          </w:p>
        </w:tc>
        <w:tc>
          <w:tcPr>
            <w:shd w:val="clear" w:color="auto" w:fill="auto"/>
            <w:tcW w:w="748"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产品能力</w:t>
            </w:r>
            <w:r/>
          </w:p>
        </w:tc>
        <w:tc>
          <w:tcPr>
            <w:shd w:val="clear" w:color="auto" w:fill="auto"/>
            <w:tcW w:w="3421" w:type="pct"/>
            <w:vAlign w:val="center"/>
            <w:textDirection w:val="lrTb"/>
            <w:noWrap w:val="false"/>
          </w:tcPr>
          <w:p>
            <w:pPr>
              <w:jc w:val="both"/>
              <w:spacing w:line="360"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eastAsia="zh-CN" w:bidi="ar-SA"/>
              </w:rPr>
              <w:t xml:space="preserve">供应商</w:t>
            </w:r>
            <w:r>
              <w:rPr>
                <w:rFonts w:hint="eastAsia" w:ascii="宋体" w:hAnsi="宋体" w:eastAsia="宋体" w:cs="宋体"/>
                <w:b w:val="0"/>
                <w:bCs w:val="0"/>
                <w:color w:val="auto"/>
                <w:sz w:val="21"/>
                <w:szCs w:val="21"/>
                <w:highlight w:val="none"/>
                <w:lang w:val="en-US" w:bidi="ar-SA"/>
              </w:rPr>
              <w:t xml:space="preserve">所投微型空气质量传感监测站具有</w:t>
            </w:r>
            <w:r>
              <w:rPr>
                <w:rFonts w:hint="eastAsia" w:ascii="宋体" w:hAnsi="宋体" w:eastAsia="宋体" w:cs="宋体"/>
                <w:b w:val="0"/>
                <w:bCs w:val="0"/>
                <w:color w:val="auto"/>
                <w:sz w:val="21"/>
                <w:szCs w:val="21"/>
                <w:highlight w:val="none"/>
                <w:lang w:val="en-US" w:eastAsia="zh-CN" w:bidi="ar-SA"/>
              </w:rPr>
              <w:t xml:space="preserve">相关专利的</w:t>
            </w:r>
            <w:r>
              <w:rPr>
                <w:rFonts w:hint="eastAsia" w:ascii="宋体" w:hAnsi="宋体" w:eastAsia="宋体" w:cs="宋体"/>
                <w:b w:val="0"/>
                <w:bCs w:val="0"/>
                <w:color w:val="auto"/>
                <w:sz w:val="21"/>
                <w:szCs w:val="21"/>
                <w:highlight w:val="none"/>
                <w:lang w:val="en-US" w:bidi="ar-SA"/>
              </w:rPr>
              <w:t xml:space="preserve">，每提供一个专利证书得1分，本项最高得3分。</w:t>
            </w:r>
            <w:r/>
          </w:p>
        </w:tc>
        <w:tc>
          <w:tcPr>
            <w:shd w:val="clear" w:color="auto" w:fill="auto"/>
            <w:tcW w:w="388"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w:t>
            </w:r>
            <w:r/>
          </w:p>
        </w:tc>
      </w:tr>
      <w:tr>
        <w:trPr>
          <w:jc w:val="center"/>
          <w:trHeight w:val="800"/>
        </w:trPr>
        <w:tc>
          <w:tcPr>
            <w:shd w:val="clear" w:color="auto" w:fill="auto"/>
            <w:tcW w:w="441"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4.3</w:t>
            </w:r>
            <w:r/>
          </w:p>
        </w:tc>
        <w:tc>
          <w:tcPr>
            <w:shd w:val="clear" w:color="auto" w:fill="auto"/>
            <w:tcW w:w="748" w:type="pct"/>
            <w:vAlign w:val="center"/>
            <w:textDirection w:val="lrTb"/>
            <w:noWrap w:val="false"/>
          </w:tcPr>
          <w:p>
            <w:pPr>
              <w:jc w:val="center"/>
              <w:spacing w:line="276"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人员</w:t>
            </w:r>
            <w:r/>
          </w:p>
        </w:tc>
        <w:tc>
          <w:tcPr>
            <w:shd w:val="clear" w:color="auto" w:fill="auto"/>
            <w:tcW w:w="3421" w:type="pct"/>
            <w:vAlign w:val="center"/>
            <w:textDirection w:val="lrTb"/>
            <w:noWrap w:val="false"/>
          </w:tcPr>
          <w:p>
            <w:pPr>
              <w:pStyle w:val="679"/>
              <w:ind w:left="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供应商拟派的项目负责人具有环境类工程师或高级及以上工程师得3分；</w:t>
            </w:r>
            <w:r/>
          </w:p>
          <w:p>
            <w:pPr>
              <w:pStyle w:val="679"/>
              <w:ind w:left="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供应商拟派</w:t>
            </w:r>
            <w:r>
              <w:rPr>
                <w:rFonts w:hint="eastAsia" w:ascii="宋体" w:hAnsi="宋体" w:eastAsia="宋体" w:cs="宋体"/>
                <w:b w:val="0"/>
                <w:bCs w:val="0"/>
                <w:color w:val="auto"/>
                <w:sz w:val="21"/>
                <w:szCs w:val="21"/>
                <w:highlight w:val="none"/>
                <w:lang w:val="en-US" w:bidi="ar-SA"/>
              </w:rPr>
              <w:t xml:space="preserve">人员具有</w:t>
            </w:r>
            <w:r>
              <w:rPr>
                <w:rFonts w:hint="eastAsia" w:ascii="宋体" w:hAnsi="宋体" w:eastAsia="宋体" w:cs="宋体"/>
                <w:b w:val="0"/>
                <w:bCs w:val="0"/>
                <w:color w:val="auto"/>
                <w:sz w:val="21"/>
                <w:szCs w:val="21"/>
                <w:highlight w:val="none"/>
                <w:lang w:val="en-US" w:eastAsia="zh-CN" w:bidi="ar-SA"/>
              </w:rPr>
              <w:t xml:space="preserve">有效的</w:t>
            </w:r>
            <w:r>
              <w:rPr>
                <w:rFonts w:hint="eastAsia" w:ascii="宋体" w:hAnsi="宋体" w:eastAsia="宋体" w:cs="宋体"/>
                <w:b w:val="0"/>
                <w:bCs w:val="0"/>
                <w:color w:val="auto"/>
                <w:sz w:val="21"/>
                <w:szCs w:val="21"/>
                <w:highlight w:val="none"/>
                <w:lang w:val="en-US" w:bidi="ar-SA"/>
              </w:rPr>
              <w:t xml:space="preserve">自动监控（烟尘烟气）运行工合格证书</w:t>
            </w:r>
            <w:r>
              <w:rPr>
                <w:rFonts w:hint="eastAsia" w:ascii="宋体" w:hAnsi="宋体" w:eastAsia="宋体" w:cs="宋体"/>
                <w:b w:val="0"/>
                <w:bCs w:val="0"/>
                <w:color w:val="auto"/>
                <w:sz w:val="21"/>
                <w:szCs w:val="21"/>
                <w:highlight w:val="none"/>
                <w:lang w:val="en-US" w:eastAsia="zh-CN" w:bidi="ar-SA"/>
              </w:rPr>
              <w:t xml:space="preserve">，每提供一人得2分，满分4分；</w:t>
            </w:r>
            <w:r/>
          </w:p>
          <w:p>
            <w:pPr>
              <w:pStyle w:val="679"/>
              <w:ind w:left="0"/>
              <w:spacing w:line="360" w:lineRule="auto"/>
              <w:tabs>
                <w:tab w:val="left" w:pos="830"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供应商拟派</w:t>
            </w:r>
            <w:r>
              <w:rPr>
                <w:rFonts w:hint="eastAsia" w:ascii="宋体" w:hAnsi="宋体" w:eastAsia="宋体" w:cs="宋体"/>
                <w:b w:val="0"/>
                <w:bCs w:val="0"/>
                <w:color w:val="auto"/>
                <w:sz w:val="21"/>
                <w:szCs w:val="21"/>
                <w:highlight w:val="none"/>
                <w:lang w:val="en-US" w:bidi="ar-SA"/>
              </w:rPr>
              <w:t xml:space="preserve">人员具有</w:t>
            </w:r>
            <w:r>
              <w:rPr>
                <w:rFonts w:hint="eastAsia" w:ascii="宋体" w:hAnsi="宋体" w:eastAsia="宋体" w:cs="宋体"/>
                <w:b w:val="0"/>
                <w:bCs w:val="0"/>
                <w:color w:val="auto"/>
                <w:sz w:val="21"/>
                <w:szCs w:val="21"/>
                <w:highlight w:val="none"/>
                <w:lang w:val="en-US" w:eastAsia="zh-CN" w:bidi="ar-SA"/>
              </w:rPr>
              <w:t xml:space="preserve">有效的自动监控（环境空气）运行工</w:t>
            </w:r>
            <w:r>
              <w:rPr>
                <w:rFonts w:hint="eastAsia" w:ascii="宋体" w:hAnsi="宋体" w:eastAsia="宋体" w:cs="宋体"/>
                <w:b w:val="0"/>
                <w:bCs w:val="0"/>
                <w:color w:val="auto"/>
                <w:sz w:val="21"/>
                <w:szCs w:val="21"/>
                <w:highlight w:val="none"/>
                <w:lang w:val="en-US" w:bidi="ar-SA"/>
              </w:rPr>
              <w:t xml:space="preserve">合格证书</w:t>
            </w:r>
            <w:r>
              <w:rPr>
                <w:rFonts w:hint="eastAsia" w:ascii="宋体" w:hAnsi="宋体" w:eastAsia="宋体" w:cs="宋体"/>
                <w:b w:val="0"/>
                <w:bCs w:val="0"/>
                <w:color w:val="auto"/>
                <w:sz w:val="21"/>
                <w:szCs w:val="21"/>
                <w:highlight w:val="none"/>
                <w:lang w:val="en-US" w:eastAsia="zh-CN" w:bidi="ar-SA"/>
              </w:rPr>
              <w:t xml:space="preserve">，每提供一人得2分，满分4分；</w:t>
            </w:r>
            <w:r/>
          </w:p>
          <w:p>
            <w:pPr>
              <w:rPr>
                <w:rFonts w:hint="eastAsia"/>
                <w:color w:val="auto"/>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拟派</w:t>
            </w:r>
            <w:r>
              <w:rPr>
                <w:rFonts w:hint="eastAsia"/>
                <w:color w:val="auto"/>
                <w:highlight w:val="none"/>
                <w:lang w:val="en-US" w:eastAsia="zh-CN"/>
              </w:rPr>
              <w:t xml:space="preserve">人员（不含项目负责人）具有环境监测总站颁发的空气站运维证书（以环境监测总站提供的培训合格证明材料为准），每有一人得2分，最高得4分。</w:t>
            </w:r>
            <w:r/>
          </w:p>
          <w:p>
            <w:pPr>
              <w:rPr>
                <w:rFonts w:hint="eastAsia"/>
                <w:color w:val="auto"/>
                <w:highlight w:val="none"/>
                <w:lang w:val="en-US" w:eastAsia="zh-CN"/>
              </w:rPr>
            </w:pPr>
            <w:r>
              <w:rPr>
                <w:rFonts w:hint="eastAsia"/>
                <w:color w:val="auto"/>
                <w:highlight w:val="none"/>
                <w:lang w:val="en-US" w:eastAsia="zh-CN"/>
              </w:rPr>
            </w:r>
            <w:r/>
          </w:p>
          <w:p>
            <w:pPr>
              <w:pStyle w:val="679"/>
              <w:ind w:left="0"/>
              <w:spacing w:line="360" w:lineRule="auto"/>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eastAsia="zh-CN" w:bidi="ar-SA"/>
              </w:rPr>
              <w:t xml:space="preserve">（提供上述证书复印件及供应商</w:t>
            </w:r>
            <w:r>
              <w:rPr>
                <w:rFonts w:hint="eastAsia" w:ascii="宋体" w:hAnsi="宋体" w:eastAsia="宋体" w:cs="宋体"/>
                <w:b w:val="0"/>
                <w:bCs w:val="0"/>
                <w:color w:val="auto"/>
                <w:sz w:val="21"/>
                <w:szCs w:val="21"/>
                <w:highlight w:val="none"/>
                <w:lang w:val="en-US" w:bidi="ar-SA"/>
              </w:rPr>
              <w:t xml:space="preserve">为其缴纳</w:t>
            </w:r>
            <w:r>
              <w:rPr>
                <w:rFonts w:hint="eastAsia" w:ascii="宋体" w:hAnsi="宋体" w:eastAsia="宋体" w:cs="宋体"/>
                <w:b w:val="0"/>
                <w:bCs w:val="0"/>
                <w:color w:val="auto"/>
                <w:sz w:val="21"/>
                <w:szCs w:val="21"/>
                <w:highlight w:val="none"/>
                <w:lang w:val="en-US" w:eastAsia="zh-CN" w:bidi="ar-SA"/>
              </w:rPr>
              <w:t xml:space="preserve">近半年内任意一个月</w:t>
            </w:r>
            <w:r>
              <w:rPr>
                <w:rFonts w:hint="eastAsia" w:ascii="宋体" w:hAnsi="宋体" w:eastAsia="宋体" w:cs="宋体"/>
                <w:b w:val="0"/>
                <w:bCs w:val="0"/>
                <w:color w:val="auto"/>
                <w:sz w:val="21"/>
                <w:szCs w:val="21"/>
                <w:highlight w:val="none"/>
                <w:lang w:val="en-US" w:bidi="ar-SA"/>
              </w:rPr>
              <w:t xml:space="preserve">的社保证明</w:t>
            </w:r>
            <w:r>
              <w:rPr>
                <w:rFonts w:hint="eastAsia" w:ascii="宋体" w:hAnsi="宋体" w:eastAsia="宋体" w:cs="宋体"/>
                <w:b w:val="0"/>
                <w:bCs w:val="0"/>
                <w:color w:val="auto"/>
                <w:sz w:val="21"/>
                <w:szCs w:val="21"/>
                <w:highlight w:val="none"/>
                <w:lang w:val="en-US" w:eastAsia="zh-CN" w:bidi="ar-SA"/>
              </w:rPr>
              <w:t xml:space="preserve">，同一人员不同证书不重复计分</w:t>
            </w:r>
            <w:r>
              <w:rPr>
                <w:rFonts w:hint="eastAsia" w:ascii="宋体" w:hAnsi="宋体" w:eastAsia="宋体" w:cs="宋体"/>
                <w:b w:val="0"/>
                <w:bCs w:val="0"/>
                <w:color w:val="auto"/>
                <w:sz w:val="21"/>
                <w:szCs w:val="21"/>
                <w:highlight w:val="none"/>
                <w:lang w:val="en-US" w:bidi="ar-SA"/>
              </w:rPr>
              <w:t xml:space="preserve">）。</w:t>
            </w:r>
            <w:r/>
          </w:p>
        </w:tc>
        <w:tc>
          <w:tcPr>
            <w:shd w:val="clear" w:color="auto" w:fill="auto"/>
            <w:tcW w:w="388" w:type="pct"/>
            <w:vAlign w:val="center"/>
            <w:textDirection w:val="lrTb"/>
            <w:noWrap w:val="false"/>
          </w:tcPr>
          <w:p>
            <w:pPr>
              <w:jc w:val="center"/>
              <w:spacing w:line="276" w:lineRule="auto"/>
              <w:widowControl/>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15</w:t>
            </w:r>
            <w:r/>
          </w:p>
        </w:tc>
      </w:tr>
      <w:tr>
        <w:trPr>
          <w:jc w:val="center"/>
          <w:trHeight w:val="557"/>
        </w:trPr>
        <w:tc>
          <w:tcPr>
            <w:gridSpan w:val="3"/>
            <w:shd w:val="clear" w:color="auto" w:fill="auto"/>
            <w:tcW w:w="4611" w:type="pct"/>
            <w:vAlign w:val="center"/>
            <w:textDirection w:val="lrTb"/>
            <w:noWrap w:val="false"/>
          </w:tcPr>
          <w:p>
            <w:pPr>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合计：</w:t>
            </w:r>
            <w:r/>
          </w:p>
        </w:tc>
        <w:tc>
          <w:tcPr>
            <w:shd w:val="clear" w:color="auto" w:fill="auto"/>
            <w:tcW w:w="388" w:type="pct"/>
            <w:vAlign w:val="center"/>
            <w:textDirection w:val="lrTb"/>
            <w:noWrap w:val="false"/>
          </w:tcPr>
          <w:p>
            <w:pPr>
              <w:jc w:val="right"/>
              <w:spacing w:line="276" w:lineRule="auto"/>
              <w:widowControl/>
              <w:rPr>
                <w:rFonts w:hint="eastAsia" w:ascii="宋体" w:hAnsi="宋体" w:eastAsia="宋体" w:cs="宋体"/>
                <w:b w:val="0"/>
                <w:bCs w:val="0"/>
                <w:color w:val="auto"/>
                <w:sz w:val="21"/>
                <w:szCs w:val="21"/>
                <w:highlight w:val="none"/>
                <w:lang w:val="en-US" w:bidi="ar-SA"/>
              </w:rPr>
            </w:pPr>
            <w:r>
              <w:rPr>
                <w:rFonts w:hint="eastAsia" w:ascii="宋体" w:hAnsi="宋体" w:eastAsia="宋体" w:cs="宋体"/>
                <w:b w:val="0"/>
                <w:bCs w:val="0"/>
                <w:color w:val="auto"/>
                <w:sz w:val="21"/>
                <w:szCs w:val="21"/>
                <w:highlight w:val="none"/>
                <w:lang w:val="en-US" w:bidi="ar-SA"/>
              </w:rPr>
              <w:t xml:space="preserve">100</w:t>
            </w:r>
            <w:r/>
          </w:p>
        </w:tc>
      </w:tr>
    </w:tbl>
    <w:p>
      <w:pPr>
        <w:pStyle w:val="862"/>
        <w:ind w:left="0"/>
        <w:spacing w:line="288" w:lineRule="auto"/>
        <w:rPr>
          <w:rFonts w:hint="eastAsia" w:eastAsiaTheme="minorEastAsia"/>
          <w:color w:val="auto"/>
          <w:highlight w:val="none"/>
        </w:rPr>
      </w:pPr>
      <w:r>
        <w:rPr>
          <w:rFonts w:hint="eastAsia" w:eastAsiaTheme="minorEastAsia"/>
          <w:color w:val="auto"/>
          <w:highlight w:val="none"/>
        </w:rPr>
      </w:r>
      <w:r/>
    </w:p>
    <w:p>
      <w:pPr>
        <w:ind w:right="840"/>
        <w:jc w:val="center"/>
        <w:rPr>
          <w:rFonts w:ascii="方正小标宋简体" w:hAnsi="方正小标宋简体" w:eastAsia="方正小标宋简体" w:cs="方正小标宋简体"/>
          <w:color w:val="auto"/>
          <w:sz w:val="36"/>
          <w:szCs w:val="36"/>
          <w:highlight w:val="none"/>
        </w:rPr>
        <w:outlineLvl w:val="0"/>
      </w:pPr>
      <w:r>
        <w:rPr>
          <w:rFonts w:hint="eastAsia" w:ascii="黑体" w:eastAsia="黑体"/>
          <w:bCs/>
          <w:color w:val="auto"/>
          <w:sz w:val="44"/>
          <w:szCs w:val="28"/>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第六章  </w:t>
      </w:r>
      <w:bookmarkEnd w:id="19"/>
      <w:r/>
      <w:bookmarkEnd w:id="20"/>
      <w:r/>
      <w:bookmarkEnd w:id="21"/>
      <w:r>
        <w:rPr>
          <w:rFonts w:hint="eastAsia" w:ascii="方正小标宋简体" w:hAnsi="方正小标宋简体" w:eastAsia="方正小标宋简体" w:cs="方正小标宋简体"/>
          <w:color w:val="auto"/>
          <w:sz w:val="36"/>
          <w:szCs w:val="36"/>
          <w:highlight w:val="none"/>
        </w:rPr>
        <w:t xml:space="preserve">响应文件格式 </w:t>
      </w:r>
      <w:r/>
    </w:p>
    <w:p>
      <w:pPr>
        <w:jc w:val="center"/>
        <w:rPr>
          <w:rFonts w:ascii="宋体" w:hAnsi="宋体"/>
          <w:b/>
          <w:color w:val="auto"/>
          <w:sz w:val="72"/>
          <w:szCs w:val="21"/>
          <w:highlight w:val="none"/>
        </w:rPr>
      </w:pPr>
      <w:r/>
      <w:bookmarkStart w:id="23" w:name="_Hlt26955039"/>
      <w:r/>
      <w:bookmarkEnd w:id="23"/>
      <w:r/>
      <w:bookmarkStart w:id="24" w:name="_Hlt26671244"/>
      <w:r/>
      <w:bookmarkEnd w:id="24"/>
      <w:r/>
      <w:bookmarkStart w:id="25" w:name="_Toc49090576"/>
      <w:r/>
      <w:bookmarkStart w:id="26" w:name="_Toc26554094"/>
      <w:r/>
      <w:bookmarkStart w:id="27" w:name="_Toc120614282"/>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ind w:firstLine="1084"/>
        <w:rPr>
          <w:rFonts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（加盖电子公章）   </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rPr>
          <w:rFonts w:ascii="宋体" w:hAnsi="宋体"/>
          <w:b/>
          <w:bCs/>
          <w:color w:val="auto"/>
          <w:sz w:val="32"/>
          <w:szCs w:val="32"/>
          <w:highlight w:val="none"/>
        </w:rPr>
      </w:pPr>
      <w:r>
        <w:rPr>
          <w:rFonts w:ascii="宋体" w:hAnsi="宋体"/>
          <w:b/>
          <w:color w:val="auto"/>
          <w:sz w:val="36"/>
          <w:szCs w:val="21"/>
          <w:highlight w:val="none"/>
          <w:u w:val="single"/>
        </w:rPr>
        <w:br w:type="page" w:clear="all"/>
      </w:r>
      <w:r>
        <w:rPr>
          <w:rFonts w:hint="eastAsia" w:ascii="宋体" w:hAnsi="宋体"/>
          <w:b/>
          <w:bCs/>
          <w:color w:val="auto"/>
          <w:sz w:val="32"/>
          <w:szCs w:val="32"/>
          <w:highlight w:val="none"/>
        </w:rPr>
        <w:t xml:space="preserve">响应文件目录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一、供应商信用承诺函</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二、满足特定资格要求的证明文件（如有特定资格要求）</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四、磋商响应函</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五、磋商报价表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六、分项报价表（如有）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七、技术要求响应及偏离表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八、商务要求响应及偏离表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九、中小企业声明函（如有）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十、残疾人福利性单位声明函（如有）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十一、联合体协议（如有）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十二、分包承诺书（如有）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十三、关于符合本国产品标准的声明函（如有）</w:t>
      </w:r>
      <w:r/>
    </w:p>
    <w:p>
      <w:pPr>
        <w:ind w:firstLine="560"/>
        <w:spacing w:line="6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6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rPr>
          <w:rFonts w:hint="eastAsia" w:ascii="黑体" w:hAnsi="黑体" w:eastAsia="黑体"/>
          <w:color w:val="auto"/>
          <w:sz w:val="32"/>
          <w:szCs w:val="32"/>
          <w:highlight w:val="none"/>
        </w:rPr>
        <w:t xml:space="preserve">一、供应商信用承诺函</w:t>
      </w:r>
      <w:r/>
    </w:p>
    <w:p>
      <w:pPr>
        <w:jc w:val="center"/>
        <w:spacing w:line="36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供应商信用承诺函</w:t>
      </w:r>
      <w:r/>
    </w:p>
    <w:p>
      <w:pPr>
        <w:spacing w:line="46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南京浦瑞招投标咨询服务有限公司</w:t>
      </w:r>
      <w:r>
        <w:rPr>
          <w:rFonts w:hint="eastAsia" w:ascii="宋体" w:hAnsi="宋体"/>
          <w:color w:val="auto"/>
          <w:sz w:val="24"/>
          <w:szCs w:val="24"/>
          <w:highlight w:val="none"/>
        </w:rPr>
        <w:t xml:space="preserve">：</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我公司（单位）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（供应商名称）郑重承诺：</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我公司（单位）符合下列要求：</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一</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具有独立承担民事责任的能力；</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二</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具有良好的商业信誉和健全的财务会计制度；</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三</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具有履行合同所必需的设备和专业技术能力；</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四</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有依法缴纳税收和社会保障资金的良好记录；</w:t>
      </w:r>
      <w:r/>
    </w:p>
    <w:p>
      <w:pPr>
        <w:ind w:firstLine="492"/>
        <w:spacing w:line="4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五</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参加政府采购活动前三年内，在经营活动中没有重大违法记录</w:t>
      </w:r>
      <w:r>
        <w:rPr>
          <w:rFonts w:hint="eastAsia" w:ascii="宋体" w:hAnsi="宋体"/>
          <w:color w:val="auto"/>
          <w:sz w:val="24"/>
          <w:szCs w:val="24"/>
          <w:highlight w:val="none"/>
          <w:lang w:eastAsia="zh-CN"/>
        </w:rPr>
        <w:t xml:space="preserve">；</w:t>
      </w:r>
      <w:r/>
    </w:p>
    <w:p>
      <w:pPr>
        <w:ind w:firstLine="492"/>
        <w:spacing w:line="460" w:lineRule="exact"/>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六</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我公司（单位）已知晓：单位负责人为同一人或者存在直接控股、管理关系的不同供应商，不得参加同一合同项下的政府采购活动</w:t>
      </w:r>
      <w:r>
        <w:rPr>
          <w:rFonts w:hint="eastAsia" w:ascii="宋体" w:hAnsi="宋体"/>
          <w:color w:val="auto"/>
          <w:sz w:val="24"/>
          <w:szCs w:val="24"/>
          <w:highlight w:val="none"/>
          <w:lang w:eastAsia="zh-CN"/>
        </w:rPr>
        <w:t xml:space="preserve">；</w:t>
      </w:r>
      <w:r/>
    </w:p>
    <w:p>
      <w:pPr>
        <w:ind w:firstLine="492"/>
        <w:spacing w:line="460" w:lineRule="exact"/>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未参加此项目的整体设计、规范编制或者项目管理、监理、检测等服务。</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如果我公司（单位）成交，将在成交结果公示后七个工作日内向采购人提供下列材料核验：</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（1）营业执照副本或事业单位法人登记证书或其他证明材料；</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color w:val="auto"/>
          <w:sz w:val="24"/>
          <w:szCs w:val="24"/>
          <w:highlight w:val="none"/>
        </w:rPr>
      </w:pPr>
      <w:r>
        <w:rPr>
          <w:rFonts w:hint="eastAsia"/>
          <w:color w:val="auto"/>
          <w:sz w:val="24"/>
          <w:szCs w:val="24"/>
          <w:highlight w:val="none"/>
        </w:rPr>
        <w:t xml:space="preserve">我公司（单位）对上述承诺内容的真实性、合法性、有效性负责，如有虚假，将依法承担相应责任。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928"/>
        <w:rPr>
          <w:color w:val="auto"/>
          <w:sz w:val="24"/>
          <w:szCs w:val="24"/>
          <w:highlight w:val="none"/>
        </w:rPr>
      </w:pPr>
      <w:r>
        <w:rPr>
          <w:color w:val="auto"/>
          <w:sz w:val="24"/>
          <w:szCs w:val="24"/>
          <w:highlight w:val="none"/>
        </w:rPr>
      </w:r>
      <w:r/>
    </w:p>
    <w:p>
      <w:pPr>
        <w:ind w:right="180" w:firstLine="360"/>
        <w:jc w:val="righ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ind w:firstLine="6240"/>
        <w:spacing w:line="560" w:lineRule="exact"/>
        <w:rPr>
          <w:rFonts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r>
      <w:bookmarkEnd w:id="25"/>
      <w:bookmarkEnd w:id="26"/>
      <w:bookmarkEnd w:id="27"/>
      <w:r/>
    </w:p>
    <w:p>
      <w:pPr>
        <w:pStyle w:val="862"/>
        <w:rPr>
          <w:color w:val="auto"/>
          <w:highlight w:val="none"/>
        </w:rPr>
      </w:pPr>
      <w:r>
        <w:rPr>
          <w:color w:val="auto"/>
          <w:highlight w:val="none"/>
        </w:rPr>
      </w:r>
      <w:r/>
    </w:p>
    <w:p>
      <w:pPr>
        <w:rPr>
          <w:rFonts w:ascii="黑体" w:hAnsi="黑体" w:eastAsia="黑体"/>
          <w:color w:val="auto"/>
          <w:sz w:val="32"/>
          <w:szCs w:val="32"/>
          <w:highlight w:val="none"/>
        </w:rPr>
      </w:pPr>
      <w:r/>
      <w:bookmarkStart w:id="28" w:name="_Toc120614284"/>
      <w:r>
        <w:rPr>
          <w:rFonts w:hint="eastAsia" w:ascii="黑体" w:hAnsi="黑体" w:eastAsia="黑体"/>
          <w:color w:val="auto"/>
          <w:sz w:val="32"/>
          <w:szCs w:val="32"/>
          <w:highlight w:val="none"/>
        </w:rPr>
        <w:t xml:space="preserve">二、特定资格要求的证明文件</w:t>
      </w:r>
      <w:r/>
    </w:p>
    <w:p>
      <w:pPr>
        <w:spacing w:line="460" w:lineRule="exact"/>
        <w:rPr>
          <w:rFonts w:ascii="宋体" w:hAnsi="宋体"/>
          <w:bCs/>
          <w:color w:val="auto"/>
          <w:sz w:val="24"/>
          <w:szCs w:val="21"/>
          <w:highlight w:val="none"/>
        </w:rPr>
      </w:pPr>
      <w:r>
        <w:rPr>
          <w:rFonts w:hint="eastAsia" w:ascii="宋体" w:hAnsi="宋体"/>
          <w:color w:val="auto"/>
          <w:sz w:val="24"/>
          <w:szCs w:val="21"/>
          <w:highlight w:val="none"/>
        </w:rPr>
        <w:t xml:space="preserve">  本项目申请人的特定资格要求中要求提供的材料。</w:t>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jc w:val="left"/>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三、法人授权书</w:t>
      </w:r>
      <w:r/>
    </w:p>
    <w:p>
      <w:pPr>
        <w:jc w:val="center"/>
        <w:spacing w:line="360" w:lineRule="auto"/>
        <w:rPr>
          <w:rFonts w:ascii="方正小标宋简体" w:hAnsi="方正小标宋简体" w:eastAsia="方正小标宋简体" w:cs="方正小标宋简体"/>
          <w:color w:val="auto"/>
          <w:sz w:val="32"/>
          <w:szCs w:val="32"/>
          <w:highlight w:val="none"/>
          <w:lang w:val="zh-CN"/>
        </w:rPr>
        <w:outlineLvl w:val="2"/>
      </w:pPr>
      <w:r>
        <w:rPr>
          <w:rFonts w:hint="eastAsia" w:ascii="方正小标宋简体" w:hAnsi="方正小标宋简体" w:eastAsia="方正小标宋简体" w:cs="方正小标宋简体"/>
          <w:color w:val="auto"/>
          <w:sz w:val="32"/>
          <w:szCs w:val="32"/>
          <w:highlight w:val="none"/>
          <w:lang w:val="zh-CN"/>
        </w:rPr>
        <w:t xml:space="preserve">法人授权书</w:t>
      </w:r>
      <w:r/>
    </w:p>
    <w:p>
      <w:pPr>
        <w:pStyle w:val="899"/>
        <w:ind w:firstLine="480"/>
        <w:spacing w:line="480" w:lineRule="auto"/>
        <w:rPr>
          <w:color w:val="auto"/>
          <w:sz w:val="24"/>
          <w:szCs w:val="24"/>
          <w:highlight w:val="none"/>
        </w:rPr>
      </w:pPr>
      <w:r>
        <w:rPr>
          <w:rFonts w:hint="eastAsia"/>
          <w:color w:val="auto"/>
          <w:sz w:val="24"/>
          <w:szCs w:val="24"/>
          <w:highlight w:val="none"/>
        </w:rPr>
        <w:t xml:space="preserve">本授权书声明：</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（供应商名称）授权</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（被授权人的姓名）作为我方就编号为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的</w:t>
      </w:r>
      <w:r>
        <w:rPr>
          <w:rFonts w:hint="eastAsia"/>
          <w:color w:val="auto"/>
          <w:sz w:val="24"/>
          <w:szCs w:val="24"/>
          <w:highlight w:val="none"/>
        </w:rPr>
        <w:t xml:space="preserve">项目采购活动的合法代理人，以本单位名义全权处理一切与该项目采购有关的事务。</w:t>
      </w:r>
      <w:r/>
    </w:p>
    <w:p>
      <w:pPr>
        <w:pStyle w:val="899"/>
        <w:ind w:firstLine="480"/>
        <w:spacing w:line="480" w:lineRule="auto"/>
        <w:rPr>
          <w:color w:val="auto"/>
          <w:sz w:val="24"/>
          <w:szCs w:val="24"/>
          <w:highlight w:val="none"/>
        </w:rPr>
      </w:pPr>
      <w:r>
        <w:rPr>
          <w:rFonts w:hint="eastAsia"/>
          <w:color w:val="auto"/>
          <w:sz w:val="24"/>
          <w:szCs w:val="24"/>
          <w:highlight w:val="none"/>
        </w:rPr>
        <w:t xml:space="preserve">本授权书于______年____月____日起生效，特此声明。</w:t>
      </w:r>
      <w:r/>
    </w:p>
    <w:p>
      <w:pPr>
        <w:pStyle w:val="899"/>
        <w:ind w:firstLine="0"/>
        <w:spacing w:line="480" w:lineRule="auto"/>
        <w:rPr>
          <w:color w:val="auto"/>
          <w:sz w:val="24"/>
          <w:szCs w:val="24"/>
          <w:highlight w:val="none"/>
          <w:u w:val="single"/>
        </w:rPr>
      </w:pPr>
      <w:r>
        <w:rPr>
          <w:rFonts w:hint="eastAsia"/>
          <w:color w:val="auto"/>
          <w:sz w:val="24"/>
          <w:szCs w:val="24"/>
          <w:highlight w:val="none"/>
        </w:rPr>
        <w:t xml:space="preserve">    被授权人身份证号码：</w:t>
      </w:r>
      <w:r/>
    </w:p>
    <w:p>
      <w:pPr>
        <w:pStyle w:val="899"/>
        <w:ind w:firstLine="480"/>
        <w:spacing w:line="480" w:lineRule="auto"/>
        <w:rPr>
          <w:rFonts w:ascii="宋体" w:hAnsi="宋体" w:cs="宋体"/>
          <w:color w:val="auto"/>
          <w:sz w:val="24"/>
          <w:szCs w:val="24"/>
          <w:highlight w:val="none"/>
          <w:u w:val="single"/>
        </w:rPr>
      </w:pPr>
      <w:r>
        <w:rPr>
          <w:rFonts w:hint="eastAsia"/>
          <w:color w:val="auto"/>
          <w:sz w:val="24"/>
          <w:szCs w:val="24"/>
          <w:highlight w:val="none"/>
        </w:rPr>
        <w:t xml:space="preserve">被授权人联系电话：（手机）</w:t>
      </w:r>
      <w:r/>
    </w:p>
    <w:p>
      <w:pPr>
        <w:pStyle w:val="899"/>
        <w:ind w:firstLine="480"/>
        <w:spacing w:line="480" w:lineRule="auto"/>
        <w:rPr>
          <w:color w:val="auto"/>
          <w:sz w:val="24"/>
          <w:szCs w:val="24"/>
          <w:highlight w:val="none"/>
        </w:rPr>
      </w:pPr>
      <w:r>
        <w:rPr>
          <w:rFonts w:hint="eastAsia"/>
          <w:color w:val="auto"/>
          <w:sz w:val="24"/>
          <w:szCs w:val="24"/>
          <w:highlight w:val="none"/>
        </w:rPr>
        <w:t xml:space="preserve">授权单位名称：</w:t>
      </w:r>
      <w:r>
        <w:rPr>
          <w:rFonts w:hint="eastAsia" w:ascii="宋体" w:hAnsi="宋体" w:cs="宋体"/>
          <w:color w:val="auto"/>
          <w:sz w:val="24"/>
          <w:szCs w:val="24"/>
          <w:highlight w:val="none"/>
        </w:rPr>
        <w:t xml:space="preserve">（加盖电子公章）</w:t>
      </w:r>
      <w:r/>
    </w:p>
    <w:p>
      <w:pPr>
        <w:pStyle w:val="899"/>
        <w:ind w:firstLine="480"/>
        <w:spacing w:line="480" w:lineRule="auto"/>
        <w:rPr>
          <w:color w:val="auto"/>
          <w:sz w:val="24"/>
          <w:szCs w:val="24"/>
          <w:highlight w:val="none"/>
          <w:u w:val="single"/>
        </w:rPr>
      </w:pPr>
      <w:r>
        <w:rPr>
          <w:rFonts w:hint="eastAsia"/>
          <w:color w:val="auto"/>
          <w:sz w:val="24"/>
          <w:szCs w:val="24"/>
          <w:highlight w:val="none"/>
        </w:rPr>
        <w:t xml:space="preserve">单位地址：</w:t>
      </w:r>
      <w:r/>
    </w:p>
    <w:p>
      <w:pPr>
        <w:pStyle w:val="899"/>
        <w:ind w:firstLine="480"/>
        <w:spacing w:line="480" w:lineRule="auto"/>
        <w:rPr>
          <w:color w:val="auto"/>
          <w:sz w:val="24"/>
          <w:szCs w:val="24"/>
          <w:highlight w:val="none"/>
        </w:rPr>
      </w:pPr>
      <w:r>
        <w:rPr>
          <w:rFonts w:hint="eastAsia"/>
          <w:color w:val="auto"/>
          <w:sz w:val="24"/>
          <w:szCs w:val="24"/>
          <w:highlight w:val="none"/>
        </w:rPr>
        <w:t xml:space="preserve">日    期：</w:t>
      </w:r>
      <w:bookmarkStart w:id="29" w:name="_格式3__银行出具的资信证明"/>
      <w:r/>
      <w:bookmarkEnd w:id="29"/>
      <w:r/>
      <w:bookmarkStart w:id="30" w:name="_Hlt26955070"/>
      <w:r/>
      <w:bookmarkEnd w:id="30"/>
      <w:r/>
      <w:bookmarkStart w:id="31" w:name="_Hlt26671380"/>
      <w:r/>
      <w:bookmarkEnd w:id="31"/>
      <w:r/>
      <w:r/>
    </w:p>
    <w:p>
      <w:pPr>
        <w:ind w:firstLine="480"/>
        <w:tabs>
          <w:tab w:val="left" w:pos="360" w:leader="none"/>
        </w:tabs>
        <w:rPr>
          <w:color w:val="auto"/>
          <w:sz w:val="24"/>
          <w:szCs w:val="24"/>
          <w:highlight w:val="none"/>
          <w:u w:val="single"/>
        </w:rPr>
      </w:pPr>
      <w:r>
        <w:rPr>
          <w:color w:val="auto"/>
          <w:sz w:val="24"/>
          <w:szCs w:val="24"/>
          <w:highlight w:val="none"/>
          <w:u w:val="single"/>
        </w:rPr>
      </w:r>
      <w:r/>
    </w:p>
    <w:p>
      <w:pPr>
        <w:ind w:firstLine="480"/>
        <w:tabs>
          <w:tab w:val="left" w:pos="360" w:leader="none"/>
        </w:tabs>
        <w:rPr>
          <w:color w:val="auto"/>
          <w:sz w:val="24"/>
          <w:szCs w:val="24"/>
          <w:highlight w:val="none"/>
          <w:u w:val="single"/>
        </w:rPr>
      </w:pPr>
      <w:r>
        <w:rPr>
          <w:color w:val="auto"/>
          <w:sz w:val="24"/>
          <w:szCs w:val="24"/>
          <w:highlight w:val="none"/>
          <w:u w:val="single"/>
        </w:rPr>
      </w:r>
      <w:r/>
    </w:p>
    <w:p>
      <w:pPr>
        <w:ind w:firstLine="480"/>
        <w:tabs>
          <w:tab w:val="left" w:pos="360" w:leader="none"/>
        </w:tabs>
        <w:rPr>
          <w:color w:val="auto"/>
          <w:sz w:val="24"/>
          <w:szCs w:val="24"/>
          <w:highlight w:val="none"/>
          <w:u w:val="single"/>
        </w:rPr>
      </w:pPr>
      <w:r>
        <w:rPr>
          <w:color w:val="auto"/>
          <w:sz w:val="24"/>
          <w:szCs w:val="24"/>
          <w:highlight w:val="none"/>
          <w:u w:val="single"/>
        </w:rPr>
      </w:r>
      <w:r/>
    </w:p>
    <w:p>
      <w:pPr>
        <w:rPr>
          <w:rFonts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t xml:space="preserve">四、磋商响应函</w:t>
      </w:r>
      <w:r/>
    </w:p>
    <w:p>
      <w:pPr>
        <w:jc w:val="center"/>
        <w:spacing w:line="360" w:lineRule="auto"/>
        <w:rPr>
          <w:rFonts w:ascii="方正小标宋简体" w:hAnsi="方正小标宋简体" w:eastAsia="方正小标宋简体" w:cs="方正小标宋简体"/>
          <w:color w:val="auto"/>
          <w:sz w:val="32"/>
          <w:szCs w:val="32"/>
          <w:highlight w:val="none"/>
          <w:lang w:val="zh-CN"/>
        </w:rPr>
        <w:outlineLvl w:val="2"/>
      </w:pPr>
      <w:r>
        <w:rPr>
          <w:rFonts w:hint="eastAsia" w:ascii="方正小标宋简体" w:hAnsi="方正小标宋简体" w:eastAsia="方正小标宋简体" w:cs="方正小标宋简体"/>
          <w:color w:val="auto"/>
          <w:sz w:val="32"/>
          <w:szCs w:val="32"/>
          <w:highlight w:val="none"/>
        </w:rPr>
        <w:t xml:space="preserve">磋商响应函</w:t>
      </w:r>
      <w:r/>
    </w:p>
    <w:p>
      <w:pPr>
        <w:jc w:val="left"/>
        <w:spacing w:line="360" w:lineRule="auto"/>
        <w:rPr>
          <w:rFonts w:hint="eastAsia" w:ascii="宋体" w:hAnsi="宋体" w:eastAsia="宋体"/>
          <w:color w:val="auto"/>
          <w:sz w:val="24"/>
          <w:szCs w:val="21"/>
          <w:highlight w:val="none"/>
          <w:lang w:eastAsia="zh-CN"/>
        </w:rPr>
      </w:pPr>
      <w:r>
        <w:rPr>
          <w:rFonts w:hint="eastAsia" w:ascii="宋体" w:hAnsi="宋体"/>
          <w:color w:val="auto"/>
          <w:sz w:val="24"/>
          <w:szCs w:val="21"/>
          <w:highlight w:val="none"/>
        </w:rPr>
        <w:t xml:space="preserve">致：</w:t>
      </w:r>
      <w:r>
        <w:rPr>
          <w:rFonts w:hint="eastAsia" w:ascii="宋体" w:hAnsi="宋体"/>
          <w:color w:val="auto"/>
          <w:sz w:val="24"/>
          <w:szCs w:val="21"/>
          <w:highlight w:val="none"/>
          <w:lang w:eastAsia="zh-CN"/>
        </w:rPr>
        <w:t xml:space="preserve">南京浦瑞招投标咨询服务有限公司</w:t>
      </w:r>
      <w:r/>
    </w:p>
    <w:p>
      <w:pPr>
        <w:pStyle w:val="901"/>
        <w:spacing w:before="0" w:after="0"/>
        <w:rPr>
          <w:rFonts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u w:val="single"/>
        </w:rPr>
        <w:t xml:space="preserve">                             </w:t>
      </w:r>
      <w:r>
        <w:rPr>
          <w:rFonts w:hint="eastAsia" w:ascii="宋体" w:hAnsi="宋体"/>
          <w:color w:val="auto"/>
          <w:highlight w:val="none"/>
        </w:rPr>
        <w:t xml:space="preserve">的</w:t>
      </w:r>
      <w:r>
        <w:rPr>
          <w:rFonts w:hint="eastAsia" w:ascii="宋体" w:hAnsi="宋体"/>
          <w:color w:val="auto"/>
          <w:szCs w:val="21"/>
          <w:highlight w:val="none"/>
        </w:rPr>
        <w:t xml:space="preserve">项目磋商文件，我方正式提</w:t>
      </w:r>
      <w:r>
        <w:rPr>
          <w:rFonts w:hint="eastAsia" w:ascii="宋体" w:hAnsi="宋体" w:cs="宋体"/>
          <w:color w:val="auto"/>
          <w:highlight w:val="none"/>
        </w:rPr>
        <w:t xml:space="preserve">交磋商响应函，</w:t>
      </w:r>
      <w:r>
        <w:rPr>
          <w:rFonts w:hint="eastAsia" w:ascii="宋体" w:hAnsi="宋体"/>
          <w:color w:val="auto"/>
          <w:szCs w:val="21"/>
          <w:highlight w:val="none"/>
        </w:rPr>
        <w:t xml:space="preserve">并宣布同意如下内容：</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1.按磋商文件规定的各项要求，向买方提供所需服务（包含与货物相关的服务及与服务相关的货物）。</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4.我们同意从规定的磋商日期起遵循本响应文件，并在规定的磋商有效期期满之前均具有约束力。</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706"/>
        <w:ind w:firstLine="480"/>
        <w:rPr>
          <w:color w:val="auto"/>
          <w:highlight w:val="none"/>
        </w:rPr>
      </w:pPr>
      <w:r>
        <w:rPr>
          <w:rFonts w:hint="eastAsia"/>
          <w:color w:val="auto"/>
          <w:sz w:val="24"/>
          <w:szCs w:val="24"/>
          <w:highlight w:val="none"/>
        </w:rPr>
        <w:t xml:space="preserve">8.我方为：</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民营企业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非民营企业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其他（在对应</w:t>
      </w:r>
      <w:r>
        <w:rPr>
          <w:rFonts w:ascii="Wingdings" w:hAnsi="Wingdings" w:eastAsia="Wingdings" w:cs="Wingdings"/>
          <w:color w:val="auto"/>
          <w:sz w:val="24"/>
          <w:szCs w:val="24"/>
          <w:highlight w:val="none"/>
        </w:rPr>
        <w:t xml:space="preserve">¨</w:t>
      </w:r>
      <w:r>
        <w:rPr>
          <w:rFonts w:hint="eastAsia" w:cs="宋体"/>
          <w:color w:val="auto"/>
          <w:sz w:val="24"/>
          <w:szCs w:val="24"/>
          <w:highlight w:val="none"/>
        </w:rPr>
        <w:t xml:space="preserve">内</w:t>
      </w:r>
      <w:r>
        <w:rPr>
          <w:rFonts w:hint="eastAsia"/>
          <w:color w:val="auto"/>
          <w:sz w:val="24"/>
          <w:szCs w:val="24"/>
          <w:highlight w:val="none"/>
          <w:lang w:val="zh-CN"/>
        </w:rPr>
        <w:t xml:space="preserve">打</w:t>
      </w:r>
      <w:r>
        <w:rPr>
          <w:rFonts w:hint="eastAsia" w:cs="Verdana"/>
          <w:color w:val="auto"/>
          <w:sz w:val="24"/>
          <w:szCs w:val="24"/>
          <w:highlight w:val="none"/>
          <w:lang w:val="zh-CN"/>
        </w:rPr>
        <w:t xml:space="preserve">“√”</w:t>
      </w:r>
      <w:r>
        <w:rPr>
          <w:rFonts w:hint="eastAsia"/>
          <w:color w:val="auto"/>
          <w:sz w:val="24"/>
          <w:szCs w:val="24"/>
          <w:highlight w:val="none"/>
        </w:rPr>
        <w:t xml:space="preserve">）               </w:t>
      </w:r>
      <w:r/>
    </w:p>
    <w:p>
      <w:pPr>
        <w:ind w:firstLine="480"/>
        <w:jc w:val="left"/>
        <w:spacing w:line="360" w:lineRule="auto"/>
        <w:rPr>
          <w:rFonts w:ascii="宋体" w:hAnsi="宋体"/>
          <w:color w:val="auto"/>
          <w:sz w:val="24"/>
          <w:szCs w:val="21"/>
          <w:highlight w:val="none"/>
        </w:rPr>
      </w:pPr>
      <w:r>
        <w:rPr>
          <w:rFonts w:hint="eastAsia" w:ascii="宋体" w:hAnsi="宋体"/>
          <w:color w:val="auto"/>
          <w:szCs w:val="21"/>
          <w:highlight w:val="none"/>
        </w:rPr>
        <w:t xml:space="preserve">9.</w:t>
      </w:r>
      <w:r>
        <w:rPr>
          <w:rFonts w:hint="eastAsia" w:ascii="宋体" w:hAnsi="宋体"/>
          <w:color w:val="auto"/>
          <w:sz w:val="24"/>
          <w:szCs w:val="21"/>
          <w:highlight w:val="none"/>
        </w:rPr>
        <w:t xml:space="preserve">我方与本磋商有关的正式通讯地址为：</w:t>
      </w:r>
      <w:r/>
    </w:p>
    <w:p>
      <w:pPr>
        <w:pStyle w:val="901"/>
        <w:spacing w:before="0" w:after="0"/>
        <w:rPr>
          <w:rFonts w:ascii="宋体" w:hAnsi="宋体"/>
          <w:color w:val="auto"/>
          <w:szCs w:val="21"/>
          <w:highlight w:val="none"/>
        </w:rPr>
      </w:pPr>
      <w:r>
        <w:rPr>
          <w:rFonts w:hint="eastAsia" w:ascii="宋体" w:hAnsi="宋体"/>
          <w:color w:val="auto"/>
          <w:szCs w:val="21"/>
          <w:highlight w:val="none"/>
        </w:rPr>
        <w:t xml:space="preserve">地  址：</w:t>
      </w:r>
      <w:r/>
    </w:p>
    <w:p>
      <w:pPr>
        <w:pStyle w:val="901"/>
        <w:spacing w:before="0" w:after="0"/>
        <w:rPr>
          <w:rFonts w:ascii="宋体" w:hAnsi="宋体"/>
          <w:color w:val="auto"/>
          <w:szCs w:val="21"/>
          <w:highlight w:val="none"/>
        </w:rPr>
      </w:pPr>
      <w:r>
        <w:rPr>
          <w:rFonts w:hint="eastAsia" w:ascii="宋体" w:hAnsi="宋体"/>
          <w:color w:val="auto"/>
          <w:szCs w:val="21"/>
          <w:highlight w:val="none"/>
        </w:rPr>
        <w:t xml:space="preserve">邮  编：</w:t>
      </w:r>
      <w:r/>
    </w:p>
    <w:p>
      <w:pPr>
        <w:pStyle w:val="901"/>
        <w:spacing w:before="0" w:after="0"/>
        <w:rPr>
          <w:rFonts w:ascii="宋体" w:hAnsi="宋体"/>
          <w:color w:val="auto"/>
          <w:szCs w:val="21"/>
          <w:highlight w:val="none"/>
          <w:u w:val="single"/>
        </w:rPr>
      </w:pPr>
      <w:r>
        <w:rPr>
          <w:rFonts w:hint="eastAsia" w:ascii="宋体" w:hAnsi="宋体"/>
          <w:color w:val="auto"/>
          <w:szCs w:val="21"/>
          <w:highlight w:val="none"/>
        </w:rPr>
        <w:t xml:space="preserve">电  话：</w:t>
      </w:r>
      <w:r/>
    </w:p>
    <w:p>
      <w:pPr>
        <w:pStyle w:val="901"/>
        <w:spacing w:before="0" w:after="0"/>
        <w:rPr>
          <w:rFonts w:ascii="宋体" w:hAnsi="宋体"/>
          <w:color w:val="auto"/>
          <w:szCs w:val="21"/>
          <w:highlight w:val="none"/>
          <w:u w:val="single"/>
        </w:rPr>
      </w:pPr>
      <w:r>
        <w:rPr>
          <w:rFonts w:hint="eastAsia" w:ascii="宋体" w:hAnsi="宋体"/>
          <w:color w:val="auto"/>
          <w:szCs w:val="21"/>
          <w:highlight w:val="none"/>
        </w:rPr>
        <w:t xml:space="preserve">传  真：</w:t>
      </w:r>
      <w:r/>
    </w:p>
    <w:p>
      <w:pPr>
        <w:pStyle w:val="901"/>
        <w:spacing w:before="0" w:after="0"/>
        <w:rPr>
          <w:rFonts w:ascii="宋体" w:hAnsi="宋体"/>
          <w:color w:val="auto"/>
          <w:szCs w:val="21"/>
          <w:highlight w:val="none"/>
          <w:u w:val="single"/>
        </w:rPr>
      </w:pPr>
      <w:r>
        <w:rPr>
          <w:rFonts w:hint="eastAsia" w:ascii="宋体" w:hAnsi="宋体"/>
          <w:color w:val="auto"/>
          <w:szCs w:val="21"/>
          <w:highlight w:val="none"/>
        </w:rPr>
        <w:t xml:space="preserve">开户行：</w:t>
      </w:r>
      <w:r/>
    </w:p>
    <w:p>
      <w:pPr>
        <w:pStyle w:val="901"/>
        <w:spacing w:before="0" w:after="0"/>
        <w:rPr>
          <w:rFonts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pStyle w:val="901"/>
        <w:spacing w:before="0" w:after="0"/>
        <w:rPr>
          <w:rFonts w:ascii="宋体" w:hAnsi="宋体"/>
          <w:color w:val="auto"/>
          <w:szCs w:val="21"/>
          <w:highlight w:val="none"/>
        </w:rPr>
      </w:pPr>
      <w:r>
        <w:rPr>
          <w:rFonts w:hint="eastAsia" w:ascii="宋体" w:hAnsi="宋体"/>
          <w:color w:val="auto"/>
          <w:szCs w:val="21"/>
          <w:highlight w:val="none"/>
        </w:rPr>
        <w:t xml:space="preserve">日  期：</w:t>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五、磋商报价表</w:t>
      </w:r>
      <w:r/>
    </w:p>
    <w:p>
      <w:pPr>
        <w:jc w:val="center"/>
        <w:spacing w:line="48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磋商报价表</w:t>
      </w:r>
      <w:r/>
    </w:p>
    <w:p>
      <w:pPr>
        <w:rPr>
          <w:rFonts w:ascii="宋体" w:hAnsi="宋体"/>
          <w:color w:val="auto"/>
          <w:sz w:val="24"/>
          <w:szCs w:val="24"/>
          <w:highlight w:val="none"/>
        </w:rPr>
      </w:pPr>
      <w:r>
        <w:rPr>
          <w:rFonts w:hint="eastAsia" w:ascii="宋体" w:hAnsi="宋体"/>
          <w:color w:val="auto"/>
          <w:sz w:val="24"/>
          <w:szCs w:val="24"/>
          <w:highlight w:val="none"/>
        </w:rPr>
        <w:t xml:space="preserve">供应商名称：（加盖电子公章） </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项目编号：                                   采购包号：                                 </w:t>
      </w:r>
      <w:r/>
    </w:p>
    <w:tbl>
      <w:tblPr>
        <w:tblStyle w:val="667"/>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总报价</w:t>
            </w:r>
            <w:r/>
          </w:p>
        </w:tc>
      </w:tr>
      <w:tr>
        <w:trPr>
          <w:cantSplit/>
          <w:trHeight w:val="780"/>
        </w:trPr>
        <w:tc>
          <w:tcPr>
            <w:tcW w:w="9748" w:type="dxa"/>
            <w:vAlign w:val="center"/>
            <w:textDirection w:val="lrTb"/>
            <w:noWrap w:val="false"/>
          </w:tcPr>
          <w:p>
            <w:pPr>
              <w:pStyle w:val="901"/>
              <w:ind w:firstLine="0"/>
              <w:spacing w:before="0" w:after="0" w:line="480" w:lineRule="auto"/>
              <w:rPr>
                <w:rFonts w:ascii="宋体" w:hAnsi="宋体"/>
                <w:color w:val="auto"/>
                <w:szCs w:val="21"/>
                <w:highlight w:val="none"/>
              </w:rPr>
            </w:pPr>
            <w:r>
              <w:rPr>
                <w:rFonts w:hint="eastAsia" w:ascii="宋体" w:hAnsi="宋体" w:cs="宋体"/>
                <w:color w:val="auto"/>
                <w:highlight w:val="none"/>
              </w:rPr>
              <w:t xml:space="preserve">小写（元）：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spacing w:line="480" w:lineRule="auto"/>
        <w:rPr>
          <w:rFonts w:ascii="黑体" w:hAnsi="黑体" w:eastAsia="黑体"/>
          <w:b/>
          <w:i/>
          <w:color w:val="auto"/>
          <w:sz w:val="32"/>
          <w:szCs w:val="32"/>
          <w:highlight w:val="none"/>
          <w:u w:val="single"/>
        </w:rPr>
      </w:pPr>
      <w:r>
        <w:rPr>
          <w:rFonts w:hint="eastAsia" w:ascii="宋体" w:hAnsi="宋体"/>
          <w:color w:val="auto"/>
          <w:sz w:val="24"/>
          <w:szCs w:val="24"/>
          <w:highlight w:val="none"/>
        </w:rPr>
        <w:t xml:space="preserve">                                              日  期：</w:t>
      </w:r>
      <w:r/>
    </w:p>
    <w:p>
      <w:pPr>
        <w:ind w:firstLine="480"/>
        <w:rPr>
          <w:rFonts w:ascii="黑体" w:hAnsi="黑体" w:eastAsia="黑体"/>
          <w:b/>
          <w:i/>
          <w:color w:val="auto"/>
          <w:sz w:val="32"/>
          <w:szCs w:val="32"/>
          <w:highlight w:val="none"/>
          <w:u w:val="single"/>
        </w:rPr>
      </w:pPr>
      <w:r>
        <w:rPr>
          <w:rFonts w:ascii="黑体" w:hAnsi="黑体" w:eastAsia="黑体"/>
          <w:b/>
          <w:i/>
          <w:color w:val="auto"/>
          <w:sz w:val="32"/>
          <w:szCs w:val="32"/>
          <w:highlight w:val="none"/>
          <w:u w:val="single"/>
        </w:rPr>
      </w:r>
      <w:r/>
    </w:p>
    <w:p>
      <w:pPr>
        <w:spacing w:line="480" w:lineRule="exact"/>
        <w:rPr>
          <w:rFonts w:ascii="宋体" w:hAnsi="宋体"/>
          <w:b/>
          <w:bCs/>
          <w:color w:val="auto"/>
          <w:sz w:val="24"/>
          <w:szCs w:val="24"/>
          <w:highlight w:val="none"/>
        </w:rPr>
      </w:pPr>
      <w:r>
        <w:rPr>
          <w:rFonts w:ascii="宋体" w:hAnsi="宋体"/>
          <w:b/>
          <w:bCs/>
          <w:color w:val="auto"/>
          <w:sz w:val="24"/>
          <w:szCs w:val="24"/>
          <w:highlight w:val="none"/>
        </w:rPr>
      </w:r>
      <w:r/>
    </w:p>
    <w:p>
      <w:pPr>
        <w:spacing w:line="480" w:lineRule="exact"/>
        <w:rPr>
          <w:rFonts w:ascii="宋体" w:hAnsi="宋体"/>
          <w:b/>
          <w:bCs/>
          <w:color w:val="auto"/>
          <w:sz w:val="24"/>
          <w:szCs w:val="24"/>
          <w:highlight w:val="none"/>
        </w:rPr>
      </w:pPr>
      <w:r>
        <w:rPr>
          <w:rFonts w:ascii="宋体" w:hAnsi="宋体"/>
          <w:b/>
          <w:bCs/>
          <w:color w:val="auto"/>
          <w:sz w:val="24"/>
          <w:szCs w:val="24"/>
          <w:highlight w:val="none"/>
        </w:rPr>
      </w:r>
      <w:r/>
    </w:p>
    <w:p>
      <w:pPr>
        <w:spacing w:line="480" w:lineRule="exact"/>
        <w:rPr>
          <w:rFonts w:ascii="宋体" w:hAnsi="宋体"/>
          <w:b/>
          <w:bCs/>
          <w:color w:val="auto"/>
          <w:sz w:val="24"/>
          <w:szCs w:val="24"/>
          <w:highlight w:val="none"/>
        </w:rPr>
      </w:pPr>
      <w:r>
        <w:rPr>
          <w:rFonts w:ascii="宋体" w:hAnsi="宋体"/>
          <w:b/>
          <w:bCs/>
          <w:color w:val="auto"/>
          <w:sz w:val="24"/>
          <w:szCs w:val="24"/>
          <w:highlight w:val="none"/>
        </w:rPr>
      </w:r>
      <w:r/>
    </w:p>
    <w:p>
      <w:pPr>
        <w:spacing w:line="480" w:lineRule="exact"/>
        <w:rPr>
          <w:rFonts w:ascii="宋体" w:hAnsi="宋体"/>
          <w:b/>
          <w:bCs/>
          <w:color w:val="auto"/>
          <w:sz w:val="24"/>
          <w:szCs w:val="24"/>
          <w:highlight w:val="none"/>
        </w:rPr>
      </w:pPr>
      <w:r>
        <w:rPr>
          <w:rFonts w:ascii="宋体" w:hAnsi="宋体"/>
          <w:b/>
          <w:bCs/>
          <w:color w:val="auto"/>
          <w:sz w:val="24"/>
          <w:szCs w:val="24"/>
          <w:highlight w:val="none"/>
        </w:rPr>
      </w:r>
      <w:r/>
    </w:p>
    <w:p>
      <w:pPr>
        <w:spacing w:line="480" w:lineRule="exact"/>
        <w:rPr>
          <w:rFonts w:ascii="宋体" w:hAnsi="宋体"/>
          <w:b/>
          <w:bCs/>
          <w:color w:val="auto"/>
          <w:sz w:val="24"/>
          <w:szCs w:val="24"/>
          <w:highlight w:val="none"/>
        </w:rPr>
      </w:pPr>
      <w:r>
        <w:rPr>
          <w:rFonts w:ascii="宋体" w:hAnsi="宋体"/>
          <w:b/>
          <w:bCs/>
          <w:color w:val="auto"/>
          <w:sz w:val="24"/>
          <w:szCs w:val="24"/>
          <w:highlight w:val="none"/>
        </w:rPr>
      </w:r>
      <w:r/>
    </w:p>
    <w:p>
      <w:pPr>
        <w:pStyle w:val="706"/>
        <w:ind w:firstLine="0"/>
        <w:rPr>
          <w:color w:val="auto"/>
          <w:highlight w:val="none"/>
        </w:rPr>
      </w:pPr>
      <w:r>
        <w:rPr>
          <w:color w:val="auto"/>
          <w:highlight w:val="none"/>
        </w:rPr>
      </w:r>
      <w:r/>
    </w:p>
    <w:p>
      <w:pPr>
        <w:pStyle w:val="862"/>
        <w:rPr>
          <w:rFonts w:ascii="黑体" w:hAnsi="黑体" w:eastAsia="黑体"/>
          <w:b/>
          <w:i/>
          <w:color w:val="auto"/>
          <w:sz w:val="32"/>
          <w:szCs w:val="32"/>
          <w:highlight w:val="none"/>
          <w:u w:val="single"/>
        </w:rPr>
      </w:pPr>
      <w:r>
        <w:rPr>
          <w:rFonts w:ascii="黑体" w:hAnsi="黑体" w:eastAsia="黑体"/>
          <w:b/>
          <w:i/>
          <w:color w:val="auto"/>
          <w:sz w:val="32"/>
          <w:szCs w:val="32"/>
          <w:highlight w:val="none"/>
          <w:u w:val="single"/>
        </w:rPr>
      </w:r>
      <w:r/>
    </w:p>
    <w:p>
      <w:pPr>
        <w:rPr>
          <w:color w:val="auto"/>
          <w:highlight w:val="none"/>
        </w:rPr>
      </w:pPr>
      <w:r>
        <w:rPr>
          <w:color w:val="auto"/>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pStyle w:val="862"/>
        <w:rPr>
          <w:rFonts w:ascii="黑体" w:hAnsi="黑体" w:eastAsia="黑体" w:cs="Times New Roman"/>
          <w:color w:val="auto"/>
          <w:sz w:val="32"/>
          <w:szCs w:val="32"/>
          <w:highlight w:val="none"/>
          <w:lang w:val="en-US"/>
        </w:rPr>
      </w:pPr>
      <w:r>
        <w:rPr>
          <w:rFonts w:ascii="黑体" w:hAnsi="黑体" w:eastAsia="黑体" w:cs="Times New Roman"/>
          <w:color w:val="auto"/>
          <w:sz w:val="32"/>
          <w:szCs w:val="32"/>
          <w:highlight w:val="none"/>
          <w:lang w:val="en-US"/>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t xml:space="preserve">六、分项报价表</w:t>
      </w:r>
      <w:r/>
    </w:p>
    <w:p>
      <w:pPr>
        <w:jc w:val="center"/>
        <w:spacing w:line="36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分项报价表</w:t>
      </w:r>
      <w:r/>
    </w:p>
    <w:p>
      <w:pPr>
        <w:rPr>
          <w:color w:val="auto"/>
          <w:sz w:val="24"/>
          <w:szCs w:val="24"/>
          <w:highlight w:val="none"/>
        </w:rPr>
      </w:pPr>
      <w:r>
        <w:rPr>
          <w:rFonts w:hint="eastAsia" w:ascii="宋体" w:hAnsi="宋体"/>
          <w:color w:val="auto"/>
          <w:sz w:val="24"/>
          <w:szCs w:val="24"/>
          <w:highlight w:val="none"/>
        </w:rPr>
        <w:t xml:space="preserve">项目名称：</w:t>
      </w:r>
      <w:r/>
    </w:p>
    <w:p>
      <w:pPr>
        <w:rPr>
          <w:color w:val="auto"/>
          <w:highlight w:val="none"/>
        </w:rPr>
      </w:pPr>
      <w:r>
        <w:rPr>
          <w:rFonts w:hint="eastAsia" w:ascii="宋体" w:hAnsi="宋体"/>
          <w:color w:val="auto"/>
          <w:sz w:val="24"/>
          <w:szCs w:val="24"/>
          <w:highlight w:val="none"/>
        </w:rPr>
        <w:t xml:space="preserve">项目编号：                                   采购包号：</w:t>
      </w:r>
      <w:r/>
    </w:p>
    <w:tbl>
      <w:tblPr>
        <w:tblStyle w:val="667"/>
        <w:tblW w:w="9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062"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45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15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35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32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69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6</w:t>
            </w:r>
            <w:r/>
          </w:p>
        </w:tc>
      </w:tr>
      <w:tr>
        <w:trPr>
          <w:cantSplit/>
          <w:trHeight w:val="570"/>
        </w:trPr>
        <w:tc>
          <w:tcPr>
            <w:tcW w:w="581" w:type="dxa"/>
            <w:vAlign w:val="center"/>
            <w:vMerge w:val="continue"/>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2062"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分项名称</w:t>
            </w:r>
            <w:r/>
          </w:p>
        </w:tc>
        <w:tc>
          <w:tcPr>
            <w:tcW w:w="145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交付期（天）</w:t>
            </w:r>
            <w:r/>
          </w:p>
        </w:tc>
        <w:tc>
          <w:tcPr>
            <w:tcW w:w="115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135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W w:w="1320" w:type="dxa"/>
            <w:vAlign w:val="center"/>
            <w:textDirection w:val="lrTb"/>
            <w:noWrap w:val="false"/>
          </w:tcPr>
          <w:p>
            <w:pPr>
              <w:jc w:val="center"/>
              <w:spacing w:line="0" w:lineRule="atLeast"/>
              <w:rPr>
                <w:color w:val="auto"/>
                <w:highlight w:val="none"/>
              </w:rPr>
            </w:pPr>
            <w:r>
              <w:rPr>
                <w:rFonts w:hint="eastAsia" w:ascii="宋体" w:hAnsi="宋体"/>
                <w:color w:val="auto"/>
                <w:sz w:val="24"/>
                <w:szCs w:val="24"/>
                <w:highlight w:val="none"/>
              </w:rPr>
              <w:t xml:space="preserve">单价（元）</w:t>
            </w:r>
            <w:r/>
          </w:p>
        </w:tc>
        <w:tc>
          <w:tcPr>
            <w:tcW w:w="169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062"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5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15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5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2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69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062"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5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15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5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2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69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2062"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5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15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5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2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69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2062"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总报价（元）</w:t>
            </w:r>
            <w:r/>
          </w:p>
        </w:tc>
        <w:tc>
          <w:tcPr>
            <w:gridSpan w:val="5"/>
            <w:tcW w:w="697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gridSpan w:val="7"/>
            <w:tcW w:w="9618" w:type="dxa"/>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b/>
                <w:bCs/>
                <w:color w:val="auto"/>
                <w:sz w:val="24"/>
                <w:szCs w:val="24"/>
                <w:highlight w:val="none"/>
              </w:rPr>
              <w:t xml:space="preserve">本采购包中本公司（单位）提供的符合本国产品标准的产品成本之和 </w:t>
            </w:r>
            <w:r>
              <w:rPr>
                <w:rFonts w:ascii="Wingdings" w:hAnsi="Wingdings" w:eastAsia="Wingdings" w:cs="Wingdings"/>
                <w:b/>
                <w:bCs/>
                <w:color w:val="auto"/>
                <w:sz w:val="24"/>
                <w:szCs w:val="24"/>
                <w:highlight w:val="none"/>
                <w:u w:val="single"/>
              </w:rPr>
              <w:t xml:space="preserve">¨</w:t>
            </w:r>
            <w:r>
              <w:rPr>
                <w:rFonts w:hint="eastAsia" w:ascii="宋体" w:hAnsi="宋体"/>
                <w:b/>
                <w:bCs/>
                <w:color w:val="auto"/>
                <w:sz w:val="24"/>
                <w:szCs w:val="24"/>
                <w:highlight w:val="none"/>
                <w:u w:val="single"/>
              </w:rPr>
              <w:t xml:space="preserve">是 </w:t>
            </w:r>
            <w:r>
              <w:rPr>
                <w:rFonts w:ascii="Wingdings" w:hAnsi="Wingdings" w:eastAsia="Wingdings" w:cs="Wingdings"/>
                <w:b/>
                <w:bCs/>
                <w:color w:val="auto"/>
                <w:sz w:val="24"/>
                <w:szCs w:val="24"/>
                <w:highlight w:val="none"/>
                <w:u w:val="single"/>
              </w:rPr>
              <w:t xml:space="preserve">¨</w:t>
            </w:r>
            <w:r>
              <w:rPr>
                <w:rFonts w:hint="eastAsia" w:ascii="宋体" w:hAnsi="宋体"/>
                <w:b/>
                <w:bCs/>
                <w:color w:val="auto"/>
                <w:sz w:val="24"/>
                <w:szCs w:val="24"/>
                <w:highlight w:val="none"/>
                <w:u w:val="single"/>
              </w:rPr>
              <w:t xml:space="preserve">否 </w:t>
            </w:r>
            <w:r>
              <w:rPr>
                <w:rFonts w:hint="eastAsia" w:ascii="宋体" w:hAnsi="宋体"/>
                <w:b/>
                <w:bCs/>
                <w:color w:val="auto"/>
                <w:sz w:val="24"/>
                <w:szCs w:val="24"/>
                <w:highlight w:val="none"/>
              </w:rPr>
              <w:t xml:space="preserve">达到提供的全部产品成本之和的80%以上。</w:t>
            </w:r>
            <w:r/>
          </w:p>
        </w:tc>
      </w:tr>
    </w:tbl>
    <w:p>
      <w:pPr>
        <w:pStyle w:val="701"/>
        <w:jc w:val="both"/>
        <w:spacing w:before="0" w:beforeAutospacing="0" w:after="0" w:afterAutospacing="0"/>
        <w:rPr>
          <w:color w:val="auto"/>
          <w:highlight w:val="none"/>
        </w:rPr>
      </w:pPr>
      <w:r>
        <w:rPr>
          <w:color w:val="auto"/>
          <w:highlight w:val="none"/>
        </w:rPr>
      </w:r>
      <w:r/>
    </w:p>
    <w:p>
      <w:pPr>
        <w:ind w:right="18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spacing w:line="360" w:lineRule="auto"/>
        <w:rPr>
          <w:rFonts w:ascii="宋体" w:hAnsi="宋体"/>
          <w:color w:val="auto"/>
          <w:sz w:val="24"/>
          <w:highlight w:val="none"/>
        </w:rPr>
      </w:pPr>
      <w:r>
        <w:rPr>
          <w:rFonts w:ascii="宋体" w:hAnsi="宋体"/>
          <w:color w:val="auto"/>
          <w:sz w:val="24"/>
          <w:highlight w:val="none"/>
        </w:rPr>
      </w:r>
      <w:r/>
    </w:p>
    <w:p>
      <w:pPr>
        <w:pStyle w:val="701"/>
        <w:ind w:firstLine="480"/>
        <w:jc w:val="both"/>
        <w:spacing w:before="0" w:beforeAutospacing="0" w:after="0" w:afterAutospacing="0" w:line="360" w:lineRule="auto"/>
        <w:rPr>
          <w:color w:val="auto"/>
          <w:highlight w:val="none"/>
        </w:rPr>
      </w:pPr>
      <w:r>
        <w:rPr>
          <w:color w:val="auto"/>
          <w:highlight w:val="none"/>
        </w:rPr>
        <w:t xml:space="preserve">备注： </w:t>
      </w:r>
      <w:r/>
    </w:p>
    <w:p>
      <w:pPr>
        <w:pStyle w:val="701"/>
        <w:ind w:firstLine="480"/>
        <w:jc w:val="both"/>
        <w:spacing w:before="0" w:beforeAutospacing="0" w:after="0" w:afterAutospacing="0" w:line="360" w:lineRule="auto"/>
        <w:rPr>
          <w:color w:val="auto"/>
          <w:highlight w:val="none"/>
        </w:rPr>
      </w:pPr>
      <w:r>
        <w:rPr>
          <w:rFonts w:hint="eastAsia"/>
          <w:color w:val="auto"/>
          <w:highlight w:val="none"/>
        </w:rPr>
        <w:t xml:space="preserve">1.“总报价”应包括为完成整个项目所产生的所有费用，采购文件另有规定的除外。</w:t>
      </w:r>
      <w:r/>
    </w:p>
    <w:p>
      <w:pPr>
        <w:pStyle w:val="701"/>
        <w:ind w:firstLine="480"/>
        <w:jc w:val="both"/>
        <w:spacing w:before="0" w:beforeAutospacing="0" w:after="0" w:afterAutospacing="0" w:line="360" w:lineRule="auto"/>
        <w:rPr>
          <w:color w:val="auto"/>
          <w:highlight w:val="none"/>
        </w:rPr>
      </w:pPr>
      <w:r>
        <w:rPr>
          <w:rFonts w:hint="eastAsia"/>
          <w:color w:val="auto"/>
          <w:highlight w:val="none"/>
        </w:rPr>
        <w:t xml:space="preserve">2.《分项报价表》中“总报价”应当与《磋商报价表》中“总报价”一致。</w:t>
      </w:r>
      <w:r/>
    </w:p>
    <w:p>
      <w:pPr>
        <w:pStyle w:val="701"/>
        <w:ind w:firstLine="480"/>
        <w:jc w:val="both"/>
        <w:spacing w:before="0" w:beforeAutospacing="0" w:after="0" w:afterAutospacing="0" w:line="360" w:lineRule="auto"/>
        <w:rPr>
          <w:color w:val="auto"/>
          <w:highlight w:val="none"/>
        </w:rPr>
      </w:pPr>
      <w:r>
        <w:rPr>
          <w:rFonts w:hint="eastAsia"/>
          <w:color w:val="auto"/>
          <w:highlight w:val="none"/>
        </w:rPr>
        <w:t xml:space="preserve">3.《分项报价表》中的分项名称须与“第四章-项目清单”中的名称一一对应，如有缺项、漏项或者超出单价上限的，视为无效响应。“项目清单”中分项仅为一项的，此表无需提供。</w:t>
      </w:r>
      <w:r/>
    </w:p>
    <w:p>
      <w:pPr>
        <w:pStyle w:val="701"/>
        <w:ind w:firstLine="480"/>
        <w:jc w:val="both"/>
        <w:spacing w:before="0" w:beforeAutospacing="0" w:after="0" w:afterAutospacing="0" w:line="360" w:lineRule="auto"/>
        <w:rPr>
          <w:color w:val="auto"/>
          <w:highlight w:val="none"/>
        </w:rPr>
      </w:pPr>
      <w:r>
        <w:rPr>
          <w:rFonts w:hint="eastAsia"/>
          <w:color w:val="auto"/>
          <w:highlight w:val="none"/>
        </w:rPr>
        <w:t xml:space="preserve">4.行数不够，可自行添加。</w:t>
      </w:r>
      <w:r/>
    </w:p>
    <w:p>
      <w:pPr>
        <w:pStyle w:val="701"/>
        <w:ind w:firstLine="482"/>
        <w:jc w:val="both"/>
        <w:spacing w:before="0" w:beforeAutospacing="0" w:after="0" w:afterAutospacing="0" w:line="360" w:lineRule="auto"/>
        <w:rPr>
          <w:b/>
          <w:bCs/>
          <w:color w:val="auto"/>
          <w:highlight w:val="none"/>
        </w:rPr>
      </w:pPr>
      <w:r>
        <w:rPr>
          <w:rFonts w:hint="eastAsia"/>
          <w:b/>
          <w:bCs/>
          <w:color w:val="auto"/>
          <w:highlight w:val="none"/>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701"/>
        <w:ind w:firstLine="480"/>
        <w:jc w:val="both"/>
        <w:spacing w:before="0" w:beforeAutospacing="0" w:after="0" w:afterAutospacing="0" w:line="360" w:lineRule="auto"/>
        <w:rPr>
          <w:color w:val="auto"/>
          <w:highlight w:val="none"/>
        </w:rPr>
      </w:pPr>
      <w:r>
        <w:rPr>
          <w:color w:val="auto"/>
          <w:highlight w:val="none"/>
        </w:rPr>
      </w:r>
      <w:r/>
    </w:p>
    <w:p>
      <w:pPr>
        <w:rPr>
          <w:rFonts w:ascii="黑体" w:hAnsi="黑体" w:eastAsia="黑体"/>
          <w:iCs/>
          <w:color w:val="auto"/>
          <w:sz w:val="32"/>
          <w:szCs w:val="32"/>
          <w:highlight w:val="none"/>
        </w:rPr>
      </w:pPr>
      <w:r>
        <w:rPr>
          <w:rFonts w:hint="eastAsia" w:ascii="黑体" w:hAnsi="黑体" w:eastAsia="黑体"/>
          <w:i/>
          <w:color w:val="auto"/>
          <w:sz w:val="32"/>
          <w:szCs w:val="32"/>
          <w:highlight w:val="none"/>
          <w:u w:val="single"/>
        </w:rPr>
        <w:br w:type="page" w:clear="all"/>
      </w:r>
      <w:bookmarkEnd w:id="17"/>
      <w:r/>
      <w:bookmarkEnd w:id="18"/>
      <w:r/>
      <w:bookmarkEnd w:id="28"/>
      <w:r>
        <w:rPr>
          <w:rFonts w:hint="eastAsia" w:ascii="黑体" w:hAnsi="黑体" w:eastAsia="黑体"/>
          <w:iCs/>
          <w:color w:val="auto"/>
          <w:sz w:val="32"/>
          <w:szCs w:val="32"/>
          <w:highlight w:val="none"/>
        </w:rPr>
        <w:t xml:space="preserve">七、技术要求响应及偏离表</w:t>
      </w:r>
      <w:r/>
    </w:p>
    <w:p>
      <w:pPr>
        <w:jc w:val="center"/>
        <w:spacing w:line="36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技术要求响应及偏离表</w:t>
      </w:r>
      <w:r/>
    </w:p>
    <w:tbl>
      <w:tblPr>
        <w:tblStyle w:val="6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W w:w="283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65" w:type="dxa"/>
            <w:vAlign w:val="center"/>
            <w:textDirection w:val="lrTb"/>
            <w:noWrap w:val="false"/>
          </w:tcPr>
          <w:p>
            <w:pPr>
              <w:jc w:val="center"/>
              <w:rPr>
                <w:rFonts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pStyle w:val="701"/>
        <w:jc w:val="both"/>
        <w:spacing w:before="0" w:beforeAutospacing="0" w:after="0" w:afterAutospacing="0"/>
        <w:rPr>
          <w:color w:val="auto"/>
          <w:highlight w:val="none"/>
        </w:rPr>
      </w:pPr>
      <w:r>
        <w:rPr>
          <w:color w:val="auto"/>
          <w:highlight w:val="none"/>
        </w:rPr>
      </w:r>
      <w:r/>
    </w:p>
    <w:p>
      <w:pPr>
        <w:ind w:right="18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rPr>
          <w:rFonts w:ascii="宋体" w:hAnsi="宋体"/>
          <w:color w:val="auto"/>
          <w:sz w:val="24"/>
          <w:szCs w:val="24"/>
          <w:highlight w:val="none"/>
        </w:rPr>
      </w:pPr>
      <w:r>
        <w:rPr>
          <w:rFonts w:ascii="宋体" w:hAnsi="宋体"/>
          <w:color w:val="auto"/>
          <w:sz w:val="24"/>
          <w:szCs w:val="24"/>
          <w:highlight w:val="none"/>
        </w:rPr>
      </w:r>
      <w:r/>
    </w:p>
    <w:p>
      <w:pPr>
        <w:pStyle w:val="701"/>
        <w:ind w:firstLine="480"/>
        <w:jc w:val="both"/>
        <w:spacing w:before="0" w:beforeAutospacing="0" w:after="0" w:afterAutospacing="0" w:line="360" w:lineRule="auto"/>
        <w:rPr>
          <w:color w:val="auto"/>
          <w:highlight w:val="none"/>
        </w:rPr>
      </w:pPr>
      <w:r>
        <w:rPr>
          <w:color w:val="auto"/>
          <w:highlight w:val="none"/>
        </w:rPr>
        <w:t xml:space="preserve">备注： </w:t>
      </w:r>
      <w:r/>
    </w:p>
    <w:p>
      <w:pPr>
        <w:pStyle w:val="701"/>
        <w:ind w:firstLine="480"/>
        <w:jc w:val="both"/>
        <w:spacing w:before="0" w:beforeAutospacing="0" w:after="0" w:afterAutospacing="0" w:line="360" w:lineRule="auto"/>
        <w:rPr>
          <w:color w:val="auto"/>
          <w:highlight w:val="none"/>
        </w:rPr>
      </w:pPr>
      <w:r>
        <w:rPr>
          <w:rFonts w:hint="eastAsia"/>
          <w:color w:val="auto"/>
          <w:highlight w:val="none"/>
        </w:rPr>
        <w:t xml:space="preserve">1.供应商须对磋商文件技术要求中的实质性要求（斜体下划线内容或打“★”内容）及其他要求做出明确响应，否则视为无效响应。</w:t>
      </w:r>
      <w:r/>
    </w:p>
    <w:p>
      <w:pPr>
        <w:pStyle w:val="701"/>
        <w:ind w:firstLine="480"/>
        <w:jc w:val="both"/>
        <w:spacing w:before="0" w:beforeAutospacing="0" w:after="0" w:afterAutospacing="0" w:line="360" w:lineRule="auto"/>
        <w:rPr>
          <w:color w:val="auto"/>
          <w:highlight w:val="none"/>
        </w:rPr>
      </w:pPr>
      <w:r>
        <w:rPr>
          <w:rFonts w:hint="eastAsia"/>
          <w:color w:val="auto"/>
          <w:highlight w:val="none"/>
        </w:rPr>
        <w:t xml:space="preserve">2.技术要求中实质性要求及其他要求明确需要提供证明材料的，签订合同时成交供应商应按采购文件要求和响应文件响应内容提供相应证明材料供采购人核验（如：白皮书、彩页、手册、网站截图、检测报告等），另有约定的除外。成交供应商未按采购文件要求和响应文件响应内容提供或者提供的证明材料不符合要求的，视为提供虚假材料谋取成交，采购人将取消其成交资格。</w:t>
      </w:r>
      <w:r/>
    </w:p>
    <w:p>
      <w:pPr>
        <w:pStyle w:val="701"/>
        <w:ind w:firstLine="480"/>
        <w:jc w:val="both"/>
        <w:spacing w:before="0" w:beforeAutospacing="0" w:after="0" w:afterAutospacing="0" w:line="360" w:lineRule="auto"/>
        <w:rPr>
          <w:color w:val="auto"/>
          <w:highlight w:val="none"/>
        </w:rPr>
      </w:pPr>
      <w:r>
        <w:rPr>
          <w:rFonts w:hint="eastAsia"/>
          <w:color w:val="auto"/>
          <w:highlight w:val="none"/>
        </w:rPr>
        <w:t xml:space="preserve">3.行数不够，可自行添加。</w:t>
      </w:r>
      <w:r/>
    </w:p>
    <w:p>
      <w:pPr>
        <w:jc w:val="center"/>
        <w:rPr>
          <w:rFonts w:ascii="黑体" w:hAnsi="Arial" w:eastAsia="黑体"/>
          <w:b/>
          <w:color w:val="auto"/>
          <w:sz w:val="36"/>
          <w:szCs w:val="21"/>
          <w:highlight w:val="none"/>
        </w:rPr>
      </w:pPr>
      <w:r>
        <w:rPr>
          <w:rFonts w:ascii="黑体" w:hAnsi="Arial" w:eastAsia="黑体"/>
          <w:b/>
          <w:color w:val="auto"/>
          <w:sz w:val="36"/>
          <w:szCs w:val="21"/>
          <w:highlight w:val="none"/>
        </w:rPr>
      </w:r>
      <w:r/>
    </w:p>
    <w:p>
      <w:pPr>
        <w:rPr>
          <w:rFonts w:ascii="黑体" w:hAnsi="黑体" w:eastAsia="黑体"/>
          <w:iCs/>
          <w:color w:val="auto"/>
          <w:sz w:val="32"/>
          <w:szCs w:val="32"/>
          <w:highlight w:val="none"/>
        </w:rPr>
      </w:pPr>
      <w:r/>
      <w:bookmarkStart w:id="32" w:name="_Hlt26955054"/>
      <w:r/>
      <w:bookmarkEnd w:id="32"/>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t xml:space="preserve">八、商务要求响应及偏离表</w:t>
      </w:r>
      <w:r/>
    </w:p>
    <w:p>
      <w:pPr>
        <w:jc w:val="center"/>
        <w:spacing w:line="36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商务要求响应及偏离表</w:t>
      </w:r>
      <w:r/>
    </w:p>
    <w:tbl>
      <w:tblPr>
        <w:tblStyle w:val="6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ascii="宋体" w:hAnsi="宋体"/>
                <w:color w:val="auto"/>
                <w:sz w:val="24"/>
                <w:szCs w:val="24"/>
                <w:highlight w:val="none"/>
              </w:rPr>
            </w:pPr>
            <w:r/>
            <w:bookmarkStart w:id="33" w:name="_Hlt26671343"/>
            <w:r/>
            <w:bookmarkEnd w:id="33"/>
            <w:r/>
            <w:bookmarkStart w:id="34" w:name="_Hlt26782999"/>
            <w:r/>
            <w:bookmarkEnd w:id="34"/>
            <w:r/>
            <w:bookmarkStart w:id="35" w:name="_Hlt26955056"/>
            <w:r/>
            <w:bookmarkEnd w:id="35"/>
            <w:r/>
            <w:bookmarkStart w:id="36" w:name="_Hlt26955064"/>
            <w:r/>
            <w:bookmarkEnd w:id="36"/>
            <w:r/>
            <w:bookmarkStart w:id="37" w:name="_Hlt26580838"/>
            <w:r/>
            <w:bookmarkEnd w:id="37"/>
            <w:r/>
            <w:bookmarkStart w:id="38" w:name="_Hlt26609391"/>
            <w:r/>
            <w:bookmarkEnd w:id="38"/>
            <w:r/>
            <w:bookmarkStart w:id="39" w:name="_Hlt26671372"/>
            <w:r/>
            <w:bookmarkEnd w:id="39"/>
            <w:r/>
            <w:bookmarkStart w:id="40" w:name="_Hlt24879081"/>
            <w:r/>
            <w:bookmarkEnd w:id="40"/>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W w:w="283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45" w:type="dxa"/>
            <w:vAlign w:val="center"/>
            <w:textDirection w:val="lrTb"/>
            <w:noWrap w:val="false"/>
          </w:tcPr>
          <w:p>
            <w:pPr>
              <w:jc w:val="center"/>
              <w:rPr>
                <w:rFonts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pStyle w:val="701"/>
        <w:jc w:val="both"/>
        <w:spacing w:before="0" w:beforeAutospacing="0" w:after="0" w:afterAutospacing="0"/>
        <w:rPr>
          <w:color w:val="auto"/>
          <w:highlight w:val="none"/>
        </w:rPr>
      </w:pPr>
      <w:r>
        <w:rPr>
          <w:color w:val="auto"/>
          <w:highlight w:val="none"/>
        </w:rPr>
      </w:r>
      <w:r/>
    </w:p>
    <w:p>
      <w:pPr>
        <w:ind w:right="18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rPr>
          <w:rFonts w:ascii="宋体" w:hAnsi="宋体"/>
          <w:color w:val="auto"/>
          <w:sz w:val="24"/>
          <w:szCs w:val="24"/>
          <w:highlight w:val="none"/>
        </w:rPr>
      </w:pPr>
      <w:r>
        <w:rPr>
          <w:rFonts w:ascii="宋体" w:hAnsi="宋体"/>
          <w:color w:val="auto"/>
          <w:sz w:val="24"/>
          <w:szCs w:val="24"/>
          <w:highlight w:val="none"/>
        </w:rPr>
      </w:r>
      <w:r/>
    </w:p>
    <w:p>
      <w:pPr>
        <w:pStyle w:val="701"/>
        <w:ind w:firstLine="480"/>
        <w:jc w:val="both"/>
        <w:spacing w:before="0" w:beforeAutospacing="0" w:after="0" w:afterAutospacing="0" w:line="360" w:lineRule="auto"/>
        <w:rPr>
          <w:color w:val="auto"/>
          <w:highlight w:val="none"/>
        </w:rPr>
      </w:pPr>
      <w:r>
        <w:rPr>
          <w:rFonts w:hint="eastAsia"/>
          <w:color w:val="auto"/>
          <w:highlight w:val="none"/>
        </w:rPr>
        <w:t xml:space="preserve">备注： </w:t>
      </w:r>
      <w:r/>
    </w:p>
    <w:p>
      <w:pPr>
        <w:pStyle w:val="701"/>
        <w:ind w:firstLine="480"/>
        <w:jc w:val="both"/>
        <w:spacing w:before="0" w:beforeAutospacing="0" w:after="0" w:afterAutospacing="0" w:line="360" w:lineRule="auto"/>
        <w:rPr>
          <w:color w:val="auto"/>
          <w:highlight w:val="none"/>
        </w:rPr>
      </w:pPr>
      <w:r>
        <w:rPr>
          <w:rFonts w:hint="eastAsia"/>
          <w:color w:val="auto"/>
          <w:highlight w:val="none"/>
        </w:rPr>
        <w:t xml:space="preserve">1.供应商须对磋商文件商务要求中的实质性要求（斜体下划线内容或打“★”内容）做出明确响应，否则视为无效响应。</w:t>
      </w:r>
      <w:r/>
    </w:p>
    <w:p>
      <w:pPr>
        <w:pStyle w:val="701"/>
        <w:ind w:firstLine="480"/>
        <w:jc w:val="both"/>
        <w:spacing w:before="0" w:beforeAutospacing="0" w:after="0" w:afterAutospacing="0" w:line="360" w:lineRule="auto"/>
        <w:rPr>
          <w:color w:val="auto"/>
          <w:highlight w:val="none"/>
        </w:rPr>
      </w:pPr>
      <w:r>
        <w:rPr>
          <w:rFonts w:hint="eastAsia"/>
          <w:color w:val="auto"/>
          <w:highlight w:val="none"/>
        </w:rPr>
        <w:t xml:space="preserve">2.行数不够，可自行添加。</w:t>
      </w:r>
      <w:r/>
    </w:p>
    <w:p>
      <w:pPr>
        <w:rPr>
          <w:color w:val="auto"/>
          <w:highlight w:val="none"/>
        </w:rPr>
      </w:pPr>
      <w:r>
        <w:rPr>
          <w:color w:val="auto"/>
          <w:highlight w:val="none"/>
        </w:rPr>
      </w:r>
      <w:r/>
    </w:p>
    <w:p>
      <w:pPr>
        <w:pStyle w:val="706"/>
        <w:rPr>
          <w:color w:val="auto"/>
          <w:highlight w:val="none"/>
        </w:rPr>
      </w:pPr>
      <w:r>
        <w:rPr>
          <w:color w:val="auto"/>
          <w:highlight w:val="none"/>
        </w:rPr>
      </w:r>
      <w:r/>
    </w:p>
    <w:p>
      <w:pPr>
        <w:rPr>
          <w:color w:val="auto"/>
          <w:highlight w:val="none"/>
        </w:rPr>
      </w:pPr>
      <w:r>
        <w:rPr>
          <w:color w:val="auto"/>
          <w:highlight w:val="none"/>
        </w:rPr>
      </w:r>
      <w:r/>
    </w:p>
    <w:p>
      <w:pPr>
        <w:pStyle w:val="706"/>
        <w:rPr>
          <w:color w:val="auto"/>
          <w:highlight w:val="none"/>
        </w:rPr>
      </w:pPr>
      <w:r>
        <w:rPr>
          <w:color w:val="auto"/>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hint="eastAsia" w:ascii="黑体" w:hAnsi="黑体" w:eastAsia="黑体"/>
          <w:iCs/>
          <w:color w:val="auto"/>
          <w:sz w:val="32"/>
          <w:szCs w:val="32"/>
          <w:highlight w:val="none"/>
        </w:rPr>
        <w:t xml:space="preserve">九、中小企业声明函</w:t>
      </w:r>
      <w:r/>
    </w:p>
    <w:p>
      <w:pPr>
        <w:jc w:val="center"/>
        <w:spacing w:line="36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中小企业声明函（服务）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财库〔2020〕46号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的规定，本公司（联合体）参加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）的采购活动，服务全部由符合政策的中小企业承接。根据《工业和信息化部、国家统计局、国家发展和改革委员会、财政部关于印发中小企业划型标准规定的通知》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的规定，相关企业（含联合体中的小微企业、签订分包意向协议的中小企业）的具体情况如下：</w:t>
      </w:r>
      <w:r/>
    </w:p>
    <w:p>
      <w:pPr>
        <w:ind w:firstLine="480"/>
        <w:spacing w:line="360" w:lineRule="auto"/>
        <w:rPr>
          <w:rFonts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行业（磋商文件中明确的所属行业）；承接企业为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480"/>
        <w:spacing w:line="360" w:lineRule="auto"/>
        <w:rPr>
          <w:rFonts w:ascii="宋体" w:hAnsi="宋体"/>
          <w:i/>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行业（磋商文件中明确的所属行业）；承接企业为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pStyle w:val="862"/>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color w:val="auto"/>
          <w:highlight w:val="none"/>
        </w:rPr>
      </w:pPr>
      <w:r>
        <w:rPr>
          <w:color w:val="auto"/>
          <w:highlight w:val="none"/>
        </w:rPr>
      </w:r>
      <w:r/>
    </w:p>
    <w:p>
      <w:pPr>
        <w:ind w:right="180" w:firstLine="36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w:t>
      </w:r>
      <w:r>
        <w:rPr>
          <w:rFonts w:hint="eastAsia" w:ascii="宋体" w:hAnsi="宋体"/>
          <w:b/>
          <w:bCs/>
          <w:color w:val="auto"/>
          <w:sz w:val="24"/>
          <w:szCs w:val="24"/>
          <w:highlight w:val="none"/>
        </w:rPr>
        <w:t xml:space="preserve">服务由中小企业承接，即提供服务的人员为中小企业依照《中华人民共和国劳动合同法》订立劳动合同的从业人员</w:t>
      </w:r>
      <w:r>
        <w:rPr>
          <w:rFonts w:hint="eastAsia" w:ascii="宋体" w:hAnsi="宋体"/>
          <w:color w:val="auto"/>
          <w:sz w:val="24"/>
          <w:szCs w:val="24"/>
          <w:highlight w:val="none"/>
        </w:rPr>
        <w:t xml:space="preserve">），不对其中涉及的货物的制造商、工程的承建商作出要求。</w:t>
      </w:r>
      <w:r/>
    </w:p>
    <w:p>
      <w:pPr>
        <w:jc w:val="left"/>
        <w:spacing w:line="360" w:lineRule="auto"/>
        <w:rPr>
          <w:rFonts w:ascii="黑体" w:hAnsi="黑体" w:eastAsia="黑体"/>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iCs/>
          <w:color w:val="auto"/>
          <w:sz w:val="32"/>
          <w:szCs w:val="32"/>
          <w:highlight w:val="none"/>
        </w:rPr>
        <w:t xml:space="preserve">十、</w:t>
      </w:r>
      <w:r>
        <w:rPr>
          <w:rFonts w:hint="eastAsia" w:ascii="黑体" w:hAnsi="黑体" w:eastAsia="黑体"/>
          <w:color w:val="auto"/>
          <w:sz w:val="32"/>
          <w:szCs w:val="32"/>
          <w:highlight w:val="none"/>
        </w:rPr>
        <w:t xml:space="preserve">残疾人福利性单位声明函</w:t>
      </w:r>
      <w:r/>
    </w:p>
    <w:p>
      <w:pPr>
        <w:jc w:val="center"/>
        <w:spacing w:line="360" w:lineRule="auto"/>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残疾人福利性单位声明函</w:t>
      </w:r>
      <w:r/>
    </w:p>
    <w:p>
      <w:pPr>
        <w:ind w:firstLine="480"/>
        <w:spacing w:line="360" w:lineRule="auto"/>
        <w:rPr>
          <w:rFonts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4"/>
          <w:highlight w:val="none"/>
        </w:rPr>
        <w:t xml:space="preserve">服务全部由本单位提供</w:t>
      </w:r>
      <w:r>
        <w:rPr>
          <w:rFonts w:hint="eastAsia" w:ascii="宋体" w:hAnsi="宋体"/>
          <w:color w:val="auto"/>
          <w:sz w:val="24"/>
          <w:szCs w:val="21"/>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862"/>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color w:val="auto"/>
          <w:highlight w:val="none"/>
        </w:rPr>
      </w:pPr>
      <w:r>
        <w:rPr>
          <w:color w:val="auto"/>
          <w:highlight w:val="none"/>
        </w:rPr>
      </w:r>
      <w:r/>
    </w:p>
    <w:p>
      <w:pPr>
        <w:ind w:right="180" w:firstLine="36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1.供应商如不提供此声明函，价格将不做相应扣除。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2.成交供应商为残疾人福利性单位的，此声明函将随成交结果同时公告，接受社会监督。</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iCs/>
          <w:color w:val="auto"/>
          <w:sz w:val="32"/>
          <w:szCs w:val="32"/>
          <w:highlight w:val="none"/>
        </w:rPr>
      </w:pPr>
      <w:r>
        <w:rPr>
          <w:rFonts w:hint="eastAsia" w:ascii="黑体" w:hAnsi="黑体" w:eastAsia="黑体"/>
          <w:iCs/>
          <w:color w:val="auto"/>
          <w:sz w:val="32"/>
          <w:szCs w:val="32"/>
          <w:highlight w:val="none"/>
        </w:rPr>
        <w:t xml:space="preserve">十一、联合体协议</w:t>
      </w:r>
      <w:r/>
    </w:p>
    <w:p>
      <w:pPr>
        <w:jc w:val="center"/>
        <w:spacing w:line="360" w:lineRule="auto"/>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，并指定</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（供应商名称）为牵头单位。</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.若我们联合成交，</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（工作内容）部分工作，并承担相应的责任；……。（注：需明确联合体中各供应商所承担的工作和相应的责任）。</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监狱企业，且我们约定该单位所承担的合同金额将占本项目合同总金额的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360" w:lineRule="auto"/>
        <w:rPr>
          <w:rFonts w:ascii="宋体" w:hAnsi="宋体"/>
          <w:color w:val="auto"/>
          <w:sz w:val="24"/>
          <w:highlight w:val="none"/>
        </w:rPr>
      </w:pPr>
      <w:r>
        <w:rPr>
          <w:rFonts w:ascii="宋体" w:hAnsi="宋体"/>
          <w:color w:val="auto"/>
          <w:sz w:val="24"/>
          <w:highlight w:val="none"/>
        </w:rPr>
      </w:r>
      <w:r/>
    </w:p>
    <w:p>
      <w:pPr>
        <w:ind w:firstLine="645"/>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spacing w:line="360" w:lineRule="auto"/>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1.牵头单位必须为联合体成员。</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3.除另有说明外，本采购文件要求加盖电子公章之处，加盖牵头单位的电子公章即可。</w:t>
      </w:r>
      <w:r/>
    </w:p>
    <w:p>
      <w:pPr>
        <w:pStyle w:val="706"/>
        <w:ind w:firstLine="480"/>
        <w:rPr>
          <w:color w:val="auto"/>
          <w:sz w:val="24"/>
          <w:highlight w:val="none"/>
        </w:rPr>
      </w:pPr>
      <w:r>
        <w:rPr>
          <w:color w:val="auto"/>
          <w:sz w:val="24"/>
          <w:highlight w:val="none"/>
        </w:rPr>
      </w:r>
      <w:r/>
    </w:p>
    <w:p>
      <w:pPr>
        <w:rPr>
          <w:color w:val="auto"/>
          <w:highlight w:val="none"/>
        </w:rPr>
      </w:pPr>
      <w:r>
        <w:rPr>
          <w:color w:val="auto"/>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pStyle w:val="862"/>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862"/>
        <w:rPr>
          <w:color w:val="auto"/>
          <w:highlight w:val="none"/>
        </w:rPr>
      </w:pPr>
      <w:r>
        <w:rPr>
          <w:color w:val="auto"/>
          <w:highlight w:val="none"/>
        </w:rPr>
      </w:r>
      <w:r/>
    </w:p>
    <w:p>
      <w:pPr>
        <w:jc w:val="left"/>
        <w:spacing w:line="360" w:lineRule="auto"/>
        <w:rPr>
          <w:rFonts w:ascii="黑体" w:hAnsi="黑体" w:eastAsia="黑体"/>
          <w:iCs/>
          <w:color w:val="auto"/>
          <w:sz w:val="32"/>
          <w:szCs w:val="32"/>
          <w:highlight w:val="none"/>
        </w:rPr>
      </w:pPr>
      <w:r>
        <w:rPr>
          <w:rFonts w:hint="eastAsia" w:ascii="黑体" w:hAnsi="黑体" w:eastAsia="黑体"/>
          <w:iCs/>
          <w:color w:val="auto"/>
          <w:sz w:val="32"/>
          <w:szCs w:val="32"/>
          <w:highlight w:val="none"/>
        </w:rPr>
        <w:t xml:space="preserve">十二、分包承诺书</w:t>
      </w:r>
      <w:r/>
    </w:p>
    <w:p>
      <w:pPr>
        <w:rPr>
          <w:color w:val="auto"/>
          <w:highlight w:val="none"/>
        </w:rPr>
      </w:pPr>
      <w:r>
        <w:rPr>
          <w:color w:val="auto"/>
          <w:highlight w:val="none"/>
        </w:rPr>
      </w:r>
      <w:r/>
    </w:p>
    <w:p>
      <w:pPr>
        <w:jc w:val="center"/>
        <w:spacing w:line="360" w:lineRule="auto"/>
        <w:rPr>
          <w:rFonts w:ascii="方正小标宋简体" w:hAnsi="方正小标宋简体" w:eastAsia="方正小标宋简体" w:cs="方正小标宋简体"/>
          <w:color w:val="auto"/>
          <w:sz w:val="32"/>
          <w:szCs w:val="32"/>
          <w:highlight w:val="none"/>
          <w:lang w:val="zh-CN"/>
        </w:rPr>
      </w:pPr>
      <w:r>
        <w:rPr>
          <w:rFonts w:hint="eastAsia" w:ascii="方正小标宋简体" w:hAnsi="方正小标宋简体" w:eastAsia="方正小标宋简体" w:cs="方正小标宋简体"/>
          <w:color w:val="auto"/>
          <w:sz w:val="32"/>
          <w:szCs w:val="32"/>
          <w:highlight w:val="none"/>
          <w:lang w:val="zh-CN"/>
        </w:rPr>
        <w:t xml:space="preserve">分包承诺书</w:t>
      </w:r>
      <w:r/>
    </w:p>
    <w:p>
      <w:pPr>
        <w:ind w:firstLine="2640"/>
        <w:spacing w:line="480" w:lineRule="auto"/>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p>
      <w:pP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：（采购人名称）</w:t>
      </w:r>
      <w:r/>
    </w:p>
    <w:p>
      <w:pPr>
        <w:ind w:firstLine="480"/>
        <w:jc w:val="lef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（供应商名称）郑重承诺：</w:t>
      </w:r>
      <w:r/>
    </w:p>
    <w:p>
      <w:pPr>
        <w:ind w:firstLine="480"/>
        <w:jc w:val="lef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如我公司中标（成交）</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（项目名称）项目，拟将项目中的</w:t>
      </w:r>
      <w:r/>
    </w:p>
    <w:p>
      <w:pPr>
        <w:jc w:val="lef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建设内容，分包给具有相应资质的供应商实施，并在签订合同时提供分包意向协议。</w:t>
      </w:r>
      <w:r/>
    </w:p>
    <w:p>
      <w:pPr>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right="180" w:firstLine="360"/>
        <w:jc w:val="righ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供应商名称：（加盖电子公章）</w:t>
      </w:r>
      <w:r/>
    </w:p>
    <w:p>
      <w:pPr>
        <w:jc w:val="cente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jc w:val="center"/>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pStyle w:val="706"/>
        <w:ind w:firstLine="640"/>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pStyle w:val="706"/>
        <w:ind w:firstLine="640"/>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pStyle w:val="706"/>
        <w:ind w:firstLine="640"/>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jc w:val="left"/>
        <w:spacing w:line="360" w:lineRule="auto"/>
        <w:rPr>
          <w:rFonts w:ascii="宋体" w:hAnsi="宋体"/>
          <w:color w:val="auto"/>
          <w:sz w:val="24"/>
          <w:highlight w:val="none"/>
        </w:rPr>
      </w:pPr>
      <w:r>
        <w:rPr>
          <w:rFonts w:hint="eastAsia" w:ascii="方正小标宋简体" w:hAnsi="方正小标宋简体" w:eastAsia="方正小标宋简体" w:cs="方正小标宋简体"/>
          <w:color w:val="auto"/>
          <w:sz w:val="32"/>
          <w:szCs w:val="32"/>
          <w:highlight w:val="none"/>
        </w:rPr>
        <w:br w:type="page" w:clear="all"/>
      </w:r>
      <w:r>
        <w:rPr>
          <w:rFonts w:hint="eastAsia" w:ascii="黑体" w:hAnsi="黑体" w:eastAsia="黑体"/>
          <w:color w:val="auto"/>
          <w:sz w:val="32"/>
          <w:szCs w:val="32"/>
          <w:highlight w:val="none"/>
        </w:rPr>
        <w:t xml:space="preserve">十三、关于符合本国产品标准的声明函</w:t>
      </w:r>
      <w:r/>
    </w:p>
    <w:p>
      <w:pPr>
        <w:jc w:val="center"/>
        <w:spacing w:line="360" w:lineRule="auto"/>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关于符合本国产品标准的声明函（采购包号：**）</w:t>
      </w:r>
      <w:r/>
    </w:p>
    <w:p>
      <w:pPr>
        <w:pStyle w:val="701"/>
        <w:ind w:firstLine="420"/>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01"/>
        <w:ind w:firstLine="420"/>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1.</w:t>
      </w:r>
      <w:r>
        <w:rPr>
          <w:rStyle w:val="712"/>
          <w:rFonts w:hint="eastAsia"/>
          <w:i w:val="0"/>
          <w:color w:val="auto"/>
          <w:highlight w:val="none"/>
          <w:u w:val="single"/>
          <w:shd w:val="clear" w:color="auto" w:fill="ffffff"/>
        </w:rPr>
        <w:t xml:space="preserve">（产品名称1）</w:t>
      </w:r>
      <w:r>
        <w:rPr>
          <w:rStyle w:val="712"/>
          <w:rFonts w:hint="eastAsia"/>
          <w:i w:val="0"/>
          <w:color w:val="auto"/>
          <w:highlight w:val="none"/>
          <w:shd w:val="clear" w:color="auto" w:fill="ffffff"/>
          <w:vertAlign w:val="superscript"/>
        </w:rPr>
        <w:t xml:space="preserve">1</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生产厂为</w:t>
      </w:r>
      <w:r>
        <w:rPr>
          <w:rStyle w:val="712"/>
          <w:rFonts w:hint="eastAsia"/>
          <w:i w:val="0"/>
          <w:color w:val="auto"/>
          <w:highlight w:val="none"/>
          <w:u w:val="single"/>
          <w:shd w:val="clear" w:color="auto" w:fill="ffffff"/>
        </w:rPr>
        <w:t xml:space="preserve">（厂名）</w:t>
      </w:r>
      <w:r>
        <w:rPr>
          <w:rStyle w:val="712"/>
          <w:rFonts w:hint="eastAsia"/>
          <w:i w:val="0"/>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712"/>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712"/>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的中国境内生产的组件成本占比≥</w:t>
      </w:r>
      <w:r>
        <w:rPr>
          <w:rStyle w:val="712"/>
          <w:rFonts w:hint="eastAsia"/>
          <w:color w:val="auto"/>
          <w:highlight w:val="none"/>
          <w:u w:val="single"/>
          <w:shd w:val="clear" w:color="auto" w:fill="ffffff"/>
        </w:rPr>
        <w:t xml:space="preserve">（规定比例）</w:t>
      </w:r>
      <w:r>
        <w:rPr>
          <w:rStyle w:val="712"/>
          <w:rFonts w:hint="eastAsia"/>
          <w:i w:val="0"/>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712"/>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712"/>
          <w:rFonts w:hint="eastAsia"/>
          <w:color w:val="auto"/>
          <w:highlight w:val="none"/>
          <w:u w:val="single"/>
          <w:shd w:val="clear" w:color="auto" w:fill="ffffff"/>
        </w:rPr>
        <w:t xml:space="preserve">（关键组件）</w:t>
      </w:r>
      <w:r>
        <w:rPr>
          <w:rStyle w:val="712"/>
          <w:rFonts w:hint="eastAsia"/>
          <w:i w:val="0"/>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712"/>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712"/>
          <w:rFonts w:hint="eastAsia"/>
          <w:color w:val="auto"/>
          <w:highlight w:val="none"/>
          <w:u w:val="single"/>
          <w:shd w:val="clear" w:color="auto" w:fill="ffffff"/>
        </w:rPr>
        <w:t xml:space="preserve">（关键工序）</w:t>
      </w:r>
      <w:r>
        <w:rPr>
          <w:rStyle w:val="712"/>
          <w:rFonts w:hint="eastAsia"/>
          <w:i w:val="0"/>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701"/>
        <w:ind w:firstLine="420"/>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2.</w:t>
      </w:r>
      <w:r>
        <w:rPr>
          <w:rStyle w:val="712"/>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712"/>
          <w:rFonts w:hint="eastAsia"/>
          <w:i w:val="0"/>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712"/>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712"/>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712"/>
          <w:rFonts w:hint="eastAsia"/>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712"/>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712"/>
          <w:rFonts w:hint="eastAsia"/>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712"/>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712"/>
          <w:rFonts w:hint="eastAsia"/>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p>
    <w:p>
      <w:pPr>
        <w:pStyle w:val="701"/>
        <w:ind w:firstLine="420"/>
        <w:spacing w:before="24" w:beforeAutospacing="0" w:after="24" w:afterAutospacing="0" w:line="360" w:lineRule="auto"/>
        <w:shd w:val="clear" w:color="auto" w:fill="ffffff"/>
        <w:rPr>
          <w:color w:val="auto"/>
          <w:highlight w:val="none"/>
          <w:shd w:val="clear" w:color="auto" w:fill="ffffff"/>
        </w:rPr>
      </w:pPr>
      <w:r>
        <w:rPr>
          <w:rFonts w:hint="eastAsia"/>
          <w:color w:val="auto"/>
          <w:highlight w:val="none"/>
          <w:shd w:val="clear" w:color="auto" w:fill="ffffff"/>
        </w:rPr>
        <w:t xml:space="preserve">……</w:t>
      </w:r>
      <w:r/>
    </w:p>
    <w:p>
      <w:pPr>
        <w:pStyle w:val="701"/>
        <w:ind w:firstLine="420"/>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701"/>
        <w:jc w:val="right"/>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公司（单位）名称（盖章）：　        </w:t>
      </w:r>
      <w:r/>
    </w:p>
    <w:p>
      <w:pPr>
        <w:pStyle w:val="701"/>
        <w:jc w:val="right"/>
        <w:spacing w:before="24" w:beforeAutospacing="0" w:after="24" w:afterAutospacing="0" w:line="360" w:lineRule="auto"/>
        <w:shd w:val="clear" w:color="auto" w:fill="ffffff"/>
        <w:rPr>
          <w:color w:val="auto"/>
          <w:sz w:val="28"/>
          <w:szCs w:val="28"/>
          <w:highlight w:val="none"/>
        </w:rPr>
      </w:pPr>
      <w:r>
        <w:rPr>
          <w:rFonts w:hint="eastAsia"/>
          <w:color w:val="auto"/>
          <w:highlight w:val="none"/>
          <w:shd w:val="clear" w:color="auto" w:fill="ffffff"/>
        </w:rPr>
        <w:t xml:space="preserve">日期：　     年　  月　  日    </w:t>
      </w:r>
      <w:r>
        <w:rPr>
          <w:rFonts w:hint="eastAsia"/>
          <w:color w:val="auto"/>
          <w:sz w:val="28"/>
          <w:szCs w:val="28"/>
          <w:highlight w:val="none"/>
          <w:shd w:val="clear" w:color="auto" w:fill="ffffff"/>
        </w:rPr>
        <w:t xml:space="preserve">     </w:t>
      </w:r>
      <w:r/>
    </w:p>
    <w:p>
      <w:pPr>
        <w:pStyle w:val="701"/>
        <w:spacing w:before="24" w:beforeAutospacing="0" w:after="24" w:afterAutospacing="0" w:line="360" w:lineRule="auto"/>
        <w:shd w:val="clear" w:color="auto" w:fill="ffffff"/>
        <w:rPr>
          <w:color w:val="auto"/>
          <w:sz w:val="28"/>
          <w:szCs w:val="28"/>
          <w:highlight w:val="none"/>
        </w:rPr>
      </w:pPr>
      <w:r>
        <w:rPr>
          <w:rFonts w:hint="eastAsia"/>
          <w:color w:val="auto"/>
          <w:sz w:val="28"/>
          <w:szCs w:val="28"/>
          <w:highlight w:val="none"/>
          <w:shd w:val="clear" w:color="auto" w:fill="ffffff"/>
        </w:rPr>
        <w:t xml:space="preserve">__________________</w:t>
      </w:r>
      <w:r/>
    </w:p>
    <w:p>
      <w:pPr>
        <w:pStyle w:val="701"/>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701"/>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701"/>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3.该产品的中国境内生产的组件成本占比相关要求实施前，“规定比例”栏可不填。</w:t>
      </w:r>
      <w:r/>
    </w:p>
    <w:p>
      <w:pPr>
        <w:pStyle w:val="701"/>
        <w:ind w:firstLine="420"/>
        <w:spacing w:before="24" w:beforeAutospacing="0" w:after="24"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4.该产品的关键组件要求实施前，“关键组件”栏可不填。</w:t>
      </w:r>
      <w:r/>
    </w:p>
    <w:p>
      <w:pPr>
        <w:pStyle w:val="701"/>
        <w:ind w:firstLine="420"/>
        <w:spacing w:before="24" w:beforeAutospacing="0" w:after="24"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5.该产品的关键工序要求实施前，“关键工序”栏可不填。</w:t>
      </w:r>
      <w:bookmarkStart w:id="41" w:name="OLE_LINK8"/>
      <w:r/>
      <w:bookmarkEnd w:id="41"/>
      <w:r/>
      <w:r/>
    </w:p>
    <w:p>
      <w:pPr>
        <w:pStyle w:val="701"/>
        <w:ind w:firstLine="420"/>
        <w:spacing w:before="24" w:beforeAutospacing="0" w:after="24" w:afterAutospacing="0" w:line="360" w:lineRule="auto"/>
        <w:shd w:val="clear" w:color="auto" w:fill="ffffff"/>
        <w:rPr>
          <w:color w:val="auto"/>
          <w:sz w:val="21"/>
          <w:szCs w:val="21"/>
          <w:highlight w:val="none"/>
          <w:shd w:val="clear" w:color="auto" w:fill="ffffff"/>
        </w:rPr>
      </w:pPr>
      <w:r>
        <w:rPr>
          <w:color w:val="auto"/>
          <w:sz w:val="21"/>
          <w:szCs w:val="21"/>
          <w:highlight w:val="none"/>
          <w:shd w:val="clear" w:color="auto" w:fill="ffffff"/>
        </w:rPr>
      </w:r>
      <w:r/>
    </w:p>
    <w:p>
      <w:pPr>
        <w:pStyle w:val="862"/>
        <w:rPr>
          <w:rFonts w:ascii="宋体" w:hAnsi="宋体"/>
          <w:color w:val="auto"/>
          <w:sz w:val="24"/>
          <w:highlight w:val="none"/>
        </w:rPr>
      </w:pPr>
      <w:r>
        <w:rPr>
          <w:rFonts w:ascii="宋体" w:hAnsi="宋体"/>
          <w:color w:val="auto"/>
          <w:sz w:val="24"/>
          <w:highlight w:val="none"/>
        </w:rPr>
      </w:r>
      <w:r/>
    </w:p>
    <w:p>
      <w:pPr>
        <w:jc w:val="center"/>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br w:type="page" w:clear="all"/>
      </w:r>
      <w:r>
        <w:rPr>
          <w:rFonts w:hint="eastAsia" w:ascii="方正小标宋简体" w:hAnsi="方正小标宋简体" w:eastAsia="方正小标宋简体" w:cs="方正小标宋简体"/>
          <w:color w:val="auto"/>
          <w:sz w:val="32"/>
          <w:szCs w:val="32"/>
          <w:highlight w:val="none"/>
        </w:rPr>
        <w:t xml:space="preserve">质疑函范本</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采购包号：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  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  章：                      </w:t>
      </w:r>
      <w:r/>
    </w:p>
    <w:p>
      <w:pPr>
        <w:rPr>
          <w:rFonts w:ascii="宋体" w:hAnsi="宋体"/>
          <w:color w:val="auto"/>
          <w:sz w:val="24"/>
          <w:szCs w:val="24"/>
          <w:highlight w:val="none"/>
        </w:rPr>
      </w:pPr>
      <w:r>
        <w:rPr>
          <w:rFonts w:hint="eastAsia" w:ascii="宋体" w:hAnsi="宋体"/>
          <w:color w:val="auto"/>
          <w:sz w:val="24"/>
          <w:szCs w:val="24"/>
          <w:highlight w:val="none"/>
        </w:rPr>
        <w:t xml:space="preserve">日  期：    </w:t>
      </w:r>
      <w:r/>
    </w:p>
    <w:p>
      <w:pPr>
        <w:ind w:firstLine="480"/>
        <w:spacing w:line="4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相关说明：</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1.供应商提出质疑，应提交《质疑函》和必要的证明材料。</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2.</w:t>
      </w:r>
      <w:r>
        <w:rPr>
          <w:rFonts w:hint="eastAsia" w:ascii="宋体" w:hAnsi="宋体" w:cs="仿宋"/>
          <w:b/>
          <w:bCs/>
          <w:color w:val="auto"/>
          <w:sz w:val="24"/>
          <w:szCs w:val="24"/>
          <w:highlight w:val="none"/>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3.质疑供应商针对项目的某一采购包进行质疑的，《质疑函》中应明确采购包号。</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7.质疑</w:t>
      </w:r>
      <w:r>
        <w:rPr>
          <w:rFonts w:hint="eastAsia" w:ascii="宋体" w:hAnsi="宋体" w:cs="仿宋"/>
          <w:color w:val="auto"/>
          <w:sz w:val="24"/>
          <w:szCs w:val="24"/>
          <w:highlight w:val="none"/>
          <w:lang w:val="zh-CN"/>
        </w:rPr>
        <w:t xml:space="preserve">供应商</w:t>
      </w:r>
      <w:r>
        <w:rPr>
          <w:rFonts w:hint="eastAsia" w:ascii="宋体" w:hAnsi="宋体" w:cs="仿宋"/>
          <w:color w:val="auto"/>
          <w:sz w:val="24"/>
          <w:szCs w:val="24"/>
          <w:highlight w:val="none"/>
        </w:rPr>
        <w:t xml:space="preserve">为</w:t>
      </w:r>
      <w:r>
        <w:rPr>
          <w:rFonts w:hint="eastAsia" w:ascii="宋体" w:hAnsi="宋体" w:cs="仿宋"/>
          <w:color w:val="auto"/>
          <w:sz w:val="24"/>
          <w:szCs w:val="24"/>
          <w:highlight w:val="none"/>
          <w:lang w:val="zh-CN"/>
        </w:rPr>
        <w:t xml:space="preserve">联合体</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lang w:val="zh-CN"/>
        </w:rPr>
        <w:t xml:space="preserve">，则《质疑函》中要求加盖公章之处，联合体各方均须按要求加盖公章。</w:t>
      </w:r>
      <w:r/>
    </w:p>
    <w:p>
      <w:pPr>
        <w:rPr>
          <w:color w:val="auto"/>
          <w:highlight w:val="none"/>
        </w:rPr>
      </w:pPr>
      <w:r>
        <w:rPr>
          <w:color w:val="auto"/>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yz" w:date="2026-08-04T10:28:48Z">
    <w:p w14:paraId="00000001" w14:textId="00000001">
      <w:pPr>
        <w:spacing w:line="240" w:after="0" w:lineRule="auto" w:before="0"/>
        <w:ind w:firstLine="0" w:left="0" w:right="0"/>
        <w:jc w:val="left"/>
      </w:pPr>
      <w:r>
        <w:rPr>
          <w:rFonts w:eastAsia="Arial" w:ascii="Arial" w:hAnsi="Arial" w:cs="Arial"/>
          <w:sz w:val="22"/>
        </w:rPr>
        <w:t xml:space="preserve">2和3请确认是保留还是删除</w:t>
      </w:r>
    </w:p>
  </w:comment>
  <w:comment w:id="1" w:author="那。" w:date="2026-08-10T15:14:57Z">
    <w:p w14:paraId="00000002" w14:textId="00000002">
      <w:pPr>
        <w:spacing w:line="240" w:after="0" w:lineRule="auto" w:before="0"/>
        <w:ind w:firstLine="0" w:left="0" w:right="0"/>
        <w:jc w:val="left"/>
      </w:pPr>
      <w:r>
        <w:rPr>
          <w:rFonts w:eastAsia="Arial" w:ascii="Arial" w:hAnsi="Arial" w:cs="Arial"/>
          <w:sz w:val="22"/>
        </w:rPr>
        <w:t xml:space="preserve">细化。如：甲方有权对合同规定范围内乙方的服务行为进行监督和检查，定期或不定期核对乙方提供服务所配备的人员数量、服务质量。乙方履约存在严重问题，致使不能达成甲方合同目的的，甲方有权向乙方下达整改通知书，并要求乙方限期整改。</w:t>
      </w:r>
    </w:p>
    <w:p w14:paraId="00000003" w14:textId="00000003">
      <w:pPr>
        <w:spacing w:line="240" w:after="0" w:lineRule="auto" w:before="0"/>
        <w:ind w:firstLine="0" w:left="0" w:right="0"/>
        <w:jc w:val="left"/>
      </w:pPr>
      <w:r>
        <w:rPr>
          <w:rFonts w:eastAsia="Arial" w:ascii="Arial" w:hAnsi="Arial" w:cs="Arial"/>
          <w:sz w:val="22"/>
        </w:rPr>
        <w:t xml:space="preserve">乙方应当在整改期限内提供相应的整改方案和支撑性材料。整改三次仍不能达到合同约定的服务标准的，甲方有权提出单方面解除合同，不再支付剩余未付合同款，并根据未整改点位扣除相应服务费。</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3"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3EA86B5B"/>
  <w16cid:commentId w16cid:paraId="00000003" w16cid:durableId="215BC25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仿宋">
    <w:panose1 w:val="02010609060101010101"/>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rPr>
        <w:rStyle w:val="710"/>
        <w:rFonts w:ascii="宋体" w:hAnsi="宋体"/>
      </w:rPr>
      <w:framePr w:wrap="around" w:vAnchor="text" w:hAnchor="margin" w:xAlign="center" w:y="1"/>
    </w:pPr>
    <w:r>
      <w:rPr>
        <w:rFonts w:ascii="宋体" w:hAnsi="宋体"/>
      </w:rPr>
      <w:fldChar w:fldCharType="begin"/>
    </w:r>
    <w:r>
      <w:rPr>
        <w:rStyle w:val="710"/>
        <w:rFonts w:ascii="宋体" w:hAnsi="宋体"/>
      </w:rPr>
      <w:instrText xml:space="preserve">PAGE  </w:instrText>
    </w:r>
    <w:r>
      <w:rPr>
        <w:rFonts w:ascii="宋体" w:hAnsi="宋体"/>
      </w:rPr>
      <w:fldChar w:fldCharType="separate"/>
    </w:r>
    <w:r>
      <w:rPr>
        <w:rStyle w:val="710"/>
        <w:rFonts w:ascii="宋体" w:hAnsi="宋体"/>
      </w:rPr>
      <w:t xml:space="preserve">２５</w:t>
    </w:r>
    <w:r>
      <w:rPr>
        <w:rFonts w:ascii="宋体" w:hAnsi="宋体"/>
      </w:rPr>
      <w:fldChar w:fldCharType="end"/>
    </w:r>
    <w:r/>
  </w:p>
  <w:p>
    <w:pPr>
      <w:pStyle w:val="68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rPr>
        <w:rStyle w:val="710"/>
      </w:rPr>
      <w:framePr w:wrap="around" w:vAnchor="text" w:hAnchor="margin" w:xAlign="center" w:y="1"/>
    </w:pPr>
    <w:r>
      <w:fldChar w:fldCharType="begin"/>
    </w:r>
    <w:r>
      <w:rPr>
        <w:rStyle w:val="710"/>
      </w:rPr>
      <w:instrText xml:space="preserve">PAGE  </w:instrText>
    </w:r>
    <w:r>
      <w:fldChar w:fldCharType="separate"/>
    </w:r>
    <w:r>
      <w:rPr>
        <w:rStyle w:val="710"/>
      </w:rPr>
      <w:t xml:space="preserve">1</w:t>
    </w:r>
    <w:r>
      <w:fldChar w:fldCharType="end"/>
    </w:r>
    <w:r/>
  </w:p>
  <w:p>
    <w:pPr>
      <w:pStyle w:val="6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1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90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62"/>
      <w:isLgl w:val="false"/>
      <w:suff w:val="nothing"/>
      <w:lvlText w:val=""/>
      <w:lvlJc w:val="left"/>
      <w:pPr>
        <w:ind w:left="0" w:firstLine="0"/>
      </w:pPr>
      <w:rPr>
        <w:rFonts w:hint="eastAsia"/>
      </w:rPr>
    </w:lvl>
    <w:lvl w:ilvl="6">
      <w:start w:val="1"/>
      <w:numFmt w:val="none"/>
      <w:pStyle w:val="663"/>
      <w:isLgl w:val="false"/>
      <w:suff w:val="nothing"/>
      <w:lvlText w:val=""/>
      <w:lvlJc w:val="left"/>
      <w:pPr>
        <w:ind w:left="0" w:firstLine="0"/>
      </w:pPr>
      <w:rPr>
        <w:rFonts w:hint="eastAsia"/>
      </w:rPr>
    </w:lvl>
    <w:lvl w:ilvl="7">
      <w:start w:val="1"/>
      <w:numFmt w:val="none"/>
      <w:pStyle w:val="664"/>
      <w:isLgl w:val="false"/>
      <w:suff w:val="nothing"/>
      <w:lvlText w:val=""/>
      <w:lvlJc w:val="left"/>
      <w:pPr>
        <w:ind w:left="0" w:firstLine="0"/>
      </w:pPr>
      <w:rPr>
        <w:rFonts w:hint="eastAsia"/>
      </w:rPr>
    </w:lvl>
    <w:lvl w:ilvl="8">
      <w:start w:val="1"/>
      <w:numFmt w:val="none"/>
      <w:pStyle w:val="665"/>
      <w:isLgl w:val="false"/>
      <w:suff w:val="nothing"/>
      <w:lvlText w:val=""/>
      <w:lvlJc w:val="left"/>
      <w:pPr>
        <w:ind w:left="0" w:firstLine="0"/>
      </w:pPr>
      <w:rPr>
        <w:rFonts w:hint="eastAsia"/>
      </w:rPr>
    </w:lvl>
  </w:abstractNum>
  <w:num w:numId="1">
    <w:abstractNumId w:val="5"/>
  </w:num>
  <w:num w:numId="2">
    <w:abstractNumId w:val="2"/>
  </w:num>
  <w:num w:numId="3">
    <w:abstractNumId w:val="1"/>
  </w:num>
  <w:num w:numId="4">
    <w:abstractNumId w:val="0"/>
  </w:num>
  <w:num w:numId="5">
    <w:abstractNumId w:val="4"/>
  </w:num>
  <w:num w:numId="6">
    <w:abstractNumId w:val="3"/>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yz">
    <w15:presenceInfo w15:providerId="WPS Office" w15:userId="6823708"/>
  </w15:person>
  <w15:person w15:author="那。">
    <w15:presenceInfo w15:providerId="WPS Office" w15:userId="18908685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7">
    <w:name w:val="Heading 1"/>
    <w:basedOn w:val="656"/>
    <w:next w:val="656"/>
    <w:link w:val="865"/>
    <w:uiPriority w:val="0"/>
    <w:qFormat/>
    <w:pPr>
      <w:jc w:val="center"/>
      <w:keepNext/>
      <w:outlineLvl w:val="0"/>
    </w:pPr>
    <w:rPr>
      <w:rFonts w:ascii="楷体_GB2312" w:eastAsia="楷体_GB2312"/>
      <w:sz w:val="28"/>
      <w:szCs w:val="28"/>
    </w:rPr>
  </w:style>
  <w:style w:type="paragraph" w:styleId="658">
    <w:name w:val="Heading 2"/>
    <w:basedOn w:val="656"/>
    <w:next w:val="656"/>
    <w:link w:val="86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59">
    <w:name w:val="Heading 3"/>
    <w:basedOn w:val="656"/>
    <w:next w:val="668"/>
    <w:link w:val="868"/>
    <w:uiPriority w:val="0"/>
    <w:qFormat/>
    <w:pPr>
      <w:keepLines/>
      <w:keepNext/>
      <w:spacing w:before="260" w:after="260" w:line="416" w:lineRule="auto"/>
      <w:outlineLvl w:val="2"/>
    </w:pPr>
    <w:rPr>
      <w:b/>
      <w:bCs/>
      <w:sz w:val="32"/>
      <w:szCs w:val="32"/>
    </w:rPr>
  </w:style>
  <w:style w:type="paragraph" w:styleId="660">
    <w:name w:val="Heading 4"/>
    <w:basedOn w:val="656"/>
    <w:next w:val="668"/>
    <w:link w:val="869"/>
    <w:uiPriority w:val="0"/>
    <w:qFormat/>
    <w:pPr>
      <w:keepLines/>
      <w:keepNext/>
      <w:spacing w:before="280" w:after="290" w:line="376" w:lineRule="auto"/>
      <w:outlineLvl w:val="3"/>
    </w:pPr>
    <w:rPr>
      <w:rFonts w:ascii="Arial" w:hAnsi="Arial" w:eastAsia="黑体" w:cs="Arial"/>
      <w:b/>
      <w:bCs/>
      <w:sz w:val="28"/>
      <w:szCs w:val="28"/>
    </w:rPr>
  </w:style>
  <w:style w:type="paragraph" w:styleId="661">
    <w:name w:val="Heading 5"/>
    <w:basedOn w:val="656"/>
    <w:next w:val="668"/>
    <w:link w:val="870"/>
    <w:uiPriority w:val="0"/>
    <w:qFormat/>
    <w:pPr>
      <w:keepNext/>
      <w:outlineLvl w:val="4"/>
    </w:pPr>
    <w:rPr>
      <w:rFonts w:ascii="宋体"/>
      <w:color w:val="000000"/>
      <w:sz w:val="28"/>
      <w:szCs w:val="28"/>
    </w:rPr>
  </w:style>
  <w:style w:type="paragraph" w:styleId="662">
    <w:name w:val="Heading 6"/>
    <w:basedOn w:val="656"/>
    <w:next w:val="656"/>
    <w:link w:val="87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3">
    <w:name w:val="Heading 7"/>
    <w:basedOn w:val="656"/>
    <w:next w:val="656"/>
    <w:link w:val="872"/>
    <w:uiPriority w:val="0"/>
    <w:qFormat/>
    <w:pPr>
      <w:numPr>
        <w:ilvl w:val="6"/>
        <w:numId w:val="1"/>
      </w:numPr>
      <w:keepLines/>
      <w:keepNext/>
      <w:spacing w:before="240" w:after="64" w:line="320" w:lineRule="auto"/>
      <w:outlineLvl w:val="6"/>
    </w:pPr>
    <w:rPr>
      <w:b/>
      <w:bCs/>
      <w:sz w:val="24"/>
      <w:szCs w:val="24"/>
    </w:rPr>
  </w:style>
  <w:style w:type="paragraph" w:styleId="664">
    <w:name w:val="Heading 8"/>
    <w:basedOn w:val="656"/>
    <w:next w:val="656"/>
    <w:link w:val="87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65">
    <w:name w:val="Heading 9"/>
    <w:basedOn w:val="656"/>
    <w:next w:val="656"/>
    <w:link w:val="874"/>
    <w:uiPriority w:val="0"/>
    <w:qFormat/>
    <w:pPr>
      <w:numPr>
        <w:ilvl w:val="8"/>
        <w:numId w:val="1"/>
      </w:numPr>
      <w:keepLines/>
      <w:keepNext/>
      <w:spacing w:before="240" w:after="64" w:line="320" w:lineRule="auto"/>
      <w:outlineLvl w:val="8"/>
    </w:pPr>
    <w:rPr>
      <w:rFonts w:ascii="Arial" w:hAnsi="Arial" w:eastAsia="黑体"/>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Normal Indent"/>
    <w:basedOn w:val="656"/>
    <w:link w:val="867"/>
    <w:uiPriority w:val="0"/>
    <w:qFormat/>
    <w:pPr>
      <w:ind w:firstLine="420"/>
    </w:pPr>
    <w:rPr>
      <w:szCs w:val="21"/>
    </w:rPr>
  </w:style>
  <w:style w:type="paragraph" w:styleId="669">
    <w:name w:val="List 3"/>
    <w:basedOn w:val="656"/>
    <w:uiPriority w:val="0"/>
    <w:qFormat/>
    <w:pPr>
      <w:ind w:left="100" w:hanging="200"/>
    </w:pPr>
    <w:rPr>
      <w:szCs w:val="21"/>
    </w:rPr>
  </w:style>
  <w:style w:type="paragraph" w:styleId="670">
    <w:name w:val="toc 7"/>
    <w:basedOn w:val="656"/>
    <w:next w:val="656"/>
    <w:uiPriority w:val="0"/>
    <w:semiHidden/>
    <w:qFormat/>
    <w:pPr>
      <w:ind w:left="1260"/>
      <w:jc w:val="left"/>
    </w:pPr>
    <w:rPr>
      <w:szCs w:val="21"/>
    </w:rPr>
  </w:style>
  <w:style w:type="paragraph" w:styleId="671">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2">
    <w:name w:val="Document Map"/>
    <w:basedOn w:val="656"/>
    <w:link w:val="875"/>
    <w:uiPriority w:val="0"/>
    <w:semiHidden/>
    <w:qFormat/>
    <w:pPr>
      <w:shd w:val="clear" w:color="auto" w:fill="000080"/>
    </w:pPr>
    <w:rPr>
      <w:szCs w:val="21"/>
    </w:rPr>
  </w:style>
  <w:style w:type="paragraph" w:styleId="673">
    <w:name w:val="annotation text"/>
    <w:basedOn w:val="656"/>
    <w:link w:val="876"/>
    <w:uiPriority w:val="0"/>
    <w:unhideWhenUsed/>
    <w:qFormat/>
    <w:pPr>
      <w:jc w:val="left"/>
    </w:pPr>
    <w:rPr>
      <w:szCs w:val="21"/>
    </w:rPr>
  </w:style>
  <w:style w:type="paragraph" w:styleId="674">
    <w:name w:val="Body Text 3"/>
    <w:basedOn w:val="656"/>
    <w:link w:val="877"/>
    <w:uiPriority w:val="0"/>
    <w:qFormat/>
    <w:rPr>
      <w:rFonts w:ascii="仿宋_GB2312" w:hAnsi="Arial" w:eastAsia="仿宋_GB2312"/>
      <w:sz w:val="32"/>
      <w:szCs w:val="32"/>
    </w:rPr>
  </w:style>
  <w:style w:type="paragraph" w:styleId="675">
    <w:name w:val="Body Text"/>
    <w:basedOn w:val="656"/>
    <w:link w:val="878"/>
    <w:uiPriority w:val="0"/>
    <w:qFormat/>
    <w:rPr>
      <w:rFonts w:ascii="楷体_GB2312" w:hAnsi="Arial" w:eastAsia="楷体_GB2312"/>
      <w:sz w:val="28"/>
      <w:szCs w:val="28"/>
    </w:rPr>
  </w:style>
  <w:style w:type="paragraph" w:styleId="676">
    <w:name w:val="Body Text Indent"/>
    <w:basedOn w:val="656"/>
    <w:next w:val="677"/>
    <w:link w:val="863"/>
    <w:uiPriority w:val="0"/>
    <w:unhideWhenUsed/>
    <w:qFormat/>
    <w:pPr>
      <w:ind w:left="420"/>
      <w:spacing w:after="120"/>
    </w:pPr>
  </w:style>
  <w:style w:type="paragraph" w:styleId="677">
    <w:name w:val="envelope return"/>
    <w:basedOn w:val="656"/>
    <w:uiPriority w:val="0"/>
    <w:qFormat/>
    <w:rPr>
      <w:rFonts w:ascii="Arial" w:hAnsi="Arial" w:cs="宋体"/>
    </w:rPr>
  </w:style>
  <w:style w:type="paragraph" w:styleId="678">
    <w:name w:val="List 2"/>
    <w:basedOn w:val="656"/>
    <w:uiPriority w:val="0"/>
    <w:qFormat/>
    <w:pPr>
      <w:ind w:left="100" w:hanging="200"/>
    </w:pPr>
    <w:rPr>
      <w:szCs w:val="21"/>
    </w:rPr>
  </w:style>
  <w:style w:type="paragraph" w:styleId="679">
    <w:name w:val="index 4"/>
    <w:basedOn w:val="656"/>
    <w:next w:val="656"/>
    <w:uiPriority w:val="0"/>
    <w:semiHidden/>
    <w:qFormat/>
    <w:pPr>
      <w:ind w:left="1260"/>
    </w:pPr>
    <w:rPr>
      <w:rFonts w:ascii="Calibri" w:hAnsi="Calibri" w:eastAsia="Calibri" w:cs="宋体"/>
      <w:sz w:val="20"/>
      <w:lang w:val="zh-CN"/>
    </w:rPr>
  </w:style>
  <w:style w:type="paragraph" w:styleId="680">
    <w:name w:val="toc 5"/>
    <w:basedOn w:val="656"/>
    <w:next w:val="656"/>
    <w:uiPriority w:val="0"/>
    <w:semiHidden/>
    <w:qFormat/>
    <w:pPr>
      <w:ind w:left="840"/>
      <w:jc w:val="left"/>
    </w:pPr>
    <w:rPr>
      <w:szCs w:val="21"/>
    </w:rPr>
  </w:style>
  <w:style w:type="paragraph" w:styleId="681">
    <w:name w:val="toc 3"/>
    <w:basedOn w:val="656"/>
    <w:next w:val="656"/>
    <w:uiPriority w:val="0"/>
    <w:semiHidden/>
    <w:qFormat/>
    <w:pPr>
      <w:ind w:left="420"/>
      <w:jc w:val="left"/>
    </w:pPr>
    <w:rPr>
      <w:i/>
      <w:iCs/>
      <w:szCs w:val="24"/>
    </w:rPr>
  </w:style>
  <w:style w:type="paragraph" w:styleId="682">
    <w:name w:val="Plain Text"/>
    <w:basedOn w:val="656"/>
    <w:link w:val="879"/>
    <w:uiPriority w:val="0"/>
    <w:qFormat/>
    <w:rPr>
      <w:rFonts w:ascii="宋体" w:hAnsi="Courier New" w:cs="Courier New"/>
      <w:szCs w:val="21"/>
    </w:rPr>
  </w:style>
  <w:style w:type="paragraph" w:styleId="683">
    <w:name w:val="toc 8"/>
    <w:basedOn w:val="656"/>
    <w:next w:val="656"/>
    <w:uiPriority w:val="0"/>
    <w:semiHidden/>
    <w:qFormat/>
    <w:pPr>
      <w:ind w:left="1470"/>
      <w:jc w:val="left"/>
    </w:pPr>
    <w:rPr>
      <w:szCs w:val="21"/>
    </w:rPr>
  </w:style>
  <w:style w:type="paragraph" w:styleId="684">
    <w:name w:val="Date"/>
    <w:basedOn w:val="656"/>
    <w:next w:val="656"/>
    <w:link w:val="880"/>
    <w:uiPriority w:val="0"/>
    <w:qFormat/>
    <w:rPr>
      <w:sz w:val="24"/>
      <w:szCs w:val="24"/>
    </w:rPr>
  </w:style>
  <w:style w:type="paragraph" w:styleId="685">
    <w:name w:val="Body Text Indent 2"/>
    <w:basedOn w:val="656"/>
    <w:link w:val="881"/>
    <w:uiPriority w:val="0"/>
    <w:qFormat/>
    <w:pPr>
      <w:ind w:left="630" w:firstLine="645"/>
    </w:pPr>
    <w:rPr>
      <w:rFonts w:ascii="Arial" w:hAnsi="Arial" w:eastAsia="仿宋_GB2312" w:cs="Arial"/>
      <w:sz w:val="32"/>
      <w:szCs w:val="32"/>
    </w:rPr>
  </w:style>
  <w:style w:type="paragraph" w:styleId="686">
    <w:name w:val="endnote text"/>
    <w:basedOn w:val="656"/>
    <w:link w:val="860"/>
    <w:uiPriority w:val="99"/>
    <w:semiHidden/>
    <w:unhideWhenUsed/>
    <w:qFormat/>
    <w:pPr>
      <w:spacing w:after="0" w:line="240" w:lineRule="auto"/>
    </w:pPr>
    <w:rPr>
      <w:sz w:val="20"/>
    </w:rPr>
  </w:style>
  <w:style w:type="paragraph" w:styleId="687">
    <w:name w:val="Balloon Text"/>
    <w:basedOn w:val="656"/>
    <w:link w:val="882"/>
    <w:uiPriority w:val="0"/>
    <w:semiHidden/>
    <w:qFormat/>
    <w:rPr>
      <w:sz w:val="18"/>
      <w:szCs w:val="18"/>
    </w:rPr>
  </w:style>
  <w:style w:type="paragraph" w:styleId="688">
    <w:name w:val="Footer"/>
    <w:basedOn w:val="656"/>
    <w:link w:val="883"/>
    <w:uiPriority w:val="0"/>
    <w:qFormat/>
    <w:pPr>
      <w:jc w:val="left"/>
      <w:tabs>
        <w:tab w:val="center" w:pos="4153" w:leader="none"/>
        <w:tab w:val="right" w:pos="8306" w:leader="none"/>
      </w:tabs>
    </w:pPr>
    <w:rPr>
      <w:sz w:val="18"/>
      <w:szCs w:val="18"/>
    </w:rPr>
  </w:style>
  <w:style w:type="paragraph" w:styleId="689">
    <w:name w:val="Header"/>
    <w:basedOn w:val="656"/>
    <w:link w:val="884"/>
    <w:uiPriority w:val="0"/>
    <w:qFormat/>
    <w:pPr>
      <w:jc w:val="center"/>
      <w:tabs>
        <w:tab w:val="center" w:pos="4153" w:leader="none"/>
        <w:tab w:val="right" w:pos="8306" w:leader="none"/>
      </w:tabs>
      <w:pBdr>
        <w:bottom w:val="single" w:color="auto" w:sz="6" w:space="1"/>
      </w:pBdr>
    </w:pPr>
    <w:rPr>
      <w:sz w:val="18"/>
      <w:szCs w:val="18"/>
    </w:rPr>
  </w:style>
  <w:style w:type="paragraph" w:styleId="690">
    <w:name w:val="toc 1"/>
    <w:basedOn w:val="656"/>
    <w:next w:val="656"/>
    <w:uiPriority w:val="0"/>
    <w:semiHidden/>
    <w:qFormat/>
    <w:pPr>
      <w:jc w:val="left"/>
      <w:spacing w:before="120" w:after="120" w:line="400" w:lineRule="exact"/>
      <w:tabs>
        <w:tab w:val="right" w:pos="8720" w:leader="dot"/>
      </w:tabs>
    </w:pPr>
    <w:rPr>
      <w:rFonts w:ascii="宋体" w:hAnsi="宋体"/>
      <w:caps/>
      <w:sz w:val="24"/>
      <w:szCs w:val="24"/>
    </w:rPr>
  </w:style>
  <w:style w:type="paragraph" w:styleId="691">
    <w:name w:val="toc 4"/>
    <w:basedOn w:val="656"/>
    <w:next w:val="656"/>
    <w:uiPriority w:val="0"/>
    <w:semiHidden/>
    <w:qFormat/>
    <w:pPr>
      <w:ind w:left="630"/>
      <w:jc w:val="left"/>
    </w:pPr>
    <w:rPr>
      <w:szCs w:val="21"/>
    </w:rPr>
  </w:style>
  <w:style w:type="paragraph" w:styleId="692">
    <w:name w:val="Subtitle"/>
    <w:basedOn w:val="656"/>
    <w:next w:val="656"/>
    <w:link w:val="726"/>
    <w:uiPriority w:val="11"/>
    <w:qFormat/>
    <w:pPr>
      <w:spacing w:before="200" w:after="200"/>
    </w:pPr>
    <w:rPr>
      <w:sz w:val="24"/>
      <w:szCs w:val="24"/>
    </w:rPr>
  </w:style>
  <w:style w:type="paragraph" w:styleId="693">
    <w:name w:val="List"/>
    <w:basedOn w:val="656"/>
    <w:uiPriority w:val="0"/>
    <w:qFormat/>
    <w:pPr>
      <w:ind w:left="200" w:hanging="200"/>
    </w:pPr>
    <w:rPr>
      <w:szCs w:val="21"/>
    </w:rPr>
  </w:style>
  <w:style w:type="paragraph" w:styleId="694">
    <w:name w:val="footnote text"/>
    <w:basedOn w:val="656"/>
    <w:link w:val="859"/>
    <w:uiPriority w:val="99"/>
    <w:semiHidden/>
    <w:unhideWhenUsed/>
    <w:qFormat/>
    <w:pPr>
      <w:spacing w:after="40" w:line="240" w:lineRule="auto"/>
    </w:pPr>
    <w:rPr>
      <w:sz w:val="18"/>
    </w:rPr>
  </w:style>
  <w:style w:type="paragraph" w:styleId="695">
    <w:name w:val="toc 6"/>
    <w:basedOn w:val="656"/>
    <w:next w:val="656"/>
    <w:uiPriority w:val="0"/>
    <w:semiHidden/>
    <w:qFormat/>
    <w:pPr>
      <w:ind w:left="1050"/>
      <w:jc w:val="left"/>
    </w:pPr>
    <w:rPr>
      <w:szCs w:val="21"/>
    </w:rPr>
  </w:style>
  <w:style w:type="paragraph" w:styleId="696">
    <w:name w:val="Body Text Indent 3"/>
    <w:basedOn w:val="656"/>
    <w:link w:val="885"/>
    <w:uiPriority w:val="0"/>
    <w:qFormat/>
    <w:pPr>
      <w:ind w:left="645" w:firstLine="645"/>
    </w:pPr>
    <w:rPr>
      <w:rFonts w:ascii="Arial" w:hAnsi="Arial" w:eastAsia="仿宋_GB2312" w:cs="Arial"/>
      <w:color w:val="ffff00"/>
      <w:sz w:val="32"/>
      <w:szCs w:val="32"/>
    </w:rPr>
  </w:style>
  <w:style w:type="paragraph" w:styleId="697">
    <w:name w:val="table of figures"/>
    <w:basedOn w:val="656"/>
    <w:next w:val="656"/>
    <w:uiPriority w:val="0"/>
    <w:semiHidden/>
    <w:qFormat/>
    <w:pPr>
      <w:ind w:left="840" w:hanging="420"/>
    </w:pPr>
    <w:rPr>
      <w:szCs w:val="21"/>
    </w:rPr>
  </w:style>
  <w:style w:type="paragraph" w:styleId="698">
    <w:name w:val="toc 2"/>
    <w:basedOn w:val="656"/>
    <w:next w:val="656"/>
    <w:uiPriority w:val="0"/>
    <w:semiHidden/>
    <w:qFormat/>
    <w:pPr>
      <w:ind w:left="210"/>
      <w:jc w:val="left"/>
    </w:pPr>
    <w:rPr>
      <w:smallCaps/>
      <w:szCs w:val="24"/>
    </w:rPr>
  </w:style>
  <w:style w:type="paragraph" w:styleId="699">
    <w:name w:val="toc 9"/>
    <w:basedOn w:val="656"/>
    <w:next w:val="656"/>
    <w:uiPriority w:val="0"/>
    <w:semiHidden/>
    <w:qFormat/>
    <w:pPr>
      <w:ind w:left="1680"/>
      <w:jc w:val="left"/>
    </w:pPr>
    <w:rPr>
      <w:szCs w:val="21"/>
    </w:rPr>
  </w:style>
  <w:style w:type="paragraph" w:styleId="700">
    <w:name w:val="Body Text 2"/>
    <w:basedOn w:val="656"/>
    <w:link w:val="886"/>
    <w:uiPriority w:val="0"/>
    <w:qFormat/>
    <w:pPr>
      <w:jc w:val="center"/>
      <w:widowControl/>
    </w:pPr>
    <w:rPr>
      <w:rFonts w:ascii="楷体_GB2312" w:eastAsia="楷体_GB2312"/>
      <w:sz w:val="28"/>
      <w:szCs w:val="28"/>
    </w:rPr>
  </w:style>
  <w:style w:type="paragraph" w:styleId="701">
    <w:name w:val="Normal (Web)"/>
    <w:basedOn w:val="656"/>
    <w:uiPriority w:val="99"/>
    <w:qFormat/>
    <w:pPr>
      <w:jc w:val="left"/>
      <w:spacing w:before="100" w:beforeAutospacing="1" w:after="100" w:afterAutospacing="1"/>
      <w:widowControl/>
    </w:pPr>
    <w:rPr>
      <w:rFonts w:ascii="宋体" w:hAnsi="宋体" w:cs="宋体"/>
      <w:sz w:val="24"/>
      <w:szCs w:val="24"/>
    </w:rPr>
  </w:style>
  <w:style w:type="paragraph" w:styleId="702">
    <w:name w:val="index 1"/>
    <w:basedOn w:val="656"/>
    <w:next w:val="656"/>
    <w:uiPriority w:val="0"/>
    <w:semiHidden/>
    <w:qFormat/>
    <w:pPr>
      <w:spacing w:line="240" w:lineRule="atLeast"/>
    </w:pPr>
    <w:rPr>
      <w:b/>
      <w:bCs/>
      <w:szCs w:val="21"/>
    </w:rPr>
  </w:style>
  <w:style w:type="paragraph" w:styleId="703">
    <w:name w:val="Title"/>
    <w:basedOn w:val="656"/>
    <w:next w:val="656"/>
    <w:link w:val="725"/>
    <w:uiPriority w:val="10"/>
    <w:qFormat/>
    <w:pPr>
      <w:contextualSpacing/>
      <w:spacing w:before="300" w:after="200"/>
    </w:pPr>
    <w:rPr>
      <w:sz w:val="48"/>
      <w:szCs w:val="48"/>
    </w:rPr>
  </w:style>
  <w:style w:type="paragraph" w:styleId="704">
    <w:name w:val="annotation subject"/>
    <w:basedOn w:val="673"/>
    <w:next w:val="673"/>
    <w:link w:val="887"/>
    <w:uiPriority w:val="0"/>
    <w:semiHidden/>
    <w:qFormat/>
    <w:rPr>
      <w:b/>
      <w:bCs/>
    </w:rPr>
  </w:style>
  <w:style w:type="paragraph" w:styleId="705">
    <w:name w:val="Body Text First Indent"/>
    <w:basedOn w:val="656"/>
    <w:link w:val="888"/>
    <w:uiPriority w:val="0"/>
    <w:qFormat/>
    <w:pPr>
      <w:ind w:firstLine="200"/>
      <w:spacing w:line="360" w:lineRule="auto"/>
    </w:pPr>
    <w:rPr>
      <w:rFonts w:ascii="仿宋_GB2312" w:eastAsia="仿宋_GB2312"/>
      <w:sz w:val="30"/>
      <w:szCs w:val="30"/>
    </w:rPr>
  </w:style>
  <w:style w:type="paragraph" w:styleId="706">
    <w:name w:val="Body Text First Indent 2"/>
    <w:basedOn w:val="676"/>
    <w:next w:val="656"/>
    <w:link w:val="864"/>
    <w:uiPriority w:val="0"/>
    <w:qFormat/>
    <w:pPr>
      <w:ind w:left="0" w:firstLine="420"/>
      <w:spacing w:after="0" w:line="360" w:lineRule="auto"/>
    </w:pPr>
    <w:rPr>
      <w:rFonts w:ascii="宋体" w:hAnsi="宋体"/>
      <w:szCs w:val="20"/>
    </w:rPr>
  </w:style>
  <w:style w:type="table" w:styleId="707">
    <w:name w:val="Table Grid"/>
    <w:basedOn w:val="6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8">
    <w:name w:val="Strong"/>
    <w:uiPriority w:val="0"/>
    <w:qFormat/>
    <w:rPr>
      <w:b/>
      <w:bCs/>
    </w:rPr>
  </w:style>
  <w:style w:type="character" w:styleId="709">
    <w:name w:val="endnote reference"/>
    <w:basedOn w:val="666"/>
    <w:uiPriority w:val="99"/>
    <w:semiHidden/>
    <w:unhideWhenUsed/>
    <w:qFormat/>
    <w:rPr>
      <w:vertAlign w:val="superscript"/>
    </w:rPr>
  </w:style>
  <w:style w:type="character" w:styleId="710">
    <w:name w:val="page number"/>
    <w:uiPriority w:val="0"/>
    <w:qFormat/>
  </w:style>
  <w:style w:type="character" w:styleId="711">
    <w:name w:val="FollowedHyperlink"/>
    <w:uiPriority w:val="0"/>
    <w:qFormat/>
    <w:rPr>
      <w:color w:val="800080"/>
      <w:u w:val="single"/>
    </w:rPr>
  </w:style>
  <w:style w:type="character" w:styleId="712">
    <w:name w:val="Emphasis"/>
    <w:uiPriority w:val="0"/>
    <w:qFormat/>
    <w:rPr>
      <w:i/>
    </w:rPr>
  </w:style>
  <w:style w:type="character" w:styleId="713">
    <w:name w:val="Hyperlink"/>
    <w:uiPriority w:val="0"/>
    <w:qFormat/>
    <w:rPr>
      <w:color w:val="0000ff"/>
      <w:u w:val="single"/>
    </w:rPr>
  </w:style>
  <w:style w:type="character" w:styleId="714">
    <w:name w:val="annotation reference"/>
    <w:uiPriority w:val="0"/>
    <w:semiHidden/>
    <w:qFormat/>
    <w:rPr>
      <w:sz w:val="21"/>
      <w:szCs w:val="21"/>
    </w:rPr>
  </w:style>
  <w:style w:type="character" w:styleId="715">
    <w:name w:val="footnote reference"/>
    <w:basedOn w:val="666"/>
    <w:uiPriority w:val="99"/>
    <w:unhideWhenUsed/>
    <w:qFormat/>
    <w:rPr>
      <w:vertAlign w:val="superscript"/>
    </w:rPr>
  </w:style>
  <w:style w:type="character" w:styleId="716" w:customStyle="1">
    <w:name w:val="Heading 1 Char"/>
    <w:basedOn w:val="666"/>
    <w:uiPriority w:val="9"/>
    <w:qFormat/>
    <w:rPr>
      <w:rFonts w:ascii="Arial" w:hAnsi="Arial" w:eastAsia="Arial" w:cs="Arial"/>
      <w:sz w:val="40"/>
      <w:szCs w:val="40"/>
    </w:rPr>
  </w:style>
  <w:style w:type="character" w:styleId="717" w:customStyle="1">
    <w:name w:val="Heading 2 Char"/>
    <w:basedOn w:val="666"/>
    <w:uiPriority w:val="9"/>
    <w:qFormat/>
    <w:rPr>
      <w:rFonts w:ascii="Arial" w:hAnsi="Arial" w:eastAsia="Arial" w:cs="Arial"/>
      <w:sz w:val="34"/>
    </w:rPr>
  </w:style>
  <w:style w:type="character" w:styleId="718" w:customStyle="1">
    <w:name w:val="Heading 3 Char"/>
    <w:basedOn w:val="666"/>
    <w:uiPriority w:val="9"/>
    <w:qFormat/>
    <w:rPr>
      <w:rFonts w:ascii="Arial" w:hAnsi="Arial" w:eastAsia="Arial" w:cs="Arial"/>
      <w:sz w:val="30"/>
      <w:szCs w:val="30"/>
    </w:rPr>
  </w:style>
  <w:style w:type="character" w:styleId="719" w:customStyle="1">
    <w:name w:val="Heading 4 Char"/>
    <w:basedOn w:val="666"/>
    <w:uiPriority w:val="9"/>
    <w:qFormat/>
    <w:rPr>
      <w:rFonts w:ascii="Arial" w:hAnsi="Arial" w:eastAsia="Arial" w:cs="Arial"/>
      <w:b/>
      <w:bCs/>
      <w:sz w:val="26"/>
      <w:szCs w:val="26"/>
    </w:rPr>
  </w:style>
  <w:style w:type="character" w:styleId="720" w:customStyle="1">
    <w:name w:val="Heading 5 Char"/>
    <w:basedOn w:val="666"/>
    <w:uiPriority w:val="9"/>
    <w:qFormat/>
    <w:rPr>
      <w:rFonts w:ascii="Arial" w:hAnsi="Arial" w:eastAsia="Arial" w:cs="Arial"/>
      <w:b/>
      <w:bCs/>
      <w:sz w:val="24"/>
      <w:szCs w:val="24"/>
    </w:rPr>
  </w:style>
  <w:style w:type="character" w:styleId="721" w:customStyle="1">
    <w:name w:val="Heading 6 Char"/>
    <w:basedOn w:val="666"/>
    <w:uiPriority w:val="9"/>
    <w:qFormat/>
    <w:rPr>
      <w:rFonts w:ascii="Arial" w:hAnsi="Arial" w:eastAsia="Arial" w:cs="Arial"/>
      <w:b/>
      <w:bCs/>
      <w:sz w:val="22"/>
      <w:szCs w:val="22"/>
    </w:rPr>
  </w:style>
  <w:style w:type="character" w:styleId="722" w:customStyle="1">
    <w:name w:val="Heading 7 Char"/>
    <w:basedOn w:val="666"/>
    <w:uiPriority w:val="9"/>
    <w:qFormat/>
    <w:rPr>
      <w:rFonts w:ascii="Arial" w:hAnsi="Arial" w:eastAsia="Arial" w:cs="Arial"/>
      <w:b/>
      <w:bCs/>
      <w:i/>
      <w:iCs/>
      <w:sz w:val="22"/>
      <w:szCs w:val="22"/>
    </w:rPr>
  </w:style>
  <w:style w:type="character" w:styleId="723" w:customStyle="1">
    <w:name w:val="Heading 8 Char"/>
    <w:basedOn w:val="666"/>
    <w:uiPriority w:val="9"/>
    <w:qFormat/>
    <w:rPr>
      <w:rFonts w:ascii="Arial" w:hAnsi="Arial" w:eastAsia="Arial" w:cs="Arial"/>
      <w:i/>
      <w:iCs/>
      <w:sz w:val="22"/>
      <w:szCs w:val="22"/>
    </w:rPr>
  </w:style>
  <w:style w:type="character" w:styleId="724" w:customStyle="1">
    <w:name w:val="Heading 9 Char"/>
    <w:basedOn w:val="666"/>
    <w:uiPriority w:val="9"/>
    <w:qFormat/>
    <w:rPr>
      <w:rFonts w:ascii="Arial" w:hAnsi="Arial" w:eastAsia="Arial" w:cs="Arial"/>
      <w:i/>
      <w:iCs/>
      <w:sz w:val="21"/>
      <w:szCs w:val="21"/>
    </w:rPr>
  </w:style>
  <w:style w:type="character" w:styleId="725" w:customStyle="1">
    <w:name w:val="Title Char"/>
    <w:basedOn w:val="666"/>
    <w:link w:val="703"/>
    <w:uiPriority w:val="10"/>
    <w:qFormat/>
    <w:rPr>
      <w:sz w:val="48"/>
      <w:szCs w:val="48"/>
    </w:rPr>
  </w:style>
  <w:style w:type="character" w:styleId="726" w:customStyle="1">
    <w:name w:val="Subtitle Char"/>
    <w:basedOn w:val="666"/>
    <w:link w:val="692"/>
    <w:uiPriority w:val="11"/>
    <w:qFormat/>
    <w:rPr>
      <w:sz w:val="24"/>
      <w:szCs w:val="24"/>
    </w:rPr>
  </w:style>
  <w:style w:type="paragraph" w:styleId="727">
    <w:name w:val="Quote"/>
    <w:basedOn w:val="656"/>
    <w:next w:val="656"/>
    <w:link w:val="728"/>
    <w:uiPriority w:val="29"/>
    <w:qFormat/>
    <w:pPr>
      <w:ind w:left="720" w:right="720"/>
    </w:pPr>
    <w:rPr>
      <w:i/>
    </w:rPr>
  </w:style>
  <w:style w:type="character" w:styleId="728" w:customStyle="1">
    <w:name w:val="Quote Char"/>
    <w:link w:val="727"/>
    <w:uiPriority w:val="29"/>
    <w:qFormat/>
    <w:rPr>
      <w:i/>
    </w:rPr>
  </w:style>
  <w:style w:type="paragraph" w:styleId="729">
    <w:name w:val="Intense Quote"/>
    <w:basedOn w:val="656"/>
    <w:next w:val="656"/>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customStyle="1">
    <w:name w:val="Intense Quote Char"/>
    <w:link w:val="729"/>
    <w:uiPriority w:val="30"/>
    <w:qFormat/>
    <w:rPr>
      <w:i/>
    </w:rPr>
  </w:style>
  <w:style w:type="character" w:styleId="731" w:customStyle="1">
    <w:name w:val="Header Char"/>
    <w:basedOn w:val="666"/>
    <w:uiPriority w:val="99"/>
    <w:qFormat/>
  </w:style>
  <w:style w:type="character" w:styleId="732" w:customStyle="1">
    <w:name w:val="Footer Char"/>
    <w:basedOn w:val="666"/>
    <w:uiPriority w:val="99"/>
    <w:qFormat/>
  </w:style>
  <w:style w:type="character" w:styleId="733" w:customStyle="1">
    <w:name w:val="Caption Char"/>
    <w:uiPriority w:val="99"/>
    <w:qFormat/>
  </w:style>
  <w:style w:type="table" w:styleId="734" w:customStyle="1">
    <w:name w:val="Table Grid Light"/>
    <w:basedOn w:val="6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5" w:customStyle="1">
    <w:name w:val="Plain Table 1"/>
    <w:basedOn w:val="6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basedOn w:val="6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basedOn w:val="6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1"/>
    <w:basedOn w:val="66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2"/>
    <w:basedOn w:val="66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3"/>
    <w:basedOn w:val="66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4"/>
    <w:basedOn w:val="66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5"/>
    <w:basedOn w:val="66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6"/>
    <w:basedOn w:val="66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7" w:customStyle="1">
    <w:name w:val="Grid Table 2"/>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2 - Accent 1"/>
    <w:basedOn w:val="66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9" w:customStyle="1">
    <w:name w:val="Grid Table 2 - Accent 2"/>
    <w:basedOn w:val="66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0" w:customStyle="1">
    <w:name w:val="Grid Table 2 - Accent 3"/>
    <w:basedOn w:val="66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1" w:customStyle="1">
    <w:name w:val="Grid Table 2 - Accent 4"/>
    <w:basedOn w:val="66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2" w:customStyle="1">
    <w:name w:val="Grid Table 2 - Accent 5"/>
    <w:basedOn w:val="66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3" w:customStyle="1">
    <w:name w:val="Grid Table 2 - Accent 6"/>
    <w:basedOn w:val="66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4" w:customStyle="1">
    <w:name w:val="Grid Table 3"/>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1"/>
    <w:basedOn w:val="66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2"/>
    <w:basedOn w:val="66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3"/>
    <w:basedOn w:val="66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4"/>
    <w:basedOn w:val="66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5"/>
    <w:basedOn w:val="66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6"/>
    <w:basedOn w:val="66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4"/>
    <w:basedOn w:val="6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4 - Accent 1"/>
    <w:basedOn w:val="66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3" w:customStyle="1">
    <w:name w:val="Grid Table 4 - Accent 2"/>
    <w:basedOn w:val="66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4" w:customStyle="1">
    <w:name w:val="Grid Table 4 - Accent 3"/>
    <w:basedOn w:val="66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5" w:customStyle="1">
    <w:name w:val="Grid Table 4 - Accent 4"/>
    <w:basedOn w:val="66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6" w:customStyle="1">
    <w:name w:val="Grid Table 4 - Accent 5"/>
    <w:basedOn w:val="66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7" w:customStyle="1">
    <w:name w:val="Grid Table 4 - Accent 6"/>
    <w:basedOn w:val="66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8" w:customStyle="1">
    <w:name w:val="Grid Table 5 Dark"/>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5 Dark- Accent 1"/>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0" w:customStyle="1">
    <w:name w:val="Grid Table 5 Dark - Accent 2"/>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1" w:customStyle="1">
    <w:name w:val="Grid Table 5 Dark - Accent 3"/>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2" w:customStyle="1">
    <w:name w:val="Grid Table 5 Dark- Accent 4"/>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3" w:customStyle="1">
    <w:name w:val="Grid Table 5 Dark - Accent 5"/>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4" w:customStyle="1">
    <w:name w:val="Grid Table 5 Dark - Accent 6"/>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5" w:customStyle="1">
    <w:name w:val="Grid Table 6 Colorful"/>
    <w:basedOn w:val="6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Grid Table 6 Colorful - Accent 1"/>
    <w:basedOn w:val="66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7" w:customStyle="1">
    <w:name w:val="Grid Table 6 Colorful - Accent 2"/>
    <w:basedOn w:val="66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8" w:customStyle="1">
    <w:name w:val="Grid Table 6 Colorful - Accent 3"/>
    <w:basedOn w:val="66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9" w:customStyle="1">
    <w:name w:val="Grid Table 6 Colorful - Accent 4"/>
    <w:basedOn w:val="66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0" w:customStyle="1">
    <w:name w:val="Grid Table 6 Colorful - Accent 5"/>
    <w:basedOn w:val="66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1" w:customStyle="1">
    <w:name w:val="Grid Table 6 Colorful - Accent 6"/>
    <w:basedOn w:val="66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2" w:customStyle="1">
    <w:name w:val="Grid Table 7 Colorful"/>
    <w:basedOn w:val="6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Grid Table 7 Colorful - Accent 1"/>
    <w:basedOn w:val="66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4" w:customStyle="1">
    <w:name w:val="Grid Table 7 Colorful - Accent 2"/>
    <w:basedOn w:val="66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7 Colorful - Accent 3"/>
    <w:basedOn w:val="66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7 Colorful - Accent 4"/>
    <w:basedOn w:val="66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7 Colorful - Accent 5"/>
    <w:basedOn w:val="66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8" w:customStyle="1">
    <w:name w:val="Grid Table 7 Colorful - Accent 6"/>
    <w:basedOn w:val="66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9" w:customStyle="1">
    <w:name w:val="List Table 1 Light"/>
    <w:basedOn w:val="6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1 Light - Accent 1"/>
    <w:basedOn w:val="66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1" w:customStyle="1">
    <w:name w:val="List Table 1 Light - Accent 2"/>
    <w:basedOn w:val="66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2" w:customStyle="1">
    <w:name w:val="List Table 1 Light - Accent 3"/>
    <w:basedOn w:val="66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3" w:customStyle="1">
    <w:name w:val="List Table 1 Light - Accent 4"/>
    <w:basedOn w:val="66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4" w:customStyle="1">
    <w:name w:val="List Table 1 Light - Accent 5"/>
    <w:basedOn w:val="66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List Table 1 Light - Accent 6"/>
    <w:basedOn w:val="66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List Table 2"/>
    <w:basedOn w:val="6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List Table 2 - Accent 1"/>
    <w:basedOn w:val="66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8" w:customStyle="1">
    <w:name w:val="List Table 2 - Accent 2"/>
    <w:basedOn w:val="66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9" w:customStyle="1">
    <w:name w:val="List Table 2 - Accent 3"/>
    <w:basedOn w:val="66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0" w:customStyle="1">
    <w:name w:val="List Table 2 - Accent 4"/>
    <w:basedOn w:val="66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1" w:customStyle="1">
    <w:name w:val="List Table 2 - Accent 5"/>
    <w:basedOn w:val="66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2" w:customStyle="1">
    <w:name w:val="List Table 2 - Accent 6"/>
    <w:basedOn w:val="66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3" w:customStyle="1">
    <w:name w:val="List Table 3"/>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3 - Accent 1"/>
    <w:basedOn w:val="66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3 - Accent 2"/>
    <w:basedOn w:val="66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6" w:customStyle="1">
    <w:name w:val="List Table 3 - Accent 3"/>
    <w:basedOn w:val="66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7" w:customStyle="1">
    <w:name w:val="List Table 3 - Accent 4"/>
    <w:basedOn w:val="66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8" w:customStyle="1">
    <w:name w:val="List Table 3 - Accent 5"/>
    <w:basedOn w:val="66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9" w:customStyle="1">
    <w:name w:val="List Table 3 - Accent 6"/>
    <w:basedOn w:val="66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0" w:customStyle="1">
    <w:name w:val="List Table 4"/>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 Accent 1"/>
    <w:basedOn w:val="66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4 - Accent 2"/>
    <w:basedOn w:val="66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3" w:customStyle="1">
    <w:name w:val="List Table 4 - Accent 3"/>
    <w:basedOn w:val="66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4" w:customStyle="1">
    <w:name w:val="List Table 4 - Accent 4"/>
    <w:basedOn w:val="66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5" w:customStyle="1">
    <w:name w:val="List Table 4 - Accent 5"/>
    <w:basedOn w:val="66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6" w:customStyle="1">
    <w:name w:val="List Table 4 - Accent 6"/>
    <w:basedOn w:val="66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7" w:customStyle="1">
    <w:name w:val="List Table 5 Dark"/>
    <w:basedOn w:val="6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1"/>
    <w:basedOn w:val="66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2"/>
    <w:basedOn w:val="66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3"/>
    <w:basedOn w:val="66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4"/>
    <w:basedOn w:val="66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5"/>
    <w:basedOn w:val="66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6"/>
    <w:basedOn w:val="66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6 Colorful"/>
    <w:basedOn w:val="66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6 Colorful - Accent 1"/>
    <w:basedOn w:val="66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6" w:customStyle="1">
    <w:name w:val="List Table 6 Colorful - Accent 2"/>
    <w:basedOn w:val="66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7" w:customStyle="1">
    <w:name w:val="List Table 6 Colorful - Accent 3"/>
    <w:basedOn w:val="66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8" w:customStyle="1">
    <w:name w:val="List Table 6 Colorful - Accent 4"/>
    <w:basedOn w:val="66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9" w:customStyle="1">
    <w:name w:val="List Table 6 Colorful - Accent 5"/>
    <w:basedOn w:val="66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0" w:customStyle="1">
    <w:name w:val="List Table 6 Colorful - Accent 6"/>
    <w:basedOn w:val="66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1" w:customStyle="1">
    <w:name w:val="List Table 7 Colorful"/>
    <w:basedOn w:val="66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List Table 7 Colorful - Accent 1"/>
    <w:basedOn w:val="66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7 Colorful - Accent 2"/>
    <w:basedOn w:val="66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List Table 7 Colorful - Accent 3"/>
    <w:basedOn w:val="66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5" w:customStyle="1">
    <w:name w:val="List Table 7 Colorful - Accent 4"/>
    <w:basedOn w:val="66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List Table 7 Colorful - Accent 5"/>
    <w:basedOn w:val="66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7" w:customStyle="1">
    <w:name w:val="List Table 7 Colorful - Accent 6"/>
    <w:basedOn w:val="66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8" w:customStyle="1">
    <w:name w:val="Lined - Accent"/>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Lined - Accent 1"/>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0" w:customStyle="1">
    <w:name w:val="Lined - Accent 2"/>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1" w:customStyle="1">
    <w:name w:val="Lined - Accent 3"/>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2" w:customStyle="1">
    <w:name w:val="Lined - Accent 4"/>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Lined - Accent 5"/>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Lined - Accent 6"/>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amp; Lined - Accent"/>
    <w:basedOn w:val="66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Bordered &amp; Lined - Accent 1"/>
    <w:basedOn w:val="66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7" w:customStyle="1">
    <w:name w:val="Bordered &amp; Lined - Accent 2"/>
    <w:basedOn w:val="66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8" w:customStyle="1">
    <w:name w:val="Bordered &amp; Lined - Accent 3"/>
    <w:basedOn w:val="66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9" w:customStyle="1">
    <w:name w:val="Bordered &amp; Lined - Accent 4"/>
    <w:basedOn w:val="66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Bordered &amp; Lined - Accent 5"/>
    <w:basedOn w:val="66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Bordered &amp; Lined - Accent 6"/>
    <w:basedOn w:val="66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w:basedOn w:val="66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3" w:customStyle="1">
    <w:name w:val="Bordered - Accent 1"/>
    <w:basedOn w:val="66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4" w:customStyle="1">
    <w:name w:val="Bordered - Accent 2"/>
    <w:basedOn w:val="66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5" w:customStyle="1">
    <w:name w:val="Bordered - Accent 3"/>
    <w:basedOn w:val="66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6" w:customStyle="1">
    <w:name w:val="Bordered - Accent 4"/>
    <w:basedOn w:val="66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7" w:customStyle="1">
    <w:name w:val="Bordered - Accent 5"/>
    <w:basedOn w:val="66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8" w:customStyle="1">
    <w:name w:val="Bordered - Accent 6"/>
    <w:basedOn w:val="66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9" w:customStyle="1">
    <w:name w:val="Footnote Text Char"/>
    <w:link w:val="694"/>
    <w:uiPriority w:val="99"/>
    <w:qFormat/>
    <w:rPr>
      <w:sz w:val="18"/>
    </w:rPr>
  </w:style>
  <w:style w:type="character" w:styleId="860" w:customStyle="1">
    <w:name w:val="Endnote Text Char"/>
    <w:link w:val="686"/>
    <w:uiPriority w:val="99"/>
    <w:qFormat/>
    <w:rPr>
      <w:sz w:val="20"/>
    </w:rPr>
  </w:style>
  <w:style w:type="paragraph" w:styleId="861" w:customStyle="1">
    <w:name w:val="TOC Heading"/>
    <w:uiPriority w:val="39"/>
    <w:unhideWhenUsed/>
    <w:qFormat/>
    <w:rPr>
      <w:rFonts w:hint="default" w:ascii="Times New Roman" w:hAnsi="Times New Roman" w:eastAsia="宋体" w:cs="Times New Roman"/>
    </w:rPr>
  </w:style>
  <w:style w:type="paragraph" w:styleId="862" w:customStyle="1">
    <w:name w:val="索引 41"/>
    <w:basedOn w:val="656"/>
    <w:next w:val="656"/>
    <w:uiPriority w:val="0"/>
    <w:semiHidden/>
    <w:qFormat/>
    <w:pPr>
      <w:ind w:left="1260"/>
    </w:pPr>
    <w:rPr>
      <w:rFonts w:ascii="Calibri" w:hAnsi="Calibri" w:eastAsia="Calibri" w:cs="宋体"/>
      <w:sz w:val="20"/>
      <w:lang w:val="zh-CN"/>
    </w:rPr>
  </w:style>
  <w:style w:type="character" w:styleId="863" w:customStyle="1">
    <w:name w:val="正文文本缩进 Char"/>
    <w:link w:val="676"/>
    <w:uiPriority w:val="99"/>
    <w:semiHidden/>
    <w:qFormat/>
  </w:style>
  <w:style w:type="character" w:styleId="864" w:customStyle="1">
    <w:name w:val="正文首行缩进 2 Char"/>
    <w:link w:val="706"/>
    <w:uiPriority w:val="0"/>
    <w:qFormat/>
    <w:rPr>
      <w:rFonts w:ascii="宋体" w:hAnsi="宋体" w:eastAsia="宋体" w:cs="Times New Roman"/>
      <w:szCs w:val="20"/>
    </w:rPr>
  </w:style>
  <w:style w:type="character" w:styleId="865" w:customStyle="1">
    <w:name w:val="标题 1 Char"/>
    <w:link w:val="657"/>
    <w:uiPriority w:val="0"/>
    <w:qFormat/>
    <w:rPr>
      <w:rFonts w:ascii="楷体_GB2312" w:hAnsi="Times New Roman" w:eastAsia="楷体_GB2312" w:cs="Times New Roman"/>
      <w:sz w:val="28"/>
      <w:szCs w:val="28"/>
    </w:rPr>
  </w:style>
  <w:style w:type="character" w:styleId="866" w:customStyle="1">
    <w:name w:val="标题 2 Char"/>
    <w:link w:val="658"/>
    <w:uiPriority w:val="0"/>
    <w:qFormat/>
    <w:rPr>
      <w:rFonts w:ascii="Arial" w:hAnsi="Arial" w:eastAsia="幼圆" w:cs="Arial"/>
      <w:b/>
      <w:bCs/>
      <w:sz w:val="44"/>
      <w:szCs w:val="44"/>
    </w:rPr>
  </w:style>
  <w:style w:type="character" w:styleId="867" w:customStyle="1">
    <w:name w:val="正文缩进 Char"/>
    <w:link w:val="668"/>
    <w:uiPriority w:val="0"/>
    <w:qFormat/>
    <w:rPr>
      <w:szCs w:val="21"/>
    </w:rPr>
  </w:style>
  <w:style w:type="character" w:styleId="868" w:customStyle="1">
    <w:name w:val="标题 3 Char"/>
    <w:link w:val="659"/>
    <w:uiPriority w:val="0"/>
    <w:qFormat/>
    <w:rPr>
      <w:rFonts w:ascii="Times New Roman" w:hAnsi="Times New Roman" w:eastAsia="宋体" w:cs="Times New Roman"/>
      <w:b/>
      <w:bCs/>
      <w:sz w:val="32"/>
      <w:szCs w:val="32"/>
    </w:rPr>
  </w:style>
  <w:style w:type="character" w:styleId="869" w:customStyle="1">
    <w:name w:val="标题 4 Char"/>
    <w:link w:val="660"/>
    <w:uiPriority w:val="0"/>
    <w:qFormat/>
    <w:rPr>
      <w:rFonts w:ascii="Arial" w:hAnsi="Arial" w:eastAsia="黑体" w:cs="Arial"/>
      <w:b/>
      <w:bCs/>
      <w:sz w:val="28"/>
      <w:szCs w:val="28"/>
    </w:rPr>
  </w:style>
  <w:style w:type="character" w:styleId="870" w:customStyle="1">
    <w:name w:val="标题 5 Char"/>
    <w:link w:val="661"/>
    <w:uiPriority w:val="0"/>
    <w:qFormat/>
    <w:rPr>
      <w:rFonts w:ascii="宋体" w:hAnsi="Times New Roman" w:eastAsia="宋体" w:cs="Times New Roman"/>
      <w:color w:val="000000"/>
      <w:sz w:val="28"/>
      <w:szCs w:val="28"/>
    </w:rPr>
  </w:style>
  <w:style w:type="character" w:styleId="871" w:customStyle="1">
    <w:name w:val="标题 6 Char"/>
    <w:link w:val="662"/>
    <w:uiPriority w:val="0"/>
    <w:qFormat/>
    <w:rPr>
      <w:rFonts w:ascii="Arial" w:hAnsi="Arial" w:eastAsia="黑体" w:cs="Times New Roman"/>
      <w:b/>
      <w:bCs/>
      <w:sz w:val="24"/>
      <w:szCs w:val="24"/>
    </w:rPr>
  </w:style>
  <w:style w:type="character" w:styleId="872" w:customStyle="1">
    <w:name w:val="标题 7 Char"/>
    <w:link w:val="663"/>
    <w:uiPriority w:val="0"/>
    <w:qFormat/>
    <w:rPr>
      <w:rFonts w:ascii="Times New Roman" w:hAnsi="Times New Roman" w:eastAsia="宋体" w:cs="Times New Roman"/>
      <w:b/>
      <w:bCs/>
      <w:sz w:val="24"/>
      <w:szCs w:val="24"/>
    </w:rPr>
  </w:style>
  <w:style w:type="character" w:styleId="873" w:customStyle="1">
    <w:name w:val="标题 8 Char"/>
    <w:link w:val="664"/>
    <w:uiPriority w:val="0"/>
    <w:qFormat/>
    <w:rPr>
      <w:rFonts w:ascii="Arial" w:hAnsi="Arial" w:eastAsia="黑体" w:cs="Times New Roman"/>
      <w:sz w:val="24"/>
      <w:szCs w:val="24"/>
    </w:rPr>
  </w:style>
  <w:style w:type="character" w:styleId="874" w:customStyle="1">
    <w:name w:val="标题 9 Char"/>
    <w:link w:val="665"/>
    <w:uiPriority w:val="0"/>
    <w:qFormat/>
    <w:rPr>
      <w:rFonts w:ascii="Arial" w:hAnsi="Arial" w:eastAsia="黑体" w:cs="Times New Roman"/>
      <w:szCs w:val="21"/>
    </w:rPr>
  </w:style>
  <w:style w:type="character" w:styleId="875" w:customStyle="1">
    <w:name w:val="文档结构图 Char"/>
    <w:link w:val="672"/>
    <w:uiPriority w:val="0"/>
    <w:semiHidden/>
    <w:qFormat/>
    <w:rPr>
      <w:rFonts w:ascii="Times New Roman" w:hAnsi="Times New Roman" w:eastAsia="宋体" w:cs="Times New Roman"/>
      <w:szCs w:val="21"/>
      <w:shd w:val="clear" w:color="auto" w:fill="000080"/>
    </w:rPr>
  </w:style>
  <w:style w:type="character" w:styleId="876" w:customStyle="1">
    <w:name w:val="批注文字 Char"/>
    <w:link w:val="673"/>
    <w:uiPriority w:val="0"/>
    <w:semiHidden/>
    <w:qFormat/>
  </w:style>
  <w:style w:type="character" w:styleId="877" w:customStyle="1">
    <w:name w:val="正文文本 3 Char"/>
    <w:link w:val="674"/>
    <w:uiPriority w:val="0"/>
    <w:qFormat/>
    <w:rPr>
      <w:rFonts w:ascii="仿宋_GB2312" w:hAnsi="Arial" w:eastAsia="仿宋_GB2312" w:cs="Times New Roman"/>
      <w:sz w:val="32"/>
      <w:szCs w:val="32"/>
    </w:rPr>
  </w:style>
  <w:style w:type="character" w:styleId="878" w:customStyle="1">
    <w:name w:val="正文文本 Char"/>
    <w:link w:val="675"/>
    <w:uiPriority w:val="0"/>
    <w:qFormat/>
    <w:rPr>
      <w:rFonts w:ascii="楷体_GB2312" w:hAnsi="Arial" w:eastAsia="楷体_GB2312" w:cs="Times New Roman"/>
      <w:sz w:val="28"/>
      <w:szCs w:val="28"/>
    </w:rPr>
  </w:style>
  <w:style w:type="character" w:styleId="879" w:customStyle="1">
    <w:name w:val="纯文本 Char"/>
    <w:link w:val="682"/>
    <w:uiPriority w:val="0"/>
    <w:qFormat/>
    <w:rPr>
      <w:rFonts w:ascii="宋体" w:hAnsi="Courier New" w:eastAsia="宋体" w:cs="Courier New"/>
      <w:szCs w:val="21"/>
    </w:rPr>
  </w:style>
  <w:style w:type="character" w:styleId="880" w:customStyle="1">
    <w:name w:val="日期 Char"/>
    <w:link w:val="684"/>
    <w:uiPriority w:val="0"/>
    <w:qFormat/>
    <w:rPr>
      <w:rFonts w:ascii="Times New Roman" w:hAnsi="Times New Roman" w:eastAsia="宋体" w:cs="Times New Roman"/>
      <w:sz w:val="24"/>
      <w:szCs w:val="24"/>
    </w:rPr>
  </w:style>
  <w:style w:type="character" w:styleId="881" w:customStyle="1">
    <w:name w:val="正文文本缩进 2 Char"/>
    <w:link w:val="685"/>
    <w:uiPriority w:val="0"/>
    <w:qFormat/>
    <w:rPr>
      <w:rFonts w:ascii="Arial" w:hAnsi="Arial" w:eastAsia="仿宋_GB2312" w:cs="Arial"/>
      <w:sz w:val="32"/>
      <w:szCs w:val="32"/>
    </w:rPr>
  </w:style>
  <w:style w:type="character" w:styleId="882" w:customStyle="1">
    <w:name w:val="批注框文本 Char"/>
    <w:link w:val="687"/>
    <w:uiPriority w:val="0"/>
    <w:semiHidden/>
    <w:qFormat/>
    <w:rPr>
      <w:rFonts w:ascii="Times New Roman" w:hAnsi="Times New Roman" w:eastAsia="宋体" w:cs="Times New Roman"/>
      <w:sz w:val="18"/>
      <w:szCs w:val="18"/>
    </w:rPr>
  </w:style>
  <w:style w:type="character" w:styleId="883" w:customStyle="1">
    <w:name w:val="页脚 Char"/>
    <w:link w:val="688"/>
    <w:uiPriority w:val="0"/>
    <w:qFormat/>
    <w:rPr>
      <w:rFonts w:ascii="Times New Roman" w:hAnsi="Times New Roman" w:eastAsia="宋体" w:cs="Times New Roman"/>
      <w:sz w:val="18"/>
      <w:szCs w:val="18"/>
    </w:rPr>
  </w:style>
  <w:style w:type="character" w:styleId="884" w:customStyle="1">
    <w:name w:val="页眉 Char"/>
    <w:link w:val="689"/>
    <w:uiPriority w:val="0"/>
    <w:qFormat/>
    <w:rPr>
      <w:rFonts w:ascii="Times New Roman" w:hAnsi="Times New Roman" w:eastAsia="宋体" w:cs="Times New Roman"/>
      <w:sz w:val="18"/>
      <w:szCs w:val="18"/>
    </w:rPr>
  </w:style>
  <w:style w:type="character" w:styleId="885" w:customStyle="1">
    <w:name w:val="正文文本缩进 3 Char"/>
    <w:link w:val="696"/>
    <w:uiPriority w:val="0"/>
    <w:qFormat/>
    <w:rPr>
      <w:rFonts w:ascii="Arial" w:hAnsi="Arial" w:eastAsia="仿宋_GB2312" w:cs="Arial"/>
      <w:color w:val="ffff00"/>
      <w:sz w:val="32"/>
      <w:szCs w:val="32"/>
    </w:rPr>
  </w:style>
  <w:style w:type="character" w:styleId="886" w:customStyle="1">
    <w:name w:val="正文文本 2 Char"/>
    <w:link w:val="700"/>
    <w:uiPriority w:val="0"/>
    <w:qFormat/>
    <w:rPr>
      <w:rFonts w:ascii="楷体_GB2312" w:hAnsi="Times New Roman" w:eastAsia="楷体_GB2312" w:cs="Times New Roman"/>
      <w:sz w:val="28"/>
      <w:szCs w:val="28"/>
    </w:rPr>
  </w:style>
  <w:style w:type="character" w:styleId="887" w:customStyle="1">
    <w:name w:val="批注主题 Char"/>
    <w:link w:val="704"/>
    <w:uiPriority w:val="0"/>
    <w:semiHidden/>
    <w:qFormat/>
    <w:rPr>
      <w:rFonts w:ascii="Times New Roman" w:hAnsi="Times New Roman" w:eastAsia="宋体" w:cs="Times New Roman"/>
      <w:b/>
      <w:bCs/>
      <w:szCs w:val="21"/>
    </w:rPr>
  </w:style>
  <w:style w:type="character" w:styleId="888" w:customStyle="1">
    <w:name w:val="正文首行缩进 Char"/>
    <w:link w:val="705"/>
    <w:uiPriority w:val="0"/>
    <w:qFormat/>
    <w:rPr>
      <w:rFonts w:ascii="仿宋_GB2312" w:hAnsi="Times New Roman" w:eastAsia="仿宋_GB2312" w:cs="Times New Roman"/>
      <w:sz w:val="30"/>
      <w:szCs w:val="30"/>
    </w:rPr>
  </w:style>
  <w:style w:type="paragraph" w:styleId="889" w:customStyle="1">
    <w:name w:val="正文文本缩进1"/>
    <w:basedOn w:val="656"/>
    <w:next w:val="890"/>
    <w:uiPriority w:val="0"/>
    <w:unhideWhenUsed/>
    <w:qFormat/>
    <w:pPr>
      <w:ind w:left="420"/>
      <w:spacing w:after="120"/>
    </w:pPr>
  </w:style>
  <w:style w:type="paragraph" w:styleId="890" w:customStyle="1">
    <w:name w:val="正文文本首行缩进 2"/>
    <w:basedOn w:val="889"/>
    <w:uiPriority w:val="0"/>
    <w:qFormat/>
    <w:pPr>
      <w:ind w:left="0" w:firstLine="420"/>
      <w:spacing w:after="0" w:line="360" w:lineRule="auto"/>
    </w:pPr>
    <w:rPr>
      <w:rFonts w:ascii="宋体" w:hAnsi="宋体"/>
      <w:sz w:val="20"/>
      <w:szCs w:val="20"/>
      <w:lang w:eastAsia="en-US"/>
    </w:rPr>
  </w:style>
  <w:style w:type="character" w:styleId="891" w:customStyle="1">
    <w:name w:val="font5 Char"/>
    <w:uiPriority w:val="0"/>
    <w:qFormat/>
    <w:rPr>
      <w:rFonts w:ascii="宋体" w:hAnsi="宋体" w:eastAsia="宋体"/>
      <w:sz w:val="28"/>
      <w:szCs w:val="28"/>
      <w:lang w:val="en-US" w:eastAsia="zh-CN" w:bidi="ar-SA"/>
    </w:rPr>
  </w:style>
  <w:style w:type="character" w:styleId="892" w:customStyle="1">
    <w:name w:val="二级目录 Char"/>
    <w:link w:val="893"/>
    <w:uiPriority w:val="0"/>
    <w:qFormat/>
    <w:rPr>
      <w:b/>
      <w:sz w:val="30"/>
      <w:szCs w:val="28"/>
    </w:rPr>
  </w:style>
  <w:style w:type="paragraph" w:styleId="893" w:customStyle="1">
    <w:name w:val="二级目录"/>
    <w:next w:val="656"/>
    <w:link w:val="892"/>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894" w:customStyle="1">
    <w:name w:val="列出段落 Char"/>
    <w:link w:val="895"/>
    <w:uiPriority w:val="0"/>
    <w:qFormat/>
    <w:rPr>
      <w:rFonts w:ascii="Calibri" w:hAnsi="Calibri"/>
      <w:sz w:val="24"/>
      <w:szCs w:val="24"/>
      <w:lang w:eastAsia="en-US" w:bidi="en-US"/>
    </w:rPr>
  </w:style>
  <w:style w:type="paragraph" w:styleId="895" w:customStyle="1">
    <w:name w:val="列出段落1"/>
    <w:basedOn w:val="656"/>
    <w:link w:val="894"/>
    <w:uiPriority w:val="0"/>
    <w:qFormat/>
    <w:pPr>
      <w:contextualSpacing/>
      <w:ind w:left="720"/>
      <w:jc w:val="left"/>
      <w:widowControl/>
    </w:pPr>
    <w:rPr>
      <w:rFonts w:ascii="Calibri" w:hAnsi="Calibri"/>
      <w:sz w:val="24"/>
      <w:szCs w:val="24"/>
      <w:lang w:eastAsia="en-US" w:bidi="en-US"/>
    </w:rPr>
  </w:style>
  <w:style w:type="paragraph" w:styleId="896" w:customStyle="1">
    <w:name w:val="Body Text(ch)"/>
    <w:basedOn w:val="656"/>
    <w:next w:val="675"/>
    <w:uiPriority w:val="0"/>
    <w:qFormat/>
    <w:pPr>
      <w:spacing w:after="120"/>
    </w:pPr>
    <w:rPr>
      <w:rFonts w:ascii="宋体" w:hAnsi="Arial"/>
      <w:bCs/>
      <w:iCs/>
      <w:szCs w:val="24"/>
    </w:rPr>
  </w:style>
  <w:style w:type="paragraph" w:styleId="897" w:customStyle="1">
    <w:name w:val="xl27"/>
    <w:basedOn w:val="6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98" w:customStyle="1">
    <w:name w:val="xl26"/>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99" w:customStyle="1">
    <w:name w:val="Char"/>
    <w:basedOn w:val="656"/>
    <w:uiPriority w:val="0"/>
    <w:qFormat/>
    <w:pPr>
      <w:ind w:firstLine="200"/>
      <w:tabs>
        <w:tab w:val="left" w:pos="360" w:leader="none"/>
      </w:tabs>
    </w:pPr>
    <w:rPr>
      <w:sz w:val="28"/>
      <w:szCs w:val="30"/>
    </w:rPr>
  </w:style>
  <w:style w:type="paragraph" w:styleId="900" w:customStyle="1">
    <w:name w:val="Char1"/>
    <w:basedOn w:val="672"/>
    <w:uiPriority w:val="0"/>
    <w:qFormat/>
    <w:rPr>
      <w:rFonts w:ascii="Tahoma" w:hAnsi="Tahoma"/>
      <w:sz w:val="24"/>
      <w:szCs w:val="24"/>
    </w:rPr>
  </w:style>
  <w:style w:type="paragraph" w:styleId="901" w:customStyle="1">
    <w:name w:val="普通正文"/>
    <w:basedOn w:val="656"/>
    <w:uiPriority w:val="0"/>
    <w:qFormat/>
    <w:pPr>
      <w:ind w:firstLine="480"/>
      <w:jc w:val="left"/>
      <w:spacing w:before="120" w:after="120" w:line="360" w:lineRule="auto"/>
    </w:pPr>
    <w:rPr>
      <w:rFonts w:ascii="Arial" w:hAnsi="Arial"/>
      <w:sz w:val="24"/>
      <w:szCs w:val="24"/>
    </w:rPr>
  </w:style>
  <w:style w:type="paragraph" w:styleId="902" w:customStyle="1">
    <w:name w:val="table_lines"/>
    <w:basedOn w:val="656"/>
    <w:uiPriority w:val="0"/>
    <w:qFormat/>
    <w:pPr>
      <w:jc w:val="left"/>
      <w:widowControl/>
    </w:pPr>
    <w:rPr>
      <w:sz w:val="20"/>
      <w:szCs w:val="20"/>
      <w:lang w:val="de-DE" w:eastAsia="de-DE"/>
    </w:rPr>
  </w:style>
  <w:style w:type="paragraph" w:styleId="90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04" w:customStyle="1">
    <w:name w:val="font7"/>
    <w:basedOn w:val="656"/>
    <w:uiPriority w:val="0"/>
    <w:qFormat/>
    <w:pPr>
      <w:jc w:val="left"/>
      <w:spacing w:before="100" w:beforeAutospacing="1" w:after="100" w:afterAutospacing="1"/>
      <w:widowControl/>
    </w:pPr>
    <w:rPr>
      <w:rFonts w:hint="eastAsia" w:ascii="宋体" w:hAnsi="宋体"/>
      <w:sz w:val="18"/>
      <w:szCs w:val="18"/>
    </w:rPr>
  </w:style>
  <w:style w:type="paragraph" w:styleId="905" w:customStyle="1">
    <w:name w:val="Char Char Char Char"/>
    <w:basedOn w:val="672"/>
    <w:uiPriority w:val="0"/>
    <w:qFormat/>
    <w:pPr>
      <w:spacing w:line="360" w:lineRule="auto"/>
    </w:pPr>
    <w:rPr>
      <w:rFonts w:ascii="Tahoma" w:hAnsi="Tahoma"/>
      <w:sz w:val="24"/>
      <w:szCs w:val="24"/>
    </w:rPr>
  </w:style>
  <w:style w:type="paragraph" w:styleId="906">
    <w:name w:val="List Paragraph"/>
    <w:basedOn w:val="656"/>
    <w:uiPriority w:val="0"/>
    <w:qFormat/>
    <w:pPr>
      <w:contextualSpacing/>
      <w:ind w:left="720"/>
      <w:jc w:val="left"/>
      <w:widowControl/>
    </w:pPr>
    <w:rPr>
      <w:rFonts w:ascii="Calibri" w:hAnsi="Calibri"/>
      <w:sz w:val="24"/>
      <w:szCs w:val="24"/>
      <w:lang w:eastAsia="en-US" w:bidi="en-US"/>
    </w:rPr>
  </w:style>
  <w:style w:type="paragraph" w:styleId="907" w:customStyle="1">
    <w:name w:val="4"/>
    <w:basedOn w:val="656"/>
    <w:next w:val="696"/>
    <w:uiPriority w:val="0"/>
    <w:qFormat/>
    <w:pPr>
      <w:ind w:firstLine="420"/>
      <w:spacing w:line="360" w:lineRule="auto"/>
    </w:pPr>
    <w:rPr>
      <w:color w:val="ff0000"/>
      <w:sz w:val="24"/>
      <w:szCs w:val="24"/>
    </w:rPr>
  </w:style>
  <w:style w:type="paragraph" w:styleId="908" w:customStyle="1">
    <w:name w:val="普通 (Web)"/>
    <w:basedOn w:val="656"/>
    <w:uiPriority w:val="0"/>
    <w:qFormat/>
    <w:pPr>
      <w:jc w:val="left"/>
      <w:spacing w:before="100" w:beforeAutospacing="1" w:after="100" w:afterAutospacing="1"/>
      <w:widowControl/>
    </w:pPr>
    <w:rPr>
      <w:rFonts w:ascii="宋体" w:hAnsi="宋体"/>
      <w:sz w:val="24"/>
      <w:szCs w:val="24"/>
    </w:rPr>
  </w:style>
  <w:style w:type="paragraph" w:styleId="909" w:customStyle="1">
    <w:name w:val="Char Char Char Char Char Char Char Char Char Char"/>
    <w:basedOn w:val="656"/>
    <w:uiPriority w:val="0"/>
    <w:qFormat/>
    <w:pPr>
      <w:spacing w:line="360" w:lineRule="auto"/>
    </w:pPr>
    <w:rPr>
      <w:sz w:val="24"/>
      <w:szCs w:val="20"/>
    </w:rPr>
  </w:style>
  <w:style w:type="paragraph" w:styleId="910" w:customStyle="1">
    <w:name w:val="样式1"/>
    <w:basedOn w:val="656"/>
    <w:uiPriority w:val="0"/>
    <w:qFormat/>
    <w:pPr>
      <w:numPr>
        <w:ilvl w:val="0"/>
        <w:numId w:val="3"/>
      </w:numPr>
    </w:pPr>
    <w:rPr>
      <w:rFonts w:ascii="宋体" w:hAnsi="宋体"/>
      <w:szCs w:val="21"/>
    </w:rPr>
  </w:style>
  <w:style w:type="paragraph" w:styleId="911" w:customStyle="1">
    <w:name w:val="font6"/>
    <w:basedOn w:val="656"/>
    <w:uiPriority w:val="0"/>
    <w:qFormat/>
    <w:pPr>
      <w:jc w:val="left"/>
      <w:spacing w:before="100" w:beforeAutospacing="1" w:after="100" w:afterAutospacing="1"/>
      <w:widowControl/>
    </w:pPr>
    <w:rPr>
      <w:rFonts w:hint="eastAsia" w:ascii="宋体" w:hAnsi="宋体"/>
      <w:sz w:val="28"/>
      <w:szCs w:val="28"/>
      <w:u w:val="single"/>
    </w:rPr>
  </w:style>
  <w:style w:type="paragraph" w:styleId="912" w:customStyle="1">
    <w:name w:val="xl25"/>
    <w:basedOn w:val="6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3" w:customStyle="1">
    <w:name w:val="图标"/>
    <w:basedOn w:val="656"/>
    <w:next w:val="65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4" w:customStyle="1">
    <w:name w:val="标题3"/>
    <w:basedOn w:val="656"/>
    <w:next w:val="656"/>
    <w:uiPriority w:val="0"/>
    <w:qFormat/>
    <w:pPr>
      <w:ind w:firstLine="624"/>
      <w:spacing w:line="590" w:lineRule="atLeast"/>
    </w:pPr>
    <w:rPr>
      <w:rFonts w:ascii="方正黑体_GBK" w:eastAsia="方正黑体_GBK"/>
      <w:sz w:val="32"/>
      <w:szCs w:val="32"/>
    </w:rPr>
  </w:style>
  <w:style w:type="paragraph" w:styleId="915" w:customStyle="1">
    <w:name w:val="xl24"/>
    <w:basedOn w:val="6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16" w:customStyle="1">
    <w:name w:val="xl29"/>
    <w:basedOn w:val="65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17" w:customStyle="1">
    <w:name w:val="Char Char Char Char Char Char Char Char"/>
    <w:basedOn w:val="656"/>
    <w:uiPriority w:val="0"/>
    <w:qFormat/>
    <w:pPr>
      <w:jc w:val="left"/>
      <w:spacing w:after="160" w:line="240" w:lineRule="exact"/>
      <w:widowControl/>
    </w:pPr>
    <w:rPr>
      <w:rFonts w:ascii="Verdana" w:hAnsi="Verdana"/>
      <w:sz w:val="20"/>
      <w:szCs w:val="20"/>
      <w:lang w:eastAsia="en-US"/>
    </w:rPr>
  </w:style>
  <w:style w:type="paragraph" w:styleId="918" w:customStyle="1">
    <w:name w:val="xl28"/>
    <w:basedOn w:val="65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19" w:customStyle="1">
    <w:name w:val="Char Char Char Char Char Char Char Char1"/>
    <w:basedOn w:val="656"/>
    <w:uiPriority w:val="0"/>
    <w:qFormat/>
    <w:pPr>
      <w:jc w:val="left"/>
      <w:spacing w:after="160" w:line="240" w:lineRule="exact"/>
      <w:widowControl/>
    </w:pPr>
    <w:rPr>
      <w:rFonts w:ascii="Verdana" w:hAnsi="Verdana"/>
      <w:sz w:val="20"/>
      <w:szCs w:val="20"/>
      <w:lang w:eastAsia="en-US"/>
    </w:rPr>
  </w:style>
  <w:style w:type="paragraph" w:styleId="920" w:customStyle="1">
    <w:name w:val="xl30"/>
    <w:basedOn w:val="656"/>
    <w:uiPriority w:val="0"/>
    <w:qFormat/>
    <w:pPr>
      <w:jc w:val="center"/>
      <w:spacing w:before="100" w:beforeAutospacing="1" w:after="100" w:afterAutospacing="1"/>
      <w:widowControl/>
    </w:pPr>
    <w:rPr>
      <w:rFonts w:ascii="宋体" w:hAnsi="宋体"/>
      <w:b/>
      <w:bCs/>
      <w:sz w:val="36"/>
      <w:szCs w:val="36"/>
    </w:rPr>
  </w:style>
  <w:style w:type="paragraph" w:styleId="921" w:customStyle="1">
    <w:name w:val="Char Char Char Char1"/>
    <w:basedOn w:val="672"/>
    <w:uiPriority w:val="0"/>
    <w:qFormat/>
    <w:pPr>
      <w:spacing w:line="360" w:lineRule="auto"/>
    </w:pPr>
    <w:rPr>
      <w:rFonts w:ascii="Tahoma" w:hAnsi="Tahoma"/>
      <w:sz w:val="24"/>
      <w:szCs w:val="24"/>
    </w:rPr>
  </w:style>
  <w:style w:type="paragraph" w:styleId="922" w:customStyle="1">
    <w:name w:val="table_1stline"/>
    <w:basedOn w:val="656"/>
    <w:uiPriority w:val="0"/>
    <w:qFormat/>
    <w:pPr>
      <w:jc w:val="left"/>
      <w:spacing w:before="120"/>
      <w:widowControl/>
    </w:pPr>
    <w:rPr>
      <w:bCs/>
      <w:sz w:val="20"/>
      <w:szCs w:val="20"/>
      <w:lang w:val="de-DE" w:eastAsia="de-DE"/>
    </w:rPr>
  </w:style>
  <w:style w:type="paragraph" w:styleId="923" w:customStyle="1">
    <w:name w:val="font5"/>
    <w:basedOn w:val="656"/>
    <w:uiPriority w:val="0"/>
    <w:qFormat/>
    <w:pPr>
      <w:jc w:val="left"/>
      <w:spacing w:before="100" w:beforeAutospacing="1" w:after="100" w:afterAutospacing="1"/>
      <w:widowControl/>
    </w:pPr>
    <w:rPr>
      <w:rFonts w:hint="eastAsia" w:ascii="宋体" w:hAnsi="宋体"/>
      <w:sz w:val="28"/>
      <w:szCs w:val="28"/>
    </w:rPr>
  </w:style>
  <w:style w:type="paragraph" w:styleId="924" w:customStyle="1">
    <w:name w:val="标题1"/>
    <w:basedOn w:val="656"/>
    <w:next w:val="6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5" w:customStyle="1">
    <w:name w:val="_Style 112"/>
    <w:uiPriority w:val="99"/>
    <w:semiHidden/>
    <w:qFormat/>
    <w:rPr>
      <w:rFonts w:hint="default" w:ascii="Times New Roman" w:hAnsi="Times New Roman" w:eastAsia="宋体" w:cs="Times New Roman"/>
      <w:sz w:val="21"/>
      <w:szCs w:val="21"/>
      <w:lang w:val="en-US" w:eastAsia="zh-CN" w:bidi="ar-SA"/>
    </w:rPr>
  </w:style>
  <w:style w:type="paragraph" w:styleId="926">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27" w:customStyle="1">
    <w:name w:val="Table Normal"/>
    <w:uiPriority w:val="0"/>
    <w:qFormat/>
    <w:tblPr>
      <w:tblCellMar>
        <w:left w:w="0" w:type="dxa"/>
        <w:top w:w="0" w:type="dxa"/>
        <w:right w:w="0" w:type="dxa"/>
        <w:bottom w:w="0" w:type="dxa"/>
      </w:tblCellMar>
    </w:tblPr>
  </w:style>
  <w:style w:type="paragraph" w:styleId="928" w:customStyle="1">
    <w:name w:val="正文文本 211"/>
    <w:basedOn w:val="656"/>
    <w:uiPriority w:val="99"/>
    <w:qFormat/>
    <w:pPr>
      <w:jc w:val="center"/>
    </w:pPr>
    <w:rPr>
      <w:b/>
      <w:bCs/>
      <w:sz w:val="20"/>
      <w:szCs w:val="20"/>
    </w:rPr>
  </w:style>
  <w:style w:type="paragraph" w:styleId="929" w:customStyle="1">
    <w:name w:val="正文文本1"/>
    <w:basedOn w:val="656"/>
    <w:next w:val="656"/>
    <w:uiPriority w:val="0"/>
    <w:semiHidden/>
    <w:qFormat/>
    <w:rPr>
      <w:rFonts w:ascii="Arial" w:hAnsi="Arial" w:eastAsia="Arial" w:cs="Arial"/>
      <w:szCs w:val="21"/>
      <w:lang w:eastAsia="en-US"/>
    </w:rPr>
  </w:style>
  <w:style w:type="paragraph" w:styleId="930" w:customStyle="1">
    <w:name w:val="正文文本12"/>
    <w:basedOn w:val="656"/>
    <w:uiPriority w:val="1"/>
    <w:qFormat/>
    <w:pPr>
      <w:ind w:left="120"/>
    </w:pPr>
    <w:rPr>
      <w:rFonts w:ascii="宋体" w:hAnsi="宋体" w:cs="宋体"/>
      <w:szCs w:val="21"/>
      <w:lang w:val="zh-CN" w:bidi="zh-CN"/>
    </w:rPr>
  </w:style>
  <w:style w:type="paragraph" w:styleId="931" w:customStyle="1">
    <w:name w:val="纯文本1"/>
    <w:basedOn w:val="656"/>
    <w:uiPriority w:val="0"/>
    <w:qFormat/>
    <w:rPr>
      <w:rFonts w:ascii="宋体" w:hAnsi="Courier New" w:cs="Courier New"/>
    </w:rPr>
  </w:style>
  <w:style w:type="table" w:styleId="932" w:customStyle="1">
    <w:name w:val="网格型1"/>
    <w:basedOn w:val="933"/>
    <w:uiPriority w:val="0"/>
    <w:qFormat/>
    <w:pPr>
      <w:jc w:val="both"/>
      <w:widowControl w:val="off"/>
    </w:pPr>
    <w:tblPr>
      <w:tblCellMar>
        <w:left w:w="0" w:type="dxa"/>
        <w:top w:w="0" w:type="dxa"/>
        <w:right w:w="0" w:type="dxa"/>
        <w:bottom w:w="0" w:type="dxa"/>
      </w:tblCellMar>
    </w:tblPr>
  </w:style>
  <w:style w:type="table" w:styleId="933" w:customStyle="1">
    <w:name w:val="普通表格1"/>
    <w:uiPriority w:val="99"/>
    <w:unhideWhenUsed/>
    <w:qFormat/>
    <w:tblPr>
      <w:tblCellMar>
        <w:left w:w="0" w:type="dxa"/>
        <w:top w:w="0" w:type="dxa"/>
        <w:right w:w="0" w:type="dxa"/>
        <w:bottom w:w="0" w:type="dxa"/>
      </w:tblCellMar>
    </w:tblPr>
  </w:style>
  <w:style w:type="character" w:styleId="934" w:customStyle="1">
    <w:name w:val="15"/>
    <w:uiPriority w:val="0"/>
    <w:qFormat/>
    <w:rPr>
      <w:rFonts w:hint="default" w:ascii="Times New Roman" w:hAnsi="Times New Roman" w:cs="Times New Roman"/>
    </w:rPr>
  </w:style>
  <w:style w:type="paragraph" w:styleId="935" w:customStyle="1">
    <w:name w:val="正文首行缩进 211"/>
    <w:basedOn w:val="936"/>
    <w:next w:val="656"/>
    <w:uiPriority w:val="0"/>
    <w:qFormat/>
    <w:pPr>
      <w:ind w:left="0" w:firstLine="420"/>
      <w:spacing w:after="0" w:line="360" w:lineRule="auto"/>
    </w:pPr>
    <w:rPr>
      <w:rFonts w:ascii="宋体" w:hAnsi="宋体"/>
      <w:szCs w:val="20"/>
    </w:rPr>
  </w:style>
  <w:style w:type="paragraph" w:styleId="936" w:customStyle="1">
    <w:name w:val="正文文本缩进11"/>
    <w:basedOn w:val="656"/>
    <w:next w:val="937"/>
    <w:uiPriority w:val="0"/>
    <w:unhideWhenUsed/>
    <w:qFormat/>
    <w:pPr>
      <w:ind w:left="420"/>
      <w:spacing w:after="120"/>
    </w:pPr>
  </w:style>
  <w:style w:type="paragraph" w:styleId="937" w:customStyle="1">
    <w:name w:val="寄信人地址1"/>
    <w:basedOn w:val="656"/>
    <w:uiPriority w:val="0"/>
    <w:qFormat/>
    <w:rPr>
      <w:rFonts w:ascii="Arial" w:hAnsi="Arial" w:cs="宋体"/>
    </w:rPr>
  </w:style>
  <w:style w:type="paragraph" w:styleId="938" w:customStyle="1">
    <w:name w:val="Table Paragraph"/>
    <w:basedOn w:val="656"/>
    <w:uiPriority w:val="1"/>
    <w:qFormat/>
    <w:pPr>
      <w:jc w:val="left"/>
    </w:pPr>
    <w:rPr>
      <w:rFonts w:ascii="宋体" w:hAnsi="宋体" w:cs="宋体"/>
      <w:sz w:val="22"/>
      <w:szCs w:val="22"/>
      <w:lang w:val="zh-CN" w:bidi="zh-CN"/>
    </w:rPr>
  </w:style>
  <w:style w:type="paragraph" w:styleId="939" w:customStyle="1">
    <w:name w:val="纯文本11"/>
    <w:basedOn w:val="656"/>
    <w:uiPriority w:val="0"/>
    <w:qFormat/>
    <w:rPr>
      <w:rFonts w:ascii="宋体" w:hAnsi="Courier New" w:cs="Courier New"/>
      <w:szCs w:val="21"/>
    </w:rPr>
  </w:style>
  <w:style w:type="paragraph" w:styleId="940" w:customStyle="1">
    <w:name w:val="footer1"/>
    <w:basedOn w:val="941"/>
    <w:uiPriority w:val="0"/>
    <w:qFormat/>
    <w:pPr>
      <w:jc w:val="left"/>
      <w:tabs>
        <w:tab w:val="center" w:pos="4153" w:leader="none"/>
        <w:tab w:val="right" w:pos="8306" w:leader="none"/>
      </w:tabs>
    </w:pPr>
    <w:rPr>
      <w:sz w:val="18"/>
    </w:rPr>
  </w:style>
  <w:style w:type="paragraph" w:styleId="941" w:customStyle="1">
    <w:name w:val="正文11"/>
    <w:next w:val="940"/>
    <w:uiPriority w:val="0"/>
    <w:qFormat/>
    <w:pPr>
      <w:jc w:val="both"/>
      <w:spacing w:line="856" w:lineRule="atLeast"/>
    </w:pPr>
    <w:rPr>
      <w:rFonts w:ascii="Times New Roman" w:hAnsi="Times New Roman" w:eastAsia="宋体" w:cs="Times New Roman"/>
      <w:color w:val="000000"/>
      <w:sz w:val="21"/>
      <w:lang w:val="en-US" w:eastAsia="zh-CN" w:bidi="ar-SA"/>
    </w:rPr>
  </w:style>
  <w:style w:type="numbering" w:styleId="72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nlyoffice.com/commentsDocument" Target="commentsDocument.xml" /><Relationship Id="rId13" Type="http://schemas.onlyoffice.com/commentsExtendedDocument" Target="commentsExtendedDocument.xml" /><Relationship Id="rId14" Type="http://schemas.onlyoffice.com/commentsIdsDocument" Target="commentsIdsDocument.xml" /><Relationship Id="rId15"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毛工</cp:lastModifiedBy>
  <cp:revision>7</cp:revision>
  <dcterms:created xsi:type="dcterms:W3CDTF">2026-07-17T19:14:00Z</dcterms:created>
  <dcterms:modified xsi:type="dcterms:W3CDTF">2026-08-31T02:03:21Z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892F3103F65B49FE99C4941C0338CE8C_13</vt:lpwstr>
  </property>
  <property fmtid="{D5CDD505-2E9C-101B-9397-08002B2CF9AE}" pid="4" name="KSOTemplateDocerSaveRecord">
    <vt:lpwstr>eyJoZGlkIjoiYzVkOGY5MWQ0YTQ3MGZmYjVkMjc5MzkwZWMwZGQ4ZDgiLCJ1c2VySWQiOiIxMDExMjcyNjY5In0=</vt:lpwstr>
  </property>
</Properties>
</file>