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lang w:val="en-US" w:eastAsia="zh-CN"/>
        </w:rPr>
        <w:t xml:space="preserve">询</w:t>
      </w:r>
      <w:r>
        <w:rPr>
          <w:rFonts w:hint="eastAsia" w:ascii="Arial" w:hAnsi="Arial" w:eastAsia="黑体"/>
          <w:b/>
          <w:bCs/>
          <w:color w:val="000000"/>
          <w:sz w:val="84"/>
          <w:szCs w:val="24"/>
        </w:rPr>
        <w:t xml:space="preserve">　</w:t>
      </w:r>
      <w:r>
        <w:rPr>
          <w:rFonts w:hint="eastAsia" w:ascii="Arial" w:hAnsi="Arial" w:eastAsia="黑体"/>
          <w:b/>
          <w:bCs/>
          <w:color w:val="000000"/>
          <w:sz w:val="84"/>
          <w:szCs w:val="24"/>
          <w:lang w:val="en-US" w:eastAsia="zh-CN"/>
        </w:rPr>
        <w:t xml:space="preserve">价</w:t>
      </w:r>
      <w:r>
        <w:rPr>
          <w:rFonts w:hint="eastAsia" w:ascii="Arial" w:hAnsi="Arial" w:eastAsia="黑体"/>
          <w:b/>
          <w:bCs/>
          <w:color w:val="000000"/>
          <w:sz w:val="84"/>
          <w:szCs w:val="24"/>
        </w:rPr>
        <w:t xml:space="preserve">　文　件</w:t>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ind w:left="2664" w:hanging="1824"/>
        <w:jc w:val="left"/>
        <w:spacing w:before="120" w:after="120" w:line="360" w:lineRule="auto"/>
        <w:rPr>
          <w:rFonts w:hint="eastAsia" w:ascii="Arial" w:hAnsi="Arial"/>
          <w:b/>
          <w:bCs/>
          <w:color w:val="000000"/>
          <w:sz w:val="32"/>
          <w:szCs w:val="24"/>
          <w:lang w:val="en-US" w:eastAsia="zh-CN" w:bidi="ar-SA"/>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bidi="ar-SA"/>
        </w:rPr>
        <w:t xml:space="preserve">南通市海门区农业技术推广中心采购海门区2025年秋播油菜扩种项目物资</w:t>
      </w:r>
      <w:r/>
    </w:p>
    <w:p>
      <w:pPr>
        <w:ind w:left="0" w:firstLine="838"/>
        <w:spacing w:before="120" w:after="120" w:line="360" w:lineRule="auto"/>
        <w:rPr>
          <w:rFonts w:hint="eastAsia" w:ascii="Arial" w:hAnsi="Arial" w:eastAsia="宋体" w:cs="Times New Roman"/>
          <w:b/>
          <w:bCs/>
          <w:sz w:val="32"/>
          <w:szCs w:val="24"/>
          <w:lang w:val="en-US" w:eastAsia="zh-CN"/>
        </w:rPr>
      </w:pPr>
      <w:r>
        <w:rPr>
          <w:rFonts w:hint="eastAsia" w:ascii="Arial" w:hAnsi="Arial"/>
          <w:b/>
          <w:bCs/>
          <w:sz w:val="32"/>
          <w:szCs w:val="24"/>
        </w:rPr>
        <w:t xml:space="preserve">项目编号：</w:t>
      </w:r>
      <w:r>
        <w:rPr>
          <w:rFonts w:hint="eastAsia" w:ascii="Arial" w:hAnsi="Arial"/>
          <w:b/>
          <w:bCs/>
          <w:sz w:val="32"/>
          <w:szCs w:val="24"/>
          <w:lang w:val="en-US" w:eastAsia="zh-CN"/>
        </w:rPr>
        <w:t xml:space="preserve">JSZC-320614-NTWL-X2026-0015</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南通万隆工程管理有限公司</w:t>
      </w:r>
      <w:r/>
    </w:p>
    <w:p>
      <w:pPr>
        <w:jc w:val="center"/>
        <w:spacing w:line="700" w:lineRule="exact"/>
        <w:rPr>
          <w:b/>
          <w:spacing w:val="19"/>
          <w:sz w:val="32"/>
          <w:szCs w:val="32"/>
        </w:rPr>
      </w:pPr>
      <w:r>
        <w:rPr>
          <w:b/>
          <w:sz w:val="32"/>
          <w:szCs w:val="32"/>
          <w:u w:val="single"/>
        </w:rPr>
        <w:t xml:space="preserve">二</w:t>
      </w:r>
      <w:r>
        <w:rPr>
          <w:rFonts w:hint="eastAsia" w:ascii="宋体" w:hAnsi="宋体" w:cs="宋体"/>
          <w:b/>
          <w:sz w:val="32"/>
          <w:szCs w:val="32"/>
          <w:u w:val="single"/>
        </w:rPr>
        <w:t xml:space="preserve">○</w:t>
      </w:r>
      <w:r>
        <w:rPr>
          <w:b/>
          <w:sz w:val="32"/>
          <w:szCs w:val="32"/>
          <w:u w:val="single"/>
        </w:rPr>
        <w:t xml:space="preserve">二</w:t>
      </w:r>
      <w:r>
        <w:rPr>
          <w:rFonts w:hint="eastAsia"/>
          <w:b/>
          <w:sz w:val="32"/>
          <w:szCs w:val="32"/>
          <w:u w:val="single"/>
        </w:rPr>
        <w:t xml:space="preserve">六</w:t>
      </w:r>
      <w:r>
        <w:rPr>
          <w:b/>
          <w:sz w:val="32"/>
          <w:szCs w:val="32"/>
        </w:rPr>
        <w:t xml:space="preserve">年</w:t>
      </w:r>
      <w:r>
        <w:rPr>
          <w:rFonts w:hint="eastAsia"/>
          <w:b/>
          <w:sz w:val="32"/>
          <w:szCs w:val="32"/>
          <w:u w:val="single"/>
          <w:lang w:val="en-US" w:eastAsia="zh-CN"/>
        </w:rPr>
        <w:t xml:space="preserve">八</w:t>
      </w:r>
      <w:r>
        <w:rPr>
          <w:b/>
          <w:sz w:val="32"/>
          <w:szCs w:val="32"/>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ind w:left="2910" w:hanging="1230"/>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4"/>
        </w:numPr>
        <w:ind w:left="2910" w:hanging="1230"/>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lang w:val="en-US" w:eastAsia="zh-CN"/>
        </w:rPr>
        <w:t xml:space="preserve"> </w:t>
      </w:r>
      <w:r/>
    </w:p>
    <w:p>
      <w:pPr>
        <w:numPr>
          <w:ilvl w:val="0"/>
          <w:numId w:val="4"/>
        </w:numPr>
        <w:ind w:left="2910" w:hanging="1230"/>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合同文本</w:t>
      </w:r>
      <w:r/>
    </w:p>
    <w:p>
      <w:pPr>
        <w:numPr>
          <w:ilvl w:val="0"/>
          <w:numId w:val="4"/>
        </w:numPr>
        <w:ind w:left="2910" w:hanging="1230"/>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采购需求</w:t>
      </w:r>
      <w:r/>
    </w:p>
    <w:p>
      <w:pPr>
        <w:numPr>
          <w:ilvl w:val="0"/>
          <w:numId w:val="4"/>
        </w:numPr>
        <w:ind w:left="2910" w:hanging="1230"/>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lang w:val="en-US" w:eastAsia="zh-CN"/>
        </w:rPr>
        <w:t xml:space="preserve"> </w:t>
      </w:r>
      <w:r>
        <w:rPr>
          <w:rFonts w:hint="eastAsia" w:ascii="黑体" w:hAnsi="宋体" w:eastAsia="黑体"/>
          <w:bCs/>
          <w:color w:val="000000"/>
          <w:sz w:val="36"/>
          <w:szCs w:val="36"/>
        </w:rPr>
        <w:t xml:space="preserve">评标方法与评标标准</w:t>
      </w:r>
      <w:r/>
    </w:p>
    <w:p>
      <w:pPr>
        <w:numPr>
          <w:ilvl w:val="0"/>
          <w:numId w:val="4"/>
        </w:numPr>
        <w:ind w:left="2910" w:hanging="1230"/>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lang w:val="en-US" w:eastAsia="zh-CN"/>
        </w:rPr>
        <w:t xml:space="preserve">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南通市海门区农业技术推广中心</w:t>
      </w:r>
      <w:r>
        <w:rPr>
          <w:rFonts w:hint="eastAsia" w:ascii="宋体" w:hAnsi="宋体" w:eastAsia="宋体" w:cs="宋体"/>
          <w:color w:val="000000"/>
          <w:sz w:val="24"/>
          <w:szCs w:val="24"/>
          <w:highlight w:val="none"/>
        </w:rPr>
        <w:t xml:space="preserve">的委托，</w:t>
      </w:r>
      <w:r>
        <w:rPr>
          <w:rFonts w:hint="eastAsia" w:ascii="宋体" w:hAnsi="宋体" w:cs="宋体"/>
          <w:color w:val="000000"/>
          <w:sz w:val="24"/>
          <w:szCs w:val="24"/>
          <w:highlight w:val="none"/>
          <w:u w:val="single"/>
          <w:lang w:eastAsia="zh-CN"/>
        </w:rPr>
        <w:t xml:space="preserve">南通万隆工程管理有限公司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u w:val="single"/>
          <w:lang w:eastAsia="zh-CN"/>
        </w:rPr>
        <w:t xml:space="preserve">南通市海门区农业技术推广中心采购海门区2025年秋播油菜扩种项目物资</w:t>
      </w:r>
      <w:r>
        <w:rPr>
          <w:rFonts w:hint="eastAsia" w:ascii="宋体" w:hAnsi="宋体" w:eastAsia="宋体" w:cs="宋体"/>
          <w:color w:val="000000"/>
          <w:sz w:val="24"/>
          <w:szCs w:val="24"/>
          <w:highlight w:val="none"/>
          <w:u w:val="single"/>
        </w:rPr>
        <w:t xml:space="preserve">（项目编号：JSZC-320614-NTWL-X2026-0015）</w:t>
      </w:r>
      <w:r>
        <w:rPr>
          <w:rFonts w:hint="eastAsia" w:ascii="宋体" w:hAnsi="宋体" w:eastAsia="宋体" w:cs="宋体"/>
          <w:color w:val="000000"/>
          <w:sz w:val="24"/>
          <w:szCs w:val="24"/>
          <w:highlight w:val="none"/>
        </w:rPr>
        <w:t xml:space="preserve">进行询价采购，欢迎符合条件的供应商投标。</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南通市海门区农业技术推广中心采购海门区2025年秋播油菜扩种项目物资</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8</w:t>
      </w:r>
      <w:r>
        <w:rPr>
          <w:rFonts w:hint="eastAsia" w:ascii="宋体" w:hAnsi="宋体" w:eastAsia="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20</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9</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2"/>
      </w:pPr>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ascii="宋体" w:hAnsi="宋体" w:eastAsia="宋体" w:cs="宋体"/>
          <w:b/>
          <w:bCs/>
          <w:color w:val="000000"/>
          <w:sz w:val="24"/>
          <w:szCs w:val="24"/>
          <w:highlight w:val="none"/>
        </w:rPr>
        <w:t xml:space="preserve">一、项目基本情况</w:t>
      </w:r>
      <w:bookmarkEnd w:id="6"/>
      <w:r/>
      <w:bookmarkEnd w:id="7"/>
      <w:r/>
      <w:bookmarkEnd w:id="8"/>
      <w:r/>
      <w:bookmarkEnd w:id="9"/>
      <w:r/>
      <w:bookmarkEnd w:id="10"/>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1.项目编号：JSZC-320614-NTWL-X2026-0015</w:t>
      </w:r>
      <w:r>
        <w:rPr>
          <w:rFonts w:hint="eastAsia" w:ascii="宋体" w:hAnsi="宋体" w:cs="宋体"/>
          <w:color w:val="000000"/>
          <w:sz w:val="24"/>
          <w:szCs w:val="24"/>
          <w:highlight w:val="none"/>
          <w:lang w:val="en-US" w:eastAsia="zh-CN"/>
        </w:rPr>
        <w:t xml:space="preserve"> </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bookmarkEnd w:id="11"/>
      <w:r>
        <w:rPr>
          <w:rFonts w:hint="eastAsia" w:ascii="宋体" w:hAnsi="宋体" w:cs="宋体"/>
          <w:color w:val="000000"/>
          <w:sz w:val="24"/>
          <w:szCs w:val="24"/>
          <w:highlight w:val="none"/>
          <w:lang w:eastAsia="zh-CN"/>
        </w:rPr>
        <w:t xml:space="preserve">南通市海门区农业技术推广中心采购海门区2025年秋播油菜扩种项目物资</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3.采购方式：</w:t>
      </w:r>
      <w:r>
        <w:rPr>
          <w:rFonts w:hint="eastAsia" w:ascii="宋体" w:hAnsi="宋体" w:eastAsia="宋体" w:cs="宋体"/>
          <w:color w:val="000000"/>
          <w:sz w:val="24"/>
          <w:szCs w:val="24"/>
          <w:highlight w:val="none"/>
          <w:lang w:val="en-US" w:eastAsia="zh-CN"/>
        </w:rPr>
        <w:t xml:space="preserve">询价</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220</w:t>
      </w:r>
      <w:r>
        <w:rPr>
          <w:rFonts w:hint="eastAsia" w:ascii="宋体" w:hAnsi="宋体" w:eastAsia="宋体" w:cs="宋体"/>
          <w:color w:val="000000"/>
          <w:sz w:val="24"/>
          <w:szCs w:val="24"/>
          <w:highlight w:val="none"/>
          <w:lang w:eastAsia="zh-CN"/>
        </w:rPr>
        <w:t xml:space="preserve">万元</w:t>
      </w:r>
      <w:r/>
    </w:p>
    <w:p>
      <w:pPr>
        <w:ind w:left="0" w:firstLine="420"/>
        <w:jc w:val="both"/>
        <w:keepLines w:val="0"/>
        <w:keepNext w:val="0"/>
        <w:pageBreakBefore w:val="0"/>
        <w:spacing w:line="440" w:lineRule="exact"/>
        <w:widowControl w:val="off"/>
        <w:rPr>
          <w:spacing w:val="7"/>
          <w:sz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spacing w:val="7"/>
          <w:sz w:val="24"/>
          <w:highlight w:val="none"/>
        </w:rPr>
        <w:t xml:space="preserve">本项目采用</w:t>
      </w:r>
      <w:r>
        <w:rPr>
          <w:rFonts w:hint="eastAsia"/>
          <w:color w:val="000000"/>
          <w:spacing w:val="7"/>
          <w:sz w:val="24"/>
          <w:highlight w:val="none"/>
          <w:lang w:val="en-US" w:eastAsia="zh-CN"/>
        </w:rPr>
        <w:t xml:space="preserve">统一</w:t>
      </w:r>
      <w:r>
        <w:rPr>
          <w:rFonts w:hint="eastAsia"/>
          <w:color w:val="000000"/>
          <w:spacing w:val="7"/>
          <w:sz w:val="24"/>
          <w:highlight w:val="none"/>
        </w:rPr>
        <w:t xml:space="preserve">优惠</w:t>
      </w:r>
      <w:r>
        <w:rPr>
          <w:rFonts w:hint="eastAsia"/>
          <w:spacing w:val="7"/>
          <w:sz w:val="24"/>
          <w:highlight w:val="none"/>
        </w:rPr>
        <w:t xml:space="preserve">率报价方式，以货物清单中各品种单价限价为基础，优惠率为百分数，0.00%≤优惠率＜100.00%，最多精确到小数点后两位，超出此范围的投标报价为无效报价。</w:t>
      </w:r>
      <w:r>
        <w:rPr>
          <w:rFonts w:hint="eastAsia" w:ascii="宋体" w:hAnsi="宋体" w:cs="宋体"/>
          <w:color w:val="000000"/>
          <w:sz w:val="24"/>
          <w:szCs w:val="24"/>
          <w:highlight w:val="none"/>
          <w:lang w:val="en-US" w:eastAsia="zh-CN"/>
        </w:rPr>
        <w:t xml:space="preserve">本项目</w:t>
      </w:r>
      <w:r>
        <w:rPr>
          <w:rFonts w:hint="eastAsia" w:ascii="宋体" w:hAnsi="宋体" w:cs="宋体"/>
          <w:color w:val="000000"/>
          <w:sz w:val="24"/>
          <w:szCs w:val="24"/>
          <w:highlight w:val="none"/>
        </w:rPr>
        <w:t xml:space="preserve">最终按实际采购数量按实结算，</w:t>
      </w:r>
      <w:r>
        <w:rPr>
          <w:rFonts w:hint="eastAsia" w:ascii="宋体" w:hAnsi="宋体" w:cs="宋体"/>
          <w:color w:val="000000"/>
          <w:sz w:val="24"/>
          <w:szCs w:val="24"/>
          <w:highlight w:val="none"/>
          <w:lang w:val="en-US" w:eastAsia="zh-CN"/>
        </w:rPr>
        <w:t xml:space="preserve">实际采购金额达到</w:t>
      </w:r>
      <w:r>
        <w:rPr>
          <w:rFonts w:hint="eastAsia" w:ascii="宋体" w:hAnsi="宋体" w:cs="宋体"/>
          <w:color w:val="000000"/>
          <w:sz w:val="24"/>
          <w:szCs w:val="24"/>
          <w:highlight w:val="none"/>
        </w:rPr>
        <w:t xml:space="preserve">预算</w:t>
      </w:r>
      <w:r>
        <w:rPr>
          <w:rFonts w:hint="eastAsia" w:ascii="宋体" w:hAnsi="宋体" w:cs="宋体"/>
          <w:color w:val="000000"/>
          <w:sz w:val="24"/>
          <w:szCs w:val="24"/>
          <w:highlight w:val="none"/>
          <w:lang w:eastAsia="zh-CN"/>
        </w:rPr>
        <w:t xml:space="preserve">总额</w:t>
      </w:r>
      <w:r>
        <w:rPr>
          <w:rFonts w:hint="eastAsia" w:ascii="宋体" w:hAnsi="宋体" w:cs="宋体"/>
          <w:color w:val="000000"/>
          <w:sz w:val="24"/>
          <w:szCs w:val="24"/>
          <w:highlight w:val="none"/>
        </w:rPr>
        <w:t xml:space="preserve">时</w:t>
      </w:r>
      <w:r>
        <w:rPr>
          <w:rFonts w:hint="eastAsia" w:ascii="宋体" w:hAnsi="宋体" w:cs="宋体"/>
          <w:color w:val="000000"/>
          <w:sz w:val="24"/>
          <w:szCs w:val="24"/>
          <w:highlight w:val="none"/>
          <w:lang w:val="en-US" w:eastAsia="zh-CN"/>
        </w:rPr>
        <w:t xml:space="preserve">即</w:t>
      </w:r>
      <w:r>
        <w:rPr>
          <w:rFonts w:hint="eastAsia" w:ascii="宋体" w:hAnsi="宋体" w:cs="宋体"/>
          <w:color w:val="000000"/>
          <w:sz w:val="24"/>
          <w:szCs w:val="24"/>
          <w:highlight w:val="none"/>
        </w:rPr>
        <w:t xml:space="preserve">终止</w:t>
      </w:r>
      <w:r>
        <w:rPr>
          <w:rFonts w:hint="eastAsia" w:ascii="宋体" w:hAnsi="宋体" w:cs="宋体"/>
          <w:color w:val="000000"/>
          <w:sz w:val="24"/>
          <w:szCs w:val="24"/>
          <w:highlight w:val="none"/>
          <w:lang w:val="en-US" w:eastAsia="zh-CN"/>
        </w:rPr>
        <w:t xml:space="preserve">合同</w:t>
      </w:r>
      <w:r>
        <w:rPr>
          <w:rFonts w:hint="eastAsia" w:ascii="宋体" w:hAnsi="宋体" w:cs="宋体"/>
          <w:color w:val="000000"/>
          <w:sz w:val="24"/>
          <w:szCs w:val="24"/>
          <w:highlight w:val="none"/>
          <w:lang w:eastAsia="zh-CN"/>
        </w:rPr>
        <w:t xml:space="preserve">。</w:t>
      </w:r>
      <w:r/>
    </w:p>
    <w:p>
      <w:pPr>
        <w:ind w:firstLine="480"/>
        <w:spacing w:line="440" w:lineRule="exact"/>
        <w:rPr>
          <w:spacing w:val="7"/>
          <w:sz w:val="24"/>
          <w:highlight w:val="none"/>
        </w:rPr>
      </w:pPr>
      <w:r>
        <w:rPr>
          <w:rFonts w:hint="eastAsia" w:ascii="宋体" w:hAnsi="宋体" w:cs="宋体"/>
          <w:b/>
          <w:bCs/>
          <w:sz w:val="24"/>
          <w:highlight w:val="none"/>
        </w:rPr>
        <w:t xml:space="preserve">(★特别提醒，因苏采云系统仅默认优惠率报价方式，供应商须统一按优惠率进行报价。优惠率是指价格下降幅度的百分比。投标单位应慎重报价，切勿报反。所报优惠率越高，则表示合同单价越低。)</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.采购需求(简介)：详见项目需求</w:t>
      </w:r>
      <w:r>
        <w:rPr>
          <w:rFonts w:hint="eastAsia" w:ascii="宋体" w:hAnsi="宋体" w:eastAsia="宋体" w:cs="宋体"/>
          <w:color w:val="000000"/>
          <w:sz w:val="24"/>
          <w:szCs w:val="24"/>
          <w:highlight w:val="none"/>
          <w:lang w:eastAsia="zh-CN"/>
        </w:rPr>
        <w:t xml:space="preserve">。</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.合同履行期限：详见项目需求</w:t>
      </w:r>
      <w:r>
        <w:rPr>
          <w:rFonts w:hint="eastAsia" w:ascii="宋体" w:hAnsi="宋体" w:eastAsia="宋体" w:cs="宋体"/>
          <w:color w:val="000000"/>
          <w:sz w:val="24"/>
          <w:szCs w:val="24"/>
          <w:highlight w:val="none"/>
          <w:lang w:eastAsia="zh-CN"/>
        </w:rPr>
        <w:t xml:space="preserve">。</w:t>
      </w:r>
      <w:r/>
    </w:p>
    <w:p>
      <w:pPr>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2"/>
      </w:pPr>
      <w:r/>
      <w:bookmarkStart w:id="12" w:name="_Toc28359080"/>
      <w:r/>
      <w:bookmarkStart w:id="13" w:name="_Toc35393791"/>
      <w:r/>
      <w:bookmarkStart w:id="14" w:name="_Toc38985264"/>
      <w:r/>
      <w:bookmarkStart w:id="15" w:name="_Toc35393622"/>
      <w:r/>
      <w:bookmarkStart w:id="16" w:name="_Toc28359003"/>
      <w:r>
        <w:rPr>
          <w:rFonts w:hint="eastAsia" w:ascii="宋体" w:hAnsi="宋体" w:eastAsia="宋体" w:cs="宋体"/>
          <w:b/>
          <w:bCs/>
          <w:color w:val="000000"/>
          <w:sz w:val="24"/>
          <w:szCs w:val="24"/>
          <w:highlight w:val="none"/>
        </w:rPr>
        <w:t xml:space="preserve">二、申请人的资格要求</w:t>
      </w:r>
      <w:bookmarkEnd w:id="12"/>
      <w:r/>
      <w:bookmarkEnd w:id="13"/>
      <w:r/>
      <w:bookmarkEnd w:id="14"/>
      <w:r/>
      <w:bookmarkEnd w:id="15"/>
      <w:r/>
      <w:bookmarkEnd w:id="16"/>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17" w:name="_Toc28359081"/>
      <w:r/>
      <w:bookmarkStart w:id="18" w:name="_Toc35393792"/>
      <w:r/>
      <w:bookmarkStart w:id="19" w:name="_Toc38985265"/>
      <w:r/>
      <w:bookmarkStart w:id="20" w:name="_Toc28359004"/>
      <w:r/>
      <w:bookmarkStart w:id="21" w:name="_Toc35393623"/>
      <w:r>
        <w:rPr>
          <w:rFonts w:hint="eastAsia" w:ascii="宋体" w:hAnsi="宋体" w:eastAsia="宋体" w:cs="宋体"/>
          <w:color w:val="000000"/>
          <w:sz w:val="24"/>
          <w:szCs w:val="24"/>
          <w:highlight w:val="none"/>
        </w:rPr>
        <w:t xml:space="preserve">（一）通用资格要求</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p>
    <w:p>
      <w:pPr>
        <w:contextualSpacing/>
        <w:ind w:left="0" w:firstLine="444"/>
        <w:jc w:val="both"/>
        <w:keepLines w:val="0"/>
        <w:keepNext w:val="0"/>
        <w:pageBreakBefore w:val="0"/>
        <w:spacing w:line="440" w:lineRule="exact"/>
        <w:shd w:val="clear" w:color="000000" w:fill="ffffff"/>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lang w:val="en-US" w:eastAsia="zh-CN"/>
        </w:rPr>
        <w:t xml:space="preserve">1</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rPr>
        <w:t xml:space="preserve">投标人符合《政府采购法》第二十二条规定条件的声明函；</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）投标函</w:t>
      </w:r>
      <w:r>
        <w:rPr>
          <w:rFonts w:hint="eastAsia" w:ascii="宋体" w:hAnsi="宋体" w:eastAsia="宋体" w:cs="宋体"/>
          <w:color w:val="000000"/>
          <w:sz w:val="24"/>
          <w:szCs w:val="24"/>
          <w:highlight w:val="none"/>
        </w:rPr>
        <w:t xml:space="preserve">。</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法人授权委托书</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98"/>
        <w:rPr>
          <w:rFonts w:hint="eastAsia"/>
        </w:rPr>
      </w:pPr>
      <w:r>
        <w:rPr>
          <w:rFonts w:hint="eastAsia"/>
        </w:rPr>
      </w:r>
      <w:r/>
    </w:p>
    <w:p>
      <w:pPr>
        <w:ind w:left="0" w:firstLine="42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本项目为专门面向中小企业（含残疾人福利性单位、监狱企业）采购的项目,供应商均应为中小微企业或残疾人福利性单位或监狱企业，并按照采购文件要求提供《中小企业声明函》或《残疾人福利性单位声明函》或监狱和戒毒企业证明材料。</w:t>
      </w:r>
      <w:r/>
    </w:p>
    <w:p>
      <w:pPr>
        <w:ind w:left="0" w:firstLine="420"/>
        <w:jc w:val="both"/>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.联合体投标</w:t>
      </w:r>
      <w:r>
        <w:rPr>
          <w:rFonts w:hint="eastAsia" w:ascii="宋体" w:hAnsi="宋体" w:eastAsia="宋体" w:cs="宋体"/>
          <w:sz w:val="24"/>
          <w:szCs w:val="24"/>
          <w:highlight w:val="none"/>
          <w:lang w:eastAsia="zh-CN"/>
        </w:rPr>
        <w:t xml:space="preserve">：不接受联合体。</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eastAsia="zh-CN"/>
        </w:rPr>
        <w:t xml:space="preserve">：</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1、投标供应商须具有有效的《农药经营许可证》；</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2、投标供应商</w:t>
      </w:r>
      <w:bookmarkStart w:id="22" w:name="OLE_LINK1"/>
      <w:r>
        <w:rPr>
          <w:rFonts w:hint="eastAsia" w:ascii="宋体" w:hAnsi="宋体" w:eastAsia="宋体" w:cs="宋体"/>
          <w:color w:val="000000"/>
          <w:sz w:val="24"/>
          <w:szCs w:val="24"/>
          <w:highlight w:val="none"/>
          <w:lang w:val="en-US" w:eastAsia="zh-CN"/>
        </w:rPr>
        <w:t xml:space="preserve">所投</w:t>
      </w:r>
      <w:bookmarkEnd w:id="22"/>
      <w:r>
        <w:rPr>
          <w:rFonts w:hint="eastAsia" w:ascii="宋体" w:hAnsi="宋体" w:cs="宋体"/>
          <w:color w:val="000000"/>
          <w:sz w:val="24"/>
          <w:szCs w:val="24"/>
          <w:highlight w:val="none"/>
          <w:lang w:val="en-US" w:eastAsia="zh-CN"/>
        </w:rPr>
        <w:t xml:space="preserve">农药</w:t>
      </w:r>
      <w:r>
        <w:rPr>
          <w:rFonts w:hint="eastAsia" w:ascii="宋体" w:hAnsi="宋体" w:eastAsia="宋体" w:cs="宋体"/>
          <w:color w:val="000000"/>
          <w:sz w:val="24"/>
          <w:szCs w:val="24"/>
          <w:highlight w:val="none"/>
          <w:lang w:val="en-US" w:eastAsia="zh-CN"/>
        </w:rPr>
        <w:t xml:space="preserve">产品须具备农药登记证、产品质量标准证，且登记作物/场所包含</w:t>
      </w:r>
      <w:r>
        <w:rPr>
          <w:rFonts w:hint="eastAsia" w:ascii="宋体" w:hAnsi="宋体" w:cs="宋体"/>
          <w:color w:val="000000"/>
          <w:sz w:val="24"/>
          <w:szCs w:val="24"/>
          <w:highlight w:val="none"/>
          <w:lang w:val="en-US" w:eastAsia="zh-CN"/>
        </w:rPr>
        <w:t xml:space="preserve">油菜并</w:t>
      </w:r>
      <w:r>
        <w:rPr>
          <w:rFonts w:hint="eastAsia" w:ascii="宋体" w:hAnsi="宋体" w:eastAsia="宋体" w:cs="宋体"/>
          <w:color w:val="000000"/>
          <w:sz w:val="24"/>
          <w:szCs w:val="24"/>
          <w:highlight w:val="none"/>
          <w:lang w:val="en-US" w:eastAsia="zh-CN"/>
        </w:rPr>
        <w:t xml:space="preserve">在有效期内。所投肥料产品须具备有效的肥料登记证或肥料备案证明，且登记（或备案）</w:t>
      </w:r>
      <w:r>
        <w:rPr>
          <w:rFonts w:hint="eastAsia" w:ascii="宋体" w:hAnsi="宋体" w:cs="宋体"/>
          <w:color w:val="000000"/>
          <w:sz w:val="24"/>
          <w:szCs w:val="24"/>
          <w:highlight w:val="none"/>
          <w:lang w:val="en-US" w:eastAsia="zh-CN"/>
        </w:rPr>
        <w:t xml:space="preserve">适宜</w:t>
      </w:r>
      <w:r>
        <w:rPr>
          <w:rFonts w:hint="eastAsia" w:ascii="宋体" w:hAnsi="宋体" w:eastAsia="宋体" w:cs="宋体"/>
          <w:color w:val="000000"/>
          <w:sz w:val="24"/>
          <w:szCs w:val="24"/>
          <w:highlight w:val="none"/>
          <w:lang w:val="en-US" w:eastAsia="zh-CN"/>
        </w:rPr>
        <w:t xml:space="preserve">范围包含</w:t>
      </w:r>
      <w:r>
        <w:rPr>
          <w:rFonts w:hint="eastAsia" w:ascii="宋体" w:hAnsi="宋体" w:cs="宋体"/>
          <w:color w:val="000000"/>
          <w:sz w:val="24"/>
          <w:szCs w:val="24"/>
          <w:highlight w:val="none"/>
          <w:lang w:val="en-US" w:eastAsia="zh-CN"/>
        </w:rPr>
        <w:t xml:space="preserve">油菜并在有效期内</w:t>
      </w:r>
      <w:r>
        <w:rPr>
          <w:rFonts w:hint="eastAsia" w:ascii="宋体" w:hAnsi="宋体" w:eastAsia="宋体" w:cs="宋体"/>
          <w:color w:val="000000"/>
          <w:sz w:val="24"/>
          <w:szCs w:val="24"/>
          <w:highlight w:val="none"/>
          <w:lang w:val="en-US" w:eastAsia="zh-CN"/>
        </w:rPr>
        <w:t xml:space="preserve">。</w:t>
      </w:r>
      <w:r/>
    </w:p>
    <w:p>
      <w:pPr>
        <w:ind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lang w:val="en-US" w:eastAsia="zh-CN"/>
        </w:rPr>
        <w:t xml:space="preserve">上述</w:t>
      </w:r>
      <w:r>
        <w:rPr>
          <w:rFonts w:hint="eastAsia" w:ascii="宋体" w:hAnsi="宋体" w:eastAsia="宋体" w:cs="宋体"/>
          <w:color w:val="000000"/>
          <w:sz w:val="24"/>
          <w:szCs w:val="24"/>
          <w:highlight w:val="none"/>
          <w:lang w:val="en-US" w:eastAsia="zh-CN"/>
        </w:rPr>
        <w:t xml:space="preserve">所有</w:t>
      </w:r>
      <w:r>
        <w:rPr>
          <w:rFonts w:hint="eastAsia" w:ascii="宋体" w:hAnsi="宋体" w:cs="宋体"/>
          <w:color w:val="000000"/>
          <w:sz w:val="24"/>
          <w:szCs w:val="24"/>
          <w:highlight w:val="none"/>
          <w:lang w:val="en-US" w:eastAsia="zh-CN"/>
        </w:rPr>
        <w:t xml:space="preserve">证明文件</w:t>
      </w:r>
      <w:r>
        <w:rPr>
          <w:rFonts w:hint="eastAsia" w:ascii="宋体" w:hAnsi="宋体" w:eastAsia="宋体" w:cs="宋体"/>
          <w:color w:val="000000"/>
          <w:sz w:val="24"/>
          <w:szCs w:val="24"/>
          <w:highlight w:val="none"/>
          <w:lang w:val="en-US" w:eastAsia="zh-CN"/>
        </w:rPr>
        <w:t xml:space="preserve">扫描件并加盖公章。</w:t>
      </w:r>
      <w:r/>
    </w:p>
    <w:p>
      <w:pPr>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三、获取招标文件</w:t>
      </w:r>
      <w:r/>
    </w:p>
    <w:p>
      <w:pPr>
        <w:ind w:left="0" w:firstLine="42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sz w:val="24"/>
          <w:szCs w:val="24"/>
          <w:highlight w:val="none"/>
        </w:rPr>
        <w:t xml:space="preserve">2026年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15</w:t>
      </w:r>
      <w:r>
        <w:rPr>
          <w:rFonts w:hint="eastAsia" w:ascii="宋体" w:hAnsi="宋体" w:eastAsia="宋体" w:cs="宋体"/>
          <w:sz w:val="24"/>
          <w:szCs w:val="24"/>
          <w:highlight w:val="none"/>
        </w:rPr>
        <w:t xml:space="preserve">日至2026年</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rPr>
        <w:t xml:space="preserve">日09点00分（北京时间）</w:t>
      </w:r>
      <w:r/>
    </w:p>
    <w:p>
      <w:pPr>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地点：江苏政府采购网 </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方式：在“江苏政府采购网”自行免费下载招标文件</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售价：0.00元 </w:t>
      </w:r>
      <w:bookmarkEnd w:id="17"/>
      <w:bookmarkEnd w:id="18"/>
      <w:bookmarkEnd w:id="19"/>
      <w:bookmarkEnd w:id="20"/>
      <w:bookmarkEnd w:id="21"/>
      <w:r/>
    </w:p>
    <w:p>
      <w:pPr>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23" w:name="_Toc28359082"/>
      <w:r/>
      <w:bookmarkStart w:id="24" w:name="_Toc28359005"/>
      <w:r/>
      <w:bookmarkStart w:id="25" w:name="_Toc35393793"/>
      <w:r/>
      <w:bookmarkStart w:id="26" w:name="_Toc35393624"/>
      <w:r/>
      <w:bookmarkStart w:id="27" w:name="_Toc38985266"/>
      <w:r>
        <w:rPr>
          <w:rFonts w:hint="eastAsia" w:ascii="宋体" w:hAnsi="宋体" w:eastAsia="宋体" w:cs="宋体"/>
          <w:b/>
          <w:bCs/>
          <w:color w:val="000000"/>
          <w:sz w:val="24"/>
          <w:szCs w:val="24"/>
        </w:rPr>
        <w:t xml:space="preserve">四、提交投标文件</w:t>
      </w:r>
      <w:bookmarkEnd w:id="23"/>
      <w:r/>
      <w:bookmarkEnd w:id="24"/>
      <w:r>
        <w:rPr>
          <w:rFonts w:hint="eastAsia" w:ascii="宋体" w:hAnsi="宋体" w:eastAsia="宋体" w:cs="宋体"/>
          <w:b/>
          <w:bCs/>
          <w:color w:val="000000"/>
          <w:sz w:val="24"/>
          <w:szCs w:val="24"/>
        </w:rPr>
        <w:t xml:space="preserve">截止时间、开标时间和地点</w:t>
      </w:r>
      <w:bookmarkEnd w:id="25"/>
      <w:r/>
      <w:bookmarkEnd w:id="26"/>
      <w:r/>
      <w:bookmarkEnd w:id="27"/>
      <w:r/>
      <w:r/>
    </w:p>
    <w:p>
      <w:pPr>
        <w:ind w:left="0" w:firstLine="420"/>
        <w:jc w:val="both"/>
        <w:keepLines w:val="0"/>
        <w:keepNext w:val="0"/>
        <w:pageBreakBefore w:val="0"/>
        <w:spacing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u w:val="single"/>
          <w:lang w:val="en-US" w:eastAsia="zh-CN"/>
        </w:rPr>
        <w:t xml:space="preserve">2026</w:t>
      </w:r>
      <w:r>
        <w:rPr>
          <w:rFonts w:hint="eastAsia" w:ascii="宋体" w:hAnsi="宋体" w:eastAsia="宋体" w:cs="宋体"/>
          <w:bCs/>
          <w:color w:val="000000"/>
          <w:sz w:val="24"/>
          <w:szCs w:val="24"/>
        </w:rPr>
        <w:t xml:space="preserve">年</w:t>
      </w:r>
      <w:r>
        <w:rPr>
          <w:rFonts w:hint="eastAsia" w:ascii="宋体" w:hAnsi="宋体" w:cs="宋体"/>
          <w:bCs/>
          <w:color w:val="000000"/>
          <w:sz w:val="24"/>
          <w:szCs w:val="24"/>
          <w:u w:val="single"/>
          <w:lang w:val="en-US" w:eastAsia="zh-CN"/>
        </w:rPr>
        <w:t xml:space="preserve"> 8</w:t>
      </w:r>
      <w:r>
        <w:rPr>
          <w:rFonts w:hint="eastAsia" w:ascii="宋体" w:hAnsi="宋体" w:eastAsia="宋体" w:cs="宋体"/>
          <w:bCs/>
          <w:color w:val="000000"/>
          <w:sz w:val="24"/>
          <w:szCs w:val="24"/>
        </w:rPr>
        <w:t xml:space="preserve">月</w:t>
      </w:r>
      <w:r>
        <w:rPr>
          <w:rFonts w:hint="eastAsia" w:ascii="宋体" w:hAnsi="宋体" w:cs="宋体"/>
          <w:bCs/>
          <w:color w:val="000000"/>
          <w:sz w:val="24"/>
          <w:szCs w:val="24"/>
          <w:lang w:val="en-US" w:eastAsia="zh-CN"/>
        </w:rPr>
        <w:t xml:space="preserve"> </w:t>
      </w:r>
      <w:r>
        <w:rPr>
          <w:rFonts w:hint="eastAsia" w:ascii="宋体" w:hAnsi="宋体" w:cs="宋体"/>
          <w:bCs/>
          <w:color w:val="000000"/>
          <w:sz w:val="24"/>
          <w:szCs w:val="24"/>
          <w:u w:val="single"/>
          <w:lang w:val="en-US" w:eastAsia="zh-CN"/>
        </w:rPr>
        <w:t xml:space="preserve">20</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u w:val="single"/>
          <w:lang w:val="en-US" w:eastAsia="zh-CN"/>
        </w:rPr>
        <w:t xml:space="preserve">9</w:t>
      </w:r>
      <w:r>
        <w:rPr>
          <w:rFonts w:hint="eastAsia" w:ascii="宋体" w:hAnsi="宋体" w:eastAsia="宋体" w:cs="宋体"/>
          <w:bCs/>
          <w:color w:val="000000"/>
          <w:sz w:val="24"/>
          <w:szCs w:val="24"/>
        </w:rPr>
        <w:t xml:space="preserve">点</w:t>
      </w:r>
      <w:r>
        <w:rPr>
          <w:rFonts w:hint="eastAsia" w:ascii="宋体" w:hAnsi="宋体" w:eastAsia="宋体" w:cs="宋体"/>
          <w:bCs/>
          <w:color w:val="000000"/>
          <w:sz w:val="24"/>
          <w:szCs w:val="24"/>
          <w:u w:val="single"/>
          <w:lang w:val="en-US" w:eastAsia="zh-CN"/>
        </w:rPr>
        <w:t xml:space="preserve">00</w:t>
      </w:r>
      <w:r>
        <w:rPr>
          <w:rFonts w:hint="eastAsia" w:ascii="宋体" w:hAnsi="宋体" w:eastAsia="宋体" w:cs="宋体"/>
          <w:bCs/>
          <w:color w:val="000000"/>
          <w:sz w:val="24"/>
          <w:szCs w:val="24"/>
        </w:rPr>
        <w:t xml:space="preserve">分（北京时间）</w:t>
      </w:r>
      <w:r/>
    </w:p>
    <w:p>
      <w:pPr>
        <w:ind w:left="0" w:firstLine="420"/>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2.地点：“苏采云”政府采购交易系统网上开标大厅 </w:t>
      </w:r>
      <w:r/>
    </w:p>
    <w:p>
      <w:pPr>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28" w:name="_Toc28359084"/>
      <w:r/>
      <w:bookmarkStart w:id="29" w:name="_Toc35393625"/>
      <w:r/>
      <w:bookmarkStart w:id="30" w:name="_Toc28359007"/>
      <w:r/>
      <w:bookmarkStart w:id="31" w:name="_Toc35393794"/>
      <w:r/>
      <w:bookmarkStart w:id="32" w:name="_Toc38985267"/>
      <w:r>
        <w:rPr>
          <w:rFonts w:hint="eastAsia" w:ascii="宋体" w:hAnsi="宋体" w:eastAsia="宋体" w:cs="宋体"/>
          <w:b/>
          <w:bCs/>
          <w:color w:val="000000"/>
          <w:sz w:val="24"/>
          <w:szCs w:val="24"/>
        </w:rPr>
        <w:t xml:space="preserve">五、公告期限</w:t>
      </w:r>
      <w:bookmarkEnd w:id="28"/>
      <w:r/>
      <w:bookmarkEnd w:id="29"/>
      <w:r/>
      <w:bookmarkEnd w:id="30"/>
      <w:r/>
      <w:bookmarkEnd w:id="31"/>
      <w:r/>
      <w:bookmarkEnd w:id="32"/>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个工作日。</w:t>
      </w:r>
      <w:r/>
    </w:p>
    <w:p>
      <w:pPr>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bookmarkStart w:id="33" w:name="_Toc35393626"/>
      <w:r/>
      <w:bookmarkStart w:id="34" w:name="_Toc38985268"/>
      <w:r/>
      <w:bookmarkStart w:id="35" w:name="_Toc35393795"/>
      <w:r>
        <w:rPr>
          <w:rFonts w:hint="eastAsia" w:ascii="宋体" w:hAnsi="宋体" w:eastAsia="宋体" w:cs="宋体"/>
          <w:b/>
          <w:bCs/>
          <w:color w:val="000000"/>
          <w:sz w:val="24"/>
          <w:szCs w:val="24"/>
        </w:rPr>
        <w:t xml:space="preserve">六、其他补充事宜</w:t>
      </w:r>
      <w:bookmarkEnd w:id="33"/>
      <w:r/>
      <w:bookmarkEnd w:id="34"/>
      <w:r/>
      <w:bookmarkEnd w:id="35"/>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bookmarkStart w:id="36" w:name="_Toc28359008"/>
      <w:r/>
      <w:bookmarkStart w:id="37" w:name="_Toc38985269"/>
      <w:r/>
      <w:bookmarkStart w:id="38" w:name="_Toc28359085"/>
      <w:r/>
      <w:bookmarkStart w:id="39" w:name="_Toc35393796"/>
      <w:r/>
      <w:bookmarkStart w:id="40" w:name="_Toc35393627"/>
      <w:r>
        <w:rPr>
          <w:rFonts w:hint="eastAsia" w:ascii="宋体" w:hAnsi="宋体" w:eastAsia="宋体" w:cs="宋体"/>
          <w:color w:val="000000"/>
          <w:sz w:val="24"/>
          <w:szCs w:val="24"/>
        </w:rPr>
        <w:t xml:space="preserve">1.根据省财政厅《关于更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如果“江苏政府采购网”（www.ccgp-jiangsu.gov.cn）信息与“江苏政务服务网”（www.jszwfw.gov.cn），“一企来办”专栏下“政府采购”模块中信息不一致，以“江苏政府采购网”信息为准。</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2.有关本次招标的事项若存在变动或修改，敬请及时关注在“江苏政府采购网”发布的更正公告。</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3.本次招标不收取投标保证金。</w:t>
      </w:r>
      <w:r/>
    </w:p>
    <w:p>
      <w:pPr>
        <w:ind w:left="0" w:firstLine="420"/>
        <w:jc w:val="both"/>
        <w:keepLines w:val="0"/>
        <w:keepNext w:val="0"/>
        <w:pageBreakBefore w:val="0"/>
        <w:spacing w:line="44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七、本次招标联系方式</w:t>
      </w:r>
      <w:bookmarkEnd w:id="36"/>
      <w:r/>
      <w:bookmarkEnd w:id="37"/>
      <w:r/>
      <w:bookmarkEnd w:id="38"/>
      <w:r/>
      <w:bookmarkEnd w:id="39"/>
      <w:r/>
      <w:bookmarkEnd w:id="40"/>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1.采购人信息</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bookmarkStart w:id="41" w:name="OLE_LINK3"/>
      <w:r>
        <w:rPr>
          <w:rFonts w:hint="eastAsia" w:ascii="宋体" w:hAnsi="宋体" w:cs="宋体"/>
          <w:color w:val="000000"/>
          <w:sz w:val="24"/>
          <w:szCs w:val="24"/>
          <w:u w:val="single"/>
          <w:lang w:eastAsia="zh-CN"/>
        </w:rPr>
        <w:t xml:space="preserve">南通市海门区农业技术推广中心</w:t>
      </w:r>
      <w:bookmarkEnd w:id="41"/>
      <w:r/>
    </w:p>
    <w:p>
      <w:pPr>
        <w:ind w:left="0" w:firstLine="420"/>
        <w:jc w:val="both"/>
        <w:keepLines w:val="0"/>
        <w:keepNext w:val="0"/>
        <w:pageBreakBefore w:val="0"/>
        <w:spacing w:line="440" w:lineRule="exact"/>
        <w:widowControl w:val="off"/>
        <w:rPr>
          <w:rFonts w:hint="default" w:ascii="宋体" w:hAnsi="宋体" w:eastAsia="宋体" w:cs="宋体"/>
          <w:color w:val="000000"/>
          <w:sz w:val="24"/>
          <w:szCs w:val="24"/>
          <w:lang w:val="en-US"/>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南通市海门区</w:t>
      </w:r>
      <w:r>
        <w:rPr>
          <w:rFonts w:hint="eastAsia" w:ascii="宋体" w:hAnsi="宋体" w:cs="宋体"/>
          <w:color w:val="000000"/>
          <w:sz w:val="24"/>
          <w:szCs w:val="24"/>
          <w:u w:val="single"/>
          <w:lang w:val="en-US" w:eastAsia="zh-CN"/>
        </w:rPr>
        <w:t xml:space="preserve">海门镇解放中路67号</w:t>
      </w:r>
      <w:r/>
    </w:p>
    <w:p>
      <w:pPr>
        <w:ind w:left="0" w:firstLine="420"/>
        <w:jc w:val="both"/>
        <w:keepLines w:val="0"/>
        <w:keepNext w:val="0"/>
        <w:pageBreakBefore w:val="0"/>
        <w:spacing w:line="44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u w:val="single"/>
          <w:lang w:val="en-US" w:eastAsia="zh-CN"/>
        </w:rPr>
        <w:t xml:space="preserve">陆女士</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联系方式：</w:t>
      </w:r>
      <w:bookmarkStart w:id="42" w:name="_Toc28359009"/>
      <w:r/>
      <w:bookmarkStart w:id="43" w:name="_Toc28359086"/>
      <w:r>
        <w:rPr>
          <w:rFonts w:hint="eastAsia" w:ascii="宋体" w:hAnsi="宋体" w:eastAsia="宋体" w:cs="宋体"/>
          <w:color w:val="000000"/>
          <w:sz w:val="24"/>
          <w:szCs w:val="24"/>
          <w:u w:val="single"/>
        </w:rPr>
        <w:t xml:space="preserve">15050609766 </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w:t>
      </w:r>
      <w:bookmarkEnd w:id="42"/>
      <w:r/>
      <w:bookmarkEnd w:id="43"/>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u w:val="single"/>
          <w:lang w:eastAsia="zh-CN"/>
        </w:rPr>
        <w:t xml:space="preserve">南通万隆工程管理有限公司</w:t>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w:t>
      </w:r>
      <w:bookmarkStart w:id="44" w:name="OLE_LINK2"/>
      <w:r>
        <w:rPr>
          <w:rFonts w:hint="eastAsia" w:ascii="宋体" w:hAnsi="宋体" w:eastAsia="宋体" w:cs="宋体"/>
          <w:color w:val="000000"/>
          <w:sz w:val="24"/>
          <w:szCs w:val="24"/>
          <w:u w:val="single"/>
        </w:rPr>
        <w:t xml:space="preserve">南通市海门区大生创业园507幢401室</w:t>
      </w:r>
      <w:bookmarkEnd w:id="44"/>
      <w:r/>
      <w:r/>
    </w:p>
    <w:p>
      <w:pPr>
        <w:ind w:left="0" w:firstLine="420"/>
        <w:jc w:val="both"/>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color w:val="auto"/>
          <w:sz w:val="24"/>
          <w:szCs w:val="24"/>
          <w:u w:val="single"/>
          <w:lang w:val="en-US" w:eastAsia="zh-CN"/>
        </w:rPr>
        <w:t xml:space="preserve">李秋燕、刘倩艳</w:t>
      </w:r>
      <w:r/>
    </w:p>
    <w:p>
      <w:pPr>
        <w:ind w:left="0" w:firstLine="420"/>
        <w:jc w:val="both"/>
        <w:keepLines w:val="0"/>
        <w:keepNext w:val="0"/>
        <w:pageBreakBefore w:val="0"/>
        <w:spacing w:line="440" w:lineRule="exact"/>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联系方式：</w:t>
      </w:r>
      <w:bookmarkStart w:id="45" w:name="_Toc28359087"/>
      <w:r/>
      <w:bookmarkStart w:id="46" w:name="_Toc28359010"/>
      <w:r>
        <w:rPr>
          <w:rFonts w:hint="eastAsia" w:ascii="宋体" w:hAnsi="宋体" w:cs="宋体"/>
          <w:color w:val="000000"/>
          <w:sz w:val="24"/>
          <w:szCs w:val="24"/>
          <w:u w:val="single"/>
          <w:lang w:val="en-US" w:eastAsia="zh-CN"/>
        </w:rPr>
        <w:t xml:space="preserve">15152890847</w:t>
      </w:r>
      <w:bookmarkEnd w:id="45"/>
      <w:bookmarkEnd w:id="46"/>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right="840"/>
        <w:rPr>
          <w:rFonts w:hint="eastAsia" w:ascii="宋体" w:hAnsi="宋体"/>
          <w:color w:val="000000"/>
          <w:sz w:val="24"/>
          <w:szCs w:val="24"/>
        </w:rPr>
      </w:pPr>
      <w:r>
        <w:rPr>
          <w:rFonts w:hint="eastAsia" w:ascii="宋体" w:hAnsi="宋体"/>
          <w:color w:val="000000"/>
          <w:sz w:val="24"/>
          <w:szCs w:val="24"/>
        </w:rPr>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7"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7"/>
      <w:r/>
      <w:bookmarkStart w:id="48" w:name="_Toc120614213"/>
      <w:r/>
      <w:bookmarkStart w:id="49" w:name="_Toc16938518"/>
      <w:r/>
      <w:bookmarkStart w:id="50" w:name="_Toc20823274"/>
      <w:r/>
      <w:bookmarkStart w:id="51" w:name="_Toc513029202"/>
      <w:r>
        <w:rPr>
          <w:rFonts w:hint="eastAsia" w:ascii="黑体" w:hAnsi="Arial" w:eastAsia="黑体" w:cs="Arial"/>
          <w:b/>
          <w:bCs/>
          <w:color w:val="000000"/>
          <w:sz w:val="44"/>
          <w:szCs w:val="44"/>
        </w:rPr>
        <w:t xml:space="preserve">投标人须知</w:t>
      </w:r>
      <w:bookmarkEnd w:id="48"/>
      <w:r/>
      <w:bookmarkEnd w:id="49"/>
      <w:r/>
      <w:bookmarkEnd w:id="50"/>
      <w:r/>
      <w:bookmarkEnd w:id="51"/>
      <w:r/>
      <w:r/>
    </w:p>
    <w:p>
      <w:pPr>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52" w:name="_Toc120614214"/>
      <w:r/>
      <w:bookmarkStart w:id="53" w:name="_Toc513029203"/>
      <w:r/>
      <w:bookmarkStart w:id="54" w:name="_Toc16938519"/>
      <w:r/>
      <w:bookmarkStart w:id="55" w:name="_Toc20823275"/>
      <w:r/>
      <w:bookmarkStart w:id="56" w:name="_Toc479757207"/>
      <w:r/>
      <w:bookmarkStart w:id="57" w:name="_Toc16938558"/>
      <w:r/>
      <w:bookmarkStart w:id="58" w:name="_Toc20823314"/>
      <w:r/>
      <w:bookmarkStart w:id="59" w:name="_Toc513029242"/>
      <w:r/>
      <w:bookmarkStart w:id="60" w:name="_Toc120614221"/>
      <w:r>
        <w:rPr>
          <w:rFonts w:hint="eastAsia" w:ascii="宋体" w:hAnsi="宋体" w:cs="宋体"/>
          <w:b/>
          <w:bCs/>
          <w:color w:val="000000"/>
          <w:sz w:val="24"/>
          <w:szCs w:val="24"/>
          <w:highlight w:val="none"/>
        </w:rPr>
        <w:t xml:space="preserve">一、总则</w:t>
      </w:r>
      <w:bookmarkEnd w:id="52"/>
      <w:r/>
      <w:bookmarkEnd w:id="53"/>
      <w:r/>
      <w:bookmarkEnd w:id="54"/>
      <w:r/>
      <w:bookmarkEnd w:id="55"/>
      <w:r/>
      <w:bookmarkStart w:id="61" w:name="_Hlt16619475"/>
      <w:r/>
      <w:bookmarkEnd w:id="61"/>
      <w:r/>
      <w:bookmarkStart w:id="62" w:name="_Toc458694821"/>
      <w:r/>
      <w:bookmarkStart w:id="63" w:name="_Toc20823276"/>
      <w:r/>
      <w:bookmarkStart w:id="64" w:name="_Toc513029204"/>
      <w:r/>
      <w:bookmarkStart w:id="65" w:name="_Toc16938520"/>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w:t>
      </w:r>
      <w:bookmarkEnd w:id="62"/>
      <w:r>
        <w:rPr>
          <w:rFonts w:hint="eastAsia" w:ascii="宋体" w:hAnsi="宋体" w:cs="宋体"/>
          <w:color w:val="000000"/>
          <w:sz w:val="24"/>
          <w:szCs w:val="24"/>
          <w:highlight w:val="none"/>
        </w:rPr>
        <w:t xml:space="preserve">、招标方式</w:t>
      </w:r>
      <w:bookmarkEnd w:id="63"/>
      <w:r/>
      <w:bookmarkEnd w:id="64"/>
      <w:r/>
      <w:bookmarkEnd w:id="65"/>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本次招标采取询价方式，本招标文件仅适用于招标公告中所述项目。</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66" w:name="_Toc20823277"/>
      <w:r/>
      <w:bookmarkStart w:id="67" w:name="_Toc16938521"/>
      <w:r/>
      <w:bookmarkStart w:id="68" w:name="_Toc513029205"/>
      <w:r>
        <w:rPr>
          <w:rFonts w:hint="eastAsia" w:ascii="宋体" w:hAnsi="宋体" w:cs="宋体"/>
          <w:color w:val="000000"/>
          <w:sz w:val="24"/>
          <w:szCs w:val="24"/>
          <w:highlight w:val="none"/>
        </w:rPr>
        <w:t xml:space="preserve">2、合格的投标人</w:t>
      </w:r>
      <w:bookmarkEnd w:id="66"/>
      <w:r/>
      <w:bookmarkEnd w:id="67"/>
      <w:r/>
      <w:bookmarkEnd w:id="68"/>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2.1满足招标公告中供应商的资格要求的规定。</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2.2 满足本文件实质性要求的规定。</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69" w:name="_Toc16938522"/>
      <w:r/>
      <w:bookmarkStart w:id="70" w:name="_Toc513029206"/>
      <w:r/>
      <w:bookmarkStart w:id="71" w:name="_Toc20823278"/>
      <w:r>
        <w:rPr>
          <w:rFonts w:hint="eastAsia" w:ascii="宋体" w:hAnsi="宋体" w:cs="宋体"/>
          <w:sz w:val="24"/>
          <w:szCs w:val="24"/>
          <w:highlight w:val="none"/>
        </w:rPr>
        <w:t xml:space="preserve">3、适用法律</w:t>
      </w:r>
      <w:bookmarkEnd w:id="69"/>
      <w:r/>
      <w:bookmarkEnd w:id="70"/>
      <w:r/>
      <w:bookmarkEnd w:id="71"/>
      <w:r>
        <w:rPr>
          <w:rFonts w:hint="eastAsia" w:ascii="宋体" w:hAnsi="宋体" w:cs="宋体"/>
          <w:sz w:val="24"/>
          <w:szCs w:val="24"/>
          <w:highlight w:val="none"/>
        </w:rPr>
        <w:t xml:space="preserve">和标准</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3.1 本次招标及由此产生的合同受中华人民共和国有关的法律法规制约和保护。</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3.2 在本项目政府采购活动过程中，如果所执行的标准有更新的，按照最新标准执行。</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72" w:name="_Toc16938523"/>
      <w:r/>
      <w:bookmarkStart w:id="73" w:name="_Toc20823279"/>
      <w:r/>
      <w:bookmarkStart w:id="74" w:name="_Toc513029207"/>
      <w:r/>
      <w:bookmarkStart w:id="75" w:name="_Toc462564067"/>
      <w:r>
        <w:rPr>
          <w:rFonts w:hint="eastAsia" w:ascii="宋体" w:hAnsi="宋体" w:cs="宋体"/>
          <w:sz w:val="24"/>
          <w:szCs w:val="24"/>
          <w:highlight w:val="none"/>
        </w:rPr>
        <w:t xml:space="preserve">4、投标费用</w:t>
      </w:r>
      <w:bookmarkEnd w:id="72"/>
      <w:r/>
      <w:bookmarkEnd w:id="73"/>
      <w:r/>
      <w:bookmarkEnd w:id="74"/>
      <w:r/>
      <w:bookmarkEnd w:id="75"/>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4.1</w:t>
      </w:r>
      <w:r>
        <w:rPr>
          <w:rFonts w:hint="eastAsia" w:ascii="宋体" w:hAnsi="宋体" w:cs="宋体"/>
          <w:sz w:val="24"/>
          <w:szCs w:val="24"/>
          <w:highlight w:val="none"/>
        </w:rPr>
        <w:t xml:space="preserve"> 投标人应自行承担所有与参加投标有关的费用，无论投标过程中的做法和结果如何，</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在任何情况下均无义务和责任承担这些费用。</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4.2本次招标采购人不收取标书工本费与中标服务费。</w:t>
      </w:r>
      <w:r/>
    </w:p>
    <w:p>
      <w:pPr>
        <w:ind w:firstLine="480"/>
        <w:keepLines w:val="0"/>
        <w:keepNext w:val="0"/>
        <w:pageBreakBefore w:val="0"/>
        <w:spacing w:line="380" w:lineRule="exact"/>
        <w:widowControl w:val="off"/>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4.3</w:t>
      </w:r>
      <w:r>
        <w:rPr>
          <w:rFonts w:hint="eastAsia" w:ascii="宋体" w:hAnsi="宋体" w:cs="宋体"/>
          <w:color w:val="000000"/>
          <w:sz w:val="24"/>
          <w:szCs w:val="24"/>
          <w:highlight w:val="none"/>
        </w:rPr>
        <w:t xml:space="preserve">招标代理服务费应包含（分摊）在投标报价中，但不单独列出(中标人在领取中标通知书前向招标代理人支付招标代理服务费，按</w:t>
      </w:r>
      <w:r>
        <w:rPr>
          <w:rFonts w:hint="eastAsia" w:ascii="宋体" w:hAnsi="宋体" w:cs="宋体"/>
          <w:color w:val="000000"/>
          <w:sz w:val="24"/>
          <w:szCs w:val="24"/>
          <w:highlight w:val="none"/>
          <w:lang w:val="en-US" w:eastAsia="zh-CN"/>
        </w:rPr>
        <w:t xml:space="preserve">17600</w:t>
      </w:r>
      <w:r>
        <w:rPr>
          <w:rFonts w:hint="eastAsia" w:ascii="宋体" w:hAnsi="宋体" w:cs="宋体"/>
          <w:color w:val="000000"/>
          <w:sz w:val="24"/>
          <w:szCs w:val="24"/>
          <w:highlight w:val="none"/>
        </w:rPr>
        <w:t xml:space="preserve">元收取，投标单位应综合考虑该费用)</w:t>
      </w:r>
      <w:r>
        <w:rPr>
          <w:rFonts w:hint="eastAsia" w:ascii="宋体" w:hAnsi="宋体" w:cs="宋体"/>
          <w:b/>
          <w:color w:val="000000"/>
          <w:sz w:val="24"/>
          <w:szCs w:val="24"/>
          <w:highlight w:val="none"/>
        </w:rPr>
        <w:t xml:space="preserve">。</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5、招标文件的约束力</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sz w:val="24"/>
          <w:szCs w:val="24"/>
          <w:highlight w:val="none"/>
        </w:rPr>
        <w:t xml:space="preserve">5.1</w:t>
      </w:r>
      <w:r>
        <w:rPr>
          <w:rFonts w:hint="eastAsia" w:ascii="宋体" w:hAnsi="宋体" w:cs="宋体"/>
          <w:sz w:val="24"/>
          <w:szCs w:val="24"/>
          <w:highlight w:val="none"/>
        </w:rPr>
        <w:t xml:space="preserve"> 投标人一旦参加本项目采购活动，即被认为接受了本招</w:t>
      </w:r>
      <w:r>
        <w:rPr>
          <w:rFonts w:hint="eastAsia" w:ascii="宋体" w:hAnsi="宋体" w:cs="宋体"/>
          <w:color w:val="000000"/>
          <w:sz w:val="24"/>
          <w:szCs w:val="24"/>
          <w:highlight w:val="none"/>
        </w:rPr>
        <w:t xml:space="preserve">标文件的规定和约束。</w:t>
      </w:r>
      <w:r/>
    </w:p>
    <w:p>
      <w:pPr>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76" w:name="_Toc513029209"/>
      <w:r/>
      <w:bookmarkStart w:id="77" w:name="_Toc120614215"/>
      <w:r/>
      <w:bookmarkStart w:id="78" w:name="_Toc16938525"/>
      <w:r/>
      <w:bookmarkStart w:id="79" w:name="_Toc20823281"/>
      <w:r>
        <w:rPr>
          <w:rFonts w:hint="eastAsia" w:ascii="宋体" w:hAnsi="宋体" w:cs="宋体"/>
          <w:b/>
          <w:bCs/>
          <w:color w:val="000000"/>
          <w:sz w:val="24"/>
          <w:szCs w:val="24"/>
          <w:highlight w:val="none"/>
        </w:rPr>
        <w:t xml:space="preserve">二、招标文件</w:t>
      </w:r>
      <w:bookmarkEnd w:id="76"/>
      <w:r/>
      <w:bookmarkEnd w:id="77"/>
      <w:r/>
      <w:bookmarkEnd w:id="78"/>
      <w:r/>
      <w:bookmarkEnd w:id="79"/>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80" w:name="_Toc16938526"/>
      <w:r/>
      <w:bookmarkStart w:id="81" w:name="_Toc20823282"/>
      <w:r/>
      <w:bookmarkStart w:id="82" w:name="_Toc513029210"/>
      <w:r>
        <w:rPr>
          <w:rFonts w:hint="eastAsia" w:ascii="宋体" w:hAnsi="宋体" w:cs="宋体"/>
          <w:color w:val="000000"/>
          <w:sz w:val="24"/>
          <w:szCs w:val="24"/>
          <w:highlight w:val="none"/>
        </w:rPr>
        <w:t xml:space="preserve">6、招标文件构成</w:t>
      </w:r>
      <w:bookmarkEnd w:id="80"/>
      <w:r/>
      <w:bookmarkEnd w:id="81"/>
      <w:r/>
      <w:bookmarkEnd w:id="82"/>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6.1</w:t>
      </w:r>
      <w:r>
        <w:rPr>
          <w:rFonts w:hint="eastAsia" w:ascii="宋体" w:hAnsi="宋体" w:cs="宋体"/>
          <w:color w:val="000000"/>
          <w:sz w:val="24"/>
          <w:szCs w:val="24"/>
          <w:highlight w:val="none"/>
        </w:rPr>
        <w:t xml:space="preserve"> 招标文件由以下部分组成：</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（1）投标邀请</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（2）投标人须知</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（3）合同文本</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p>
    <w:p>
      <w:pPr>
        <w:ind w:firstLine="480"/>
        <w:keepLines w:val="0"/>
        <w:keepNext w:val="0"/>
        <w:pageBreakBefore w:val="0"/>
        <w:spacing w:line="380" w:lineRule="exact"/>
        <w:widowControl w:val="off"/>
        <w:rPr>
          <w:rFonts w:hint="eastAsia" w:ascii="宋体" w:hAnsi="宋体" w:cs="宋体"/>
          <w:color w:val="000000"/>
          <w:sz w:val="24"/>
          <w:szCs w:val="24"/>
          <w:highlight w:val="yellow"/>
        </w:rPr>
      </w:pPr>
      <w:r>
        <w:rPr>
          <w:rFonts w:hint="eastAsia" w:ascii="宋体" w:hAnsi="宋体" w:cs="宋体"/>
          <w:color w:val="000000"/>
          <w:sz w:val="24"/>
          <w:szCs w:val="24"/>
          <w:highlight w:val="none"/>
        </w:rPr>
        <w:t xml:space="preserve">（5）评标方法与评标标准</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（6）投标文件格式</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请仔细检查招标文件是否齐全，如有缺漏请立即与采购人或采购代理机构联系解决。</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6.2</w:t>
      </w:r>
      <w:r>
        <w:rPr>
          <w:rFonts w:hint="eastAsia" w:ascii="宋体" w:hAnsi="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83" w:name="_Toc513029212"/>
      <w:r/>
      <w:bookmarkStart w:id="84" w:name="_Toc20823284"/>
      <w:r/>
      <w:bookmarkStart w:id="85" w:name="_Toc16938528"/>
      <w:r/>
      <w:bookmarkStart w:id="86" w:name="_Toc462564071"/>
      <w:r>
        <w:rPr>
          <w:rFonts w:hint="eastAsia" w:ascii="宋体" w:hAnsi="宋体" w:cs="宋体"/>
          <w:color w:val="000000"/>
          <w:sz w:val="24"/>
          <w:szCs w:val="24"/>
          <w:highlight w:val="none"/>
        </w:rPr>
        <w:t xml:space="preserve">7、招标文件的修改</w:t>
      </w:r>
      <w:bookmarkEnd w:id="83"/>
      <w:r/>
      <w:bookmarkEnd w:id="84"/>
      <w:r/>
      <w:bookmarkEnd w:id="85"/>
      <w:r/>
      <w:bookmarkEnd w:id="86"/>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7.1</w:t>
      </w:r>
      <w:r>
        <w:rPr>
          <w:rFonts w:hint="eastAsia" w:ascii="宋体" w:hAnsi="宋体" w:cs="宋体"/>
          <w:color w:val="000000"/>
          <w:sz w:val="24"/>
          <w:szCs w:val="24"/>
          <w:highlight w:val="none"/>
        </w:rPr>
        <w:t xml:space="preserve"> 在投标截止时间前，采购人或采购代理机构可以对招标文件进行修改。</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7.2 采购人或采购代理机构</w:t>
      </w:r>
      <w:r>
        <w:rPr>
          <w:rFonts w:hint="eastAsia" w:ascii="宋体" w:hAnsi="宋体" w:cs="宋体"/>
          <w:color w:val="000000"/>
          <w:sz w:val="24"/>
          <w:szCs w:val="24"/>
          <w:highlight w:val="none"/>
        </w:rPr>
        <w:t xml:space="preserve">有权按照法定的要求推迟投标截止日期和开标日期。</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7.3 </w:t>
      </w:r>
      <w:r>
        <w:rPr>
          <w:rFonts w:hint="eastAsia" w:ascii="宋体" w:hAnsi="宋体" w:cs="宋体"/>
          <w:color w:val="000000"/>
          <w:sz w:val="24"/>
          <w:szCs w:val="24"/>
          <w:highlight w:val="none"/>
        </w:rPr>
        <w:t xml:space="preserve">招标文件的修改将在江苏政府采购网公布，补充文件将作为招标文件的组成部分，并对投标人具有约束力。</w:t>
      </w:r>
      <w:r/>
    </w:p>
    <w:p>
      <w:pPr>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87" w:name="_Toc513029213"/>
      <w:r/>
      <w:bookmarkStart w:id="88" w:name="_Toc462564072"/>
      <w:r/>
      <w:bookmarkStart w:id="89" w:name="_Toc20823285"/>
      <w:r/>
      <w:bookmarkStart w:id="90" w:name="_Toc120614216"/>
      <w:r/>
      <w:bookmarkStart w:id="91" w:name="_Toc16938529"/>
      <w:r>
        <w:rPr>
          <w:rFonts w:hint="eastAsia" w:ascii="宋体" w:hAnsi="宋体" w:cs="宋体"/>
          <w:b/>
          <w:bCs/>
          <w:color w:val="000000"/>
          <w:sz w:val="24"/>
          <w:szCs w:val="24"/>
          <w:highlight w:val="none"/>
        </w:rPr>
        <w:t xml:space="preserve">三、投标文件的编制</w:t>
      </w:r>
      <w:bookmarkEnd w:id="87"/>
      <w:r/>
      <w:bookmarkEnd w:id="88"/>
      <w:r/>
      <w:bookmarkEnd w:id="89"/>
      <w:r/>
      <w:bookmarkEnd w:id="90"/>
      <w:r/>
      <w:bookmarkEnd w:id="91"/>
      <w:r/>
      <w:r/>
    </w:p>
    <w:p>
      <w:pPr>
        <w:ind w:firstLine="480"/>
        <w:keepLines w:val="0"/>
        <w:keepNext w:val="0"/>
        <w:pageBreakBefore w:val="0"/>
        <w:spacing w:line="380" w:lineRule="exact"/>
        <w:widowControl w:val="off"/>
        <w:rPr>
          <w:rFonts w:hint="eastAsia" w:ascii="宋体" w:hAnsi="宋体" w:cs="宋体"/>
          <w:b/>
          <w:color w:val="000000"/>
          <w:sz w:val="24"/>
          <w:szCs w:val="24"/>
          <w:highlight w:val="none"/>
        </w:rPr>
        <w:outlineLvl w:val="3"/>
      </w:pPr>
      <w:r/>
      <w:bookmarkStart w:id="92" w:name="_Toc16938530"/>
      <w:r/>
      <w:bookmarkStart w:id="93" w:name="_Toc20823286"/>
      <w:r/>
      <w:bookmarkStart w:id="94" w:name="_Toc513029214"/>
      <w:r/>
      <w:bookmarkStart w:id="95" w:name="_Toc462564073"/>
      <w:r>
        <w:rPr>
          <w:rFonts w:hint="eastAsia" w:ascii="宋体" w:hAnsi="宋体" w:cs="宋体"/>
          <w:color w:val="000000"/>
          <w:sz w:val="24"/>
          <w:szCs w:val="24"/>
          <w:highlight w:val="none"/>
        </w:rPr>
        <w:t xml:space="preserve">8、投标文件的语言及度量衡单位</w:t>
      </w:r>
      <w:bookmarkEnd w:id="92"/>
      <w:r/>
      <w:bookmarkEnd w:id="93"/>
      <w:r/>
      <w:bookmarkEnd w:id="94"/>
      <w:r/>
      <w:bookmarkEnd w:id="95"/>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8.1</w:t>
      </w:r>
      <w:r>
        <w:rPr>
          <w:rFonts w:hint="eastAsia" w:ascii="宋体" w:hAnsi="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8.2</w:t>
      </w:r>
      <w:r>
        <w:rPr>
          <w:rFonts w:hint="eastAsia" w:ascii="宋体" w:hAnsi="宋体" w:cs="宋体"/>
          <w:color w:val="000000"/>
          <w:sz w:val="24"/>
          <w:szCs w:val="24"/>
          <w:highlight w:val="none"/>
        </w:rPr>
        <w:t xml:space="preserve"> 除技术性能另有规定外，投标文件所使用的度量衡单位，均须采用国家法定计量单位。</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96" w:name="_Toc462564074"/>
      <w:r/>
      <w:bookmarkStart w:id="97" w:name="_Toc16938531"/>
      <w:r/>
      <w:bookmarkStart w:id="98" w:name="_Toc20823287"/>
      <w:r/>
      <w:bookmarkStart w:id="99" w:name="_Toc513029215"/>
      <w:r>
        <w:rPr>
          <w:rFonts w:hint="eastAsia" w:ascii="宋体" w:hAnsi="宋体" w:cs="宋体"/>
          <w:color w:val="000000"/>
          <w:sz w:val="24"/>
          <w:szCs w:val="24"/>
          <w:highlight w:val="none"/>
        </w:rPr>
        <w:t xml:space="preserve">9、投标文件构成</w:t>
      </w:r>
      <w:bookmarkEnd w:id="96"/>
      <w:r/>
      <w:bookmarkEnd w:id="97"/>
      <w:r/>
      <w:bookmarkEnd w:id="98"/>
      <w:r/>
      <w:bookmarkEnd w:id="99"/>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9.1</w:t>
      </w:r>
      <w:r>
        <w:rPr>
          <w:rFonts w:hint="eastAsia" w:ascii="宋体" w:hAnsi="宋体" w:cs="宋体"/>
          <w:sz w:val="24"/>
          <w:szCs w:val="24"/>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9.2 如标书制作工具中格式和内容与“江苏政府采购网”发布的招标文件不一致，请以“江苏政府采购网”发布的招标文件为准。</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00" w:name="_Hlt26954838"/>
      <w:r/>
      <w:bookmarkEnd w:id="100"/>
      <w:r/>
      <w:bookmarkStart w:id="101" w:name="_Hlt26670360"/>
      <w:r/>
      <w:bookmarkEnd w:id="101"/>
      <w:r/>
      <w:bookmarkStart w:id="102" w:name="_Hlt26668975"/>
      <w:r/>
      <w:bookmarkEnd w:id="102"/>
      <w:r/>
      <w:bookmarkStart w:id="103" w:name="_Toc14577357"/>
      <w:r/>
      <w:bookmarkStart w:id="104" w:name="_Toc49090509"/>
      <w:r/>
      <w:bookmarkStart w:id="105" w:name="_Toc513029219"/>
      <w:r/>
      <w:bookmarkStart w:id="106" w:name="_Toc14577354"/>
      <w:r/>
      <w:bookmarkStart w:id="107" w:name="_Toc513029216"/>
      <w:r/>
      <w:bookmarkStart w:id="108" w:name="_Toc49090507"/>
      <w:r/>
      <w:bookmarkStart w:id="109" w:name="_Toc49090508"/>
      <w:r/>
      <w:bookmarkStart w:id="110" w:name="_Toc14577355"/>
      <w:r>
        <w:rPr>
          <w:rFonts w:hint="eastAsia" w:ascii="宋体" w:hAnsi="宋体" w:cs="宋体"/>
          <w:color w:val="000000"/>
          <w:sz w:val="24"/>
          <w:szCs w:val="24"/>
          <w:highlight w:val="none"/>
        </w:rPr>
        <w:t xml:space="preserve">10、证明投标人及投标标的符合招标文件规定的文件</w:t>
      </w:r>
      <w:bookmarkEnd w:id="103"/>
      <w:r/>
      <w:bookmarkEnd w:id="104"/>
      <w:r/>
      <w:bookmarkEnd w:id="105"/>
      <w:r/>
      <w:bookmarkEnd w:id="106"/>
      <w:bookmarkEnd w:id="107"/>
      <w:bookmarkEnd w:id="108"/>
      <w:r/>
    </w:p>
    <w:p>
      <w:pPr>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10.1 投标人应按照招标文件要求提交证明文件，证明其及投标标的符合招标文件规定。</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10.2招标文件对证明文件无明确形式要求的，证明文件可以以文字资料、图纸和数据等形式提交。</w:t>
      </w:r>
      <w:bookmarkEnd w:id="109"/>
      <w:bookmarkEnd w:id="110"/>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11、投标分项报价表</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11.1</w:t>
      </w:r>
      <w:r>
        <w:rPr>
          <w:rFonts w:hint="eastAsia" w:ascii="宋体" w:hAnsi="宋体" w:cs="宋体"/>
          <w:sz w:val="24"/>
          <w:szCs w:val="24"/>
          <w:highlight w:val="none"/>
        </w:rPr>
        <w:t xml:space="preserve">投</w:t>
      </w:r>
      <w:bookmarkStart w:id="111" w:name="_Hlt26954840"/>
      <w:r/>
      <w:bookmarkEnd w:id="111"/>
      <w:r>
        <w:rPr>
          <w:rFonts w:hint="eastAsia" w:ascii="宋体" w:hAnsi="宋体" w:cs="宋体"/>
          <w:sz w:val="24"/>
          <w:szCs w:val="24"/>
          <w:highlight w:val="none"/>
        </w:rPr>
        <w:t xml:space="preserve">标人按照招标文件规定格式填报投标分项报价表</w:t>
      </w:r>
      <w:bookmarkStart w:id="112" w:name="_Hlt26670399"/>
      <w:r/>
      <w:bookmarkEnd w:id="112"/>
      <w:r>
        <w:rPr>
          <w:rFonts w:hint="eastAsia" w:ascii="宋体" w:hAnsi="宋体" w:cs="宋体"/>
          <w:sz w:val="24"/>
          <w:szCs w:val="24"/>
          <w:highlight w:val="none"/>
        </w:rPr>
        <w:t xml:space="preserve">。</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sz w:val="24"/>
          <w:szCs w:val="24"/>
          <w:highlight w:val="none"/>
        </w:rPr>
        <w:t xml:space="preserve">11.2</w:t>
      </w:r>
      <w:r>
        <w:rPr>
          <w:rFonts w:hint="eastAsia" w:ascii="宋体" w:hAnsi="宋体" w:cs="宋体"/>
          <w:bCs/>
          <w:sz w:val="24"/>
          <w:szCs w:val="24"/>
          <w:highlight w:val="none"/>
        </w:rPr>
        <w:t xml:space="preserve">投标货币。投标文件中的单价和总价无特殊规定的采用人民币报价，以元为单位标注。</w:t>
      </w:r>
      <w:r>
        <w:rPr>
          <w:rFonts w:hint="eastAsia" w:ascii="宋体" w:hAnsi="宋体" w:cs="宋体"/>
          <w:sz w:val="24"/>
          <w:szCs w:val="24"/>
          <w:highlight w:val="none"/>
        </w:rPr>
        <w:t xml:space="preserve">招标文件中另有规定的按规定执行。</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13" w:name="_Hlt26670482"/>
      <w:r/>
      <w:bookmarkEnd w:id="113"/>
      <w:r/>
      <w:bookmarkStart w:id="114" w:name="_Hlt26954731"/>
      <w:r/>
      <w:bookmarkEnd w:id="114"/>
      <w:r/>
      <w:bookmarkStart w:id="115" w:name="_Hlt26954848"/>
      <w:r/>
      <w:bookmarkEnd w:id="115"/>
      <w:r/>
      <w:bookmarkStart w:id="116" w:name="_Hlt26670486"/>
      <w:r/>
      <w:bookmarkEnd w:id="116"/>
      <w:r/>
      <w:bookmarkStart w:id="117" w:name="_Hlt26954846"/>
      <w:r/>
      <w:bookmarkEnd w:id="117"/>
      <w:r>
        <w:rPr>
          <w:rFonts w:hint="eastAsia" w:ascii="宋体" w:hAnsi="宋体" w:cs="宋体"/>
          <w:sz w:val="24"/>
          <w:szCs w:val="24"/>
          <w:highlight w:val="none"/>
        </w:rPr>
        <w:t xml:space="preserve">12、技术要求响应及偏离表、商务要求响应及偏离表</w:t>
      </w:r>
      <w:r/>
    </w:p>
    <w:p>
      <w:pPr>
        <w:ind w:firstLine="480"/>
        <w:keepLines w:val="0"/>
        <w:keepNext w:val="0"/>
        <w:pageBreakBefore w:val="0"/>
        <w:spacing w:line="380" w:lineRule="exact"/>
        <w:widowControl w:val="off"/>
        <w:rPr>
          <w:rFonts w:hint="eastAsia" w:ascii="宋体" w:hAnsi="宋体" w:cs="宋体"/>
          <w:sz w:val="24"/>
          <w:szCs w:val="24"/>
          <w:highlight w:val="none"/>
          <w:lang w:val="zh-CN"/>
        </w:rPr>
      </w:pPr>
      <w:r>
        <w:rPr>
          <w:rFonts w:hint="eastAsia" w:ascii="宋体" w:hAnsi="宋体" w:cs="宋体"/>
          <w:bCs/>
          <w:sz w:val="24"/>
          <w:szCs w:val="24"/>
          <w:highlight w:val="none"/>
          <w:lang w:val="zh-CN"/>
        </w:rPr>
        <w:t xml:space="preserve">12.1 </w:t>
      </w:r>
      <w:r>
        <w:rPr>
          <w:rFonts w:hint="eastAsia" w:ascii="宋体" w:hAnsi="宋体" w:cs="宋体"/>
          <w:sz w:val="24"/>
          <w:szCs w:val="24"/>
          <w:highlight w:val="none"/>
          <w:lang w:val="zh-CN"/>
        </w:rPr>
        <w:t xml:space="preserve">投标人需对招标文件中的技术要求与商务要求逐项作出响应或偏离，并说明原因。</w:t>
      </w:r>
      <w:r/>
    </w:p>
    <w:p>
      <w:pPr>
        <w:ind w:firstLine="480"/>
        <w:keepLines w:val="0"/>
        <w:keepNext w:val="0"/>
        <w:pageBreakBefore w:val="0"/>
        <w:spacing w:line="380" w:lineRule="exact"/>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12.2 投标人需按照招标文件要求，在投标文件中提供与技术要求和商务要求相关的证明材料。</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18" w:name="_Toc14577359"/>
      <w:r/>
      <w:bookmarkStart w:id="119" w:name="_Toc49090510"/>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、投标函和开标一览表</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.1</w:t>
      </w:r>
      <w:r>
        <w:rPr>
          <w:rFonts w:hint="eastAsia" w:ascii="宋体" w:hAnsi="宋体" w:cs="宋体"/>
          <w:sz w:val="24"/>
          <w:szCs w:val="24"/>
          <w:highlight w:val="none"/>
        </w:rPr>
        <w:t xml:space="preserve"> 投标人应按照招标文件中提供的格式完整、正确填写投标函、开标一览表。</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.2 对于采用货币报价的项目，开标一览表中的投标总报价应与投标分项报价表中的投标总报价一致，如不一致，不作为无效投标处理，但评标时按开标一览表中价格为准。</w:t>
      </w:r>
      <w:bookmarkEnd w:id="118"/>
      <w:bookmarkEnd w:id="119"/>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20" w:name="_Toc14577360"/>
      <w:r/>
      <w:bookmarkStart w:id="121" w:name="_Toc49090511"/>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bookmarkStart w:id="122" w:name="OLE_LINK23"/>
      <w:r/>
      <w:bookmarkStart w:id="123" w:name="OLE_LINK24"/>
      <w:r>
        <w:rPr>
          <w:rFonts w:hint="eastAsia" w:ascii="宋体" w:hAnsi="宋体" w:cs="宋体"/>
          <w:sz w:val="24"/>
          <w:szCs w:val="24"/>
          <w:highlight w:val="none"/>
        </w:rPr>
        <w:t xml:space="preserve">投标有效期</w:t>
      </w:r>
      <w:bookmarkEnd w:id="120"/>
      <w:r/>
      <w:bookmarkEnd w:id="121"/>
      <w:r/>
      <w:bookmarkEnd w:id="122"/>
      <w:r/>
      <w:bookmarkEnd w:id="123"/>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.1投标有效期为规定的开标之日后</w:t>
      </w:r>
      <w:r>
        <w:rPr>
          <w:rFonts w:hint="eastAsia" w:ascii="宋体" w:hAnsi="宋体" w:cs="宋体"/>
          <w:b/>
          <w:sz w:val="24"/>
          <w:szCs w:val="24"/>
          <w:highlight w:val="none"/>
          <w:u w:val="single"/>
        </w:rPr>
        <w:t xml:space="preserve">六十（60）天</w:t>
      </w:r>
      <w:r>
        <w:rPr>
          <w:rFonts w:hint="eastAsia" w:ascii="宋体" w:hAnsi="宋体" w:cs="宋体"/>
          <w:bCs/>
          <w:sz w:val="24"/>
          <w:szCs w:val="24"/>
          <w:highlight w:val="none"/>
        </w:rPr>
        <w:t xml:space="preserve">。投标有效期比规定短的将被视为未实质性响应招标文件而予以拒绝。</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、投标有效期的延长</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w:t>
      </w:r>
      <w:r>
        <w:rPr>
          <w:rFonts w:hint="eastAsia" w:ascii="宋体" w:hAnsi="宋体" w:cs="宋体"/>
          <w:sz w:val="24"/>
          <w:szCs w:val="24"/>
          <w:highlight w:val="none"/>
        </w:rPr>
        <w:t xml:space="preserve">受投标有效期约束的所有权利与义务均延长至新的有效期</w:t>
      </w:r>
      <w:r>
        <w:rPr>
          <w:rFonts w:hint="eastAsia" w:ascii="宋体" w:hAnsi="宋体" w:cs="宋体"/>
          <w:bCs/>
          <w:sz w:val="24"/>
          <w:szCs w:val="24"/>
          <w:highlight w:val="none"/>
        </w:rPr>
        <w:t xml:space="preserve">。</w:t>
      </w:r>
      <w:r/>
    </w:p>
    <w:p>
      <w:pPr>
        <w:keepLines w:val="0"/>
        <w:keepNext w:val="0"/>
        <w:pageBreakBefore w:val="0"/>
        <w:spacing w:line="380" w:lineRule="exact"/>
        <w:widowControl w:val="off"/>
        <w:rPr>
          <w:rFonts w:hint="eastAsia" w:ascii="宋体" w:hAnsi="宋体" w:cs="宋体"/>
          <w:b/>
          <w:bCs/>
          <w:sz w:val="24"/>
          <w:szCs w:val="24"/>
          <w:highlight w:val="none"/>
        </w:rPr>
        <w:outlineLvl w:val="2"/>
      </w:pPr>
      <w:r/>
      <w:bookmarkStart w:id="124" w:name="_Hlt26954739"/>
      <w:r/>
      <w:bookmarkEnd w:id="124"/>
      <w:r/>
      <w:bookmarkStart w:id="125" w:name="_Hlt26954852"/>
      <w:r/>
      <w:bookmarkEnd w:id="125"/>
      <w:r/>
      <w:bookmarkStart w:id="126" w:name="_Toc513029224"/>
      <w:r/>
      <w:bookmarkStart w:id="127" w:name="_Toc120614217"/>
      <w:r/>
      <w:bookmarkStart w:id="128" w:name="_Toc16938540"/>
      <w:r/>
      <w:bookmarkStart w:id="129" w:name="_Toc20823296"/>
      <w:r>
        <w:rPr>
          <w:rFonts w:hint="eastAsia" w:ascii="宋体" w:hAnsi="宋体" w:cs="宋体"/>
          <w:b/>
          <w:bCs/>
          <w:sz w:val="24"/>
          <w:szCs w:val="24"/>
          <w:highlight w:val="none"/>
        </w:rPr>
        <w:t xml:space="preserve">四、投标文件的递交</w:t>
      </w:r>
      <w:bookmarkEnd w:id="126"/>
      <w:r/>
      <w:bookmarkEnd w:id="127"/>
      <w:r/>
      <w:bookmarkEnd w:id="128"/>
      <w:r/>
      <w:bookmarkEnd w:id="129"/>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30" w:name="_Toc16938541"/>
      <w:r/>
      <w:bookmarkStart w:id="131" w:name="_Toc513029225"/>
      <w:r/>
      <w:bookmarkStart w:id="132" w:name="_Toc462564084"/>
      <w:r/>
      <w:bookmarkStart w:id="133" w:name="_Toc20823297"/>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、电子投标文件</w:t>
      </w:r>
      <w:bookmarkEnd w:id="130"/>
      <w:r/>
      <w:bookmarkEnd w:id="131"/>
      <w:r/>
      <w:bookmarkEnd w:id="132"/>
      <w:r/>
      <w:bookmarkEnd w:id="133"/>
      <w:r>
        <w:rPr>
          <w:rFonts w:hint="eastAsia" w:ascii="宋体" w:hAnsi="宋体" w:cs="宋体"/>
          <w:sz w:val="24"/>
          <w:szCs w:val="24"/>
          <w:highlight w:val="none"/>
        </w:rPr>
        <w:t xml:space="preserve">的递交</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.1投标人应当按照《操作手册》规定，在投标截止时间前制作并上传电子投标文件。</w:t>
      </w:r>
      <w:bookmarkStart w:id="134" w:name="_Toc20823298"/>
      <w:r/>
      <w:bookmarkStart w:id="135" w:name="_Toc513029226"/>
      <w:r/>
      <w:bookmarkStart w:id="136" w:name="_Toc16938542"/>
      <w:r/>
      <w:r/>
    </w:p>
    <w:p>
      <w:pPr>
        <w:ind w:firstLine="480"/>
        <w:keepLines w:val="0"/>
        <w:keepNext w:val="0"/>
        <w:pageBreakBefore w:val="0"/>
        <w:spacing w:line="380" w:lineRule="exact"/>
        <w:widowControl w:val="off"/>
        <w:rPr>
          <w:rFonts w:hint="eastAsia" w:ascii="宋体" w:hAnsi="宋体" w:cs="宋体"/>
          <w:bCs/>
          <w:sz w:val="24"/>
          <w:szCs w:val="24"/>
          <w:highlight w:val="none"/>
        </w:rPr>
        <w:outlineLvl w:val="3"/>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、投标截止日期</w:t>
      </w:r>
      <w:bookmarkEnd w:id="134"/>
      <w:r/>
      <w:bookmarkEnd w:id="135"/>
      <w:r/>
      <w:bookmarkEnd w:id="136"/>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 投标人上传电子投标文件的时间不得迟于招标公告中规定的投标截止时间。</w:t>
      </w:r>
      <w:r/>
    </w:p>
    <w:p>
      <w:pPr>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 采购人或采购代理机构可以按照规定，通过修改招标文件酌情延长投标截止日期，在此情况下，投标人的所有权利和义务以及投标人受制的截止日期均应以延长后新的截止日期为准。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37" w:name="_Toc20823299"/>
      <w:r/>
      <w:bookmarkStart w:id="138" w:name="_Toc513029227"/>
      <w:r/>
      <w:bookmarkStart w:id="139" w:name="_Toc16938543"/>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、投标文件</w:t>
      </w:r>
      <w:bookmarkEnd w:id="137"/>
      <w:r/>
      <w:bookmarkEnd w:id="138"/>
      <w:r/>
      <w:bookmarkEnd w:id="139"/>
      <w:r>
        <w:rPr>
          <w:rFonts w:hint="eastAsia" w:ascii="宋体" w:hAnsi="宋体" w:cs="宋体"/>
          <w:color w:val="000000"/>
          <w:sz w:val="24"/>
          <w:szCs w:val="24"/>
          <w:highlight w:val="none"/>
        </w:rPr>
        <w:t xml:space="preserve">的拒收</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.1 采购人或采购代理机构拒绝接收在其规定的投标截止时间后上传的任何投标文件。</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40" w:name="_Toc16938544"/>
      <w:r/>
      <w:bookmarkStart w:id="141" w:name="_Toc20823300"/>
      <w:r/>
      <w:bookmarkStart w:id="142" w:name="_Toc513029228"/>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、投标文件的撤回和修改</w:t>
      </w:r>
      <w:bookmarkEnd w:id="140"/>
      <w:r/>
      <w:bookmarkEnd w:id="141"/>
      <w:r/>
      <w:bookmarkEnd w:id="142"/>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.1 投标文件的撤回</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.1.1 电子投标文件的撤回</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投标人可在投标截止时间前，撤回其电子投标文件，具体操作方法见《操作手册》。</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.1.2 投标人撤回电子投标文件，则认为其不再参与本项目投标活动。</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.2 投标文件的修改</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.2.1投标人可在投标截止时间前，对其电子投标文件进行修改，具体操作方法见《操作手册》。</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.2.2</w:t>
      </w:r>
      <w:r>
        <w:rPr>
          <w:rFonts w:hint="eastAsia" w:ascii="宋体" w:hAnsi="宋体" w:cs="宋体"/>
          <w:bCs/>
          <w:color w:val="000000"/>
          <w:sz w:val="24"/>
          <w:szCs w:val="24"/>
          <w:highlight w:val="none"/>
        </w:rPr>
        <w:t xml:space="preserve"> 在投标截止时间之后，投标人不得对其电子投标文件作任何修改。</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 在投标截止时间至招标文件中规定的投标有效期满之间的这段时间内，投标人不得撤回其投标。</w:t>
      </w:r>
      <w:r/>
    </w:p>
    <w:p>
      <w:pPr>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143" w:name="_Toc16938545"/>
      <w:r/>
      <w:bookmarkStart w:id="144" w:name="_Toc120614218"/>
      <w:r/>
      <w:bookmarkStart w:id="145" w:name="_Toc513029229"/>
      <w:r/>
      <w:bookmarkStart w:id="146" w:name="_Toc20823301"/>
      <w:r>
        <w:rPr>
          <w:rFonts w:hint="eastAsia" w:ascii="宋体" w:hAnsi="宋体" w:cs="宋体"/>
          <w:b/>
          <w:bCs/>
          <w:color w:val="000000"/>
          <w:sz w:val="24"/>
          <w:szCs w:val="24"/>
          <w:highlight w:val="none"/>
        </w:rPr>
        <w:t xml:space="preserve">五、开标与评标</w:t>
      </w:r>
      <w:bookmarkEnd w:id="143"/>
      <w:r/>
      <w:bookmarkEnd w:id="144"/>
      <w:r/>
      <w:bookmarkEnd w:id="145"/>
      <w:r/>
      <w:bookmarkEnd w:id="146"/>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47" w:name="_Toc16938546"/>
      <w:r/>
      <w:bookmarkStart w:id="148" w:name="_Toc513029230"/>
      <w:r/>
      <w:bookmarkStart w:id="149" w:name="_Toc20823302"/>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、开标</w:t>
      </w:r>
      <w:bookmarkEnd w:id="147"/>
      <w:r/>
      <w:bookmarkEnd w:id="148"/>
      <w:r/>
      <w:bookmarkEnd w:id="149"/>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.1</w:t>
      </w:r>
      <w:r>
        <w:rPr>
          <w:rFonts w:hint="eastAsia" w:ascii="宋体" w:hAnsi="宋体" w:cs="宋体"/>
          <w:bCs/>
          <w:sz w:val="24"/>
          <w:szCs w:val="24"/>
          <w:highlight w:val="none"/>
        </w:rPr>
        <w:t xml:space="preserve"> 采购人或采购代理机构将在招标公告中规定的时间和地点组织公开开标</w:t>
      </w:r>
      <w:r>
        <w:rPr>
          <w:rFonts w:hint="eastAsia" w:ascii="宋体" w:hAnsi="宋体" w:cs="宋体"/>
          <w:sz w:val="24"/>
          <w:szCs w:val="24"/>
          <w:highlight w:val="none"/>
        </w:rPr>
        <w:t xml:space="preserve">。投标人应当按照《操作手册》规定，参加开标活动和在苏采云系统规定的时间内对投标文件进行解密。</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开标仪式由采购代理机构组织。苏采云系统将自动对项目进行开标，并宣布各投标人名称和投标价格。</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val="en-US" w:eastAsia="zh-CN"/>
        </w:rPr>
        <w:t xml:space="preserve">0</w:t>
      </w:r>
      <w:r>
        <w:rPr>
          <w:rFonts w:hint="eastAsia" w:ascii="宋体" w:hAnsi="宋体" w:cs="宋体"/>
          <w:bCs/>
          <w:sz w:val="24"/>
          <w:szCs w:val="24"/>
          <w:highlight w:val="none"/>
        </w:rPr>
        <w:t xml:space="preserve">.3投标人在开标过程中涉及到的投标文件解密、开标结果确认等工作，应按照《操作手册》规定执行。</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bookmarkStart w:id="150" w:name="_Toc16938547"/>
      <w:r/>
      <w:bookmarkStart w:id="151" w:name="_Toc20823303"/>
      <w:r/>
      <w:bookmarkStart w:id="152" w:name="_Toc513029231"/>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、评标委员会</w:t>
      </w:r>
      <w:r/>
    </w:p>
    <w:p>
      <w:pPr>
        <w:ind w:firstLine="480"/>
        <w:keepLines w:val="0"/>
        <w:keepNext w:val="0"/>
        <w:pageBreakBefore w:val="0"/>
        <w:spacing w:line="380" w:lineRule="exact"/>
        <w:widowControl w:val="off"/>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开标后，采购人或采购代理机构将立即组织评标委员会（以下简称评委会）进行评标。</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 评委会由采购人代表和有关技术、经济等方面的专家组成，且人员构成符合政府采购有关规定。</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.3评委会独立工作，负责评审所有投标文件并确定中标候选人。</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、评标过程的保密与公正</w:t>
      </w:r>
      <w:bookmarkEnd w:id="150"/>
      <w:bookmarkEnd w:id="151"/>
      <w:bookmarkEnd w:id="152"/>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.2在评标过程中，投标人不得以任何行为影响评标过程，否则其投标文件将被作为无效投标文件。</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.3 采购人或采购代理机构和评标委员会不向未中标的投标人解释未中标原因，也不公布评标过程中的相关细节。</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bookmarkStart w:id="153" w:name="_Toc513029232"/>
      <w:r/>
      <w:bookmarkStart w:id="154" w:name="_Toc20823304"/>
      <w:r/>
      <w:bookmarkStart w:id="155" w:name="_Toc16938548"/>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、投标文件的澄清</w:t>
      </w:r>
      <w:bookmarkEnd w:id="153"/>
      <w:r/>
      <w:bookmarkEnd w:id="154"/>
      <w:r/>
      <w:bookmarkEnd w:id="155"/>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rPr>
      </w:pPr>
      <w:r/>
      <w:bookmarkStart w:id="156" w:name="_Toc16938549"/>
      <w:r/>
      <w:bookmarkStart w:id="157" w:name="_Toc20823305"/>
      <w:r/>
      <w:bookmarkStart w:id="158" w:name="_Toc513029233"/>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.2需要供应商进行澄清、说明和补正的，评委</w:t>
      </w:r>
      <w:r>
        <w:rPr>
          <w:rFonts w:hint="eastAsia" w:ascii="宋体" w:hAnsi="宋体" w:cs="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.3 接到评委会澄清、说明和补正要求的投标人如未按规定做出澄清、说明和补正，其风险由投标人自行承担。</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、对投标文件的初审</w:t>
      </w:r>
      <w:bookmarkEnd w:id="156"/>
      <w:r/>
      <w:bookmarkEnd w:id="157"/>
      <w:r/>
      <w:bookmarkEnd w:id="158"/>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.1</w:t>
      </w:r>
      <w:r>
        <w:rPr>
          <w:rFonts w:hint="eastAsia" w:ascii="宋体" w:hAnsi="宋体" w:cs="宋体"/>
          <w:bCs/>
          <w:color w:val="000000"/>
          <w:sz w:val="24"/>
          <w:szCs w:val="24"/>
          <w:highlight w:val="none"/>
        </w:rPr>
        <w:t xml:space="preserve">投标文件初审分为资格审查和符合性审查。</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38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.1.3 未通过资格审查或符合性审查的投标人，采购人或采购代理机构将</w:t>
      </w:r>
      <w:r>
        <w:rPr>
          <w:rFonts w:hint="eastAsia" w:ascii="宋体" w:hAnsi="宋体" w:cs="宋体"/>
          <w:bCs/>
          <w:sz w:val="24"/>
          <w:szCs w:val="24"/>
          <w:highlight w:val="none"/>
        </w:rPr>
        <w:t xml:space="preserve">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中告知未通过资格审查或符合性审查的原因，评审结束后，采购人或采购代理机构将不再告知未通过资格审查或符合性审查的原因。</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sz w:val="24"/>
          <w:szCs w:val="24"/>
          <w:highlight w:val="none"/>
        </w:rPr>
        <w:t xml:space="preserve">.2在详细评标之前，评委会</w:t>
      </w:r>
      <w:r>
        <w:rPr>
          <w:rFonts w:hint="eastAsia" w:ascii="宋体" w:hAnsi="宋体" w:cs="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4"/>
          <w:highlight w:val="none"/>
          <w:lang w:val="en-US" w:eastAsia="zh-CN"/>
        </w:rPr>
        <w:t xml:space="preserve">见证方</w:t>
      </w:r>
      <w:r>
        <w:rPr>
          <w:rFonts w:hint="eastAsia" w:ascii="宋体" w:hAnsi="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highlight w:val="none"/>
        </w:rPr>
        <w:t xml:space="preserve">评委决定投标文件的响应性只根据投标文件本身的内容，而不寻求外部的证据。</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.3</w:t>
      </w:r>
      <w:r>
        <w:rPr>
          <w:rFonts w:hint="eastAsia" w:ascii="宋体" w:hAnsi="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.4</w:t>
      </w:r>
      <w:r>
        <w:rPr>
          <w:rFonts w:hint="eastAsia" w:ascii="宋体" w:hAnsi="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（1）投标文件中开标一览表内容与投标文件中相应内容不一致的，以开标一览表为准。</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（2）大写金额和小写金额不一致的，以大写金额为准。</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（4）总价金额与按单价汇总金额不一致的，以单价金额计算结果为准。</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同时出现两种以上错误的，按照前款规定的顺序修正。</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.5</w:t>
      </w:r>
      <w:r>
        <w:rPr>
          <w:rFonts w:hint="eastAsia" w:ascii="宋体" w:hAnsi="宋体" w:cs="宋体"/>
          <w:bCs/>
          <w:color w:val="000000"/>
          <w:sz w:val="24"/>
          <w:szCs w:val="24"/>
          <w:highlight w:val="none"/>
        </w:rPr>
        <w:t xml:space="preserve">评委会将按上述修正错误的方法调整投标文件中的投标报价</w:t>
      </w:r>
      <w:r>
        <w:rPr>
          <w:rFonts w:hint="eastAsia" w:ascii="宋体" w:hAnsi="宋体" w:cs="宋体"/>
          <w:bCs/>
          <w:sz w:val="24"/>
          <w:szCs w:val="24"/>
          <w:highlight w:val="none"/>
        </w:rPr>
        <w:t xml:space="preserve">，并通过</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告知投标人，调整后的价格应对投标人具有约束力。如果投标人不接受修正后的价格，则其投标将被拒绝。</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59" w:name="_Toc20823306"/>
      <w:r/>
      <w:bookmarkStart w:id="160" w:name="_Toc16938550"/>
      <w:r/>
      <w:bookmarkStart w:id="161" w:name="_Toc513029234"/>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.6采用最低评标价法的采购项目，提供相同品牌产品的不同投标人参加同一合同项下投标的，以其中通过资格审查、符合性审查且报价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最低的参加评标；报价相同的，由评标委员会按照招标文件规定的方式（招标文件未规定的通过随机抽取的方式）确定一个参加评标的投标人，其他投标无效。</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.7投标人在开、评标全过程中应保持通</w:t>
      </w:r>
      <w:r>
        <w:rPr>
          <w:rFonts w:hint="eastAsia" w:ascii="宋体" w:hAnsi="宋体" w:cs="宋体"/>
          <w:sz w:val="24"/>
          <w:szCs w:val="24"/>
          <w:highlight w:val="none"/>
        </w:rPr>
        <w:t xml:space="preserve">讯畅通，及时登录苏采云系统查阅、答复相关信息，并安排专人与</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及评标委员会联系。</w:t>
      </w:r>
      <w:r/>
    </w:p>
    <w:p>
      <w:pPr>
        <w:ind w:firstLine="480"/>
        <w:keepLines w:val="0"/>
        <w:keepNext w:val="0"/>
        <w:pageBreakBefore w:val="0"/>
        <w:spacing w:line="380" w:lineRule="exact"/>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2</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.8 异常低价投标审查</w:t>
      </w:r>
      <w:r/>
    </w:p>
    <w:p>
      <w:pPr>
        <w:ind w:firstLine="420"/>
        <w:spacing w:line="400" w:lineRule="exact"/>
        <w:rPr>
          <w:rFonts w:hint="eastAsia" w:ascii="宋体" w:hAnsi="宋体"/>
          <w:b/>
          <w:bCs/>
          <w:sz w:val="24"/>
          <w:szCs w:val="21"/>
        </w:rPr>
      </w:pPr>
      <w:r>
        <w:rPr>
          <w:rFonts w:hint="eastAsia" w:ascii="宋体" w:hAnsi="宋体"/>
          <w:b/>
          <w:bCs/>
          <w:sz w:val="24"/>
          <w:szCs w:val="21"/>
        </w:rPr>
        <w:t xml:space="preserve">2</w:t>
      </w:r>
      <w:r>
        <w:rPr>
          <w:rFonts w:hint="eastAsia" w:ascii="宋体" w:hAnsi="宋体"/>
          <w:b/>
          <w:bCs/>
          <w:sz w:val="24"/>
          <w:szCs w:val="21"/>
          <w:lang w:val="en-US" w:eastAsia="zh-CN"/>
        </w:rPr>
        <w:t xml:space="preserve">4</w:t>
      </w:r>
      <w:r>
        <w:rPr>
          <w:rFonts w:hint="eastAsia" w:ascii="宋体" w:hAnsi="宋体"/>
          <w:b/>
          <w:bCs/>
          <w:sz w:val="24"/>
          <w:szCs w:val="21"/>
        </w:rPr>
        <w:t xml:space="preserve">.</w:t>
      </w:r>
      <w:r>
        <w:rPr>
          <w:rFonts w:hint="eastAsia" w:ascii="宋体" w:hAnsi="宋体"/>
          <w:b/>
          <w:bCs/>
          <w:sz w:val="24"/>
          <w:szCs w:val="21"/>
          <w:lang w:val="en-US" w:eastAsia="zh-CN"/>
        </w:rPr>
        <w:t xml:space="preserve">8</w:t>
      </w:r>
      <w:r>
        <w:rPr>
          <w:rFonts w:hint="eastAsia" w:ascii="宋体" w:hAnsi="宋体"/>
          <w:b/>
          <w:bCs/>
          <w:sz w:val="24"/>
          <w:szCs w:val="21"/>
        </w:rPr>
        <w:t xml:space="preserve">.1 评标过程中出现下列情形之一的，评标委员会应当启动异常低价投标审查程序：</w:t>
      </w:r>
      <w:r/>
    </w:p>
    <w:p>
      <w:pPr>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1.投标（响应）报价（1-优惠率）低于全部通过符合性审查供应商投标（响应）报价平均值50%的，即投标（响应）报价&lt;全部通过符合性审查供应商投标（响应）报价平均值×50%；</w:t>
      </w:r>
      <w:r/>
    </w:p>
    <w:p>
      <w:pPr>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2.投标（响应）报价（1-优惠率）低于通过符合性审查的次低报价供应商投标（响应）报价50%的，即投标（响应）报价&lt;通过符合性审查的次低报价供应商投标（响应）报价×50%；</w:t>
      </w:r>
      <w:r/>
    </w:p>
    <w:p>
      <w:pPr>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3.投标（响应）报价（1-优惠率）低于采购项目最高限价45%的，即投标（响应）报价&lt;采购项目最高限价×45%；</w:t>
      </w:r>
      <w:r/>
    </w:p>
    <w:p>
      <w:pPr>
        <w:ind w:firstLine="420"/>
        <w:spacing w:line="276" w:lineRule="auto"/>
        <w:rPr>
          <w:rFonts w:hint="eastAsia" w:ascii="宋体" w:hAnsi="宋体"/>
          <w:b/>
          <w:bCs/>
          <w:color w:val="000000"/>
          <w:sz w:val="24"/>
          <w:szCs w:val="24"/>
        </w:rPr>
      </w:pPr>
      <w:r>
        <w:rPr>
          <w:rFonts w:hint="eastAsia" w:ascii="宋体" w:hAnsi="宋体"/>
          <w:b/>
          <w:bCs/>
          <w:color w:val="000000"/>
          <w:sz w:val="24"/>
          <w:szCs w:val="24"/>
        </w:rPr>
        <w:t xml:space="preserve">4.评审委员会基于专业判断，认为供应商报价（1-优惠率）过低，有可能影响产品质量或者不能诚信履约的其他情形。</w:t>
      </w:r>
      <w:r/>
    </w:p>
    <w:p>
      <w:pPr>
        <w:ind w:firstLine="420"/>
        <w:spacing w:line="42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4</w:t>
      </w: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.2 评审委员会启动异常低价投标（响应）审查后，属于前述第1项至第4项情形的，应当要求相关供应商</w:t>
      </w:r>
      <w:r>
        <w:rPr>
          <w:rFonts w:ascii="宋体" w:hAnsi="宋体"/>
          <w:sz w:val="24"/>
          <w:szCs w:val="24"/>
        </w:rPr>
        <w:t xml:space="preserve">通过“苏采云”系统在30分钟内对投标（响应）价格作出解释</w:t>
      </w:r>
      <w:r>
        <w:rPr>
          <w:rFonts w:hint="eastAsia" w:ascii="宋体" w:hAnsi="宋体"/>
          <w:sz w:val="24"/>
          <w:szCs w:val="24"/>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42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2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20" w:lineRule="exact"/>
        <w:rPr>
          <w:rFonts w:hint="eastAsia"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2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25、政府采购政策功能落实：本项目专门面向中小微型企业采购，供应商不再享受小微型企业价格扣除。</w:t>
      </w:r>
      <w:r/>
    </w:p>
    <w:p>
      <w:pPr>
        <w:ind w:left="0" w:firstLine="480"/>
        <w:pageBreakBefore w:val="0"/>
        <w:spacing w:line="42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25.1</w:t>
      </w:r>
      <w:r>
        <w:rPr>
          <w:rFonts w:hint="eastAsia" w:ascii="宋体" w:hAnsi="宋体" w:eastAsia="宋体" w:cs="Times New Roman"/>
          <w:bCs/>
          <w:color w:val="auto"/>
          <w:sz w:val="24"/>
          <w:szCs w:val="24"/>
        </w:rPr>
        <w:t xml:space="preserve">、采购本国产品的支持政策</w:t>
      </w:r>
      <w:r/>
    </w:p>
    <w:p>
      <w:pPr>
        <w:ind w:left="0" w:firstLine="480"/>
        <w:pageBreakBefore w:val="0"/>
        <w:spacing w:line="42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25.1</w:t>
      </w:r>
      <w:r>
        <w:rPr>
          <w:rFonts w:hint="eastAsia" w:ascii="宋体" w:hAnsi="宋体" w:eastAsia="宋体" w:cs="Times New Roman"/>
          <w:bCs/>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left="0" w:firstLine="480"/>
        <w:pageBreakBefore w:val="0"/>
        <w:spacing w:line="42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25.1.</w:t>
      </w:r>
      <w:r>
        <w:rPr>
          <w:rFonts w:hint="eastAsia" w:ascii="宋体" w:hAnsi="宋体" w:eastAsia="宋体" w:cs="Times New Roman"/>
          <w:bCs/>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Cs/>
          <w:color w:val="auto"/>
          <w:sz w:val="24"/>
          <w:szCs w:val="24"/>
          <w:highlight w:val="none"/>
        </w:rPr>
        <w:t xml:space="preserve">供应商需在“第</w:t>
      </w:r>
      <w:r>
        <w:rPr>
          <w:rFonts w:hint="eastAsia" w:ascii="宋体" w:hAnsi="宋体" w:eastAsia="宋体" w:cs="Times New Roman"/>
          <w:bCs/>
          <w:color w:val="auto"/>
          <w:sz w:val="24"/>
          <w:szCs w:val="24"/>
          <w:highlight w:val="none"/>
          <w:lang w:val="en-US" w:eastAsia="zh-CN"/>
        </w:rPr>
        <w:t xml:space="preserve">五</w:t>
      </w:r>
      <w:r>
        <w:rPr>
          <w:rFonts w:hint="eastAsia" w:ascii="宋体" w:hAnsi="宋体" w:eastAsia="宋体" w:cs="Times New Roman"/>
          <w:bCs/>
          <w:color w:val="auto"/>
          <w:sz w:val="24"/>
          <w:szCs w:val="24"/>
          <w:highlight w:val="none"/>
        </w:rPr>
        <w:t xml:space="preserve">章 投标文</w:t>
      </w:r>
      <w:r>
        <w:rPr>
          <w:rFonts w:hint="eastAsia" w:ascii="宋体" w:hAnsi="宋体" w:eastAsia="宋体" w:cs="Times New Roman"/>
          <w:bCs/>
          <w:color w:val="auto"/>
          <w:sz w:val="24"/>
          <w:szCs w:val="24"/>
        </w:rPr>
        <w:t xml:space="preserve">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pageBreakBefore w:val="0"/>
        <w:spacing w:line="42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25.1</w:t>
      </w:r>
      <w:r>
        <w:rPr>
          <w:rFonts w:hint="eastAsia" w:ascii="宋体" w:hAnsi="宋体" w:eastAsia="宋体" w:cs="Times New Roman"/>
          <w:bCs/>
          <w:color w:val="auto"/>
          <w:sz w:val="24"/>
          <w:szCs w:val="24"/>
        </w:rPr>
        <w:t xml:space="preserve">.3 供应商需按照招标文件的要求提供《关于符合本国产品标准的声明函》（以下简称《声明函》），如不提供将不享受本国产品价格评审优惠。</w:t>
      </w:r>
      <w:r/>
    </w:p>
    <w:p>
      <w:pPr>
        <w:ind w:left="0" w:firstLine="480"/>
        <w:pageBreakBefore w:val="0"/>
        <w:spacing w:line="42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25.1</w:t>
      </w:r>
      <w:r>
        <w:rPr>
          <w:rFonts w:hint="eastAsia" w:ascii="宋体" w:hAnsi="宋体" w:eastAsia="宋体" w:cs="Times New Roman"/>
          <w:bCs/>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420" w:lineRule="exact"/>
        <w:rPr>
          <w:rFonts w:hint="eastAsia" w:ascii="宋体" w:hAnsi="宋体" w:eastAsia="宋体" w:cs="Times New Roman"/>
          <w:color w:val="auto"/>
          <w:sz w:val="24"/>
          <w:szCs w:val="24"/>
          <w:lang w:val="en-US" w:eastAsia="zh-CN"/>
        </w:rPr>
      </w:pPr>
      <w:r>
        <w:rPr>
          <w:rFonts w:hint="eastAsia" w:ascii="宋体" w:hAnsi="宋体" w:eastAsia="宋体" w:cs="Times New Roman"/>
          <w:bCs/>
          <w:color w:val="auto"/>
          <w:sz w:val="24"/>
          <w:szCs w:val="24"/>
          <w:lang w:val="en-US" w:eastAsia="zh-CN"/>
        </w:rPr>
        <w:t xml:space="preserve">25.1</w:t>
      </w:r>
      <w:r>
        <w:rPr>
          <w:rFonts w:hint="eastAsia" w:ascii="宋体" w:hAnsi="宋体" w:eastAsia="宋体" w:cs="Times New Roman"/>
          <w:bCs/>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80" w:lineRule="exact"/>
        <w:widowControl w:val="off"/>
        <w:rPr>
          <w:rFonts w:hint="eastAsia" w:ascii="宋体" w:hAnsi="宋体" w:cs="宋体"/>
          <w:sz w:val="24"/>
          <w:szCs w:val="24"/>
          <w:highlight w:val="none"/>
        </w:rPr>
        <w:outlineLvl w:val="3"/>
      </w:pPr>
      <w:r>
        <w:rPr>
          <w:rFonts w:hint="eastAsia" w:ascii="宋体" w:hAnsi="宋体" w:cs="宋体"/>
          <w:sz w:val="24"/>
          <w:szCs w:val="24"/>
          <w:highlight w:val="none"/>
        </w:rPr>
        <w:t xml:space="preserve">26、</w:t>
      </w:r>
      <w:bookmarkEnd w:id="159"/>
      <w:r/>
      <w:bookmarkEnd w:id="160"/>
      <w:r/>
      <w:bookmarkEnd w:id="161"/>
      <w:r>
        <w:rPr>
          <w:rFonts w:hint="eastAsia" w:ascii="宋体" w:hAnsi="宋体" w:cs="宋体"/>
          <w:sz w:val="24"/>
          <w:szCs w:val="24"/>
          <w:highlight w:val="none"/>
        </w:rPr>
        <w:t xml:space="preserve">无效投标条款和废标条款</w:t>
      </w:r>
      <w:r/>
    </w:p>
    <w:p>
      <w:pPr>
        <w:ind w:firstLine="480"/>
        <w:keepLines w:val="0"/>
        <w:keepNext w:val="0"/>
        <w:pageBreakBefore w:val="0"/>
        <w:spacing w:line="380" w:lineRule="exact"/>
        <w:widowControl w:val="off"/>
        <w:rPr>
          <w:rFonts w:hint="eastAsia" w:ascii="宋体" w:hAnsi="宋体" w:cs="宋体"/>
          <w:bCs/>
          <w:sz w:val="24"/>
          <w:szCs w:val="24"/>
          <w:highlight w:val="none"/>
        </w:rPr>
      </w:pPr>
      <w:r/>
      <w:bookmarkStart w:id="162" w:name="_Toc16938551"/>
      <w:r/>
      <w:bookmarkStart w:id="163" w:name="_Toc513029235"/>
      <w:r/>
      <w:bookmarkStart w:id="164" w:name="_Toc20823307"/>
      <w:r>
        <w:rPr>
          <w:rFonts w:hint="eastAsia" w:ascii="宋体" w:hAnsi="宋体" w:cs="宋体"/>
          <w:bCs/>
          <w:sz w:val="24"/>
          <w:szCs w:val="24"/>
          <w:highlight w:val="none"/>
        </w:rPr>
        <w:t xml:space="preserve">26.1无效投标条款</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 投标人在</w:t>
      </w:r>
      <w:r>
        <w:rPr>
          <w:rFonts w:hint="eastAsia" w:ascii="宋体" w:hAnsi="宋体" w:cs="宋体"/>
          <w:sz w:val="24"/>
          <w:szCs w:val="24"/>
          <w:highlight w:val="none"/>
        </w:rPr>
        <w:t xml:space="preserve">苏采云系统</w:t>
      </w:r>
      <w:r>
        <w:rPr>
          <w:rFonts w:hint="eastAsia" w:ascii="宋体" w:hAnsi="宋体" w:cs="宋体"/>
          <w:bCs/>
          <w:sz w:val="24"/>
          <w:szCs w:val="24"/>
          <w:highlight w:val="none"/>
        </w:rPr>
        <w:t xml:space="preserve">规定的时间内未成功解密电子投标文件的。</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26.1.2 投标人未按照招标文件</w:t>
      </w:r>
      <w:r>
        <w:rPr>
          <w:rFonts w:hint="eastAsia" w:ascii="宋体" w:hAnsi="宋体" w:cs="宋体"/>
          <w:bCs/>
          <w:color w:val="000000"/>
          <w:sz w:val="24"/>
          <w:szCs w:val="24"/>
          <w:highlight w:val="none"/>
        </w:rPr>
        <w:t xml:space="preserve">要求上传电子投标文件的。</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.1.3 投标人</w:t>
      </w:r>
      <w:r>
        <w:rPr>
          <w:rFonts w:hint="eastAsia" w:ascii="宋体" w:hAnsi="宋体" w:cs="宋体"/>
          <w:bCs/>
          <w:sz w:val="24"/>
          <w:szCs w:val="24"/>
          <w:highlight w:val="none"/>
        </w:rPr>
        <w:t xml:space="preserve">同一采购包提</w:t>
      </w:r>
      <w:r>
        <w:rPr>
          <w:rFonts w:hint="eastAsia" w:ascii="宋体" w:hAnsi="宋体" w:cs="宋体"/>
          <w:bCs/>
          <w:color w:val="000000"/>
          <w:sz w:val="24"/>
          <w:szCs w:val="24"/>
          <w:highlight w:val="none"/>
        </w:rPr>
        <w:t xml:space="preserve">交两个（含两个）以上不同的投标报价的。</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.1.4投标人不具备招标文件中规定资格要求的。</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.1.5投标人的报价</w:t>
      </w:r>
      <w:r>
        <w:rPr>
          <w:rFonts w:hint="eastAsia" w:ascii="宋体" w:hAnsi="宋体" w:cs="宋体"/>
          <w:bCs/>
          <w:color w:val="000000"/>
          <w:sz w:val="24"/>
          <w:szCs w:val="24"/>
          <w:highlight w:val="none"/>
          <w:lang w:val="en-US" w:eastAsia="zh-CN"/>
        </w:rPr>
        <w:t xml:space="preserve">低于</w:t>
      </w:r>
      <w:r>
        <w:rPr>
          <w:rFonts w:hint="eastAsia" w:ascii="宋体" w:hAnsi="宋体" w:cs="宋体"/>
          <w:bCs/>
          <w:color w:val="000000"/>
          <w:sz w:val="24"/>
          <w:szCs w:val="24"/>
          <w:highlight w:val="none"/>
        </w:rPr>
        <w:t xml:space="preserve">采购最</w:t>
      </w:r>
      <w:r>
        <w:rPr>
          <w:rFonts w:hint="eastAsia" w:ascii="宋体" w:hAnsi="宋体" w:cs="宋体"/>
          <w:bCs/>
          <w:color w:val="000000"/>
          <w:sz w:val="24"/>
          <w:szCs w:val="24"/>
          <w:highlight w:val="none"/>
          <w:lang w:val="en-US" w:eastAsia="zh-CN"/>
        </w:rPr>
        <w:t xml:space="preserve">低优惠率</w:t>
      </w:r>
      <w:r>
        <w:rPr>
          <w:rFonts w:hint="eastAsia" w:ascii="宋体" w:hAnsi="宋体" w:cs="宋体"/>
          <w:bCs/>
          <w:color w:val="000000"/>
          <w:sz w:val="24"/>
          <w:szCs w:val="24"/>
          <w:highlight w:val="none"/>
        </w:rPr>
        <w:t xml:space="preserve">的。</w:t>
      </w:r>
      <w:r/>
    </w:p>
    <w:p>
      <w:pPr>
        <w:ind w:firstLine="480"/>
        <w:keepLines w:val="0"/>
        <w:keepNext w:val="0"/>
        <w:pageBreakBefore w:val="0"/>
        <w:spacing w:line="380" w:lineRule="exact"/>
        <w:widowControl w:val="off"/>
        <w:rPr>
          <w:rFonts w:hint="eastAsia" w:ascii="宋体" w:hAnsi="宋体" w:cs="宋体"/>
          <w:bCs/>
          <w:i/>
          <w:color w:val="000000"/>
          <w:sz w:val="24"/>
          <w:szCs w:val="24"/>
          <w:highlight w:val="none"/>
          <w:u w:val="singl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.1.6未通过符合性审查的。</w:t>
      </w:r>
      <w:r/>
    </w:p>
    <w:p>
      <w:pPr>
        <w:ind w:firstLine="480"/>
        <w:keepLines w:val="0"/>
        <w:keepNext w:val="0"/>
        <w:pageBreakBefore w:val="0"/>
        <w:spacing w:line="380" w:lineRule="exact"/>
        <w:widowControl w:val="off"/>
        <w:rPr>
          <w:rFonts w:hint="eastAsia" w:ascii="宋体" w:hAnsi="宋体" w:eastAsia="宋体" w:cs="宋体"/>
          <w:bCs/>
          <w:i/>
          <w:color w:val="000000"/>
          <w:sz w:val="24"/>
          <w:szCs w:val="24"/>
          <w:highlight w:val="none"/>
          <w:u w:val="single"/>
          <w:lang w:eastAsia="zh-CN"/>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.1.7不符合招标文件中规定的实质性要求的</w:t>
      </w:r>
      <w:r>
        <w:rPr>
          <w:rFonts w:hint="eastAsia" w:ascii="宋体" w:hAnsi="宋体" w:cs="宋体"/>
          <w:bCs/>
          <w:color w:val="000000"/>
          <w:sz w:val="24"/>
          <w:szCs w:val="24"/>
          <w:highlight w:val="none"/>
          <w:lang w:eastAsia="zh-CN"/>
        </w:rPr>
        <w:t xml:space="preserve">。</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.1.9 投标文件含有采购人不能接受的附加条件的。</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26.1.10 评标委员会按照本招标文件规定对投标人进行异常低价投标审查后，认为投标人不能证明其报价合理性的。</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26.1.12 投标文件未按照招标文件要求加盖CA电子公章的。</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26.1.13 投标人所投标产品不符合招标文件中所列国家强制性标准的。</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26.1.14其他法律、法规及本招标文件规定的属无效投标的情形。</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26.2废标条款 </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26.2.1符合专业条件的供应商或者对招标文件作实质响应</w:t>
      </w:r>
      <w:r>
        <w:rPr>
          <w:rFonts w:hint="eastAsia" w:ascii="宋体" w:hAnsi="宋体" w:cs="宋体"/>
          <w:bCs/>
          <w:color w:val="000000"/>
          <w:sz w:val="24"/>
          <w:szCs w:val="24"/>
          <w:highlight w:val="none"/>
        </w:rPr>
        <w:t xml:space="preserve">的供应商不足三家的。</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26.2.2出现影响采购公正的违法、违规行为的。</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sz w:val="24"/>
          <w:szCs w:val="24"/>
          <w:highlight w:val="none"/>
        </w:rPr>
        <w:t xml:space="preserve">6</w:t>
      </w:r>
      <w:r>
        <w:rPr>
          <w:rFonts w:hint="eastAsia" w:ascii="宋体" w:hAnsi="宋体" w:cs="宋体"/>
          <w:bCs/>
          <w:color w:val="000000"/>
          <w:sz w:val="24"/>
          <w:szCs w:val="24"/>
          <w:highlight w:val="none"/>
        </w:rPr>
        <w:t xml:space="preserve">.2.3因重大变故，采购任务取消的。</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26.2.4评标委员会认定招标文件存在歧义、重大缺陷导致评审工作无法进行。</w:t>
      </w:r>
      <w:r/>
    </w:p>
    <w:p>
      <w:pPr>
        <w:ind w:firstLine="480"/>
        <w:keepLines w:val="0"/>
        <w:keepNext w:val="0"/>
        <w:pageBreakBefore w:val="0"/>
        <w:spacing w:line="380" w:lineRule="exact"/>
        <w:widowControl w:val="off"/>
        <w:rPr>
          <w:rFonts w:hint="eastAsia" w:ascii="宋体" w:hAnsi="宋体" w:cs="宋体"/>
          <w:bCs/>
          <w:sz w:val="24"/>
          <w:szCs w:val="24"/>
          <w:highlight w:val="none"/>
        </w:rPr>
      </w:pPr>
      <w:r>
        <w:rPr>
          <w:rFonts w:hint="eastAsia" w:ascii="宋体" w:hAnsi="宋体" w:cs="宋体"/>
          <w:bCs/>
          <w:color w:val="000000"/>
          <w:sz w:val="24"/>
          <w:szCs w:val="24"/>
          <w:highlight w:val="none"/>
        </w:rPr>
        <w:t xml:space="preserve">26.2</w:t>
      </w:r>
      <w:r>
        <w:rPr>
          <w:rFonts w:hint="eastAsia" w:ascii="宋体" w:hAnsi="宋体" w:cs="宋体"/>
          <w:bCs/>
          <w:sz w:val="24"/>
          <w:szCs w:val="24"/>
          <w:highlight w:val="none"/>
        </w:rPr>
        <w:t xml:space="preserve">.5 因</w:t>
      </w:r>
      <w:r>
        <w:rPr>
          <w:rFonts w:hint="eastAsia" w:ascii="宋体" w:hAnsi="宋体" w:cs="宋体"/>
          <w:sz w:val="24"/>
          <w:szCs w:val="24"/>
          <w:highlight w:val="none"/>
        </w:rPr>
        <w:t xml:space="preserve">苏采云</w:t>
      </w:r>
      <w:r>
        <w:rPr>
          <w:rFonts w:hint="eastAsia" w:ascii="宋体" w:hAnsi="宋体" w:cs="宋体"/>
          <w:bCs/>
          <w:sz w:val="24"/>
          <w:szCs w:val="24"/>
          <w:highlight w:val="none"/>
        </w:rPr>
        <w:t xml:space="preserve">系统故障原因造成开标不成功的。  </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sz w:val="24"/>
          <w:szCs w:val="24"/>
          <w:highlight w:val="none"/>
        </w:rPr>
        <w:t xml:space="preserve">26.3 投标截止时间结束后</w:t>
      </w:r>
      <w:r>
        <w:rPr>
          <w:rFonts w:hint="eastAsia" w:ascii="宋体" w:hAnsi="宋体" w:cs="宋体"/>
          <w:bCs/>
          <w:color w:val="000000"/>
          <w:sz w:val="24"/>
          <w:szCs w:val="24"/>
          <w:highlight w:val="none"/>
        </w:rPr>
        <w:t xml:space="preserve">参加投标的供应商不足三家的处理：</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keepLines w:val="0"/>
        <w:keepNext w:val="0"/>
        <w:pageBreakBefore w:val="0"/>
        <w:spacing w:line="380" w:lineRule="exact"/>
        <w:widowControl w:val="off"/>
        <w:rPr>
          <w:rFonts w:hint="eastAsia" w:ascii="宋体" w:hAnsi="宋体" w:cs="宋体"/>
          <w:b/>
          <w:bCs/>
          <w:color w:val="000000"/>
          <w:sz w:val="24"/>
          <w:szCs w:val="24"/>
          <w:highlight w:val="none"/>
        </w:rPr>
        <w:outlineLvl w:val="2"/>
      </w:pPr>
      <w:r/>
      <w:bookmarkStart w:id="165" w:name="_Toc120614219"/>
      <w:r>
        <w:rPr>
          <w:rFonts w:hint="eastAsia" w:ascii="宋体" w:hAnsi="宋体" w:cs="宋体"/>
          <w:b/>
          <w:bCs/>
          <w:color w:val="000000"/>
          <w:sz w:val="24"/>
          <w:szCs w:val="24"/>
          <w:highlight w:val="none"/>
        </w:rPr>
        <w:t xml:space="preserve">六、</w:t>
      </w:r>
      <w:bookmarkEnd w:id="162"/>
      <w:r/>
      <w:bookmarkEnd w:id="163"/>
      <w:r/>
      <w:bookmarkEnd w:id="164"/>
      <w:r>
        <w:rPr>
          <w:rFonts w:hint="eastAsia" w:ascii="宋体" w:hAnsi="宋体" w:cs="宋体"/>
          <w:b/>
          <w:bCs/>
          <w:color w:val="000000"/>
          <w:sz w:val="24"/>
          <w:szCs w:val="24"/>
          <w:highlight w:val="none"/>
        </w:rPr>
        <w:t xml:space="preserve">定标</w:t>
      </w:r>
      <w:bookmarkEnd w:id="165"/>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Start w:id="166" w:name="_Toc513029238"/>
      <w:r/>
      <w:bookmarkStart w:id="167" w:name="_Toc20823310"/>
      <w:r/>
      <w:bookmarkStart w:id="168" w:name="_Toc16938554"/>
      <w:r>
        <w:rPr>
          <w:rFonts w:hint="eastAsia" w:ascii="宋体" w:hAnsi="宋体" w:cs="宋体"/>
          <w:bCs/>
          <w:color w:val="000000"/>
          <w:sz w:val="24"/>
          <w:szCs w:val="24"/>
          <w:highlight w:val="none"/>
        </w:rPr>
        <w:t xml:space="preserve">27、</w:t>
      </w:r>
      <w:bookmarkEnd w:id="166"/>
      <w:r>
        <w:rPr>
          <w:rFonts w:hint="eastAsia" w:ascii="宋体" w:hAnsi="宋体" w:cs="宋体"/>
          <w:bCs/>
          <w:color w:val="000000"/>
          <w:sz w:val="24"/>
          <w:szCs w:val="24"/>
          <w:highlight w:val="none"/>
        </w:rPr>
        <w:t xml:space="preserve">确定</w:t>
      </w:r>
      <w:bookmarkEnd w:id="167"/>
      <w:r/>
      <w:bookmarkEnd w:id="168"/>
      <w:r>
        <w:rPr>
          <w:rFonts w:hint="eastAsia" w:ascii="宋体" w:hAnsi="宋体" w:cs="宋体"/>
          <w:bCs/>
          <w:color w:val="000000"/>
          <w:sz w:val="24"/>
          <w:szCs w:val="24"/>
          <w:highlight w:val="none"/>
        </w:rPr>
        <w:t xml:space="preserve">中标单位</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27.1中标候选人的选取原则和数量见招标文件第五章规定。 </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 采购人应根据评委会推荐的中标候选人确定中标供应商。</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27.3 采购人</w:t>
      </w:r>
      <w:r>
        <w:rPr>
          <w:rFonts w:hint="eastAsia" w:ascii="宋体" w:hAnsi="宋体" w:cs="宋体"/>
          <w:bCs/>
          <w:color w:val="000000"/>
          <w:sz w:val="24"/>
          <w:szCs w:val="24"/>
          <w:highlight w:val="none"/>
          <w:lang w:val="en-US" w:eastAsia="zh-CN"/>
        </w:rPr>
        <w:t xml:space="preserve">或</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将在“江苏政府采购网”发布中标公告，公告期限为1个工作日。</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 若有充分证据证明，中标供应商出现下列情况之一的，一经查实，将被取消中标资格：</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27.4.1提供虚假材料谋取中标的。</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27.4.2向采购人、</w:t>
      </w:r>
      <w:r>
        <w:rPr>
          <w:rFonts w:hint="eastAsia" w:ascii="宋体" w:hAnsi="宋体" w:cs="宋体"/>
          <w:sz w:val="24"/>
          <w:szCs w:val="24"/>
          <w:highlight w:val="none"/>
          <w:lang w:val="en-US" w:eastAsia="zh-CN"/>
        </w:rPr>
        <w:t xml:space="preserve">采购代理机构</w:t>
      </w:r>
      <w:r>
        <w:rPr>
          <w:rFonts w:hint="eastAsia" w:ascii="宋体" w:hAnsi="宋体" w:cs="宋体"/>
          <w:color w:val="000000"/>
          <w:sz w:val="24"/>
          <w:szCs w:val="24"/>
          <w:highlight w:val="none"/>
        </w:rPr>
        <w:t xml:space="preserve">行贿或者提供其他不正当利益的。</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27.4.3属于本文件规定的无效条件，但在评标过程中又未被评委会发现的。</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27.4.4与采购人或者其他供应商恶意串通的。</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27.4.5采取不正当手段诋毁、排挤其他供应商的。</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bookmarkStart w:id="169" w:name="_Toc200451960"/>
      <w:r>
        <w:rPr>
          <w:rFonts w:hint="eastAsia" w:ascii="宋体" w:hAnsi="宋体" w:cs="宋体"/>
          <w:color w:val="000000"/>
          <w:sz w:val="24"/>
          <w:szCs w:val="24"/>
          <w:highlight w:val="none"/>
        </w:rPr>
        <w:t xml:space="preserve">27.5 有下列情形之一的，视为投标人串通投标，投标无效：</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27.5.1不同投标人的投标文件由同一单位或者个人编制。</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27.5.2不同投标人委托同一单位或者个人办理投标事宜。</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27.5.3 不同投标人的投标文件载明的项目管理成员或者联系人员为同一人。</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27.5.4不同投标人的投标文件异常一致或者投标报价呈规律性差异。</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28、质疑处理</w:t>
      </w:r>
      <w:bookmarkEnd w:id="169"/>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28.1 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highlight w:val="none"/>
        </w:rPr>
        <w:t xml:space="preserve">28.4条款的规定向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w:t>
      </w:r>
      <w:r>
        <w:rPr>
          <w:rFonts w:hint="eastAsia" w:ascii="宋体" w:hAnsi="宋体" w:cs="宋体"/>
          <w:color w:val="000000"/>
          <w:sz w:val="24"/>
          <w:szCs w:val="24"/>
          <w:highlight w:val="none"/>
        </w:rPr>
        <w:t xml:space="preserve">之日，是指：</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28.2.1对可以质疑的采购文件提出质疑的，为收到采购文件之日或者采购文件公告期限届满之日；</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28.2.2对采购过程提出质疑的，为各采购程序环节结束之日；</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28.2.3对中标或者成交结果提出质疑的，为中标或者成交结果公告期限届满之日。</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keepLines w:val="0"/>
        <w:keepNext w:val="0"/>
        <w:pageBreakBefore w:val="0"/>
        <w:spacing w:line="380" w:lineRule="exact"/>
        <w:widowControl w:val="off"/>
        <w:rPr>
          <w:rFonts w:hint="eastAsia" w:ascii="宋体" w:hAnsi="宋体" w:cs="宋体"/>
          <w:b/>
          <w:sz w:val="24"/>
          <w:szCs w:val="24"/>
          <w:highlight w:val="none"/>
        </w:rPr>
      </w:pPr>
      <w:r>
        <w:rPr>
          <w:rFonts w:hint="eastAsia" w:ascii="宋体" w:hAnsi="宋体" w:cs="宋体"/>
          <w:sz w:val="24"/>
          <w:szCs w:val="24"/>
          <w:highlight w:val="none"/>
        </w:rPr>
        <w:t xml:space="preserve">28.4 </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w:t>
      </w: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ascii="宋体" w:hAnsi="宋体"/>
          <w:sz w:val="24"/>
          <w:szCs w:val="24"/>
        </w:rPr>
        <w:t xml:space="preserve">提出，由</w:t>
      </w: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ascii="宋体" w:hAnsi="宋体"/>
          <w:sz w:val="24"/>
          <w:szCs w:val="24"/>
        </w:rPr>
        <w:t xml:space="preserve">负责答复。</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sz w:val="24"/>
          <w:szCs w:val="24"/>
          <w:highlight w:val="none"/>
        </w:rPr>
        <w:t xml:space="preserve">采购人及</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只接收以纸质原件形式送达的质疑,建议供应商尽量通过邮寄方式提交质疑（采购人和</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不接受无快递运单号的快递）。</w:t>
      </w:r>
      <w:r>
        <w:rPr>
          <w:rFonts w:hint="eastAsia" w:ascii="宋体" w:hAnsi="宋体" w:cs="宋体"/>
          <w:color w:val="000000"/>
          <w:sz w:val="24"/>
          <w:szCs w:val="24"/>
          <w:highlight w:val="none"/>
        </w:rPr>
        <w:t xml:space="preserve">采购人质疑接收人及联系方式见招标文件第一章。</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 以下情形的质疑不予受理</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28.5.1 内容不符合《政府采购质疑和投诉办法》第十二条规定的质疑。</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28.5.2 超出政府采购法定期限的质疑。</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28.5.3 以传真、电子邮件等方式递交的非原件形式的质疑。</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28.5.4 未参加投标活动的供应商或在投标活动中自身权益未受到损害的供应商所提出的质疑。</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28.5.5供应商组成联合体参加投标，联合体中任何一方或多方未按要求签字、盖章、加盖公章的质疑。</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w:t>
      </w:r>
      <w:r>
        <w:rPr>
          <w:rFonts w:hint="eastAsia" w:ascii="宋体" w:hAnsi="宋体" w:cs="宋体"/>
          <w:bCs/>
          <w:color w:val="000000"/>
          <w:sz w:val="24"/>
          <w:szCs w:val="24"/>
          <w:highlight w:val="none"/>
          <w:lang w:val="en-US" w:eastAsia="zh-CN"/>
        </w:rPr>
        <w:t xml:space="preserve">成交</w:t>
      </w:r>
      <w:r>
        <w:rPr>
          <w:rFonts w:hint="eastAsia" w:ascii="宋体" w:hAnsi="宋体" w:cs="宋体"/>
          <w:bCs/>
          <w:color w:val="000000"/>
          <w:sz w:val="24"/>
          <w:szCs w:val="24"/>
          <w:highlight w:val="none"/>
        </w:rPr>
        <w:t xml:space="preserve">通知书</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color w:val="000000"/>
          <w:sz w:val="24"/>
          <w:szCs w:val="24"/>
          <w:highlight w:val="none"/>
        </w:rPr>
        <w:t xml:space="preserve">29.l</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结果确定后，</w:t>
      </w:r>
      <w:r>
        <w:rPr>
          <w:rFonts w:hint="eastAsia" w:ascii="宋体" w:hAnsi="宋体"/>
          <w:color w:val="auto"/>
          <w:sz w:val="24"/>
          <w:szCs w:val="24"/>
          <w:lang w:val="en-US" w:eastAsia="zh-CN"/>
        </w:rPr>
        <w:t xml:space="preserve">采购人</w:t>
      </w:r>
      <w:r>
        <w:rPr>
          <w:rFonts w:hint="eastAsia" w:ascii="宋体" w:hAnsi="宋体"/>
          <w:color w:val="auto"/>
          <w:sz w:val="24"/>
          <w:szCs w:val="24"/>
        </w:rPr>
        <w:t xml:space="preserve">将向</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供应商发出</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通知书。请</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供应商在</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结果公告届满之日起30日内,使用CA数字证书登录苏采云系统及时下载</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通知书。因系统存储空间有限，自</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结果公告届满之日起30日后，苏采云系统不再保证提供下载</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通知书服务,因未及时下载而造成的不利后果由</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供应商自行承担。</w:t>
      </w:r>
      <w:r/>
    </w:p>
    <w:p>
      <w:pPr>
        <w:ind w:firstLine="480"/>
        <w:keepLines w:val="0"/>
        <w:keepNext w:val="0"/>
        <w:pageBreakBefore w:val="0"/>
        <w:spacing w:line="38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29.2</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通知书将是合同的一个组成部分。对采购人和</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供应商均具有法律效力。</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通知书发出后，采购人改变</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结果的，或者</w:t>
      </w:r>
      <w:r>
        <w:rPr>
          <w:rFonts w:hint="eastAsia" w:ascii="宋体" w:hAnsi="宋体"/>
          <w:color w:val="auto"/>
          <w:sz w:val="24"/>
          <w:szCs w:val="24"/>
          <w:lang w:val="en-US" w:eastAsia="zh-CN"/>
        </w:rPr>
        <w:t xml:space="preserve">成交</w:t>
      </w:r>
      <w:r>
        <w:rPr>
          <w:rFonts w:hint="eastAsia" w:ascii="宋体" w:hAnsi="宋体"/>
          <w:color w:val="auto"/>
          <w:sz w:val="24"/>
          <w:szCs w:val="24"/>
        </w:rPr>
        <w:t xml:space="preserve">供应商放弃中标项目的，应当依法承担法律责任</w:t>
      </w:r>
      <w:r>
        <w:rPr>
          <w:rFonts w:hint="eastAsia" w:ascii="宋体" w:hAnsi="宋体" w:cs="宋体"/>
          <w:sz w:val="24"/>
          <w:szCs w:val="24"/>
          <w:highlight w:val="none"/>
        </w:rPr>
        <w:t xml:space="preserve">。</w:t>
      </w:r>
      <w:r/>
    </w:p>
    <w:p>
      <w:pPr>
        <w:ind w:firstLine="480"/>
        <w:keepLines w:val="0"/>
        <w:keepNext w:val="0"/>
        <w:pageBreakBefore w:val="0"/>
        <w:spacing w:line="380" w:lineRule="exact"/>
        <w:widowControl w:val="off"/>
        <w:rPr>
          <w:rFonts w:hint="eastAsia" w:ascii="宋体" w:hAnsi="宋体" w:cs="宋体"/>
          <w:sz w:val="24"/>
          <w:szCs w:val="24"/>
          <w:highlight w:val="none"/>
        </w:rPr>
      </w:pPr>
      <w:r/>
      <w:bookmarkStart w:id="170" w:name="_Toc120614220"/>
      <w:r/>
      <w:bookmarkStart w:id="171" w:name="_Toc20823308"/>
      <w:r/>
      <w:bookmarkStart w:id="172" w:name="_Toc16938552"/>
      <w:r/>
      <w:bookmarkStart w:id="173" w:name="_Toc513029236"/>
      <w:r>
        <w:rPr>
          <w:rFonts w:hint="eastAsia" w:ascii="宋体" w:hAnsi="宋体" w:cs="宋体"/>
          <w:sz w:val="24"/>
          <w:szCs w:val="24"/>
          <w:highlight w:val="none"/>
        </w:rPr>
        <w:t xml:space="preserve">29.3</w:t>
      </w: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供应商在中标后须将装订好的纸质投标文件</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份</w:t>
      </w:r>
      <w:r>
        <w:rPr>
          <w:rFonts w:hint="eastAsia" w:ascii="宋体" w:hAnsi="宋体" w:cs="宋体"/>
          <w:sz w:val="24"/>
          <w:szCs w:val="24"/>
          <w:highlight w:val="none"/>
          <w:lang w:val="en-US" w:eastAsia="zh-CN"/>
        </w:rPr>
        <w:t xml:space="preserve">邮</w:t>
      </w:r>
      <w:r>
        <w:rPr>
          <w:rFonts w:hint="eastAsia" w:ascii="宋体" w:hAnsi="宋体" w:cs="宋体"/>
          <w:sz w:val="24"/>
          <w:szCs w:val="24"/>
          <w:highlight w:val="none"/>
        </w:rPr>
        <w:t xml:space="preserve">寄至</w:t>
      </w:r>
      <w:r>
        <w:rPr>
          <w:rFonts w:hint="eastAsia" w:ascii="宋体" w:hAnsi="宋体" w:cs="宋体"/>
          <w:sz w:val="24"/>
          <w:szCs w:val="24"/>
          <w:highlight w:val="none"/>
          <w:lang w:val="en-US" w:eastAsia="zh-CN"/>
        </w:rPr>
        <w:t xml:space="preserve">采购代理机构</w:t>
      </w:r>
      <w:r>
        <w:rPr>
          <w:rFonts w:hint="eastAsia" w:ascii="宋体" w:hAnsi="宋体" w:cs="宋体"/>
          <w:sz w:val="24"/>
          <w:szCs w:val="24"/>
          <w:highlight w:val="none"/>
        </w:rPr>
        <w:t xml:space="preserve">，并在</w:t>
      </w: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通知书规定期限（确定中标人后30日）内和采购人签订合同。</w:t>
      </w:r>
      <w:r/>
    </w:p>
    <w:p>
      <w:pPr>
        <w:keepLines w:val="0"/>
        <w:keepNext w:val="0"/>
        <w:pageBreakBefore w:val="0"/>
        <w:spacing w:line="380" w:lineRule="exact"/>
        <w:widowControl w:val="off"/>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七、授予合同</w:t>
      </w:r>
      <w:bookmarkEnd w:id="170"/>
      <w:r/>
      <w:bookmarkEnd w:id="171"/>
      <w:bookmarkEnd w:id="172"/>
      <w:bookmarkEnd w:id="173"/>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bookmarkStart w:id="174" w:name="_Toc20823309"/>
      <w:r/>
      <w:bookmarkStart w:id="175" w:name="_Toc513029237"/>
      <w:r/>
      <w:bookmarkStart w:id="176" w:name="_Toc16938553"/>
      <w:r>
        <w:rPr>
          <w:rFonts w:hint="eastAsia" w:ascii="宋体" w:hAnsi="宋体" w:cs="宋体"/>
          <w:bCs/>
          <w:color w:val="000000"/>
          <w:sz w:val="24"/>
          <w:szCs w:val="24"/>
          <w:highlight w:val="none"/>
        </w:rPr>
        <w:t xml:space="preserve">30、签订合同</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outlineLvl w:val="3"/>
      </w:pPr>
      <w:r>
        <w:rPr>
          <w:rFonts w:hint="eastAsia" w:ascii="宋体" w:hAnsi="宋体" w:cs="宋体"/>
          <w:bCs/>
          <w:color w:val="000000"/>
          <w:sz w:val="24"/>
          <w:szCs w:val="24"/>
          <w:highlight w:val="none"/>
        </w:rPr>
        <w:t xml:space="preserve">30.</w:t>
      </w:r>
      <w:r>
        <w:rPr>
          <w:rFonts w:hint="eastAsia" w:ascii="宋体" w:hAnsi="宋体" w:cs="宋体"/>
          <w:color w:val="000000"/>
          <w:sz w:val="24"/>
          <w:szCs w:val="24"/>
          <w:highlight w:val="none"/>
        </w:rPr>
        <w:t xml:space="preserve">l中标供应商应当在中标通知书发出之日起三十日内，按照招标文件确定的事项与采购人签订政府采购合同。</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30.2</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招标文件、中标供应商的投标文件及招标过程中有关澄清、承诺文件均应作为合同附件。</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rPr>
          <w:rFonts w:hint="eastAsia" w:ascii="宋体" w:hAnsi="宋体" w:cs="宋体"/>
          <w:bCs/>
          <w:color w:val="000000"/>
          <w:sz w:val="24"/>
          <w:szCs w:val="24"/>
          <w:highlight w:val="none"/>
        </w:rPr>
        <w:t xml:space="preserve">31、货物（包含与货物相关的服务）的追加</w:t>
      </w:r>
      <w:r/>
    </w:p>
    <w:p>
      <w:pPr>
        <w:ind w:firstLine="480"/>
        <w:keepLines w:val="0"/>
        <w:keepNext w:val="0"/>
        <w:pageBreakBefore w:val="0"/>
        <w:spacing w:line="38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74"/>
      <w:bookmarkEnd w:id="175"/>
      <w:bookmarkEnd w:id="176"/>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outlineLvl w:val="3"/>
      </w:pPr>
      <w:r>
        <w:rPr>
          <w:rFonts w:hint="eastAsia" w:ascii="宋体" w:hAnsi="宋体" w:cs="宋体"/>
          <w:bCs/>
          <w:color w:val="000000"/>
          <w:sz w:val="24"/>
          <w:szCs w:val="24"/>
          <w:highlight w:val="none"/>
        </w:rPr>
        <w:t xml:space="preserve">32、政府采购履约资金扶持政策</w:t>
      </w:r>
      <w:r/>
    </w:p>
    <w:p>
      <w:pPr>
        <w:ind w:firstLine="480"/>
        <w:keepLines w:val="0"/>
        <w:keepNext w:val="0"/>
        <w:pageBreakBefore w:val="0"/>
        <w:spacing w:line="380" w:lineRule="exact"/>
        <w:widowControl w:val="off"/>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ind w:firstLine="420"/>
        <w:spacing w:line="400" w:lineRule="exact"/>
        <w:rPr>
          <w:rFonts w:hint="eastAsia"/>
          <w:color w:val="000000"/>
          <w:szCs w:val="21"/>
        </w:rPr>
      </w:pPr>
      <w:r>
        <w:rPr>
          <w:rFonts w:hint="eastAsia"/>
          <w:color w:val="000000"/>
          <w:szCs w:val="21"/>
        </w:rPr>
      </w:r>
      <w:r/>
    </w:p>
    <w:p>
      <w:pPr>
        <w:ind w:firstLine="420"/>
        <w:spacing w:line="400" w:lineRule="exact"/>
        <w:rPr>
          <w:rFonts w:hint="eastAsia"/>
          <w:color w:val="000000"/>
          <w:szCs w:val="21"/>
        </w:rPr>
      </w:pPr>
      <w:r>
        <w:rPr>
          <w:rFonts w:hint="eastAsia"/>
          <w:color w:val="000000"/>
          <w:szCs w:val="21"/>
        </w:rPr>
      </w:r>
      <w:r/>
    </w:p>
    <w:p>
      <w:pPr>
        <w:ind w:firstLine="420"/>
        <w:spacing w:line="400" w:lineRule="exact"/>
        <w:rPr>
          <w:rFonts w:hint="eastAsia"/>
          <w:color w:val="000000"/>
          <w:szCs w:val="21"/>
        </w:rPr>
      </w:pPr>
      <w:r>
        <w:rPr>
          <w:rFonts w:hint="eastAsia"/>
          <w:color w:val="000000"/>
          <w:szCs w:val="21"/>
        </w:rPr>
      </w:r>
      <w:r/>
    </w:p>
    <w:p>
      <w:pPr>
        <w:ind w:firstLine="420"/>
        <w:spacing w:line="400" w:lineRule="exact"/>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pStyle w:val="698"/>
        <w:rPr>
          <w:rFonts w:hint="eastAsia"/>
          <w:color w:val="000000"/>
          <w:szCs w:val="21"/>
        </w:rPr>
      </w:pPr>
      <w:r>
        <w:rPr>
          <w:rFonts w:hint="eastAsia"/>
          <w:color w:val="000000"/>
          <w:szCs w:val="21"/>
        </w:rPr>
      </w:r>
      <w:r/>
    </w:p>
    <w:p>
      <w:pPr>
        <w:ind w:firstLine="420"/>
        <w:spacing w:line="400" w:lineRule="exact"/>
        <w:rPr>
          <w:rFonts w:hint="eastAsia"/>
          <w:color w:val="000000"/>
          <w:szCs w:val="21"/>
        </w:rPr>
      </w:pPr>
      <w:r>
        <w:rPr>
          <w:rFonts w:hint="eastAsia"/>
          <w:color w:val="000000"/>
          <w:szCs w:val="21"/>
        </w:rPr>
      </w:r>
      <w:r/>
    </w:p>
    <w:p>
      <w:pPr>
        <w:ind w:left="0" w:firstLine="0"/>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w:t>
      </w:r>
      <w:bookmarkEnd w:id="56"/>
      <w:r/>
      <w:bookmarkEnd w:id="57"/>
      <w:r/>
      <w:bookmarkEnd w:id="58"/>
      <w:r/>
      <w:bookmarkEnd w:id="59"/>
      <w:r/>
      <w:bookmarkEnd w:id="60"/>
      <w:r>
        <w:rPr>
          <w:rFonts w:hint="eastAsia" w:ascii="黑体" w:eastAsia="黑体"/>
          <w:bCs/>
          <w:color w:val="000000"/>
          <w:sz w:val="44"/>
          <w:szCs w:val="28"/>
        </w:rPr>
        <w:t xml:space="preserve">合同文本</w:t>
      </w:r>
      <w:r/>
    </w:p>
    <w:p>
      <w:pPr>
        <w:spacing w:line="400" w:lineRule="exact"/>
        <w:rPr>
          <w:rFonts w:ascii="宋体" w:hAnsi="宋体" w:eastAsia="宋体" w:cs="Times New Roman"/>
          <w:bCs/>
          <w:color w:val="000000"/>
          <w:sz w:val="24"/>
          <w:szCs w:val="24"/>
          <w:highlight w:val="yellow"/>
        </w:rPr>
      </w:pPr>
      <w:r/>
      <w:bookmarkStart w:id="177" w:name="_Toc20823315"/>
      <w:r/>
      <w:bookmarkStart w:id="178" w:name="_Toc513029243"/>
      <w:r/>
      <w:bookmarkStart w:id="179" w:name="_Toc16938559"/>
      <w:r/>
      <w:bookmarkStart w:id="180" w:name="_Toc3995"/>
      <w:r/>
      <w:bookmarkStart w:id="181" w:name="_Hlt16619350"/>
      <w:r/>
      <w:bookmarkStart w:id="182" w:name="_Toc16938590"/>
      <w:r/>
      <w:bookmarkStart w:id="183" w:name="_Toc120614244"/>
      <w:r/>
      <w:bookmarkStart w:id="184" w:name="_Toc20823346"/>
      <w:r/>
      <w:bookmarkStart w:id="185" w:name="_Toc462564139"/>
      <w:r/>
      <w:bookmarkStart w:id="186" w:name="_Toc479757211"/>
      <w:r/>
      <w:r/>
    </w:p>
    <w:p>
      <w:pPr>
        <w:spacing w:line="50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bookmarkEnd w:id="177"/>
      <w:bookmarkEnd w:id="178"/>
      <w:bookmarkEnd w:id="179"/>
      <w:bookmarkEnd w:id="180"/>
      <w:r/>
    </w:p>
    <w:p>
      <w:pPr>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p>
    <w:p>
      <w:pPr>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ind w:firstLine="1120"/>
        <w:spacing w:line="360" w:lineRule="auto"/>
        <w:rPr>
          <w:rFonts w:hint="eastAsia" w:ascii="Times New Roman" w:hAnsi="Times New Roman" w:eastAsia="宋体" w:cs="Times New Roman"/>
          <w:color w:val="000000"/>
          <w:sz w:val="28"/>
          <w:szCs w:val="28"/>
          <w:u w:val="single"/>
          <w:lang w:eastAsia="zh-CN"/>
        </w:rPr>
      </w:pPr>
      <w:r>
        <w:rPr>
          <w:rFonts w:hint="eastAsia" w:ascii="宋体" w:hAnsi="宋体" w:eastAsia="宋体" w:cs="宋体"/>
          <w:color w:val="000000"/>
          <w:sz w:val="28"/>
          <w:szCs w:val="28"/>
        </w:rPr>
        <w:t xml:space="preserve">项目名称：</w:t>
      </w:r>
      <w:r>
        <w:rPr>
          <w:rFonts w:hint="eastAsia" w:ascii="宋体" w:hAnsi="宋体" w:cs="宋体"/>
          <w:color w:val="000000"/>
          <w:sz w:val="28"/>
          <w:szCs w:val="28"/>
          <w:u w:val="single"/>
          <w:lang w:val="en-US" w:eastAsia="zh-CN"/>
        </w:rPr>
        <w:t xml:space="preserve">南通市海门区农业技术推广中心采购海门区2025年秋播油菜扩种项目物资</w:t>
      </w:r>
      <w:r/>
    </w:p>
    <w:p>
      <w:pPr>
        <w:ind w:left="420" w:firstLine="840"/>
        <w:spacing w:line="360" w:lineRule="auto"/>
        <w:rPr>
          <w:rFonts w:ascii="Times New Roman" w:hAnsi="Times New Roman" w:eastAsia="宋体" w:cs="Times New Roman"/>
          <w:color w:val="000000"/>
          <w:sz w:val="28"/>
          <w:szCs w:val="28"/>
          <w:u w:val="single"/>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rPr>
        <w:t xml:space="preserve"> </w:t>
      </w:r>
      <w:r/>
    </w:p>
    <w:p>
      <w:pPr>
        <w:ind w:left="420" w:firstLine="84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cs="Times New Roman"/>
          <w:color w:val="000000"/>
          <w:sz w:val="28"/>
          <w:szCs w:val="28"/>
          <w:u w:val="single"/>
          <w:lang w:eastAsia="zh-CN"/>
        </w:rPr>
        <w:t xml:space="preserve">南通市海门区农业技术推广中心</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firstLine="84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ind w:left="420" w:firstLine="84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p>
    <w:p>
      <w:pPr>
        <w:rPr>
          <w:rFonts w:ascii="Times New Roman" w:hAnsi="Times New Roman" w:eastAsia="宋体" w:cs="Times New Roman"/>
          <w:color w:val="000000"/>
        </w:rPr>
      </w:pPr>
      <w:r>
        <w:rPr>
          <w:rFonts w:ascii="Times New Roman" w:hAnsi="Times New Roman" w:eastAsia="宋体" w:cs="Times New Roman"/>
          <w:color w:val="000000"/>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69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p>
    <w:p>
      <w:pPr>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p>
    <w:p>
      <w:pPr>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p>
    <w:p>
      <w:pPr>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eastAsia="黑体"/>
          <w:color w:val="000000"/>
          <w:sz w:val="44"/>
          <w:szCs w:val="44"/>
        </w:rPr>
      </w:r>
      <w:r/>
    </w:p>
    <w:p>
      <w:pPr>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cs="Times New Roman"/>
          <w:color w:val="000000"/>
          <w:szCs w:val="21"/>
          <w:u w:val="single"/>
          <w:lang w:eastAsia="zh-CN"/>
        </w:rPr>
        <w:t xml:space="preserve">南通市海门区农业技术推广中心</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cs="Times New Roman"/>
          <w:color w:val="000000"/>
          <w:szCs w:val="21"/>
          <w:u w:val="single"/>
          <w:lang w:val="en-US" w:eastAsia="zh-CN"/>
        </w:rPr>
        <w:t xml:space="preserve">       </w:t>
      </w:r>
      <w:r>
        <w:rPr>
          <w:rFonts w:hint="eastAsia" w:ascii="宋体" w:hAnsi="宋体" w:eastAsia="宋体" w:cs="Times New Roman"/>
          <w:color w:val="000000"/>
          <w:szCs w:val="21"/>
        </w:rPr>
        <w:t xml:space="preserve">（供应商）</w:t>
      </w:r>
      <w:r/>
    </w:p>
    <w:p>
      <w:pPr>
        <w:pStyle w:val="900"/>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p>
    <w:p>
      <w:pPr>
        <w:pStyle w:val="900"/>
        <w:numPr>
          <w:ilvl w:val="0"/>
          <w:numId w:val="6"/>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hint="eastAsia" w:ascii="宋体" w:hAnsi="宋体" w:cs="Times New Roman"/>
          <w:color w:val="000000"/>
          <w:szCs w:val="21"/>
          <w:u w:val="single"/>
          <w:lang w:eastAsia="zh-CN"/>
        </w:rPr>
        <w:t xml:space="preserve">南通市海门区农业技术推广中心采购海门区2025年秋播油菜扩种项目物资</w:t>
      </w:r>
      <w:r>
        <w:rPr>
          <w:rFonts w:ascii="宋体" w:hAnsi="宋体" w:eastAsia="宋体" w:cs="Times New Roman"/>
          <w:color w:val="000000"/>
          <w:szCs w:val="21"/>
          <w:u w:val="single"/>
        </w:rPr>
        <w:t xml:space="preserve"> </w:t>
      </w:r>
      <w:r/>
    </w:p>
    <w:p>
      <w:pPr>
        <w:pStyle w:val="900"/>
        <w:ind w:left="0"/>
        <w:spacing w:after="0" w:line="400" w:lineRule="exact"/>
        <w:tabs>
          <w:tab w:val="left" w:pos="999" w:leader="none"/>
        </w:tabs>
        <w:rPr>
          <w:rFonts w:hint="default"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rPr>
        <w:t xml:space="preserve">        </w:t>
      </w:r>
      <w:r>
        <w:rPr>
          <w:rFonts w:hint="eastAsia" w:ascii="宋体" w:hAnsi="宋体" w:eastAsia="宋体" w:cs="Times New Roman"/>
          <w:color w:val="000000"/>
          <w:szCs w:val="21"/>
          <w:highlight w:val="none"/>
        </w:rPr>
        <w:t xml:space="preserve"> 采购项目编号：</w:t>
      </w:r>
      <w:r>
        <w:rPr>
          <w:rFonts w:hint="eastAsia" w:ascii="宋体" w:hAnsi="宋体" w:eastAsia="宋体" w:cs="Times New Roman"/>
          <w:color w:val="000000"/>
          <w:szCs w:val="21"/>
          <w:highlight w:val="none"/>
          <w:u w:val="single"/>
          <w:lang w:val="en-US" w:eastAsia="zh-CN"/>
        </w:rPr>
        <w:t xml:space="preserve">JSZC-320614-NTWL-X2026-0015</w:t>
      </w:r>
      <w:r/>
    </w:p>
    <w:p>
      <w:pPr>
        <w:pStyle w:val="900"/>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（2）采购计划编号：</w:t>
      </w:r>
      <w:r>
        <w:rPr>
          <w:rFonts w:hint="eastAsia" w:ascii="宋体" w:hAnsi="宋体" w:eastAsia="宋体" w:cs="Times New Roman"/>
          <w:color w:val="000000"/>
          <w:szCs w:val="21"/>
          <w:highlight w:val="none"/>
          <w:u w:val="single"/>
          <w:lang w:val="en-US" w:eastAsia="zh-CN"/>
        </w:rPr>
        <w:t xml:space="preserve">LWZC320614000202600149 </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bookmarkStart w:id="201" w:name="_GoBack"/>
      <w:r/>
      <w:bookmarkEnd w:id="201"/>
      <w:r/>
      <w:r/>
    </w:p>
    <w:p>
      <w:pPr>
        <w:ind w:left="0" w:firstLine="420"/>
        <w:spacing w:line="40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采购标的及数量</w:t>
      </w:r>
      <w:r/>
    </w:p>
    <w:tbl>
      <w:tblPr>
        <w:tblStyle w:val="697"/>
        <w:tblW w:w="497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
        <w:gridCol w:w="1653"/>
        <w:gridCol w:w="3390"/>
        <w:gridCol w:w="1200"/>
        <w:gridCol w:w="1913"/>
        <w:gridCol w:w="1321"/>
      </w:tblGrid>
      <w:tr>
        <w:trPr>
          <w:cantSplit/>
          <w:trHeight w:val="544"/>
        </w:trPr>
        <w:tc>
          <w:tcPr>
            <w:tcW w:w="436"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t xml:space="preserve">序号</w:t>
            </w:r>
            <w:r/>
          </w:p>
        </w:tc>
        <w:tc>
          <w:tcPr>
            <w:tcW w:w="1653"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t xml:space="preserve">产品名称</w:t>
            </w:r>
            <w:r/>
          </w:p>
        </w:tc>
        <w:tc>
          <w:tcPr>
            <w:tcW w:w="3390"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t xml:space="preserve">参数、规格</w:t>
            </w:r>
            <w:r/>
          </w:p>
        </w:tc>
        <w:tc>
          <w:tcPr>
            <w:tcW w:w="1200" w:type="dxa"/>
            <w:vAlign w:val="center"/>
            <w:textDirection w:val="lrTb"/>
            <w:noWrap w:val="false"/>
          </w:tcPr>
          <w:p>
            <w:pPr>
              <w:jc w:val="center"/>
              <w:spacing w:line="0" w:lineRule="atLeast"/>
              <w:rPr>
                <w:rFonts w:hint="eastAsia" w:ascii="宋体" w:hAnsi="宋体" w:eastAsia="宋体"/>
                <w:sz w:val="22"/>
                <w:szCs w:val="22"/>
                <w:lang w:val="en-US" w:eastAsia="zh-CN"/>
              </w:rPr>
            </w:pPr>
            <w:r>
              <w:rPr>
                <w:rFonts w:hint="eastAsia" w:ascii="宋体" w:hAnsi="宋体" w:eastAsia="宋体"/>
                <w:sz w:val="22"/>
                <w:szCs w:val="22"/>
                <w:lang w:val="en-US" w:eastAsia="zh-CN"/>
              </w:rPr>
              <w:t xml:space="preserve">数量（吨）</w:t>
            </w:r>
            <w:r/>
          </w:p>
        </w:tc>
        <w:tc>
          <w:tcPr>
            <w:tcW w:w="1913" w:type="dxa"/>
            <w:vAlign w:val="center"/>
            <w:textDirection w:val="lrTb"/>
            <w:noWrap w:val="false"/>
          </w:tcPr>
          <w:p>
            <w:pPr>
              <w:jc w:val="center"/>
              <w:spacing w:line="0" w:lineRule="atLeast"/>
              <w:rPr>
                <w:rFonts w:ascii="宋体" w:hAnsi="宋体" w:eastAsia="宋体"/>
                <w:sz w:val="22"/>
                <w:szCs w:val="22"/>
                <w:lang w:val="en-US" w:eastAsia="zh-CN"/>
              </w:rPr>
            </w:pPr>
            <w:r>
              <w:rPr>
                <w:rFonts w:ascii="宋体" w:hAnsi="宋体" w:eastAsia="宋体"/>
                <w:sz w:val="22"/>
                <w:szCs w:val="22"/>
                <w:lang w:val="en-US" w:eastAsia="zh-CN"/>
              </w:rPr>
              <w:t xml:space="preserve">单价(万元/吨)</w:t>
            </w:r>
            <w:r/>
          </w:p>
        </w:tc>
        <w:tc>
          <w:tcPr>
            <w:tcW w:w="1321" w:type="dxa"/>
            <w:vAlign w:val="center"/>
            <w:textDirection w:val="lrTb"/>
            <w:noWrap w:val="false"/>
          </w:tcPr>
          <w:p>
            <w:pPr>
              <w:jc w:val="center"/>
              <w:spacing w:line="0" w:lineRule="atLeast"/>
              <w:rPr>
                <w:rFonts w:hint="eastAsia" w:ascii="宋体" w:hAnsi="宋体" w:eastAsia="宋体"/>
                <w:sz w:val="22"/>
                <w:szCs w:val="22"/>
                <w:lang w:val="en-US" w:eastAsia="zh-CN"/>
              </w:rPr>
            </w:pPr>
            <w:r>
              <w:rPr>
                <w:rFonts w:hint="eastAsia" w:ascii="宋体" w:hAnsi="宋体" w:eastAsia="宋体"/>
                <w:sz w:val="22"/>
                <w:szCs w:val="22"/>
                <w:lang w:val="en-US" w:eastAsia="zh-CN"/>
              </w:rPr>
              <w:t xml:space="preserve">合计金额(</w:t>
            </w:r>
            <w:r>
              <w:rPr>
                <w:rFonts w:hint="eastAsia" w:ascii="宋体" w:hAnsi="宋体"/>
                <w:sz w:val="22"/>
                <w:szCs w:val="22"/>
                <w:lang w:val="en-US" w:eastAsia="zh-CN"/>
              </w:rPr>
              <w:t xml:space="preserve">万</w:t>
            </w:r>
            <w:r>
              <w:rPr>
                <w:rFonts w:hint="eastAsia" w:ascii="宋体" w:hAnsi="宋体" w:eastAsia="宋体"/>
                <w:sz w:val="22"/>
                <w:szCs w:val="22"/>
                <w:lang w:val="en-US" w:eastAsia="zh-CN"/>
              </w:rPr>
              <w:t xml:space="preserve">元)</w:t>
            </w:r>
            <w:r/>
          </w:p>
        </w:tc>
      </w:tr>
      <w:tr>
        <w:trPr>
          <w:cantSplit/>
          <w:trHeight w:val="556"/>
        </w:trPr>
        <w:tc>
          <w:tcPr>
            <w:tcW w:w="436"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t xml:space="preserve">1</w:t>
            </w:r>
            <w:r/>
          </w:p>
        </w:tc>
        <w:tc>
          <w:tcPr>
            <w:tcW w:w="1653" w:type="dxa"/>
            <w:vAlign w:val="center"/>
            <w:textDirection w:val="lrTb"/>
            <w:noWrap w:val="false"/>
          </w:tcPr>
          <w:p>
            <w:pPr>
              <w:jc w:val="center"/>
              <w:keepLines w:val="0"/>
              <w:keepNext w:val="0"/>
              <w:widowControl/>
              <w:rPr>
                <w:rFonts w:hint="default" w:ascii="宋体" w:hAnsi="宋体" w:eastAsia="宋体"/>
                <w:sz w:val="22"/>
                <w:szCs w:val="22"/>
                <w:lang w:val="en-US" w:eastAsia="zh-CN"/>
              </w:rPr>
              <w:suppressLineNumbers w:val="0"/>
            </w:pPr>
            <w:r>
              <w:rPr>
                <w:rFonts w:hint="default" w:ascii="宋体" w:hAnsi="宋体" w:eastAsia="宋体"/>
                <w:sz w:val="22"/>
                <w:szCs w:val="22"/>
                <w:lang w:val="en-US" w:eastAsia="zh-CN"/>
              </w:rPr>
            </w:r>
            <w:r/>
          </w:p>
        </w:tc>
        <w:tc>
          <w:tcPr>
            <w:tcW w:w="3390" w:type="dxa"/>
            <w:vAlign w:val="center"/>
            <w:textDirection w:val="lrTb"/>
            <w:noWrap w:val="false"/>
          </w:tcPr>
          <w:p>
            <w:pPr>
              <w:ind w:left="0"/>
              <w:jc w:val="left"/>
              <w:keepLines w:val="0"/>
              <w:keepNext w:val="0"/>
              <w:pageBreakBefore w:val="0"/>
              <w:spacing w:before="0" w:line="219" w:lineRule="auto"/>
              <w:widowControl/>
              <w:rPr>
                <w:rFonts w:hint="eastAsia" w:ascii="宋体" w:hAnsi="宋体"/>
                <w:sz w:val="22"/>
                <w:szCs w:val="22"/>
              </w:rPr>
            </w:pPr>
            <w:r>
              <w:rPr>
                <w:rFonts w:hint="eastAsia" w:ascii="宋体" w:hAnsi="宋体"/>
                <w:sz w:val="22"/>
                <w:szCs w:val="22"/>
              </w:rPr>
            </w:r>
            <w:r/>
          </w:p>
        </w:tc>
        <w:tc>
          <w:tcPr>
            <w:tcW w:w="1200" w:type="dxa"/>
            <w:vAlign w:val="center"/>
            <w:textDirection w:val="lrTb"/>
            <w:noWrap w:val="false"/>
          </w:tcPr>
          <w:p>
            <w:pPr>
              <w:jc w:val="center"/>
              <w:spacing w:line="0" w:lineRule="atLeast"/>
              <w:rPr>
                <w:rFonts w:hint="eastAsia" w:ascii="宋体" w:hAnsi="宋体" w:eastAsia="宋体"/>
                <w:sz w:val="22"/>
                <w:szCs w:val="22"/>
                <w:lang w:val="en-US" w:eastAsia="zh-CN"/>
              </w:rPr>
            </w:pPr>
            <w:r>
              <w:rPr>
                <w:rFonts w:hint="eastAsia" w:ascii="宋体" w:hAnsi="宋体" w:eastAsia="宋体"/>
                <w:sz w:val="22"/>
                <w:szCs w:val="22"/>
                <w:lang w:val="en-US" w:eastAsia="zh-CN"/>
              </w:rPr>
            </w:r>
            <w:r/>
          </w:p>
        </w:tc>
        <w:tc>
          <w:tcPr>
            <w:tcW w:w="1913"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321"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r>
      <w:tr>
        <w:trPr>
          <w:cantSplit/>
          <w:trHeight w:val="696"/>
        </w:trPr>
        <w:tc>
          <w:tcPr>
            <w:tcW w:w="436"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t xml:space="preserve">2</w:t>
            </w:r>
            <w:r/>
          </w:p>
        </w:tc>
        <w:tc>
          <w:tcPr>
            <w:tcW w:w="1653" w:type="dxa"/>
            <w:vAlign w:val="center"/>
            <w:textDirection w:val="lrTb"/>
            <w:noWrap w:val="false"/>
          </w:tcPr>
          <w:p>
            <w:pPr>
              <w:jc w:val="center"/>
              <w:keepLines w:val="0"/>
              <w:keepNext w:val="0"/>
              <w:widowControl/>
              <w:rPr>
                <w:rFonts w:hint="eastAsia" w:ascii="宋体" w:hAnsi="宋体"/>
                <w:sz w:val="22"/>
                <w:szCs w:val="22"/>
              </w:rPr>
              <w:suppressLineNumbers w:val="0"/>
            </w:pPr>
            <w:r>
              <w:rPr>
                <w:rFonts w:hint="eastAsia" w:ascii="宋体" w:hAnsi="宋体"/>
                <w:sz w:val="22"/>
                <w:szCs w:val="22"/>
              </w:rPr>
            </w:r>
            <w:r/>
          </w:p>
        </w:tc>
        <w:tc>
          <w:tcPr>
            <w:tcW w:w="3390"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200"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913" w:type="dxa"/>
            <w:vAlign w:val="center"/>
            <w:textDirection w:val="lrTb"/>
            <w:noWrap w:val="false"/>
          </w:tcPr>
          <w:p>
            <w:pPr>
              <w:jc w:val="center"/>
              <w:spacing w:line="0" w:lineRule="atLeast"/>
              <w:rPr>
                <w:rFonts w:hint="eastAsia" w:ascii="宋体" w:hAnsi="宋体"/>
                <w:sz w:val="22"/>
                <w:szCs w:val="22"/>
                <w:u w:val="single"/>
              </w:rPr>
            </w:pPr>
            <w:r>
              <w:rPr>
                <w:rFonts w:hint="eastAsia" w:ascii="宋体" w:hAnsi="宋体"/>
                <w:sz w:val="22"/>
                <w:szCs w:val="22"/>
                <w:u w:val="single"/>
              </w:rPr>
            </w:r>
            <w:r/>
          </w:p>
        </w:tc>
        <w:tc>
          <w:tcPr>
            <w:tcW w:w="1321"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r>
      <w:tr>
        <w:trPr>
          <w:cantSplit/>
          <w:trHeight w:val="724"/>
        </w:trPr>
        <w:tc>
          <w:tcPr>
            <w:tcW w:w="436"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t xml:space="preserve">3</w:t>
            </w:r>
            <w:r/>
          </w:p>
        </w:tc>
        <w:tc>
          <w:tcPr>
            <w:tcW w:w="1653" w:type="dxa"/>
            <w:vAlign w:val="center"/>
            <w:textDirection w:val="lrTb"/>
            <w:noWrap w:val="false"/>
          </w:tcPr>
          <w:p>
            <w:pPr>
              <w:jc w:val="center"/>
              <w:keepLines w:val="0"/>
              <w:keepNext w:val="0"/>
              <w:widowControl/>
              <w:rPr>
                <w:rFonts w:hint="eastAsia" w:ascii="宋体" w:hAnsi="宋体"/>
                <w:sz w:val="22"/>
                <w:szCs w:val="22"/>
              </w:rPr>
              <w:suppressLineNumbers w:val="0"/>
            </w:pPr>
            <w:r>
              <w:rPr>
                <w:rFonts w:hint="eastAsia" w:ascii="宋体" w:hAnsi="宋体"/>
                <w:sz w:val="22"/>
                <w:szCs w:val="22"/>
              </w:rPr>
            </w:r>
            <w:r/>
          </w:p>
        </w:tc>
        <w:tc>
          <w:tcPr>
            <w:tcW w:w="3390"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200"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913"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321"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r>
      <w:tr>
        <w:trPr>
          <w:cantSplit/>
          <w:trHeight w:val="640"/>
        </w:trPr>
        <w:tc>
          <w:tcPr>
            <w:tcW w:w="436"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t xml:space="preserve">4</w:t>
            </w:r>
            <w:r/>
          </w:p>
        </w:tc>
        <w:tc>
          <w:tcPr>
            <w:tcW w:w="1653" w:type="dxa"/>
            <w:vAlign w:val="center"/>
            <w:textDirection w:val="lrTb"/>
            <w:noWrap w:val="false"/>
          </w:tcPr>
          <w:p>
            <w:pPr>
              <w:jc w:val="center"/>
              <w:keepLines w:val="0"/>
              <w:keepNext w:val="0"/>
              <w:widowControl/>
              <w:rPr>
                <w:rFonts w:hint="eastAsia" w:ascii="宋体" w:hAnsi="宋体"/>
                <w:sz w:val="22"/>
                <w:szCs w:val="22"/>
              </w:rPr>
              <w:suppressLineNumbers w:val="0"/>
            </w:pPr>
            <w:r>
              <w:rPr>
                <w:rFonts w:hint="eastAsia" w:ascii="宋体" w:hAnsi="宋体"/>
                <w:sz w:val="22"/>
                <w:szCs w:val="22"/>
              </w:rPr>
            </w:r>
            <w:r/>
          </w:p>
        </w:tc>
        <w:tc>
          <w:tcPr>
            <w:tcW w:w="3390"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200" w:type="dxa"/>
            <w:vAlign w:val="center"/>
            <w:textDirection w:val="lrTb"/>
            <w:noWrap w:val="false"/>
          </w:tcPr>
          <w:p>
            <w:pPr>
              <w:jc w:val="center"/>
              <w:spacing w:line="0" w:lineRule="atLeast"/>
              <w:rPr>
                <w:rFonts w:hint="eastAsia" w:ascii="宋体" w:hAnsi="宋体" w:eastAsia="宋体"/>
                <w:sz w:val="22"/>
                <w:szCs w:val="22"/>
                <w:lang w:val="en-US" w:eastAsia="zh-CN"/>
              </w:rPr>
            </w:pPr>
            <w:r>
              <w:rPr>
                <w:rFonts w:hint="eastAsia" w:ascii="宋体" w:hAnsi="宋体" w:eastAsia="宋体"/>
                <w:sz w:val="22"/>
                <w:szCs w:val="22"/>
                <w:lang w:val="en-US" w:eastAsia="zh-CN"/>
              </w:rPr>
            </w:r>
            <w:r/>
          </w:p>
        </w:tc>
        <w:tc>
          <w:tcPr>
            <w:tcW w:w="1913"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c>
          <w:tcPr>
            <w:tcW w:w="1321" w:type="dxa"/>
            <w:vAlign w:val="center"/>
            <w:textDirection w:val="lrTb"/>
            <w:noWrap w:val="false"/>
          </w:tcPr>
          <w:p>
            <w:pPr>
              <w:jc w:val="center"/>
              <w:spacing w:line="0" w:lineRule="atLeast"/>
              <w:rPr>
                <w:rFonts w:hint="eastAsia" w:ascii="宋体" w:hAnsi="宋体"/>
                <w:sz w:val="22"/>
                <w:szCs w:val="22"/>
              </w:rPr>
            </w:pPr>
            <w:r>
              <w:rPr>
                <w:rFonts w:hint="eastAsia" w:ascii="宋体" w:hAnsi="宋体"/>
                <w:sz w:val="22"/>
                <w:szCs w:val="22"/>
              </w:rPr>
            </w:r>
            <w:r/>
          </w:p>
        </w:tc>
      </w:tr>
      <w:tr>
        <w:trPr>
          <w:cantSplit/>
          <w:trHeight w:val="640"/>
        </w:trPr>
        <w:tc>
          <w:tcPr>
            <w:gridSpan w:val="6"/>
            <w:tcW w:w="9913" w:type="dxa"/>
            <w:vAlign w:val="center"/>
            <w:textDirection w:val="lrTb"/>
            <w:noWrap w:val="false"/>
          </w:tcPr>
          <w:p>
            <w:pPr>
              <w:jc w:val="left"/>
              <w:spacing w:line="0" w:lineRule="atLeast"/>
              <w:rPr>
                <w:rFonts w:hint="eastAsia" w:ascii="宋体" w:hAnsi="宋体" w:eastAsia="宋体"/>
                <w:sz w:val="22"/>
                <w:szCs w:val="22"/>
                <w:lang w:val="en-US" w:eastAsia="zh-CN"/>
              </w:rPr>
            </w:pPr>
            <w:r>
              <w:rPr>
                <w:rFonts w:hint="eastAsia" w:ascii="宋体" w:hAnsi="宋体"/>
                <w:sz w:val="22"/>
                <w:szCs w:val="22"/>
                <w:lang w:val="en-US" w:eastAsia="zh-CN"/>
              </w:rPr>
              <w:t xml:space="preserve">合计：</w:t>
            </w:r>
            <w:r/>
          </w:p>
        </w:tc>
      </w:tr>
    </w:tbl>
    <w:p>
      <w:pPr>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p>
    <w:p>
      <w:pPr>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p>
    <w:p>
      <w:pPr>
        <w:pStyle w:val="982"/>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p>
    <w:p>
      <w:pPr>
        <w:pStyle w:val="982"/>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p>
    <w:p>
      <w:pPr>
        <w:pStyle w:val="982"/>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82"/>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p>
    <w:p>
      <w:pPr>
        <w:pStyle w:val="982"/>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p>
    <w:p>
      <w:pPr>
        <w:pStyle w:val="982"/>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p>
    <w:p>
      <w:pPr>
        <w:pStyle w:val="982"/>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p>
    <w:p>
      <w:pPr>
        <w:pStyle w:val="982"/>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p>
    <w:p>
      <w:pPr>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p>
    <w:p>
      <w:pPr>
        <w:pStyle w:val="982"/>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p>
    <w:p>
      <w:pPr>
        <w:pStyle w:val="982"/>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p>
    <w:p>
      <w:pPr>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p>
    <w:p>
      <w:pPr>
        <w:pStyle w:val="982"/>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p>
    <w:p>
      <w:pPr>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p>
    <w:p>
      <w:pPr>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p>
    <w:p>
      <w:pPr>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hAnsi="宋体"/>
          <w:color w:val="000000"/>
          <w:u w:val="single"/>
          <w:lang w:val="en-US" w:eastAsia="zh-CN"/>
        </w:rPr>
        <w:t xml:space="preserve">    </w:t>
      </w:r>
      <w:r>
        <w:rPr>
          <w:rFonts w:hint="eastAsia" w:ascii="宋体" w:hAnsi="宋体" w:eastAsia="宋体" w:cs="Times New Roman"/>
          <w:color w:val="000000"/>
          <w:szCs w:val="21"/>
          <w:u w:val="single"/>
        </w:rPr>
        <w:t xml:space="preserve"> </w:t>
      </w:r>
      <w:r/>
    </w:p>
    <w:p>
      <w:pPr>
        <w:pStyle w:val="950"/>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p>
    <w:p>
      <w:pPr>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p>
    <w:p>
      <w:pPr>
        <w:ind w:firstLine="630"/>
        <w:spacing w:line="400" w:lineRule="exact"/>
        <w:rPr>
          <w:rFonts w:hint="eastAsia" w:ascii="宋体" w:hAnsi="宋体" w:eastAsia="宋体" w:cs="Times New Roman"/>
          <w:color w:val="000000"/>
          <w:szCs w:val="21"/>
          <w:highlight w:val="none"/>
          <w:u w:val="single"/>
        </w:rPr>
      </w:pPr>
      <w:r>
        <w:rPr>
          <w:rFonts w:hint="eastAsia" w:ascii="宋体" w:hAnsi="宋体" w:eastAsia="宋体" w:cs="Times New Roman"/>
          <w:color w:val="000000"/>
          <w:szCs w:val="21"/>
          <w:highlight w:val="none"/>
          <w:u w:val="none"/>
        </w:rPr>
        <w:t xml:space="preserve"> </w:t>
      </w:r>
      <w:r>
        <w:rPr>
          <w:rFonts w:hint="eastAsia" w:ascii="宋体" w:hAnsi="宋体" w:eastAsia="宋体" w:cs="Times New Roman"/>
          <w:color w:val="000000"/>
          <w:szCs w:val="21"/>
          <w:highlight w:val="none"/>
          <w:u w:val="none"/>
          <w:lang w:val="en-US" w:eastAsia="zh-CN"/>
        </w:rPr>
        <w:t xml:space="preserve">全额付款：</w:t>
      </w:r>
      <w:r>
        <w:rPr>
          <w:rFonts w:hint="eastAsia" w:ascii="宋体" w:hAnsi="宋体"/>
          <w:szCs w:val="21"/>
          <w:highlight w:val="none"/>
          <w:u w:val="single"/>
        </w:rPr>
        <w:t xml:space="preserve">合同签订完成，所有货物运送到指定地点并经</w:t>
      </w:r>
      <w:r>
        <w:rPr>
          <w:rFonts w:hint="eastAsia" w:ascii="宋体" w:hAnsi="宋体"/>
          <w:szCs w:val="21"/>
          <w:highlight w:val="none"/>
          <w:u w:val="single"/>
          <w:lang w:val="en-US" w:eastAsia="zh-CN"/>
        </w:rPr>
        <w:t xml:space="preserve">甲方</w:t>
      </w:r>
      <w:r>
        <w:rPr>
          <w:rFonts w:hint="eastAsia" w:ascii="宋体" w:hAnsi="宋体"/>
          <w:szCs w:val="21"/>
          <w:highlight w:val="none"/>
          <w:u w:val="single"/>
        </w:rPr>
        <w:t xml:space="preserve">验收通过合格后，</w:t>
      </w:r>
      <w:r>
        <w:rPr>
          <w:rFonts w:hint="eastAsia" w:ascii="宋体" w:hAnsi="宋体"/>
          <w:szCs w:val="21"/>
          <w:highlight w:val="none"/>
          <w:u w:val="single"/>
          <w:lang w:val="en-US" w:eastAsia="zh-CN"/>
        </w:rPr>
        <w:t xml:space="preserve">乙方</w:t>
      </w:r>
      <w:r>
        <w:rPr>
          <w:rFonts w:hint="eastAsia" w:ascii="宋体" w:hAnsi="宋体"/>
          <w:szCs w:val="21"/>
          <w:highlight w:val="none"/>
          <w:u w:val="single"/>
        </w:rPr>
        <w:t xml:space="preserve">提供正规发票，待财政拨款后一次性支付货款</w:t>
      </w:r>
      <w:r>
        <w:rPr>
          <w:rFonts w:hint="eastAsia" w:ascii="宋体" w:hAnsi="宋体"/>
          <w:szCs w:val="21"/>
          <w:highlight w:val="none"/>
          <w:u w:val="single"/>
          <w:lang w:eastAsia="zh-CN"/>
        </w:rPr>
        <w:t xml:space="preserve">（</w:t>
      </w:r>
      <w:r>
        <w:rPr>
          <w:rFonts w:hint="eastAsia" w:ascii="宋体" w:hAnsi="宋体"/>
          <w:szCs w:val="21"/>
          <w:highlight w:val="none"/>
          <w:u w:val="single"/>
          <w:lang w:val="en-US" w:eastAsia="zh-CN"/>
        </w:rPr>
        <w:t xml:space="preserve">不计息</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w:t>
      </w:r>
      <w:r/>
    </w:p>
    <w:p>
      <w:pPr>
        <w:ind w:firstLine="630"/>
        <w:spacing w:line="400" w:lineRule="exact"/>
        <w:rPr>
          <w:lang w:val="en-US"/>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eastAsia="宋体" w:cs="Times New Roman"/>
          <w:color w:val="000000"/>
          <w:szCs w:val="21"/>
          <w:u w:val="single"/>
          <w:lang w:val="en-US" w:eastAsia="zh-CN"/>
        </w:rPr>
        <w:t xml:space="preserve">          /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lang w:val="en-US" w:eastAsia="zh-CN"/>
        </w:rPr>
        <w:t xml:space="preserve">    /                                           </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lang w:val="en-US" w:eastAsia="zh-CN"/>
        </w:rPr>
        <w:t xml:space="preserve">    /                                          </w:t>
      </w:r>
      <w:r>
        <w:rPr>
          <w:rFonts w:hint="eastAsia" w:ascii="宋体" w:hAnsi="宋体"/>
          <w:szCs w:val="21"/>
          <w:u w:val="single"/>
        </w:rPr>
        <w:t xml:space="preserve"> </w:t>
      </w:r>
      <w:r>
        <w:rPr>
          <w:rFonts w:hint="eastAsia" w:ascii="宋体" w:hAnsi="宋体"/>
          <w:szCs w:val="21"/>
          <w:u w:val="single"/>
          <w:lang w:val="en-US" w:eastAsia="zh-CN"/>
        </w:rPr>
        <w:t xml:space="preserve"> </w:t>
      </w:r>
      <w:r/>
    </w:p>
    <w:p>
      <w:pPr>
        <w:numPr>
          <w:ilvl w:val="0"/>
          <w:numId w:val="5"/>
        </w:numPr>
        <w:ind w:firstLine="420"/>
        <w:spacing w:line="400" w:lineRule="exact"/>
        <w:rPr>
          <w:rFonts w:ascii="宋体" w:hAnsi="宋体" w:eastAsia="宋体" w:cs="Times New Roman"/>
          <w:b/>
          <w:color w:val="000000"/>
          <w:szCs w:val="21"/>
          <w:u w:val="single"/>
        </w:rPr>
      </w:pPr>
      <w:r>
        <w:rPr>
          <w:rFonts w:hint="eastAsia" w:ascii="宋体" w:hAnsi="宋体" w:eastAsia="宋体" w:cs="Times New Roman"/>
          <w:b/>
          <w:color w:val="000000"/>
          <w:szCs w:val="21"/>
        </w:rPr>
        <w:t xml:space="preserve">合同履行</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highlight w:val="none"/>
        </w:rPr>
        <w:t xml:space="preserve">：</w:t>
      </w:r>
      <w:r>
        <w:rPr>
          <w:rFonts w:hint="eastAsia" w:ascii="宋体" w:hAnsi="宋体" w:eastAsia="宋体" w:cs="宋体"/>
          <w:color w:val="000000" w:themeColor="text1"/>
          <w:szCs w:val="21"/>
          <w:highlight w:val="none"/>
          <w:u w:val="single"/>
          <w14:textFill>
            <w14:solidFill>
              <w14:schemeClr w14:val="tx1"/>
            </w14:solidFill>
          </w14:textFill>
        </w:rPr>
        <w:t xml:space="preserve">合同签订后，乙方按甲方配送清单在15天内送至甲方指定的各乡镇</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zh-CN"/>
          <w14:textFill>
            <w14:solidFill>
              <w14:schemeClr w14:val="tx1"/>
            </w14:solidFill>
          </w14:textFill>
        </w:rPr>
        <w:t xml:space="preserve">本项目履行过程中（包括但不限于供货产品调运过程），所有的安全问题由乙方自行负责</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6"/>
        </w:numPr>
        <w:ind w:left="0" w:firstLine="420"/>
        <w:spacing w:line="400" w:lineRule="exac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履约地点</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海门区各乡镇</w:t>
      </w:r>
      <w:r>
        <w:rPr>
          <w:rFonts w:hint="eastAsia" w:ascii="宋体" w:hAnsi="宋体" w:eastAsia="宋体" w:cs="宋体"/>
          <w:bCs/>
          <w:color w:val="000000" w:themeColor="text1"/>
          <w:szCs w:val="21"/>
          <w:highlight w:val="none"/>
          <w:u w:val="single"/>
          <w14:textFill>
            <w14:solidFill>
              <w14:schemeClr w14:val="tx1"/>
            </w14:solidFill>
          </w14:textFill>
        </w:rPr>
        <w:t xml:space="preserve">。乙方须提前通知所属区镇物资接收人，以便进行现场监督、交接。乙方须对每车的交货现场进行拍照。照片包含车辆全貌、车牌、货物、物资接收人等内容。每车或每批次必须有跟车货运单，经物资接受人签名确认。</w:t>
      </w:r>
      <w:r/>
    </w:p>
    <w:p>
      <w:pPr>
        <w:numPr>
          <w:ilvl w:val="0"/>
          <w:numId w:val="6"/>
        </w:numPr>
        <w:ind w:left="0" w:firstLine="420"/>
        <w:spacing w:line="400" w:lineRule="exact"/>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履约担保：</w:t>
      </w:r>
      <w:r>
        <w:rPr>
          <w:rFonts w:hint="eastAsia" w:ascii="宋体" w:hAnsi="宋体" w:eastAsia="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eastAsia="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eastAsia="宋体" w:cs="宋体"/>
          <w:color w:val="000000"/>
          <w:szCs w:val="21"/>
          <w:highlight w:val="none"/>
        </w:rPr>
        <w:t xml:space="preserve">否</w:t>
      </w:r>
      <w:r/>
    </w:p>
    <w:p>
      <w:pPr>
        <w:pStyle w:val="982"/>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lang w:val="en-US" w:eastAsia="zh-CN"/>
        </w:rPr>
        <w:t xml:space="preserve"> </w:t>
      </w:r>
      <w:r>
        <w:rPr>
          <w:rFonts w:hint="eastAsia" w:ascii="宋体" w:hAnsi="宋体" w:eastAsia="宋体" w:cs="宋体"/>
          <w:bCs/>
          <w:color w:val="000000"/>
          <w:sz w:val="21"/>
          <w:u w:val="single"/>
        </w:rPr>
        <w:t xml:space="preserve">                   </w:t>
      </w:r>
      <w:r/>
    </w:p>
    <w:p>
      <w:pPr>
        <w:pStyle w:val="982"/>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hint="eastAsia" w:ascii="宋体" w:hAnsi="宋体" w:eastAsia="宋体" w:cs="宋体"/>
          <w:bCs/>
          <w:color w:val="000000"/>
          <w:sz w:val="21"/>
          <w:u w:val="single"/>
          <w:lang w:val="en-US" w:eastAsia="zh-CN"/>
        </w:rPr>
        <w:t xml:space="preserve"> </w:t>
      </w:r>
      <w:r>
        <w:rPr>
          <w:rFonts w:hint="eastAsia" w:ascii="宋体" w:hAnsi="宋体" w:eastAsia="宋体" w:cs="宋体"/>
          <w:bCs/>
          <w:color w:val="000000"/>
          <w:sz w:val="21"/>
          <w:u w:val="single"/>
        </w:rPr>
        <w:t xml:space="preserve">                   </w:t>
      </w:r>
      <w:r/>
    </w:p>
    <w:p>
      <w:pPr>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 xml:space="preserve">/</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rPr>
          <w:rFonts w:hint="eastAsia" w:ascii="宋体" w:hAnsi="宋体" w:eastAsia="宋体" w:cs="宋体"/>
          <w:bCs/>
          <w:color w:val="000000"/>
          <w:szCs w:val="21"/>
          <w:u w:val="single"/>
          <w:lang w:val="en-US" w:eastAsia="zh-CN"/>
        </w:rPr>
        <w:t xml:space="preserve">/</w:t>
      </w:r>
      <w:r>
        <w:rPr>
          <w:rFonts w:hint="eastAsia" w:ascii="宋体" w:hAnsi="宋体" w:eastAsia="宋体" w:cs="宋体"/>
          <w:bCs/>
          <w:color w:val="000000"/>
          <w:szCs w:val="21"/>
          <w:u w:val="single"/>
        </w:rPr>
        <w:t xml:space="preserve">                     </w:t>
      </w:r>
      <w:r/>
    </w:p>
    <w:p>
      <w:pPr>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w:t>
      </w:r>
      <w:r>
        <w:rPr>
          <w:rFonts w:hint="eastAsia" w:ascii="宋体" w:hAnsi="宋体" w:eastAsia="宋体" w:cs="宋体"/>
          <w:color w:val="000000"/>
          <w:szCs w:val="21"/>
          <w:u w:val="single"/>
        </w:rPr>
        <w:t xml:space="preserve">          </w:t>
      </w:r>
      <w:r/>
    </w:p>
    <w:p>
      <w:pPr>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p>
    <w:p>
      <w:pPr>
        <w:numPr>
          <w:ilvl w:val="0"/>
          <w:numId w:val="7"/>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þ</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p>
    <w:p>
      <w:pPr>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p>
    <w:p>
      <w:pPr>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p>
    <w:p>
      <w:p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p>
    <w:p>
      <w:pPr>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p>
    <w:p>
      <w:pPr>
        <w:ind w:firstLine="420"/>
        <w:spacing w:line="400" w:lineRule="exact"/>
        <w:rPr>
          <w:rFonts w:ascii="宋体" w:hAnsi="宋体" w:eastAsia="宋体" w:cs="Times New Roman"/>
          <w:bCs/>
          <w:color w:val="000000"/>
          <w:szCs w:val="21"/>
          <w:lang w:val="en-US" w:eastAsia="zh-CN"/>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lang w:val="en-US" w:eastAsia="zh-CN"/>
        </w:rPr>
        <w:t xml:space="preserve">                                                        </w:t>
      </w:r>
      <w:r/>
    </w:p>
    <w:p>
      <w:pPr>
        <w:ind w:firstLine="420"/>
        <w:spacing w:line="400" w:lineRule="exact"/>
        <w:rPr>
          <w:rFonts w:ascii="宋体" w:hAnsi="宋体" w:eastAsia="宋体" w:cs="Times New Roman"/>
          <w:bCs/>
          <w:color w:val="000000"/>
          <w:szCs w:val="21"/>
          <w:u w:val="single"/>
          <w:lang w:val="en-US" w:eastAsia="zh-CN"/>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由</w:t>
      </w:r>
      <w:r>
        <w:rPr>
          <w:rFonts w:hint="eastAsia" w:ascii="宋体" w:hAnsi="宋体" w:cs="Times New Roman"/>
          <w:bCs/>
          <w:color w:val="000000"/>
          <w:szCs w:val="21"/>
          <w:u w:val="single"/>
          <w:lang w:val="en-US" w:eastAsia="zh-CN"/>
        </w:rPr>
        <w:t xml:space="preserve">甲方</w:t>
      </w:r>
      <w:r>
        <w:rPr>
          <w:rFonts w:hint="eastAsia" w:ascii="宋体" w:hAnsi="宋体" w:eastAsia="宋体" w:cs="Times New Roman"/>
          <w:bCs/>
          <w:color w:val="000000"/>
          <w:szCs w:val="21"/>
          <w:u w:val="single"/>
        </w:rPr>
        <w:t xml:space="preserve">按相关要求组织验收。甲方组织现场抽样送检，检测结果不合格的，甲方有权解除合同，造成的损失由乙方承担。</w:t>
      </w:r>
      <w:r>
        <w:rPr>
          <w:rFonts w:hint="eastAsia" w:ascii="宋体" w:hAnsi="宋体" w:eastAsia="宋体" w:cs="Times New Roman"/>
          <w:bCs/>
          <w:color w:val="000000"/>
          <w:szCs w:val="21"/>
          <w:u w:val="single"/>
          <w:lang w:val="en-US" w:eastAsia="zh-CN"/>
        </w:rPr>
        <w:t xml:space="preserve"> </w:t>
      </w:r>
      <w:r/>
    </w:p>
    <w:p>
      <w:pPr>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p>
    <w:p>
      <w:pPr>
        <w:pStyle w:val="982"/>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þ</w:t>
      </w:r>
      <w:r>
        <w:rPr>
          <w:rFonts w:hint="eastAsia" w:ascii="宋体" w:hAnsi="宋体" w:eastAsia="宋体" w:cs="宋体"/>
          <w:bCs/>
          <w:color w:val="000000"/>
          <w:sz w:val="21"/>
        </w:rPr>
        <w:t xml:space="preserve">否</w:t>
      </w:r>
      <w:r/>
    </w:p>
    <w:p>
      <w:pPr>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p>
    <w:p>
      <w:pPr>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p>
    <w:p>
      <w:pPr>
        <w:pStyle w:val="982"/>
        <w:ind w:firstLine="420"/>
        <w:rPr>
          <w:rFonts w:ascii="宋体" w:hAnsi="宋体" w:eastAsia="宋体" w:cs="宋体"/>
          <w:color w:val="000000"/>
          <w:sz w:val="21"/>
        </w:rPr>
      </w:pPr>
      <w:r>
        <w:rPr>
          <w:rFonts w:hint="eastAsia" w:ascii="宋体" w:hAnsi="宋体" w:eastAsia="宋体" w:cs="宋体"/>
          <w:color w:val="000000"/>
          <w:sz w:val="21"/>
        </w:rPr>
        <w:t xml:space="preserve">（8）国家法律、行政法规和规章制度规定或合同约定的作为合同组成部分的其他文件</w:t>
      </w:r>
      <w:r/>
    </w:p>
    <w:p>
      <w:pPr>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双方签字盖章后  </w:t>
      </w:r>
      <w:r>
        <w:rPr>
          <w:rFonts w:hint="eastAsia" w:ascii="宋体" w:hAnsi="宋体" w:eastAsia="宋体" w:cs="Times New Roman"/>
          <w:color w:val="000000"/>
          <w:szCs w:val="21"/>
        </w:rPr>
        <w:t xml:space="preserve">生效。</w:t>
      </w:r>
      <w:r/>
    </w:p>
    <w:p>
      <w:pPr>
        <w:numPr>
          <w:ilvl w:val="0"/>
          <w:numId w:val="5"/>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p>
    <w:p>
      <w:pPr>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p>
    <w:p>
      <w:pPr>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p>
    <w:p>
      <w:pPr>
        <w:pStyle w:val="950"/>
        <w:rPr>
          <w:rFonts w:eastAsia="宋体" w:cs="Times New Roman"/>
          <w:color w:val="000000"/>
          <w:lang w:eastAsia="zh-CN"/>
        </w:rPr>
      </w:pPr>
      <w:r>
        <w:rPr>
          <w:rFonts w:eastAsia="宋体" w:cs="Times New Roman"/>
          <w:color w:val="000000"/>
          <w:lang w:eastAsia="zh-CN"/>
        </w:rPr>
      </w:r>
      <w:r/>
    </w:p>
    <w:tbl>
      <w:tblPr>
        <w:tblStyle w:val="69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904"/>
        <w:gridCol w:w="1178"/>
        <w:gridCol w:w="3609"/>
      </w:tblGrid>
      <w:tr>
        <w:trPr>
          <w:jc w:val="center"/>
          <w:trHeight w:val="490"/>
        </w:trPr>
        <w:tc>
          <w:tcPr>
            <w:gridSpan w:val="2"/>
            <w:tcW w:w="5030"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p>
        </w:tc>
        <w:tc>
          <w:tcPr>
            <w:gridSpan w:val="2"/>
            <w:tcW w:w="4787" w:type="dxa"/>
            <w:vAlign w:val="center"/>
            <w:textDirection w:val="lrTb"/>
            <w:noWrap w:val="false"/>
          </w:tcPr>
          <w:p>
            <w:pPr>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p>
        </w:tc>
      </w:tr>
      <w:tr>
        <w:trPr>
          <w:jc w:val="center"/>
          <w:trHeight w:val="917"/>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436" w:type="dxa"/>
            <w:vAlign w:val="center"/>
            <w:vMerge w:val="restart"/>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p>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jc w:val="center"/>
          <w:trHeight w:val="483"/>
        </w:trPr>
        <w:tc>
          <w:tcPr>
            <w:tcW w:w="112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483"/>
        </w:trPr>
        <w:tc>
          <w:tcPr>
            <w:tcW w:w="112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p>
        </w:tc>
        <w:tc>
          <w:tcPr>
            <w:tcW w:w="1259" w:type="dxa"/>
            <w:vAlign w:val="center"/>
            <w:textDirection w:val="lrTb"/>
            <w:noWrap w:val="false"/>
          </w:tcPr>
          <w:p>
            <w:pPr>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jc w:val="center"/>
          <w:trHeight w:val="586"/>
        </w:trPr>
        <w:tc>
          <w:tcPr>
            <w:gridSpan w:val="4"/>
            <w:tcW w:w="9817" w:type="dxa"/>
            <w:vAlign w:val="center"/>
            <w:textDirection w:val="lrTb"/>
            <w:noWrap w:val="false"/>
          </w:tcPr>
          <w:p>
            <w:pPr>
              <w:pStyle w:val="900"/>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p>
        </w:tc>
      </w:tr>
    </w:tbl>
    <w:p>
      <w:pPr>
        <w:jc w:val="center"/>
        <w:keepLines w:val="0"/>
        <w:keepNext w:val="0"/>
        <w:pageBreakBefore w:val="0"/>
        <w:spacing w:line="240"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p>
    <w:p>
      <w:pPr>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p>
    <w:p>
      <w:pPr>
        <w:numPr>
          <w:ilvl w:val="0"/>
          <w:numId w:val="8"/>
        </w:numPr>
        <w:jc w:val="left"/>
        <w:spacing w:line="400" w:lineRule="exact"/>
        <w:rPr>
          <w:rFonts w:ascii="宋体" w:hAnsi="宋体" w:eastAsia="宋体" w:cs="Times New Roman"/>
          <w:b/>
          <w:bCs/>
          <w:color w:val="000000"/>
          <w:sz w:val="24"/>
        </w:rPr>
      </w:pPr>
      <w:r>
        <w:rPr>
          <w:rFonts w:hint="eastAsia" w:ascii="宋体" w:hAnsi="宋体" w:eastAsia="宋体" w:cs="Times New Roman"/>
          <w:b/>
          <w:color w:val="000000"/>
          <w:sz w:val="24"/>
        </w:rPr>
        <w:t xml:space="preserve">合同标的及金额</w:t>
      </w:r>
      <w:r/>
    </w:p>
    <w:p>
      <w:pPr>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p>
    <w:p>
      <w:pPr>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keepLines w:val="0"/>
        <w:keepNext w:val="0"/>
        <w:pageBreakBefore w:val="0"/>
        <w:spacing w:line="400" w:lineRule="exact"/>
        <w:widowControl w:val="off"/>
        <w:rPr>
          <w:rFonts w:hint="eastAsia" w:ascii="宋体" w:hAnsi="宋体" w:eastAsia="宋体" w:cs="宋体"/>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ind w:firstLine="420"/>
        <w:jc w:val="left"/>
        <w:keepLines w:val="0"/>
        <w:keepNext w:val="0"/>
        <w:pageBreakBefore w:val="0"/>
        <w:spacing w:line="400" w:lineRule="exact"/>
        <w:widowControl w:val="off"/>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p>
    <w:p>
      <w:pPr>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p>
    <w:p>
      <w:pPr>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p>
    <w:p>
      <w:pPr>
        <w:ind w:left="420" w:firstLine="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乙方</w:t>
      </w:r>
      <w:r>
        <w:rPr>
          <w:rFonts w:hint="eastAsia" w:ascii="宋体" w:hAnsi="宋体" w:eastAsia="宋体" w:cs="Times New Roman"/>
          <w:color w:val="000000"/>
          <w:szCs w:val="21"/>
          <w:lang w:val="en-US" w:eastAsia="zh-CN"/>
        </w:rPr>
        <w:t xml:space="preserve">应当以数字人民币、支票、汇票或者金融机构、担保机构出具的保函等非现金形式提交</w:t>
      </w: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p>
    <w:p>
      <w:pPr>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p>
    <w:p>
      <w:pPr>
        <w:pStyle w:val="982"/>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p>
    <w:p>
      <w:pPr>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p>
    <w:p>
      <w:pPr>
        <w:numPr>
          <w:ilvl w:val="0"/>
          <w:numId w:val="10"/>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p>
    <w:p>
      <w:pPr>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2"/>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p>
    <w:p>
      <w:pPr>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p>
    <w:p>
      <w:pPr>
        <w:pStyle w:val="982"/>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p>
    <w:p>
      <w:pPr>
        <w:pStyle w:val="982"/>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p>
    <w:p>
      <w:pPr>
        <w:pStyle w:val="982"/>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2"/>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p>
    <w:p>
      <w:pPr>
        <w:pStyle w:val="982"/>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p>
    <w:p>
      <w:pPr>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p>
    <w:p>
      <w:pPr>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p>
    <w:p>
      <w:pPr>
        <w:pStyle w:val="982"/>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p>
    <w:p>
      <w:pPr>
        <w:pStyle w:val="982"/>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p>
    <w:p>
      <w:pPr>
        <w:pStyle w:val="982"/>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p>
    <w:p>
      <w:pPr>
        <w:pStyle w:val="982"/>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p>
    <w:p>
      <w:pPr>
        <w:ind w:firstLine="420"/>
        <w:jc w:val="left"/>
        <w:keepLines w:val="0"/>
        <w:keepNext w:val="0"/>
        <w:pageBreakBefore w:val="0"/>
        <w:spacing w:line="340" w:lineRule="exact"/>
        <w:widowControl w:val="off"/>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p>
    <w:p>
      <w:pPr>
        <w:jc w:val="left"/>
        <w:keepLines w:val="0"/>
        <w:keepNext w:val="0"/>
        <w:pageBreakBefore w:val="0"/>
        <w:spacing w:line="340" w:lineRule="exact"/>
        <w:widowControl w:val="off"/>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p>
    <w:p>
      <w:pPr>
        <w:jc w:val="center"/>
        <w:rPr>
          <w:rFonts w:ascii="黑体" w:hAnsi="华文中宋" w:eastAsia="黑体" w:cs="Times New Roman"/>
          <w:b/>
          <w:bCs/>
          <w:color w:val="000000"/>
          <w:sz w:val="28"/>
          <w:szCs w:val="28"/>
        </w:rPr>
      </w:pPr>
      <w:r>
        <w:rPr>
          <w:rFonts w:hint="eastAsia" w:ascii="黑体" w:hAnsi="华文中宋" w:eastAsia="黑体" w:cs="Times New Roman"/>
          <w:b/>
          <w:bCs/>
          <w:color w:val="000000"/>
          <w:sz w:val="28"/>
          <w:szCs w:val="28"/>
        </w:rPr>
        <w:t xml:space="preserve">第三节 政府采购合同专用条款</w:t>
      </w:r>
      <w:r/>
    </w:p>
    <w:tbl>
      <w:tblPr>
        <w:tblStyle w:val="697"/>
        <w:tblW w:w="4999"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879"/>
        <w:gridCol w:w="2036"/>
        <w:gridCol w:w="6045"/>
      </w:tblGrid>
      <w:tr>
        <w:trPr>
          <w:trHeight w:val="559"/>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09"/>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90"/>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94"/>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szCs w:val="21"/>
              </w:rPr>
              <w:t xml:space="preserve">为乙方履行合同提供必要且合理的配合和协助</w:t>
            </w:r>
            <w:r/>
          </w:p>
        </w:tc>
      </w:tr>
      <w:tr>
        <w:trPr>
          <w:trHeight w:val="582"/>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p>
        </w:tc>
        <w:tc>
          <w:tcPr>
            <w:tcW w:w="3034" w:type="dxa"/>
            <w:vAlign w:val="center"/>
            <w:textDirection w:val="lrTb"/>
            <w:noWrap w:val="false"/>
          </w:tcPr>
          <w:p>
            <w:pPr>
              <w:jc w:val="left"/>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1、乙方保证对其出售的货物享有合法的权利。</w:t>
            </w:r>
            <w:r/>
          </w:p>
          <w:p>
            <w:pPr>
              <w:jc w:val="left"/>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2、乙方保证对其出售的货物上不存在任何未曾向甲方透露的担保物权，如抵押权、质押权、留置权。</w:t>
            </w:r>
            <w:r/>
          </w:p>
          <w:p>
            <w:pPr>
              <w:jc w:val="left"/>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3、乙方保证对其出售的货物或其任何一部分没有侵犯第三方的专利权、版权、商标权或其他权利。</w:t>
            </w:r>
            <w:r/>
          </w:p>
          <w:p>
            <w:pPr>
              <w:jc w:val="left"/>
              <w:rPr>
                <w:rFonts w:hint="eastAsia" w:ascii="宋体" w:hAnsi="宋体" w:cs="宋体"/>
                <w:color w:val="000000"/>
                <w:lang w:val="en-US" w:eastAsia="zh-CN"/>
              </w:rPr>
            </w:pPr>
            <w:r>
              <w:rPr>
                <w:rFonts w:hint="default" w:ascii="宋体" w:hAnsi="宋体" w:eastAsia="宋体" w:cs="宋体"/>
                <w:color w:val="auto"/>
                <w:lang w:val="en-US" w:eastAsia="zh-CN"/>
              </w:rPr>
              <w:t xml:space="preserve">4、如甲方在使用该货物构成上述侵权的，则由乙方承担全部责任。</w:t>
            </w:r>
            <w:r/>
          </w:p>
        </w:tc>
      </w:tr>
      <w:tr>
        <w:trPr>
          <w:trHeight w:val="617"/>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374"/>
        </w:trPr>
        <w:tc>
          <w:tcPr>
            <w:tcW w:w="943" w:type="dxa"/>
            <w:vAlign w:val="center"/>
            <w:vMerge w:val="restart"/>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p>
        </w:tc>
        <w:tc>
          <w:tcPr>
            <w:tcW w:w="1022"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包装特殊要求</w:t>
            </w:r>
            <w:r/>
          </w:p>
        </w:tc>
        <w:tc>
          <w:tcPr>
            <w:tcW w:w="3034" w:type="dxa"/>
            <w:vAlign w:val="center"/>
            <w:textDirection w:val="lrTb"/>
            <w:noWrap w:val="false"/>
          </w:tcPr>
          <w:p>
            <w:pP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产品需按甲方实际需求包装，不可散装</w:t>
            </w:r>
            <w:r/>
          </w:p>
        </w:tc>
      </w:tr>
      <w:tr>
        <w:trPr>
          <w:trHeight w:val="389"/>
        </w:trPr>
        <w:tc>
          <w:tcPr>
            <w:tcW w:w="943" w:type="dxa"/>
            <w:vAlign w:val="center"/>
            <w:vMerge w:val="continue"/>
            <w:textDirection w:val="lrTb"/>
            <w:noWrap w:val="false"/>
          </w:tcPr>
          <w:p>
            <w:pPr>
              <w:jc w:val="center"/>
              <w:rPr>
                <w:rFonts w:ascii="宋体" w:hAnsi="宋体" w:eastAsia="宋体" w:cs="Times New Roman"/>
                <w:color w:val="000000"/>
                <w:szCs w:val="21"/>
              </w:rPr>
            </w:pPr>
            <w:r>
              <w:rPr>
                <w:rFonts w:ascii="宋体" w:hAnsi="宋体" w:eastAsia="宋体" w:cs="Times New Roman"/>
                <w:color w:val="000000"/>
                <w:szCs w:val="21"/>
              </w:rPr>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p>
        </w:tc>
        <w:tc>
          <w:tcPr>
            <w:tcW w:w="3034"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612"/>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p>
        </w:tc>
        <w:tc>
          <w:tcPr>
            <w:tcW w:w="3034"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auto"/>
                <w:lang w:val="en-US" w:eastAsia="zh-CN"/>
              </w:rPr>
              <w:t xml:space="preserve">选择运输风险小、运费低、距离短的运输路线</w:t>
            </w:r>
            <w:r/>
          </w:p>
        </w:tc>
      </w:tr>
      <w:tr>
        <w:trPr>
          <w:trHeight w:val="543"/>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p>
        </w:tc>
        <w:tc>
          <w:tcPr>
            <w:tcW w:w="3034" w:type="dxa"/>
            <w:vAlign w:val="center"/>
            <w:textDirection w:val="lrTb"/>
            <w:noWrap w:val="false"/>
          </w:tcPr>
          <w:p>
            <w:pPr>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p>
        </w:tc>
      </w:tr>
      <w:tr>
        <w:trPr>
          <w:trHeight w:val="481"/>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p>
        </w:tc>
        <w:tc>
          <w:tcPr>
            <w:tcW w:w="1022"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质量保证期</w:t>
            </w:r>
            <w:r/>
          </w:p>
        </w:tc>
        <w:tc>
          <w:tcPr>
            <w:tcW w:w="3034"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auto"/>
                <w:szCs w:val="21"/>
                <w:highlight w:val="none"/>
                <w:lang w:val="en-US" w:eastAsia="zh-CN"/>
              </w:rPr>
              <w:t xml:space="preserve">质保期：所供货物产品质量保证期不少于24个月（自生产日期开始），且必须为采购合同签订年度当年生产批次。</w:t>
            </w:r>
            <w:r/>
          </w:p>
        </w:tc>
      </w:tr>
      <w:tr>
        <w:trPr>
          <w:trHeight w:val="90"/>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p>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p>
        </w:tc>
        <w:tc>
          <w:tcPr>
            <w:tcW w:w="3034"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w:t>
            </w:r>
            <w:r/>
          </w:p>
        </w:tc>
      </w:tr>
      <w:tr>
        <w:trPr>
          <w:trHeight w:val="640"/>
        </w:trPr>
        <w:tc>
          <w:tcPr>
            <w:tcW w:w="943" w:type="dxa"/>
            <w:vAlign w:val="center"/>
            <w:textDirection w:val="lrTb"/>
            <w:noWrap w:val="false"/>
          </w:tcPr>
          <w:p>
            <w:pPr>
              <w:jc w:val="center"/>
              <w:rPr>
                <w:rFonts w:ascii="宋体" w:hAnsi="宋体" w:eastAsia="宋体" w:cs="宋体"/>
                <w:color w:val="000000"/>
                <w:szCs w:val="21"/>
              </w:rPr>
            </w:pPr>
            <w:r>
              <w:rPr>
                <w:rFonts w:hint="eastAsia" w:ascii="宋体" w:hAnsi="宋体" w:eastAsia="宋体" w:cs="宋体"/>
                <w:color w:val="000000"/>
                <w:szCs w:val="21"/>
              </w:rPr>
              <w:t xml:space="preserve">第二节</w:t>
            </w:r>
            <w:r/>
          </w:p>
          <w:p>
            <w:pPr>
              <w:pStyle w:val="982"/>
              <w:ind w:firstLine="0"/>
              <w:jc w:val="center"/>
              <w:rPr>
                <w:color w:val="000000"/>
              </w:rPr>
            </w:pPr>
            <w:r>
              <w:rPr>
                <w:rFonts w:hint="eastAsia" w:ascii="宋体" w:hAnsi="宋体" w:eastAsia="宋体" w:cs="宋体"/>
                <w:color w:val="000000"/>
              </w:rPr>
              <w:t xml:space="preserve">第11.1款</w:t>
            </w:r>
            <w:r/>
          </w:p>
        </w:tc>
        <w:tc>
          <w:tcPr>
            <w:tcW w:w="1022" w:type="dxa"/>
            <w:vAlign w:val="center"/>
            <w:textDirection w:val="lrTb"/>
            <w:noWrap w:val="false"/>
          </w:tcPr>
          <w:p>
            <w:pPr>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32"/>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p>
        </w:tc>
        <w:tc>
          <w:tcPr>
            <w:tcW w:w="1022"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合同价款支付时间</w:t>
            </w:r>
            <w:r/>
          </w:p>
        </w:tc>
        <w:tc>
          <w:tcPr>
            <w:tcW w:w="3034" w:type="dxa"/>
            <w:vAlign w:val="center"/>
            <w:textDirection w:val="lrTb"/>
            <w:noWrap w:val="false"/>
          </w:tcPr>
          <w:p>
            <w:pPr>
              <w:numPr>
                <w:ilvl w:val="0"/>
                <w:numId w:val="0"/>
              </w:numPr>
              <w:jc w:val="left"/>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eastAsia="zh-CN"/>
              </w:rPr>
              <w:t xml:space="preserve">合同签订完成，所有货物运送到指定地点并经甲方验收通过合格后，乙方提供正规发票，待财政拨款后一次性支付货款。</w:t>
            </w:r>
            <w:r/>
          </w:p>
        </w:tc>
      </w:tr>
      <w:tr>
        <w:trPr>
          <w:trHeight w:val="578"/>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736"/>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p>
        </w:tc>
        <w:tc>
          <w:tcPr>
            <w:tcW w:w="1022"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履约保证金退还时间及逾期退还的违约金</w:t>
            </w:r>
            <w:r/>
          </w:p>
        </w:tc>
        <w:tc>
          <w:tcPr>
            <w:tcW w:w="3034" w:type="dxa"/>
            <w:vAlign w:val="center"/>
            <w:textDirection w:val="lrTb"/>
            <w:noWrap w:val="false"/>
          </w:tcPr>
          <w:p>
            <w:pPr>
              <w:jc w:val="left"/>
              <w:rPr>
                <w:rFonts w:hint="eastAsia" w:ascii="宋体" w:hAnsi="宋体" w:eastAsia="宋体" w:cs="Times New Roman"/>
                <w:color w:val="000000"/>
                <w:szCs w:val="21"/>
                <w:highlight w:val="none"/>
                <w:lang w:eastAsia="zh-CN"/>
              </w:rPr>
            </w:pPr>
            <w:r>
              <w:rPr>
                <w:rFonts w:hint="eastAsia" w:ascii="宋体" w:hAnsi="宋体" w:eastAsia="宋体" w:cs="Times New Roman"/>
                <w:color w:val="auto"/>
                <w:szCs w:val="21"/>
                <w:highlight w:val="none"/>
              </w:rPr>
              <w:t xml:space="preserve">履约保证金</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u w:val="none"/>
                <w:lang w:val="en-US" w:eastAsia="zh-CN"/>
              </w:rPr>
              <w:t xml:space="preserve">元</w:t>
            </w:r>
            <w:r>
              <w:rPr>
                <w:rFonts w:hint="eastAsia" w:ascii="宋体" w:hAnsi="宋体" w:eastAsia="宋体" w:cs="Times New Roman"/>
                <w:color w:val="auto"/>
                <w:szCs w:val="21"/>
                <w:highlight w:val="none"/>
              </w:rPr>
              <w:t xml:space="preserve">缴纳至甲方指定账户，待履约完成经甲方组织验收合格后退还</w:t>
            </w:r>
            <w:r/>
          </w:p>
        </w:tc>
      </w:tr>
      <w:tr>
        <w:trPr>
          <w:trHeight w:val="547"/>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29"/>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59"/>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p>
        </w:tc>
        <w:tc>
          <w:tcPr>
            <w:tcW w:w="1022" w:type="dxa"/>
            <w:vAlign w:val="center"/>
            <w:textDirection w:val="lrTb"/>
            <w:noWrap w:val="false"/>
          </w:tcPr>
          <w:p>
            <w:pPr>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乙方提供的其他服务</w:t>
            </w:r>
            <w:r/>
          </w:p>
        </w:tc>
        <w:tc>
          <w:tcPr>
            <w:tcW w:w="3034" w:type="dxa"/>
            <w:vAlign w:val="center"/>
            <w:textDirection w:val="lrTb"/>
            <w:noWrap w:val="false"/>
          </w:tcPr>
          <w:p>
            <w:pPr>
              <w:jc w:val="left"/>
              <w:rPr>
                <w:rFonts w:hint="default"/>
                <w:highlight w:val="none"/>
                <w:lang w:val="en-US" w:eastAsia="zh-CN"/>
              </w:rPr>
            </w:pPr>
            <w:r>
              <w:rPr>
                <w:rFonts w:hint="default"/>
                <w:highlight w:val="none"/>
                <w:lang w:val="en-US" w:eastAsia="zh-CN"/>
              </w:rPr>
              <w:t xml:space="preserve">乙方供货时需提供第三方具有国家认可的检测机构出具的本批次产品质量检测报告原件备查，并提供复印件供甲方留存。</w:t>
            </w:r>
            <w:r/>
          </w:p>
        </w:tc>
      </w:tr>
      <w:tr>
        <w:trPr>
          <w:trHeight w:val="544"/>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p>
        </w:tc>
        <w:tc>
          <w:tcPr>
            <w:tcW w:w="3034" w:type="dxa"/>
            <w:vAlign w:val="center"/>
            <w:textDirection w:val="lrTb"/>
            <w:noWrap w:val="false"/>
          </w:tcPr>
          <w:p>
            <w:pPr>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p>
        </w:tc>
      </w:tr>
      <w:tr>
        <w:trPr>
          <w:trHeight w:val="545"/>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p>
        </w:tc>
        <w:tc>
          <w:tcPr>
            <w:tcW w:w="3034" w:type="dxa"/>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532"/>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p>
        </w:tc>
        <w:tc>
          <w:tcPr>
            <w:tcW w:w="3034" w:type="dxa"/>
            <w:vAlign w:val="center"/>
            <w:textDirection w:val="lrTb"/>
            <w:noWrap w:val="false"/>
          </w:tcPr>
          <w:p>
            <w:pPr>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p>
        </w:tc>
      </w:tr>
      <w:tr>
        <w:trPr>
          <w:trHeight w:val="876"/>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p>
        </w:tc>
        <w:tc>
          <w:tcPr>
            <w:tcW w:w="3034" w:type="dxa"/>
            <w:vAlign w:val="center"/>
            <w:textDirection w:val="lrTb"/>
            <w:noWrap w:val="false"/>
          </w:tcPr>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任何一方违约,均须依照下列约定向对方支付违约金。</w:t>
            </w:r>
            <w:r/>
          </w:p>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1.甲方不接受交货，按照违约部分货款总额的百分之五结算。</w:t>
            </w:r>
            <w:r/>
          </w:p>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2.乙方不能交货,按照违约部分货款总额的百分之五结算。</w:t>
            </w:r>
            <w:r/>
          </w:p>
          <w:p>
            <w:pPr>
              <w:jc w:val="left"/>
              <w:rPr>
                <w:rFonts w:hint="eastAsia" w:ascii="宋体" w:hAnsi="宋体" w:eastAsia="宋体" w:cs="Times New Roman"/>
                <w:color w:val="000000"/>
                <w:szCs w:val="21"/>
                <w:u w:val="none"/>
              </w:rPr>
            </w:pPr>
            <w:r>
              <w:rPr>
                <w:rFonts w:hint="eastAsia" w:ascii="宋体" w:hAnsi="宋体" w:eastAsia="宋体" w:cs="Times New Roman"/>
                <w:color w:val="000000"/>
                <w:szCs w:val="21"/>
                <w:u w:val="none"/>
              </w:rPr>
              <w:t xml:space="preserve">3.乙方逾期交货,则按照逾期部分货款总额的每日万分之十结算。</w:t>
            </w:r>
            <w:r/>
          </w:p>
          <w:p>
            <w:pPr>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4.乙方交付的货物质量存在重大问题（标的检测不合格）,甲方有权视为乙方不能交货,并由乙方承担相应的违约责任。</w:t>
            </w:r>
            <w:r/>
          </w:p>
        </w:tc>
      </w:tr>
      <w:tr>
        <w:trPr>
          <w:trHeight w:val="90"/>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p>
        </w:tc>
        <w:tc>
          <w:tcPr>
            <w:tcW w:w="3034" w:type="dxa"/>
            <w:vAlign w:val="center"/>
            <w:textDirection w:val="lrTb"/>
            <w:noWrap w:val="false"/>
          </w:tcPr>
          <w:p>
            <w:pPr>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本合同在履行过程中发生争议的, 由双方当事人协商解决，若未能达成一致意见，则可向</w:t>
            </w:r>
            <w:r>
              <w:rPr>
                <w:rFonts w:hint="eastAsia" w:ascii="宋体" w:hAnsi="宋体" w:eastAsia="宋体" w:cs="Times New Roman"/>
                <w:color w:val="000000"/>
                <w:szCs w:val="21"/>
                <w:u w:val="none"/>
                <w:lang w:val="en-US" w:eastAsia="zh-CN"/>
              </w:rPr>
              <w:t xml:space="preserve">海门区</w:t>
            </w:r>
            <w:r>
              <w:rPr>
                <w:rFonts w:hint="eastAsia" w:ascii="宋体" w:hAnsi="宋体" w:eastAsia="宋体" w:cs="Times New Roman"/>
                <w:color w:val="000000"/>
                <w:szCs w:val="21"/>
                <w:u w:val="none"/>
              </w:rPr>
              <w:t xml:space="preserve">人民法院起诉。</w:t>
            </w:r>
            <w:r/>
          </w:p>
        </w:tc>
      </w:tr>
      <w:tr>
        <w:trPr>
          <w:trHeight w:val="770"/>
        </w:trPr>
        <w:tc>
          <w:tcPr>
            <w:tcW w:w="943" w:type="dxa"/>
            <w:vAlign w:val="center"/>
            <w:textDirection w:val="lrTb"/>
            <w:noWrap w:val="false"/>
          </w:tcPr>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p>
          <w:p>
            <w:pPr>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p>
        </w:tc>
        <w:tc>
          <w:tcPr>
            <w:tcW w:w="1022" w:type="dxa"/>
            <w:vAlign w:val="center"/>
            <w:textDirection w:val="lrTb"/>
            <w:noWrap w:val="false"/>
          </w:tcPr>
          <w:p>
            <w:pPr>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p>
        </w:tc>
        <w:tc>
          <w:tcPr>
            <w:tcW w:w="3034" w:type="dxa"/>
            <w:vAlign w:val="center"/>
            <w:textDirection w:val="lrTb"/>
            <w:noWrap w:val="false"/>
          </w:tcPr>
          <w:p>
            <w:pPr>
              <w:jc w:val="lef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1、乙方保证所供货物不侵犯第三方知识产权，如因货物发生知识产权纠纷，乙方应承担全部责任并赔偿甲方因此遭受的所有损失。</w:t>
            </w:r>
            <w:r/>
          </w:p>
          <w:p>
            <w:pPr>
              <w:jc w:val="left"/>
              <w:rPr>
                <w:rFonts w:hint="eastAsia" w:eastAsia="宋体"/>
                <w:lang w:val="en-US" w:eastAsia="zh-CN"/>
              </w:rPr>
            </w:pPr>
            <w:r>
              <w:rPr>
                <w:rFonts w:hint="eastAsia" w:ascii="宋体" w:hAnsi="宋体" w:eastAsia="宋体" w:cs="宋体"/>
                <w:color w:val="auto"/>
                <w:lang w:val="en-US" w:eastAsia="zh-CN"/>
              </w:rPr>
              <w:t xml:space="preserve">2、乙方确认本项目招标代理费由乙方承担，乙方应在合同签订前足额支付。若乙方逾期未付，甲方有权直接从应付工程款中等额扣除，并支付给招标代理机构，乙方对此无异议。扣款视为甲方已履行对应工程款支付义务，由此产生的税费、违约金等全部责任由乙方自行承担</w:t>
            </w:r>
            <w:r>
              <w:rPr>
                <w:rFonts w:hint="eastAsia" w:ascii="宋体" w:hAnsi="宋体" w:cs="宋体"/>
                <w:color w:val="auto"/>
                <w:lang w:val="en-US" w:eastAsia="zh-CN"/>
              </w:rPr>
              <w:t xml:space="preserve">。</w:t>
            </w:r>
            <w:r/>
          </w:p>
        </w:tc>
      </w:tr>
    </w:tbl>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698"/>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81"/>
      <w:r>
        <w:rPr>
          <w:rFonts w:hint="eastAsia" w:ascii="黑体" w:hAnsi="Courier New" w:eastAsia="黑体" w:cs="Courier New"/>
          <w:bCs/>
          <w:color w:val="000000"/>
          <w:sz w:val="44"/>
          <w:szCs w:val="21"/>
        </w:rPr>
        <w:t xml:space="preserve">四章 采购需求</w:t>
      </w:r>
      <w:bookmarkEnd w:id="182"/>
      <w:r/>
      <w:bookmarkEnd w:id="183"/>
      <w:r/>
      <w:bookmarkEnd w:id="184"/>
      <w:r/>
      <w:r/>
    </w:p>
    <w:p>
      <w:pPr>
        <w:numPr>
          <w:ilvl w:val="0"/>
          <w:numId w:val="12"/>
        </w:numPr>
        <w:spacing w:line="0" w:lineRule="atLeast"/>
        <w:rPr>
          <w:rFonts w:hint="eastAsia" w:ascii="宋体" w:hAnsi="宋体" w:eastAsia="宋体" w:cs="宋体"/>
          <w:b/>
          <w:color w:val="000000"/>
          <w:sz w:val="24"/>
          <w:szCs w:val="24"/>
        </w:rPr>
      </w:pPr>
      <w:r/>
      <w:bookmarkStart w:id="187" w:name="_Toc49090575"/>
      <w:r/>
      <w:bookmarkStart w:id="188" w:name="_Toc26554093"/>
      <w:r>
        <w:rPr>
          <w:rFonts w:hint="eastAsia" w:ascii="宋体" w:hAnsi="宋体" w:eastAsia="宋体" w:cs="宋体"/>
          <w:b/>
          <w:color w:val="000000"/>
          <w:sz w:val="24"/>
          <w:szCs w:val="24"/>
        </w:rPr>
        <w:t xml:space="preserve">采购标的清单</w:t>
      </w:r>
      <w:r/>
    </w:p>
    <w:tbl>
      <w:tblPr>
        <w:tblStyle w:val="69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5"/>
        <w:gridCol w:w="966"/>
        <w:gridCol w:w="4128"/>
        <w:gridCol w:w="3577"/>
      </w:tblGrid>
      <w:tr>
        <w:trPr>
          <w:cantSplit/>
          <w:jc w:val="center"/>
        </w:trPr>
        <w:tc>
          <w:tcPr>
            <w:tcW w:w="1285"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采购包</w:t>
            </w:r>
            <w:r/>
          </w:p>
        </w:tc>
        <w:tc>
          <w:tcPr>
            <w:tcW w:w="966"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序号</w:t>
            </w:r>
            <w:r/>
          </w:p>
        </w:tc>
        <w:tc>
          <w:tcPr>
            <w:tcW w:w="4129"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采购标的</w:t>
            </w:r>
            <w:r/>
          </w:p>
        </w:tc>
        <w:tc>
          <w:tcPr>
            <w:tcW w:w="3578"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对应中小企业划分标准所属行业</w:t>
            </w:r>
            <w:r/>
          </w:p>
        </w:tc>
      </w:tr>
      <w:tr>
        <w:trPr>
          <w:cantSplit/>
          <w:jc w:val="center"/>
          <w:trHeight w:val="429"/>
        </w:trPr>
        <w:tc>
          <w:tcPr>
            <w:tcW w:w="1285" w:type="dxa"/>
            <w:vAlign w:val="center"/>
            <w:vMerge w:val="restart"/>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eastAsia="zh-CN"/>
              </w:rPr>
            </w:pPr>
            <w:r/>
            <w:bookmarkStart w:id="189" w:name="OLE_LINK4"/>
            <w:r>
              <w:rPr>
                <w:rFonts w:hint="eastAsia" w:ascii="Times New Roman" w:hAnsi="Times New Roman" w:eastAsia="宋体" w:cs="Times New Roman"/>
                <w:spacing w:val="1"/>
                <w:lang w:val="en-US" w:eastAsia="zh-CN"/>
              </w:rPr>
              <w:t xml:space="preserve">1</w:t>
            </w:r>
            <w:r/>
          </w:p>
        </w:tc>
        <w:tc>
          <w:tcPr>
            <w:tcW w:w="966"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1</w:t>
            </w:r>
            <w:r/>
          </w:p>
        </w:tc>
        <w:tc>
          <w:tcPr>
            <w:tcW w:w="4129"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 xml:space="preserve">腐霉利</w:t>
            </w:r>
            <w:r/>
          </w:p>
        </w:tc>
        <w:tc>
          <w:tcPr>
            <w:tcW w:w="3578"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 xml:space="preserve">工业</w:t>
            </w:r>
            <w:r/>
          </w:p>
        </w:tc>
      </w:tr>
      <w:tr>
        <w:trPr>
          <w:cantSplit/>
          <w:jc w:val="center"/>
          <w:trHeight w:val="399"/>
        </w:trPr>
        <w:tc>
          <w:tcPr>
            <w:tcW w:w="1285" w:type="dxa"/>
            <w:vAlign w:val="center"/>
            <w:vMerge w:val="continue"/>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r>
            <w:r/>
          </w:p>
        </w:tc>
        <w:tc>
          <w:tcPr>
            <w:tcW w:w="966"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2</w:t>
            </w:r>
            <w:r/>
          </w:p>
        </w:tc>
        <w:tc>
          <w:tcPr>
            <w:tcW w:w="4129"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异菌脲</w:t>
            </w:r>
            <w:r/>
          </w:p>
        </w:tc>
        <w:tc>
          <w:tcPr>
            <w:tcW w:w="3578"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 xml:space="preserve">工业</w:t>
            </w:r>
            <w:r/>
          </w:p>
        </w:tc>
      </w:tr>
      <w:tr>
        <w:trPr>
          <w:cantSplit/>
          <w:jc w:val="center"/>
          <w:trHeight w:val="391"/>
        </w:trPr>
        <w:tc>
          <w:tcPr>
            <w:tcW w:w="1285" w:type="dxa"/>
            <w:vAlign w:val="center"/>
            <w:vMerge w:val="continue"/>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r>
            <w:r/>
          </w:p>
        </w:tc>
        <w:tc>
          <w:tcPr>
            <w:tcW w:w="966"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3</w:t>
            </w:r>
            <w:r/>
          </w:p>
        </w:tc>
        <w:tc>
          <w:tcPr>
            <w:tcW w:w="4129"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噻虫嗪</w:t>
            </w:r>
            <w:r/>
          </w:p>
        </w:tc>
        <w:tc>
          <w:tcPr>
            <w:tcW w:w="3578"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 xml:space="preserve">工业</w:t>
            </w:r>
            <w:r/>
          </w:p>
        </w:tc>
      </w:tr>
      <w:tr>
        <w:trPr>
          <w:cantSplit/>
          <w:jc w:val="center"/>
          <w:trHeight w:val="484"/>
        </w:trPr>
        <w:tc>
          <w:tcPr>
            <w:tcW w:w="1285" w:type="dxa"/>
            <w:vAlign w:val="center"/>
            <w:vMerge w:val="continue"/>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r>
            <w:r/>
          </w:p>
        </w:tc>
        <w:tc>
          <w:tcPr>
            <w:tcW w:w="966"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4</w:t>
            </w:r>
            <w:r/>
          </w:p>
        </w:tc>
        <w:tc>
          <w:tcPr>
            <w:tcW w:w="4129"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rPr>
            </w:pPr>
            <w:r>
              <w:rPr>
                <w:rFonts w:hint="eastAsia" w:ascii="Times New Roman" w:hAnsi="Times New Roman" w:eastAsia="宋体" w:cs="Times New Roman"/>
                <w:spacing w:val="1"/>
              </w:rPr>
              <w:t xml:space="preserve">微量元素水溶肥料</w:t>
            </w:r>
            <w:r/>
          </w:p>
        </w:tc>
        <w:tc>
          <w:tcPr>
            <w:tcW w:w="3578" w:type="dxa"/>
            <w:vAlign w:val="center"/>
            <w:textDirection w:val="lrTb"/>
            <w:noWrap w:val="false"/>
          </w:tcPr>
          <w:p>
            <w:pPr>
              <w:jc w:val="center"/>
              <w:spacing w:line="0" w:lineRule="atLeast"/>
              <w:tabs>
                <w:tab w:val="left" w:pos="2020" w:leader="none"/>
              </w:tabs>
              <w:rPr>
                <w:rFonts w:hint="eastAsia" w:ascii="Times New Roman" w:hAnsi="Times New Roman" w:eastAsia="宋体" w:cs="Times New Roman"/>
                <w:spacing w:val="1"/>
                <w:lang w:val="en-US" w:eastAsia="zh-CN"/>
              </w:rPr>
            </w:pPr>
            <w:r>
              <w:rPr>
                <w:rFonts w:hint="eastAsia" w:ascii="Times New Roman" w:hAnsi="Times New Roman" w:eastAsia="宋体" w:cs="Times New Roman"/>
                <w:spacing w:val="1"/>
                <w:lang w:val="en-US" w:eastAsia="zh-CN"/>
              </w:rPr>
              <w:t xml:space="preserve">工业</w:t>
            </w:r>
            <w:bookmarkEnd w:id="189"/>
            <w:r/>
          </w:p>
        </w:tc>
      </w:tr>
    </w:tbl>
    <w:p>
      <w:pPr>
        <w:jc w:val="both"/>
        <w:spacing w:line="44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lang w:val="zh-CN"/>
        </w:rPr>
        <w:t xml:space="preserve">采购项目内容及技术需求</w:t>
      </w:r>
      <w:r/>
    </w:p>
    <w:p>
      <w:pPr>
        <w:ind w:left="366"/>
        <w:jc w:val="left"/>
        <w:spacing w:line="440" w:lineRule="exact"/>
        <w:widowControl/>
        <w:rPr>
          <w:rFonts w:hint="eastAsia" w:ascii="宋体" w:hAnsi="宋体" w:eastAsia="宋体" w:cs="宋体"/>
          <w:b/>
          <w:color w:val="000000"/>
          <w:sz w:val="24"/>
          <w:szCs w:val="24"/>
          <w:highlight w:val="none"/>
          <w:lang w:val="en-US" w:eastAsia="zh-CN"/>
        </w:rPr>
        <w:outlineLvl w:val="0"/>
      </w:pPr>
      <w:r/>
      <w:bookmarkStart w:id="190" w:name="_Hlk113377847"/>
      <w:r>
        <w:rPr>
          <w:rFonts w:hint="eastAsia" w:ascii="宋体" w:hAnsi="宋体" w:eastAsia="宋体" w:cs="宋体"/>
          <w:b/>
          <w:spacing w:val="12"/>
          <w:sz w:val="24"/>
          <w:szCs w:val="24"/>
        </w:rPr>
        <w:t xml:space="preserve">一</w:t>
      </w:r>
      <w:r>
        <w:rPr>
          <w:rFonts w:hint="eastAsia" w:ascii="宋体" w:hAnsi="宋体" w:eastAsia="宋体" w:cs="宋体"/>
          <w:b/>
          <w:spacing w:val="9"/>
          <w:sz w:val="24"/>
          <w:szCs w:val="24"/>
        </w:rPr>
        <w:t xml:space="preserve">、</w:t>
      </w:r>
      <w:r>
        <w:rPr>
          <w:rFonts w:hint="eastAsia" w:ascii="宋体" w:hAnsi="宋体" w:eastAsia="宋体" w:cs="宋体"/>
          <w:b/>
          <w:color w:val="000000"/>
          <w:spacing w:val="9"/>
          <w:sz w:val="24"/>
          <w:szCs w:val="24"/>
          <w:highlight w:val="none"/>
          <w:lang w:val="en-US" w:eastAsia="zh-CN"/>
        </w:rPr>
        <w:t xml:space="preserve">采购清单明细</w:t>
      </w:r>
      <w:bookmarkEnd w:id="190"/>
      <w:r/>
    </w:p>
    <w:tbl>
      <w:tblPr>
        <w:tblStyle w:val="990"/>
        <w:tblW w:w="424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1573"/>
        <w:gridCol w:w="2998"/>
        <w:gridCol w:w="1200"/>
        <w:gridCol w:w="2073"/>
      </w:tblGrid>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序号</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品种名称</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ascii="Times New Roman" w:hAnsi="Times New Roman" w:eastAsia="宋体" w:cs="Times New Roman"/>
                <w:spacing w:val="5"/>
              </w:rPr>
              <w:t xml:space="preserve">参数</w:t>
            </w:r>
            <w:r/>
          </w:p>
        </w:tc>
        <w:tc>
          <w:tcPr>
            <w:tcW w:w="1200"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单价限价(万元/吨)</w:t>
            </w:r>
            <w:r/>
          </w:p>
        </w:tc>
        <w:tc>
          <w:tcPr>
            <w:tcW w:w="20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供货总价（万元）</w:t>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腐霉利</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50%有效成分含量，可湿性粉剂</w:t>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16</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80</w:t>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2</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异菌脲</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255克/升有效成分含量，悬浮剂</w:t>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14</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80</w:t>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3</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噻虫嗪</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≥25%有效成分含量，水分散粒剂或种子处理悬浮剂</w:t>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13</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30</w:t>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4</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微量元素水溶肥料</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颗粒，B≥10%，粒度(1.00mm-4.75mm)≥90%</w:t>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2.4</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30</w:t>
            </w:r>
            <w:r/>
          </w:p>
        </w:tc>
      </w:tr>
    </w:tbl>
    <w:p>
      <w:pPr>
        <w:numPr>
          <w:ilvl w:val="0"/>
          <w:numId w:val="0"/>
        </w:numPr>
        <w:ind w:firstLine="480"/>
        <w:keepLines w:val="0"/>
        <w:keepNext w:val="0"/>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eastAsia="zh-CN"/>
        </w:rPr>
        <w:t xml:space="preserve">产品规格按照采购方实际需求提供，</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最终按实际采购数量按实结算，</w:t>
      </w:r>
      <w:r>
        <w:rPr>
          <w:rFonts w:hint="eastAsia" w:ascii="宋体" w:hAnsi="宋体" w:eastAsia="宋体" w:cs="宋体"/>
          <w:color w:val="000000"/>
          <w:sz w:val="24"/>
          <w:szCs w:val="24"/>
          <w:highlight w:val="none"/>
          <w:lang w:val="en-US" w:eastAsia="zh-CN"/>
        </w:rPr>
        <w:t xml:space="preserve">实际采购金额达到</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eastAsia="zh-CN"/>
        </w:rPr>
        <w:t xml:space="preserve">总额</w:t>
      </w:r>
      <w:r>
        <w:rPr>
          <w:rFonts w:hint="eastAsia" w:ascii="宋体" w:hAnsi="宋体" w:eastAsia="宋体" w:cs="宋体"/>
          <w:color w:val="000000"/>
          <w:sz w:val="24"/>
          <w:szCs w:val="24"/>
          <w:highlight w:val="none"/>
        </w:rPr>
        <w:t xml:space="preserve">时</w:t>
      </w:r>
      <w:r>
        <w:rPr>
          <w:rFonts w:hint="eastAsia" w:ascii="宋体" w:hAnsi="宋体" w:eastAsia="宋体" w:cs="宋体"/>
          <w:color w:val="000000"/>
          <w:sz w:val="24"/>
          <w:szCs w:val="24"/>
          <w:highlight w:val="none"/>
          <w:lang w:val="en-US" w:eastAsia="zh-CN"/>
        </w:rPr>
        <w:t xml:space="preserve">即</w:t>
      </w:r>
      <w:r>
        <w:rPr>
          <w:rFonts w:hint="eastAsia" w:ascii="宋体" w:hAnsi="宋体" w:eastAsia="宋体" w:cs="宋体"/>
          <w:color w:val="000000"/>
          <w:sz w:val="24"/>
          <w:szCs w:val="24"/>
          <w:highlight w:val="none"/>
        </w:rPr>
        <w:t xml:space="preserve">终止</w:t>
      </w:r>
      <w:r>
        <w:rPr>
          <w:rFonts w:hint="eastAsia" w:ascii="宋体" w:hAnsi="宋体" w:eastAsia="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eastAsia="zh-CN"/>
        </w:rPr>
        <w:t xml:space="preserve">。</w:t>
      </w:r>
      <w:r/>
    </w:p>
    <w:p>
      <w:pPr>
        <w:numPr>
          <w:ilvl w:val="0"/>
          <w:numId w:val="0"/>
        </w:numPr>
        <w:ind w:firstLine="482"/>
        <w:keepLines w:val="0"/>
        <w:keepNext w:val="0"/>
        <w:pageBreakBefore w:val="0"/>
        <w:spacing w:line="460" w:lineRule="exact"/>
        <w:widowControl w:val="off"/>
        <w:rPr>
          <w:rFonts w:hint="eastAsia" w:ascii="宋体" w:hAnsi="宋体" w:eastAsia="宋体" w:cs="宋体"/>
          <w:color w:val="000000"/>
          <w:sz w:val="24"/>
          <w:szCs w:val="24"/>
          <w:highlight w:val="yellow"/>
        </w:rP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t xml:space="preserve">产品</w:t>
      </w:r>
      <w:r>
        <w:rPr>
          <w:rFonts w:hint="eastAsia" w:ascii="宋体" w:hAnsi="宋体" w:eastAsia="宋体" w:cs="宋体"/>
          <w:b/>
          <w:bCs/>
          <w:color w:val="000000"/>
          <w:sz w:val="24"/>
          <w:szCs w:val="24"/>
          <w:highlight w:val="none"/>
        </w:rPr>
        <w:t xml:space="preserve">要求：</w:t>
      </w:r>
      <w:r>
        <w:rPr>
          <w:rFonts w:hint="eastAsia" w:ascii="宋体" w:hAnsi="宋体" w:eastAsia="宋体" w:cs="宋体"/>
          <w:color w:val="000000"/>
          <w:sz w:val="24"/>
          <w:szCs w:val="24"/>
          <w:highlight w:val="none"/>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424"/>
        <w:jc w:val="left"/>
        <w:keepLines w:val="0"/>
        <w:keepNext w:val="0"/>
        <w:pageBreakBefore w:val="0"/>
        <w:spacing w:line="440" w:lineRule="exact"/>
        <w:widowControl w:val="off"/>
        <w:rPr>
          <w:rFonts w:hint="eastAsia" w:ascii="宋体" w:hAnsi="宋体" w:eastAsia="宋体" w:cs="宋体"/>
          <w:b/>
          <w:bCs/>
          <w:sz w:val="24"/>
          <w:szCs w:val="24"/>
        </w:rPr>
        <w:outlineLvl w:val="0"/>
      </w:pP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采购项目商务要求</w:t>
      </w:r>
      <w:r/>
    </w:p>
    <w:p>
      <w:pPr>
        <w:ind w:firstLine="480"/>
        <w:keepLines w:val="0"/>
        <w:keepNext w:val="0"/>
        <w:pageBreakBefore w:val="0"/>
        <w:spacing w:line="44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供货的时间、地点：</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（1）交货时间：</w:t>
      </w:r>
      <w:r>
        <w:rPr>
          <w:rFonts w:hint="eastAsia" w:ascii="宋体" w:hAnsi="宋体" w:eastAsia="宋体" w:cs="宋体"/>
          <w:color w:val="000000"/>
          <w:sz w:val="24"/>
          <w:szCs w:val="24"/>
          <w:highlight w:val="none"/>
          <w:lang w:val="en-US" w:eastAsia="zh-CN"/>
        </w:rPr>
        <w:t xml:space="preserve">合同签订后，</w:t>
      </w: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eastAsia="zh-CN"/>
        </w:rPr>
        <w:t xml:space="preserve">按甲方配送清单</w:t>
      </w:r>
      <w:r>
        <w:rPr>
          <w:rFonts w:hint="eastAsia" w:ascii="宋体" w:hAnsi="宋体" w:eastAsia="宋体" w:cs="宋体"/>
          <w:color w:val="000000"/>
          <w:sz w:val="24"/>
          <w:szCs w:val="24"/>
          <w:highlight w:val="none"/>
          <w:lang w:val="en-US" w:eastAsia="zh-CN"/>
        </w:rPr>
        <w:t xml:space="preserve">在15天内送至甲方指定的各乡镇</w:t>
      </w:r>
      <w:r>
        <w:rPr>
          <w:rFonts w:hint="eastAsia" w:ascii="宋体" w:hAnsi="宋体" w:eastAsia="宋体" w:cs="宋体"/>
          <w:color w:val="000000"/>
          <w:sz w:val="24"/>
          <w:szCs w:val="24"/>
          <w:highlight w:val="none"/>
          <w:lang w:val="zh-CN"/>
        </w:rPr>
        <w:t xml:space="preserve">。本项目履行过程中（包括但不限于供货产品调运过程），所有的安全问题由乙方自行负责</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yellow"/>
        </w:rPr>
      </w:pPr>
      <w:r>
        <w:rPr>
          <w:rFonts w:hint="eastAsia" w:ascii="宋体" w:hAnsi="宋体" w:eastAsia="宋体" w:cs="宋体"/>
          <w:color w:val="000000"/>
          <w:sz w:val="24"/>
          <w:szCs w:val="24"/>
          <w:highlight w:val="none"/>
        </w:rPr>
        <w:t xml:space="preserve">（2）交货地点：</w:t>
      </w:r>
      <w:r>
        <w:rPr>
          <w:rFonts w:hint="eastAsia" w:ascii="宋体" w:hAnsi="宋体" w:eastAsia="宋体" w:cs="宋体"/>
          <w:color w:val="000000"/>
          <w:sz w:val="24"/>
          <w:szCs w:val="24"/>
          <w:highlight w:val="none"/>
          <w:lang w:val="en-US" w:eastAsia="zh-CN"/>
        </w:rPr>
        <w:t xml:space="preserve">海门区各乡镇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zh-CN"/>
        </w:rPr>
        <w:t xml:space="preserve">乙方须提前通知所属区镇物资接收人，以便进行现场监督、交接。乙方须对每车的交货现场进行拍照。照片包含车辆全貌、车牌、货物、物资接收人等内容。每车或每批次必须有跟车货运单，经物资接受人签名确认</w:t>
      </w:r>
      <w:r>
        <w:rPr>
          <w:rFonts w:hint="eastAsia" w:ascii="宋体" w:hAnsi="宋体" w:eastAsia="宋体" w:cs="宋体"/>
          <w:color w:val="000000"/>
          <w:sz w:val="24"/>
          <w:szCs w:val="24"/>
          <w:highlight w:val="none"/>
        </w:rPr>
        <w:t xml:space="preserve">。</w:t>
      </w:r>
      <w:r/>
    </w:p>
    <w:p>
      <w:pPr>
        <w:ind w:firstLine="482"/>
        <w:spacing w:line="46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
          <w:bCs/>
          <w:sz w:val="24"/>
          <w:szCs w:val="24"/>
          <w:lang w:val="en-US" w:eastAsia="zh-CN"/>
        </w:rPr>
        <w:t xml:space="preserve">2</w:t>
      </w:r>
      <w:r>
        <w:rPr>
          <w:rFonts w:hint="eastAsia" w:ascii="宋体" w:hAnsi="宋体" w:eastAsia="宋体" w:cs="宋体"/>
          <w:b/>
          <w:bCs/>
          <w:sz w:val="24"/>
          <w:szCs w:val="24"/>
          <w:lang w:val="en-US" w:eastAsia="zh-CN"/>
        </w:rPr>
        <w:t xml:space="preserve">、质保期：</w:t>
      </w:r>
      <w:r>
        <w:rPr>
          <w:rFonts w:hint="eastAsia" w:ascii="宋体" w:hAnsi="宋体" w:eastAsia="宋体" w:cs="宋体"/>
          <w:bCs/>
          <w:sz w:val="24"/>
          <w:szCs w:val="24"/>
          <w:highlight w:val="none"/>
        </w:rPr>
        <w:t xml:space="preserve">所供货物产品质量保证期不少于24个月（自生产日期开始）</w:t>
      </w:r>
      <w:r>
        <w:rPr>
          <w:rFonts w:hint="eastAsia" w:ascii="宋体" w:hAnsi="宋体" w:eastAsia="宋体" w:cs="宋体"/>
          <w:bCs/>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必须为采购合同签订年度当年生产批次。</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乙方供货时需提供第三方具有国家认可的检测机构出具的本批次产品质量检测报告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原件备查，并提供复印件供</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留存</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color w:val="ff0000"/>
          <w:sz w:val="24"/>
          <w:szCs w:val="24"/>
          <w:lang w:val="en-US" w:eastAsia="zh-CN"/>
        </w:rPr>
      </w:pPr>
      <w:r>
        <w:rPr>
          <w:rFonts w:hint="eastAsia" w:ascii="宋体" w:hAnsi="宋体" w:cs="宋体"/>
          <w:b/>
          <w:bCs/>
          <w:sz w:val="24"/>
          <w:szCs w:val="24"/>
          <w:lang w:val="en-US" w:eastAsia="zh-CN"/>
        </w:rPr>
        <w:t xml:space="preserve">3</w:t>
      </w:r>
      <w:r>
        <w:rPr>
          <w:rFonts w:hint="eastAsia" w:ascii="宋体" w:hAnsi="宋体" w:eastAsia="宋体" w:cs="宋体"/>
          <w:b/>
          <w:bCs/>
          <w:sz w:val="24"/>
          <w:szCs w:val="24"/>
        </w:rPr>
        <w:t xml:space="preserve">、</w:t>
      </w:r>
      <w:r>
        <w:rPr>
          <w:rFonts w:hint="eastAsia" w:ascii="宋体" w:hAnsi="宋体" w:cs="宋体"/>
          <w:b/>
          <w:sz w:val="24"/>
          <w:szCs w:val="24"/>
          <w:lang w:val="en-US" w:eastAsia="zh-CN"/>
        </w:rPr>
        <w:t xml:space="preserve">规格</w:t>
      </w:r>
      <w:r>
        <w:rPr>
          <w:rFonts w:hint="eastAsia" w:ascii="宋体" w:hAnsi="宋体" w:eastAsia="宋体" w:cs="宋体"/>
          <w:b/>
          <w:sz w:val="24"/>
          <w:szCs w:val="24"/>
        </w:rPr>
        <w:t xml:space="preserve">要</w:t>
      </w:r>
      <w:r>
        <w:rPr>
          <w:rFonts w:hint="eastAsia" w:ascii="宋体" w:hAnsi="宋体" w:eastAsia="宋体" w:cs="宋体"/>
          <w:b/>
          <w:color w:val="auto"/>
          <w:sz w:val="24"/>
          <w:szCs w:val="24"/>
        </w:rPr>
        <w:t xml:space="preserve">求</w:t>
      </w:r>
      <w:r>
        <w:rPr>
          <w:rFonts w:hint="eastAsia" w:ascii="宋体" w:hAnsi="宋体" w:eastAsia="宋体" w:cs="宋体"/>
          <w:b/>
          <w:bCs/>
          <w:color w:val="auto"/>
          <w:sz w:val="24"/>
          <w:szCs w:val="24"/>
        </w:rPr>
        <w:t xml:space="preserve">：</w:t>
      </w:r>
      <w:r>
        <w:rPr>
          <w:rFonts w:hint="eastAsia" w:ascii="宋体" w:hAnsi="宋体" w:eastAsia="宋体" w:cs="宋体"/>
          <w:b w:val="0"/>
          <w:bCs w:val="0"/>
          <w:color w:val="auto"/>
          <w:sz w:val="24"/>
          <w:szCs w:val="24"/>
          <w:highlight w:val="none"/>
          <w:lang w:val="en-US" w:eastAsia="zh-CN"/>
        </w:rPr>
        <w:t xml:space="preserve">产品需</w:t>
      </w:r>
      <w:r>
        <w:rPr>
          <w:rFonts w:hint="eastAsia" w:ascii="宋体" w:hAnsi="宋体" w:cs="宋体"/>
          <w:b w:val="0"/>
          <w:bCs w:val="0"/>
          <w:color w:val="auto"/>
          <w:sz w:val="24"/>
          <w:szCs w:val="24"/>
          <w:highlight w:val="none"/>
          <w:lang w:val="en-US" w:eastAsia="zh-CN"/>
        </w:rPr>
        <w:t xml:space="preserve">按甲方实际需求</w:t>
      </w:r>
      <w:r>
        <w:rPr>
          <w:rFonts w:hint="eastAsia" w:ascii="宋体" w:hAnsi="宋体" w:eastAsia="宋体" w:cs="宋体"/>
          <w:b w:val="0"/>
          <w:bCs w:val="0"/>
          <w:color w:val="auto"/>
          <w:sz w:val="24"/>
          <w:szCs w:val="24"/>
          <w:highlight w:val="none"/>
          <w:lang w:val="en-US" w:eastAsia="zh-CN"/>
        </w:rPr>
        <w:t xml:space="preserve">包装，不可散装</w:t>
      </w:r>
      <w:r>
        <w:rPr>
          <w:rFonts w:hint="eastAsia" w:ascii="宋体" w:hAnsi="宋体" w:eastAsia="宋体" w:cs="宋体"/>
          <w:color w:val="auto"/>
          <w:sz w:val="24"/>
          <w:szCs w:val="24"/>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b/>
          <w:bCs/>
          <w:color w:val="ff0000"/>
          <w:sz w:val="24"/>
          <w:szCs w:val="24"/>
          <w:lang w:val="en-US" w:eastAsia="zh-CN" w:bidi="ar-SA"/>
        </w:rPr>
      </w:pPr>
      <w:r>
        <w:rPr>
          <w:rFonts w:hint="eastAsia" w:ascii="宋体" w:hAnsi="宋体" w:cs="宋体"/>
          <w:b/>
          <w:bCs/>
          <w:sz w:val="24"/>
          <w:szCs w:val="24"/>
          <w:lang w:val="en-US" w:eastAsia="zh-CN" w:bidi="ar-SA"/>
        </w:rPr>
        <w:t xml:space="preserve">4</w:t>
      </w:r>
      <w:r>
        <w:rPr>
          <w:rFonts w:hint="eastAsia" w:ascii="宋体" w:hAnsi="宋体" w:eastAsia="宋体" w:cs="宋体"/>
          <w:b/>
          <w:bCs/>
          <w:sz w:val="24"/>
          <w:szCs w:val="24"/>
          <w:lang w:val="en-US" w:eastAsia="zh-CN" w:bidi="ar-SA"/>
        </w:rPr>
        <w:t xml:space="preserve">、</w:t>
      </w:r>
      <w:r>
        <w:rPr>
          <w:rFonts w:hint="eastAsia" w:ascii="宋体" w:hAnsi="宋体" w:eastAsia="宋体" w:cs="宋体"/>
          <w:b/>
          <w:bCs/>
          <w:color w:val="auto"/>
          <w:sz w:val="24"/>
          <w:szCs w:val="24"/>
          <w:highlight w:val="none"/>
          <w:lang w:val="zh-CN"/>
        </w:rPr>
        <w:t xml:space="preserve">验收</w:t>
      </w:r>
      <w:r>
        <w:rPr>
          <w:rFonts w:hint="eastAsia" w:ascii="宋体" w:hAnsi="宋体" w:eastAsia="宋体" w:cs="宋体"/>
          <w:b/>
          <w:bCs/>
          <w:color w:val="auto"/>
          <w:sz w:val="24"/>
          <w:szCs w:val="24"/>
          <w:highlight w:val="none"/>
        </w:rPr>
        <w:t xml:space="preserve">要求</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按相关要求组织验收。</w:t>
      </w:r>
      <w:r>
        <w:rPr>
          <w:rFonts w:hint="eastAsia" w:ascii="宋体" w:hAnsi="宋体" w:eastAsia="宋体" w:cs="宋体"/>
          <w:bCs/>
          <w:color w:val="000000" w:themeColor="text1"/>
          <w:sz w:val="24"/>
          <w:szCs w:val="24"/>
          <w:lang w:val="en-US" w:eastAsia="zh-CN"/>
          <w14:textFill>
            <w14:solidFill>
              <w14:schemeClr w14:val="tx1"/>
            </w14:solidFill>
          </w14:textFill>
        </w:rPr>
        <w:t xml:space="preserve">甲方组织现场抽样送检，检测结果不合格的，甲方有权解除合同，造成的损失由乙方承担</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cs="宋体"/>
          <w:b/>
          <w:bCs/>
          <w:sz w:val="24"/>
          <w:szCs w:val="24"/>
          <w:lang w:val="en-US" w:eastAsia="zh-CN" w:bidi="ar-SA"/>
        </w:rPr>
        <w:t xml:space="preserve">5、</w:t>
      </w:r>
      <w:r>
        <w:rPr>
          <w:rFonts w:hint="eastAsia" w:ascii="宋体" w:hAnsi="宋体" w:eastAsia="宋体" w:cs="宋体"/>
          <w:b/>
          <w:bCs/>
          <w:sz w:val="24"/>
          <w:szCs w:val="24"/>
          <w:lang w:val="en-US" w:eastAsia="zh-CN" w:bidi="ar-SA"/>
        </w:rPr>
        <w:t xml:space="preserve">付款方式：</w:t>
      </w:r>
      <w:r>
        <w:rPr>
          <w:rFonts w:hint="eastAsia" w:ascii="宋体" w:hAnsi="宋体" w:eastAsia="宋体" w:cs="宋体"/>
          <w:sz w:val="24"/>
          <w:szCs w:val="24"/>
          <w:highlight w:val="none"/>
          <w:lang w:val="zh-CN"/>
        </w:rPr>
        <w:t xml:space="preserve">合同签订完成，所有货物运送到指定地点并经</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lang w:val="zh-CN"/>
        </w:rPr>
        <w:t xml:space="preserve">验收通过合格后，</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lang w:val="zh-CN"/>
        </w:rPr>
        <w:t xml:space="preserve">提供正规发票，待财政拨款后一次性支付货款（不计息）。</w:t>
      </w:r>
      <w:r/>
    </w:p>
    <w:p>
      <w:pPr>
        <w:ind w:firstLine="480"/>
        <w:keepLines/>
        <w:keepNext/>
        <w:spacing w:line="400" w:lineRule="exact"/>
        <w:rPr>
          <w:rFonts w:hint="eastAsia" w:ascii="宋体" w:hAnsi="宋体" w:eastAsia="宋体" w:cs="宋体"/>
          <w:b/>
          <w:bCs w:val="0"/>
          <w:color w:val="000000"/>
          <w:sz w:val="24"/>
          <w:szCs w:val="24"/>
        </w:rPr>
        <w:outlineLvl w:val="3"/>
      </w:pPr>
      <w:r>
        <w:rPr>
          <w:rFonts w:hint="eastAsia" w:ascii="宋体" w:hAnsi="宋体" w:eastAsia="宋体" w:cs="宋体"/>
          <w:b/>
          <w:bCs w:val="0"/>
          <w:color w:val="000000"/>
          <w:sz w:val="24"/>
          <w:szCs w:val="24"/>
          <w:lang w:val="en-US" w:eastAsia="zh-CN"/>
        </w:rPr>
        <w:t xml:space="preserve">四</w:t>
      </w:r>
      <w:r>
        <w:rPr>
          <w:rFonts w:hint="eastAsia" w:ascii="宋体" w:hAnsi="宋体" w:eastAsia="宋体" w:cs="宋体"/>
          <w:b/>
          <w:bCs w:val="0"/>
          <w:color w:val="000000"/>
          <w:sz w:val="24"/>
          <w:szCs w:val="24"/>
        </w:rPr>
        <w:t xml:space="preserve">、政府采购中实施本国产品标准及相关政策</w:t>
      </w:r>
      <w:r/>
    </w:p>
    <w:p>
      <w:pPr>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1.本项目对采购本国产品给予政策支持，具体内容见招标文件“第五章 评标方法与评标标准”。</w:t>
      </w:r>
      <w:r/>
    </w:p>
    <w:p>
      <w:pPr>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5"/>
        <w:spacing w:line="400" w:lineRule="exact"/>
        <w:rPr>
          <w:rFonts w:hint="eastAsia" w:ascii="宋体" w:hAnsi="宋体" w:eastAsia="宋体" w:cs="宋体"/>
          <w:bCs/>
          <w:color w:val="000000"/>
          <w:sz w:val="24"/>
          <w:szCs w:val="24"/>
        </w:rPr>
      </w:pP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其他要求</w:t>
      </w:r>
      <w:bookmarkStart w:id="191" w:name="_Toc120614281"/>
      <w:r/>
      <w:r/>
    </w:p>
    <w:p>
      <w:pPr>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1.项目属性:货物类项目。</w:t>
      </w:r>
      <w:r/>
    </w:p>
    <w:p>
      <w:pPr>
        <w:ind w:firstLine="555"/>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核心产品</w:t>
      </w:r>
      <w:r/>
    </w:p>
    <w:tbl>
      <w:tblPr>
        <w:tblStyle w:val="69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4"/>
        <w:gridCol w:w="6094"/>
      </w:tblGrid>
      <w:tr>
        <w:trPr/>
        <w:tc>
          <w:tcPr>
            <w:tcW w:w="194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采购包号</w:t>
            </w:r>
            <w:r/>
          </w:p>
        </w:tc>
        <w:tc>
          <w:tcPr>
            <w:tcW w:w="305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p>
        </w:tc>
      </w:tr>
      <w:tr>
        <w:trPr/>
        <w:tc>
          <w:tcPr>
            <w:tcW w:w="1940"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059" w:type="dxa"/>
            <w:vAlign w:val="top"/>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无</w:t>
            </w:r>
            <w:r/>
          </w:p>
        </w:tc>
      </w:tr>
    </w:tbl>
    <w:p>
      <w:pPr>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rPr>
        <w:t xml:space="preserve">3.进口产品投标</w:t>
      </w:r>
      <w:r/>
    </w:p>
    <w:tbl>
      <w:tblPr>
        <w:tblStyle w:val="69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5"/>
        <w:gridCol w:w="6103"/>
      </w:tblGrid>
      <w:tr>
        <w:trPr/>
        <w:tc>
          <w:tcPr>
            <w:tcW w:w="19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306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是否接受进口产品投标</w:t>
            </w:r>
            <w:r/>
          </w:p>
          <w:p>
            <w:pPr>
              <w:jc w:val="center"/>
              <w:rPr>
                <w:rFonts w:hint="eastAsia" w:ascii="宋体" w:hAnsi="宋体" w:eastAsia="宋体" w:cs="宋体"/>
                <w:sz w:val="24"/>
                <w:szCs w:val="24"/>
              </w:rPr>
            </w:pPr>
            <w:r>
              <w:rPr>
                <w:rFonts w:hint="eastAsia" w:ascii="宋体" w:hAnsi="宋体" w:eastAsia="宋体" w:cs="宋体"/>
                <w:sz w:val="24"/>
                <w:szCs w:val="24"/>
              </w:rPr>
              <w:t xml:space="preserve">（是/否）</w:t>
            </w:r>
            <w:r/>
          </w:p>
        </w:tc>
      </w:tr>
      <w:tr>
        <w:trPr/>
        <w:tc>
          <w:tcPr>
            <w:tcW w:w="1935"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064" w:type="dxa"/>
            <w:vAlign w:val="top"/>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ind w:firstLine="555"/>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本项目履约保证金为项目成交价的5%，</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val="en-US" w:eastAsia="zh-CN"/>
        </w:rPr>
        <w:t xml:space="preserve">的履约保证金须在成交通知书发出之日起至合同签订前汇入</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val="en-US" w:eastAsia="zh-CN"/>
        </w:rPr>
        <w:t xml:space="preserve">指定账户（应当以数字人民币、支票、汇票或者金融机构、担保机构出具的保函等非现金形式提交），</w:t>
      </w:r>
      <w:r>
        <w:rPr>
          <w:rFonts w:hint="eastAsia" w:ascii="宋体" w:hAnsi="宋体" w:cs="宋体"/>
          <w:bCs/>
          <w:color w:val="000000"/>
          <w:sz w:val="24"/>
          <w:szCs w:val="24"/>
          <w:highlight w:val="none"/>
          <w:lang w:val="en-US" w:eastAsia="zh-CN"/>
        </w:rPr>
        <w:t xml:space="preserve">乙方</w:t>
      </w:r>
      <w:r>
        <w:rPr>
          <w:rFonts w:hint="eastAsia" w:ascii="宋体" w:hAnsi="宋体" w:eastAsia="宋体" w:cs="宋体"/>
          <w:bCs/>
          <w:color w:val="000000"/>
          <w:sz w:val="24"/>
          <w:szCs w:val="24"/>
          <w:highlight w:val="none"/>
          <w:lang w:val="en-US" w:eastAsia="zh-CN"/>
        </w:rPr>
        <w:t xml:space="preserve">凭成交通知书、履约保证金缴纳凭证与</w:t>
      </w:r>
      <w:r>
        <w:rPr>
          <w:rFonts w:hint="eastAsia" w:ascii="宋体" w:hAnsi="宋体" w:cs="宋体"/>
          <w:bCs/>
          <w:color w:val="000000"/>
          <w:sz w:val="24"/>
          <w:szCs w:val="24"/>
          <w:highlight w:val="none"/>
          <w:lang w:val="en-US" w:eastAsia="zh-CN"/>
        </w:rPr>
        <w:t xml:space="preserve">甲方</w:t>
      </w:r>
      <w:r>
        <w:rPr>
          <w:rFonts w:hint="eastAsia" w:ascii="宋体" w:hAnsi="宋体" w:eastAsia="宋体" w:cs="宋体"/>
          <w:bCs/>
          <w:color w:val="000000"/>
          <w:sz w:val="24"/>
          <w:szCs w:val="24"/>
          <w:highlight w:val="none"/>
          <w:lang w:val="en-US" w:eastAsia="zh-CN"/>
        </w:rPr>
        <w:t xml:space="preserve">签订合同。否则视为自动放弃成交资格。 </w:t>
      </w:r>
      <w:r/>
    </w:p>
    <w:p>
      <w:pPr>
        <w:ind w:firstLine="555"/>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rPr>
          <w:rFonts w:hint="eastAsia"/>
        </w:rPr>
      </w:pPr>
      <w:r>
        <w:rPr>
          <w:rFonts w:hint="eastAsia"/>
        </w:rPr>
        <w:br w:type="page" w:clear="all"/>
      </w:r>
      <w:r/>
    </w:p>
    <w:p>
      <w:pPr>
        <w:pStyle w:val="698"/>
        <w:ind w:left="0" w:firstLine="0"/>
        <w:rPr>
          <w:rFonts w:hint="eastAsia"/>
        </w:rPr>
      </w:pPr>
      <w:r>
        <w:rPr>
          <w:rFonts w:hint="eastAsia"/>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rFonts w:hint="eastAsia"/>
          <w:color w:val="000000"/>
          <w:szCs w:val="21"/>
        </w:rPr>
      </w:pPr>
      <w:r>
        <w:rPr>
          <w:rFonts w:hint="eastAsia"/>
          <w:color w:val="000000"/>
          <w:szCs w:val="21"/>
        </w:rPr>
      </w:r>
      <w:r/>
    </w:p>
    <w:tbl>
      <w:tblPr>
        <w:tblStyle w:val="697"/>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190"/>
        <w:gridCol w:w="5953"/>
      </w:tblGrid>
      <w:tr>
        <w:trPr>
          <w:trHeight w:val="549"/>
        </w:trPr>
        <w:tc>
          <w:tcPr>
            <w:tcW w:w="1148"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190"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成交候选人数量</w:t>
            </w:r>
            <w:r/>
          </w:p>
        </w:tc>
        <w:tc>
          <w:tcPr>
            <w:tcW w:w="5953"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成交候选人的原则</w:t>
            </w:r>
            <w:r/>
          </w:p>
        </w:tc>
      </w:tr>
      <w:tr>
        <w:trPr>
          <w:trHeight w:val="90"/>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219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5953" w:type="dxa"/>
            <w:vAlign w:val="center"/>
            <w:textDirection w:val="lrTb"/>
            <w:noWrap w:val="false"/>
          </w:tcPr>
          <w:p>
            <w:pPr>
              <w:jc w:val="left"/>
              <w:rPr>
                <w:rFonts w:hint="eastAsia" w:ascii="宋体" w:hAnsi="宋体"/>
                <w:szCs w:val="21"/>
              </w:rPr>
            </w:pPr>
            <w:r>
              <w:rPr>
                <w:rFonts w:hint="eastAsia" w:ascii="宋体" w:hAnsi="宋体"/>
                <w:szCs w:val="21"/>
              </w:rPr>
              <w:t xml:space="preserve">1、质量和服务均能满足采购文件实质性响应要求且报价合理、有效</w:t>
            </w:r>
            <w:r>
              <w:rPr>
                <w:rFonts w:hint="eastAsia" w:ascii="宋体" w:hAnsi="宋体"/>
                <w:color w:val="000000"/>
                <w:szCs w:val="21"/>
              </w:rPr>
              <w:t xml:space="preserve">、</w:t>
            </w:r>
            <w:r>
              <w:rPr>
                <w:rFonts w:hint="eastAsia" w:ascii="宋体" w:hAnsi="宋体"/>
                <w:color w:val="000000"/>
                <w:szCs w:val="21"/>
                <w:lang w:val="en-US" w:eastAsia="zh-CN"/>
              </w:rPr>
              <w:t xml:space="preserve">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olor w:val="000000"/>
                <w:szCs w:val="21"/>
                <w:lang w:eastAsia="zh-CN"/>
              </w:rPr>
              <w:t xml:space="preserve">最</w:t>
            </w:r>
            <w:r>
              <w:rPr>
                <w:rFonts w:hint="eastAsia" w:ascii="宋体" w:hAnsi="宋体"/>
                <w:color w:val="000000"/>
                <w:szCs w:val="21"/>
                <w:lang w:val="en-US" w:eastAsia="zh-CN"/>
              </w:rPr>
              <w:t xml:space="preserve">低</w:t>
            </w:r>
            <w:r>
              <w:rPr>
                <w:rFonts w:hint="eastAsia" w:ascii="宋体" w:hAnsi="宋体"/>
                <w:color w:val="000000"/>
                <w:szCs w:val="21"/>
              </w:rPr>
              <w:t xml:space="preserve">；</w:t>
            </w:r>
            <w:r/>
          </w:p>
          <w:p>
            <w:pPr>
              <w:jc w:val="left"/>
              <w:rPr>
                <w:rFonts w:hint="eastAsia" w:ascii="宋体" w:hAnsi="宋体"/>
                <w:szCs w:val="21"/>
              </w:rPr>
            </w:pPr>
            <w:r>
              <w:rPr>
                <w:rFonts w:hint="eastAsia" w:ascii="宋体" w:hAnsi="宋体"/>
                <w:szCs w:val="21"/>
              </w:rPr>
              <w:t xml:space="preserve">2、报价为</w:t>
            </w:r>
            <w:r>
              <w:rPr>
                <w:rFonts w:hint="eastAsia" w:ascii="宋体" w:hAnsi="宋体"/>
                <w:szCs w:val="21"/>
                <w:lang w:val="en-US" w:eastAsia="zh-CN"/>
              </w:rPr>
              <w:t xml:space="preserve">统一优惠率报价</w:t>
            </w:r>
            <w:r>
              <w:rPr>
                <w:rFonts w:hint="eastAsia" w:ascii="宋体" w:hAnsi="宋体"/>
                <w:szCs w:val="21"/>
              </w:rPr>
              <w:t xml:space="preserve">，不得将项目拆分或选择性报价；</w:t>
            </w:r>
            <w:r/>
          </w:p>
          <w:p>
            <w:pPr>
              <w:jc w:val="left"/>
              <w:rPr>
                <w:rFonts w:hint="eastAsia" w:ascii="宋体" w:hAnsi="宋体"/>
                <w:szCs w:val="21"/>
              </w:rPr>
            </w:pPr>
            <w:r>
              <w:rPr>
                <w:rFonts w:hint="eastAsia" w:ascii="宋体" w:hAnsi="宋体"/>
                <w:szCs w:val="21"/>
              </w:rPr>
              <w:t xml:space="preserve">3、满足</w:t>
            </w:r>
            <w:r>
              <w:rPr>
                <w:rFonts w:hint="eastAsia" w:ascii="宋体" w:hAnsi="宋体"/>
                <w:szCs w:val="21"/>
                <w:lang w:val="en-US" w:eastAsia="zh-CN"/>
              </w:rPr>
              <w:t xml:space="preserve">文件</w:t>
            </w:r>
            <w:r>
              <w:rPr>
                <w:rFonts w:hint="eastAsia" w:ascii="宋体" w:hAnsi="宋体"/>
                <w:szCs w:val="21"/>
              </w:rPr>
              <w:t xml:space="preserve">规定的供货时间要求；</w:t>
            </w:r>
            <w:r/>
          </w:p>
          <w:p>
            <w:pPr>
              <w:jc w:val="left"/>
              <w:rPr>
                <w:rFonts w:hint="eastAsia" w:ascii="宋体" w:hAnsi="宋体"/>
                <w:szCs w:val="21"/>
              </w:rPr>
            </w:pPr>
            <w:r>
              <w:rPr>
                <w:rFonts w:hint="eastAsia" w:ascii="宋体" w:hAnsi="宋体"/>
                <w:szCs w:val="21"/>
              </w:rPr>
              <w:t xml:space="preserve">4、成交人不得以任何方式转包或分包。</w:t>
            </w:r>
            <w:r/>
          </w:p>
        </w:tc>
      </w:tr>
    </w:tbl>
    <w:p>
      <w:pPr>
        <w:pStyle w:val="956"/>
        <w:ind w:left="0" w:right="0" w:firstLine="420"/>
        <w:jc w:val="both"/>
        <w:spacing w:before="0" w:after="0" w:line="460" w:lineRule="exact"/>
        <w:rPr>
          <w:rFonts w:ascii="Times New Roman" w:hAnsi="Times New Roman"/>
          <w:b/>
          <w:sz w:val="28"/>
          <w:szCs w:val="28"/>
        </w:rPr>
      </w:pPr>
      <w:r>
        <w:rPr>
          <w:rFonts w:hint="eastAsia" w:ascii="Times New Roman" w:hAnsi="Times New Roman"/>
          <w:b/>
          <w:sz w:val="28"/>
          <w:szCs w:val="28"/>
          <w:lang w:val="en-US" w:eastAsia="zh-CN"/>
        </w:rPr>
        <w:t xml:space="preserve">（一）</w:t>
      </w:r>
      <w:r>
        <w:rPr>
          <w:rFonts w:ascii="Times New Roman" w:hAnsi="Times New Roman"/>
          <w:b/>
          <w:sz w:val="28"/>
          <w:szCs w:val="28"/>
        </w:rPr>
        <w:t xml:space="preserve">政府采购政策功能落实</w:t>
      </w:r>
      <w:r/>
    </w:p>
    <w:p>
      <w:pPr>
        <w:ind w:firstLine="36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本项目为专门面向中小企业（含残疾人福利性单位、监狱企业）采购的项目，不再执行价格评审优惠的扶持政策。</w:t>
      </w:r>
      <w:r/>
    </w:p>
    <w:p>
      <w:pPr>
        <w:ind w:lef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采购本国产品的支持政策</w:t>
      </w:r>
      <w:r/>
    </w:p>
    <w:p>
      <w:pPr>
        <w:ind w:lef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p>
    <w:p>
      <w:pPr>
        <w:ind w:lef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rPr>
        <w:t xml:space="preserve">80%</w:t>
      </w:r>
      <w:r>
        <w:rPr>
          <w:rFonts w:hint="eastAsia" w:ascii="宋体" w:hAnsi="宋体" w:eastAsia="宋体" w:cs="宋体"/>
          <w:color w:val="000000"/>
          <w:sz w:val="24"/>
          <w:szCs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的价格扣除，用扣除后的价格参与评审。供应商未填写比例数值，或比例数值未达到80%的，将不享受本国产品价格评审优惠。</w:t>
      </w:r>
      <w:r/>
    </w:p>
    <w:p>
      <w:pPr>
        <w:ind w:lef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供应商需按照招标文件的要求提供《关于符合本国产品标准的声明函》（以下简称《声明函》），如不提供将不享受本国产品价格评审优惠。</w:t>
      </w:r>
      <w:r/>
    </w:p>
    <w:p>
      <w:pPr>
        <w:ind w:lef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2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60" w:lineRule="exact"/>
        <w:rPr>
          <w:b/>
          <w:sz w:val="28"/>
          <w:szCs w:val="28"/>
        </w:rPr>
      </w:pPr>
      <w:r>
        <w:rPr>
          <w:b/>
          <w:sz w:val="28"/>
          <w:szCs w:val="28"/>
        </w:rPr>
        <w:t xml:space="preserve">（</w:t>
      </w:r>
      <w:r>
        <w:rPr>
          <w:rFonts w:hint="eastAsia"/>
          <w:b/>
          <w:sz w:val="28"/>
          <w:szCs w:val="28"/>
          <w:lang w:val="en-US" w:eastAsia="zh-CN"/>
        </w:rPr>
        <w:t xml:space="preserve">二</w:t>
      </w:r>
      <w:r>
        <w:rPr>
          <w:b/>
          <w:sz w:val="28"/>
          <w:szCs w:val="28"/>
        </w:rPr>
        <w:t xml:space="preserve">）中标人的确定</w:t>
      </w:r>
      <w:r/>
    </w:p>
    <w:p>
      <w:pPr>
        <w:ind w:firstLine="360"/>
        <w:spacing w:line="460" w:lineRule="exact"/>
        <w:rPr>
          <w:bCs/>
          <w:sz w:val="24"/>
        </w:rPr>
      </w:pPr>
      <w:r>
        <w:rPr>
          <w:bCs/>
          <w:sz w:val="24"/>
        </w:rPr>
        <w:t xml:space="preserve">评委会按照得分从高到低的顺序推荐三名中标候选人，并编写评标报告。</w:t>
      </w:r>
      <w:r/>
    </w:p>
    <w:p>
      <w:pPr>
        <w:ind w:firstLine="360"/>
        <w:spacing w:line="460" w:lineRule="exact"/>
        <w:rPr>
          <w:bCs/>
          <w:sz w:val="24"/>
        </w:rPr>
      </w:pPr>
      <w:r>
        <w:rPr>
          <w:bCs/>
          <w:sz w:val="24"/>
        </w:rPr>
        <w:t xml:space="preserve">采购人委托评标委员会直接确定排名第一的中标候选人为中标人。</w:t>
      </w:r>
      <w:r/>
    </w:p>
    <w:p>
      <w:pPr>
        <w:ind w:firstLine="420"/>
        <w:spacing w:line="460" w:lineRule="exact"/>
        <w:rPr>
          <w:b/>
          <w:sz w:val="28"/>
          <w:szCs w:val="28"/>
        </w:rPr>
      </w:pPr>
      <w:r>
        <w:rPr>
          <w:b/>
          <w:sz w:val="28"/>
          <w:szCs w:val="28"/>
        </w:rPr>
        <w:t xml:space="preserve">（</w:t>
      </w:r>
      <w:r>
        <w:rPr>
          <w:rFonts w:hint="eastAsia"/>
          <w:b/>
          <w:sz w:val="28"/>
          <w:szCs w:val="28"/>
          <w:lang w:val="en-US" w:eastAsia="zh-CN"/>
        </w:rPr>
        <w:t xml:space="preserve">三</w:t>
      </w:r>
      <w:r>
        <w:rPr>
          <w:b/>
          <w:sz w:val="28"/>
          <w:szCs w:val="28"/>
        </w:rPr>
        <w:t xml:space="preserve">）采购人代表宣布评标结果。</w:t>
      </w:r>
      <w:r/>
    </w:p>
    <w:p>
      <w:pPr>
        <w:ind w:firstLine="420"/>
        <w:spacing w:line="460" w:lineRule="exact"/>
        <w:rPr>
          <w:b/>
          <w:sz w:val="28"/>
          <w:szCs w:val="28"/>
        </w:rPr>
      </w:pPr>
      <w:r>
        <w:rPr>
          <w:b/>
          <w:sz w:val="28"/>
          <w:szCs w:val="28"/>
        </w:rPr>
        <w:t xml:space="preserve">（</w:t>
      </w:r>
      <w:r>
        <w:rPr>
          <w:rFonts w:hint="eastAsia"/>
          <w:b/>
          <w:sz w:val="28"/>
          <w:szCs w:val="28"/>
          <w:lang w:val="en-US" w:eastAsia="zh-CN"/>
        </w:rPr>
        <w:t xml:space="preserve">四</w:t>
      </w:r>
      <w:r>
        <w:rPr>
          <w:b/>
          <w:sz w:val="28"/>
          <w:szCs w:val="28"/>
        </w:rPr>
        <w:t xml:space="preserve">）公告中标结果</w:t>
      </w:r>
      <w:r/>
    </w:p>
    <w:p>
      <w:pPr>
        <w:ind w:firstLine="360"/>
        <w:spacing w:line="460" w:lineRule="exact"/>
        <w:rPr>
          <w:bCs/>
          <w:sz w:val="24"/>
        </w:rPr>
      </w:pPr>
      <w:r>
        <w:rPr>
          <w:bCs/>
          <w:sz w:val="24"/>
        </w:rPr>
        <w:t xml:space="preserve">自确定中标人之日起2个工作日内，在江苏政府采购网公告中标结果，公告期限为1个工作日。</w:t>
      </w:r>
      <w:r/>
    </w:p>
    <w:p>
      <w:pPr>
        <w:ind w:firstLine="360"/>
        <w:spacing w:line="460" w:lineRule="exact"/>
        <w:rPr>
          <w:bCs/>
          <w:sz w:val="24"/>
        </w:rPr>
      </w:pPr>
      <w:r>
        <w:rPr>
          <w:bCs/>
          <w:sz w:val="24"/>
        </w:rPr>
      </w:r>
      <w:r/>
    </w:p>
    <w:p>
      <w:pPr>
        <w:rPr>
          <w:bCs/>
          <w:sz w:val="24"/>
        </w:rPr>
      </w:pPr>
      <w:r>
        <w:rPr>
          <w:bCs/>
          <w:sz w:val="24"/>
        </w:rPr>
        <w:br w:type="page" w:clear="all"/>
      </w:r>
      <w:r/>
    </w:p>
    <w:p>
      <w:pPr>
        <w:pStyle w:val="698"/>
      </w:p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7"/>
      <w:r/>
      <w:bookmarkEnd w:id="188"/>
      <w:r/>
      <w:bookmarkEnd w:id="191"/>
      <w:r>
        <w:rPr>
          <w:rFonts w:hint="eastAsia" w:ascii="黑体" w:eastAsia="黑体"/>
          <w:bCs/>
          <w:color w:val="000000"/>
          <w:sz w:val="44"/>
          <w:szCs w:val="28"/>
        </w:rPr>
        <w:t xml:space="preserve">文件格式</w:t>
      </w:r>
      <w:r/>
    </w:p>
    <w:p>
      <w:pPr>
        <w:jc w:val="center"/>
        <w:rPr>
          <w:rFonts w:hint="eastAsia" w:ascii="宋体" w:hAnsi="宋体"/>
          <w:b/>
          <w:color w:val="000000"/>
          <w:sz w:val="72"/>
          <w:szCs w:val="21"/>
        </w:rPr>
      </w:pPr>
      <w:r/>
      <w:bookmarkStart w:id="192" w:name="_Hlt26955039"/>
      <w:r/>
      <w:bookmarkEnd w:id="192"/>
      <w:r/>
      <w:bookmarkStart w:id="193" w:name="_Hlt26671244"/>
      <w:r/>
      <w:bookmarkEnd w:id="193"/>
      <w:r/>
      <w:bookmarkStart w:id="194" w:name="_Toc26554094"/>
      <w:r/>
      <w:bookmarkStart w:id="195" w:name="_Toc120614282"/>
      <w:r/>
      <w:bookmarkStart w:id="196"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开标一览表（格式见附件</w:t>
      </w:r>
      <w:r>
        <w:rPr>
          <w:rFonts w:ascii="宋体" w:hAnsi="宋体"/>
          <w:sz w:val="24"/>
          <w:szCs w:val="21"/>
          <w:highlight w:val="none"/>
        </w:rPr>
        <w:t xml:space="preserve">1</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投标分项报价表（格式见</w:t>
      </w:r>
      <w:r>
        <w:rPr>
          <w:rFonts w:ascii="宋体" w:hAnsi="宋体"/>
          <w:sz w:val="24"/>
          <w:szCs w:val="21"/>
          <w:highlight w:val="none"/>
        </w:rPr>
        <w:t xml:space="preserve">附件2</w:t>
      </w:r>
      <w:r>
        <w:rPr>
          <w:rFonts w:hint="eastAsia" w:ascii="宋体" w:hAnsi="宋体"/>
          <w:sz w:val="24"/>
          <w:szCs w:val="21"/>
          <w:highlight w:val="none"/>
        </w:rPr>
        <w:t xml:space="preserve">）</w:t>
      </w:r>
      <w:r/>
    </w:p>
    <w:p>
      <w:pPr>
        <w:ind w:left="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附件3</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4.</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附件4</w:t>
      </w:r>
      <w:r>
        <w:rPr>
          <w:rFonts w:hint="eastAsia" w:ascii="宋体" w:hAnsi="宋体"/>
          <w:sz w:val="24"/>
          <w:szCs w:val="21"/>
          <w:highlight w:val="none"/>
        </w:rPr>
        <w:t xml:space="preserve">）</w:t>
      </w:r>
      <w:r/>
    </w:p>
    <w:p>
      <w:pPr>
        <w:ind w:left="480"/>
        <w:spacing w:line="400" w:lineRule="exact"/>
        <w:rPr>
          <w:rFonts w:hint="eastAsia" w:ascii="宋体" w:hAnsi="宋体"/>
          <w:sz w:val="24"/>
          <w:szCs w:val="21"/>
          <w:highlight w:val="none"/>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.其他需要提交的证明材料（如有）</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spacing w:line="400" w:lineRule="exact"/>
        <w:rPr>
          <w:rFonts w:hint="eastAsia" w:ascii="宋体" w:hAnsi="宋体"/>
          <w:sz w:val="24"/>
          <w:szCs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cs="宋体"/>
          <w:sz w:val="24"/>
          <w:szCs w:val="24"/>
        </w:rPr>
        <w:t xml:space="preserve">投标人符合《政府采购法》第二十二条规定条件的声明函</w:t>
      </w:r>
      <w:r>
        <w:rPr>
          <w:rFonts w:hint="eastAsia" w:ascii="宋体" w:hAnsi="宋体"/>
          <w:sz w:val="24"/>
          <w:szCs w:val="24"/>
        </w:rPr>
        <w:t xml:space="preserve">（格式见附件</w:t>
      </w:r>
      <w:r>
        <w:rPr>
          <w:rFonts w:hint="eastAsia" w:ascii="宋体" w:hAnsi="宋体"/>
          <w:sz w:val="24"/>
          <w:szCs w:val="24"/>
          <w:lang w:val="en-US" w:eastAsia="zh-CN"/>
        </w:rPr>
        <w:t xml:space="preserve">6</w:t>
      </w:r>
      <w:r>
        <w:rPr>
          <w:rFonts w:hint="eastAsia" w:ascii="宋体" w:hAnsi="宋体"/>
          <w:sz w:val="24"/>
          <w:szCs w:val="24"/>
        </w:rPr>
        <w:t xml:space="preserve">）</w:t>
      </w:r>
      <w:r/>
    </w:p>
    <w:p>
      <w:pPr>
        <w:ind w:firstLine="480"/>
        <w:spacing w:line="400" w:lineRule="exact"/>
        <w:rPr>
          <w:rFonts w:ascii="宋体" w:hAnsi="宋体"/>
          <w:sz w:val="24"/>
          <w:szCs w:val="21"/>
        </w:rPr>
      </w:pPr>
      <w:r>
        <w:rPr>
          <w:rFonts w:hint="eastAsia" w:ascii="宋体" w:hAnsi="宋体"/>
          <w:sz w:val="24"/>
          <w:szCs w:val="21"/>
          <w:lang w:val="en-US" w:eastAsia="zh-CN"/>
        </w:rPr>
        <w:t xml:space="preserve">2</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3</w:t>
      </w:r>
      <w:r>
        <w:rPr>
          <w:rFonts w:hint="eastAsia" w:ascii="宋体" w:hAnsi="宋体"/>
          <w:sz w:val="24"/>
          <w:szCs w:val="21"/>
        </w:rPr>
        <w:t xml:space="preserve">.</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rPr>
        <w:t xml:space="preserve">.投标函（格式见附件</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.法人授权委托书（格式见附件</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p>
    <w:p>
      <w:pPr>
        <w:ind w:firstLine="480"/>
        <w:spacing w:line="400" w:lineRule="exact"/>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落实政府采购政策需满足的资格要求：本项目为专门面向中小企业（含残疾人福利性单位、监狱企业）采购的项目,供应商均应为中小微企业或残疾人福利性单位或监狱企业，并按照采购文件要求提供《中小企业声明函》或《残疾人福利性单位声明函》或监狱和戒毒企业证明材料（格式见附件8.9.10）</w:t>
      </w:r>
      <w:r/>
    </w:p>
    <w:p>
      <w:pPr>
        <w:ind w:firstLine="480"/>
        <w:spacing w:line="400" w:lineRule="exact"/>
        <w:rPr>
          <w:rFonts w:ascii="宋体" w:hAnsi="宋体"/>
          <w:sz w:val="24"/>
          <w:szCs w:val="24"/>
        </w:rPr>
      </w:pPr>
      <w:r>
        <w:rPr>
          <w:rFonts w:hint="eastAsia" w:ascii="宋体" w:hAnsi="宋体"/>
          <w:b/>
          <w:bCs/>
          <w:sz w:val="24"/>
          <w:szCs w:val="24"/>
        </w:rPr>
        <w:t xml:space="preserve">如招标文件要求必须提供相关材料而未提供的，作无效投标处理</w:t>
      </w:r>
      <w:r>
        <w:rPr>
          <w:rFonts w:hint="eastAsia" w:ascii="宋体" w:hAnsi="宋体"/>
          <w:sz w:val="24"/>
          <w:szCs w:val="24"/>
        </w:rPr>
        <w:t xml:space="preserve">。</w:t>
      </w:r>
      <w:r/>
    </w:p>
    <w:p>
      <w:pPr>
        <w:ind w:left="480"/>
        <w:spacing w:line="400" w:lineRule="exact"/>
        <w:rPr>
          <w:rFonts w:hint="eastAsia" w:ascii="宋体" w:hAnsi="宋体" w:eastAsia="宋体" w:cs="Times New Roman"/>
          <w:b/>
          <w:sz w:val="24"/>
          <w:szCs w:val="21"/>
        </w:rPr>
      </w:pPr>
      <w:r>
        <w:rPr>
          <w:rFonts w:hint="eastAsia" w:ascii="宋体" w:hAnsi="宋体" w:eastAsia="宋体" w:cs="Times New Roman"/>
          <w:b/>
          <w:sz w:val="24"/>
          <w:szCs w:val="21"/>
          <w:lang w:val="en-US" w:eastAsia="zh-CN"/>
        </w:rPr>
        <w:t xml:space="preserve">三、</w:t>
      </w:r>
      <w:r>
        <w:rPr>
          <w:rFonts w:hint="eastAsia" w:ascii="宋体" w:hAnsi="宋体" w:eastAsia="宋体" w:cs="Times New Roman"/>
          <w:b/>
          <w:sz w:val="24"/>
          <w:szCs w:val="21"/>
        </w:rPr>
        <w:t xml:space="preserve">符合性审查内容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中的实质性要求</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，否则作无效投标处理。（格式见</w:t>
      </w:r>
      <w:r>
        <w:rPr>
          <w:rFonts w:ascii="宋体" w:hAnsi="宋体"/>
          <w:sz w:val="24"/>
          <w:szCs w:val="21"/>
        </w:rPr>
        <w:t xml:space="preserve">附件</w:t>
      </w:r>
      <w:r>
        <w:rPr>
          <w:rFonts w:hint="eastAsia" w:ascii="宋体" w:hAnsi="宋体"/>
          <w:sz w:val="24"/>
          <w:szCs w:val="21"/>
          <w:lang w:val="en-US" w:eastAsia="zh-CN"/>
        </w:rPr>
        <w:t xml:space="preserve">12</w:t>
      </w:r>
      <w:r>
        <w:rPr>
          <w:rFonts w:hint="eastAsia" w:ascii="宋体" w:hAnsi="宋体"/>
          <w:sz w:val="24"/>
          <w:szCs w:val="21"/>
        </w:rPr>
        <w:t xml:space="preserve">）</w:t>
      </w:r>
      <w:r/>
    </w:p>
    <w:p>
      <w:pPr>
        <w:ind w:left="480"/>
        <w:spacing w:line="400" w:lineRule="exact"/>
        <w:rPr>
          <w:rFonts w:hint="eastAsia" w:ascii="宋体" w:hAnsi="宋体" w:eastAsia="宋体" w:cs="Times New Roman"/>
          <w:b/>
          <w:sz w:val="24"/>
          <w:szCs w:val="21"/>
          <w:lang w:val="en-US" w:eastAsia="zh-CN"/>
        </w:rPr>
      </w:pPr>
      <w:r>
        <w:rPr>
          <w:rFonts w:hint="eastAsia" w:ascii="宋体" w:hAnsi="宋体" w:eastAsia="宋体" w:cs="Times New Roman"/>
          <w:b/>
          <w:sz w:val="24"/>
          <w:szCs w:val="21"/>
          <w:lang w:val="en-US" w:eastAsia="zh-CN"/>
        </w:rPr>
        <w:t xml:space="preserve">四、价格扣除证明文件</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关于符合本国产品标准的声明函（格式见附件</w:t>
      </w: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rPr>
        <w:t xml:space="preserve">）</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ind w:left="480"/>
        <w:rPr>
          <w:rFonts w:ascii="宋体" w:hAnsi="宋体"/>
          <w:b/>
          <w:bCs/>
          <w:sz w:val="24"/>
          <w:szCs w:val="24"/>
        </w:rPr>
      </w:pPr>
      <w:r>
        <w:rPr>
          <w:rFonts w:ascii="宋体" w:hAnsi="宋体"/>
          <w:b/>
          <w:bCs/>
          <w:sz w:val="24"/>
          <w:szCs w:val="24"/>
        </w:rPr>
      </w:r>
      <w:r/>
    </w:p>
    <w:p>
      <w:pPr>
        <w:ind w:left="480"/>
        <w:rPr>
          <w:rFonts w:ascii="宋体" w:hAnsi="宋体"/>
          <w:b/>
          <w:bCs/>
          <w:sz w:val="24"/>
          <w:szCs w:val="24"/>
        </w:rPr>
      </w:pPr>
      <w:r>
        <w:rPr>
          <w:rFonts w:ascii="宋体" w:hAnsi="宋体"/>
          <w:b/>
          <w:bCs/>
          <w:sz w:val="24"/>
          <w:szCs w:val="24"/>
        </w:rPr>
      </w:r>
      <w:r/>
    </w:p>
    <w:p>
      <w:pPr>
        <w:pStyle w:val="698"/>
        <w:rPr>
          <w:rFonts w:ascii="宋体" w:hAnsi="宋体"/>
          <w:b/>
          <w:sz w:val="24"/>
          <w:szCs w:val="21"/>
        </w:rPr>
      </w:pPr>
      <w:r>
        <w:rPr>
          <w:rFonts w:ascii="宋体" w:hAnsi="宋体"/>
          <w:b/>
          <w:sz w:val="24"/>
          <w:szCs w:val="21"/>
        </w:rPr>
      </w:r>
      <w:r/>
    </w:p>
    <w:p>
      <w:pPr>
        <w:pStyle w:val="987"/>
        <w:jc w:val="left"/>
        <w:keepNext w:val="0"/>
        <w:widowControl/>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p>
    <w:p>
      <w:pPr>
        <w:pStyle w:val="987"/>
        <w:keepNext w:val="0"/>
        <w:widowControl/>
        <w:rPr>
          <w:rFonts w:hint="eastAsia" w:ascii="宋体" w:hAnsi="宋体" w:eastAsia="宋体" w:cs="宋体"/>
          <w:sz w:val="32"/>
          <w:szCs w:val="32"/>
        </w:rPr>
      </w:pPr>
      <w:r>
        <w:rPr>
          <w:rStyle w:val="945"/>
          <w:rFonts w:hint="eastAsia" w:ascii="宋体" w:hAnsi="宋体" w:eastAsia="宋体" w:cs="宋体"/>
          <w:sz w:val="32"/>
          <w:szCs w:val="32"/>
        </w:rPr>
        <w:t xml:space="preserve">开标一览表</w:t>
      </w:r>
      <w:r/>
    </w:p>
    <w:p>
      <w:pPr>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项目名称 : </w:t>
      </w:r>
      <w:r/>
    </w:p>
    <w:p>
      <w:pPr>
        <w:jc w:val="left"/>
        <w:spacing w:before="100" w:beforeAutospacing="1" w:after="100" w:afterAutospacing="1"/>
        <w:widowControl/>
        <w:rPr>
          <w:rFonts w:ascii="宋体" w:hAnsi="宋体" w:eastAsia="宋体" w:cs="宋体"/>
          <w:sz w:val="28"/>
          <w:szCs w:val="28"/>
        </w:rPr>
      </w:pPr>
      <w:r>
        <w:rPr>
          <w:rFonts w:hint="eastAsia" w:ascii="宋体" w:hAnsi="宋体" w:eastAsia="宋体" w:cs="宋体"/>
          <w:sz w:val="28"/>
          <w:szCs w:val="28"/>
        </w:rPr>
        <w:t xml:space="preserve">货币单位</w:t>
      </w:r>
      <w:r>
        <w:rPr>
          <w:rFonts w:ascii="宋体" w:hAnsi="宋体" w:eastAsia="宋体" w:cs="宋体"/>
          <w:sz w:val="28"/>
          <w:szCs w:val="28"/>
        </w:rPr>
        <w:t xml:space="preserve">: </w:t>
      </w:r>
      <w:r>
        <w:rPr>
          <w:rFonts w:hint="eastAsia" w:ascii="宋体" w:hAnsi="宋体" w:eastAsia="宋体" w:cs="宋体"/>
          <w:sz w:val="28"/>
          <w:szCs w:val="28"/>
        </w:rPr>
        <w:t xml:space="preserve">人民币元</w:t>
      </w:r>
      <w:r>
        <w:rPr>
          <w:rFonts w:ascii="宋体" w:hAnsi="宋体" w:eastAsia="宋体" w:cs="宋体"/>
          <w:sz w:val="28"/>
          <w:szCs w:val="28"/>
        </w:rPr>
        <w:t xml:space="preserve"> </w:t>
      </w:r>
      <w:r/>
    </w:p>
    <w:tbl>
      <w:tblPr>
        <w:tblStyle w:val="697"/>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1239"/>
        <w:gridCol w:w="3662"/>
        <w:gridCol w:w="3662"/>
        <w:gridCol w:w="1296"/>
      </w:tblGrid>
      <w:tr>
        <w:trPr>
          <w:tblCellSpacing w:w="15" w:type="dxa"/>
          <w:trHeight w:val="671"/>
        </w:trPr>
        <w:tc>
          <w:tcPr>
            <w:tcW w:w="1194" w:type="dxa"/>
            <w:vAlign w:val="center"/>
            <w:textDirection w:val="lrTb"/>
            <w:noWrap w:val="false"/>
          </w:tcPr>
          <w:p>
            <w:pPr>
              <w:jc w:val="left"/>
              <w:spacing w:before="100" w:beforeAutospacing="1" w:after="100" w:afterAutospacing="1"/>
              <w:widowControl/>
              <w:rPr>
                <w:rFonts w:ascii="宋体" w:hAnsi="宋体" w:cs="宋体"/>
                <w:sz w:val="28"/>
                <w:szCs w:val="28"/>
              </w:rPr>
            </w:pPr>
            <w:r>
              <w:rPr>
                <w:rFonts w:hint="eastAsia" w:ascii="宋体" w:hAnsi="宋体" w:cs="宋体"/>
                <w:sz w:val="28"/>
                <w:szCs w:val="28"/>
                <w:lang w:val="en-US" w:eastAsia="zh-CN"/>
              </w:rPr>
              <w:t xml:space="preserve">项目</w:t>
            </w:r>
            <w:r>
              <w:rPr>
                <w:rFonts w:ascii="宋体" w:hAnsi="宋体" w:cs="宋体"/>
                <w:sz w:val="28"/>
                <w:szCs w:val="28"/>
              </w:rPr>
              <w:t xml:space="preserve">名称</w:t>
            </w:r>
            <w:r/>
          </w:p>
        </w:tc>
        <w:tc>
          <w:tcPr>
            <w:tcW w:w="3632" w:type="dxa"/>
            <w:vAlign w:val="center"/>
            <w:textDirection w:val="lrTb"/>
            <w:noWrap w:val="false"/>
          </w:tcPr>
          <w:p>
            <w:pPr>
              <w:jc w:val="left"/>
              <w:spacing w:before="100" w:beforeAutospacing="1" w:after="100" w:afterAutospacing="1"/>
              <w:widowControl/>
              <w:rPr>
                <w:rFonts w:hint="eastAsia" w:ascii="宋体" w:hAnsi="宋体" w:cs="宋体"/>
                <w:sz w:val="28"/>
                <w:szCs w:val="28"/>
                <w:lang w:val="en-US" w:eastAsia="zh-CN"/>
              </w:rPr>
            </w:pPr>
            <w:r>
              <w:rPr>
                <w:rFonts w:hint="eastAsia" w:ascii="宋体" w:hAnsi="宋体" w:cs="宋体"/>
                <w:sz w:val="28"/>
                <w:szCs w:val="28"/>
                <w:lang w:val="en-US" w:eastAsia="zh-CN"/>
              </w:rPr>
              <w:t xml:space="preserve">报价项目品牌规格型号</w:t>
            </w:r>
            <w:r/>
          </w:p>
        </w:tc>
        <w:tc>
          <w:tcPr>
            <w:tcW w:w="3632" w:type="dxa"/>
            <w:vAlign w:val="center"/>
            <w:textDirection w:val="lrTb"/>
            <w:noWrap w:val="false"/>
          </w:tcPr>
          <w:p>
            <w:pPr>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优惠率（%）</w:t>
            </w:r>
            <w:r/>
          </w:p>
        </w:tc>
        <w:tc>
          <w:tcPr>
            <w:tcW w:w="1251" w:type="dxa"/>
            <w:vAlign w:val="center"/>
            <w:textDirection w:val="lrTb"/>
            <w:noWrap w:val="false"/>
          </w:tcPr>
          <w:p>
            <w:pPr>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备注</w:t>
            </w:r>
            <w:r/>
          </w:p>
        </w:tc>
      </w:tr>
      <w:tr>
        <w:trPr>
          <w:tblCellSpacing w:w="15" w:type="dxa"/>
          <w:trHeight w:val="671"/>
        </w:trPr>
        <w:tc>
          <w:tcPr>
            <w:tcW w:w="1194" w:type="dxa"/>
            <w:vAlign w:val="center"/>
            <w:textDirection w:val="lrTb"/>
            <w:noWrap w:val="false"/>
          </w:tcPr>
          <w:p>
            <w:pPr>
              <w:jc w:val="left"/>
              <w:spacing w:before="100" w:beforeAutospacing="1" w:after="100" w:afterAutospacing="1"/>
              <w:widowControl/>
              <w:rPr>
                <w:rFonts w:ascii="宋体" w:hAnsi="宋体" w:cs="宋体"/>
                <w:sz w:val="28"/>
                <w:szCs w:val="28"/>
              </w:rPr>
            </w:pPr>
            <w:r>
              <w:rPr>
                <w:rFonts w:hint="eastAsia" w:ascii="宋体" w:hAnsi="宋体" w:cs="宋体"/>
                <w:sz w:val="28"/>
                <w:szCs w:val="28"/>
                <w:lang w:val="en-US" w:eastAsia="zh-CN"/>
              </w:rPr>
              <w:t xml:space="preserve">项目</w:t>
            </w:r>
            <w:r>
              <w:rPr>
                <w:rFonts w:ascii="宋体" w:hAnsi="宋体" w:cs="宋体"/>
                <w:sz w:val="28"/>
                <w:szCs w:val="28"/>
              </w:rPr>
              <w:t xml:space="preserve">名称</w:t>
            </w:r>
            <w:r/>
          </w:p>
        </w:tc>
        <w:tc>
          <w:tcPr>
            <w:tcW w:w="3632" w:type="dxa"/>
            <w:vAlign w:val="center"/>
            <w:textDirection w:val="lrTb"/>
            <w:noWrap w:val="false"/>
          </w:tcPr>
          <w:p>
            <w:pPr>
              <w:jc w:val="left"/>
              <w:spacing w:before="100" w:beforeAutospacing="1" w:after="100" w:afterAutospacing="1"/>
              <w:widowControl/>
              <w:rPr>
                <w:rFonts w:hint="eastAsia" w:ascii="宋体" w:hAnsi="宋体" w:cs="宋体"/>
                <w:sz w:val="28"/>
                <w:szCs w:val="28"/>
                <w:lang w:val="en-US" w:eastAsia="zh-CN"/>
              </w:rPr>
            </w:pPr>
            <w:r>
              <w:rPr>
                <w:rFonts w:hint="eastAsia" w:ascii="宋体" w:hAnsi="宋体" w:cs="宋体"/>
                <w:sz w:val="28"/>
                <w:szCs w:val="28"/>
                <w:lang w:val="en-US" w:eastAsia="zh-CN"/>
              </w:rPr>
              <w:t xml:space="preserve">详见投标文件</w:t>
            </w:r>
            <w:r/>
          </w:p>
        </w:tc>
        <w:tc>
          <w:tcPr>
            <w:tcW w:w="3632" w:type="dxa"/>
            <w:vAlign w:val="center"/>
            <w:textDirection w:val="lrTb"/>
            <w:noWrap w:val="false"/>
          </w:tcPr>
          <w:p>
            <w:pPr>
              <w:jc w:val="left"/>
              <w:spacing w:before="100" w:beforeAutospacing="1" w:after="100" w:afterAutospacing="1"/>
              <w:widowControl/>
              <w:rPr>
                <w:rFonts w:ascii="宋体" w:hAnsi="宋体" w:cs="宋体"/>
                <w:sz w:val="28"/>
                <w:szCs w:val="28"/>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85800" cy="2286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solidFill>
                                <a:srgbClr val="FFFFFF"/>
                              </a:solidFill>
                              <a:ln>
                                <a:noFill/>
                              </a:ln>
                            </wps:spPr>
                            <wps:txbx>
                              <w:txbxContent>
                                <w:p>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0pt;mso-position-horizontal:absolute;mso-position-vertical-relative:text;margin-top:0.0pt;mso-position-vertical:absolute;width:54.0pt;height:18.0pt;mso-wrap-distance-left:9.0pt;mso-wrap-distance-top:0.0pt;mso-wrap-distance-right:9.0pt;mso-wrap-distance-bottom:0.0pt;visibility:visible;" fillcolor="#FFFFFF" stroked="f">
                      <v:textbox inset="0,0,0,0">
                        <w:txbxContent>
                          <w:p>
                            <w:r/>
                            <w:r/>
                          </w:p>
                          <w:p>
                            <w:r/>
                            <w:r/>
                          </w:p>
                        </w:txbxContent>
                      </v:textbox>
                    </v:shape>
                  </w:pict>
                </mc:Fallback>
              </mc:AlternateContent>
            </w:r>
            <w:r>
              <w:rPr>
                <w:rFonts w:ascii="宋体" w:hAnsi="宋体" w:cs="宋体"/>
                <w:sz w:val="28"/>
                <w:szCs w:val="28"/>
              </w:rPr>
              <w:t xml:space="preserve">%</w:t>
            </w:r>
            <w:r/>
          </w:p>
        </w:tc>
        <w:tc>
          <w:tcPr>
            <w:tcW w:w="1251" w:type="dxa"/>
            <w:vAlign w:val="center"/>
            <w:textDirection w:val="lrTb"/>
            <w:noWrap w:val="false"/>
          </w:tcPr>
          <w:p>
            <w:pPr>
              <w:jc w:val="left"/>
              <w:spacing w:before="100" w:beforeAutospacing="1" w:after="100" w:afterAutospacing="1"/>
              <w:widowControl/>
              <w:rPr>
                <w:rFonts w:ascii="宋体" w:hAnsi="宋体" w:cs="宋体"/>
                <w:sz w:val="28"/>
                <w:szCs w:val="28"/>
              </w:rPr>
            </w:pPr>
            <w:r>
              <w:rPr>
                <w:rFonts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685800" cy="2286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solidFill>
                                <a:srgbClr val="FFFFFF"/>
                              </a:solidFill>
                              <a:ln>
                                <a:noFill/>
                              </a:ln>
                            </wps:spPr>
                            <wps:txbx>
                              <w:txbxContent>
                                <w:p>
                                  <w:r/>
                                  <w:r/>
                                </w:p>
                                <w:p>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0.0pt;mso-position-horizontal:absolute;mso-position-vertical-relative:text;margin-top:0.0pt;mso-position-vertical:absolute;width:54.0pt;height:18.0pt;mso-wrap-distance-left:9.0pt;mso-wrap-distance-top:0.0pt;mso-wrap-distance-right:9.0pt;mso-wrap-distance-bottom:0.0pt;visibility:visible;" fillcolor="#FFFFFF" stroked="f">
                      <v:textbox inset="0,0,0,0">
                        <w:txbxContent>
                          <w:p>
                            <w:r/>
                            <w:r/>
                          </w:p>
                          <w:p>
                            <w:r/>
                            <w:r/>
                          </w:p>
                        </w:txbxContent>
                      </v:textbox>
                    </v:shape>
                  </w:pict>
                </mc:Fallback>
              </mc:AlternateContent>
            </w:r>
            <w:r/>
          </w:p>
        </w:tc>
      </w:tr>
    </w:tbl>
    <w:p>
      <w:pPr>
        <w:jc w:val="left"/>
        <w:spacing w:before="100" w:beforeAutospacing="1" w:after="100" w:afterAutospacing="1"/>
        <w:widowControl/>
        <w:rPr>
          <w:rFonts w:ascii="宋体" w:hAnsi="宋体" w:cs="宋体"/>
          <w:sz w:val="28"/>
          <w:szCs w:val="28"/>
        </w:rPr>
      </w:pPr>
      <w:r>
        <w:rPr>
          <w:rFonts w:ascii="宋体" w:hAnsi="宋体" w:cs="宋体"/>
          <w:sz w:val="28"/>
          <w:szCs w:val="28"/>
        </w:rPr>
        <w:t xml:space="preserve">投标人(公章）：</w:t>
      </w:r>
      <w:r/>
    </w:p>
    <w:p>
      <w:pPr>
        <w:jc w:val="left"/>
        <w:spacing w:before="100" w:beforeAutospacing="1" w:after="100" w:afterAutospacing="1"/>
        <w:widowControl/>
        <w:rPr>
          <w:rFonts w:ascii="宋体" w:hAnsi="宋体" w:eastAsia="宋体" w:cs="宋体"/>
          <w:sz w:val="28"/>
          <w:szCs w:val="28"/>
          <w:lang w:val="en-US" w:eastAsia="zh-CN"/>
        </w:rPr>
      </w:pPr>
      <w:r>
        <w:rPr>
          <w:rFonts w:hint="eastAsia" w:ascii="宋体" w:hAnsi="宋体" w:cs="宋体"/>
          <w:sz w:val="28"/>
          <w:szCs w:val="28"/>
          <w:lang w:val="en-US" w:eastAsia="zh-CN"/>
        </w:rPr>
        <w:t xml:space="preserve">日期：   年   月   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360" w:lineRule="auto"/>
        <w:rPr>
          <w:rFonts w:ascii="宋体" w:hAnsi="宋体" w:cs="宋体"/>
          <w:b/>
          <w:sz w:val="28"/>
          <w:szCs w:val="28"/>
        </w:rPr>
      </w:pPr>
      <w:r>
        <w:rPr>
          <w:rFonts w:hint="eastAsia" w:ascii="宋体" w:hAnsi="宋体" w:cs="宋体"/>
          <w:b/>
          <w:sz w:val="28"/>
          <w:szCs w:val="28"/>
        </w:rPr>
        <w:t xml:space="preserve">注：</w:t>
      </w:r>
      <w:r/>
    </w:p>
    <w:p>
      <w:pPr>
        <w:contextualSpacing/>
        <w:ind w:firstLine="540"/>
        <w:spacing w:line="360" w:lineRule="auto"/>
        <w:rPr>
          <w:rFonts w:ascii="宋体" w:hAnsi="宋体" w:cs="宋体"/>
          <w:b/>
          <w:sz w:val="28"/>
          <w:szCs w:val="28"/>
        </w:rPr>
      </w:pPr>
      <w:r>
        <w:rPr>
          <w:rFonts w:hint="eastAsia" w:ascii="宋体" w:hAnsi="宋体" w:cs="宋体"/>
          <w:b/>
          <w:sz w:val="28"/>
          <w:szCs w:val="28"/>
        </w:rPr>
        <w:t xml:space="preserve">1.本表格式见苏采云系统内表式；</w:t>
      </w:r>
      <w:r/>
    </w:p>
    <w:p>
      <w:pPr>
        <w:ind w:firstLine="560"/>
        <w:spacing w:line="360" w:lineRule="auto"/>
        <w:rPr>
          <w:rFonts w:ascii="宋体" w:hAnsi="宋体" w:cs="宋体"/>
          <w:sz w:val="28"/>
          <w:szCs w:val="28"/>
          <w:highlight w:val="cyan"/>
        </w:rPr>
      </w:pPr>
      <w:r>
        <w:rPr>
          <w:rFonts w:hint="eastAsia" w:ascii="宋体" w:hAnsi="宋体" w:cs="宋体"/>
          <w:b/>
          <w:bCs/>
          <w:sz w:val="28"/>
          <w:szCs w:val="28"/>
        </w:rPr>
        <w:t xml:space="preserve">2.本项目采用</w:t>
      </w:r>
      <w:r>
        <w:rPr>
          <w:rFonts w:hint="eastAsia" w:ascii="宋体" w:hAnsi="宋体" w:cs="宋体"/>
          <w:b/>
          <w:bCs/>
          <w:sz w:val="28"/>
          <w:szCs w:val="28"/>
          <w:lang w:val="en-US" w:eastAsia="zh-CN"/>
        </w:rPr>
        <w:t xml:space="preserve">统一</w:t>
      </w:r>
      <w:r>
        <w:rPr>
          <w:rFonts w:hint="eastAsia" w:ascii="宋体" w:hAnsi="宋体" w:cs="宋体"/>
          <w:b/>
          <w:bCs/>
          <w:sz w:val="28"/>
          <w:szCs w:val="28"/>
        </w:rPr>
        <w:t xml:space="preserve">优惠率报价方式</w:t>
      </w:r>
      <w:r>
        <w:rPr>
          <w:rFonts w:hint="eastAsia" w:ascii="宋体" w:hAnsi="宋体" w:cs="宋体"/>
          <w:b/>
          <w:bCs/>
          <w:sz w:val="28"/>
          <w:szCs w:val="28"/>
          <w:highlight w:val="none"/>
        </w:rPr>
        <w:t xml:space="preserve">，以货物清单中各品种单价限价为基础，</w:t>
      </w:r>
      <w:r>
        <w:rPr>
          <w:rFonts w:hint="eastAsia" w:ascii="宋体" w:hAnsi="宋体" w:cs="宋体"/>
          <w:b/>
          <w:bCs/>
          <w:sz w:val="28"/>
          <w:szCs w:val="28"/>
        </w:rPr>
        <w:t xml:space="preserve">优惠率为百分数，0.00%≤优惠率＜100.00%，最多精确到小数点后两位，超出此范围的投标报价为无效报价。</w:t>
      </w:r>
      <w:r/>
    </w:p>
    <w:p>
      <w:pPr>
        <w:contextualSpacing/>
        <w:ind w:firstLine="540"/>
        <w:spacing w:line="400" w:lineRule="exact"/>
        <w:rPr>
          <w:b/>
          <w:sz w:val="28"/>
          <w:szCs w:val="28"/>
        </w:rPr>
      </w:pPr>
      <w:r>
        <w:rPr>
          <w:rFonts w:hint="eastAsia" w:ascii="宋体" w:hAnsi="宋体" w:cs="宋体"/>
          <w:b/>
          <w:bCs/>
          <w:sz w:val="28"/>
          <w:szCs w:val="28"/>
        </w:rPr>
        <w:t xml:space="preserve">(★特别提醒，因苏采云系统仅默认优惠率报价方式，供应商须统一按优惠率进行报价。优惠率是指价格下降幅度的百分比。投标单位应慎重报价，</w:t>
      </w:r>
      <w:r>
        <w:rPr>
          <w:rFonts w:hint="eastAsia" w:ascii="宋体" w:hAnsi="宋体" w:cs="宋体"/>
          <w:b/>
          <w:bCs/>
          <w:sz w:val="28"/>
          <w:szCs w:val="28"/>
          <w:highlight w:val="yellow"/>
        </w:rPr>
        <w:t xml:space="preserve">切勿报反</w:t>
      </w:r>
      <w:r>
        <w:rPr>
          <w:rFonts w:hint="eastAsia" w:ascii="宋体" w:hAnsi="宋体" w:cs="宋体"/>
          <w:b/>
          <w:bCs/>
          <w:sz w:val="28"/>
          <w:szCs w:val="28"/>
        </w:rPr>
        <w:t xml:space="preserve">。所报优惠率越高，则表示合同单价越低。)</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p>
    <w:p>
      <w:pPr>
        <w:jc w:val="center"/>
        <w:rPr>
          <w:rFonts w:hint="eastAsia" w:ascii="宋体" w:hAnsi="宋体"/>
          <w:b/>
          <w:sz w:val="24"/>
          <w:szCs w:val="24"/>
        </w:rPr>
      </w:pPr>
      <w:r>
        <w:rPr>
          <w:rFonts w:hint="eastAsia" w:ascii="宋体" w:hAnsi="宋体"/>
          <w:b/>
          <w:sz w:val="24"/>
          <w:szCs w:val="24"/>
        </w:rPr>
        <w:t xml:space="preserve"> 投标分项报价表</w:t>
      </w:r>
      <w:r/>
    </w:p>
    <w:tbl>
      <w:tblPr>
        <w:tblStyle w:val="990"/>
        <w:tblW w:w="49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7"/>
        <w:gridCol w:w="1573"/>
        <w:gridCol w:w="2998"/>
        <w:gridCol w:w="1502"/>
        <w:gridCol w:w="1200"/>
        <w:gridCol w:w="2073"/>
      </w:tblGrid>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序号</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品种名称</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ascii="Times New Roman" w:hAnsi="Times New Roman" w:eastAsia="宋体" w:cs="Times New Roman"/>
                <w:spacing w:val="5"/>
              </w:rPr>
              <w:t xml:space="preserve">参数</w:t>
            </w:r>
            <w:r/>
          </w:p>
        </w:tc>
        <w:tc>
          <w:tcPr>
            <w:tcW w:w="1502"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投标品牌</w:t>
            </w:r>
            <w:r/>
          </w:p>
        </w:tc>
        <w:tc>
          <w:tcPr>
            <w:tcW w:w="1200"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单价限价(万元/吨)</w:t>
            </w:r>
            <w:r/>
          </w:p>
        </w:tc>
        <w:tc>
          <w:tcPr>
            <w:tcW w:w="20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优惠后单价(万元/吨)</w:t>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腐霉利</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50%有效成分含量，可湿性粉剂</w:t>
            </w:r>
            <w:r/>
          </w:p>
        </w:tc>
        <w:tc>
          <w:tcPr>
            <w:tcW w:w="1502"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16</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2</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异菌脲</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255克/升有效成分含量，悬浮剂</w:t>
            </w:r>
            <w:r/>
          </w:p>
        </w:tc>
        <w:tc>
          <w:tcPr>
            <w:tcW w:w="1502"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14</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3</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噻虫嗪</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≥25%有效成分含量，水分散粒剂或种子处理悬浮剂</w:t>
            </w:r>
            <w:r/>
          </w:p>
        </w:tc>
        <w:tc>
          <w:tcPr>
            <w:tcW w:w="1502"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13</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r>
      <w:tr>
        <w:trPr>
          <w:jc w:val="center"/>
          <w:trHeight w:val="629"/>
        </w:trPr>
        <w:tc>
          <w:tcPr>
            <w:tcW w:w="607"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4</w:t>
            </w:r>
            <w:r/>
          </w:p>
        </w:tc>
        <w:tc>
          <w:tcPr>
            <w:tcW w:w="1573"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rPr>
              <w:t xml:space="preserve">微量元素水溶肥料</w:t>
            </w:r>
            <w:r/>
          </w:p>
        </w:tc>
        <w:tc>
          <w:tcPr>
            <w:tcW w:w="2998" w:type="dxa"/>
            <w:vAlign w:val="center"/>
            <w:textDirection w:val="lrTb"/>
            <w:noWrap w:val="false"/>
          </w:tcPr>
          <w:p>
            <w:pPr>
              <w:jc w:val="center"/>
              <w:keepLines w:val="0"/>
              <w:keepNext w:val="0"/>
              <w:widowControl/>
              <w:rPr>
                <w:rFonts w:hint="eastAsia"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颗粒，B≥10%，粒度(1.00mm-4.75mm)≥90%</w:t>
            </w:r>
            <w:r/>
          </w:p>
        </w:tc>
        <w:tc>
          <w:tcPr>
            <w:tcW w:w="1502"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c>
          <w:tcPr>
            <w:tcW w:w="1200"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eastAsia" w:ascii="Times New Roman" w:hAnsi="Times New Roman" w:eastAsia="宋体" w:cs="Times New Roman"/>
                <w:spacing w:val="5"/>
                <w:lang w:val="en-US" w:eastAsia="zh-CN"/>
              </w:rPr>
              <w:t xml:space="preserve">2.4</w:t>
            </w:r>
            <w:r/>
          </w:p>
        </w:tc>
        <w:tc>
          <w:tcPr>
            <w:tcW w:w="207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r>
            <w:r/>
          </w:p>
        </w:tc>
      </w:tr>
      <w:tr>
        <w:trPr>
          <w:jc w:val="center"/>
          <w:trHeight w:val="629"/>
        </w:trPr>
        <w:tc>
          <w:tcPr>
            <w:gridSpan w:val="6"/>
            <w:tcW w:w="9953" w:type="dxa"/>
            <w:vAlign w:val="center"/>
            <w:textDirection w:val="lrTb"/>
            <w:noWrap w:val="false"/>
          </w:tcPr>
          <w:p>
            <w:pPr>
              <w:jc w:val="center"/>
              <w:keepLines w:val="0"/>
              <w:keepNext w:val="0"/>
              <w:widowControl/>
              <w:rPr>
                <w:rFonts w:hint="default" w:ascii="Times New Roman" w:hAnsi="Times New Roman" w:eastAsia="宋体" w:cs="Times New Roman"/>
                <w:spacing w:val="5"/>
                <w:lang w:val="en-US" w:eastAsia="zh-CN"/>
              </w:rPr>
              <w:suppressLineNumbers w:val="0"/>
            </w:pPr>
            <w:r>
              <w:rPr>
                <w:rFonts w:hint="default" w:ascii="Times New Roman" w:hAnsi="Times New Roman" w:eastAsia="宋体" w:cs="Times New Roman"/>
                <w:spacing w:val="5"/>
                <w:lang w:val="en-US" w:eastAsia="zh-CN"/>
              </w:rPr>
              <w:t xml:space="preserve">本采购包中提供的符合本国产品标准的产品成本之和占该采购包提供的全部产品成本之和的比例为</w:t>
            </w:r>
            <w:r>
              <w:rPr>
                <w:rFonts w:hint="default" w:ascii="Times New Roman" w:hAnsi="Times New Roman" w:eastAsia="宋体" w:cs="Times New Roman"/>
                <w:spacing w:val="5"/>
                <w:u w:val="single"/>
                <w:lang w:val="en-US" w:eastAsia="zh-CN"/>
              </w:rPr>
              <w:t xml:space="preserve">     </w:t>
            </w:r>
            <w:r>
              <w:rPr>
                <w:rFonts w:hint="default" w:ascii="Times New Roman" w:hAnsi="Times New Roman" w:eastAsia="宋体" w:cs="Times New Roman"/>
                <w:spacing w:val="5"/>
                <w:lang w:val="en-US" w:eastAsia="zh-CN"/>
              </w:rPr>
              <w:t xml:space="preserve">%。</w:t>
            </w:r>
            <w:r/>
          </w:p>
        </w:tc>
      </w:tr>
    </w:tbl>
    <w:p>
      <w:pPr>
        <w:spacing w:line="400" w:lineRule="exact"/>
        <w:rPr>
          <w:rFonts w:ascii="宋体" w:hAnsi="宋体"/>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sz w:val="24"/>
          <w:szCs w:val="24"/>
          <w:lang w:val="en-US" w:eastAsia="zh-CN"/>
        </w:rPr>
        <w:t xml:space="preserve">优惠后</w:t>
      </w:r>
      <w:r>
        <w:rPr>
          <w:rFonts w:hint="eastAsia" w:ascii="宋体" w:hAnsi="宋体"/>
          <w:sz w:val="24"/>
          <w:szCs w:val="24"/>
        </w:rPr>
        <w:t xml:space="preserve">单价</w:t>
      </w:r>
      <w:r>
        <w:rPr>
          <w:rFonts w:hint="eastAsia" w:ascii="宋体" w:hAnsi="宋体" w:eastAsia="宋体" w:cs="宋体"/>
          <w:color w:val="000000"/>
          <w:sz w:val="24"/>
          <w:szCs w:val="24"/>
        </w:rPr>
        <w:t xml:space="preserve">为全费用单价，包含</w:t>
      </w:r>
      <w:r>
        <w:rPr>
          <w:rFonts w:hint="eastAsia" w:ascii="宋体" w:hAnsi="宋体" w:eastAsia="宋体" w:cs="宋体"/>
          <w:color w:val="000000"/>
          <w:sz w:val="24"/>
          <w:szCs w:val="24"/>
          <w:lang w:val="en-US" w:eastAsia="zh-CN"/>
        </w:rPr>
        <w:t xml:space="preserve">但不限于</w:t>
      </w:r>
      <w:r>
        <w:rPr>
          <w:rFonts w:hint="eastAsia" w:ascii="宋体" w:hAnsi="宋体" w:eastAsia="宋体" w:cs="宋体"/>
          <w:color w:val="000000"/>
          <w:sz w:val="24"/>
          <w:szCs w:val="24"/>
        </w:rPr>
        <w:t xml:space="preserve">货物费、运输费、人工、专用设备、工具、易耗品、保险、各种税费、利润、政策性文件规定及合同包含的所有风险、责任等的</w:t>
      </w:r>
      <w:r>
        <w:rPr>
          <w:rFonts w:hint="eastAsia" w:ascii="宋体" w:hAnsi="宋体" w:eastAsia="宋体" w:cs="宋体"/>
          <w:color w:val="000000"/>
          <w:sz w:val="24"/>
          <w:szCs w:val="24"/>
          <w:lang w:val="en-US" w:eastAsia="zh-CN"/>
        </w:rPr>
        <w:t xml:space="preserve">一切</w:t>
      </w:r>
      <w:r>
        <w:rPr>
          <w:rFonts w:hint="eastAsia" w:ascii="宋体" w:hAnsi="宋体" w:eastAsia="宋体" w:cs="宋体"/>
          <w:color w:val="000000"/>
          <w:sz w:val="24"/>
          <w:szCs w:val="24"/>
        </w:rPr>
        <w:t xml:space="preserve">费用，招标文件中另有规定的除外。</w:t>
      </w:r>
      <w:r/>
    </w:p>
    <w:p>
      <w:pPr>
        <w:spacing w:line="400" w:lineRule="exact"/>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b/>
          <w:sz w:val="24"/>
          <w:szCs w:val="24"/>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.投标人需认真填写本报价表。</w:t>
      </w:r>
      <w:r/>
    </w:p>
    <w:p>
      <w:pPr>
        <w:spacing w:line="400" w:lineRule="exact"/>
        <w:rPr>
          <w:rFonts w:hint="eastAsia" w:ascii="宋体" w:hAnsi="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.项目经办人可以根据项目实际需要对表格结构进行调整</w:t>
      </w:r>
      <w:r>
        <w:rPr>
          <w:rFonts w:ascii="宋体" w:hAnsi="宋体"/>
          <w:sz w:val="24"/>
          <w:szCs w:val="21"/>
        </w:rPr>
        <w:t xml:space="preserve">。</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bCs/>
          <w:sz w:val="24"/>
          <w:szCs w:val="24"/>
        </w:rPr>
      </w:pPr>
      <w:r>
        <w:rPr>
          <w:rFonts w:hint="eastAsia" w:ascii="宋体" w:hAnsi="宋体"/>
          <w:b/>
          <w:bCs/>
          <w:sz w:val="24"/>
          <w:szCs w:val="24"/>
        </w:rPr>
      </w:r>
      <w:r/>
    </w:p>
    <w:p>
      <w:pPr>
        <w:pStyle w:val="698"/>
        <w:rPr>
          <w:rFonts w:hint="eastAsia" w:ascii="宋体" w:hAnsi="宋体"/>
          <w:b/>
          <w:bCs/>
          <w:sz w:val="24"/>
          <w:szCs w:val="24"/>
        </w:rPr>
      </w:pPr>
      <w:r>
        <w:rPr>
          <w:rFonts w:hint="eastAsia" w:ascii="宋体" w:hAnsi="宋体"/>
          <w:b/>
          <w:bCs/>
          <w:sz w:val="24"/>
          <w:szCs w:val="24"/>
        </w:rPr>
      </w:r>
      <w:r/>
    </w:p>
    <w:p>
      <w:pPr>
        <w:pStyle w:val="698"/>
        <w:rPr>
          <w:rFonts w:hint="eastAsia" w:ascii="宋体" w:hAnsi="宋体"/>
          <w:b/>
          <w:bCs/>
          <w:sz w:val="24"/>
          <w:szCs w:val="24"/>
        </w:rPr>
      </w:pPr>
      <w:r>
        <w:rPr>
          <w:rFonts w:hint="eastAsia" w:ascii="宋体" w:hAnsi="宋体"/>
          <w:b/>
          <w:bCs/>
          <w:sz w:val="24"/>
          <w:szCs w:val="24"/>
        </w:rPr>
      </w:r>
      <w:r/>
    </w:p>
    <w:p>
      <w:pPr>
        <w:pStyle w:val="698"/>
        <w:ind w:left="0" w:firstLine="0"/>
        <w:rPr>
          <w:rFonts w:hint="eastAsia" w:ascii="宋体" w:hAnsi="宋体"/>
          <w:b/>
          <w:bCs/>
          <w:sz w:val="24"/>
          <w:szCs w:val="24"/>
        </w:rPr>
      </w:pPr>
      <w:r>
        <w:rPr>
          <w:rFonts w:hint="eastAsia" w:ascii="宋体" w:hAnsi="宋体"/>
          <w:b/>
          <w:bCs/>
          <w:sz w:val="24"/>
          <w:szCs w:val="24"/>
        </w:rPr>
      </w:r>
      <w:r/>
    </w:p>
    <w:p>
      <w:pPr>
        <w:pStyle w:val="698"/>
        <w:ind w:left="0" w:firstLine="0"/>
        <w:rPr>
          <w:rFonts w:hint="eastAsia" w:ascii="宋体" w:hAnsi="宋体"/>
          <w:b/>
          <w:bCs/>
          <w:sz w:val="24"/>
          <w:szCs w:val="24"/>
        </w:rPr>
      </w:pPr>
      <w:r>
        <w:rPr>
          <w:rFonts w:hint="eastAsia" w:ascii="宋体" w:hAnsi="宋体"/>
          <w:b/>
          <w:bCs/>
          <w:sz w:val="24"/>
          <w:szCs w:val="24"/>
        </w:rPr>
      </w:r>
      <w:r/>
    </w:p>
    <w:p>
      <w:pPr>
        <w:pStyle w:val="698"/>
        <w:ind w:left="0" w:firstLine="0"/>
        <w:rPr>
          <w:rFonts w:hint="eastAsia" w:ascii="宋体" w:hAnsi="宋体"/>
          <w:b/>
          <w:bCs/>
          <w:sz w:val="24"/>
          <w:szCs w:val="24"/>
        </w:rPr>
      </w:pPr>
      <w:r>
        <w:rPr>
          <w:rFonts w:hint="eastAsia" w:ascii="宋体" w:hAnsi="宋体"/>
          <w:b/>
          <w:bCs/>
          <w:sz w:val="24"/>
          <w:szCs w:val="24"/>
        </w:rPr>
      </w:r>
      <w:r/>
    </w:p>
    <w:p>
      <w:pPr>
        <w:pStyle w:val="698"/>
        <w:ind w:left="0" w:firstLine="0"/>
        <w:rPr>
          <w:rFonts w:hint="eastAsia" w:ascii="宋体" w:hAnsi="宋体"/>
          <w:b/>
          <w:bCs/>
          <w:sz w:val="24"/>
          <w:szCs w:val="24"/>
        </w:rPr>
      </w:pPr>
      <w:r>
        <w:rPr>
          <w:rFonts w:hint="eastAsia" w:ascii="宋体" w:hAnsi="宋体"/>
          <w:b/>
          <w:bCs/>
          <w:sz w:val="24"/>
          <w:szCs w:val="24"/>
        </w:rPr>
      </w:r>
      <w:r/>
    </w:p>
    <w:p>
      <w:pPr>
        <w:jc w:val="center"/>
        <w:rPr>
          <w:rFonts w:hint="eastAsia" w:ascii="宋体" w:hAnsi="宋体"/>
          <w:b/>
          <w:bCs/>
          <w:sz w:val="24"/>
          <w:szCs w:val="24"/>
        </w:rPr>
      </w:pPr>
      <w:r>
        <w:rPr>
          <w:rFonts w:hint="eastAsia" w:ascii="宋体" w:hAnsi="宋体"/>
          <w:b/>
          <w:bCs/>
          <w:sz w:val="24"/>
          <w:szCs w:val="24"/>
        </w:rPr>
      </w:r>
      <w:r/>
    </w:p>
    <w:p>
      <w:pPr>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p>
    <w:p>
      <w:pPr>
        <w:jc w:val="center"/>
        <w:rPr>
          <w:rFonts w:hint="eastAsia" w:ascii="宋体" w:hAnsi="宋体"/>
          <w:b/>
          <w:sz w:val="24"/>
          <w:szCs w:val="24"/>
        </w:rPr>
      </w:pPr>
      <w:r>
        <w:rPr>
          <w:rFonts w:hint="eastAsia" w:ascii="宋体" w:hAnsi="宋体"/>
          <w:b/>
          <w:sz w:val="24"/>
          <w:szCs w:val="24"/>
        </w:rPr>
        <w:t xml:space="preserve">技术要求响应及偏离表</w:t>
      </w:r>
      <w:r/>
    </w:p>
    <w:tbl>
      <w:tblPr>
        <w:tblStyle w:val="69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3317"/>
        <w:gridCol w:w="3456"/>
        <w:gridCol w:w="2303"/>
      </w:tblGrid>
      <w:tr>
        <w:trPr>
          <w:cantSplit/>
        </w:trPr>
        <w:tc>
          <w:tcPr>
            <w:tcW w:w="30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178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30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5"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p>
    <w:p>
      <w:pPr>
        <w:jc w:val="center"/>
        <w:rPr>
          <w:rFonts w:hint="eastAsia" w:ascii="宋体" w:hAnsi="宋体"/>
          <w:b/>
          <w:sz w:val="24"/>
          <w:szCs w:val="24"/>
        </w:rPr>
      </w:pPr>
      <w:r>
        <w:rPr>
          <w:rFonts w:hint="eastAsia" w:ascii="宋体" w:hAnsi="宋体"/>
          <w:b/>
          <w:sz w:val="24"/>
          <w:szCs w:val="24"/>
        </w:rPr>
        <w:t xml:space="preserve">商务要求响应及偏离表</w:t>
      </w:r>
      <w:r/>
    </w:p>
    <w:tbl>
      <w:tblPr>
        <w:tblStyle w:val="69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3317"/>
        <w:gridCol w:w="3456"/>
        <w:gridCol w:w="2303"/>
      </w:tblGrid>
      <w:tr>
        <w:trPr>
          <w:cantSplit/>
        </w:trPr>
        <w:tc>
          <w:tcPr>
            <w:tcW w:w="30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171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178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30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171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715"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78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jc w:val="lef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left"/>
        <w:rPr>
          <w:rFonts w:ascii="宋体" w:hAnsi="宋体"/>
          <w:sz w:val="24"/>
          <w:szCs w:val="24"/>
        </w:rPr>
      </w:pPr>
      <w:r>
        <w:rPr>
          <w:rFonts w:ascii="宋体" w:hAnsi="宋体"/>
          <w:sz w:val="24"/>
          <w:szCs w:val="24"/>
        </w:rPr>
      </w:r>
      <w:r/>
    </w:p>
    <w:p>
      <w:pPr>
        <w:jc w:val="left"/>
        <w:rPr>
          <w:rFonts w:ascii="宋体" w:hAnsi="宋体"/>
          <w:sz w:val="24"/>
          <w:szCs w:val="24"/>
        </w:rPr>
      </w:pPr>
      <w:r>
        <w:rPr>
          <w:rFonts w:ascii="宋体" w:hAnsi="宋体"/>
          <w:sz w:val="24"/>
          <w:szCs w:val="24"/>
        </w:rPr>
      </w:r>
      <w:r/>
    </w:p>
    <w:p>
      <w:pPr>
        <w:jc w:val="left"/>
        <w:rPr>
          <w:rFonts w:ascii="宋体" w:hAnsi="宋体"/>
          <w:sz w:val="24"/>
          <w:szCs w:val="24"/>
        </w:rPr>
      </w:pPr>
      <w:r>
        <w:rPr>
          <w:rFonts w:ascii="宋体" w:hAnsi="宋体"/>
          <w:sz w:val="24"/>
          <w:szCs w:val="24"/>
        </w:rPr>
      </w:r>
      <w:r/>
    </w:p>
    <w:p>
      <w:pPr>
        <w:jc w:val="left"/>
        <w:rPr>
          <w:rFonts w:ascii="宋体" w:hAnsi="宋体"/>
          <w:sz w:val="24"/>
          <w:szCs w:val="24"/>
        </w:rPr>
      </w:pPr>
      <w:r>
        <w:rPr>
          <w:rFonts w:ascii="宋体" w:hAnsi="宋体"/>
          <w:sz w:val="24"/>
          <w:szCs w:val="24"/>
        </w:rPr>
      </w:r>
      <w:r/>
    </w:p>
    <w:p>
      <w:pPr>
        <w:jc w:val="left"/>
        <w:rPr>
          <w:rFonts w:ascii="宋体" w:hAnsi="宋体"/>
          <w:sz w:val="24"/>
          <w:szCs w:val="24"/>
        </w:rPr>
      </w:pPr>
      <w:r>
        <w:rPr>
          <w:rFonts w:ascii="宋体" w:hAnsi="宋体"/>
          <w:sz w:val="24"/>
          <w:szCs w:val="24"/>
        </w:rPr>
      </w:r>
      <w:r/>
    </w:p>
    <w:p>
      <w:pPr>
        <w:jc w:val="left"/>
        <w:rPr>
          <w:rFonts w:ascii="宋体" w:hAnsi="宋体"/>
          <w:sz w:val="24"/>
          <w:szCs w:val="24"/>
        </w:rPr>
      </w:pPr>
      <w:r>
        <w:rPr>
          <w:rFonts w:ascii="宋体" w:hAnsi="宋体"/>
          <w:sz w:val="24"/>
          <w:szCs w:val="24"/>
        </w:rPr>
      </w:r>
      <w:r/>
    </w:p>
    <w:p>
      <w:pPr>
        <w:jc w:val="left"/>
        <w:rPr>
          <w:rFonts w:hint="eastAsia" w:ascii="宋体" w:hAnsi="宋体"/>
          <w:sz w:val="24"/>
          <w:szCs w:val="24"/>
        </w:rPr>
      </w:pPr>
      <w:r>
        <w:rPr>
          <w:rFonts w:hint="eastAsia" w:ascii="宋体" w:hAnsi="宋体"/>
          <w:sz w:val="24"/>
          <w:szCs w:val="24"/>
        </w:rPr>
      </w:r>
      <w:r/>
    </w:p>
    <w:p>
      <w:pPr>
        <w:jc w:val="left"/>
        <w:rPr>
          <w:rFonts w:hint="eastAsia" w:ascii="宋体" w:hAnsi="宋体"/>
          <w:sz w:val="24"/>
          <w:szCs w:val="24"/>
        </w:rPr>
      </w:pPr>
      <w:r>
        <w:rPr>
          <w:rFonts w:hint="eastAsia" w:ascii="宋体" w:hAnsi="宋体"/>
          <w:sz w:val="24"/>
          <w:szCs w:val="24"/>
        </w:rPr>
      </w:r>
      <w:r/>
    </w:p>
    <w:p>
      <w:pPr>
        <w:pStyle w:val="698"/>
        <w:rPr>
          <w:rFonts w:hint="eastAsia"/>
        </w:rPr>
      </w:pPr>
      <w:r>
        <w:rPr>
          <w:rFonts w:hint="eastAsia"/>
        </w:rPr>
      </w:r>
      <w:bookmarkEnd w:id="194"/>
      <w:bookmarkEnd w:id="195"/>
      <w:bookmarkEnd w:id="196"/>
      <w:r/>
    </w:p>
    <w:p>
      <w:pPr>
        <w:ind w:left="0" w:firstLine="0"/>
        <w:spacing w:line="460" w:lineRule="exact"/>
        <w:rPr>
          <w:rFonts w:ascii="宋体" w:hAnsi="宋体"/>
          <w:b/>
          <w:color w:val="000000"/>
          <w:sz w:val="24"/>
          <w:szCs w:val="21"/>
        </w:rPr>
      </w:pPr>
      <w:r/>
      <w:bookmarkStart w:id="197" w:name="_Toc120614284"/>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ascii="宋体" w:hAnsi="宋体"/>
          <w:b/>
          <w:color w:val="000000"/>
          <w:sz w:val="24"/>
          <w:szCs w:val="21"/>
        </w:rPr>
        <w:t xml:space="preserve">                        </w:t>
      </w:r>
      <w:r/>
    </w:p>
    <w:p>
      <w:pPr>
        <w:ind w:firstLine="480"/>
        <w:jc w:val="center"/>
        <w:keepLines w:val="0"/>
        <w:keepNext w:val="0"/>
        <w:pageBreakBefore w:val="0"/>
        <w:spacing w:line="440" w:lineRule="exact"/>
        <w:widowControl w:val="off"/>
        <w:rPr>
          <w:rFonts w:hint="eastAsia" w:ascii="宋体" w:hAnsi="宋体"/>
          <w:bCs/>
          <w:color w:val="000000"/>
          <w:sz w:val="28"/>
          <w:szCs w:val="22"/>
        </w:rPr>
      </w:pPr>
      <w:r>
        <w:rPr>
          <w:rFonts w:hint="eastAsia" w:ascii="宋体" w:hAnsi="宋体"/>
          <w:b/>
          <w:color w:val="000000"/>
          <w:sz w:val="28"/>
          <w:szCs w:val="22"/>
        </w:rPr>
        <w:t xml:space="preserve">法人授权书</w:t>
      </w:r>
      <w:r/>
    </w:p>
    <w:p>
      <w:pPr>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s="宋体"/>
          <w:sz w:val="24"/>
          <w:szCs w:val="24"/>
          <w:u w:val="single"/>
          <w:lang w:bidi="zh-CN"/>
        </w:rPr>
        <w:t xml:space="preserve">南通市海门区农业技术推广中心采购海门区2025年秋播油菜扩种项目物资（项目编号：JSZC-320614-NTWL-X2026-0015）</w:t>
      </w:r>
      <w:r>
        <w:rPr>
          <w:rFonts w:hint="eastAsia"/>
          <w:color w:val="000000"/>
          <w:sz w:val="24"/>
          <w:szCs w:val="24"/>
        </w:rPr>
        <w:t xml:space="preserve">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keepLines w:val="0"/>
        <w:keepNext w:val="0"/>
        <w:pageBreakBefore w:val="0"/>
        <w:spacing w:line="440" w:lineRule="exact"/>
        <w:widowControl w:val="off"/>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keepLines w:val="0"/>
        <w:keepNext w:val="0"/>
        <w:pageBreakBefore w:val="0"/>
        <w:spacing w:line="440" w:lineRule="exact"/>
        <w:widowControl w:val="off"/>
        <w:tabs>
          <w:tab w:val="left" w:pos="360" w:leader="none"/>
        </w:tabs>
        <w:rPr>
          <w:rFonts w:hint="eastAsia"/>
          <w:color w:val="000000"/>
          <w:sz w:val="24"/>
          <w:szCs w:val="24"/>
        </w:rPr>
      </w:pPr>
      <w:r>
        <w:rPr>
          <w:rFonts w:hint="eastAsia"/>
          <w:color w:val="000000"/>
          <w:sz w:val="24"/>
          <w:szCs w:val="24"/>
        </w:rPr>
        <w:t xml:space="preserve">      日期：</w:t>
      </w:r>
      <w:bookmarkStart w:id="198" w:name="_Hlt26671380"/>
      <w:r/>
      <w:bookmarkEnd w:id="198"/>
      <w:r/>
      <w:bookmarkStart w:id="199" w:name="_格式3__银行出具的资信证明"/>
      <w:r/>
      <w:bookmarkEnd w:id="199"/>
      <w:r/>
      <w:bookmarkStart w:id="200" w:name="_Hlt26955070"/>
      <w:r/>
      <w:bookmarkEnd w:id="200"/>
      <w:r>
        <w:rPr>
          <w:rFonts w:hint="eastAsia"/>
          <w:color w:val="000000"/>
          <w:sz w:val="24"/>
          <w:szCs w:val="24"/>
          <w:u w:val="single"/>
        </w:rPr>
        <w:t xml:space="preserve">                                         </w:t>
      </w:r>
      <w:r/>
    </w:p>
    <w:p>
      <w:pPr>
        <w:ind w:firstLine="360"/>
        <w:keepLines w:val="0"/>
        <w:keepNext w:val="0"/>
        <w:pageBreakBefore w:val="0"/>
        <w:spacing w:line="440" w:lineRule="exact"/>
        <w:widowControl w:val="off"/>
        <w:rPr>
          <w:color w:val="000000"/>
          <w:sz w:val="24"/>
          <w:szCs w:val="24"/>
          <w:highlight w:val="yellow"/>
        </w:rPr>
      </w:pPr>
      <w:r>
        <w:rPr>
          <w:color w:val="000000"/>
          <w:sz w:val="24"/>
          <w:szCs w:val="24"/>
          <w:highlight w:val="yellow"/>
        </w:rPr>
      </w:r>
      <w:r/>
    </w:p>
    <w:p>
      <w:pPr>
        <w:pStyle w:val="989"/>
        <w:ind w:left="0" w:right="-46" w:firstLine="0"/>
        <w:keepLines w:val="0"/>
        <w:keepNext w:val="0"/>
        <w:pageBreakBefore w:val="0"/>
        <w:spacing w:line="440" w:lineRule="exact"/>
        <w:widowControl w:val="off"/>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人和被授权人有效期内的身份证正反面电子件。</w:t>
      </w:r>
      <w:r/>
    </w:p>
    <w:p>
      <w:pPr>
        <w:ind w:firstLine="480"/>
        <w:spacing w:line="400" w:lineRule="exact"/>
        <w:rPr>
          <w:rFonts w:hint="eastAsia"/>
          <w:color w:val="000000"/>
          <w:sz w:val="24"/>
          <w:szCs w:val="24"/>
        </w:rPr>
      </w:pPr>
      <w:r>
        <w:rPr>
          <w:rFonts w:hint="eastAsia"/>
          <w:color w:val="000000"/>
          <w:sz w:val="24"/>
          <w:szCs w:val="24"/>
        </w:rPr>
      </w:r>
      <w:r/>
    </w:p>
    <w:p>
      <w:pPr>
        <w:jc w:val="left"/>
        <w:rPr>
          <w:rFonts w:hint="eastAsia" w:ascii="宋体" w:hAnsi="宋体" w:eastAsia="宋体" w:cs="Arial"/>
          <w:b/>
          <w:color w:val="000000"/>
          <w:sz w:val="24"/>
          <w:szCs w:val="44"/>
          <w:lang w:eastAsia="zh-CN"/>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6</w:t>
      </w:r>
      <w:r/>
    </w:p>
    <w:p>
      <w:pPr>
        <w:jc w:val="center"/>
        <w:rPr>
          <w:rFonts w:hint="eastAsia" w:ascii="宋体" w:hAnsi="宋体" w:cs="宋体"/>
          <w:b/>
          <w:bCs/>
          <w:color w:val="000000"/>
          <w:sz w:val="48"/>
          <w:szCs w:val="48"/>
        </w:rPr>
      </w:pPr>
      <w:r>
        <w:rPr>
          <w:rFonts w:hint="eastAsia" w:ascii="宋体" w:hAnsi="宋体" w:cs="宋体"/>
          <w:b/>
          <w:color w:val="000000"/>
          <w:sz w:val="28"/>
          <w:szCs w:val="28"/>
        </w:rPr>
        <w:t xml:space="preserve">投标人符合《政府采购法》第二十二条规定条件的声明函</w:t>
      </w:r>
      <w:r>
        <w:rPr>
          <w:rFonts w:hint="eastAsia" w:ascii="宋体" w:hAnsi="宋体" w:cs="宋体"/>
          <w:b/>
          <w:bCs/>
          <w:color w:val="000000"/>
          <w:sz w:val="48"/>
          <w:szCs w:val="48"/>
        </w:rPr>
        <w:t xml:space="preserve">   </w:t>
      </w:r>
      <w:r/>
    </w:p>
    <w:p>
      <w:pPr>
        <w:ind w:firstLine="480"/>
        <w:spacing w:line="520" w:lineRule="exact"/>
        <w:rPr>
          <w:rFonts w:hint="eastAsia" w:ascii="宋体" w:hAnsi="宋体" w:cs="宋体"/>
          <w:b/>
          <w:bCs/>
          <w:color w:val="000000"/>
          <w:sz w:val="24"/>
          <w:szCs w:val="24"/>
        </w:rPr>
      </w:pPr>
      <w:r>
        <w:rPr>
          <w:rFonts w:hint="eastAsia" w:ascii="宋体" w:hAnsi="宋体" w:cs="宋体"/>
          <w:bCs/>
          <w:color w:val="000000"/>
          <w:sz w:val="24"/>
          <w:szCs w:val="24"/>
        </w:rPr>
        <w:t xml:space="preserve">我单位参加</w:t>
      </w:r>
      <w:r>
        <w:rPr>
          <w:rFonts w:hint="eastAsia" w:ascii="宋体" w:hAnsi="宋体" w:cs="宋体"/>
          <w:sz w:val="24"/>
          <w:szCs w:val="24"/>
          <w:u w:val="single"/>
          <w:lang w:bidi="zh-CN"/>
        </w:rPr>
        <w:t xml:space="preserve">南通市海门区农业技术推广中心采购海门区2025年秋播油菜扩种项目物资（项目编号：JSZC-320614-NTWL-X2026-0015</w:t>
      </w:r>
      <w:r>
        <w:rPr>
          <w:rFonts w:hint="eastAsia" w:ascii="宋体" w:hAnsi="宋体" w:cs="宋体"/>
          <w:sz w:val="24"/>
          <w:szCs w:val="24"/>
          <w:u w:val="single"/>
          <w:lang w:val="en-US" w:bidi="zh-CN"/>
        </w:rPr>
        <w:t xml:space="preserve">）</w:t>
      </w:r>
      <w:r>
        <w:rPr>
          <w:rFonts w:hint="eastAsia" w:ascii="宋体" w:hAnsi="宋体" w:cs="宋体"/>
          <w:bCs/>
          <w:color w:val="000000"/>
          <w:sz w:val="24"/>
          <w:szCs w:val="24"/>
        </w:rPr>
        <w:t xml:space="preserve">投标活动。针对《中华人民共和国政府采购法》第二十二条规定做出如下声明：</w:t>
      </w:r>
      <w:r/>
    </w:p>
    <w:p>
      <w:pPr>
        <w:ind w:firstLine="482"/>
        <w:spacing w:line="520" w:lineRule="exact"/>
        <w:rPr>
          <w:rFonts w:hint="eastAsia" w:ascii="宋体" w:hAnsi="宋体" w:cs="宋体"/>
          <w:color w:val="000000"/>
          <w:sz w:val="24"/>
          <w:szCs w:val="24"/>
        </w:rPr>
      </w:pPr>
      <w:r>
        <w:rPr>
          <w:rFonts w:hint="eastAsia" w:ascii="宋体" w:hAnsi="宋体" w:cs="宋体"/>
          <w:bCs/>
          <w:color w:val="000000"/>
          <w:sz w:val="24"/>
          <w:szCs w:val="24"/>
        </w:rPr>
        <w:t xml:space="preserve">1.我单位具有独立承担民事责任的能力；</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2.我单位具有良好的商业信誉和健全的财务会计制度；</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3.我单位具有履行合同所必需的设备和专业技术能力；</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4.我单位有依法缴纳税收和社会保障资金的良好记录；</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s="宋体"/>
          <w:color w:val="000000"/>
          <w:sz w:val="24"/>
          <w:szCs w:val="24"/>
        </w:rPr>
      </w:pPr>
      <w:r>
        <w:rPr>
          <w:rFonts w:hint="eastAsia" w:ascii="宋体" w:hAnsi="宋体" w:cs="宋体"/>
          <w:color w:val="000000"/>
          <w:sz w:val="24"/>
          <w:szCs w:val="24"/>
        </w:rPr>
        <w:t xml:space="preserve">6.我单位满足法律、行政法规规定的其他条件。</w:t>
      </w:r>
      <w:r/>
    </w:p>
    <w:p>
      <w:pPr>
        <w:ind w:firstLine="482"/>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jc w:val="center"/>
        <w:spacing w:line="460" w:lineRule="exact"/>
        <w:rPr>
          <w:rFonts w:hint="eastAsia" w:ascii="宋体" w:hAnsi="宋体" w:cs="宋体"/>
          <w:bCs/>
          <w:color w:val="000000"/>
          <w:sz w:val="24"/>
          <w:szCs w:val="24"/>
        </w:rPr>
      </w:pPr>
      <w:r>
        <w:rPr>
          <w:rFonts w:hint="eastAsia" w:ascii="宋体" w:hAnsi="宋体" w:cs="宋体"/>
          <w:bCs/>
          <w:color w:val="000000"/>
          <w:sz w:val="24"/>
          <w:szCs w:val="24"/>
        </w:rPr>
        <w:t xml:space="preserve">                       供应商全称（加盖电子公章）：</w:t>
      </w:r>
      <w:r/>
    </w:p>
    <w:p>
      <w:pPr>
        <w:ind w:firstLine="4560"/>
        <w:spacing w:line="360" w:lineRule="auto"/>
        <w:tabs>
          <w:tab w:val="left" w:pos="5580" w:leader="none"/>
        </w:tabs>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hint="eastAsia" w:ascii="宋体" w:hAnsi="宋体" w:cs="宋体"/>
          <w:sz w:val="24"/>
          <w:szCs w:val="24"/>
        </w:rPr>
        <w:t xml:space="preserve">年______月______日</w:t>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ind w:left="420" w:firstLine="3600"/>
        <w:spacing w:line="360" w:lineRule="auto"/>
        <w:tabs>
          <w:tab w:val="left" w:pos="5580" w:leader="none"/>
        </w:tabs>
        <w:rPr>
          <w:rFonts w:hint="eastAsia" w:ascii="宋体" w:hAnsi="宋体" w:cs="宋体"/>
          <w:sz w:val="24"/>
          <w:szCs w:val="24"/>
        </w:rPr>
      </w:pPr>
      <w:r>
        <w:rPr>
          <w:rFonts w:hint="eastAsia" w:ascii="宋体" w:hAnsi="宋体" w:cs="宋体"/>
          <w:sz w:val="24"/>
          <w:szCs w:val="24"/>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7</w:t>
      </w:r>
      <w:r>
        <w:rPr>
          <w:rFonts w:ascii="宋体" w:hAnsi="宋体"/>
          <w:b/>
          <w:color w:val="000000"/>
          <w:sz w:val="24"/>
          <w:szCs w:val="21"/>
        </w:rPr>
        <w:t xml:space="preserve">                            </w:t>
      </w:r>
      <w:r/>
    </w:p>
    <w:p>
      <w:pPr>
        <w:jc w:val="center"/>
        <w:keepLines/>
        <w:keepNext/>
        <w:spacing w:before="260" w:after="260" w:line="416" w:lineRule="auto"/>
        <w:rPr>
          <w:rFonts w:ascii="黑体" w:hAnsi="黑体" w:eastAsia="黑体"/>
          <w:b/>
          <w:i/>
          <w:color w:val="000000"/>
          <w:sz w:val="28"/>
          <w:szCs w:val="28"/>
          <w:u w:val="single"/>
        </w:rPr>
        <w:outlineLvl w:val="1"/>
      </w:pPr>
      <w:r>
        <w:rPr>
          <w:rFonts w:hint="eastAsia" w:ascii="宋体" w:hAnsi="宋体"/>
          <w:b/>
          <w:color w:val="000000"/>
          <w:sz w:val="28"/>
          <w:szCs w:val="28"/>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南通市海门区农业技术推广中心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s="宋体"/>
          <w:sz w:val="24"/>
          <w:szCs w:val="22"/>
          <w:u w:val="single"/>
          <w:lang w:bidi="zh-CN"/>
        </w:rPr>
        <w:t xml:space="preserve">南通市海门区农业技术推广中心采购海门区2025年秋播油菜扩种项目物资（项目编号：JSZC-320614-NTWL-X2026-0015）</w:t>
      </w:r>
      <w:r>
        <w:rPr>
          <w:rFonts w:hint="eastAsia" w:ascii="宋体" w:hAnsi="宋体"/>
          <w:color w:val="000000"/>
          <w:sz w:val="24"/>
          <w:szCs w:val="21"/>
        </w:rPr>
        <w:t xml:space="preserve">招标文件，正式授权下述签字人</w:t>
      </w:r>
      <w:r>
        <w:rPr>
          <w:rFonts w:hint="eastAsia" w:ascii="宋体" w:hAnsi="宋体"/>
          <w:color w:val="000000"/>
          <w:sz w:val="24"/>
          <w:szCs w:val="21"/>
          <w:u w:val="none"/>
        </w:rPr>
        <w:t xml:space="preserve">_____</w:t>
      </w:r>
      <w:r>
        <w:rPr>
          <w:rFonts w:hint="eastAsia" w:ascii="宋体" w:hAnsi="宋体"/>
          <w:color w:val="000000"/>
          <w:sz w:val="24"/>
          <w:szCs w:val="21"/>
        </w:rPr>
        <w:t xml:space="preserve">(姓名)代表我方_______（投标人的名称），全权处理本次项目投标的有关事宜。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1-优惠率</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1"/>
        </w:rPr>
        <w:t xml:space="preserve">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left"/>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8</w:t>
      </w:r>
      <w:r>
        <w:rPr>
          <w:rFonts w:hint="eastAsia" w:ascii="宋体" w:hAnsi="宋体"/>
          <w:b/>
          <w:sz w:val="24"/>
          <w:szCs w:val="21"/>
        </w:rPr>
        <w:t xml:space="preserve"> </w:t>
      </w:r>
      <w:r>
        <w:rPr>
          <w:rFonts w:ascii="宋体" w:hAnsi="宋体"/>
          <w:b/>
          <w:sz w:val="24"/>
          <w:szCs w:val="21"/>
        </w:rPr>
        <w:t xml:space="preserve"> </w:t>
      </w:r>
      <w:r/>
    </w:p>
    <w:p>
      <w:pPr>
        <w:ind w:firstLine="240"/>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w:t>
      </w:r>
      <w:r/>
    </w:p>
    <w:p>
      <w:pPr>
        <w:ind w:firstLine="480"/>
        <w:spacing w:line="360" w:lineRule="auto"/>
        <w:rPr>
          <w:rFonts w:ascii="宋体" w:hAnsi="宋体" w:cs="宋体"/>
          <w:sz w:val="24"/>
        </w:rPr>
      </w:pPr>
      <w:r>
        <w:rPr>
          <w:rFonts w:hint="eastAsia" w:ascii="宋体" w:hAnsi="宋体" w:cs="宋体"/>
          <w:sz w:val="24"/>
          <w:lang w:bidi="zh-CN"/>
        </w:rPr>
        <w:t xml:space="preserve">本公司郑重声明，根据《政府采购促进中小企业发展管理办法》（财库﹝2020﹞46 号）的规定，本公司参加</w:t>
      </w:r>
      <w:r>
        <w:rPr>
          <w:rFonts w:hint="eastAsia" w:ascii="宋体" w:hAnsi="宋体" w:cs="宋体"/>
          <w:sz w:val="24"/>
          <w:u w:val="single"/>
          <w:lang w:bidi="zh-CN"/>
        </w:rPr>
        <w:t xml:space="preserve">南通市海门区农业技术推广中心采购海门区2025年秋播油菜扩种项目物资（项目编号：JSZC-320614-NTWL-X2026-0015）</w:t>
      </w:r>
      <w:r>
        <w:rPr>
          <w:rFonts w:hint="eastAsia" w:ascii="宋体" w:hAnsi="宋体" w:cs="宋体"/>
          <w:sz w:val="24"/>
          <w:lang w:bidi="zh-CN"/>
        </w:rPr>
        <w:t xml:space="preserve">采购活动，提供的货物全部由符合政策要求的中小企业制造。相关企业的具体情况如下：</w:t>
      </w:r>
      <w:r/>
    </w:p>
    <w:p>
      <w:pPr>
        <w:ind w:firstLine="480"/>
        <w:spacing w:line="360" w:lineRule="auto"/>
        <w:rPr>
          <w:rFonts w:ascii="宋体" w:hAnsi="宋体" w:cs="宋体"/>
          <w:sz w:val="24"/>
        </w:rPr>
      </w:pPr>
      <w:r>
        <w:rPr>
          <w:rFonts w:hint="eastAsia" w:ascii="宋体" w:hAnsi="宋体" w:cs="宋体"/>
          <w:sz w:val="24"/>
          <w:lang w:bidi="zh-CN"/>
        </w:rPr>
        <w:t xml:space="preserve">1.</w:t>
      </w:r>
      <w:r>
        <w:rPr>
          <w:rFonts w:hint="eastAsia" w:ascii="宋体" w:hAnsi="宋体" w:cs="宋体"/>
          <w:sz w:val="24"/>
          <w:u w:val="single"/>
          <w:lang w:bidi="zh-CN"/>
        </w:rPr>
        <w:t xml:space="preserve">腐霉利 </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val="en-US" w:bidi="zh-CN"/>
        </w:rPr>
        <w:t xml:space="preserve">      </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ind w:firstLine="480"/>
        <w:spacing w:line="360" w:lineRule="auto"/>
        <w:rPr>
          <w:rFonts w:ascii="宋体" w:hAnsi="宋体" w:cs="宋体"/>
          <w:sz w:val="24"/>
        </w:rPr>
      </w:pPr>
      <w:r>
        <w:rPr>
          <w:rFonts w:hint="eastAsia" w:ascii="宋体" w:hAnsi="宋体" w:cs="宋体"/>
          <w:sz w:val="24"/>
          <w:lang w:bidi="zh-CN"/>
        </w:rPr>
        <w:t xml:space="preserve">2.</w:t>
      </w:r>
      <w:r>
        <w:rPr>
          <w:rFonts w:hint="eastAsia" w:ascii="宋体" w:hAnsi="宋体" w:cs="宋体"/>
          <w:sz w:val="24"/>
          <w:u w:val="single"/>
          <w:lang w:bidi="zh-CN"/>
        </w:rPr>
        <w:t xml:space="preserve">异菌脲</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val="en-US" w:bidi="zh-CN"/>
        </w:rPr>
        <w:t xml:space="preserve">      </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ind w:firstLine="480"/>
        <w:spacing w:line="360" w:lineRule="auto"/>
        <w:rPr>
          <w:rFonts w:ascii="宋体" w:hAnsi="宋体" w:cs="宋体"/>
        </w:rPr>
      </w:pPr>
      <w:r>
        <w:rPr>
          <w:rFonts w:hint="eastAsia" w:ascii="宋体" w:hAnsi="宋体" w:cs="宋体"/>
          <w:sz w:val="24"/>
          <w:lang w:bidi="zh-CN"/>
        </w:rPr>
        <w:t xml:space="preserve">3.</w:t>
      </w:r>
      <w:r>
        <w:rPr>
          <w:rFonts w:hint="eastAsia" w:ascii="宋体" w:hAnsi="宋体" w:cs="宋体"/>
          <w:sz w:val="24"/>
          <w:u w:val="single"/>
          <w:lang w:bidi="zh-CN"/>
        </w:rPr>
        <w:t xml:space="preserve">噻虫嗪</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val="en-US" w:bidi="zh-CN"/>
        </w:rPr>
        <w:t xml:space="preserve">      </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ind w:firstLine="480"/>
        <w:spacing w:line="360" w:lineRule="auto"/>
        <w:rPr>
          <w:rFonts w:ascii="宋体" w:hAnsi="宋体" w:cs="宋体"/>
        </w:rPr>
      </w:pPr>
      <w:r>
        <w:rPr>
          <w:rFonts w:hint="eastAsia" w:ascii="宋体" w:hAnsi="宋体" w:cs="宋体"/>
          <w:sz w:val="24"/>
          <w:lang w:bidi="zh-CN"/>
        </w:rPr>
        <w:t xml:space="preserve">4.</w:t>
      </w:r>
      <w:r>
        <w:rPr>
          <w:rFonts w:hint="eastAsia" w:ascii="宋体" w:hAnsi="宋体" w:cs="宋体"/>
          <w:sz w:val="24"/>
          <w:u w:val="single"/>
          <w:lang w:bidi="zh-CN"/>
        </w:rPr>
        <w:t xml:space="preserve">微量元素水溶肥料</w:t>
      </w:r>
      <w:r>
        <w:rPr>
          <w:rFonts w:hint="eastAsia" w:ascii="宋体" w:hAnsi="宋体" w:cs="宋体"/>
          <w:sz w:val="24"/>
          <w:lang w:bidi="zh-CN"/>
        </w:rPr>
        <w:t xml:space="preserve">，属于</w:t>
      </w:r>
      <w:r>
        <w:rPr>
          <w:rFonts w:hint="eastAsia" w:ascii="宋体" w:hAnsi="宋体" w:cs="宋体"/>
          <w:sz w:val="24"/>
          <w:u w:val="single"/>
          <w:lang w:bidi="zh-CN"/>
        </w:rPr>
        <w:t xml:space="preserve">工业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r>
      <w:r>
        <w:rPr>
          <w:rFonts w:hint="eastAsia" w:ascii="宋体" w:hAnsi="宋体" w:cs="宋体"/>
          <w:sz w:val="24"/>
          <w:u w:val="single"/>
          <w:lang w:bidi="zh-CN"/>
        </w:rPr>
        <w:tab/>
      </w:r>
      <w:r>
        <w:rPr>
          <w:rFonts w:hint="eastAsia" w:ascii="宋体" w:hAnsi="宋体" w:cs="宋体"/>
          <w:sz w:val="24"/>
          <w:lang w:bidi="zh-CN"/>
        </w:rPr>
        <w:t xml:space="preserve">万元，属于</w:t>
      </w:r>
      <w:r>
        <w:rPr>
          <w:rFonts w:hint="eastAsia" w:ascii="宋体" w:hAnsi="宋体" w:cs="宋体"/>
          <w:sz w:val="24"/>
          <w:u w:val="single"/>
          <w:lang w:val="en-US" w:bidi="zh-CN"/>
        </w:rPr>
        <w:t xml:space="preserve">      </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ind w:firstLine="480"/>
        <w:spacing w:line="360" w:lineRule="auto"/>
        <w:rPr>
          <w:rFonts w:ascii="宋体" w:hAnsi="宋体" w:cs="宋体"/>
          <w:sz w:val="24"/>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p>
    <w:p>
      <w:pPr>
        <w:ind w:firstLine="480"/>
        <w:spacing w:line="360" w:lineRule="auto"/>
        <w:rPr>
          <w:rFonts w:hint="eastAsia" w:ascii="宋体" w:hAnsi="宋体" w:cs="宋体"/>
          <w:sz w:val="24"/>
          <w:lang w:bidi="zh-CN"/>
        </w:rPr>
      </w:pPr>
      <w:r>
        <w:rPr>
          <w:rFonts w:hint="eastAsia" w:ascii="宋体" w:hAnsi="宋体" w:cs="宋体"/>
          <w:sz w:val="24"/>
          <w:lang w:bidi="zh-CN"/>
        </w:rPr>
      </w:r>
      <w:r/>
    </w:p>
    <w:p>
      <w:pPr>
        <w:ind w:right="180" w:firstLine="360"/>
        <w:jc w:val="right"/>
        <w:spacing w:line="400" w:lineRule="exact"/>
        <w:rPr>
          <w:rFonts w:hint="eastAsia" w:ascii="宋体" w:hAnsi="宋体"/>
          <w:sz w:val="24"/>
          <w:szCs w:val="24"/>
        </w:rPr>
      </w:pPr>
      <w:r>
        <w:rPr>
          <w:rFonts w:hint="eastAsia" w:ascii="宋体" w:hAnsi="宋体"/>
          <w:sz w:val="24"/>
          <w:szCs w:val="21"/>
        </w:rPr>
        <w:t xml:space="preserve"> 供应商全称</w:t>
      </w:r>
      <w:r>
        <w:rPr>
          <w:rFonts w:hint="eastAsia" w:ascii="宋体" w:hAnsi="宋体"/>
          <w:sz w:val="24"/>
          <w:szCs w:val="24"/>
        </w:rPr>
        <w:t xml:space="preserve">（加盖CA电子公章）：</w:t>
      </w:r>
      <w:r/>
    </w:p>
    <w:p>
      <w:pPr>
        <w:ind w:right="480" w:firstLine="5760"/>
        <w:spacing w:line="400" w:lineRule="exact"/>
        <w:rPr>
          <w:rFonts w:hint="eastAsia" w:ascii="宋体" w:hAnsi="宋体"/>
          <w:sz w:val="24"/>
          <w:szCs w:val="24"/>
        </w:rPr>
      </w:pPr>
      <w:r>
        <w:rPr>
          <w:rFonts w:hint="eastAsia" w:ascii="宋体" w:hAnsi="宋体"/>
          <w:sz w:val="24"/>
          <w:szCs w:val="24"/>
        </w:rPr>
        <w:t xml:space="preserve">日  期：</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480"/>
        <w:spacing w:line="400" w:lineRule="exact"/>
        <w:rPr>
          <w:rFonts w:hint="eastAsia" w:ascii="宋体" w:hAnsi="宋体"/>
          <w:color w:val="000000"/>
          <w:sz w:val="24"/>
          <w:szCs w:val="24"/>
        </w:rPr>
      </w:pPr>
      <w:r>
        <w:rPr>
          <w:rFonts w:hint="eastAsia" w:ascii="宋体" w:hAnsi="宋体" w:cs="宋体"/>
          <w:sz w:val="24"/>
        </w:rPr>
        <w:t xml:space="preserve">注：</w:t>
      </w: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0" w:firstLine="420"/>
        <w:jc w:val="left"/>
        <w:spacing w:line="360" w:lineRule="auto"/>
        <w:widowControl/>
        <w:rPr>
          <w:rFonts w:hint="eastAsia" w:ascii="宋体" w:hAnsi="宋体" w:cs="宋体"/>
          <w:sz w:val="24"/>
        </w:rPr>
      </w:pPr>
      <w:r>
        <w:rPr>
          <w:rFonts w:hint="eastAsia" w:ascii="宋体" w:hAnsi="宋体"/>
          <w:color w:val="000000"/>
          <w:sz w:val="24"/>
          <w:szCs w:val="24"/>
        </w:rPr>
        <w:t xml:space="preserve">3.工业划型标准：从业人员1000人以下或营业收人40000万元以下的为中小微型企业。其中，从业人员300人及以上，且营业收人2000万元及以上的为中型企业；从业人员20人及以上,且营业收人300万元及以上的为小型企业；从业人员20人以下或营业收入300万元以下的为微型企业。</w:t>
      </w:r>
      <w:r/>
    </w:p>
    <w:p>
      <w:pPr>
        <w:spacing w:line="400" w:lineRule="exact"/>
        <w:rPr>
          <w:rFonts w:hint="eastAsia"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9</w:t>
      </w:r>
      <w:r/>
    </w:p>
    <w:p>
      <w:pPr>
        <w:jc w:val="center"/>
        <w:spacing w:line="400" w:lineRule="exact"/>
        <w:rPr>
          <w:rFonts w:hint="eastAsia" w:ascii="宋体" w:hAnsi="宋体"/>
          <w:color w:val="ff0000"/>
          <w:sz w:val="24"/>
          <w:szCs w:val="24"/>
        </w:rPr>
      </w:pPr>
      <w:r>
        <w:rPr>
          <w:rFonts w:hint="eastAsia" w:ascii="宋体" w:hAnsi="宋体"/>
          <w:b/>
          <w:sz w:val="24"/>
          <w:szCs w:val="24"/>
        </w:rPr>
        <w:t xml:space="preserve">残疾人福利性单位声明函（货物类项目）</w:t>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s="宋体"/>
          <w:sz w:val="24"/>
          <w:u w:val="single"/>
          <w:lang w:bidi="zh-CN"/>
        </w:rPr>
        <w:t xml:space="preserve">南通市海门区农业技术推广中心采购海门区2025年秋播油菜扩种项目物资（项目编号JSZC-320614-NTWL-X2026-0015）</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r>
      <w:r/>
    </w:p>
    <w:p>
      <w:pPr>
        <w:ind w:right="1559" w:firstLine="480"/>
        <w:jc w:val="center"/>
        <w:spacing w:line="400" w:lineRule="exact"/>
        <w:tabs>
          <w:tab w:val="left" w:pos="4860" w:leader="none"/>
        </w:tabs>
        <w:rPr>
          <w:rFonts w:hint="eastAsia" w:ascii="宋体" w:hAnsi="宋体"/>
          <w:sz w:val="24"/>
          <w:szCs w:val="21"/>
        </w:rPr>
      </w:pPr>
      <w:r>
        <w:rPr>
          <w:rFonts w:hint="eastAsia" w:ascii="宋体" w:hAnsi="宋体"/>
          <w:sz w:val="24"/>
          <w:szCs w:val="21"/>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r>
      <w:r/>
    </w:p>
    <w:p>
      <w:pPr>
        <w:spacing w:line="400" w:lineRule="exact"/>
        <w:rPr>
          <w:rFonts w:hint="default" w:ascii="宋体" w:hAnsi="宋体" w:eastAsia="宋体" w:cs="Times New Roman"/>
          <w:b/>
          <w:sz w:val="24"/>
          <w:szCs w:val="24"/>
          <w:lang w:val="en-US" w:eastAsia="zh-CN"/>
        </w:rPr>
      </w:pPr>
      <w:r>
        <w:rPr>
          <w:rFonts w:hint="eastAsia" w:ascii="宋体" w:hAnsi="宋体" w:eastAsia="宋体" w:cs="Times New Roman"/>
          <w:b/>
          <w:sz w:val="24"/>
          <w:szCs w:val="24"/>
        </w:rPr>
        <w:t xml:space="preserve">附件</w:t>
      </w:r>
      <w:r>
        <w:rPr>
          <w:rFonts w:hint="eastAsia" w:ascii="宋体" w:hAnsi="宋体" w:eastAsia="宋体" w:cs="Times New Roman"/>
          <w:b/>
          <w:sz w:val="24"/>
          <w:szCs w:val="24"/>
          <w:lang w:val="en-US" w:eastAsia="zh-CN"/>
        </w:rPr>
        <w:t xml:space="preserve">10</w:t>
      </w:r>
      <w:r/>
    </w:p>
    <w:p>
      <w:pPr>
        <w:contextualSpacing/>
        <w:jc w:val="center"/>
        <w:spacing w:line="500" w:lineRule="exact"/>
        <w:rPr>
          <w:rFonts w:ascii="宋体" w:hAnsi="Times New Roman" w:eastAsia="宋体" w:cs="Times New Roman"/>
          <w:b/>
          <w:bCs/>
          <w:color w:val="000000"/>
          <w:sz w:val="28"/>
          <w:szCs w:val="28"/>
        </w:rPr>
        <w:outlineLvl w:val="3"/>
      </w:pPr>
      <w:r>
        <w:rPr>
          <w:rFonts w:hint="eastAsia" w:ascii="方正魏碑_GBK" w:hAnsi="方正魏碑_GBK" w:eastAsia="方正魏碑_GBK" w:cs="方正魏碑_GBK"/>
          <w:b/>
          <w:color w:val="000000"/>
          <w:sz w:val="24"/>
          <w:szCs w:val="24"/>
        </w:rPr>
        <w:t xml:space="preserve"> </w:t>
      </w:r>
      <w:r>
        <w:rPr>
          <w:rFonts w:hint="eastAsia" w:ascii="宋体" w:hAnsi="宋体" w:eastAsia="宋体" w:cs="Times New Roman"/>
          <w:b/>
          <w:bCs/>
          <w:color w:val="000000"/>
          <w:sz w:val="28"/>
          <w:szCs w:val="28"/>
        </w:rPr>
        <w:t xml:space="preserve">监狱和戒毒企业证明材料</w:t>
      </w:r>
      <w:r/>
    </w:p>
    <w:p>
      <w:pPr>
        <w:contextualSpacing/>
        <w:ind w:firstLine="495"/>
        <w:spacing w:line="500" w:lineRule="exact"/>
        <w:rPr>
          <w:rFonts w:ascii="宋体" w:hAnsi="Times New Roman" w:eastAsia="宋体" w:cs="宋体"/>
          <w:color w:val="000000"/>
          <w:sz w:val="24"/>
          <w:szCs w:val="24"/>
        </w:rPr>
      </w:pPr>
      <w:r>
        <w:rPr>
          <w:rFonts w:ascii="宋体" w:hAnsi="Times New Roman" w:eastAsia="宋体" w:cs="宋体"/>
          <w:color w:val="000000"/>
          <w:sz w:val="24"/>
          <w:szCs w:val="24"/>
        </w:rPr>
      </w:r>
      <w:r/>
    </w:p>
    <w:p>
      <w:pPr>
        <w:contextualSpacing/>
        <w:ind w:firstLine="498"/>
        <w:spacing w:line="500" w:lineRule="exact"/>
        <w:rPr>
          <w:rFonts w:ascii="宋体" w:hAnsi="Times New Roman" w:eastAsia="宋体" w:cs="宋体"/>
          <w:b/>
          <w:color w:val="000000"/>
          <w:sz w:val="24"/>
          <w:szCs w:val="24"/>
        </w:rPr>
      </w:pPr>
      <w:r>
        <w:rPr>
          <w:rFonts w:hint="eastAsia" w:ascii="宋体" w:hAnsi="宋体" w:eastAsia="宋体" w:cs="宋体"/>
          <w:b/>
          <w:color w:val="000000"/>
          <w:sz w:val="24"/>
          <w:szCs w:val="24"/>
        </w:rPr>
        <w:t xml:space="preserve">（格式自拟）</w:t>
      </w:r>
      <w:r/>
    </w:p>
    <w:p>
      <w:pPr>
        <w:contextualSpacing/>
        <w:ind w:firstLine="495"/>
        <w:spacing w:line="500" w:lineRule="exact"/>
        <w:rPr>
          <w:rFonts w:ascii="宋体" w:hAnsi="Times New Roman" w:eastAsia="宋体" w:cs="宋体"/>
          <w:color w:val="000000"/>
          <w:sz w:val="24"/>
          <w:szCs w:val="24"/>
        </w:rPr>
      </w:pPr>
      <w:r>
        <w:rPr>
          <w:rFonts w:ascii="宋体" w:hAnsi="Times New Roman" w:eastAsia="宋体" w:cs="宋体"/>
          <w:color w:val="000000"/>
          <w:sz w:val="24"/>
          <w:szCs w:val="24"/>
        </w:rPr>
      </w:r>
      <w:r/>
    </w:p>
    <w:p>
      <w:pPr>
        <w:contextualSpacing/>
        <w:ind w:firstLine="660"/>
        <w:spacing w:line="500" w:lineRule="exact"/>
        <w:rPr>
          <w:rFonts w:ascii="宋体" w:hAnsi="Times New Roman" w:eastAsia="宋体" w:cs="宋体"/>
          <w:color w:val="000000"/>
          <w:sz w:val="24"/>
          <w:szCs w:val="24"/>
        </w:rPr>
      </w:pPr>
      <w:r>
        <w:rPr>
          <w:rFonts w:hint="eastAsia" w:ascii="宋体" w:hAnsi="宋体" w:eastAsia="宋体" w:cs="宋体"/>
          <w:color w:val="000000"/>
          <w:sz w:val="24"/>
          <w:szCs w:val="24"/>
        </w:rPr>
        <w:t xml:space="preserve">根据《财政部司法部关于政府采购支持监狱企业发展有关问题的通知》（财库〔</w:t>
      </w:r>
      <w:r>
        <w:rPr>
          <w:rFonts w:ascii="宋体" w:hAnsi="宋体" w:eastAsia="宋体" w:cs="宋体"/>
          <w:color w:val="000000"/>
          <w:sz w:val="24"/>
          <w:szCs w:val="24"/>
        </w:rPr>
        <w:t xml:space="preserve">2014</w:t>
      </w: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68</w:t>
      </w:r>
      <w:r>
        <w:rPr>
          <w:rFonts w:hint="eastAsia" w:ascii="宋体" w:hAnsi="宋体" w:eastAsia="宋体" w:cs="宋体"/>
          <w:color w:val="000000"/>
          <w:sz w:val="24"/>
          <w:szCs w:val="24"/>
        </w:rPr>
        <w:t xml:space="preserve">号），监狱企业参加政府采购活动时，应当提供由省级以上监狱管理局、戒毒管理局（含新疆生产建设兵团）出具的，供应商属于监狱企业的证明文件。</w:t>
      </w:r>
      <w:r/>
    </w:p>
    <w:p>
      <w:pPr>
        <w:contextualSpacing/>
        <w:spacing w:line="500" w:lineRule="exact"/>
        <w:rPr>
          <w:rFonts w:ascii="宋体" w:hAnsi="Times New Roman" w:eastAsia="宋体" w:cs="Times New Roman"/>
          <w:color w:val="000000"/>
          <w:sz w:val="24"/>
          <w:szCs w:val="24"/>
        </w:rPr>
        <w:outlineLvl w:val="0"/>
      </w:pPr>
      <w:r>
        <w:rPr>
          <w:rFonts w:ascii="宋体" w:hAnsi="Times New Roman" w:eastAsia="宋体" w:cs="Times New Roman"/>
          <w:color w:val="000000"/>
          <w:sz w:val="24"/>
          <w:szCs w:val="24"/>
        </w:rPr>
      </w:r>
      <w:r/>
    </w:p>
    <w:p>
      <w:pPr>
        <w:contextualSpacing/>
        <w:spacing w:line="500" w:lineRule="exact"/>
        <w:rPr>
          <w:rFonts w:ascii="宋体" w:hAnsi="Times New Roman" w:eastAsia="宋体" w:cs="宋体"/>
          <w:b/>
          <w:color w:val="000000"/>
          <w:sz w:val="24"/>
          <w:szCs w:val="24"/>
        </w:rPr>
        <w:outlineLvl w:val="0"/>
      </w:pPr>
      <w:r>
        <w:rPr>
          <w:rFonts w:hint="eastAsia" w:ascii="宋体" w:hAnsi="宋体" w:eastAsia="宋体" w:cs="宋体"/>
          <w:b/>
          <w:color w:val="000000"/>
          <w:sz w:val="24"/>
          <w:szCs w:val="24"/>
        </w:rPr>
        <w:t xml:space="preserve">注：</w:t>
      </w:r>
      <w:r>
        <w:rPr>
          <w:rFonts w:ascii="宋体" w:hAnsi="宋体" w:eastAsia="宋体" w:cs="宋体"/>
          <w:b/>
          <w:color w:val="000000"/>
          <w:sz w:val="24"/>
          <w:szCs w:val="24"/>
        </w:rPr>
        <w:t xml:space="preserve">1</w:t>
      </w:r>
      <w:r>
        <w:rPr>
          <w:rFonts w:hint="eastAsia" w:ascii="宋体" w:hAnsi="宋体" w:eastAsia="宋体" w:cs="宋体"/>
          <w:b/>
          <w:color w:val="000000"/>
          <w:sz w:val="24"/>
          <w:szCs w:val="24"/>
        </w:rPr>
        <w:t xml:space="preserve">、供应商如不提供此声明函，价格将不做相应扣除。</w:t>
      </w:r>
      <w:r/>
    </w:p>
    <w:p>
      <w:pPr>
        <w:contextualSpacing/>
        <w:ind w:firstLine="562"/>
        <w:spacing w:line="500" w:lineRule="exact"/>
        <w:rPr>
          <w:rFonts w:ascii="宋体" w:hAnsi="Times New Roman" w:eastAsia="宋体" w:cs="Times New Roman"/>
          <w:b/>
          <w:color w:val="000000"/>
          <w:sz w:val="24"/>
          <w:szCs w:val="24"/>
        </w:rPr>
        <w:outlineLvl w:val="0"/>
      </w:pPr>
      <w:r>
        <w:rPr>
          <w:rFonts w:ascii="宋体" w:hAnsi="宋体" w:eastAsia="宋体" w:cs="宋体"/>
          <w:b/>
          <w:color w:val="000000"/>
          <w:sz w:val="24"/>
          <w:szCs w:val="24"/>
        </w:rPr>
        <w:t xml:space="preserve">2</w:t>
      </w:r>
      <w:r>
        <w:rPr>
          <w:rFonts w:hint="eastAsia" w:ascii="宋体" w:hAnsi="宋体" w:eastAsia="宋体" w:cs="宋体"/>
          <w:b/>
          <w:color w:val="000000"/>
          <w:sz w:val="24"/>
          <w:szCs w:val="24"/>
        </w:rPr>
        <w:t xml:space="preserve">、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spacing w:line="500" w:lineRule="exact"/>
        <w:rPr>
          <w:rFonts w:ascii="宋体" w:hAnsi="Times New Roman" w:eastAsia="宋体" w:cs="黑体"/>
          <w:color w:val="000000"/>
          <w:sz w:val="24"/>
          <w:szCs w:val="24"/>
        </w:rPr>
      </w:pPr>
      <w:r>
        <w:rPr>
          <w:rFonts w:ascii="宋体" w:hAnsi="Times New Roman" w:eastAsia="宋体" w:cs="黑体"/>
          <w:color w:val="000000"/>
          <w:sz w:val="24"/>
          <w:szCs w:val="24"/>
        </w:rPr>
      </w:r>
      <w:r/>
    </w:p>
    <w:p>
      <w:pPr>
        <w:jc w:val="left"/>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r>
      <w:r/>
    </w:p>
    <w:p>
      <w:pPr>
        <w:rPr>
          <w:rFonts w:hint="eastAsia"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br w:type="page" w:clear="all"/>
      </w:r>
      <w:r/>
    </w:p>
    <w:p>
      <w:pPr>
        <w:spacing w:line="400" w:lineRule="exact"/>
        <w:rPr>
          <w:rFonts w:hint="default" w:ascii="宋体" w:hAnsi="宋体" w:eastAsia="宋体" w:cs="Times New Roman"/>
          <w:b/>
          <w:sz w:val="24"/>
          <w:szCs w:val="24"/>
          <w:lang w:val="en-US" w:eastAsia="zh-CN"/>
        </w:rPr>
      </w:pPr>
      <w:r>
        <w:rPr>
          <w:rFonts w:hint="eastAsia" w:ascii="宋体" w:hAnsi="宋体" w:eastAsia="宋体" w:cs="Times New Roman"/>
          <w:b/>
          <w:sz w:val="24"/>
          <w:szCs w:val="24"/>
        </w:rPr>
        <w:t xml:space="preserve">附件</w:t>
      </w:r>
      <w:r>
        <w:rPr>
          <w:rFonts w:hint="eastAsia" w:ascii="宋体" w:hAnsi="宋体" w:eastAsia="宋体" w:cs="Times New Roman"/>
          <w:b/>
          <w:sz w:val="24"/>
          <w:szCs w:val="24"/>
          <w:lang w:val="en-US" w:eastAsia="zh-CN"/>
        </w:rPr>
        <w:t xml:space="preserve">11</w:t>
      </w:r>
      <w:r/>
    </w:p>
    <w:p>
      <w:pPr>
        <w:jc w:val="center"/>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b/>
          <w:color w:val="000000"/>
          <w:sz w:val="24"/>
          <w:szCs w:val="24"/>
        </w:rPr>
        <w:t xml:space="preserve">关于符合本国产品标准的声明函</w:t>
      </w:r>
      <w:r/>
    </w:p>
    <w:p>
      <w:pPr>
        <w:pStyle w:val="929"/>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929"/>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9"/>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4699635</wp:posOffset>
                </wp:positionH>
                <wp:positionV relativeFrom="paragraph">
                  <wp:posOffset>29845</wp:posOffset>
                </wp:positionV>
                <wp:extent cx="806450" cy="13589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06450"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70.0pt;mso-position-horizontal:absolute;mso-position-vertical-relative:text;margin-top:2.4pt;mso-position-vertical:absolute;width:63.5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1240155</wp:posOffset>
                </wp:positionH>
                <wp:positionV relativeFrom="paragraph">
                  <wp:posOffset>445770</wp:posOffset>
                </wp:positionV>
                <wp:extent cx="876300" cy="12001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97.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295910</wp:posOffset>
                </wp:positionH>
                <wp:positionV relativeFrom="paragraph">
                  <wp:posOffset>434975</wp:posOffset>
                </wp:positionV>
                <wp:extent cx="565785" cy="13081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3.3pt;mso-position-horizontal:absolute;mso-position-vertical-relative:text;margin-top:34.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3096260</wp:posOffset>
                </wp:positionH>
                <wp:positionV relativeFrom="paragraph">
                  <wp:posOffset>203835</wp:posOffset>
                </wp:positionV>
                <wp:extent cx="669925" cy="16573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669925" cy="16573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43.8pt;mso-position-horizontal:absolute;mso-position-vertical-relative:text;margin-top:16.1pt;mso-position-vertical:absolute;width:52.8pt;height:13.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1924685</wp:posOffset>
                </wp:positionH>
                <wp:positionV relativeFrom="paragraph">
                  <wp:posOffset>263525</wp:posOffset>
                </wp:positionV>
                <wp:extent cx="816610" cy="762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151.5pt;mso-position-horizontal:absolute;mso-position-vertical-relative:text;margin-top:20.8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941"/>
          <w:rFonts w:hint="eastAsia" w:ascii="方正魏碑_GBK" w:hAnsi="方正魏碑_GBK" w:eastAsia="方正魏碑_GBK" w:cs="方正魏碑_GBK"/>
          <w:i w:val="0"/>
          <w:color w:val="000000"/>
          <w:u w:val="single"/>
          <w:shd w:val="clear" w:color="auto" w:fill="ffffff"/>
        </w:rPr>
        <w:t xml:space="preserve">（产品名称1）</w:t>
      </w:r>
      <w:r>
        <w:rPr>
          <w:rStyle w:val="941"/>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941"/>
          <w:rFonts w:hint="eastAsia" w:ascii="方正魏碑_GBK" w:hAnsi="方正魏碑_GBK" w:eastAsia="方正魏碑_GBK" w:cs="方正魏碑_GBK"/>
          <w:i w:val="0"/>
          <w:color w:val="000000"/>
          <w:u w:val="single"/>
          <w:shd w:val="clear" w:color="auto" w:fill="ffffff"/>
        </w:rPr>
        <w:t xml:space="preserve">（厂名）</w:t>
      </w:r>
      <w:r>
        <w:rPr>
          <w:rStyle w:val="941"/>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941"/>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941"/>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941"/>
          <w:rFonts w:hint="eastAsia" w:ascii="方正魏碑_GBK" w:hAnsi="方正魏碑_GBK" w:eastAsia="方正魏碑_GBK" w:cs="方正魏碑_GBK"/>
          <w:i w:val="0"/>
          <w:color w:val="000000"/>
          <w:u w:val="single"/>
          <w:shd w:val="clear" w:color="auto" w:fill="ffffff"/>
        </w:rPr>
        <w:t xml:space="preserve">（规定</w:t>
      </w:r>
      <w:r>
        <w:rPr>
          <w:rStyle w:val="941"/>
          <w:rFonts w:ascii="方正魏碑_GBK" w:hAnsi="方正魏碑_GBK" w:eastAsia="方正魏碑_GBK" w:cs="方正魏碑_GBK"/>
          <w:i w:val="0"/>
          <w:color w:val="000000"/>
          <w:u w:val="single"/>
          <w:shd w:val="clear" w:color="auto" w:fill="ffffff"/>
        </w:rPr>
        <w:t xml:space="preserve">比例</w:t>
      </w:r>
      <w:r>
        <w:rPr>
          <w:rStyle w:val="941"/>
          <w:rFonts w:hint="eastAsia" w:ascii="方正魏碑_GBK" w:hAnsi="方正魏碑_GBK" w:eastAsia="方正魏碑_GBK" w:cs="方正魏碑_GBK"/>
          <w:i w:val="0"/>
          <w:color w:val="000000"/>
          <w:u w:val="single"/>
          <w:shd w:val="clear" w:color="auto" w:fill="ffffff"/>
        </w:rPr>
        <w:t xml:space="preserve">）</w:t>
      </w:r>
      <w:r>
        <w:rPr>
          <w:rStyle w:val="941"/>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941"/>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41"/>
          <w:rFonts w:hint="eastAsia" w:ascii="方正魏碑_GBK" w:hAnsi="方正魏碑_GBK" w:eastAsia="方正魏碑_GBK" w:cs="方正魏碑_GBK"/>
          <w:i w:val="0"/>
          <w:color w:val="000000"/>
          <w:u w:val="single"/>
          <w:shd w:val="clear" w:color="auto" w:fill="ffffff"/>
        </w:rPr>
        <w:t xml:space="preserve">（关键</w:t>
      </w:r>
      <w:r>
        <w:rPr>
          <w:rStyle w:val="941"/>
          <w:rFonts w:ascii="方正魏碑_GBK" w:hAnsi="方正魏碑_GBK" w:eastAsia="方正魏碑_GBK" w:cs="方正魏碑_GBK"/>
          <w:i w:val="0"/>
          <w:color w:val="000000"/>
          <w:u w:val="single"/>
          <w:shd w:val="clear" w:color="auto" w:fill="ffffff"/>
        </w:rPr>
        <w:t xml:space="preserve">组件</w:t>
      </w:r>
      <w:r>
        <w:rPr>
          <w:rStyle w:val="941"/>
          <w:rFonts w:hint="eastAsia" w:ascii="方正魏碑_GBK" w:hAnsi="方正魏碑_GBK" w:eastAsia="方正魏碑_GBK" w:cs="方正魏碑_GBK"/>
          <w:i w:val="0"/>
          <w:color w:val="000000"/>
          <w:u w:val="single"/>
          <w:shd w:val="clear" w:color="auto" w:fill="ffffff"/>
        </w:rPr>
        <w:t xml:space="preserve">）</w:t>
      </w:r>
      <w:r>
        <w:rPr>
          <w:rStyle w:val="941"/>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941"/>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41"/>
          <w:rFonts w:hint="eastAsia" w:ascii="方正魏碑_GBK" w:hAnsi="方正魏碑_GBK" w:eastAsia="方正魏碑_GBK" w:cs="方正魏碑_GBK"/>
          <w:i w:val="0"/>
          <w:color w:val="000000"/>
          <w:u w:val="single"/>
          <w:shd w:val="clear" w:color="auto" w:fill="ffffff"/>
        </w:rPr>
        <w:t xml:space="preserve">（关键工序）</w:t>
      </w:r>
      <w:r>
        <w:rPr>
          <w:rStyle w:val="941"/>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p>
    <w:p>
      <w:pPr>
        <w:pStyle w:val="929"/>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-43180</wp:posOffset>
                </wp:positionH>
                <wp:positionV relativeFrom="paragraph">
                  <wp:posOffset>378460</wp:posOffset>
                </wp:positionV>
                <wp:extent cx="795655" cy="26162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795655" cy="261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3.4pt;mso-position-horizontal:absolute;mso-position-vertical-relative:text;margin-top:29.8pt;mso-position-vertical:absolute;width:62.6pt;height:2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857885</wp:posOffset>
                </wp:positionH>
                <wp:positionV relativeFrom="paragraph">
                  <wp:posOffset>445135</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67.5pt;mso-position-horizontal:absolute;mso-position-vertical-relative:text;margin-top:35.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1737360</wp:posOffset>
                </wp:positionH>
                <wp:positionV relativeFrom="paragraph">
                  <wp:posOffset>202565</wp:posOffset>
                </wp:positionV>
                <wp:extent cx="643255" cy="18034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643255" cy="1803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36.8pt;mso-position-horizontal:absolute;mso-position-vertical-relative:text;margin-top:15.9pt;mso-position-vertical:absolute;width:50.6pt;height:14.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941"/>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941"/>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941"/>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941"/>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941"/>
          <w:rFonts w:hint="eastAsia" w:ascii="方正魏碑_GBK" w:hAnsi="方正魏碑_GBK" w:eastAsia="方正魏碑_GBK" w:cs="方正魏碑_GBK"/>
          <w:i w:val="0"/>
          <w:color w:val="000000"/>
          <w:u w:val="single"/>
          <w:shd w:val="clear" w:color="auto" w:fill="ffffff"/>
        </w:rPr>
        <w:t xml:space="preserve">（规定</w:t>
      </w:r>
      <w:r>
        <w:rPr>
          <w:rStyle w:val="941"/>
          <w:rFonts w:ascii="方正魏碑_GBK" w:hAnsi="方正魏碑_GBK" w:eastAsia="方正魏碑_GBK" w:cs="方正魏碑_GBK"/>
          <w:i w:val="0"/>
          <w:color w:val="000000"/>
          <w:u w:val="single"/>
          <w:shd w:val="clear" w:color="auto" w:fill="ffffff"/>
        </w:rPr>
        <w:t xml:space="preserve">比例</w:t>
      </w:r>
      <w:r>
        <w:rPr>
          <w:rStyle w:val="941"/>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941"/>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941"/>
          <w:rFonts w:hint="eastAsia" w:ascii="方正魏碑_GBK" w:hAnsi="方正魏碑_GBK" w:eastAsia="方正魏碑_GBK" w:cs="方正魏碑_GBK"/>
          <w:i w:val="0"/>
          <w:color w:val="000000"/>
          <w:u w:val="single"/>
          <w:shd w:val="clear" w:color="auto" w:fill="ffffff"/>
        </w:rPr>
        <w:t xml:space="preserve">（关键</w:t>
      </w:r>
      <w:r>
        <w:rPr>
          <w:rStyle w:val="941"/>
          <w:rFonts w:ascii="方正魏碑_GBK" w:hAnsi="方正魏碑_GBK" w:eastAsia="方正魏碑_GBK" w:cs="方正魏碑_GBK"/>
          <w:i w:val="0"/>
          <w:color w:val="000000"/>
          <w:u w:val="single"/>
          <w:shd w:val="clear" w:color="auto" w:fill="ffffff"/>
        </w:rPr>
        <w:t xml:space="preserve">组件</w:t>
      </w:r>
      <w:r>
        <w:rPr>
          <w:rStyle w:val="941"/>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941"/>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941"/>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p>
    <w:p>
      <w:pPr>
        <w:pStyle w:val="929"/>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p>
    <w:p>
      <w:pPr>
        <w:pStyle w:val="929"/>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p>
    <w:p>
      <w:pPr>
        <w:pStyle w:val="929"/>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929"/>
        <w:ind w:right="480" w:firstLine="4728"/>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p>
    <w:p>
      <w:pPr>
        <w:pStyle w:val="929"/>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p>
    <w:p>
      <w:pPr>
        <w:pStyle w:val="929"/>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929"/>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p>
    <w:p>
      <w:pPr>
        <w:pStyle w:val="929"/>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p>
    <w:p>
      <w:pPr>
        <w:pStyle w:val="929"/>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p>
    <w:p>
      <w:pPr>
        <w:pStyle w:val="929"/>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p>
    <w:p>
      <w:pPr>
        <w:pStyle w:val="929"/>
        <w:spacing w:before="30" w:beforeAutospacing="0" w:after="30" w:afterAutospacing="0" w:line="0" w:lineRule="atLeast"/>
        <w:rPr>
          <w:rFonts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p>
    <w:p>
      <w:pPr>
        <w:pStyle w:val="929"/>
        <w:spacing w:before="30" w:beforeAutospacing="0" w:after="30" w:afterAutospacing="0" w:line="0" w:lineRule="atLeast"/>
        <w:rPr>
          <w:rFonts w:hint="eastAsia"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p>
    <w:p>
      <w:pPr>
        <w:pStyle w:val="929"/>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left"/>
        <w:rPr>
          <w:rFonts w:hint="default"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12</w:t>
      </w:r>
      <w:r/>
    </w:p>
    <w:p>
      <w:pPr>
        <w:jc w:val="center"/>
        <w:rPr>
          <w:rFonts w:hint="eastAsia" w:ascii="宋体" w:hAnsi="宋体"/>
          <w:b/>
          <w:sz w:val="24"/>
          <w:szCs w:val="24"/>
        </w:rPr>
      </w:pPr>
      <w:r>
        <w:rPr>
          <w:rFonts w:hint="eastAsia" w:ascii="宋体" w:hAnsi="宋体"/>
          <w:b/>
          <w:sz w:val="24"/>
          <w:szCs w:val="24"/>
        </w:rPr>
        <w:t xml:space="preserve">实质性要求响应及偏离表</w:t>
      </w:r>
      <w:r/>
    </w:p>
    <w:tbl>
      <w:tblPr>
        <w:tblStyle w:val="697"/>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
        <w:gridCol w:w="3877"/>
        <w:gridCol w:w="3562"/>
        <w:gridCol w:w="1638"/>
      </w:tblGrid>
      <w:tr>
        <w:trPr>
          <w:cantSplit/>
        </w:trPr>
        <w:tc>
          <w:tcPr>
            <w:tcW w:w="302"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200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p>
        </w:tc>
        <w:tc>
          <w:tcPr>
            <w:tcW w:w="184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84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302"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200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84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2"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200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84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302"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006"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184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84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val="en-US" w:eastAsia="zh-CN"/>
        </w:rPr>
        <w:t xml:space="preserve">12</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85"/>
      <w:bookmarkEnd w:id="186"/>
      <w:bookmarkEnd w:id="197"/>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PAGE   \* MERGEFORMAT</w:instrText>
    </w:r>
    <w:r>
      <w:fldChar w:fldCharType="separate"/>
    </w:r>
    <w:r>
      <w:rPr>
        <w:lang w:val="zh-CN"/>
      </w:rPr>
      <w:t xml:space="preserve">19</w:t>
    </w:r>
    <w:r>
      <w:fldChar w:fldCharType="end"/>
    </w:r>
    <w:r/>
  </w:p>
  <w:p>
    <w:pPr>
      <w:pStyle w:val="9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9"/>
        <w:rFonts w:ascii="宋体" w:hAnsi="宋体"/>
      </w:rPr>
      <w:framePr w:wrap="around" w:vAnchor="text" w:hAnchor="margin" w:xAlign="center" w:y="1"/>
    </w:pPr>
    <w:r>
      <w:rPr>
        <w:rFonts w:ascii="宋体" w:hAnsi="宋体"/>
      </w:rPr>
      <w:fldChar w:fldCharType="begin"/>
    </w:r>
    <w:r>
      <w:rPr>
        <w:rStyle w:val="939"/>
        <w:rFonts w:ascii="宋体" w:hAnsi="宋体"/>
      </w:rPr>
      <w:instrText xml:space="preserve">PAGE  </w:instrText>
    </w:r>
    <w:r>
      <w:rPr>
        <w:rFonts w:ascii="宋体" w:hAnsi="宋体"/>
      </w:rPr>
      <w:fldChar w:fldCharType="separate"/>
    </w:r>
    <w:r>
      <w:rPr>
        <w:rStyle w:val="939"/>
        <w:rFonts w:ascii="宋体" w:hAnsi="宋体"/>
      </w:rPr>
      <w:t xml:space="preserve">53</w:t>
    </w:r>
    <w:r>
      <w:rPr>
        <w:rFonts w:ascii="宋体" w:hAnsi="宋体"/>
      </w:rPr>
      <w:fldChar w:fldCharType="end"/>
    </w:r>
    <w:r/>
  </w:p>
  <w:p>
    <w:pPr>
      <w:pStyle w:val="914"/>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9"/>
      </w:rPr>
      <w:framePr w:wrap="around" w:vAnchor="text" w:hAnchor="margin" w:xAlign="center" w:y="1"/>
    </w:pPr>
    <w:r>
      <w:fldChar w:fldCharType="begin"/>
    </w:r>
    <w:r>
      <w:rPr>
        <w:rStyle w:val="939"/>
      </w:rPr>
      <w:instrText xml:space="preserve">PAGE  </w:instrText>
    </w:r>
    <w:r>
      <w:fldChar w:fldCharType="separate"/>
    </w:r>
    <w:r>
      <w:rPr>
        <w:rStyle w:val="939"/>
      </w:rPr>
      <w:t xml:space="preserve">1</w:t>
    </w:r>
    <w:r>
      <w:fldChar w:fldCharType="end"/>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291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4"/>
      <w:isLgl w:val="false"/>
      <w:suff w:val="nothing"/>
      <w:lvlText w:val=""/>
      <w:lvlJc w:val="left"/>
      <w:pPr>
        <w:ind w:left="0" w:firstLine="0"/>
      </w:pPr>
      <w:rPr>
        <w:rFonts w:hint="eastAsia"/>
      </w:rPr>
    </w:lvl>
    <w:lvl w:ilvl="6">
      <w:start w:val="1"/>
      <w:numFmt w:val="decimal"/>
      <w:pStyle w:val="875"/>
      <w:isLgl w:val="false"/>
      <w:suff w:val="nothing"/>
      <w:lvlText w:val=""/>
      <w:lvlJc w:val="left"/>
      <w:pPr>
        <w:ind w:left="0" w:firstLine="0"/>
      </w:pPr>
      <w:rPr>
        <w:rFonts w:hint="eastAsia"/>
      </w:rPr>
    </w:lvl>
    <w:lvl w:ilvl="7">
      <w:start w:val="1"/>
      <w:numFmt w:val="decimal"/>
      <w:pStyle w:val="876"/>
      <w:isLgl w:val="false"/>
      <w:suff w:val="nothing"/>
      <w:lvlText w:val=""/>
      <w:lvlJc w:val="left"/>
      <w:pPr>
        <w:ind w:left="0" w:firstLine="0"/>
      </w:pPr>
      <w:rPr>
        <w:rFonts w:hint="eastAsia"/>
      </w:rPr>
    </w:lvl>
    <w:lvl w:ilvl="8">
      <w:start w:val="1"/>
      <w:numFmt w:val="decimal"/>
      <w:pStyle w:val="877"/>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link w:val="9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7">
    <w:name w:val="Heading 1"/>
    <w:basedOn w:val="686"/>
    <w:next w:val="686"/>
    <w:link w:val="720"/>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21"/>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22"/>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23"/>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24"/>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25"/>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27"/>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28"/>
    <w:uiPriority w:val="9"/>
    <w:unhideWhenUsed/>
    <w:qFormat/>
    <w:pPr>
      <w:keepLines/>
      <w:keepNext/>
      <w:spacing w:before="320" w:after="200"/>
      <w:outlineLvl w:val="8"/>
    </w:pPr>
    <w:rPr>
      <w:rFonts w:ascii="Arial" w:hAnsi="Arial" w:eastAsia="Arial" w:cs="Arial"/>
      <w:i/>
      <w:iCs/>
      <w:sz w:val="21"/>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customStyle="1">
    <w:name w:val="正文（缩进）"/>
    <w:basedOn w:val="686"/>
    <w:uiPriority w:val="0"/>
    <w:qFormat/>
    <w:pPr>
      <w:ind w:firstLine="480"/>
      <w:spacing w:before="156" w:after="156"/>
    </w:pPr>
    <w:rPr>
      <w:szCs w:val="20"/>
    </w:rPr>
  </w:style>
  <w:style w:type="paragraph" w:styleId="699">
    <w:name w:val="toc 7"/>
    <w:basedOn w:val="686"/>
    <w:next w:val="686"/>
    <w:uiPriority w:val="39"/>
    <w:unhideWhenUsed/>
    <w:qFormat/>
    <w:pPr>
      <w:ind w:left="1701" w:right="0" w:firstLine="0"/>
      <w:spacing w:after="57"/>
    </w:p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toc 5"/>
    <w:basedOn w:val="686"/>
    <w:next w:val="686"/>
    <w:uiPriority w:val="39"/>
    <w:unhideWhenUsed/>
    <w:qFormat/>
    <w:pPr>
      <w:ind w:left="1134" w:right="0" w:firstLine="0"/>
      <w:spacing w:after="57"/>
    </w:pPr>
  </w:style>
  <w:style w:type="paragraph" w:styleId="702">
    <w:name w:val="toc 3"/>
    <w:basedOn w:val="686"/>
    <w:next w:val="686"/>
    <w:uiPriority w:val="39"/>
    <w:unhideWhenUsed/>
    <w:qFormat/>
    <w:pPr>
      <w:ind w:left="567" w:right="0" w:firstLine="0"/>
      <w:spacing w:after="57"/>
    </w:pPr>
  </w:style>
  <w:style w:type="paragraph" w:styleId="703">
    <w:name w:val="toc 8"/>
    <w:basedOn w:val="686"/>
    <w:next w:val="686"/>
    <w:uiPriority w:val="39"/>
    <w:unhideWhenUsed/>
    <w:qFormat/>
    <w:pPr>
      <w:ind w:left="1984" w:right="0" w:firstLine="0"/>
      <w:spacing w:after="57"/>
    </w:pPr>
  </w:style>
  <w:style w:type="paragraph" w:styleId="704">
    <w:name w:val="endnote text"/>
    <w:basedOn w:val="686"/>
    <w:link w:val="866"/>
    <w:uiPriority w:val="99"/>
    <w:semiHidden/>
    <w:unhideWhenUsed/>
    <w:qFormat/>
    <w:pPr>
      <w:spacing w:after="0" w:line="240" w:lineRule="auto"/>
    </w:pPr>
    <w:rPr>
      <w:sz w:val="20"/>
    </w:rPr>
  </w:style>
  <w:style w:type="paragraph" w:styleId="705">
    <w:name w:val="Footer"/>
    <w:basedOn w:val="686"/>
    <w:link w:val="739"/>
    <w:uiPriority w:val="99"/>
    <w:unhideWhenUsed/>
    <w:qFormat/>
    <w:pPr>
      <w:spacing w:after="0" w:line="240" w:lineRule="auto"/>
      <w:tabs>
        <w:tab w:val="center" w:pos="7143" w:leader="none"/>
        <w:tab w:val="right" w:pos="14287" w:leader="none"/>
      </w:tabs>
    </w:pPr>
  </w:style>
  <w:style w:type="paragraph" w:styleId="706">
    <w:name w:val="Header"/>
    <w:basedOn w:val="686"/>
    <w:link w:val="737"/>
    <w:uiPriority w:val="99"/>
    <w:unhideWhenUsed/>
    <w:qFormat/>
    <w:pPr>
      <w:spacing w:after="0" w:line="240" w:lineRule="auto"/>
      <w:tabs>
        <w:tab w:val="center" w:pos="7143" w:leader="none"/>
        <w:tab w:val="right" w:pos="14287" w:leader="none"/>
      </w:tabs>
    </w:pPr>
  </w:style>
  <w:style w:type="paragraph" w:styleId="707">
    <w:name w:val="toc 1"/>
    <w:basedOn w:val="686"/>
    <w:next w:val="686"/>
    <w:uiPriority w:val="39"/>
    <w:unhideWhenUsed/>
    <w:qFormat/>
    <w:pPr>
      <w:ind w:left="0" w:right="0" w:firstLine="0"/>
      <w:spacing w:after="57"/>
    </w:pPr>
  </w:style>
  <w:style w:type="paragraph" w:styleId="708">
    <w:name w:val="toc 4"/>
    <w:basedOn w:val="686"/>
    <w:next w:val="686"/>
    <w:uiPriority w:val="39"/>
    <w:unhideWhenUsed/>
    <w:qFormat/>
    <w:pPr>
      <w:ind w:left="850" w:right="0" w:firstLine="0"/>
      <w:spacing w:after="57"/>
    </w:pPr>
  </w:style>
  <w:style w:type="paragraph" w:styleId="709">
    <w:name w:val="Subtitle"/>
    <w:basedOn w:val="686"/>
    <w:next w:val="686"/>
    <w:link w:val="732"/>
    <w:uiPriority w:val="11"/>
    <w:qFormat/>
    <w:pPr>
      <w:spacing w:before="200" w:after="200"/>
    </w:pPr>
    <w:rPr>
      <w:sz w:val="24"/>
      <w:szCs w:val="24"/>
    </w:rPr>
  </w:style>
  <w:style w:type="paragraph" w:styleId="710">
    <w:name w:val="footnote text"/>
    <w:basedOn w:val="686"/>
    <w:link w:val="865"/>
    <w:uiPriority w:val="99"/>
    <w:semiHidden/>
    <w:unhideWhenUsed/>
    <w:qFormat/>
    <w:pPr>
      <w:spacing w:after="40" w:line="240" w:lineRule="auto"/>
    </w:pPr>
    <w:rPr>
      <w:sz w:val="18"/>
    </w:rPr>
  </w:style>
  <w:style w:type="paragraph" w:styleId="711">
    <w:name w:val="toc 6"/>
    <w:basedOn w:val="686"/>
    <w:next w:val="686"/>
    <w:uiPriority w:val="39"/>
    <w:unhideWhenUsed/>
    <w:qFormat/>
    <w:pPr>
      <w:ind w:left="1417" w:right="0" w:firstLine="0"/>
      <w:spacing w:after="57"/>
    </w:pPr>
  </w:style>
  <w:style w:type="paragraph" w:styleId="712">
    <w:name w:val="table of figures"/>
    <w:basedOn w:val="686"/>
    <w:next w:val="686"/>
    <w:uiPriority w:val="99"/>
    <w:unhideWhenUsed/>
    <w:qFormat/>
    <w:pPr>
      <w:spacing w:after="0" w:afterAutospacing="0"/>
    </w:pPr>
  </w:style>
  <w:style w:type="paragraph" w:styleId="713">
    <w:name w:val="toc 2"/>
    <w:basedOn w:val="686"/>
    <w:next w:val="686"/>
    <w:uiPriority w:val="39"/>
    <w:unhideWhenUsed/>
    <w:qFormat/>
    <w:pPr>
      <w:ind w:left="283" w:right="0" w:firstLine="0"/>
      <w:spacing w:after="57"/>
    </w:pPr>
  </w:style>
  <w:style w:type="paragraph" w:styleId="714">
    <w:name w:val="toc 9"/>
    <w:basedOn w:val="686"/>
    <w:next w:val="686"/>
    <w:uiPriority w:val="39"/>
    <w:unhideWhenUsed/>
    <w:qFormat/>
    <w:pPr>
      <w:ind w:left="2268" w:right="0" w:firstLine="0"/>
      <w:spacing w:after="57"/>
    </w:pPr>
  </w:style>
  <w:style w:type="paragraph" w:styleId="715">
    <w:name w:val="Title"/>
    <w:basedOn w:val="686"/>
    <w:next w:val="686"/>
    <w:link w:val="731"/>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link w:val="687"/>
    <w:uiPriority w:val="9"/>
    <w:qFormat/>
    <w:rPr>
      <w:rFonts w:ascii="Arial" w:hAnsi="Arial" w:eastAsia="Arial" w:cs="Arial"/>
      <w:sz w:val="40"/>
      <w:szCs w:val="40"/>
    </w:rPr>
  </w:style>
  <w:style w:type="character" w:styleId="721" w:customStyle="1">
    <w:name w:val="Heading 2 Char"/>
    <w:link w:val="688"/>
    <w:uiPriority w:val="9"/>
    <w:qFormat/>
    <w:rPr>
      <w:rFonts w:ascii="Arial" w:hAnsi="Arial" w:eastAsia="Arial" w:cs="Arial"/>
      <w:sz w:val="34"/>
    </w:rPr>
  </w:style>
  <w:style w:type="character" w:styleId="722" w:customStyle="1">
    <w:name w:val="Heading 3 Char"/>
    <w:link w:val="689"/>
    <w:uiPriority w:val="9"/>
    <w:qFormat/>
    <w:rPr>
      <w:rFonts w:ascii="Arial" w:hAnsi="Arial" w:eastAsia="Arial" w:cs="Arial"/>
      <w:sz w:val="30"/>
      <w:szCs w:val="30"/>
    </w:rPr>
  </w:style>
  <w:style w:type="character" w:styleId="723" w:customStyle="1">
    <w:name w:val="Heading 4 Char"/>
    <w:link w:val="690"/>
    <w:uiPriority w:val="9"/>
    <w:qFormat/>
    <w:rPr>
      <w:rFonts w:ascii="Arial" w:hAnsi="Arial" w:eastAsia="Arial" w:cs="Arial"/>
      <w:b/>
      <w:bCs/>
      <w:sz w:val="26"/>
      <w:szCs w:val="26"/>
    </w:rPr>
  </w:style>
  <w:style w:type="character" w:styleId="724" w:customStyle="1">
    <w:name w:val="Heading 5 Char"/>
    <w:link w:val="691"/>
    <w:uiPriority w:val="9"/>
    <w:qFormat/>
    <w:rPr>
      <w:rFonts w:ascii="Arial" w:hAnsi="Arial" w:eastAsia="Arial" w:cs="Arial"/>
      <w:b/>
      <w:bCs/>
      <w:sz w:val="24"/>
      <w:szCs w:val="24"/>
    </w:rPr>
  </w:style>
  <w:style w:type="character" w:styleId="725" w:customStyle="1">
    <w:name w:val="Heading 6 Char"/>
    <w:link w:val="692"/>
    <w:uiPriority w:val="9"/>
    <w:qFormat/>
    <w:rPr>
      <w:rFonts w:ascii="Arial" w:hAnsi="Arial" w:eastAsia="Arial" w:cs="Arial"/>
      <w:b/>
      <w:bCs/>
      <w:sz w:val="22"/>
      <w:szCs w:val="22"/>
    </w:rPr>
  </w:style>
  <w:style w:type="character" w:styleId="726" w:customStyle="1">
    <w:name w:val="Heading 7 Char"/>
    <w:link w:val="693"/>
    <w:uiPriority w:val="9"/>
    <w:qFormat/>
    <w:rPr>
      <w:rFonts w:ascii="Arial" w:hAnsi="Arial" w:eastAsia="Arial" w:cs="Arial"/>
      <w:b/>
      <w:bCs/>
      <w:i/>
      <w:iCs/>
      <w:sz w:val="22"/>
      <w:szCs w:val="22"/>
    </w:rPr>
  </w:style>
  <w:style w:type="character" w:styleId="727" w:customStyle="1">
    <w:name w:val="Heading 8 Char"/>
    <w:link w:val="694"/>
    <w:uiPriority w:val="9"/>
    <w:qFormat/>
    <w:rPr>
      <w:rFonts w:ascii="Arial" w:hAnsi="Arial" w:eastAsia="Arial" w:cs="Arial"/>
      <w:i/>
      <w:iCs/>
      <w:sz w:val="22"/>
      <w:szCs w:val="22"/>
    </w:rPr>
  </w:style>
  <w:style w:type="character" w:styleId="728" w:customStyle="1">
    <w:name w:val="Heading 9 Char"/>
    <w:link w:val="695"/>
    <w:uiPriority w:val="9"/>
    <w:qFormat/>
    <w:rPr>
      <w:rFonts w:ascii="Arial" w:hAnsi="Arial" w:eastAsia="Arial" w:cs="Arial"/>
      <w:i/>
      <w:iCs/>
      <w:sz w:val="21"/>
      <w:szCs w:val="21"/>
    </w:rPr>
  </w:style>
  <w:style w:type="paragraph" w:styleId="729">
    <w:name w:val="List Paragraph"/>
    <w:basedOn w:val="686"/>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link w:val="715"/>
    <w:uiPriority w:val="10"/>
    <w:qFormat/>
    <w:rPr>
      <w:sz w:val="48"/>
      <w:szCs w:val="48"/>
    </w:rPr>
  </w:style>
  <w:style w:type="character" w:styleId="732" w:customStyle="1">
    <w:name w:val="Subtitle Char"/>
    <w:link w:val="709"/>
    <w:uiPriority w:val="11"/>
    <w:qFormat/>
    <w:rPr>
      <w:sz w:val="24"/>
      <w:szCs w:val="24"/>
    </w:rPr>
  </w:style>
  <w:style w:type="paragraph" w:styleId="733">
    <w:name w:val="Quote"/>
    <w:basedOn w:val="686"/>
    <w:next w:val="686"/>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86"/>
    <w:next w:val="686"/>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link w:val="706"/>
    <w:uiPriority w:val="99"/>
    <w:qFormat/>
  </w:style>
  <w:style w:type="character" w:styleId="738" w:customStyle="1">
    <w:name w:val="Footer Char"/>
    <w:link w:val="705"/>
    <w:uiPriority w:val="99"/>
    <w:qFormat/>
  </w:style>
  <w:style w:type="character" w:styleId="739" w:customStyle="1">
    <w:name w:val="Caption Char"/>
    <w:link w:val="705"/>
    <w:uiPriority w:val="99"/>
    <w:qFormat/>
  </w:style>
  <w:style w:type="table" w:styleId="7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link w:val="710"/>
    <w:uiPriority w:val="99"/>
    <w:qFormat/>
    <w:rPr>
      <w:sz w:val="18"/>
    </w:rPr>
  </w:style>
  <w:style w:type="character" w:styleId="866" w:customStyle="1">
    <w:name w:val="Endnote Text Char"/>
    <w:link w:val="704"/>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111"/>
    <w:basedOn w:val="686"/>
    <w:next w:val="686"/>
    <w:link w:val="880"/>
    <w:uiPriority w:val="0"/>
    <w:qFormat/>
    <w:pPr>
      <w:jc w:val="center"/>
      <w:keepNext/>
      <w:outlineLvl w:val="0"/>
    </w:pPr>
    <w:rPr>
      <w:rFonts w:ascii="楷体_GB2312" w:hAnsi="Times New Roman" w:eastAsia="楷体_GB2312" w:cs="Times New Roman"/>
      <w:sz w:val="28"/>
      <w:szCs w:val="28"/>
    </w:rPr>
  </w:style>
  <w:style w:type="paragraph" w:styleId="869" w:customStyle="1">
    <w:name w:val="标题 21"/>
    <w:basedOn w:val="686"/>
    <w:next w:val="686"/>
    <w:link w:val="8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0" w:customStyle="1">
    <w:name w:val="标题 31"/>
    <w:basedOn w:val="686"/>
    <w:next w:val="686"/>
    <w:link w:val="88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customStyle="1">
    <w:name w:val="标题 41"/>
    <w:basedOn w:val="686"/>
    <w:next w:val="872"/>
    <w:link w:val="883"/>
    <w:uiPriority w:val="0"/>
    <w:qFormat/>
    <w:pPr>
      <w:keepLines/>
      <w:keepNext/>
      <w:spacing w:before="280" w:after="290" w:line="376" w:lineRule="auto"/>
      <w:outlineLvl w:val="3"/>
    </w:pPr>
    <w:rPr>
      <w:rFonts w:ascii="Arial" w:hAnsi="Arial" w:eastAsia="黑体" w:cs="Arial"/>
      <w:b/>
      <w:bCs/>
      <w:sz w:val="28"/>
      <w:szCs w:val="28"/>
    </w:rPr>
  </w:style>
  <w:style w:type="paragraph" w:styleId="872" w:customStyle="1">
    <w:name w:val="正文缩进1"/>
    <w:basedOn w:val="686"/>
    <w:link w:val="884"/>
    <w:uiPriority w:val="0"/>
    <w:qFormat/>
    <w:pPr>
      <w:ind w:firstLine="420"/>
    </w:pPr>
    <w:rPr>
      <w:szCs w:val="21"/>
    </w:rPr>
  </w:style>
  <w:style w:type="paragraph" w:styleId="873" w:customStyle="1">
    <w:name w:val="标题 51"/>
    <w:basedOn w:val="686"/>
    <w:next w:val="872"/>
    <w:link w:val="885"/>
    <w:uiPriority w:val="0"/>
    <w:qFormat/>
    <w:pPr>
      <w:keepNext/>
      <w:outlineLvl w:val="4"/>
    </w:pPr>
    <w:rPr>
      <w:rFonts w:ascii="宋体" w:hAnsi="Times New Roman" w:eastAsia="宋体" w:cs="Times New Roman"/>
      <w:color w:val="000000"/>
      <w:sz w:val="28"/>
      <w:szCs w:val="28"/>
    </w:rPr>
  </w:style>
  <w:style w:type="paragraph" w:styleId="874" w:customStyle="1">
    <w:name w:val="标题 61"/>
    <w:basedOn w:val="686"/>
    <w:next w:val="686"/>
    <w:link w:val="88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5" w:customStyle="1">
    <w:name w:val="标题 71"/>
    <w:basedOn w:val="686"/>
    <w:next w:val="686"/>
    <w:link w:val="88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6" w:customStyle="1">
    <w:name w:val="标题 81"/>
    <w:basedOn w:val="686"/>
    <w:next w:val="686"/>
    <w:link w:val="88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7" w:customStyle="1">
    <w:name w:val="标题 91"/>
    <w:basedOn w:val="686"/>
    <w:next w:val="686"/>
    <w:link w:val="88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8" w:customStyle="1">
    <w:name w:val="默认段落字体11"/>
    <w:link w:val="686"/>
    <w:uiPriority w:val="1"/>
    <w:unhideWhenUsed/>
    <w:qFormat/>
  </w:style>
  <w:style w:type="table" w:styleId="879" w:customStyle="1">
    <w:name w:val="普通表格1"/>
    <w:uiPriority w:val="99"/>
    <w:unhideWhenUsed/>
    <w:qFormat/>
    <w:tblPr/>
  </w:style>
  <w:style w:type="character" w:styleId="880" w:customStyle="1">
    <w:name w:val="标题 1 字符"/>
    <w:link w:val="868"/>
    <w:uiPriority w:val="0"/>
    <w:qFormat/>
    <w:rPr>
      <w:rFonts w:ascii="楷体_GB2312" w:hAnsi="Times New Roman" w:eastAsia="楷体_GB2312" w:cs="Times New Roman"/>
      <w:sz w:val="28"/>
      <w:szCs w:val="28"/>
    </w:rPr>
  </w:style>
  <w:style w:type="character" w:styleId="881" w:customStyle="1">
    <w:name w:val="标题 2 字符"/>
    <w:link w:val="869"/>
    <w:uiPriority w:val="0"/>
    <w:qFormat/>
    <w:rPr>
      <w:rFonts w:ascii="Arial" w:hAnsi="Arial" w:eastAsia="幼圆" w:cs="Arial"/>
      <w:b/>
      <w:bCs/>
      <w:sz w:val="44"/>
      <w:szCs w:val="44"/>
    </w:rPr>
  </w:style>
  <w:style w:type="character" w:styleId="882" w:customStyle="1">
    <w:name w:val="标题 3 字符"/>
    <w:link w:val="870"/>
    <w:uiPriority w:val="0"/>
    <w:qFormat/>
    <w:rPr>
      <w:rFonts w:ascii="Times New Roman" w:hAnsi="Times New Roman" w:eastAsia="宋体" w:cs="Times New Roman"/>
      <w:b/>
      <w:bCs/>
      <w:sz w:val="32"/>
      <w:szCs w:val="32"/>
    </w:rPr>
  </w:style>
  <w:style w:type="character" w:styleId="883" w:customStyle="1">
    <w:name w:val="标题 4 字符"/>
    <w:link w:val="871"/>
    <w:uiPriority w:val="0"/>
    <w:qFormat/>
    <w:rPr>
      <w:rFonts w:ascii="Arial" w:hAnsi="Arial" w:eastAsia="黑体" w:cs="Arial"/>
      <w:b/>
      <w:bCs/>
      <w:sz w:val="28"/>
      <w:szCs w:val="28"/>
    </w:rPr>
  </w:style>
  <w:style w:type="character" w:styleId="884" w:customStyle="1">
    <w:name w:val="正文缩进 字符"/>
    <w:link w:val="872"/>
    <w:uiPriority w:val="0"/>
    <w:qFormat/>
    <w:rPr>
      <w:szCs w:val="21"/>
    </w:rPr>
  </w:style>
  <w:style w:type="character" w:styleId="885" w:customStyle="1">
    <w:name w:val="标题 5 字符"/>
    <w:link w:val="873"/>
    <w:uiPriority w:val="0"/>
    <w:qFormat/>
    <w:rPr>
      <w:rFonts w:ascii="宋体" w:hAnsi="Times New Roman" w:eastAsia="宋体" w:cs="Times New Roman"/>
      <w:color w:val="000000"/>
      <w:sz w:val="28"/>
      <w:szCs w:val="28"/>
    </w:rPr>
  </w:style>
  <w:style w:type="character" w:styleId="886" w:customStyle="1">
    <w:name w:val="标题 6 字符"/>
    <w:link w:val="874"/>
    <w:uiPriority w:val="0"/>
    <w:qFormat/>
    <w:rPr>
      <w:rFonts w:ascii="Arial" w:hAnsi="Arial" w:eastAsia="黑体" w:cs="Times New Roman"/>
      <w:b/>
      <w:bCs/>
      <w:sz w:val="24"/>
      <w:szCs w:val="24"/>
    </w:rPr>
  </w:style>
  <w:style w:type="character" w:styleId="887" w:customStyle="1">
    <w:name w:val="标题 7 字符"/>
    <w:link w:val="875"/>
    <w:uiPriority w:val="0"/>
    <w:qFormat/>
    <w:rPr>
      <w:rFonts w:ascii="Times New Roman" w:hAnsi="Times New Roman" w:eastAsia="宋体" w:cs="Times New Roman"/>
      <w:b/>
      <w:bCs/>
      <w:sz w:val="24"/>
      <w:szCs w:val="24"/>
    </w:rPr>
  </w:style>
  <w:style w:type="character" w:styleId="888" w:customStyle="1">
    <w:name w:val="标题 8 字符"/>
    <w:link w:val="876"/>
    <w:uiPriority w:val="0"/>
    <w:qFormat/>
    <w:rPr>
      <w:rFonts w:ascii="Arial" w:hAnsi="Arial" w:eastAsia="黑体" w:cs="Times New Roman"/>
      <w:sz w:val="24"/>
      <w:szCs w:val="24"/>
    </w:rPr>
  </w:style>
  <w:style w:type="character" w:styleId="889" w:customStyle="1">
    <w:name w:val="标题 9 字符"/>
    <w:link w:val="877"/>
    <w:uiPriority w:val="0"/>
    <w:qFormat/>
    <w:rPr>
      <w:rFonts w:ascii="Arial" w:hAnsi="Arial" w:eastAsia="黑体" w:cs="Times New Roman"/>
      <w:szCs w:val="21"/>
    </w:rPr>
  </w:style>
  <w:style w:type="paragraph" w:styleId="890" w:customStyle="1">
    <w:name w:val="列表 31"/>
    <w:basedOn w:val="686"/>
    <w:uiPriority w:val="0"/>
    <w:qFormat/>
    <w:pPr>
      <w:ind w:left="100" w:hanging="200"/>
    </w:pPr>
    <w:rPr>
      <w:rFonts w:ascii="Times New Roman" w:hAnsi="Times New Roman" w:eastAsia="宋体" w:cs="Times New Roman"/>
      <w:szCs w:val="21"/>
    </w:rPr>
  </w:style>
  <w:style w:type="paragraph" w:styleId="891" w:customStyle="1">
    <w:name w:val="目录 71"/>
    <w:basedOn w:val="686"/>
    <w:next w:val="686"/>
    <w:uiPriority w:val="0"/>
    <w:semiHidden/>
    <w:qFormat/>
    <w:pPr>
      <w:ind w:left="1260"/>
      <w:jc w:val="left"/>
    </w:pPr>
    <w:rPr>
      <w:rFonts w:ascii="Times New Roman" w:hAnsi="Times New Roman" w:eastAsia="宋体" w:cs="Times New Roman"/>
      <w:szCs w:val="21"/>
    </w:rPr>
  </w:style>
  <w:style w:type="paragraph" w:styleId="892" w:customStyle="1">
    <w:name w:val="文档结构图1"/>
    <w:basedOn w:val="686"/>
    <w:link w:val="893"/>
    <w:uiPriority w:val="0"/>
    <w:semiHidden/>
    <w:qFormat/>
    <w:pPr>
      <w:shd w:val="clear" w:color="auto" w:fill="000080"/>
    </w:pPr>
    <w:rPr>
      <w:rFonts w:ascii="Times New Roman" w:hAnsi="Times New Roman" w:eastAsia="宋体" w:cs="Times New Roman"/>
      <w:szCs w:val="21"/>
    </w:rPr>
  </w:style>
  <w:style w:type="character" w:styleId="893" w:customStyle="1">
    <w:name w:val="文档结构图 字符"/>
    <w:link w:val="892"/>
    <w:uiPriority w:val="0"/>
    <w:semiHidden/>
    <w:qFormat/>
    <w:rPr>
      <w:rFonts w:ascii="Times New Roman" w:hAnsi="Times New Roman" w:eastAsia="宋体" w:cs="Times New Roman"/>
      <w:szCs w:val="21"/>
      <w:shd w:val="clear" w:color="auto" w:fill="000080"/>
    </w:rPr>
  </w:style>
  <w:style w:type="paragraph" w:styleId="894" w:customStyle="1">
    <w:name w:val="批注文字1"/>
    <w:basedOn w:val="686"/>
    <w:link w:val="895"/>
    <w:uiPriority w:val="0"/>
    <w:unhideWhenUsed/>
    <w:qFormat/>
    <w:pPr>
      <w:jc w:val="left"/>
    </w:pPr>
  </w:style>
  <w:style w:type="character" w:styleId="895" w:customStyle="1">
    <w:name w:val="批注文字 字符"/>
    <w:link w:val="894"/>
    <w:uiPriority w:val="99"/>
    <w:semiHidden/>
    <w:qFormat/>
  </w:style>
  <w:style w:type="paragraph" w:styleId="896" w:customStyle="1">
    <w:name w:val="正文文本 31"/>
    <w:basedOn w:val="686"/>
    <w:link w:val="897"/>
    <w:uiPriority w:val="0"/>
    <w:qFormat/>
    <w:rPr>
      <w:rFonts w:ascii="仿宋_GB2312" w:hAnsi="Arial" w:eastAsia="仿宋_GB2312" w:cs="Times New Roman"/>
      <w:sz w:val="32"/>
      <w:szCs w:val="32"/>
    </w:rPr>
  </w:style>
  <w:style w:type="character" w:styleId="897" w:customStyle="1">
    <w:name w:val="正文文本 3 字符"/>
    <w:link w:val="896"/>
    <w:uiPriority w:val="0"/>
    <w:qFormat/>
    <w:rPr>
      <w:rFonts w:ascii="仿宋_GB2312" w:hAnsi="Arial" w:eastAsia="仿宋_GB2312" w:cs="Times New Roman"/>
      <w:sz w:val="32"/>
      <w:szCs w:val="32"/>
    </w:rPr>
  </w:style>
  <w:style w:type="paragraph" w:styleId="898" w:customStyle="1">
    <w:name w:val="正文文本111"/>
    <w:basedOn w:val="686"/>
    <w:link w:val="899"/>
    <w:uiPriority w:val="0"/>
    <w:qFormat/>
    <w:rPr>
      <w:rFonts w:ascii="楷体_GB2312" w:hAnsi="Arial" w:eastAsia="楷体_GB2312" w:cs="Times New Roman"/>
      <w:sz w:val="28"/>
      <w:szCs w:val="28"/>
    </w:rPr>
  </w:style>
  <w:style w:type="character" w:styleId="899" w:customStyle="1">
    <w:name w:val="正文文本 字符"/>
    <w:link w:val="898"/>
    <w:uiPriority w:val="0"/>
    <w:qFormat/>
    <w:rPr>
      <w:rFonts w:ascii="楷体_GB2312" w:hAnsi="Arial" w:eastAsia="楷体_GB2312" w:cs="Times New Roman"/>
      <w:sz w:val="28"/>
      <w:szCs w:val="28"/>
    </w:rPr>
  </w:style>
  <w:style w:type="paragraph" w:styleId="900" w:customStyle="1">
    <w:name w:val="正文文本缩进1"/>
    <w:basedOn w:val="686"/>
    <w:link w:val="901"/>
    <w:uiPriority w:val="0"/>
    <w:unhideWhenUsed/>
    <w:qFormat/>
    <w:pPr>
      <w:ind w:left="420"/>
      <w:spacing w:after="120"/>
    </w:pPr>
  </w:style>
  <w:style w:type="character" w:styleId="901" w:customStyle="1">
    <w:name w:val="正文文本缩进 字符"/>
    <w:link w:val="900"/>
    <w:uiPriority w:val="99"/>
    <w:semiHidden/>
    <w:qFormat/>
  </w:style>
  <w:style w:type="paragraph" w:styleId="902" w:customStyle="1">
    <w:name w:val="列表 21"/>
    <w:basedOn w:val="686"/>
    <w:uiPriority w:val="0"/>
    <w:qFormat/>
    <w:pPr>
      <w:ind w:left="100" w:hanging="200"/>
    </w:pPr>
    <w:rPr>
      <w:rFonts w:ascii="Times New Roman" w:hAnsi="Times New Roman" w:eastAsia="宋体" w:cs="Times New Roman"/>
      <w:szCs w:val="21"/>
    </w:rPr>
  </w:style>
  <w:style w:type="paragraph" w:styleId="903" w:customStyle="1">
    <w:name w:val="目录 51"/>
    <w:basedOn w:val="686"/>
    <w:next w:val="686"/>
    <w:uiPriority w:val="0"/>
    <w:semiHidden/>
    <w:qFormat/>
    <w:pPr>
      <w:ind w:left="840"/>
      <w:jc w:val="left"/>
    </w:pPr>
    <w:rPr>
      <w:rFonts w:ascii="Times New Roman" w:hAnsi="Times New Roman" w:eastAsia="宋体" w:cs="Times New Roman"/>
      <w:szCs w:val="21"/>
    </w:rPr>
  </w:style>
  <w:style w:type="paragraph" w:styleId="904" w:customStyle="1">
    <w:name w:val="目录 31"/>
    <w:basedOn w:val="686"/>
    <w:next w:val="686"/>
    <w:uiPriority w:val="0"/>
    <w:semiHidden/>
    <w:qFormat/>
    <w:pPr>
      <w:ind w:left="420"/>
      <w:jc w:val="left"/>
    </w:pPr>
    <w:rPr>
      <w:rFonts w:ascii="Times New Roman" w:hAnsi="Times New Roman" w:eastAsia="宋体" w:cs="Times New Roman"/>
      <w:i/>
      <w:iCs/>
      <w:szCs w:val="24"/>
    </w:rPr>
  </w:style>
  <w:style w:type="paragraph" w:styleId="905" w:customStyle="1">
    <w:name w:val="纯文本1"/>
    <w:basedOn w:val="686"/>
    <w:link w:val="906"/>
    <w:uiPriority w:val="0"/>
    <w:qFormat/>
    <w:rPr>
      <w:rFonts w:ascii="宋体" w:hAnsi="Courier New" w:eastAsia="宋体" w:cs="Courier New"/>
      <w:szCs w:val="21"/>
    </w:rPr>
  </w:style>
  <w:style w:type="character" w:styleId="906" w:customStyle="1">
    <w:name w:val="纯文本 字符"/>
    <w:link w:val="905"/>
    <w:uiPriority w:val="0"/>
    <w:qFormat/>
    <w:rPr>
      <w:rFonts w:ascii="宋体" w:hAnsi="Courier New" w:eastAsia="宋体" w:cs="Courier New"/>
      <w:szCs w:val="21"/>
    </w:rPr>
  </w:style>
  <w:style w:type="paragraph" w:styleId="907" w:customStyle="1">
    <w:name w:val="目录 81"/>
    <w:basedOn w:val="686"/>
    <w:next w:val="686"/>
    <w:uiPriority w:val="0"/>
    <w:semiHidden/>
    <w:qFormat/>
    <w:pPr>
      <w:ind w:left="1470"/>
      <w:jc w:val="left"/>
    </w:pPr>
    <w:rPr>
      <w:rFonts w:ascii="Times New Roman" w:hAnsi="Times New Roman" w:eastAsia="宋体" w:cs="Times New Roman"/>
      <w:szCs w:val="21"/>
    </w:rPr>
  </w:style>
  <w:style w:type="paragraph" w:styleId="908" w:customStyle="1">
    <w:name w:val="日期1"/>
    <w:basedOn w:val="686"/>
    <w:next w:val="686"/>
    <w:link w:val="909"/>
    <w:uiPriority w:val="0"/>
    <w:qFormat/>
    <w:rPr>
      <w:rFonts w:ascii="Times New Roman" w:hAnsi="Times New Roman" w:eastAsia="宋体" w:cs="Times New Roman"/>
      <w:sz w:val="24"/>
      <w:szCs w:val="24"/>
    </w:rPr>
  </w:style>
  <w:style w:type="character" w:styleId="909" w:customStyle="1">
    <w:name w:val="日期 字符"/>
    <w:link w:val="908"/>
    <w:uiPriority w:val="0"/>
    <w:qFormat/>
    <w:rPr>
      <w:rFonts w:ascii="Times New Roman" w:hAnsi="Times New Roman" w:eastAsia="宋体" w:cs="Times New Roman"/>
      <w:sz w:val="24"/>
      <w:szCs w:val="24"/>
    </w:rPr>
  </w:style>
  <w:style w:type="paragraph" w:styleId="910" w:customStyle="1">
    <w:name w:val="正文文本缩进 21"/>
    <w:basedOn w:val="686"/>
    <w:link w:val="911"/>
    <w:uiPriority w:val="0"/>
    <w:qFormat/>
    <w:pPr>
      <w:ind w:left="630" w:firstLine="645"/>
    </w:pPr>
    <w:rPr>
      <w:rFonts w:ascii="Arial" w:hAnsi="Arial" w:eastAsia="仿宋_GB2312" w:cs="Arial"/>
      <w:sz w:val="32"/>
      <w:szCs w:val="32"/>
    </w:rPr>
  </w:style>
  <w:style w:type="character" w:styleId="911" w:customStyle="1">
    <w:name w:val="正文文本缩进 2 字符"/>
    <w:link w:val="910"/>
    <w:uiPriority w:val="0"/>
    <w:qFormat/>
    <w:rPr>
      <w:rFonts w:ascii="Arial" w:hAnsi="Arial" w:eastAsia="仿宋_GB2312" w:cs="Arial"/>
      <w:sz w:val="32"/>
      <w:szCs w:val="32"/>
    </w:rPr>
  </w:style>
  <w:style w:type="paragraph" w:styleId="912" w:customStyle="1">
    <w:name w:val="批注框文本1"/>
    <w:basedOn w:val="686"/>
    <w:link w:val="913"/>
    <w:uiPriority w:val="0"/>
    <w:semiHidden/>
    <w:qFormat/>
    <w:rPr>
      <w:rFonts w:ascii="Times New Roman" w:hAnsi="Times New Roman" w:eastAsia="宋体" w:cs="Times New Roman"/>
      <w:sz w:val="18"/>
      <w:szCs w:val="18"/>
    </w:rPr>
  </w:style>
  <w:style w:type="character" w:styleId="913" w:customStyle="1">
    <w:name w:val="批注框文本 字符"/>
    <w:link w:val="912"/>
    <w:uiPriority w:val="0"/>
    <w:semiHidden/>
    <w:qFormat/>
    <w:rPr>
      <w:rFonts w:ascii="Times New Roman" w:hAnsi="Times New Roman" w:eastAsia="宋体" w:cs="Times New Roman"/>
      <w:sz w:val="18"/>
      <w:szCs w:val="18"/>
    </w:rPr>
  </w:style>
  <w:style w:type="paragraph" w:styleId="914" w:customStyle="1">
    <w:name w:val="页脚1"/>
    <w:basedOn w:val="686"/>
    <w:link w:val="915"/>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15" w:customStyle="1">
    <w:name w:val="页脚 字符"/>
    <w:link w:val="914"/>
    <w:uiPriority w:val="99"/>
    <w:qFormat/>
    <w:rPr>
      <w:rFonts w:ascii="Times New Roman" w:hAnsi="Times New Roman" w:eastAsia="宋体" w:cs="Times New Roman"/>
      <w:sz w:val="18"/>
      <w:szCs w:val="18"/>
    </w:rPr>
  </w:style>
  <w:style w:type="paragraph" w:styleId="916" w:customStyle="1">
    <w:name w:val="页眉1"/>
    <w:basedOn w:val="686"/>
    <w:link w:val="91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customStyle="1">
    <w:name w:val="页眉 字符"/>
    <w:link w:val="916"/>
    <w:uiPriority w:val="0"/>
    <w:qFormat/>
    <w:rPr>
      <w:rFonts w:ascii="Times New Roman" w:hAnsi="Times New Roman" w:eastAsia="宋体" w:cs="Times New Roman"/>
      <w:sz w:val="18"/>
      <w:szCs w:val="18"/>
    </w:rPr>
  </w:style>
  <w:style w:type="paragraph" w:styleId="918" w:customStyle="1">
    <w:name w:val="目录 11"/>
    <w:basedOn w:val="686"/>
    <w:next w:val="68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9" w:customStyle="1">
    <w:name w:val="目录 41"/>
    <w:basedOn w:val="686"/>
    <w:next w:val="686"/>
    <w:uiPriority w:val="0"/>
    <w:semiHidden/>
    <w:qFormat/>
    <w:pPr>
      <w:ind w:left="630"/>
      <w:jc w:val="left"/>
    </w:pPr>
    <w:rPr>
      <w:rFonts w:ascii="Times New Roman" w:hAnsi="Times New Roman" w:eastAsia="宋体" w:cs="Times New Roman"/>
      <w:szCs w:val="21"/>
    </w:rPr>
  </w:style>
  <w:style w:type="paragraph" w:styleId="920" w:customStyle="1">
    <w:name w:val="列表1"/>
    <w:basedOn w:val="686"/>
    <w:uiPriority w:val="0"/>
    <w:qFormat/>
    <w:pPr>
      <w:ind w:left="200" w:hanging="200"/>
    </w:pPr>
    <w:rPr>
      <w:rFonts w:ascii="Times New Roman" w:hAnsi="Times New Roman" w:eastAsia="宋体" w:cs="Times New Roman"/>
      <w:szCs w:val="21"/>
    </w:rPr>
  </w:style>
  <w:style w:type="paragraph" w:styleId="921" w:customStyle="1">
    <w:name w:val="目录 61"/>
    <w:basedOn w:val="686"/>
    <w:next w:val="686"/>
    <w:uiPriority w:val="0"/>
    <w:semiHidden/>
    <w:qFormat/>
    <w:pPr>
      <w:ind w:left="1050"/>
      <w:jc w:val="left"/>
    </w:pPr>
    <w:rPr>
      <w:rFonts w:ascii="Times New Roman" w:hAnsi="Times New Roman" w:eastAsia="宋体" w:cs="Times New Roman"/>
      <w:szCs w:val="21"/>
    </w:rPr>
  </w:style>
  <w:style w:type="paragraph" w:styleId="922" w:customStyle="1">
    <w:name w:val="正文文本缩进 31"/>
    <w:basedOn w:val="686"/>
    <w:link w:val="923"/>
    <w:uiPriority w:val="0"/>
    <w:qFormat/>
    <w:pPr>
      <w:ind w:left="645" w:firstLine="645"/>
    </w:pPr>
    <w:rPr>
      <w:rFonts w:ascii="Arial" w:hAnsi="Arial" w:eastAsia="仿宋_GB2312" w:cs="Arial"/>
      <w:color w:val="ffff00"/>
      <w:sz w:val="32"/>
      <w:szCs w:val="32"/>
    </w:rPr>
  </w:style>
  <w:style w:type="character" w:styleId="923" w:customStyle="1">
    <w:name w:val="正文文本缩进 3 字符"/>
    <w:link w:val="922"/>
    <w:uiPriority w:val="0"/>
    <w:qFormat/>
    <w:rPr>
      <w:rFonts w:ascii="Arial" w:hAnsi="Arial" w:eastAsia="仿宋_GB2312" w:cs="Arial"/>
      <w:color w:val="ffff00"/>
      <w:sz w:val="32"/>
      <w:szCs w:val="32"/>
    </w:rPr>
  </w:style>
  <w:style w:type="paragraph" w:styleId="924" w:customStyle="1">
    <w:name w:val="图表目录1"/>
    <w:basedOn w:val="686"/>
    <w:next w:val="686"/>
    <w:uiPriority w:val="0"/>
    <w:semiHidden/>
    <w:qFormat/>
    <w:pPr>
      <w:ind w:left="840" w:hanging="420"/>
    </w:pPr>
    <w:rPr>
      <w:rFonts w:ascii="Times New Roman" w:hAnsi="Times New Roman" w:eastAsia="宋体" w:cs="Times New Roman"/>
      <w:szCs w:val="21"/>
    </w:rPr>
  </w:style>
  <w:style w:type="paragraph" w:styleId="925" w:customStyle="1">
    <w:name w:val="目录 21"/>
    <w:basedOn w:val="686"/>
    <w:next w:val="686"/>
    <w:uiPriority w:val="0"/>
    <w:semiHidden/>
    <w:qFormat/>
    <w:pPr>
      <w:ind w:left="210"/>
      <w:jc w:val="left"/>
    </w:pPr>
    <w:rPr>
      <w:rFonts w:ascii="Times New Roman" w:hAnsi="Times New Roman" w:eastAsia="宋体" w:cs="Times New Roman"/>
      <w:smallCaps/>
      <w:szCs w:val="24"/>
    </w:rPr>
  </w:style>
  <w:style w:type="paragraph" w:styleId="926" w:customStyle="1">
    <w:name w:val="目录 91"/>
    <w:basedOn w:val="686"/>
    <w:next w:val="686"/>
    <w:uiPriority w:val="0"/>
    <w:semiHidden/>
    <w:qFormat/>
    <w:pPr>
      <w:ind w:left="1680"/>
      <w:jc w:val="left"/>
    </w:pPr>
    <w:rPr>
      <w:rFonts w:ascii="Times New Roman" w:hAnsi="Times New Roman" w:eastAsia="宋体" w:cs="Times New Roman"/>
      <w:szCs w:val="21"/>
    </w:rPr>
  </w:style>
  <w:style w:type="paragraph" w:styleId="927" w:customStyle="1">
    <w:name w:val="正文文本 21"/>
    <w:basedOn w:val="686"/>
    <w:link w:val="928"/>
    <w:uiPriority w:val="0"/>
    <w:qFormat/>
    <w:pPr>
      <w:jc w:val="center"/>
      <w:widowControl/>
    </w:pPr>
    <w:rPr>
      <w:rFonts w:ascii="楷体_GB2312" w:hAnsi="Times New Roman" w:eastAsia="楷体_GB2312" w:cs="Times New Roman"/>
      <w:sz w:val="28"/>
      <w:szCs w:val="28"/>
    </w:rPr>
  </w:style>
  <w:style w:type="character" w:styleId="928" w:customStyle="1">
    <w:name w:val="正文文本 2 字符"/>
    <w:link w:val="927"/>
    <w:uiPriority w:val="0"/>
    <w:qFormat/>
    <w:rPr>
      <w:rFonts w:ascii="楷体_GB2312" w:hAnsi="Times New Roman" w:eastAsia="楷体_GB2312" w:cs="Times New Roman"/>
      <w:sz w:val="28"/>
      <w:szCs w:val="28"/>
    </w:rPr>
  </w:style>
  <w:style w:type="paragraph" w:styleId="929" w:customStyle="1">
    <w:name w:val="普通(网站)11"/>
    <w:basedOn w:val="686"/>
    <w:uiPriority w:val="99"/>
    <w:qFormat/>
    <w:pPr>
      <w:jc w:val="left"/>
      <w:spacing w:before="100" w:beforeAutospacing="1" w:after="100" w:afterAutospacing="1"/>
      <w:widowControl/>
    </w:pPr>
    <w:rPr>
      <w:rFonts w:ascii="宋体" w:hAnsi="宋体" w:eastAsia="宋体" w:cs="宋体"/>
      <w:sz w:val="24"/>
      <w:szCs w:val="24"/>
    </w:rPr>
  </w:style>
  <w:style w:type="paragraph" w:styleId="930" w:customStyle="1">
    <w:name w:val="索引 11"/>
    <w:basedOn w:val="686"/>
    <w:next w:val="686"/>
    <w:uiPriority w:val="0"/>
    <w:semiHidden/>
    <w:qFormat/>
    <w:pPr>
      <w:spacing w:line="240" w:lineRule="atLeast"/>
    </w:pPr>
    <w:rPr>
      <w:rFonts w:ascii="Times New Roman" w:hAnsi="Times New Roman" w:eastAsia="宋体" w:cs="Times New Roman"/>
      <w:b/>
      <w:bCs/>
      <w:szCs w:val="21"/>
    </w:rPr>
  </w:style>
  <w:style w:type="paragraph" w:styleId="931" w:customStyle="1">
    <w:name w:val="批注主题1"/>
    <w:basedOn w:val="894"/>
    <w:next w:val="894"/>
    <w:link w:val="932"/>
    <w:uiPriority w:val="0"/>
    <w:semiHidden/>
    <w:qFormat/>
    <w:rPr>
      <w:rFonts w:ascii="Times New Roman" w:hAnsi="Times New Roman" w:eastAsia="宋体" w:cs="Times New Roman"/>
      <w:b/>
      <w:bCs/>
      <w:szCs w:val="21"/>
    </w:rPr>
  </w:style>
  <w:style w:type="character" w:styleId="932" w:customStyle="1">
    <w:name w:val="批注主题 字符"/>
    <w:link w:val="931"/>
    <w:uiPriority w:val="0"/>
    <w:semiHidden/>
    <w:qFormat/>
    <w:rPr>
      <w:rFonts w:ascii="Times New Roman" w:hAnsi="Times New Roman" w:eastAsia="宋体" w:cs="Times New Roman"/>
      <w:b/>
      <w:bCs/>
      <w:szCs w:val="21"/>
    </w:rPr>
  </w:style>
  <w:style w:type="paragraph" w:styleId="933" w:customStyle="1">
    <w:name w:val="正文首行缩进11"/>
    <w:basedOn w:val="898"/>
    <w:link w:val="934"/>
    <w:uiPriority w:val="0"/>
    <w:qFormat/>
    <w:pPr>
      <w:ind w:firstLine="200"/>
      <w:spacing w:line="360" w:lineRule="auto"/>
    </w:pPr>
    <w:rPr>
      <w:rFonts w:ascii="仿宋_GB2312" w:hAnsi="Times New Roman" w:eastAsia="仿宋_GB2312" w:cs="Times New Roman"/>
      <w:sz w:val="30"/>
      <w:szCs w:val="30"/>
    </w:rPr>
  </w:style>
  <w:style w:type="character" w:styleId="934" w:customStyle="1">
    <w:name w:val="正文首行缩进 字符"/>
    <w:link w:val="933"/>
    <w:uiPriority w:val="0"/>
    <w:qFormat/>
    <w:rPr>
      <w:rFonts w:ascii="仿宋_GB2312" w:hAnsi="Times New Roman" w:eastAsia="仿宋_GB2312" w:cs="Times New Roman"/>
      <w:sz w:val="30"/>
      <w:szCs w:val="30"/>
    </w:rPr>
  </w:style>
  <w:style w:type="paragraph" w:styleId="935" w:customStyle="1">
    <w:name w:val="正文首行缩进 21"/>
    <w:basedOn w:val="900"/>
    <w:link w:val="936"/>
    <w:uiPriority w:val="0"/>
    <w:qFormat/>
    <w:pPr>
      <w:ind w:left="0" w:firstLine="420"/>
      <w:spacing w:after="0" w:line="360" w:lineRule="auto"/>
    </w:pPr>
    <w:rPr>
      <w:rFonts w:ascii="宋体" w:hAnsi="宋体" w:eastAsia="宋体" w:cs="Times New Roman"/>
      <w:szCs w:val="20"/>
    </w:rPr>
  </w:style>
  <w:style w:type="character" w:styleId="936" w:customStyle="1">
    <w:name w:val="正文首行缩进 2 字符"/>
    <w:link w:val="935"/>
    <w:uiPriority w:val="0"/>
    <w:qFormat/>
    <w:rPr>
      <w:rFonts w:ascii="宋体" w:hAnsi="宋体" w:eastAsia="宋体" w:cs="Times New Roman"/>
      <w:szCs w:val="20"/>
    </w:rPr>
  </w:style>
  <w:style w:type="table" w:styleId="937" w:customStyle="1">
    <w:name w:val="网格型11"/>
    <w:basedOn w:val="879"/>
    <w:uiPriority w:val="0"/>
    <w:qFormat/>
    <w:pPr>
      <w:jc w:val="both"/>
      <w:widowControl w:val="off"/>
    </w:pPr>
    <w:rPr>
      <w:rFonts w:ascii="Times New Roman" w:hAnsi="Times New Roman" w:eastAsia="宋体" w:cs="Times New Roman"/>
      <w:sz w:val="20"/>
      <w:szCs w:val="20"/>
    </w:rPr>
    <w:tblPr/>
  </w:style>
  <w:style w:type="character" w:styleId="938" w:customStyle="1">
    <w:name w:val="要点11"/>
    <w:link w:val="686"/>
    <w:uiPriority w:val="0"/>
    <w:qFormat/>
    <w:rPr>
      <w:b/>
      <w:bCs/>
    </w:rPr>
  </w:style>
  <w:style w:type="character" w:styleId="939" w:customStyle="1">
    <w:name w:val="页码1"/>
    <w:link w:val="686"/>
    <w:uiPriority w:val="0"/>
    <w:qFormat/>
  </w:style>
  <w:style w:type="character" w:styleId="940" w:customStyle="1">
    <w:name w:val="已访问的超链接1"/>
    <w:link w:val="686"/>
    <w:uiPriority w:val="0"/>
    <w:qFormat/>
    <w:rPr>
      <w:color w:val="800080"/>
      <w:u w:val="single"/>
    </w:rPr>
  </w:style>
  <w:style w:type="character" w:styleId="941" w:customStyle="1">
    <w:name w:val="强调1"/>
    <w:link w:val="686"/>
    <w:uiPriority w:val="0"/>
    <w:qFormat/>
    <w:rPr>
      <w:i/>
    </w:rPr>
  </w:style>
  <w:style w:type="character" w:styleId="942" w:customStyle="1">
    <w:name w:val="超链接1"/>
    <w:link w:val="686"/>
    <w:uiPriority w:val="0"/>
    <w:qFormat/>
    <w:rPr>
      <w:color w:val="0000ff"/>
      <w:u w:val="single"/>
    </w:rPr>
  </w:style>
  <w:style w:type="character" w:styleId="943" w:customStyle="1">
    <w:name w:val="批注引用1"/>
    <w:link w:val="686"/>
    <w:uiPriority w:val="0"/>
    <w:semiHidden/>
    <w:qFormat/>
    <w:rPr>
      <w:sz w:val="21"/>
      <w:szCs w:val="21"/>
    </w:rPr>
  </w:style>
  <w:style w:type="paragraph" w:styleId="944" w:customStyle="1">
    <w:name w:val="Default"/>
    <w:next w:val="686"/>
    <w:uiPriority w:val="0"/>
    <w:qFormat/>
    <w:pPr>
      <w:widowControl w:val="off"/>
    </w:pPr>
    <w:rPr>
      <w:rFonts w:hint="default" w:ascii="仿宋_GB2312" w:hAnsi="Calibri" w:eastAsia="宋体" w:cs="仿宋_GB2312"/>
      <w:color w:val="000000"/>
      <w:sz w:val="24"/>
      <w:szCs w:val="24"/>
      <w:lang w:val="en-US" w:eastAsia="zh-CN" w:bidi="ar-SA"/>
    </w:rPr>
  </w:style>
  <w:style w:type="character" w:styleId="945" w:customStyle="1">
    <w:name w:val="要点1"/>
    <w:link w:val="686"/>
    <w:uiPriority w:val="0"/>
    <w:qFormat/>
    <w:rPr>
      <w:sz w:val="21"/>
      <w:szCs w:val="22"/>
      <w:lang w:val="en-US" w:eastAsia="zh-CN" w:bidi="ar-SA"/>
    </w:rPr>
  </w:style>
  <w:style w:type="character" w:styleId="946" w:customStyle="1">
    <w:name w:val="font5 Char"/>
    <w:link w:val="686"/>
    <w:uiPriority w:val="0"/>
    <w:qFormat/>
    <w:rPr>
      <w:rFonts w:ascii="宋体" w:hAnsi="宋体" w:eastAsia="宋体"/>
      <w:sz w:val="28"/>
      <w:szCs w:val="28"/>
      <w:lang w:val="en-US" w:eastAsia="zh-CN" w:bidi="ar-SA"/>
    </w:rPr>
  </w:style>
  <w:style w:type="character" w:styleId="947" w:customStyle="1">
    <w:name w:val="二级目录 Char"/>
    <w:link w:val="948"/>
    <w:uiPriority w:val="0"/>
    <w:qFormat/>
    <w:rPr>
      <w:b/>
      <w:sz w:val="30"/>
      <w:szCs w:val="28"/>
    </w:rPr>
  </w:style>
  <w:style w:type="paragraph" w:styleId="948" w:customStyle="1">
    <w:name w:val="二级目录"/>
    <w:next w:val="686"/>
    <w:link w:val="94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9" w:customStyle="1">
    <w:name w:val="列出段落 Char"/>
    <w:link w:val="950"/>
    <w:uiPriority w:val="0"/>
    <w:qFormat/>
    <w:rPr>
      <w:rFonts w:ascii="Calibri" w:hAnsi="Calibri"/>
      <w:sz w:val="24"/>
      <w:szCs w:val="24"/>
      <w:lang w:eastAsia="en-US" w:bidi="en-US"/>
    </w:rPr>
  </w:style>
  <w:style w:type="paragraph" w:styleId="950" w:customStyle="1">
    <w:name w:val="列出段落1"/>
    <w:basedOn w:val="686"/>
    <w:link w:val="949"/>
    <w:uiPriority w:val="0"/>
    <w:qFormat/>
    <w:pPr>
      <w:contextualSpacing/>
      <w:ind w:left="720"/>
      <w:jc w:val="left"/>
      <w:widowControl/>
    </w:pPr>
    <w:rPr>
      <w:rFonts w:ascii="Calibri" w:hAnsi="Calibri"/>
      <w:sz w:val="24"/>
      <w:szCs w:val="24"/>
      <w:lang w:eastAsia="en-US" w:bidi="en-US"/>
    </w:rPr>
  </w:style>
  <w:style w:type="paragraph" w:styleId="951" w:customStyle="1">
    <w:name w:val="Body Text(ch)"/>
    <w:basedOn w:val="686"/>
    <w:next w:val="898"/>
    <w:uiPriority w:val="0"/>
    <w:qFormat/>
    <w:pPr>
      <w:spacing w:after="120"/>
    </w:pPr>
    <w:rPr>
      <w:rFonts w:ascii="宋体" w:hAnsi="Arial" w:eastAsia="宋体" w:cs="Times New Roman"/>
      <w:bCs/>
      <w:iCs/>
      <w:szCs w:val="24"/>
    </w:rPr>
  </w:style>
  <w:style w:type="paragraph" w:styleId="952"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3"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4" w:customStyle="1">
    <w:name w:val="Char"/>
    <w:basedOn w:val="686"/>
    <w:uiPriority w:val="0"/>
    <w:qFormat/>
    <w:pPr>
      <w:ind w:firstLine="200"/>
      <w:tabs>
        <w:tab w:val="left" w:pos="360" w:leader="none"/>
      </w:tabs>
    </w:pPr>
    <w:rPr>
      <w:rFonts w:ascii="Times New Roman" w:hAnsi="Times New Roman" w:eastAsia="宋体" w:cs="Times New Roman"/>
      <w:sz w:val="28"/>
      <w:szCs w:val="30"/>
    </w:rPr>
  </w:style>
  <w:style w:type="paragraph" w:styleId="955" w:customStyle="1">
    <w:name w:val=" Char"/>
    <w:basedOn w:val="892"/>
    <w:uiPriority w:val="0"/>
    <w:qFormat/>
    <w:rPr>
      <w:rFonts w:ascii="Tahoma" w:hAnsi="Tahoma"/>
      <w:sz w:val="24"/>
      <w:szCs w:val="24"/>
    </w:rPr>
  </w:style>
  <w:style w:type="paragraph" w:styleId="956" w:customStyle="1">
    <w:name w:val="普通正文"/>
    <w:basedOn w:val="686"/>
    <w:uiPriority w:val="0"/>
    <w:qFormat/>
    <w:pPr>
      <w:ind w:firstLine="480"/>
      <w:jc w:val="left"/>
      <w:spacing w:before="120" w:after="120" w:line="360" w:lineRule="auto"/>
    </w:pPr>
    <w:rPr>
      <w:rFonts w:ascii="Arial" w:hAnsi="Arial" w:eastAsia="宋体" w:cs="Times New Roman"/>
      <w:sz w:val="24"/>
      <w:szCs w:val="24"/>
    </w:rPr>
  </w:style>
  <w:style w:type="paragraph" w:styleId="957" w:customStyle="1">
    <w:name w:val="table_lines"/>
    <w:basedOn w:val="686"/>
    <w:uiPriority w:val="0"/>
    <w:qFormat/>
    <w:pPr>
      <w:jc w:val="left"/>
      <w:widowControl/>
    </w:pPr>
    <w:rPr>
      <w:rFonts w:ascii="Times New Roman" w:hAnsi="Times New Roman" w:eastAsia="宋体" w:cs="Times New Roman"/>
      <w:sz w:val="20"/>
      <w:szCs w:val="20"/>
      <w:lang w:val="de-DE" w:eastAsia="de-DE"/>
    </w:rPr>
  </w:style>
  <w:style w:type="paragraph" w:styleId="95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9" w:customStyle="1">
    <w:name w:val="font7"/>
    <w:basedOn w:val="68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0" w:customStyle="1">
    <w:name w:val=" Char Char Char Char"/>
    <w:basedOn w:val="892"/>
    <w:uiPriority w:val="0"/>
    <w:qFormat/>
    <w:pPr>
      <w:spacing w:line="360" w:lineRule="auto"/>
    </w:pPr>
    <w:rPr>
      <w:rFonts w:ascii="Tahoma" w:hAnsi="Tahoma"/>
      <w:sz w:val="24"/>
      <w:szCs w:val="24"/>
    </w:rPr>
  </w:style>
  <w:style w:type="paragraph" w:styleId="961" w:customStyle="1">
    <w:name w:val="列出段落"/>
    <w:basedOn w:val="686"/>
    <w:uiPriority w:val="0"/>
    <w:qFormat/>
    <w:pPr>
      <w:contextualSpacing/>
      <w:ind w:left="720"/>
      <w:jc w:val="left"/>
      <w:widowControl/>
    </w:pPr>
    <w:rPr>
      <w:rFonts w:ascii="Calibri" w:hAnsi="Calibri" w:eastAsia="宋体" w:cs="Times New Roman"/>
      <w:sz w:val="24"/>
      <w:szCs w:val="24"/>
      <w:lang w:eastAsia="en-US" w:bidi="en-US"/>
    </w:rPr>
  </w:style>
  <w:style w:type="paragraph" w:styleId="962" w:customStyle="1">
    <w:name w:val="4"/>
    <w:basedOn w:val="686"/>
    <w:next w:val="922"/>
    <w:uiPriority w:val="0"/>
    <w:qFormat/>
    <w:pPr>
      <w:ind w:firstLine="420"/>
      <w:spacing w:line="360" w:lineRule="auto"/>
    </w:pPr>
    <w:rPr>
      <w:rFonts w:ascii="Times New Roman" w:hAnsi="Times New Roman" w:eastAsia="宋体" w:cs="Times New Roman"/>
      <w:color w:val="ff0000"/>
      <w:sz w:val="24"/>
      <w:szCs w:val="24"/>
    </w:rPr>
  </w:style>
  <w:style w:type="paragraph" w:styleId="963" w:customStyle="1">
    <w:name w:val="普通 (Web)"/>
    <w:basedOn w:val="686"/>
    <w:uiPriority w:val="0"/>
    <w:qFormat/>
    <w:pPr>
      <w:jc w:val="left"/>
      <w:spacing w:before="100" w:beforeAutospacing="1" w:after="100" w:afterAutospacing="1"/>
      <w:widowControl/>
    </w:pPr>
    <w:rPr>
      <w:rFonts w:ascii="宋体" w:hAnsi="宋体" w:eastAsia="宋体" w:cs="Times New Roman"/>
      <w:sz w:val="24"/>
      <w:szCs w:val="24"/>
    </w:rPr>
  </w:style>
  <w:style w:type="paragraph" w:styleId="964" w:customStyle="1">
    <w:name w:val=" Char Char Char Char Char Char Char Char Char Char"/>
    <w:basedOn w:val="686"/>
    <w:uiPriority w:val="0"/>
    <w:qFormat/>
    <w:pPr>
      <w:spacing w:line="360" w:lineRule="auto"/>
    </w:pPr>
    <w:rPr>
      <w:rFonts w:ascii="Times New Roman" w:hAnsi="Times New Roman" w:eastAsia="宋体" w:cs="Times New Roman"/>
      <w:sz w:val="24"/>
      <w:szCs w:val="20"/>
    </w:rPr>
  </w:style>
  <w:style w:type="paragraph" w:styleId="965" w:customStyle="1">
    <w:name w:val="样式1"/>
    <w:basedOn w:val="686"/>
    <w:uiPriority w:val="0"/>
    <w:qFormat/>
    <w:pPr>
      <w:numPr>
        <w:ilvl w:val="0"/>
        <w:numId w:val="3"/>
      </w:numPr>
    </w:pPr>
    <w:rPr>
      <w:rFonts w:ascii="宋体" w:hAnsi="宋体" w:eastAsia="宋体" w:cs="Times New Roman"/>
      <w:szCs w:val="21"/>
    </w:rPr>
  </w:style>
  <w:style w:type="paragraph" w:styleId="966" w:customStyle="1">
    <w:name w:val="font6"/>
    <w:basedOn w:val="68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7"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8"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9" w:customStyle="1">
    <w:name w:val="标题3"/>
    <w:basedOn w:val="686"/>
    <w:next w:val="686"/>
    <w:uiPriority w:val="0"/>
    <w:qFormat/>
    <w:pPr>
      <w:ind w:firstLine="624"/>
      <w:spacing w:line="590" w:lineRule="atLeast"/>
    </w:pPr>
    <w:rPr>
      <w:rFonts w:ascii="方正黑体_GBK" w:hAnsi="Times New Roman" w:eastAsia="方正黑体_GBK" w:cs="Times New Roman"/>
      <w:sz w:val="32"/>
      <w:szCs w:val="32"/>
    </w:rPr>
  </w:style>
  <w:style w:type="paragraph" w:styleId="970"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2" w:customStyle="1">
    <w:name w:val="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3"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4" w:customStyle="1">
    <w:name w:val=" Char Char Char Char Char Char Char Char"/>
    <w:basedOn w:val="686"/>
    <w:uiPriority w:val="0"/>
    <w:qFormat/>
    <w:pPr>
      <w:jc w:val="left"/>
      <w:spacing w:after="160" w:line="240" w:lineRule="exact"/>
      <w:widowControl/>
    </w:pPr>
    <w:rPr>
      <w:rFonts w:ascii="Verdana" w:hAnsi="Verdana" w:eastAsia="宋体" w:cs="Times New Roman"/>
      <w:sz w:val="20"/>
      <w:szCs w:val="20"/>
      <w:lang w:eastAsia="en-US"/>
    </w:rPr>
  </w:style>
  <w:style w:type="paragraph" w:styleId="975" w:customStyle="1">
    <w:name w:val="xl30"/>
    <w:basedOn w:val="68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6" w:customStyle="1">
    <w:name w:val="Char Char Char Char"/>
    <w:basedOn w:val="892"/>
    <w:uiPriority w:val="0"/>
    <w:qFormat/>
    <w:pPr>
      <w:spacing w:line="360" w:lineRule="auto"/>
    </w:pPr>
    <w:rPr>
      <w:rFonts w:ascii="Tahoma" w:hAnsi="Tahoma"/>
      <w:sz w:val="24"/>
      <w:szCs w:val="24"/>
    </w:rPr>
  </w:style>
  <w:style w:type="paragraph" w:styleId="977" w:customStyle="1">
    <w:name w:val="table_1stline"/>
    <w:basedOn w:val="686"/>
    <w:uiPriority w:val="0"/>
    <w:qFormat/>
    <w:pPr>
      <w:jc w:val="left"/>
      <w:spacing w:before="120"/>
      <w:widowControl/>
    </w:pPr>
    <w:rPr>
      <w:rFonts w:ascii="Times New Roman" w:hAnsi="Times New Roman" w:eastAsia="宋体" w:cs="Times New Roman"/>
      <w:bCs/>
      <w:sz w:val="20"/>
      <w:szCs w:val="20"/>
      <w:lang w:val="de-DE" w:eastAsia="de-DE"/>
    </w:rPr>
  </w:style>
  <w:style w:type="paragraph" w:styleId="978" w:customStyle="1">
    <w:name w:val="font5"/>
    <w:basedOn w:val="68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9" w:customStyle="1">
    <w:name w:val="标题1"/>
    <w:basedOn w:val="686"/>
    <w:next w:val="68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8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3" w:customStyle="1">
    <w:name w:val="正文首行缩进1"/>
    <w:basedOn w:val="984"/>
    <w:uiPriority w:val="0"/>
    <w:qFormat/>
    <w:pPr>
      <w:ind w:firstLine="420"/>
      <w:spacing w:after="120"/>
    </w:pPr>
    <w:rPr>
      <w:rFonts w:ascii="Times New Roman" w:eastAsia="宋体"/>
      <w:szCs w:val="24"/>
    </w:rPr>
  </w:style>
  <w:style w:type="paragraph" w:styleId="984" w:customStyle="1">
    <w:name w:val="正文文本1"/>
    <w:basedOn w:val="985"/>
    <w:next w:val="686"/>
    <w:uiPriority w:val="0"/>
    <w:qFormat/>
    <w:rPr>
      <w:rFonts w:ascii="仿宋_GB2312" w:eastAsia="仿宋_GB2312"/>
      <w:sz w:val="24"/>
      <w:szCs w:val="20"/>
    </w:rPr>
  </w:style>
  <w:style w:type="paragraph" w:styleId="985" w:customStyle="1">
    <w:name w:val="正文11"/>
    <w:next w:val="984"/>
    <w:uiPriority w:val="0"/>
    <w:qFormat/>
    <w:pPr>
      <w:jc w:val="both"/>
      <w:widowControl w:val="off"/>
    </w:pPr>
    <w:rPr>
      <w:rFonts w:hint="default" w:ascii="Calibri" w:hAnsi="Calibri" w:eastAsia="宋体" w:cs="Times New Roman"/>
      <w:sz w:val="21"/>
      <w:szCs w:val="21"/>
      <w:lang w:val="en-US" w:eastAsia="zh-CN" w:bidi="ar-SA"/>
    </w:rPr>
  </w:style>
  <w:style w:type="paragraph" w:styleId="986" w:customStyle="1">
    <w:name w:val="正文缩进2格"/>
    <w:basedOn w:val="686"/>
    <w:uiPriority w:val="0"/>
    <w:qFormat/>
    <w:pPr>
      <w:ind w:firstLine="639"/>
      <w:spacing w:line="600" w:lineRule="exact"/>
    </w:pPr>
    <w:rPr>
      <w:rFonts w:ascii="仿宋_GB2312" w:hAnsi="宋体" w:eastAsia="仿宋_GB2312"/>
      <w:sz w:val="31"/>
      <w:szCs w:val="28"/>
    </w:rPr>
  </w:style>
  <w:style w:type="paragraph" w:styleId="987" w:customStyle="1">
    <w:name w:val="标题 11"/>
    <w:basedOn w:val="686"/>
    <w:next w:val="686"/>
    <w:uiPriority w:val="0"/>
    <w:qFormat/>
    <w:pPr>
      <w:jc w:val="center"/>
      <w:keepNext/>
      <w:outlineLvl w:val="0"/>
    </w:pPr>
    <w:rPr>
      <w:rFonts w:ascii="楷体_GB2312" w:hAnsi="Times New Roman" w:eastAsia="楷体_GB2312" w:cs="Times New Roman"/>
      <w:sz w:val="28"/>
      <w:szCs w:val="28"/>
    </w:rPr>
  </w:style>
  <w:style w:type="paragraph" w:styleId="988" w:customStyle="1">
    <w:name w:val="普通(网站)1"/>
    <w:basedOn w:val="686"/>
    <w:uiPriority w:val="0"/>
    <w:qFormat/>
    <w:pPr>
      <w:jc w:val="left"/>
      <w:spacing w:before="100" w:beforeAutospacing="1" w:after="100" w:afterAutospacing="1"/>
      <w:widowControl/>
    </w:pPr>
    <w:rPr>
      <w:rFonts w:ascii="宋体" w:hAnsi="宋体" w:eastAsia="宋体" w:cs="宋体"/>
      <w:sz w:val="24"/>
      <w:szCs w:val="24"/>
    </w:rPr>
  </w:style>
  <w:style w:type="paragraph" w:styleId="989" w:customStyle="1">
    <w:name w:val="正文文本11"/>
    <w:basedOn w:val="686"/>
    <w:next w:val="686"/>
    <w:uiPriority w:val="0"/>
    <w:qFormat/>
    <w:rPr>
      <w:rFonts w:ascii="楷体_GB2312" w:hAnsi="Arial" w:eastAsia="楷体_GB2312" w:cs="Times New Roman"/>
      <w:sz w:val="28"/>
      <w:szCs w:val="28"/>
    </w:rPr>
  </w:style>
  <w:style w:type="table" w:styleId="990" w:customStyle="1">
    <w:name w:val="网格型1"/>
    <w:basedOn w:val="879"/>
    <w:uiPriority w:val="99"/>
    <w:unhideWhenUsed/>
    <w:qFormat/>
    <w:pPr>
      <w:jc w:val="both"/>
      <w:widowControl w:val="off"/>
    </w:pPr>
    <w:rPr>
      <w:rFonts w:ascii="Times New Roman" w:hAnsi="Times New Roman"/>
    </w:rPr>
    <w:tblPr/>
  </w:style>
  <w:style w:type="character" w:styleId="991" w:customStyle="1">
    <w:name w:val="font61"/>
    <w:basedOn w:val="992"/>
    <w:link w:val="686"/>
    <w:uiPriority w:val="0"/>
    <w:qFormat/>
    <w:rPr>
      <w:rFonts w:ascii="Times New Roman" w:hAnsi="Times New Roman"/>
      <w:sz w:val="21"/>
      <w:lang w:val="en-US" w:eastAsia="zh-CN" w:bidi="ar-SA"/>
    </w:rPr>
  </w:style>
  <w:style w:type="character" w:styleId="992" w:customStyle="1">
    <w:name w:val="默认段落字体1"/>
    <w:link w:val="686"/>
    <w:uiPriority w:val="1"/>
    <w:unhideWhenUsed/>
    <w:qFormat/>
  </w:style>
  <w:style w:type="table" w:styleId="993" w:customStyle="1">
    <w:name w:val="Table Normal"/>
    <w:uiPriority w:val="0"/>
    <w:semiHidden/>
    <w:unhideWhenUsed/>
    <w:qFormat/>
    <w:tblPr>
      <w:tblCellMar>
        <w:left w:w="0" w:type="dxa"/>
        <w:top w:w="0" w:type="dxa"/>
        <w:right w:w="0" w:type="dxa"/>
        <w:bottom w:w="0" w:type="dxa"/>
      </w:tblCellMar>
    </w:tblPr>
  </w:style>
  <w:style w:type="numbering" w:styleId="10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李秋燕</cp:lastModifiedBy>
  <cp:revision>6</cp:revision>
  <dcterms:created xsi:type="dcterms:W3CDTF">2025-12-26T03:51:00Z</dcterms:created>
  <dcterms:modified xsi:type="dcterms:W3CDTF">2026-08-14T08:41:44Z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eyJoZGlkIjoiZGMyMjQxYTUwYjM0ZmU3MDJkZWYzN2NlZTU5YTY3ZjAiLCJ1c2VySWQiOiI3Njc3OTI5OTUifQ==</vt:lpwstr>
  </property>
  <property fmtid="{D5CDD505-2E9C-101B-9397-08002B2CF9AE}" pid="3" name="KSOProductBuildVer">
    <vt:lpwstr>2052-11.1.0.14309</vt:lpwstr>
  </property>
  <property fmtid="{D5CDD505-2E9C-101B-9397-08002B2CF9AE}" pid="4" name="ICV">
    <vt:lpwstr>2D982A18C22A4290AA6A80C7279698B2_13</vt:lpwstr>
  </property>
</Properties>
</file>