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竞争性谈判文件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54"/>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54"/>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w:t>
      </w:r>
      <w:r>
        <w:rPr>
          <w:rFonts w:hint="eastAsia" w:asciiTheme="minorEastAsia" w:hAnsiTheme="minorEastAsia" w:eastAsiaTheme="minorEastAsia" w:cstheme="minorEastAsia"/>
          <w:b/>
          <w:bCs w:val="0"/>
          <w:sz w:val="30"/>
          <w:szCs w:val="30"/>
          <w:highlight w:val="none"/>
          <w:lang w:val="en-US" w:eastAsia="zh-CN"/>
        </w:rPr>
        <w:t xml:space="preserve"> JSZC-321204-HCSS-T2026-0004</w:t>
      </w:r>
      <w:r/>
    </w:p>
    <w:p>
      <w:pPr>
        <w:pStyle w:val="9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b/>
          <w:bCs w:val="0"/>
          <w:sz w:val="30"/>
          <w:szCs w:val="30"/>
          <w:highlight w:val="none"/>
          <w:lang w:val="en-US" w:eastAsia="zh-CN"/>
        </w:rPr>
      </w:pPr>
      <w:r>
        <w:rPr>
          <w:rFonts w:hint="eastAsia" w:asciiTheme="minorEastAsia" w:hAnsiTheme="minorEastAsia" w:eastAsiaTheme="minorEastAsia" w:cstheme="minorEastAsia"/>
          <w:b/>
          <w:bCs w:val="0"/>
          <w:sz w:val="30"/>
          <w:szCs w:val="30"/>
          <w:highlight w:val="none"/>
        </w:rPr>
        <w:t xml:space="preserve">项目名称：</w:t>
      </w:r>
      <w:r>
        <w:rPr>
          <w:rFonts w:hint="eastAsia" w:asciiTheme="minorEastAsia" w:hAnsiTheme="minorEastAsia" w:eastAsiaTheme="minorEastAsia" w:cstheme="minorEastAsia"/>
          <w:b/>
          <w:bCs w:val="0"/>
          <w:sz w:val="30"/>
          <w:szCs w:val="30"/>
          <w:highlight w:val="none"/>
          <w:lang w:val="en-US" w:eastAsia="zh-CN"/>
        </w:rPr>
        <w:t xml:space="preserve"> 大伦镇安置区三期北区室外配套工程</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泰州市姜堰区大伦镇人民政府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40"/>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七</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56"/>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56"/>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56"/>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6"/>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72"/>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72"/>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1"/>
      <w:r/>
      <w:bookmarkStart w:id="1" w:name="OLE_LINK2"/>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竞争性谈判公告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谈判响应要求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谈判</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34</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27"/>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2"/>
      <w:r/>
      <w:bookmarkStart w:id="3" w:name="_Toc27063"/>
      <w:r/>
      <w:bookmarkEnd w:id="2"/>
      <w:r/>
      <w:bookmarkEnd w:id="3"/>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rPr>
          <w:rStyle w:val="957"/>
          <w:rFonts w:hint="eastAsia" w:asciiTheme="minorEastAsia" w:hAnsiTheme="minorEastAsia" w:eastAsiaTheme="minorEastAsia" w:cstheme="minorEastAsia"/>
          <w:highlight w:val="none"/>
        </w:rPr>
        <w:t xml:space="preserve">竞争性谈判公告</w:t>
      </w:r>
      <w:r/>
    </w:p>
    <w:p>
      <w:pPr>
        <w:pStyle w:val="917"/>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大伦镇安置区三期北区室外配套工程</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w:t>
      </w:r>
      <w:r>
        <w:rPr>
          <w:rFonts w:hint="eastAsia" w:asciiTheme="minorEastAsia" w:hAnsiTheme="minorEastAsia" w:eastAsiaTheme="minorEastAsia" w:cstheme="minorEastAsia"/>
          <w:sz w:val="24"/>
          <w:szCs w:val="24"/>
          <w:highlight w:val="none"/>
          <w:u w:val="none"/>
        </w:rPr>
        <w:t xml:space="preserve">”系统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950"/>
          <w:rFonts w:hint="eastAsia" w:asciiTheme="minorEastAsia" w:hAnsiTheme="minorEastAsia" w:eastAsiaTheme="minorEastAsia" w:cstheme="minorEastAsia"/>
          <w:color w:val="auto"/>
          <w:sz w:val="24"/>
          <w:szCs w:val="24"/>
          <w:highlight w:val="none"/>
          <w:u w:val="none"/>
        </w:rPr>
        <w:t xml:space="preserve">，并于202</w:t>
      </w:r>
      <w:r>
        <w:rPr>
          <w:rStyle w:val="950"/>
          <w:rFonts w:hint="eastAsia" w:asciiTheme="minorEastAsia" w:hAnsiTheme="minorEastAsia" w:eastAsiaTheme="minorEastAsia" w:cstheme="minorEastAsia"/>
          <w:color w:val="auto"/>
          <w:sz w:val="24"/>
          <w:szCs w:val="24"/>
          <w:highlight w:val="none"/>
          <w:u w:val="none"/>
          <w:lang w:val="en-US" w:eastAsia="zh-CN"/>
        </w:rPr>
        <w:t xml:space="preserve">6</w:t>
      </w:r>
      <w:r>
        <w:rPr>
          <w:rStyle w:val="950"/>
          <w:rFonts w:hint="eastAsia" w:asciiTheme="minorEastAsia" w:hAnsiTheme="minorEastAsia" w:eastAsiaTheme="minorEastAsia" w:cstheme="minorEastAsia"/>
          <w:color w:val="auto"/>
          <w:sz w:val="24"/>
          <w:szCs w:val="24"/>
          <w:highlight w:val="none"/>
          <w:u w:val="none"/>
        </w:rPr>
        <w:t xml:space="preserve">年</w:t>
      </w:r>
      <w:r>
        <w:rPr>
          <w:rStyle w:val="950"/>
          <w:rFonts w:hint="eastAsia" w:asciiTheme="minorEastAsia" w:hAnsiTheme="minorEastAsia" w:eastAsiaTheme="minorEastAsia" w:cstheme="minorEastAsia"/>
          <w:color w:val="auto"/>
          <w:sz w:val="24"/>
          <w:szCs w:val="24"/>
          <w:highlight w:val="none"/>
          <w:u w:val="none"/>
          <w:lang w:val="en-US" w:eastAsia="zh-CN"/>
        </w:rPr>
        <w:t xml:space="preserve">08</w:t>
      </w:r>
      <w:r>
        <w:rPr>
          <w:rStyle w:val="950"/>
          <w:rFonts w:hint="eastAsia" w:asciiTheme="minorEastAsia" w:hAnsiTheme="minorEastAsia" w:eastAsiaTheme="minorEastAsia" w:cstheme="minorEastAsia"/>
          <w:color w:val="auto"/>
          <w:sz w:val="24"/>
          <w:szCs w:val="24"/>
          <w:highlight w:val="none"/>
          <w:u w:val="none"/>
        </w:rPr>
        <w:t xml:space="preserve">月</w:t>
      </w:r>
      <w:r>
        <w:rPr>
          <w:rStyle w:val="950"/>
          <w:rFonts w:hint="eastAsia" w:asciiTheme="minorEastAsia" w:hAnsiTheme="minorEastAsia" w:eastAsiaTheme="minorEastAsia" w:cstheme="minorEastAsia"/>
          <w:color w:val="auto"/>
          <w:sz w:val="24"/>
          <w:szCs w:val="24"/>
          <w:highlight w:val="none"/>
          <w:u w:val="none"/>
        </w:rPr>
        <w:fldChar w:fldCharType="end"/>
      </w:r>
      <w:r>
        <w:rPr>
          <w:rStyle w:val="950"/>
          <w:rFonts w:hint="eastAsia" w:asciiTheme="minorEastAsia" w:hAnsiTheme="minorEastAsia" w:eastAsiaTheme="minorEastAsia" w:cstheme="minorEastAsia"/>
          <w:color w:val="auto"/>
          <w:sz w:val="24"/>
          <w:szCs w:val="24"/>
          <w:highlight w:val="none"/>
          <w:u w:val="none"/>
          <w:lang w:val="en-US" w:eastAsia="zh-CN"/>
        </w:rPr>
        <w:t xml:space="preserve">03</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15</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91"/>
        <w:ind w:left="0" w:firstLine="0"/>
        <w:keepLines w:val="0"/>
        <w:keepNext w:val="0"/>
        <w:pageBreakBefore w:val="0"/>
        <w:spacing w:after="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项目编号：JSZC-321204-HCSS-T2026-0004</w:t>
      </w:r>
      <w:bookmarkStart w:id="602" w:name="_GoBack"/>
      <w:r/>
      <w:bookmarkEnd w:id="602"/>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大伦镇安置区三期北区室外配套工程</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w:t>
      </w:r>
      <w:r>
        <w:rPr>
          <w:rFonts w:hint="eastAsia" w:asciiTheme="minorEastAsia" w:hAnsiTheme="minorEastAsia" w:eastAsiaTheme="minorEastAsia" w:cstheme="minorEastAsia"/>
          <w:color w:val="000000"/>
          <w:sz w:val="24"/>
          <w:szCs w:val="24"/>
          <w:highlight w:val="none"/>
          <w:lang w:val="en-US" w:eastAsia="zh-CN"/>
        </w:rPr>
        <w:t xml:space="preserve">谈判</w:t>
      </w:r>
      <w:r/>
    </w:p>
    <w:p>
      <w:pPr>
        <w:pStyle w:val="1052"/>
        <w:ind w:firstLine="480"/>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sz w:val="24"/>
          <w:szCs w:val="24"/>
          <w:highlight w:val="none"/>
          <w:lang w:val="en-US" w:eastAsia="zh-CN"/>
        </w:rPr>
        <w:t xml:space="preserve">246.620045</w:t>
      </w:r>
      <w:r>
        <w:rPr>
          <w:rFonts w:hint="eastAsia" w:asciiTheme="minorEastAsia" w:hAnsiTheme="minorEastAsia" w:eastAsiaTheme="minorEastAsia" w:cstheme="minorEastAsia"/>
          <w:sz w:val="24"/>
          <w:szCs w:val="24"/>
          <w:highlight w:val="none"/>
        </w:rPr>
        <w:t xml:space="preserve">万元</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sz w:val="24"/>
          <w:szCs w:val="24"/>
          <w:highlight w:val="none"/>
          <w:lang w:val="en-US" w:eastAsia="zh-CN"/>
        </w:rPr>
        <w:t xml:space="preserve">214.559439</w:t>
      </w:r>
      <w:r>
        <w:rPr>
          <w:rFonts w:hint="eastAsia" w:asciiTheme="minorEastAsia" w:hAnsiTheme="minorEastAsia" w:eastAsiaTheme="minorEastAsia" w:cstheme="minorEastAsia"/>
          <w:sz w:val="24"/>
          <w:szCs w:val="24"/>
          <w:highlight w:val="none"/>
        </w:rPr>
        <w:t xml:space="preserve">万元（超过最高限价为无效报价，按照无效响应处理。）</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eastAsia="zh-CN"/>
        </w:rPr>
        <w:t xml:space="preserve">大伦镇安置区三期北区室外配套工程，</w:t>
      </w:r>
      <w:r>
        <w:rPr>
          <w:rFonts w:hint="eastAsia" w:asciiTheme="minorEastAsia" w:hAnsiTheme="minorEastAsia" w:eastAsiaTheme="minorEastAsia" w:cstheme="minorEastAsia"/>
          <w:bCs/>
          <w:color w:val="000000"/>
          <w:sz w:val="24"/>
          <w:szCs w:val="24"/>
          <w:highlight w:val="none"/>
        </w:rPr>
        <w:t xml:space="preserve">详见采购需求</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eastAsiaTheme="minorEastAsia" w:cstheme="minorEastAsia"/>
          <w:color w:val="000000"/>
          <w:sz w:val="24"/>
          <w:szCs w:val="24"/>
          <w:highlight w:val="none"/>
          <w:lang w:val="en-US" w:eastAsia="zh-CN"/>
        </w:rPr>
        <w:t xml:space="preserve">60日历天</w:t>
      </w:r>
      <w:r>
        <w:rPr>
          <w:rFonts w:hint="eastAsia" w:asciiTheme="minorEastAsia" w:hAnsiTheme="minorEastAsia" w:eastAsiaTheme="minorEastAsia" w:cstheme="minorEastAsia"/>
          <w:sz w:val="24"/>
          <w:szCs w:val="24"/>
          <w:highlight w:val="none"/>
          <w:lang w:val="en-US" w:eastAsia="zh-CN"/>
        </w:rPr>
        <w:t xml:space="preserve"> </w:t>
      </w:r>
      <w:r/>
    </w:p>
    <w:p>
      <w:pPr>
        <w:pStyle w:val="991"/>
        <w:ind w:left="0" w:firstLine="480"/>
        <w:keepLines w:val="0"/>
        <w:keepNext w:val="0"/>
        <w:pageBreakBefore w:val="0"/>
        <w:spacing w:after="0" w:line="360" w:lineRule="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91"/>
        <w:ind w:left="0" w:firstLine="0"/>
        <w:keepLines w:val="0"/>
        <w:keepNext w:val="0"/>
        <w:pageBreakBefore w:val="0"/>
        <w:spacing w:after="0"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bookmarkStart w:id="4" w:name="bookmark44"/>
      <w:r/>
      <w:bookmarkEnd w:id="4"/>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bookmarkStart w:id="5" w:name="bookmark45"/>
      <w:r/>
      <w:bookmarkEnd w:id="5"/>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6" w:name="bookmark46"/>
      <w:r/>
      <w:bookmarkEnd w:id="6"/>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7" w:name="bookmark47"/>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3.1</w:t>
      </w:r>
      <w:r>
        <w:rPr>
          <w:rFonts w:hint="eastAsia" w:asciiTheme="minorEastAsia" w:hAnsiTheme="minorEastAsia" w:eastAsiaTheme="minorEastAsia" w:cstheme="minorEastAsia"/>
          <w:sz w:val="24"/>
          <w:szCs w:val="24"/>
          <w:highlight w:val="none"/>
        </w:rPr>
        <w:t xml:space="preserve">供应商须具备建设行政主管部门颁发的有效的市政公用工程施工总承包三级（及）以上资质并具备有效的建筑施工企业安全生产许可证。</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39"/>
        <w:ind w:firstLine="480"/>
        <w:keepLines w:val="0"/>
        <w:keepNext w:val="0"/>
        <w:pageBreakBefore w:val="0"/>
        <w:spacing w:after="0"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http://58.213.147.230:7001/Website/#/compQuery/enterInfoQuery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91"/>
        <w:ind w:left="0" w:firstLine="0"/>
        <w:keepLines w:val="0"/>
        <w:keepNext w:val="0"/>
        <w:pageBreakBefore w:val="0"/>
        <w:spacing w:after="0" w:line="360" w:lineRule="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7"/>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bookmarkStart w:id="8" w:name="bookmark48"/>
      <w:r>
        <w:rPr>
          <w:rFonts w:hint="eastAsia" w:asciiTheme="minorEastAsia" w:hAnsiTheme="minorEastAsia" w:eastAsiaTheme="minorEastAsia" w:cstheme="minorEastAsia"/>
          <w:sz w:val="24"/>
          <w:szCs w:val="24"/>
          <w:highlight w:val="none"/>
          <w:lang w:val="en-US" w:eastAsia="zh-CN"/>
        </w:rPr>
        <w:t xml:space="preserve">（一）时间：自本公告发布之日起3个工作日。</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8"/>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间：2026年08月03日15时00分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间：2026年08月03日15时00分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360" w:lineRule="auto"/>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个工作日。</w:t>
      </w:r>
      <w:r/>
    </w:p>
    <w:p>
      <w:pPr>
        <w:pStyle w:val="991"/>
        <w:ind w:left="0" w:firstLine="0"/>
        <w:keepLines w:val="0"/>
        <w:keepNext w:val="0"/>
        <w:pageBreakBefore w:val="0"/>
        <w:spacing w:after="0" w:line="360" w:lineRule="auto"/>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0"/>
        <w:keepLines w:val="0"/>
        <w:keepNext w:val="0"/>
        <w:pageBreakBefore w:val="0"/>
        <w:spacing w:line="360" w:lineRule="auto"/>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360" w:lineRule="auto"/>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（2）在评标结束前，各投标人授权代表应保持手机畅通，以便及时澄清答疑。</w:t>
      </w:r>
      <w:r/>
    </w:p>
    <w:p>
      <w:pPr>
        <w:jc w:val="left"/>
        <w:keepLines w:val="0"/>
        <w:keepNext w:val="0"/>
        <w:pageBreakBefore w:val="0"/>
        <w:spacing w:line="360" w:lineRule="auto"/>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bookmarkStart w:id="9" w:name="bookmark49"/>
      <w:r/>
      <w:bookmarkEnd w:id="9"/>
      <w:r>
        <w:rPr>
          <w:rFonts w:hint="eastAsia" w:asciiTheme="minorEastAsia" w:hAnsiTheme="minorEastAsia" w:eastAsiaTheme="minorEastAsia" w:cstheme="minorEastAsia"/>
          <w:sz w:val="24"/>
          <w:szCs w:val="24"/>
          <w:highlight w:val="none"/>
          <w:lang w:val="en-US" w:eastAsia="zh-CN"/>
        </w:rPr>
        <w:t xml:space="preserve">1.采购人信息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名 称：泰州市姜堰区大伦镇人民政府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地 址：泰州市姜堰区大伦镇</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联系方式：徐先生 18168540290</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2.采购代理机构信息</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名 称：江苏汇成工程项目管理有限公司</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地 址：泰州市姜堰区陈庄东路启拓大厦4楼</w:t>
      </w:r>
      <w:r/>
    </w:p>
    <w:p>
      <w:p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联系方式：陈女士 18362318568</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3.项目联系方式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项目联系人：陈女士 18362318568</w:t>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bookmarkEnd w:id="0"/>
      <w:r/>
      <w:bookmarkEnd w:id="1"/>
      <w:r>
        <w:rPr>
          <w:rFonts w:hint="eastAsia" w:asciiTheme="minorEastAsia" w:hAnsiTheme="minorEastAsia" w:eastAsiaTheme="minorEastAsia" w:cstheme="minorEastAsia"/>
          <w:sz w:val="24"/>
          <w:szCs w:val="24"/>
          <w:highlight w:val="none"/>
          <w:lang w:val="en-US" w:eastAsia="zh-CN"/>
        </w:rPr>
        <w:t xml:space="preserve">2026年07月24日</w:t>
      </w:r>
      <w:r/>
    </w:p>
    <w:p>
      <w:pPr>
        <w:jc w:val="center"/>
        <w:rPr>
          <w:rStyle w:val="957"/>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0" w:name="_Toc3410"/>
      <w:r/>
      <w:bookmarkStart w:id="11" w:name="_Toc24543"/>
      <w:r>
        <w:rPr>
          <w:rStyle w:val="957"/>
          <w:rFonts w:hint="eastAsia" w:asciiTheme="minorEastAsia" w:hAnsiTheme="minorEastAsia" w:eastAsiaTheme="minorEastAsia" w:cstheme="minorEastAsia"/>
          <w:highlight w:val="none"/>
        </w:rPr>
        <w:t xml:space="preserve">第二章 供应商须知</w:t>
      </w:r>
      <w:bookmarkEnd w:id="10"/>
      <w:r/>
      <w:bookmarkEnd w:id="11"/>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w:t>
      </w:r>
      <w:r>
        <w:rPr>
          <w:rFonts w:hint="eastAsia" w:asciiTheme="minorEastAsia" w:hAnsiTheme="minorEastAsia" w:eastAsiaTheme="minorEastAsia" w:cstheme="minorEastAsia"/>
          <w:bCs/>
          <w:color w:val="auto"/>
          <w:szCs w:val="21"/>
          <w:highlight w:val="none"/>
          <w:lang w:val="en-US" w:eastAsia="zh-CN"/>
        </w:rPr>
        <w:t xml:space="preserve">谈判</w:t>
      </w:r>
      <w:r>
        <w:rPr>
          <w:rFonts w:hint="eastAsia" w:asciiTheme="minorEastAsia" w:hAnsiTheme="minorEastAsia" w:eastAsiaTheme="minorEastAsia" w:cstheme="minorEastAsia"/>
          <w:bCs/>
          <w:color w:val="auto"/>
          <w:szCs w:val="21"/>
          <w:highlight w:val="none"/>
        </w:rPr>
        <w:t xml:space="preserve">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2" w:name="_Hlk121232993"/>
      <w:r>
        <w:rPr>
          <w:rFonts w:hint="eastAsia" w:asciiTheme="minorEastAsia" w:hAnsiTheme="minorEastAsia" w:eastAsiaTheme="minorEastAsia" w:cstheme="minorEastAsia"/>
          <w:b/>
          <w:color w:val="auto"/>
          <w:szCs w:val="22"/>
          <w:highlight w:val="none"/>
        </w:rPr>
        <w:t xml:space="preserve">     供应商须知</w:t>
      </w:r>
      <w:bookmarkEnd w:id="12"/>
      <w:r>
        <w:rPr>
          <w:rFonts w:hint="eastAsia" w:asciiTheme="minorEastAsia" w:hAnsiTheme="minorEastAsia" w:eastAsiaTheme="minorEastAsia" w:cstheme="minorEastAsia"/>
          <w:b/>
          <w:color w:val="auto"/>
          <w:szCs w:val="22"/>
          <w:highlight w:val="none"/>
        </w:rPr>
        <w:t xml:space="preserve">前附表</w:t>
      </w:r>
      <w:r/>
    </w:p>
    <w:tbl>
      <w:tblPr>
        <w:tblStyle w:val="901"/>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409"/>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大伦镇安置区三期北区室外配套工程</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 xml:space="preserve">大伦镇安置区三期北区室外配套工程</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工期：60日历天 </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spacing w:line="400" w:lineRule="exac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 xml:space="preserve">预算金额：246.620045万元</w:t>
            </w:r>
            <w:r/>
          </w:p>
          <w:p>
            <w:pPr>
              <w:spacing w:line="4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最高限价：214.559439万元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时间：响应文件递交截止时间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天前</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响应文件递交截止时间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836"/>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w:t>
            </w: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val="en-US" w:eastAsia="zh-CN"/>
              </w:rPr>
              <w:t xml:space="preserve">6</w:t>
            </w:r>
            <w:r>
              <w:rPr>
                <w:rFonts w:hint="eastAsia" w:asciiTheme="minorEastAsia" w:hAnsiTheme="minorEastAsia" w:eastAsiaTheme="minorEastAsia" w:cstheme="minorEastAsia"/>
                <w:color w:val="auto"/>
                <w:sz w:val="21"/>
                <w:szCs w:val="21"/>
                <w:highlight w:val="none"/>
                <w:u w:val="single"/>
                <w:lang w:eastAsia="zh-CN"/>
              </w:rPr>
              <w:t xml:space="preserve">0日历天</w:t>
            </w:r>
            <w:r>
              <w:rPr>
                <w:rFonts w:hint="eastAsia" w:asciiTheme="minorEastAsia" w:hAnsiTheme="minorEastAsia" w:eastAsiaTheme="minorEastAsia" w:cstheme="minorEastAsia"/>
                <w:color w:val="auto"/>
                <w:sz w:val="21"/>
                <w:szCs w:val="21"/>
                <w:highlight w:val="none"/>
              </w:rPr>
              <w:t xml:space="preserve">（从</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详见竞争性谈判公告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0分钟内提交最后报价(二次报价)。未能在规定时间内完成报价的供应商视为放弃投标。</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56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ascii="宋体" w:hAnsi="宋体" w:eastAsia="宋体" w:cs="宋体"/>
                <w:color w:val="000000"/>
                <w:sz w:val="21"/>
              </w:rPr>
              <w:t xml:space="preserve">详见本文件第</w:t>
            </w:r>
            <w:r>
              <w:rPr>
                <w:rFonts w:hint="eastAsia" w:ascii="宋体" w:hAnsi="宋体" w:eastAsia="宋体" w:cs="宋体"/>
                <w:color w:val="000000"/>
                <w:sz w:val="21"/>
                <w:lang w:val="en-US" w:eastAsia="zh-CN"/>
              </w:rPr>
              <w:t xml:space="preserve">五</w:t>
            </w:r>
            <w:r>
              <w:rPr>
                <w:rFonts w:ascii="宋体" w:hAnsi="宋体" w:eastAsia="宋体" w:cs="宋体"/>
                <w:color w:val="000000"/>
                <w:sz w:val="21"/>
              </w:rPr>
              <w:t xml:space="preserve">章</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谈判</w:t>
            </w:r>
            <w:r>
              <w:rPr>
                <w:rFonts w:hint="eastAsia" w:asciiTheme="minorEastAsia" w:hAnsiTheme="minorEastAsia" w:eastAsiaTheme="minorEastAsia" w:cstheme="minorEastAsia"/>
                <w:color w:val="auto"/>
                <w:sz w:val="21"/>
                <w:szCs w:val="21"/>
                <w:highlight w:val="none"/>
              </w:rPr>
              <w:t xml:space="preserve">委员会构成： 由采购人代表和政府采购专家组成</w:t>
            </w:r>
            <w:r/>
          </w:p>
          <w:p>
            <w:pPr>
              <w:pStyle w:val="91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w:t>
            </w:r>
            <w:r>
              <w:rPr>
                <w:rFonts w:hint="eastAsia" w:asciiTheme="minorEastAsia" w:hAnsiTheme="minorEastAsia" w:eastAsiaTheme="minorEastAsia" w:cstheme="minorEastAsia"/>
                <w:color w:val="auto"/>
                <w:sz w:val="21"/>
                <w:szCs w:val="21"/>
                <w:highlight w:val="none"/>
                <w:lang w:eastAsia="zh-CN"/>
              </w:rPr>
              <w:t xml:space="preserve">谈判</w:t>
            </w:r>
            <w:r>
              <w:rPr>
                <w:rFonts w:hint="eastAsia" w:asciiTheme="minorEastAsia" w:hAnsiTheme="minorEastAsia" w:eastAsiaTheme="minorEastAsia" w:cstheme="minorEastAsia"/>
                <w:color w:val="auto"/>
                <w:sz w:val="21"/>
                <w:szCs w:val="21"/>
                <w:highlight w:val="none"/>
              </w:rPr>
              <w:t xml:space="preserve">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1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银行转账、保险公司保单或银行保函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58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894"/>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30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泰州市姜堰区大伦镇人民政府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yellow"/>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ind w:firstLine="420"/>
              <w:rPr>
                <w:rFonts w:hint="eastAsia" w:asciiTheme="minorEastAsia" w:hAnsiTheme="minorEastAsia" w:eastAsiaTheme="minorEastAsia" w:cstheme="minorEastAsia"/>
                <w:b/>
                <w:bCs/>
                <w:color w:val="auto"/>
                <w:sz w:val="21"/>
                <w:szCs w:val="21"/>
                <w:highlight w:val="yellow"/>
                <w:lang w:val="en-US" w:eastAsia="zh-CN" w:bidi="ar-SA"/>
              </w:rPr>
            </w:pPr>
            <w:r>
              <w:rPr>
                <w:rFonts w:hint="eastAsia" w:asciiTheme="minorEastAsia" w:hAnsiTheme="minorEastAsia" w:eastAsiaTheme="minorEastAsia" w:cstheme="minorEastAsia"/>
                <w:color w:val="auto"/>
                <w:sz w:val="21"/>
                <w:szCs w:val="21"/>
                <w:highlight w:val="none"/>
              </w:rPr>
              <w:t xml:space="preserve">合同签订生效、工程竣工</w:t>
            </w:r>
            <w:r>
              <w:rPr>
                <w:rFonts w:hint="eastAsia" w:asciiTheme="minorEastAsia" w:hAnsiTheme="minorEastAsia" w:eastAsiaTheme="minorEastAsia" w:cstheme="minorEastAsia"/>
                <w:color w:val="auto"/>
                <w:sz w:val="21"/>
                <w:szCs w:val="21"/>
                <w:highlight w:val="none"/>
                <w:lang w:val="en-US" w:eastAsia="zh-CN"/>
              </w:rPr>
              <w:t xml:space="preserve">验收合格后付至合同价的40%</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第二年年底再付合同价的30%，待工程结算审核后第三年按双方确认价付清余款。</w:t>
            </w:r>
            <w:r>
              <w:rPr>
                <w:rFonts w:hint="eastAsia" w:asciiTheme="minorEastAsia" w:hAnsiTheme="minorEastAsia" w:eastAsiaTheme="minorEastAsia" w:cstheme="minorEastAsia"/>
                <w:color w:val="auto"/>
                <w:sz w:val="21"/>
                <w:szCs w:val="21"/>
                <w:highlight w:val="none"/>
              </w:rPr>
              <w:t xml:space="preserve">（每次支付工程款都包含采购人已支付的农民工工资，本项目涉及的所有款项皆不计取利息）。成交人收款前必须提供正式发票。</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结算方式：</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59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本项目招标代理服务费参照</w:t>
            </w:r>
            <w:r>
              <w:rPr>
                <w:rFonts w:hint="eastAsia" w:asciiTheme="minorEastAsia" w:hAnsiTheme="minorEastAsia" w:eastAsiaTheme="minorEastAsia" w:cstheme="minorEastAsia"/>
                <w:color w:val="auto"/>
                <w:sz w:val="21"/>
                <w:szCs w:val="21"/>
                <w:highlight w:val="none"/>
                <w:lang w:val="en-US" w:eastAsia="zh-CN"/>
              </w:rPr>
              <w:t xml:space="preserve">大伦镇收费标准由采购人支付。</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bl>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本竞争性谈判文件适用于本采购项目的谈判、评审、确定供应商、验收、合同履约、付款等（法律、法规另有规定的，从其规定）。</w:t>
      </w:r>
      <w:r/>
    </w:p>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本项目采用竞争性谈判方式进行。</w:t>
      </w:r>
      <w:r/>
    </w:p>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费用</w:t>
      </w:r>
      <w:r/>
    </w:p>
    <w:p>
      <w:pPr>
        <w:pStyle w:val="105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不论谈判结果如何，供应商均应自行承担所有与谈判有关的全部费用。</w:t>
      </w:r>
      <w:r/>
    </w:p>
    <w:p>
      <w:pPr>
        <w:pStyle w:val="91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pStyle w:val="105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供应商应仔细阅读本谈判文件的所有内容，按照谈判文件的要求提交谈判响应文件。谈判响应文件应对谈判文件的要求作出实质性响应，并对所提供的全部资料的真实性承担法律责任。</w:t>
      </w:r>
      <w:r/>
    </w:p>
    <w:p>
      <w:pPr>
        <w:pStyle w:val="1052"/>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52"/>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52"/>
        <w:ind w:firstLine="482"/>
        <w:jc w:val="left"/>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3"/>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供应商须具备建设行政主管部门颁发的有效的市政公用工程施工总承包三级（及）以上资质并具备有效的建筑施工企业安全生产许可证。</w:t>
      </w:r>
      <w:r/>
    </w:p>
    <w:p>
      <w:pPr>
        <w:numPr>
          <w:ilvl w:val="0"/>
          <w:numId w:val="3"/>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p>
    <w:p>
      <w:pPr>
        <w:pStyle w:val="1052"/>
        <w:ind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39"/>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http://58.213.147.230:7001/Website/#/compQuery/enterInfoQuery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项目负责人无在建工程</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52"/>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892"/>
        <w:rPr>
          <w:rFonts w:hint="eastAsia" w:asciiTheme="minorEastAsia" w:hAnsiTheme="minorEastAsia" w:eastAsiaTheme="minorEastAsia" w:cstheme="minorEastAsia"/>
          <w:highlight w:val="none"/>
        </w:rPr>
      </w:pPr>
      <w:r/>
      <w:bookmarkStart w:id="13" w:name="_Toc4989"/>
      <w:r/>
      <w:bookmarkStart w:id="14" w:name="_Toc14422"/>
      <w:r/>
      <w:bookmarkStart w:id="15" w:name="_Toc8067"/>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谈判</w:t>
      </w:r>
      <w:r>
        <w:rPr>
          <w:rFonts w:hint="eastAsia" w:asciiTheme="minorEastAsia" w:hAnsiTheme="minorEastAsia" w:eastAsiaTheme="minorEastAsia" w:cstheme="minorEastAsia"/>
          <w:highlight w:val="none"/>
        </w:rPr>
        <w:t xml:space="preserve">响应要求</w:t>
      </w:r>
      <w:bookmarkEnd w:id="13"/>
      <w:r/>
      <w:bookmarkEnd w:id="14"/>
      <w:r/>
      <w:bookmarkEnd w:id="15"/>
      <w:r/>
      <w:r/>
    </w:p>
    <w:p>
      <w:pPr>
        <w:pStyle w:val="1052"/>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1、谈判文件</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（1）谈判文件的组成，为采购公告、本文件及所有按规定发出的补充变更通知。</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（2）谈判文件的澄清及修改：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①供应商在下载谈判文件后，如有疑问需要澄清，应按谈判须知第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②在谈判截止日前，本公司可根据采购人的要求或在解答供应商提出的澄清问题时对谈判文件进行修改。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③谈判文件的修改将在“江苏政府采购网”上发布，作为谈判文件的组成部分。</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④为使供应商编写谈判响应文件有充分的时间对谈判文件的修改部分进行分析、研究，本公司将根据有关规定在“江苏政府采购网”上发布延期采购公告，请供应商主动登陆查询。</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⑤供应商对谈判文件所做出的推论、解释和结论，本公司概不负责。</w:t>
      </w:r>
      <w:r/>
    </w:p>
    <w:p>
      <w:pPr>
        <w:pStyle w:val="1052"/>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w:t>
      </w:r>
      <w:r>
        <w:rPr>
          <w:rFonts w:hint="eastAsia" w:asciiTheme="minorEastAsia" w:hAnsiTheme="minorEastAsia" w:eastAsiaTheme="minorEastAsia" w:cstheme="minorEastAsia"/>
          <w:b/>
          <w:bCs/>
          <w:sz w:val="24"/>
          <w:highlight w:val="none"/>
          <w:lang w:eastAsia="zh-CN"/>
        </w:rPr>
        <w:t xml:space="preserve">谈判</w:t>
      </w:r>
      <w:r>
        <w:rPr>
          <w:rFonts w:hint="eastAsia" w:asciiTheme="minorEastAsia" w:hAnsiTheme="minorEastAsia" w:eastAsiaTheme="minorEastAsia" w:cstheme="minorEastAsia"/>
          <w:b/>
          <w:bCs/>
          <w:sz w:val="24"/>
          <w:highlight w:val="none"/>
        </w:rPr>
        <w:t xml:space="preserve">响应费用</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响应文件以及递交</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响应文件所涉及的一切费用。</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文件：免费。</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w:t>
      </w:r>
      <w:r>
        <w:rPr>
          <w:rFonts w:hint="eastAsia" w:asciiTheme="minorEastAsia" w:hAnsiTheme="minorEastAsia" w:eastAsiaTheme="minorEastAsia" w:cstheme="minorEastAsia"/>
          <w:sz w:val="24"/>
          <w:highlight w:val="none"/>
          <w:lang w:val="en-US" w:eastAsia="zh-CN"/>
        </w:rPr>
        <w:t xml:space="preserve">采购人</w:t>
      </w:r>
      <w:r>
        <w:rPr>
          <w:rFonts w:hint="eastAsia" w:asciiTheme="minorEastAsia" w:hAnsiTheme="minorEastAsia" w:eastAsiaTheme="minorEastAsia" w:cstheme="minorEastAsia"/>
          <w:sz w:val="24"/>
          <w:highlight w:val="none"/>
          <w:lang w:val="zh-CN"/>
        </w:rPr>
        <w:t xml:space="preserve">承担。</w:t>
      </w:r>
      <w:r/>
    </w:p>
    <w:p>
      <w:pPr>
        <w:pStyle w:val="1052"/>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33"/>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环节。</w:t>
      </w:r>
      <w:r/>
    </w:p>
    <w:p>
      <w:pPr>
        <w:pStyle w:val="1033"/>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33"/>
        <w:numPr>
          <w:ilvl w:val="0"/>
          <w:numId w:val="4"/>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详见竞争性谈判公告</w:t>
      </w:r>
      <w:r>
        <w:rPr>
          <w:rFonts w:hint="eastAsia" w:asciiTheme="minorEastAsia" w:hAnsiTheme="minorEastAsia" w:eastAsiaTheme="minorEastAsia" w:cstheme="minorEastAsia"/>
          <w:b/>
          <w:bCs/>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33"/>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报价表》（加盖电子签章，</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文件》附件）</w:t>
      </w:r>
      <w:r>
        <w:rPr>
          <w:rFonts w:hint="eastAsia" w:asciiTheme="minorEastAsia" w:hAnsiTheme="minorEastAsia" w:eastAsiaTheme="minorEastAsia" w:cstheme="minorEastAsia"/>
          <w:b/>
          <w:sz w:val="24"/>
          <w:szCs w:val="24"/>
          <w:highlight w:val="none"/>
        </w:rPr>
        <w:t xml:space="preserve">（法定代表人参与</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的可不提供）</w:t>
      </w:r>
      <w:r>
        <w:rPr>
          <w:rFonts w:hint="eastAsia" w:asciiTheme="minorEastAsia" w:hAnsiTheme="minorEastAsia" w:eastAsiaTheme="minorEastAsia" w:cstheme="minorEastAsia"/>
          <w:sz w:val="24"/>
          <w:szCs w:val="24"/>
          <w:highlight w:val="none"/>
        </w:rPr>
        <w:t xml:space="preserve">；</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33"/>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当月）银行出具的资信证明扫描件；或财政部门认可的政府采购专业担保机构出具的投标担保函扫描件。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文件中规定的资格特定条件证明材料：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sz w:val="24"/>
          <w:szCs w:val="24"/>
          <w:highlight w:val="none"/>
        </w:rPr>
        <w:t xml:space="preserve">（1）有效的市政公用工程施工总承包三级（及）以上资质并具备有效的建筑施工企业安全生产许可证；</w:t>
      </w:r>
      <w:r/>
    </w:p>
    <w:p>
      <w:pPr>
        <w:pStyle w:val="1052"/>
        <w:ind w:firstLine="480"/>
        <w:jc w:val="left"/>
        <w:keepLines w:val="0"/>
        <w:keepNext w:val="0"/>
        <w:pageBreakBefore w:val="0"/>
        <w:spacing w:line="360" w:lineRule="auto"/>
        <w:rPr>
          <w:rFonts w:hint="eastAsia"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val="en-US" w:eastAsia="zh-CN"/>
        </w:rPr>
        <w:t xml:space="preserve">拟派项目负责人系已在供应商单位注册并具备建设行政主管部门颁发的市政工程专业二级(含)以上注册建造师证书且具有行政主管部门颁发的有效的建筑施工企业项目负责人安全生产考核合格证书B证</w:t>
      </w:r>
      <w:r>
        <w:rPr>
          <w:rFonts w:hint="eastAsia" w:asciiTheme="minorEastAsia" w:hAnsiTheme="minorEastAsia" w:eastAsiaTheme="minorEastAsia" w:cstheme="minorEastAsia"/>
          <w:sz w:val="24"/>
          <w:highlight w:val="none"/>
          <w:lang w:eastAsia="zh-CN"/>
        </w:rPr>
        <w:t xml:space="preserve">。</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3"/>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Cs w:val="28"/>
          <w:highlight w:val="none"/>
        </w:rPr>
        <w:t xml:space="preserve"> </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w:t>
      </w:r>
      <w:r/>
    </w:p>
    <w:p>
      <w:pPr>
        <w:pStyle w:val="1033"/>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rPr>
        <w:t xml:space="preserve">（四）</w:t>
      </w:r>
      <w:r>
        <w:rPr>
          <w:rFonts w:hint="eastAsia" w:asciiTheme="minorEastAsia" w:hAnsiTheme="minorEastAsia" w:eastAsiaTheme="minorEastAsia" w:cstheme="minorEastAsia"/>
          <w:b/>
          <w:sz w:val="24"/>
          <w:szCs w:val="24"/>
          <w:highlight w:val="none"/>
          <w:lang w:val="en-US" w:eastAsia="zh-CN"/>
        </w:rPr>
        <w:t xml:space="preserve">其他</w:t>
      </w:r>
      <w:r/>
    </w:p>
    <w:p>
      <w:pPr>
        <w:pStyle w:val="1033"/>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33"/>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本项目供应商须通过“苏采云”系统提供的政府采购客户端工具（使用“CA数字证书”）对其数据电文形式的响应文件加密。</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文件》附件中相关格式要求。</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文件》附件中相关格式要求。供应商须通过“苏采云”系统提供的政府采购客户端工具（使用“CA数字证书”）加盖电子签章。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w:t>
      </w:r>
      <w:r>
        <w:rPr>
          <w:rFonts w:hint="eastAsia" w:asciiTheme="minorEastAsia" w:hAnsiTheme="minorEastAsia" w:eastAsiaTheme="minorEastAsia" w:cstheme="minorEastAsia"/>
          <w:b/>
          <w:bCs/>
          <w:sz w:val="24"/>
          <w:szCs w:val="24"/>
          <w:highlight w:val="none"/>
          <w:lang w:eastAsia="zh-CN"/>
        </w:rPr>
        <w:t xml:space="preserve">谈判</w:t>
      </w:r>
      <w:r>
        <w:rPr>
          <w:rFonts w:hint="eastAsia" w:asciiTheme="minorEastAsia" w:hAnsiTheme="minorEastAsia" w:eastAsiaTheme="minorEastAsia" w:cstheme="minorEastAsia"/>
          <w:b/>
          <w:bCs/>
          <w:sz w:val="24"/>
          <w:szCs w:val="24"/>
          <w:highlight w:val="none"/>
        </w:rPr>
        <w:t xml:space="preserve">文件中如需“被授权代表签字或盖章”，供应商可打印成文档，签字或盖章后再扫描上传，最后再电子签章。</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33"/>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文件》的要求编制响应文件，并对其提交的响应文件的真实性、合法性承担法律责任。</w:t>
      </w:r>
      <w:r/>
    </w:p>
    <w:p>
      <w:pPr>
        <w:pStyle w:val="1060"/>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w:t>
      </w:r>
      <w:r>
        <w:rPr>
          <w:rFonts w:hint="eastAsia" w:asciiTheme="minorEastAsia" w:hAnsiTheme="minorEastAsia" w:eastAsiaTheme="minorEastAsia" w:cstheme="minorEastAsia"/>
          <w:b/>
          <w:bCs/>
          <w:sz w:val="24"/>
          <w:highlight w:val="none"/>
          <w:lang w:eastAsia="zh-CN"/>
        </w:rPr>
        <w:t xml:space="preserve">谈判</w:t>
      </w:r>
      <w:r>
        <w:rPr>
          <w:rFonts w:hint="eastAsia" w:asciiTheme="minorEastAsia" w:hAnsiTheme="minorEastAsia" w:eastAsiaTheme="minorEastAsia" w:cstheme="minorEastAsia"/>
          <w:b/>
          <w:bCs/>
          <w:sz w:val="24"/>
          <w:highlight w:val="none"/>
        </w:rPr>
        <w:t xml:space="preserve">响应文件</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响应文件出现下列情形之一的，将作为无效</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响应文件处理：</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响应文件正本中授权委托书无供应商法定代表人的印鉴(或签字)或非原件的；</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（2）法定代表人或</w:t>
      </w:r>
      <w:r>
        <w:rPr>
          <w:rFonts w:hint="eastAsia" w:asciiTheme="minorEastAsia" w:hAnsiTheme="minorEastAsia" w:eastAsiaTheme="minorEastAsia" w:cstheme="minorEastAsia"/>
          <w:bCs/>
          <w:sz w:val="24"/>
          <w:highlight w:val="none"/>
        </w:rPr>
        <w:t xml:space="preserve">法定代表人授权代表未参加</w:t>
      </w:r>
      <w:r>
        <w:rPr>
          <w:rFonts w:hint="eastAsia" w:asciiTheme="minorEastAsia" w:hAnsiTheme="minorEastAsia" w:eastAsiaTheme="minorEastAsia" w:cstheme="minorEastAsia"/>
          <w:bCs/>
          <w:sz w:val="24"/>
          <w:highlight w:val="none"/>
          <w:lang w:eastAsia="zh-CN"/>
        </w:rPr>
        <w:t xml:space="preserve">谈判</w:t>
      </w:r>
      <w:r>
        <w:rPr>
          <w:rFonts w:hint="eastAsia" w:asciiTheme="minorEastAsia" w:hAnsiTheme="minorEastAsia" w:eastAsiaTheme="minorEastAsia" w:cstheme="minorEastAsia"/>
          <w:bCs/>
          <w:sz w:val="24"/>
          <w:highlight w:val="none"/>
        </w:rPr>
        <w:t xml:space="preserve">会议的或身份不符的；</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（3）资格条件文件不全或无效导致</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小组无法评判的，或者不符合</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文件标明的资格要求的；</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响应文件未按规定的数量、格式、内容和要求编制或</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响应文件字迹潦草、模糊、无法辩认的；</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响应最后报价高于采购预算或者最高限价的；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文件未能作出全部实质性响应或对</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文件进行实质性修改的；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（7）不同供应商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响应文件相互混装的；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（8）单位负责人为同一人或存在管理、控股关系的不同供应商参加同一合同下采购活动的；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（9）为采购项目提供整体设计、规范编制或者项目管理、监理、检测等服务的供应商参加该采购项目活动的；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（10）不同供应商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响应文件中的相关人员出现同一人的；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（11）不同</w:t>
      </w:r>
      <w:r>
        <w:rPr>
          <w:rFonts w:hint="eastAsia" w:asciiTheme="minorEastAsia" w:hAnsiTheme="minorEastAsia" w:eastAsiaTheme="minorEastAsia" w:cstheme="minorEastAsia"/>
          <w:sz w:val="24"/>
          <w:highlight w:val="none"/>
        </w:rPr>
        <w:t xml:space="preserve">供应商</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w:t>
      </w:r>
      <w:r>
        <w:rPr>
          <w:rFonts w:hint="eastAsia" w:asciiTheme="minorEastAsia" w:hAnsiTheme="minorEastAsia" w:eastAsiaTheme="minorEastAsia" w:cstheme="minorEastAsia"/>
          <w:bCs/>
          <w:sz w:val="24"/>
          <w:highlight w:val="none"/>
        </w:rPr>
        <w:t xml:space="preserve">内容出现非正常一致的；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（12）不同供应商报价表呈明显规律性变化，故意哄抬价格或压价等其它恶意串通行为的；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响应文件中提供虚假资料的；</w:t>
      </w:r>
      <w:r/>
    </w:p>
    <w:p>
      <w:pPr>
        <w:pStyle w:val="1060"/>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（14）有欺诈行为或隐瞒自身违规问题的；</w:t>
      </w:r>
      <w:r/>
    </w:p>
    <w:p>
      <w:pPr>
        <w:pStyle w:val="1052"/>
        <w:ind w:firstLine="560"/>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（15）违反法律、法规或损害国家及采购人利益的。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（1）供应商直接或间接从采购人或采购代理机构处获得其他供应商的响应情况，并修改其响应文件；</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（2）评审活动开始前供应商直接或间接从采购人、采购代理机构或监管部门处获得</w:t>
      </w: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小组组成人员情况；</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（3）供应商接受采购人或采购代理机构授意撤换、修改响应文件；</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（4）供应商之间协商报价、技术方案等实质性内容；</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（5）属于同一集团、协会、商会等组织成员的供应商按照该组织要求协同参与；</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（6）供应商之间事先约定由某一特定供应商成交；</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（7）供应商之间商定部分供应商放弃参与或者放弃成交；</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（8）供应商与采购人或采购代理机构之间、供应商相互之间为谋求特定供应商成交或者排斥其他供应商的其他串通行为；</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（9）不同供应商的响应文件由同一单位或者个人编制；</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（10）不同供应商委托同一单位或者个人办理参与事宜；</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（11）不同供应商响应文件相互混装的；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（12）不同供应商响应文件中的相关人员出现同一人的；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（13）不同</w:t>
      </w:r>
      <w:r>
        <w:rPr>
          <w:rFonts w:hint="eastAsia" w:asciiTheme="minorEastAsia" w:hAnsiTheme="minorEastAsia" w:eastAsiaTheme="minorEastAsia" w:cstheme="minorEastAsia"/>
          <w:highlight w:val="none"/>
        </w:rPr>
        <w:t xml:space="preserve">供应商响应文件中</w:t>
      </w:r>
      <w:r>
        <w:rPr>
          <w:rFonts w:hint="eastAsia" w:asciiTheme="minorEastAsia" w:hAnsiTheme="minorEastAsia" w:eastAsiaTheme="minorEastAsia" w:cstheme="minorEastAsia"/>
          <w:bCs/>
          <w:highlight w:val="none"/>
        </w:rPr>
        <w:t xml:space="preserve">内容出现非正常一致的；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（14）不同供应商报价表呈明显规律性变化，故意哄抬价格或压价等其它恶意串通行为的；</w:t>
      </w:r>
      <w:r/>
    </w:p>
    <w:p>
      <w:pPr>
        <w:pStyle w:val="1061"/>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7、</w:t>
      </w:r>
      <w:r>
        <w:rPr>
          <w:rFonts w:hint="eastAsia" w:asciiTheme="minorEastAsia" w:hAnsiTheme="minorEastAsia" w:eastAsiaTheme="minorEastAsia" w:cstheme="minorEastAsia"/>
          <w:b/>
          <w:highlight w:val="none"/>
          <w:lang w:val="en-US" w:eastAsia="zh-CN"/>
        </w:rPr>
        <w:t xml:space="preserve">谈判</w:t>
      </w:r>
      <w:r>
        <w:rPr>
          <w:rFonts w:hint="eastAsia" w:asciiTheme="minorEastAsia" w:hAnsiTheme="minorEastAsia" w:eastAsiaTheme="minorEastAsia" w:cstheme="minorEastAsia"/>
          <w:b/>
          <w:highlight w:val="none"/>
        </w:rPr>
        <w:t xml:space="preserve">活动终止</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活动中出现下列情形之一的，</w:t>
      </w:r>
      <w:r>
        <w:rPr>
          <w:rFonts w:hint="eastAsia" w:asciiTheme="minorEastAsia" w:hAnsiTheme="minorEastAsia" w:eastAsiaTheme="minorEastAsia" w:cstheme="minorEastAsia"/>
          <w:highlight w:val="none"/>
          <w:lang w:eastAsia="zh-CN"/>
        </w:rPr>
        <w:t xml:space="preserve">谈判</w:t>
      </w:r>
      <w:r>
        <w:rPr>
          <w:rFonts w:hint="eastAsia" w:asciiTheme="minorEastAsia" w:hAnsiTheme="minorEastAsia" w:eastAsiaTheme="minorEastAsia" w:cstheme="minorEastAsia"/>
          <w:highlight w:val="none"/>
        </w:rPr>
        <w:t xml:space="preserve">活动终止：</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bookmarkStart w:id="16" w:name="_Toc9899"/>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1</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因情况变化，不再符合规定的竞争性</w:t>
      </w:r>
      <w:r>
        <w:rPr>
          <w:rFonts w:hint="eastAsia" w:asciiTheme="minorEastAsia" w:hAnsiTheme="minorEastAsia" w:eastAsiaTheme="minorEastAsia" w:cstheme="minorEastAsia"/>
          <w:bCs/>
          <w:highlight w:val="none"/>
          <w:lang w:eastAsia="zh-CN"/>
        </w:rPr>
        <w:t xml:space="preserve">谈判</w:t>
      </w:r>
      <w:r>
        <w:rPr>
          <w:rFonts w:hint="eastAsia" w:asciiTheme="minorEastAsia" w:hAnsiTheme="minorEastAsia" w:eastAsiaTheme="minorEastAsia" w:cstheme="minorEastAsia"/>
          <w:bCs/>
          <w:highlight w:val="none"/>
        </w:rPr>
        <w:t xml:space="preserve">采购方式适用情形的；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出现影响采购公正的违法、违规行为的；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因重大变故，采购任务取消的。</w:t>
      </w:r>
      <w:r/>
    </w:p>
    <w:p>
      <w:pPr>
        <w:pStyle w:val="1061"/>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bCs/>
          <w:highlight w:val="none"/>
        </w:rPr>
        <w:t xml:space="preserve">符合要求的供应商或者报价未超过采购预算的供应商不足3家的，法律法规另有规定的除外。</w:t>
      </w:r>
      <w:r/>
    </w:p>
    <w:p>
      <w:pPr>
        <w:pStyle w:val="1061"/>
        <w:ind w:firstLine="686"/>
        <w:jc w:val="center"/>
        <w:keepLines w:val="0"/>
        <w:keepNext w:val="0"/>
        <w:pageBreakBefore w:val="0"/>
        <w:spacing w:before="0" w:beforeAutospacing="0" w:after="0" w:afterAutospacing="0" w:line="360" w:lineRule="auto"/>
        <w:rPr>
          <w:rFonts w:hint="eastAsia" w:asciiTheme="minorEastAsia" w:hAnsiTheme="minorEastAsia" w:eastAsiaTheme="minorEastAsia" w:cstheme="minorEastAsia"/>
          <w:b/>
          <w:color w:val="000000"/>
          <w:sz w:val="36"/>
          <w:szCs w:val="20"/>
          <w:highlight w:val="none"/>
          <w:lang w:val="en-US" w:eastAsia="zh-CN" w:bidi="ar-SA"/>
        </w:rPr>
      </w:pPr>
      <w:r>
        <w:rPr>
          <w:rFonts w:hint="eastAsia" w:asciiTheme="minorEastAsia" w:hAnsiTheme="minorEastAsia" w:eastAsiaTheme="minorEastAsia" w:cstheme="minorEastAsia"/>
          <w:highlight w:val="none"/>
          <w:lang w:val="en-US" w:eastAsia="zh-CN"/>
        </w:rPr>
        <w:br w:type="page" w:clear="all"/>
      </w:r>
      <w:bookmarkStart w:id="17" w:name="_Toc29720"/>
      <w:r/>
      <w:bookmarkStart w:id="18" w:name="_Toc23926"/>
      <w:r>
        <w:rPr>
          <w:rFonts w:hint="eastAsia" w:asciiTheme="minorEastAsia" w:hAnsiTheme="minorEastAsia" w:eastAsiaTheme="minorEastAsia" w:cstheme="minorEastAsia"/>
          <w:b/>
          <w:color w:val="000000"/>
          <w:sz w:val="36"/>
          <w:szCs w:val="20"/>
          <w:highlight w:val="none"/>
          <w:lang w:val="en-US" w:eastAsia="zh-CN" w:bidi="ar-SA"/>
        </w:rPr>
        <w:t xml:space="preserve">第四章 采购需求</w:t>
      </w:r>
      <w:bookmarkEnd w:id="17"/>
      <w:r/>
      <w:bookmarkEnd w:id="18"/>
      <w:r/>
      <w:bookmarkEnd w:id="16"/>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1）项目名称：</w:t>
      </w:r>
      <w:r>
        <w:rPr>
          <w:rFonts w:hint="eastAsia" w:asciiTheme="minorEastAsia" w:hAnsiTheme="minorEastAsia" w:eastAsiaTheme="minorEastAsia" w:cstheme="minorEastAsia"/>
          <w:color w:val="000000"/>
          <w:sz w:val="24"/>
          <w:highlight w:val="none"/>
          <w:lang w:eastAsia="zh-CN"/>
        </w:rPr>
        <w:t xml:space="preserve">大伦镇安置区三期北区室外配套工程</w:t>
      </w:r>
      <w:r/>
    </w:p>
    <w:p>
      <w:pPr>
        <w:numPr>
          <w:ilvl w:val="0"/>
          <w:numId w:val="5"/>
        </w:num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采购内容：</w:t>
      </w:r>
      <w:r>
        <w:rPr>
          <w:rFonts w:hint="eastAsia" w:asciiTheme="minorEastAsia" w:hAnsiTheme="minorEastAsia" w:eastAsiaTheme="minorEastAsia" w:cstheme="minorEastAsia"/>
          <w:color w:val="000000"/>
          <w:sz w:val="24"/>
          <w:highlight w:val="none"/>
          <w:lang w:eastAsia="zh-CN"/>
        </w:rPr>
        <w:t xml:space="preserve">安置区三期北区室外配套工程</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color w:val="000000"/>
          <w:sz w:val="24"/>
          <w:highlight w:val="none"/>
        </w:rPr>
        <w:t xml:space="preserve">具体施工内容详见工程量清单</w:t>
      </w:r>
      <w:r>
        <w:rPr>
          <w:rFonts w:hint="eastAsia" w:asciiTheme="minorEastAsia" w:hAnsiTheme="minorEastAsia" w:eastAsiaTheme="minorEastAsia" w:cstheme="minorEastAsia"/>
          <w:color w:val="000000"/>
          <w:sz w:val="24"/>
          <w:highlight w:val="none"/>
          <w:lang w:val="en-US" w:eastAsia="zh-CN"/>
        </w:rPr>
        <w:t xml:space="preserve">和图纸</w:t>
      </w:r>
      <w:r>
        <w:rPr>
          <w:rFonts w:hint="eastAsia" w:asciiTheme="minorEastAsia" w:hAnsiTheme="minorEastAsia" w:eastAsiaTheme="minorEastAsia" w:cstheme="minorEastAsia"/>
          <w:color w:val="000000"/>
          <w:sz w:val="24"/>
          <w:highlight w:val="none"/>
        </w:rPr>
        <w:t xml:space="preserve">。</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下载链接：https://pan.baidu.com/s/1_8J9locRwAUTnaMRthdTIA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 1234</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4）本项目承包范围为采购文件、附件范围相关的内容。供应商应根据附件内容以现场踏勘为准仔细核对工程量清单，核对内容包括清单数量、清单特征、计量单位等。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5）施工工期要求：</w:t>
      </w:r>
      <w:r>
        <w:rPr>
          <w:rFonts w:hint="eastAsia" w:asciiTheme="minorEastAsia" w:hAnsiTheme="minorEastAsia" w:eastAsiaTheme="minorEastAsia" w:cstheme="minorEastAsia"/>
          <w:color w:val="000000"/>
          <w:sz w:val="24"/>
          <w:highlight w:val="none"/>
          <w:lang w:val="en-US" w:eastAsia="zh-CN"/>
        </w:rPr>
        <w:t xml:space="preserve">60</w:t>
      </w:r>
      <w:r>
        <w:rPr>
          <w:rFonts w:hint="eastAsia" w:asciiTheme="minorEastAsia" w:hAnsiTheme="minorEastAsia" w:eastAsiaTheme="minorEastAsia" w:cstheme="minorEastAsia"/>
          <w:color w:val="000000"/>
          <w:sz w:val="24"/>
          <w:highlight w:val="none"/>
        </w:rPr>
        <w:t xml:space="preserve">日历天；施工质量要求：合格；本工程缺陷责任期</w:t>
      </w: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年，自工程竣工验收合格之日起算。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6）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7）成交单位应做到文明施工，不得扰民，做到施工现场整洁，施工垃圾及时清运，清运手续、费用由施工方自行解决。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8）本工程所有项目在施工前都必须认真对照设计图纸结合清单描述，在得到业主和设计方确认后方可施工，否则造成的返工损失自行承担。成品必须先提交样品，得到业主和设计方确认后方可进行批量采购。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9）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10）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11）本工程需满足姜堰区供电公司居配要求，施工过程中及时与姜堰区供电公司有关部门联系包含但不限于材料进场前检测、隐蔽工程验收、中间及竣工验收，确保按时供电，由此造成的后果由供应商负责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yellow"/>
        </w:rPr>
      </w:pPr>
      <w:r>
        <w:rPr>
          <w:rFonts w:hint="eastAsia" w:asciiTheme="minorEastAsia" w:hAnsiTheme="minorEastAsia" w:eastAsiaTheme="minorEastAsia" w:cstheme="minorEastAsia"/>
          <w:color w:val="000000"/>
          <w:sz w:val="24"/>
          <w:highlight w:val="none"/>
        </w:rPr>
        <w:t xml:space="preserve">合同签订生效、工程竣工验收合格后付至合同价的40%，第二年年底再付合同价的30%，待工程结算审核后第三年按双方确认价付清余款。（每次支付工程款都包含采购人已支付的农民工工资，本项目涉及的所有款项皆不计取利息）。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p>
      <w:pPr>
        <w:pStyle w:val="892"/>
        <w:rPr>
          <w:rFonts w:hint="eastAsia" w:asciiTheme="minorEastAsia" w:hAnsiTheme="minorEastAsia" w:eastAsiaTheme="minorEastAsia" w:cstheme="minorEastAsia"/>
          <w:highlight w:val="none"/>
          <w:lang w:eastAsia="zh-CN"/>
        </w:rPr>
      </w:pPr>
      <w:r/>
      <w:bookmarkStart w:id="19" w:name="_Toc26328"/>
      <w:r/>
      <w:bookmarkStart w:id="20" w:name="_Toc1148"/>
      <w:r/>
      <w:bookmarkStart w:id="21" w:name="_Toc25169"/>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第五章 </w:t>
      </w:r>
      <w:bookmarkEnd w:id="19"/>
      <w:r/>
      <w:bookmarkEnd w:id="20"/>
      <w:r/>
      <w:bookmarkEnd w:id="21"/>
      <w:r>
        <w:rPr>
          <w:rFonts w:hint="eastAsia" w:asciiTheme="minorEastAsia" w:hAnsiTheme="minorEastAsia" w:eastAsiaTheme="minorEastAsia" w:cstheme="minorEastAsia"/>
          <w:highlight w:val="none"/>
          <w:lang w:val="en-US" w:eastAsia="zh-CN"/>
        </w:rPr>
        <w:t xml:space="preserve">谈 判</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w:t>
      </w:r>
      <w:r>
        <w:rPr>
          <w:rFonts w:hint="eastAsia" w:asciiTheme="minorEastAsia" w:hAnsiTheme="minorEastAsia" w:eastAsiaTheme="minorEastAsia" w:cstheme="minorEastAsia"/>
          <w:b/>
          <w:sz w:val="24"/>
          <w:szCs w:val="24"/>
          <w:highlight w:val="none"/>
          <w:lang w:eastAsia="zh-CN"/>
        </w:rPr>
        <w:t xml:space="preserve">谈判</w:t>
      </w:r>
      <w:r>
        <w:rPr>
          <w:rFonts w:hint="eastAsia" w:asciiTheme="minorEastAsia" w:hAnsiTheme="minorEastAsia" w:eastAsiaTheme="minorEastAsia" w:cstheme="minorEastAsia"/>
          <w:b/>
          <w:sz w:val="24"/>
          <w:szCs w:val="24"/>
          <w:highlight w:val="none"/>
        </w:rPr>
        <w:t xml:space="preserve">相关说明</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要求</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的供应商需按本竞争性</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文件要求的截止时间、方式（地点）提交首次响应文件，同时派人通过“苏采云”系统在“开标大厅”等待</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谈判</w:t>
      </w:r>
      <w:r>
        <w:rPr>
          <w:rFonts w:hint="eastAsia" w:asciiTheme="minorEastAsia" w:hAnsiTheme="minorEastAsia" w:eastAsiaTheme="minorEastAsia" w:cstheme="minorEastAsia"/>
          <w:sz w:val="24"/>
          <w:szCs w:val="24"/>
          <w:highlight w:val="none"/>
        </w:rPr>
        <w:t xml:space="preserve">顺序按照电子标书解密先后时间进行，解密时间相同的，不分先后顺序。</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的供应商如未按上述</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要求执行，视同放弃</w:t>
      </w:r>
      <w:r>
        <w:rPr>
          <w:rFonts w:hint="eastAsia" w:asciiTheme="minorEastAsia" w:hAnsiTheme="minorEastAsia" w:eastAsiaTheme="minorEastAsia" w:cstheme="minorEastAsia"/>
          <w:bCs/>
          <w:sz w:val="24"/>
          <w:szCs w:val="24"/>
          <w:highlight w:val="none"/>
          <w:lang w:eastAsia="zh-CN"/>
        </w:rPr>
        <w:t xml:space="preserve">谈判</w:t>
      </w:r>
      <w:r>
        <w:rPr>
          <w:rFonts w:hint="eastAsia" w:asciiTheme="minorEastAsia" w:hAnsiTheme="minorEastAsia" w:eastAsiaTheme="minorEastAsia" w:cstheme="minorEastAsia"/>
          <w:bCs/>
          <w:sz w:val="24"/>
          <w:szCs w:val="24"/>
          <w:highlight w:val="none"/>
        </w:rPr>
        <w:t xml:space="preserve">的权利。</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到达开启时间，“苏采云”系统自动提取所有响应文件，供应商通过“苏采云”系统（使用“CA数字证书”）解密响应文件，解密时间为30分钟（以系统规定时间为准）。供应商未在规定时间内解密的视为撤销响应文件。</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2.资格审查。谈判小组依照谈判文件的资格证明文件要求对供应商进行资格审核，以确定供应商是否具备谈判资格,确定合格谈判人。如谈判响应文件资格性审查未通过，谈判小组将不再跟该供应商进行谈判。</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谈判小组将对资格审查通过的供应商的响应文件其他内容进行核对，审查其是否实质性满足竞争性谈判文件的要求，如有疑问，将对供应商进行质询，供应商应向谈判小组澄清有关问题，并最终以书面形式进行答复。未通过资格审查或符合性审查的供应商，谈判小组将不再跟该供应商进行谈判并在苏采云系统中告知未通过资格审查或符合性审查的原因，评审结束后，谈判小组将不再告知未通过资格审查或符合性审查的原因。</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4.供应商代表拒绝澄清或者澄清的内容改变了谈判响应文件的实质性内容的，谈判小组有权对该谈判响应文件作出不利于供应商的评判。</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5.谈判顺序。对通过资格审查的合格供应商按谈判响应文件递交时间的先后确定谈判顺序。</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6.谈判内容。谈判小组成员分别与每个资格审查通过的供应商就价格、服务等认为需要谈判的内容进行谈判。</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在谈判过程中，谈判小组可以根据谈判文件和谈判情况实质性变动采购需求中的技术、服务要求以及合同草案条款，但不得变动谈判文件中的其他内容。对谈判文件作出的实质性变动是谈判文件的有效组成部分。如有实质性变动，供应商应当按照谈判文件的变动情况和谈判小组的要求在规定的时间内在苏彩云系统中重新按要求提交响应文件。</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谈判结束后，谈判小组将在苏采云系统向所有实质性响应的供应商发布“最后报价要求函”及最后报价格式表，要求所有实质性响应的供应商在系统规定时间内提交最后报价。（若未提供明细报价的，则合同单价按最终报价与第一次报价总价的下浮比例同比例下浮。）</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最终响应报价出现下列情形之一的，谈判小组将启动异常低价响应审查程序：</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①</w:t>
      </w:r>
      <w:r>
        <w:rPr>
          <w:rFonts w:hint="eastAsia" w:asciiTheme="minorEastAsia" w:hAnsiTheme="minorEastAsia" w:eastAsiaTheme="minorEastAsia" w:cstheme="minorEastAsia"/>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②</w:t>
      </w:r>
      <w:r>
        <w:rPr>
          <w:rFonts w:hint="eastAsia" w:asciiTheme="minorEastAsia" w:hAnsiTheme="minorEastAsia" w:eastAsiaTheme="minorEastAsia" w:cstheme="minorEastAsia"/>
          <w:b/>
          <w:bCs/>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③投标(响应)报价低于采购项目最高限价45%的，即投标(响应)报价&lt;采购项目最高限价×45%;</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④评审委员会基于专业判断，认为供应商报价过低，有可能影响产品质量或者不能诚信履约的其他情形。</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启动异常低价响应审查后，谈判小组将要求相关供应商在</w:t>
      </w:r>
      <w:r>
        <w:rPr>
          <w:rFonts w:hint="eastAsia" w:asciiTheme="minorEastAsia" w:hAnsiTheme="minorEastAsia" w:eastAsiaTheme="minorEastAsia" w:cstheme="minorEastAsia"/>
          <w:b/>
          <w:bCs/>
          <w:color w:val="auto"/>
          <w:sz w:val="24"/>
          <w:szCs w:val="24"/>
          <w:highlight w:val="none"/>
          <w:lang w:val="en-US" w:eastAsia="zh-CN"/>
        </w:rPr>
        <w:t xml:space="preserve">30分钟</w:t>
      </w:r>
      <w:r>
        <w:rPr>
          <w:rFonts w:hint="eastAsia" w:asciiTheme="minorEastAsia" w:hAnsiTheme="minorEastAsia" w:eastAsiaTheme="minorEastAsia" w:cstheme="minorEastAsia"/>
          <w:b/>
          <w:bCs/>
          <w:color w:val="auto"/>
          <w:sz w:val="24"/>
          <w:szCs w:val="24"/>
          <w:highlight w:val="none"/>
        </w:rPr>
        <w:t xml:space="preserve">内，提供项目具体成本测算等与报价合理性相关的书面说明及必要的证明材料，包括但不限于原材料成本、人工成本、制造费用等，评谈判小组依据专业经验，参考同类项目中标(成交)价格、类似产品市场价格水平、行业人工费用标准、国家有关部门指导行业协会发布的行业平均成本等情况，对报价合理性进行判断。响应供应商不提供书面说明、证明材料，或者提供的书面说明、证明材料不能证明其报价合理性的，谈判小组应当将其作为无效响应处理。</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9.谈判小组在整个谈判过程中须形成书面谈判报告。</w:t>
      </w:r>
      <w:r/>
    </w:p>
    <w:p>
      <w:pPr>
        <w:pStyle w:val="1033"/>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10.采购人从谈判小组提出的成交候选人中根据质量和服务均能满足谈判文件实质性响应要求且最后报价最低的原则确定成交供应商。</w:t>
      </w:r>
      <w:r/>
    </w:p>
    <w:p>
      <w:pPr>
        <w:ind w:left="0" w:right="0" w:firstLine="0"/>
        <w:jc w:val="both"/>
        <w:keepLines w:val="0"/>
        <w:keepNext w:val="0"/>
        <w:pageBreakBefore w:val="0"/>
        <w:spacing w:before="210" w:after="160" w:line="360" w:lineRule="auto"/>
        <w:widowControl w:val="off"/>
        <w:rPr>
          <w:rFonts w:hint="eastAsia" w:asciiTheme="minorEastAsia" w:hAnsiTheme="minorEastAsia" w:eastAsiaTheme="minorEastAsia" w:cstheme="minorEastAsia"/>
          <w:b/>
          <w:bCs/>
          <w:color w:val="auto"/>
          <w:sz w:val="28"/>
          <w:szCs w:val="28"/>
          <w:highlight w:val="none"/>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highlight w:val="none"/>
          <w:lang w:val="zh-CN"/>
        </w:rPr>
        <w:br w:type="page" w:clear="all"/>
      </w:r>
      <w:bookmarkStart w:id="22" w:name="_Toc29028"/>
      <w:r/>
      <w:bookmarkStart w:id="23" w:name="_Toc4874"/>
      <w:r/>
      <w:bookmarkStart w:id="24" w:name="_Toc31764"/>
      <w:r/>
      <w:r/>
    </w:p>
    <w:p>
      <w:pPr>
        <w:ind w:left="0" w:right="0" w:firstLine="0"/>
        <w:jc w:val="center"/>
        <w:keepLines w:val="0"/>
        <w:keepNext w:val="0"/>
        <w:pageBreakBefore w:val="0"/>
        <w:spacing w:before="210" w:after="160" w:line="360" w:lineRule="auto"/>
        <w:widowControl w:val="off"/>
        <w:rPr>
          <w:rFonts w:hint="eastAsia" w:asciiTheme="minorEastAsia" w:hAnsiTheme="minorEastAsia" w:eastAsiaTheme="minorEastAsia" w:cstheme="minorEastAsia"/>
          <w:b/>
          <w:bCs/>
          <w:color w:val="auto"/>
          <w:sz w:val="28"/>
          <w:szCs w:val="28"/>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评审办法及成交标准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1．评标办法</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将根据“符合采购需求、质量和服务相等且最终报价最低”的成交原则，按各供应商最终谈判报价由低到高顺序推荐成交候选人。本次采购只要供应商通过资格性和符合性审查即视为符合采购需求、质量和服务相等。采购人根据质量和服务均能满足采购文件实质性响应要求且最后报价最低的原则确定成交供应商，最终谈判报价相同的，则采用抽签形式确定成交供应商。</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本项目落实政府采购政策需满足的资格要求：专门面向中小企业,供应商应为中小微企业、监狱企业、残疾人福利性单位。</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1.1参加报价的中小企业，应当按照《政府采购促进中小企业发展管理办法》（财库﹝2020﹞46 号）的规定提供《中小企业声明函》（中小企业划型标准详见《工业和信息化部、国家统计局、国家发展和改革委员会、财政部关于印发中小企业划型标准规定的通知》工信部联企业〔2011〕300号）。</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1.3参加报价的残疾人福利性单位，应根据《关于促进残疾人就业政府采购政策的通知》（财库〔2017〕141号）要求，提供《残疾人福利性单位声明函》，格式见附件。</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价格扣除（在最终报价基础上）：</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对小型和微型企业产品的价格给予5%的扣除。参加谈判的中小企业，应当按照《政府采购促进中小企业发展管理办法》（财库﹝2020﹞46 号）的规定提供《中小企业声明函》（中小企业划型标准详见《关于印发中小企业划型标准规定的通知》工信部联企业〔2011〕300号）。（专门面向中小企业采购的项目该条款不执行）</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2．详细评审</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谈判小组按照谈判文件规定的评审标准，对各响应文件进行进一步评审和比较。</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3.评标结果</w:t>
      </w:r>
      <w:r/>
    </w:p>
    <w:p>
      <w:pPr>
        <w:pStyle w:val="1033"/>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谈判小组按照本办法规定推荐成交候选人，并形成评标报告。</w:t>
      </w:r>
      <w:r/>
    </w:p>
    <w:p>
      <w:pPr>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r>
      <w:r/>
    </w:p>
    <w:p>
      <w:pP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r>
      <w:r/>
    </w:p>
    <w:p>
      <w:pPr>
        <w:pStyle w:val="892"/>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2"/>
      <w:r/>
      <w:bookmarkEnd w:id="23"/>
      <w:r/>
      <w:bookmarkEnd w:id="24"/>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1052"/>
        <w:jc w:val="center"/>
        <w:spacing w:line="4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jc w:val="center"/>
        <w:spacing w:line="40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892"/>
        <w:rPr>
          <w:rFonts w:hint="eastAsia" w:asciiTheme="minorEastAsia" w:hAnsiTheme="minorEastAsia" w:eastAsiaTheme="minorEastAsia" w:cstheme="minorEastAsia"/>
          <w:highlight w:val="none"/>
          <w:lang w:val="en-US" w:eastAsia="zh-CN"/>
        </w:rPr>
      </w:pPr>
      <w:r/>
      <w:bookmarkStart w:id="25" w:name="_Toc12888"/>
      <w:r/>
      <w:bookmarkStart w:id="26" w:name="_Toc2131"/>
      <w:r/>
      <w:bookmarkStart w:id="27" w:name="_Toc21810"/>
      <w:r>
        <w:rPr>
          <w:rFonts w:hint="eastAsia" w:asciiTheme="minorEastAsia" w:hAnsiTheme="minorEastAsia" w:eastAsiaTheme="minorEastAsia" w:cstheme="minorEastAsia"/>
          <w:highlight w:val="none"/>
          <w:lang w:val="en-US" w:eastAsia="zh-CN"/>
        </w:rPr>
        <w:t xml:space="preserve">第七章 合同签订</w:t>
      </w:r>
      <w:bookmarkEnd w:id="25"/>
      <w:r/>
      <w:bookmarkEnd w:id="26"/>
      <w:r/>
      <w:bookmarkEnd w:id="27"/>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52"/>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92"/>
        <w:rPr>
          <w:rFonts w:hint="eastAsia" w:asciiTheme="minorEastAsia" w:hAnsiTheme="minorEastAsia" w:eastAsiaTheme="minorEastAsia" w:cstheme="minorEastAsia"/>
          <w:highlight w:val="none"/>
          <w:lang w:val="en-US" w:eastAsia="zh-CN"/>
        </w:rPr>
      </w:pPr>
      <w:r/>
      <w:bookmarkStart w:id="28" w:name="_Toc12880"/>
      <w:r/>
      <w:bookmarkStart w:id="29" w:name="_Toc30954"/>
      <w:r/>
      <w:bookmarkStart w:id="30" w:name="_Toc15057"/>
      <w:r>
        <w:rPr>
          <w:rFonts w:hint="eastAsia" w:asciiTheme="minorEastAsia" w:hAnsiTheme="minorEastAsia" w:eastAsiaTheme="minorEastAsia" w:cstheme="minorEastAsia"/>
          <w:highlight w:val="none"/>
          <w:lang w:val="en-US" w:eastAsia="zh-CN"/>
        </w:rPr>
        <w:t xml:space="preserve">第八章 质疑投诉</w:t>
      </w:r>
      <w:bookmarkEnd w:id="28"/>
      <w:r/>
      <w:bookmarkEnd w:id="29"/>
      <w:r/>
      <w:bookmarkEnd w:id="30"/>
      <w:r/>
      <w:r/>
    </w:p>
    <w:p>
      <w:pPr>
        <w:pStyle w:val="105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活动的供应商或在</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活动中自身权益未受到损害的供应商所提出的质疑投诉不予受理。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的供应商认为</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文件提出质疑的，为收到</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文件之日或者</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文件公告期限届满之日；对采购过程提出质疑的，为各采购程序环节结束之日；对成交结果提出质疑的，为成交结果公告期限届满之日。</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供应商法定代表人或授权委托人（被授权人）（响应文件中所确定的）原件送达的方式，向采购人或者采购代理机构提交质疑函，质疑函应当包括下列内容：</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52"/>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52"/>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89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1" w:name="_Toc31758"/>
      <w:r/>
      <w:bookmarkStart w:id="32" w:name="_Toc29765"/>
      <w:r>
        <w:rPr>
          <w:rFonts w:hint="eastAsia" w:asciiTheme="minorEastAsia" w:hAnsiTheme="minorEastAsia" w:eastAsiaTheme="minorEastAsia" w:cstheme="minorEastAsia"/>
          <w:highlight w:val="none"/>
          <w:lang w:val="en-US" w:eastAsia="zh-CN"/>
        </w:rPr>
        <w:t xml:space="preserve">第九章 工程量清单</w:t>
      </w:r>
      <w:bookmarkEnd w:id="31"/>
      <w:r/>
      <w:bookmarkEnd w:id="32"/>
      <w:r/>
      <w:r/>
    </w:p>
    <w:p>
      <w:pPr>
        <w:ind w:firstLine="482"/>
        <w:spacing w:line="360" w:lineRule="auto"/>
        <w:tabs>
          <w:tab w:val="left" w:pos="1512" w:leader="none"/>
        </w:tabs>
        <w:rPr>
          <w:rFonts w:hint="eastAsia" w:ascii="宋体" w:hAnsi="宋体" w:cs="宋体"/>
          <w:b/>
          <w:sz w:val="24"/>
        </w:rPr>
      </w:pPr>
      <w:r>
        <w:rPr>
          <w:rFonts w:hint="eastAsia" w:ascii="宋体" w:hAnsi="宋体" w:cs="宋体"/>
          <w:b/>
          <w:sz w:val="24"/>
        </w:rPr>
        <w:t xml:space="preserve">一、工程概况</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1、</w:t>
      </w:r>
      <w:r>
        <w:rPr>
          <w:rFonts w:ascii="宋体" w:hAnsi="宋体"/>
          <w:sz w:val="24"/>
        </w:rPr>
        <w:t xml:space="preserve">工程主要内容</w:t>
      </w:r>
      <w:r>
        <w:rPr>
          <w:rFonts w:hint="eastAsia" w:ascii="宋体" w:hAnsi="宋体"/>
          <w:sz w:val="24"/>
        </w:rPr>
        <w:t xml:space="preserve">包括大伦三期北区</w:t>
      </w:r>
      <w:r>
        <w:rPr>
          <w:rFonts w:hint="eastAsia" w:ascii="宋体" w:hAnsi="宋体"/>
          <w:sz w:val="24"/>
          <w:lang w:val="en-US" w:eastAsia="zh-CN"/>
        </w:rPr>
        <w:t xml:space="preserve">大型土石方、道路、雨污水管网、雨污水井、</w:t>
      </w:r>
      <w:r>
        <w:rPr>
          <w:rFonts w:hint="eastAsia" w:ascii="宋体" w:hAnsi="宋体"/>
          <w:sz w:val="24"/>
        </w:rPr>
        <w:t xml:space="preserve">路灯</w:t>
      </w:r>
      <w:r>
        <w:rPr>
          <w:rFonts w:hint="eastAsia" w:ascii="宋体" w:hAnsi="宋体"/>
          <w:sz w:val="24"/>
          <w:lang w:eastAsia="zh-CN"/>
        </w:rPr>
        <w:t xml:space="preserve">、</w:t>
      </w:r>
      <w:r>
        <w:rPr>
          <w:rFonts w:hint="eastAsia" w:ascii="宋体" w:hAnsi="宋体"/>
          <w:sz w:val="24"/>
          <w:lang w:val="en-US" w:eastAsia="zh-CN"/>
        </w:rPr>
        <w:t xml:space="preserve">电缆、</w:t>
      </w:r>
      <w:r>
        <w:rPr>
          <w:rFonts w:hint="eastAsia" w:ascii="宋体" w:hAnsi="宋体"/>
          <w:sz w:val="24"/>
        </w:rPr>
        <w:t xml:space="preserve">管道</w:t>
      </w:r>
      <w:r>
        <w:rPr>
          <w:rFonts w:hint="eastAsia" w:ascii="宋体" w:hAnsi="宋体"/>
          <w:sz w:val="24"/>
          <w:lang w:val="en-US" w:eastAsia="zh-CN"/>
        </w:rPr>
        <w:t xml:space="preserve">、管道沟槽开挖、阀门井砌筑、回填等</w:t>
      </w:r>
      <w:r>
        <w:rPr>
          <w:rFonts w:hint="eastAsia" w:ascii="宋体" w:hAnsi="宋体" w:cs="宋体"/>
          <w:sz w:val="24"/>
        </w:rPr>
        <w:t xml:space="preserve">。</w:t>
      </w:r>
      <w:r/>
    </w:p>
    <w:p>
      <w:pPr>
        <w:ind w:firstLine="482"/>
        <w:spacing w:line="360" w:lineRule="auto"/>
        <w:tabs>
          <w:tab w:val="left" w:pos="1512" w:leader="none"/>
        </w:tabs>
        <w:rPr>
          <w:rFonts w:hint="eastAsia" w:ascii="宋体" w:hAnsi="宋体" w:cs="宋体"/>
          <w:b/>
          <w:sz w:val="24"/>
        </w:rPr>
      </w:pPr>
      <w:r>
        <w:rPr>
          <w:rFonts w:hint="eastAsia" w:ascii="宋体" w:hAnsi="宋体" w:cs="宋体"/>
          <w:b/>
          <w:sz w:val="24"/>
        </w:rPr>
        <w:t xml:space="preserve">二、编制依据</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1、</w:t>
      </w:r>
      <w:r>
        <w:rPr>
          <w:rFonts w:hint="eastAsia" w:ascii="宋体" w:hAnsi="宋体" w:cs="宋体"/>
          <w:color w:val="000000"/>
          <w:sz w:val="24"/>
          <w:lang w:val="en-US" w:eastAsia="zh-CN"/>
        </w:rPr>
        <w:t xml:space="preserve">业主提供的施工图纸</w:t>
      </w:r>
      <w:r>
        <w:rPr>
          <w:rFonts w:hint="eastAsia" w:ascii="宋体" w:hAnsi="宋体"/>
          <w:sz w:val="24"/>
          <w:lang w:val="en-US" w:eastAsia="zh-CN"/>
        </w:rPr>
        <w:t xml:space="preserve">及相关规范、图集、现场情况</w:t>
      </w:r>
      <w:r>
        <w:rPr>
          <w:rFonts w:hint="eastAsia" w:ascii="宋体" w:hAnsi="宋体" w:cs="宋体"/>
          <w:color w:val="000000"/>
          <w:sz w:val="24"/>
        </w:rPr>
        <w:t xml:space="preserve">。</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2、《建筑工程工程量清单计价规范》(GB50500-2013)。</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3、《江苏省建筑与装饰工程计价定额》 (2014年)；</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4、</w:t>
      </w:r>
      <w:r>
        <w:rPr>
          <w:rFonts w:hint="eastAsia"/>
          <w:sz w:val="24"/>
        </w:rPr>
        <w:t xml:space="preserve">《江苏省市政工程计价定额》（</w:t>
      </w:r>
      <w:r>
        <w:rPr>
          <w:rFonts w:hint="eastAsia" w:ascii="宋体" w:hAnsi="宋体" w:cs="宋体"/>
          <w:sz w:val="24"/>
        </w:rPr>
        <w:t xml:space="preserve">2014</w:t>
      </w:r>
      <w:r>
        <w:rPr>
          <w:rFonts w:hint="eastAsia"/>
          <w:sz w:val="24"/>
        </w:rPr>
        <w:t xml:space="preserve">）</w:t>
      </w:r>
      <w:r>
        <w:rPr>
          <w:rFonts w:hint="eastAsia" w:ascii="宋体" w:hAnsi="宋体" w:cs="宋体"/>
          <w:sz w:val="24"/>
        </w:rPr>
        <w:t xml:space="preserve">；</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5、</w:t>
      </w:r>
      <w:r>
        <w:rPr>
          <w:rFonts w:hint="eastAsia"/>
          <w:sz w:val="24"/>
        </w:rPr>
        <w:t xml:space="preserve">《江苏省安装工程计价定额》（</w:t>
      </w:r>
      <w:r>
        <w:rPr>
          <w:rFonts w:hint="eastAsia" w:ascii="宋体" w:hAnsi="宋体" w:cs="宋体"/>
          <w:sz w:val="24"/>
        </w:rPr>
        <w:t xml:space="preserve">2014</w:t>
      </w:r>
      <w:r>
        <w:rPr>
          <w:rFonts w:hint="eastAsia"/>
          <w:sz w:val="24"/>
        </w:rPr>
        <w:t xml:space="preserve">）</w:t>
      </w:r>
      <w:r>
        <w:rPr>
          <w:rFonts w:hint="eastAsia" w:ascii="宋体" w:hAnsi="宋体" w:cs="宋体"/>
          <w:sz w:val="24"/>
        </w:rPr>
        <w:t xml:space="preserve">；</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6、《江苏省建设工程费用定额》（2014年）营改增后调整内容；</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7、《省住房城乡建设厅关于调整建设工程计价增值税税率的通知》苏建函价[2019]178号；</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8、《省住房城乡建设厅关于建筑工人实名制费用计取方法的公告》[2019]第19号；</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9、《省住房城乡建设厅关于发布建设工程人工工资指导价的通知》苏建函价[202</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lang w:val="en-US" w:eastAsia="zh-CN"/>
        </w:rPr>
        <w:t xml:space="preserve">027</w:t>
      </w:r>
      <w:r>
        <w:rPr>
          <w:rFonts w:hint="eastAsia" w:ascii="宋体" w:hAnsi="宋体" w:cs="宋体"/>
          <w:sz w:val="24"/>
        </w:rPr>
        <w:t xml:space="preserve">号；</w:t>
      </w:r>
      <w:r/>
    </w:p>
    <w:p>
      <w:pPr>
        <w:ind w:firstLine="480"/>
        <w:spacing w:line="360" w:lineRule="auto"/>
        <w:tabs>
          <w:tab w:val="left" w:pos="1512" w:leader="none"/>
        </w:tabs>
        <w:rPr>
          <w:rFonts w:ascii="宋体" w:hAnsi="宋体" w:cs="宋体"/>
          <w:sz w:val="24"/>
        </w:rPr>
      </w:pPr>
      <w:r>
        <w:rPr>
          <w:rFonts w:hint="eastAsia" w:ascii="宋体" w:hAnsi="宋体" w:cs="宋体"/>
          <w:sz w:val="24"/>
        </w:rPr>
        <w:t xml:space="preserve">10、材料价格按照《泰州工程造价管理》202</w:t>
      </w:r>
      <w:r>
        <w:rPr>
          <w:rFonts w:hint="eastAsia" w:ascii="宋体" w:hAnsi="宋体" w:cs="宋体"/>
          <w:sz w:val="24"/>
          <w:lang w:val="en-US" w:eastAsia="zh-CN"/>
        </w:rPr>
        <w:t xml:space="preserve">6</w:t>
      </w:r>
      <w:r>
        <w:rPr>
          <w:rFonts w:hint="eastAsia" w:ascii="宋体" w:hAnsi="宋体" w:cs="宋体"/>
          <w:sz w:val="24"/>
        </w:rPr>
        <w:t xml:space="preserve">年第</w:t>
      </w:r>
      <w:r>
        <w:rPr>
          <w:rFonts w:hint="eastAsia" w:ascii="宋体" w:hAnsi="宋体" w:cs="宋体"/>
          <w:sz w:val="24"/>
          <w:lang w:val="en-US" w:eastAsia="zh-CN"/>
        </w:rPr>
        <w:t xml:space="preserve">04</w:t>
      </w:r>
      <w:r>
        <w:rPr>
          <w:rFonts w:hint="eastAsia" w:ascii="宋体" w:hAnsi="宋体" w:cs="宋体"/>
          <w:sz w:val="24"/>
        </w:rPr>
        <w:t xml:space="preserve">期建筑安装材料信息价，无信息价的</w:t>
      </w:r>
      <w:r>
        <w:rPr>
          <w:rFonts w:hint="eastAsia" w:ascii="宋体" w:hAnsi="宋体" w:cs="宋体"/>
          <w:sz w:val="24"/>
          <w:lang w:val="en-US" w:eastAsia="zh-CN"/>
        </w:rPr>
        <w:t xml:space="preserve">参照周边地区信息价及</w:t>
      </w:r>
      <w:r>
        <w:rPr>
          <w:rFonts w:hint="eastAsia" w:ascii="宋体" w:hAnsi="宋体" w:cs="宋体"/>
          <w:sz w:val="24"/>
        </w:rPr>
        <w:t xml:space="preserve">市场价格计入。</w:t>
      </w:r>
      <w:r/>
    </w:p>
    <w:p>
      <w:pPr>
        <w:ind w:firstLine="482"/>
        <w:spacing w:line="360" w:lineRule="auto"/>
        <w:tabs>
          <w:tab w:val="left" w:pos="1512" w:leader="none"/>
        </w:tabs>
        <w:rPr>
          <w:rFonts w:hint="eastAsia" w:ascii="宋体" w:hAnsi="宋体" w:eastAsia="宋体" w:cs="宋体"/>
          <w:b/>
          <w:sz w:val="24"/>
          <w:lang w:val="en-US" w:eastAsia="zh-CN"/>
        </w:rPr>
      </w:pPr>
      <w:r>
        <w:rPr>
          <w:rFonts w:hint="eastAsia" w:ascii="宋体" w:hAnsi="宋体" w:cs="宋体"/>
          <w:b/>
          <w:sz w:val="24"/>
        </w:rPr>
        <w:t xml:space="preserve">三、有关说明</w:t>
      </w:r>
      <w:r/>
    </w:p>
    <w:p>
      <w:pPr>
        <w:ind w:firstLine="480"/>
        <w:spacing w:line="360" w:lineRule="auto"/>
        <w:tabs>
          <w:tab w:val="left" w:pos="1512" w:leader="none"/>
        </w:tabs>
        <w:rPr>
          <w:rFonts w:hint="default" w:ascii="宋体" w:hAnsi="宋体" w:cs="宋体"/>
          <w:sz w:val="24"/>
          <w:highlight w:val="none"/>
          <w:lang w:val="en-US" w:eastAsia="zh-CN"/>
        </w:rPr>
      </w:pPr>
      <w:r>
        <w:rPr>
          <w:rFonts w:hint="eastAsia" w:ascii="宋体" w:hAnsi="宋体" w:cs="宋体"/>
          <w:sz w:val="24"/>
        </w:rPr>
        <w:t xml:space="preserve">1、</w:t>
      </w:r>
      <w:r>
        <w:rPr>
          <w:rFonts w:hint="eastAsia" w:ascii="宋体" w:hAnsi="宋体" w:cs="宋体"/>
          <w:sz w:val="24"/>
          <w:lang w:val="en-US" w:eastAsia="zh-CN"/>
        </w:rPr>
        <w:t xml:space="preserve">工程类别：市政工程大型土石方、三类道路工程、三类排水工程、</w:t>
      </w:r>
      <w:r>
        <w:rPr>
          <w:rFonts w:hint="eastAsia" w:ascii="宋体" w:hAnsi="宋体" w:cs="宋体"/>
          <w:sz w:val="24"/>
          <w:highlight w:val="none"/>
          <w:lang w:val="en-US" w:eastAsia="zh-CN"/>
        </w:rPr>
        <w:t xml:space="preserve">路灯及交通设施工程。</w:t>
      </w:r>
      <w:r/>
    </w:p>
    <w:p>
      <w:pPr>
        <w:ind w:firstLine="480"/>
        <w:spacing w:line="360" w:lineRule="auto"/>
        <w:tabs>
          <w:tab w:val="left" w:pos="1512" w:leader="none"/>
        </w:tabs>
        <w:rPr>
          <w:rFonts w:hint="eastAsia" w:ascii="宋体" w:hAnsi="宋体" w:cs="宋体"/>
          <w:sz w:val="24"/>
        </w:rPr>
      </w:pPr>
      <w:r>
        <w:rPr>
          <w:rFonts w:hint="eastAsia" w:ascii="宋体" w:hAnsi="宋体" w:cs="宋体"/>
          <w:sz w:val="24"/>
        </w:rPr>
        <w:t xml:space="preserve">2、有关取费的说明</w:t>
      </w:r>
      <w:r/>
    </w:p>
    <w:p>
      <w:pPr>
        <w:ind w:firstLine="480"/>
        <w:spacing w:line="360" w:lineRule="auto"/>
        <w:tabs>
          <w:tab w:val="left" w:pos="1512" w:leader="none"/>
        </w:tabs>
        <w:rPr>
          <w:rFonts w:hint="default" w:ascii="宋体" w:hAnsi="宋体" w:eastAsia="宋体" w:cs="宋体"/>
          <w:sz w:val="24"/>
          <w:lang w:val="en-US" w:eastAsia="zh-CN"/>
        </w:rPr>
      </w:pPr>
      <w:r>
        <w:rPr>
          <w:rFonts w:hint="eastAsia" w:ascii="宋体" w:hAnsi="宋体" w:cs="宋体"/>
          <w:sz w:val="24"/>
          <w:lang w:val="en-US" w:eastAsia="zh-CN"/>
        </w:rPr>
        <w:t xml:space="preserve">总价措施费：</w:t>
      </w:r>
      <w:r>
        <w:rPr>
          <w:rFonts w:hint="eastAsia" w:ascii="宋体" w:hAnsi="宋体" w:cs="宋体"/>
          <w:sz w:val="24"/>
        </w:rPr>
        <w:t xml:space="preserve">安全文明施工基本费</w:t>
      </w:r>
      <w:r>
        <w:rPr>
          <w:rFonts w:hint="eastAsia" w:ascii="宋体" w:hAnsi="宋体" w:cs="宋体"/>
          <w:sz w:val="24"/>
          <w:lang w:eastAsia="zh-CN"/>
        </w:rPr>
        <w:t xml:space="preserve">、</w:t>
      </w:r>
      <w:r>
        <w:rPr>
          <w:rFonts w:hint="eastAsia" w:ascii="宋体" w:hAnsi="宋体" w:cs="宋体"/>
          <w:sz w:val="24"/>
        </w:rPr>
        <w:t xml:space="preserve">扬尘污染防治增加费</w:t>
      </w:r>
      <w:r>
        <w:rPr>
          <w:rFonts w:hint="eastAsia" w:ascii="宋体" w:hAnsi="宋体" w:cs="宋体"/>
          <w:sz w:val="24"/>
          <w:lang w:eastAsia="zh-CN"/>
        </w:rPr>
        <w:t xml:space="preserve">、</w:t>
      </w:r>
      <w:r>
        <w:rPr>
          <w:rFonts w:hint="eastAsia" w:ascii="宋体" w:hAnsi="宋体" w:cs="宋体"/>
          <w:sz w:val="24"/>
          <w:lang w:val="en-US" w:eastAsia="zh-CN"/>
        </w:rPr>
        <w:t xml:space="preserve">实名制费用按标准计取，冬雨季施工费、临时设施费取中间值</w:t>
      </w:r>
      <w:r>
        <w:rPr>
          <w:rFonts w:hint="eastAsia" w:ascii="宋体" w:hAnsi="宋体" w:cs="宋体"/>
          <w:sz w:val="24"/>
        </w:rPr>
        <w:t xml:space="preserve">；</w:t>
      </w:r>
      <w:r>
        <w:rPr>
          <w:rFonts w:hint="eastAsia" w:ascii="宋体" w:hAnsi="宋体" w:cs="宋体"/>
          <w:sz w:val="24"/>
          <w:lang w:val="en-US" w:eastAsia="zh-CN"/>
        </w:rPr>
        <w:t xml:space="preserve">单价措施费，根据现场实际情况由业主确定，按实结算，以业主确认为准；</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rPr>
        <w:t xml:space="preserve">工程量</w:t>
      </w:r>
      <w:r>
        <w:rPr>
          <w:rFonts w:hint="eastAsia" w:ascii="宋体" w:hAnsi="宋体"/>
          <w:sz w:val="24"/>
          <w:lang w:val="en-US" w:eastAsia="zh-CN"/>
        </w:rPr>
        <w:t xml:space="preserve">按图纸显示</w:t>
      </w:r>
      <w:r>
        <w:rPr>
          <w:rFonts w:hint="eastAsia" w:ascii="宋体" w:hAnsi="宋体"/>
          <w:sz w:val="24"/>
        </w:rPr>
        <w:t xml:space="preserve">计算，施工时根据现场确定具体路径、位置后按实计算；</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lang w:val="en-US" w:eastAsia="zh-CN"/>
        </w:rPr>
        <w:t xml:space="preserve">土方大开挖按需考虑现场堆场或就近堆场，土方开挖原始标高根据现场实际情况按绝对标高5.45考虑。</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lang w:val="en-US" w:eastAsia="zh-CN"/>
        </w:rPr>
        <w:t xml:space="preserve">道路挖土：临户一边不考虑各垫层的外扩，非临户一边按图纸设计正常考虑开挖与回填。</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lang w:val="en-US" w:eastAsia="zh-CN"/>
        </w:rPr>
        <w:t xml:space="preserve">室内通室外污水管道暂按PVC110*3.2，胶圈接口编制。</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lang w:val="en-US" w:eastAsia="zh-CN"/>
        </w:rPr>
        <w:t xml:space="preserve">小菜园各垫层按底宽度考虑挖土宽度，不考虑工作面及垫层侧面模板。</w:t>
      </w:r>
      <w:r/>
    </w:p>
    <w:p>
      <w:pPr>
        <w:numPr>
          <w:ilvl w:val="0"/>
          <w:numId w:val="6"/>
        </w:numPr>
        <w:ind w:firstLine="480"/>
        <w:spacing w:line="360" w:lineRule="auto"/>
        <w:tabs>
          <w:tab w:val="left" w:pos="1512" w:leader="none"/>
        </w:tabs>
        <w:rPr>
          <w:rFonts w:hint="eastAsia" w:ascii="宋体" w:hAnsi="宋体"/>
          <w:sz w:val="24"/>
        </w:rPr>
      </w:pPr>
      <w:r>
        <w:rPr>
          <w:rFonts w:hint="eastAsia" w:ascii="宋体" w:hAnsi="宋体"/>
          <w:sz w:val="24"/>
          <w:lang w:val="en-US" w:eastAsia="zh-CN"/>
        </w:rPr>
        <w:t xml:space="preserve">手工井（路灯检查井），按工井JXG-56定型井计算，落地配电箱考虑一座手工井；主电源暂按260米电缆保护管计算，电缆暂按270米计算，结算时按实调整；</w:t>
      </w:r>
      <w:r/>
    </w:p>
    <w:p>
      <w:pPr>
        <w:numPr>
          <w:ilvl w:val="0"/>
          <w:numId w:val="6"/>
        </w:numPr>
        <w:ind w:firstLine="480"/>
        <w:spacing w:line="360" w:lineRule="auto"/>
        <w:tabs>
          <w:tab w:val="left" w:pos="1512" w:leader="none"/>
        </w:tabs>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土方按人工配合机械挖土计算，人机比1:9；</w:t>
      </w:r>
      <w:r/>
    </w:p>
    <w:p>
      <w:pPr>
        <w:numPr>
          <w:ilvl w:val="0"/>
          <w:numId w:val="6"/>
        </w:numPr>
        <w:ind w:firstLine="480"/>
        <w:spacing w:line="360" w:lineRule="auto"/>
        <w:tabs>
          <w:tab w:val="left" w:pos="1512" w:leader="none"/>
        </w:tabs>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材料设备质量不低于国标要求；</w:t>
      </w:r>
      <w:r/>
    </w:p>
    <w:p>
      <w:pPr>
        <w:numPr>
          <w:ilvl w:val="0"/>
          <w:numId w:val="6"/>
        </w:numPr>
        <w:ind w:firstLine="480"/>
        <w:spacing w:line="360" w:lineRule="auto"/>
        <w:tabs>
          <w:tab w:val="left" w:pos="1512" w:leader="none"/>
        </w:tabs>
        <w:rPr>
          <w:rFonts w:hint="eastAsia" w:ascii="宋体" w:hAnsi="宋体"/>
          <w:sz w:val="24"/>
          <w:lang w:eastAsia="zh-CN"/>
        </w:rPr>
      </w:pPr>
      <w:r>
        <w:rPr>
          <w:rFonts w:hint="eastAsia" w:ascii="宋体" w:hAnsi="宋体" w:eastAsia="宋体" w:cs="Times New Roman"/>
          <w:sz w:val="24"/>
          <w:lang w:val="en-US" w:eastAsia="zh-CN"/>
        </w:rPr>
        <w:t xml:space="preserve">清单项目特征描述不全者详见</w:t>
      </w:r>
      <w:r>
        <w:rPr>
          <w:rFonts w:hint="eastAsia" w:ascii="宋体" w:hAnsi="宋体"/>
          <w:sz w:val="24"/>
          <w:lang w:val="en-US" w:eastAsia="zh-CN"/>
        </w:rPr>
        <w:t xml:space="preserve">图纸</w:t>
      </w:r>
      <w:r>
        <w:rPr>
          <w:rFonts w:hint="eastAsia" w:ascii="宋体" w:hAnsi="宋体"/>
          <w:sz w:val="24"/>
          <w:lang w:eastAsia="zh-CN"/>
        </w:rPr>
        <w:t xml:space="preserve">、</w:t>
      </w:r>
      <w:r>
        <w:rPr>
          <w:rFonts w:hint="eastAsia" w:ascii="宋体" w:hAnsi="宋体"/>
          <w:sz w:val="24"/>
          <w:lang w:val="en-US" w:eastAsia="zh-CN"/>
        </w:rPr>
        <w:t xml:space="preserve">图集及</w:t>
      </w:r>
      <w:r>
        <w:rPr>
          <w:rFonts w:hint="eastAsia" w:ascii="宋体" w:hAnsi="宋体"/>
          <w:sz w:val="24"/>
        </w:rPr>
        <w:t xml:space="preserve">相关规范</w:t>
      </w:r>
      <w:r>
        <w:rPr>
          <w:rFonts w:hint="eastAsia" w:ascii="宋体" w:hAnsi="宋体"/>
          <w:sz w:val="24"/>
          <w:lang w:eastAsia="zh-CN"/>
        </w:rPr>
        <w:t xml:space="preserve">；</w:t>
      </w:r>
      <w:r/>
    </w:p>
    <w:p>
      <w:pPr>
        <w:ind w:firstLine="480"/>
        <w:spacing w:line="360" w:lineRule="auto"/>
        <w:tabs>
          <w:tab w:val="left" w:pos="1512" w:leader="none"/>
        </w:tabs>
        <w:rPr>
          <w:rFonts w:hint="eastAsia" w:ascii="宋体" w:hAnsi="宋体" w:eastAsia="宋体"/>
          <w:sz w:val="24"/>
          <w:lang w:eastAsia="zh-CN"/>
        </w:rPr>
      </w:pPr>
      <w:r>
        <w:rPr>
          <w:rFonts w:hint="eastAsia" w:ascii="宋体" w:hAnsi="宋体"/>
          <w:sz w:val="24"/>
          <w:lang w:val="en-US" w:eastAsia="zh-CN"/>
        </w:rPr>
        <w:t xml:space="preserve">12</w:t>
      </w:r>
      <w:r>
        <w:rPr>
          <w:rFonts w:hint="eastAsia" w:ascii="宋体" w:hAnsi="宋体"/>
          <w:sz w:val="24"/>
        </w:rPr>
        <w:t xml:space="preserve">、其他说明</w:t>
      </w:r>
      <w:r>
        <w:rPr>
          <w:rFonts w:hint="eastAsia" w:ascii="宋体" w:hAnsi="宋体"/>
          <w:sz w:val="24"/>
          <w:lang w:eastAsia="zh-CN"/>
        </w:rPr>
        <w:t xml:space="preserve">：</w:t>
      </w:r>
      <w:r/>
    </w:p>
    <w:p>
      <w:pPr>
        <w:ind w:firstLine="720"/>
        <w:spacing w:line="360" w:lineRule="auto"/>
        <w:tabs>
          <w:tab w:val="left" w:pos="1512" w:leader="none"/>
        </w:tabs>
        <w:rPr>
          <w:rFonts w:ascii="宋体" w:hAnsi="宋体" w:cs="宋体"/>
          <w:sz w:val="24"/>
        </w:rPr>
      </w:pPr>
      <w:r>
        <w:rPr>
          <w:rFonts w:hint="eastAsia" w:ascii="宋体" w:hAnsi="宋体" w:cs="宋体"/>
          <w:sz w:val="24"/>
          <w:lang w:val="en-US" w:eastAsia="zh-CN"/>
        </w:rPr>
        <w:t xml:space="preserve">施工单位应</w:t>
      </w:r>
      <w:r>
        <w:rPr>
          <w:rFonts w:hint="eastAsia" w:ascii="宋体" w:hAnsi="宋体" w:cs="宋体"/>
          <w:sz w:val="24"/>
        </w:rPr>
        <w:t xml:space="preserve">充分考虑本工程的复杂性、所涉及的各项措施费及风险因素</w:t>
      </w:r>
      <w:r>
        <w:rPr>
          <w:rFonts w:hint="eastAsia" w:ascii="宋体" w:hAnsi="宋体" w:cs="宋体"/>
          <w:sz w:val="24"/>
          <w:lang w:eastAsia="zh-CN"/>
        </w:rPr>
        <w:t xml:space="preserve">，</w:t>
      </w:r>
      <w:r>
        <w:rPr>
          <w:rFonts w:hint="eastAsia" w:ascii="宋体" w:hAnsi="宋体" w:cs="宋体"/>
          <w:sz w:val="24"/>
        </w:rPr>
        <w:t xml:space="preserve">各项措施费及风险因素</w:t>
      </w:r>
      <w:r>
        <w:rPr>
          <w:rFonts w:hint="eastAsia" w:ascii="宋体" w:hAnsi="宋体" w:cs="宋体"/>
          <w:sz w:val="24"/>
          <w:lang w:val="en-US" w:eastAsia="zh-CN"/>
        </w:rPr>
        <w:t xml:space="preserve">不再增加费用</w:t>
      </w:r>
      <w:r>
        <w:rPr>
          <w:rFonts w:hint="eastAsia" w:ascii="宋体" w:hAnsi="宋体" w:cs="宋体"/>
          <w:sz w:val="24"/>
        </w:rPr>
        <w:t xml:space="preserve">。</w:t>
      </w:r>
      <w:r/>
    </w:p>
    <w:p>
      <w:pPr>
        <w:ind w:firstLine="482"/>
        <w:spacing w:line="360" w:lineRule="auto"/>
        <w:tabs>
          <w:tab w:val="left" w:pos="1512" w:leader="none"/>
        </w:tabs>
        <w:rPr>
          <w:rFonts w:hint="eastAsia" w:ascii="宋体" w:hAnsi="宋体" w:cs="宋体"/>
          <w:b/>
          <w:sz w:val="24"/>
        </w:rPr>
      </w:pPr>
      <w:r>
        <w:rPr>
          <w:rFonts w:hint="eastAsia" w:ascii="宋体" w:hAnsi="宋体" w:cs="宋体"/>
          <w:b/>
          <w:sz w:val="24"/>
        </w:rPr>
        <w:t xml:space="preserve">四、暂列金额</w:t>
      </w:r>
      <w:r/>
    </w:p>
    <w:p>
      <w:pPr>
        <w:ind w:firstLine="480"/>
        <w:spacing w:line="360" w:lineRule="auto"/>
        <w:tabs>
          <w:tab w:val="left" w:pos="1512" w:leader="none"/>
        </w:tabs>
        <w:rPr>
          <w:rFonts w:hint="default" w:eastAsia="宋体"/>
          <w:sz w:val="24"/>
          <w:lang w:val="en-US" w:eastAsia="zh-CN"/>
        </w:rPr>
      </w:pPr>
      <w:r>
        <w:rPr>
          <w:rFonts w:hint="eastAsia"/>
          <w:sz w:val="24"/>
        </w:rPr>
        <w:t xml:space="preserve">暂列金额</w:t>
      </w:r>
      <w:r>
        <w:rPr>
          <w:rFonts w:hint="eastAsia"/>
          <w:sz w:val="24"/>
          <w:lang w:val="en-US" w:eastAsia="zh-CN"/>
        </w:rPr>
        <w:t xml:space="preserve">按57000元在道路工程内计取，由业主统筹安排各单位工程使用。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pStyle w:val="911"/>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3"/>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892"/>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33" w:name="_Toc27670"/>
      <w:r/>
      <w:bookmarkStart w:id="34" w:name="_Toc4828"/>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33"/>
      <w:r/>
      <w:bookmarkEnd w:id="34"/>
      <w:r/>
      <w:r/>
    </w:p>
    <w:p>
      <w:pPr>
        <w:pStyle w:val="1045"/>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45"/>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45"/>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45"/>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894"/>
        <w:ind w:left="0" w:firstLine="0"/>
        <w:jc w:val="center"/>
        <w:rPr>
          <w:rFonts w:hint="eastAsia" w:asciiTheme="minorEastAsia" w:hAnsiTheme="minorEastAsia" w:eastAsiaTheme="minorEastAsia" w:cstheme="minorEastAsia"/>
          <w:b w:val="0"/>
          <w:sz w:val="28"/>
          <w:szCs w:val="28"/>
          <w:highlight w:val="none"/>
        </w:rPr>
      </w:pPr>
      <w:r/>
      <w:bookmarkStart w:id="35" w:name="_Toc13260"/>
      <w:r/>
      <w:bookmarkStart w:id="36" w:name="_Toc498006744"/>
      <w:r>
        <w:rPr>
          <w:rFonts w:hint="eastAsia" w:asciiTheme="minorEastAsia" w:hAnsiTheme="minorEastAsia" w:eastAsiaTheme="minorEastAsia" w:cstheme="minorEastAsia"/>
          <w:sz w:val="28"/>
          <w:szCs w:val="28"/>
          <w:highlight w:val="none"/>
        </w:rPr>
        <w:t xml:space="preserve">第一部分 合同协议书</w:t>
      </w:r>
      <w:bookmarkEnd w:id="35"/>
      <w:r/>
      <w:bookmarkEnd w:id="3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泰州市姜堰区大伦镇人民政府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7" w:name="_Toc351203481"/>
      <w:r>
        <w:rPr>
          <w:rFonts w:hint="eastAsia" w:asciiTheme="minorEastAsia" w:hAnsiTheme="minorEastAsia" w:eastAsiaTheme="minorEastAsia" w:cstheme="minorEastAsia"/>
          <w:bCs w:val="0"/>
          <w:szCs w:val="32"/>
          <w:highlight w:val="none"/>
        </w:rPr>
        <w:t xml:space="preserve">一、工程概况</w:t>
      </w:r>
      <w:bookmarkEnd w:id="3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8" w:name="_Toc351203482"/>
      <w:r>
        <w:rPr>
          <w:rFonts w:hint="eastAsia" w:asciiTheme="minorEastAsia" w:hAnsiTheme="minorEastAsia" w:eastAsiaTheme="minorEastAsia" w:cstheme="minorEastAsia"/>
          <w:bCs w:val="0"/>
          <w:szCs w:val="32"/>
          <w:highlight w:val="none"/>
        </w:rPr>
        <w:t xml:space="preserve">二、合同工期</w:t>
      </w:r>
      <w:bookmarkEnd w:id="3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39" w:name="_Toc351203483"/>
      <w:r>
        <w:rPr>
          <w:rFonts w:hint="eastAsia" w:asciiTheme="minorEastAsia" w:hAnsiTheme="minorEastAsia" w:eastAsiaTheme="minorEastAsia" w:cstheme="minorEastAsia"/>
          <w:bCs w:val="0"/>
          <w:szCs w:val="32"/>
          <w:highlight w:val="none"/>
        </w:rPr>
        <w:t xml:space="preserve">三、质量标准</w:t>
      </w:r>
      <w:bookmarkEnd w:id="3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4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1" w:name="_Toc351203485"/>
      <w:r>
        <w:rPr>
          <w:rFonts w:hint="eastAsia" w:asciiTheme="minorEastAsia" w:hAnsiTheme="minorEastAsia" w:eastAsiaTheme="minorEastAsia" w:cstheme="minorEastAsia"/>
          <w:bCs w:val="0"/>
          <w:szCs w:val="32"/>
          <w:highlight w:val="none"/>
        </w:rPr>
        <w:t xml:space="preserve">五、</w:t>
      </w:r>
      <w:bookmarkEnd w:id="4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2" w:name="_Toc351203486"/>
      <w:r>
        <w:rPr>
          <w:rFonts w:hint="eastAsia" w:asciiTheme="minorEastAsia" w:hAnsiTheme="minorEastAsia" w:eastAsiaTheme="minorEastAsia" w:cstheme="minorEastAsia"/>
          <w:bCs w:val="0"/>
          <w:szCs w:val="32"/>
          <w:highlight w:val="none"/>
        </w:rPr>
        <w:t xml:space="preserve">六、合同文件构成</w:t>
      </w:r>
      <w:bookmarkEnd w:id="4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3" w:name="_Toc351203487"/>
      <w:r>
        <w:rPr>
          <w:rFonts w:hint="eastAsia" w:asciiTheme="minorEastAsia" w:hAnsiTheme="minorEastAsia" w:eastAsiaTheme="minorEastAsia" w:cstheme="minorEastAsia"/>
          <w:bCs w:val="0"/>
          <w:szCs w:val="32"/>
          <w:highlight w:val="none"/>
        </w:rPr>
        <w:t xml:space="preserve">七、承诺</w:t>
      </w:r>
      <w:bookmarkEnd w:id="4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895"/>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44" w:name="_Toc351203488"/>
      <w:r>
        <w:rPr>
          <w:rFonts w:hint="eastAsia" w:asciiTheme="minorEastAsia" w:hAnsiTheme="minorEastAsia" w:eastAsiaTheme="minorEastAsia" w:cstheme="minorEastAsia"/>
          <w:szCs w:val="32"/>
          <w:highlight w:val="none"/>
        </w:rPr>
        <w:t xml:space="preserve">八、词语含义</w:t>
      </w:r>
      <w:bookmarkEnd w:id="4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895"/>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45" w:name="_Toc351203489"/>
      <w:r>
        <w:rPr>
          <w:rFonts w:hint="eastAsia" w:asciiTheme="minorEastAsia" w:hAnsiTheme="minorEastAsia" w:eastAsiaTheme="minorEastAsia" w:cstheme="minorEastAsia"/>
          <w:szCs w:val="32"/>
          <w:highlight w:val="none"/>
        </w:rPr>
        <w:t xml:space="preserve">九、签订时间</w:t>
      </w:r>
      <w:bookmarkEnd w:id="4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6" w:name="_Toc351203490"/>
      <w:r>
        <w:rPr>
          <w:rFonts w:hint="eastAsia" w:asciiTheme="minorEastAsia" w:hAnsiTheme="minorEastAsia" w:eastAsiaTheme="minorEastAsia" w:cstheme="minorEastAsia"/>
          <w:bCs w:val="0"/>
          <w:szCs w:val="32"/>
          <w:highlight w:val="none"/>
        </w:rPr>
        <w:t xml:space="preserve">十、签订地点</w:t>
      </w:r>
      <w:bookmarkEnd w:id="4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91"/>
      <w:r>
        <w:rPr>
          <w:rFonts w:hint="eastAsia" w:asciiTheme="minorEastAsia" w:hAnsiTheme="minorEastAsia" w:eastAsiaTheme="minorEastAsia" w:cstheme="minorEastAsia"/>
          <w:bCs w:val="0"/>
          <w:szCs w:val="32"/>
          <w:highlight w:val="none"/>
        </w:rPr>
        <w:t xml:space="preserve">十一、补充协议</w:t>
      </w:r>
      <w:bookmarkEnd w:id="4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92"/>
      <w:r>
        <w:rPr>
          <w:rFonts w:hint="eastAsia" w:asciiTheme="minorEastAsia" w:hAnsiTheme="minorEastAsia" w:eastAsiaTheme="minorEastAsia" w:cstheme="minorEastAsia"/>
          <w:bCs w:val="0"/>
          <w:szCs w:val="32"/>
          <w:highlight w:val="none"/>
        </w:rPr>
        <w:t xml:space="preserve">十二、合同生效</w:t>
      </w:r>
      <w:bookmarkEnd w:id="4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895"/>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93"/>
      <w:r>
        <w:rPr>
          <w:rFonts w:hint="eastAsia" w:asciiTheme="minorEastAsia" w:hAnsiTheme="minorEastAsia" w:eastAsiaTheme="minorEastAsia" w:cstheme="minorEastAsia"/>
          <w:bCs w:val="0"/>
          <w:szCs w:val="32"/>
          <w:highlight w:val="none"/>
        </w:rPr>
        <w:t xml:space="preserve">十三、合同份数</w:t>
      </w:r>
      <w:bookmarkEnd w:id="4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940"/>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法定代表人或其委托代理人：      （签字）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法定代表人或其委托代理人：      （签字）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4"/>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50" w:name="_Toc498006745"/>
      <w:r/>
      <w:bookmarkStart w:id="51" w:name="_Toc7799"/>
      <w:r/>
      <w:r/>
    </w:p>
    <w:p>
      <w:pPr>
        <w:pStyle w:val="894"/>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50"/>
      <w:r/>
      <w:bookmarkEnd w:id="5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894"/>
        <w:ind w:left="0" w:firstLine="0"/>
        <w:jc w:val="both"/>
        <w:spacing w:line="320" w:lineRule="exact"/>
        <w:rPr>
          <w:rFonts w:hint="eastAsia" w:asciiTheme="minorEastAsia" w:hAnsiTheme="minorEastAsia" w:eastAsiaTheme="minorEastAsia" w:cstheme="minorEastAsia"/>
          <w:highlight w:val="none"/>
        </w:rPr>
      </w:pPr>
      <w:r/>
      <w:bookmarkStart w:id="52" w:name="_Toc498006746"/>
      <w:r/>
      <w:bookmarkStart w:id="53" w:name="_Toc24191"/>
      <w:r/>
      <w:r/>
    </w:p>
    <w:p>
      <w:pPr>
        <w:pStyle w:val="894"/>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bookmarkEnd w:id="52"/>
      <w:r/>
      <w:bookmarkEnd w:id="5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 w:name="_Toc35120363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55" w:name="_Toc296503156"/>
      <w:r/>
      <w:bookmarkStart w:id="56" w:name="_Toc296890984"/>
      <w:r/>
      <w:bookmarkStart w:id="57" w:name="_Toc296346657"/>
      <w:r/>
      <w:bookmarkStart w:id="58" w:name="_Toc292559866"/>
      <w:r/>
      <w:bookmarkStart w:id="59" w:name="_Toc292559361"/>
      <w:r/>
      <w:bookmarkStart w:id="60" w:name="_Toc296891196"/>
      <w:r/>
      <w:bookmarkStart w:id="61" w:name="_Toc297048342"/>
      <w:r/>
      <w:bookmarkStart w:id="62" w:name="_Toc297120456"/>
      <w:r/>
      <w:bookmarkStart w:id="63" w:name="_Toc296347155"/>
      <w:r/>
      <w:bookmarkStart w:id="64" w:name="_Toc296944495"/>
      <w:r>
        <w:rPr>
          <w:rFonts w:hint="eastAsia" w:asciiTheme="minorEastAsia" w:hAnsiTheme="minorEastAsia" w:eastAsiaTheme="minorEastAsia" w:cstheme="minorEastAsia"/>
          <w:bCs w:val="0"/>
          <w:szCs w:val="32"/>
          <w:highlight w:val="none"/>
        </w:rPr>
        <w:t xml:space="preserve">. 一般约定</w:t>
      </w:r>
      <w:bookmarkEnd w:id="54"/>
      <w:r/>
      <w:bookmarkEnd w:id="55"/>
      <w:r/>
      <w:bookmarkEnd w:id="56"/>
      <w:r/>
      <w:bookmarkEnd w:id="57"/>
      <w:r/>
      <w:bookmarkEnd w:id="58"/>
      <w:r/>
      <w:bookmarkEnd w:id="59"/>
      <w:r/>
      <w:bookmarkEnd w:id="60"/>
      <w:r/>
      <w:bookmarkEnd w:id="61"/>
      <w:r/>
      <w:bookmarkEnd w:id="62"/>
      <w:r/>
      <w:bookmarkEnd w:id="63"/>
      <w:r/>
      <w:bookmarkEnd w:id="6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1.1.1.10其他合同文件包括：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lang w:val="en-US" w:eastAsia="zh-CN"/>
        </w:rPr>
        <w:t xml:space="preserve">按现行有关规定文件执行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65" w:name="_Toc303539100"/>
      <w:r/>
      <w:bookmarkStart w:id="66" w:name="_Toc304295521"/>
      <w:r/>
      <w:bookmarkStart w:id="67" w:name="_Toc318581155"/>
      <w:r/>
      <w:bookmarkStart w:id="68" w:name="_Toc300934943"/>
      <w:r/>
      <w:bookmarkStart w:id="69" w:name="_Toc312677986"/>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65"/>
      <w:r/>
      <w:bookmarkEnd w:id="66"/>
      <w:r/>
      <w:bookmarkEnd w:id="67"/>
      <w:r/>
      <w:bookmarkEnd w:id="68"/>
      <w:r/>
      <w:bookmarkEnd w:id="6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0" w:name="_Toc303539101"/>
      <w:r/>
      <w:bookmarkStart w:id="71" w:name="_Toc312677987"/>
      <w:r/>
      <w:bookmarkStart w:id="72" w:name="_Toc300934944"/>
      <w:r/>
      <w:bookmarkStart w:id="73" w:name="_Toc304295522"/>
      <w:r/>
      <w:bookmarkStart w:id="74" w:name="_Toc318581156"/>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70"/>
      <w:r/>
      <w:bookmarkEnd w:id="71"/>
      <w:r/>
      <w:bookmarkEnd w:id="72"/>
      <w:r/>
      <w:bookmarkEnd w:id="73"/>
      <w:r/>
      <w:bookmarkEnd w:id="74"/>
      <w:r>
        <w:rPr>
          <w:rFonts w:hint="eastAsia" w:asciiTheme="minorEastAsia" w:hAnsiTheme="minorEastAsia" w:eastAsiaTheme="minorEastAsia" w:cstheme="minorEastAsia"/>
          <w:szCs w:val="32"/>
          <w:highlight w:val="none"/>
        </w:rPr>
        <w:t xml:space="preserve">  </w:t>
      </w:r>
      <w:bookmarkStart w:id="7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76" w:name="_Toc351203634"/>
      <w:r>
        <w:rPr>
          <w:rFonts w:hint="eastAsia" w:asciiTheme="minorEastAsia" w:hAnsiTheme="minorEastAsia" w:eastAsiaTheme="minorEastAsia" w:cstheme="minorEastAsia"/>
          <w:bCs w:val="0"/>
          <w:szCs w:val="32"/>
          <w:highlight w:val="none"/>
        </w:rPr>
        <w:t xml:space="preserve">2</w:t>
      </w:r>
      <w:bookmarkStart w:id="77" w:name="_Toc296891197"/>
      <w:r/>
      <w:bookmarkStart w:id="78" w:name="_Toc296503157"/>
      <w:r/>
      <w:bookmarkStart w:id="79" w:name="_Toc297048343"/>
      <w:r/>
      <w:bookmarkStart w:id="80" w:name="_Toc296347156"/>
      <w:r/>
      <w:bookmarkStart w:id="81" w:name="_Toc296346658"/>
      <w:r/>
      <w:bookmarkStart w:id="82" w:name="_Toc296890985"/>
      <w:r/>
      <w:bookmarkStart w:id="83" w:name="_Toc297120457"/>
      <w:r/>
      <w:bookmarkStart w:id="84" w:name="_Toc296944496"/>
      <w:r/>
      <w:bookmarkStart w:id="85" w:name="_Toc292559867"/>
      <w:r/>
      <w:bookmarkStart w:id="86" w:name="_Toc292559362"/>
      <w:r>
        <w:rPr>
          <w:rFonts w:hint="eastAsia" w:asciiTheme="minorEastAsia" w:hAnsiTheme="minorEastAsia" w:eastAsiaTheme="minorEastAsia" w:cstheme="minorEastAsia"/>
          <w:bCs w:val="0"/>
          <w:szCs w:val="32"/>
          <w:highlight w:val="none"/>
        </w:rPr>
        <w:t xml:space="preserve">. 发包人</w:t>
      </w:r>
      <w:bookmarkEnd w:id="76"/>
      <w:r/>
      <w:bookmarkEnd w:id="77"/>
      <w:r/>
      <w:bookmarkEnd w:id="78"/>
      <w:r/>
      <w:bookmarkEnd w:id="79"/>
      <w:r/>
      <w:bookmarkEnd w:id="80"/>
      <w:r/>
      <w:bookmarkEnd w:id="81"/>
      <w:r/>
      <w:bookmarkEnd w:id="82"/>
      <w:r/>
      <w:bookmarkEnd w:id="83"/>
      <w:r/>
      <w:bookmarkEnd w:id="84"/>
      <w:r/>
      <w:bookmarkEnd w:id="85"/>
      <w:r/>
      <w:bookmarkEnd w:id="8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7" w:name="_Toc351203635"/>
      <w:r>
        <w:rPr>
          <w:rFonts w:hint="eastAsia" w:asciiTheme="minorEastAsia" w:hAnsiTheme="minorEastAsia" w:eastAsiaTheme="minorEastAsia" w:cstheme="minorEastAsia"/>
          <w:bCs w:val="0"/>
          <w:szCs w:val="32"/>
          <w:highlight w:val="none"/>
        </w:rPr>
        <w:t xml:space="preserve">3</w:t>
      </w:r>
      <w:bookmarkStart w:id="88" w:name="_Toc296347157"/>
      <w:r/>
      <w:bookmarkStart w:id="89" w:name="_Toc297048344"/>
      <w:r/>
      <w:bookmarkStart w:id="90" w:name="_Toc292559868"/>
      <w:r/>
      <w:bookmarkStart w:id="91" w:name="_Toc296346659"/>
      <w:r/>
      <w:bookmarkStart w:id="92" w:name="_Toc296891198"/>
      <w:r/>
      <w:bookmarkStart w:id="93" w:name="_Toc296503158"/>
      <w:r/>
      <w:bookmarkStart w:id="94" w:name="_Toc292559363"/>
      <w:r/>
      <w:bookmarkStart w:id="95" w:name="_Toc296944497"/>
      <w:r/>
      <w:bookmarkStart w:id="96" w:name="_Toc296890986"/>
      <w:r/>
      <w:bookmarkStart w:id="97" w:name="_Toc297120458"/>
      <w:r>
        <w:rPr>
          <w:rFonts w:hint="eastAsia" w:asciiTheme="minorEastAsia" w:hAnsiTheme="minorEastAsia" w:eastAsiaTheme="minorEastAsia" w:cstheme="minorEastAsia"/>
          <w:bCs w:val="0"/>
          <w:szCs w:val="32"/>
          <w:highlight w:val="none"/>
        </w:rPr>
        <w:t xml:space="preserve">. 承包人</w:t>
      </w:r>
      <w:bookmarkEnd w:id="87"/>
      <w:r/>
      <w:bookmarkEnd w:id="88"/>
      <w:r/>
      <w:bookmarkEnd w:id="89"/>
      <w:r/>
      <w:bookmarkEnd w:id="90"/>
      <w:r/>
      <w:bookmarkEnd w:id="91"/>
      <w:r/>
      <w:bookmarkEnd w:id="92"/>
      <w:r/>
      <w:bookmarkEnd w:id="93"/>
      <w:r/>
      <w:bookmarkEnd w:id="94"/>
      <w:r/>
      <w:bookmarkEnd w:id="95"/>
      <w:r/>
      <w:bookmarkEnd w:id="96"/>
      <w:r/>
      <w:bookmarkEnd w:id="9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98" w:name="_Toc296346660"/>
      <w:r/>
      <w:bookmarkStart w:id="99" w:name="_Toc297048345"/>
      <w:r/>
      <w:bookmarkStart w:id="100" w:name="_Toc296891199"/>
      <w:r/>
      <w:bookmarkStart w:id="101" w:name="_Toc296503159"/>
      <w:r/>
      <w:bookmarkStart w:id="102" w:name="_Toc292559364"/>
      <w:r/>
      <w:bookmarkStart w:id="103" w:name="_Toc312677988"/>
      <w:r/>
      <w:bookmarkStart w:id="104" w:name="_Toc292559869"/>
      <w:r/>
      <w:bookmarkStart w:id="105" w:name="_Toc296944498"/>
      <w:r/>
      <w:bookmarkStart w:id="106" w:name="_Toc296347158"/>
      <w:r/>
      <w:bookmarkStart w:id="107" w:name="_Toc297120459"/>
      <w:r/>
      <w:bookmarkStart w:id="108" w:name="_Toc304295523"/>
      <w:r/>
      <w:bookmarkStart w:id="109" w:name="_Toc297216151"/>
      <w:r/>
      <w:bookmarkStart w:id="110" w:name="_Toc303539102"/>
      <w:r/>
      <w:bookmarkStart w:id="111" w:name="_Toc300934945"/>
      <w:r/>
      <w:bookmarkStart w:id="112" w:name="_Toc297123492"/>
      <w:r/>
      <w:bookmarkStart w:id="113" w:name="_Toc296890987"/>
      <w:r>
        <w:rPr>
          <w:rFonts w:hint="eastAsia" w:asciiTheme="minorEastAsia" w:hAnsiTheme="minorEastAsia" w:eastAsiaTheme="minorEastAsia" w:cstheme="minorEastAsia"/>
          <w:szCs w:val="32"/>
          <w:highlight w:val="none"/>
        </w:rPr>
        <w:t xml:space="preserve">.5 分包</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14" w:name="_Toc297048346"/>
      <w:r/>
      <w:bookmarkStart w:id="115" w:name="_Toc296944499"/>
      <w:r/>
      <w:bookmarkStart w:id="116" w:name="_Toc304295524"/>
      <w:r/>
      <w:bookmarkStart w:id="117" w:name="_Toc300934946"/>
      <w:r/>
      <w:bookmarkStart w:id="118" w:name="_Toc297120460"/>
      <w:r/>
      <w:bookmarkStart w:id="119" w:name="_Toc292559365"/>
      <w:r/>
      <w:bookmarkStart w:id="120" w:name="_Toc296890988"/>
      <w:r/>
      <w:bookmarkStart w:id="121" w:name="_Toc296891200"/>
      <w:r/>
      <w:bookmarkStart w:id="122" w:name="_Toc303539103"/>
      <w:r/>
      <w:bookmarkStart w:id="123" w:name="_Toc296347159"/>
      <w:r/>
      <w:bookmarkStart w:id="124" w:name="_Toc297123493"/>
      <w:r/>
      <w:bookmarkStart w:id="125" w:name="_Toc292559870"/>
      <w:r/>
      <w:bookmarkStart w:id="126" w:name="_Toc297216152"/>
      <w:r/>
      <w:bookmarkStart w:id="127" w:name="_Toc296503160"/>
      <w:r/>
      <w:bookmarkStart w:id="128" w:name="_Toc296346661"/>
      <w:r/>
      <w:bookmarkStart w:id="129" w:name="_Toc318581158"/>
      <w:r/>
      <w:bookmarkStart w:id="130" w:name="_Toc312677989"/>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31" w:name="_Toc312677990"/>
      <w:r/>
      <w:bookmarkStart w:id="13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31"/>
      <w:r/>
      <w:bookmarkEnd w:id="13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33" w:name="_Toc351203636"/>
      <w:r>
        <w:rPr>
          <w:rFonts w:hint="eastAsia" w:asciiTheme="minorEastAsia" w:hAnsiTheme="minorEastAsia" w:eastAsiaTheme="minorEastAsia" w:cstheme="minorEastAsia"/>
          <w:bCs w:val="0"/>
          <w:szCs w:val="32"/>
          <w:highlight w:val="none"/>
        </w:rPr>
        <w:t xml:space="preserve">4</w:t>
      </w:r>
      <w:bookmarkStart w:id="134" w:name="_Toc297048348"/>
      <w:r/>
      <w:bookmarkStart w:id="135" w:name="_Toc292559366"/>
      <w:r/>
      <w:bookmarkStart w:id="136" w:name="_Toc297120462"/>
      <w:r/>
      <w:bookmarkStart w:id="137" w:name="_Toc296347161"/>
      <w:r/>
      <w:bookmarkStart w:id="138" w:name="_Toc296944501"/>
      <w:r/>
      <w:bookmarkStart w:id="139" w:name="_Toc296346663"/>
      <w:r/>
      <w:bookmarkStart w:id="140" w:name="_Toc267251413"/>
      <w:r/>
      <w:bookmarkStart w:id="141" w:name="_Toc296503162"/>
      <w:r/>
      <w:bookmarkStart w:id="142" w:name="_Toc292559871"/>
      <w:r/>
      <w:bookmarkStart w:id="143" w:name="_Toc296890990"/>
      <w:r/>
      <w:bookmarkStart w:id="144" w:name="_Toc296891202"/>
      <w:r>
        <w:rPr>
          <w:rFonts w:hint="eastAsia" w:asciiTheme="minorEastAsia" w:hAnsiTheme="minorEastAsia" w:eastAsiaTheme="minorEastAsia" w:cstheme="minorEastAsia"/>
          <w:bCs w:val="0"/>
          <w:szCs w:val="32"/>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Theme="minorEastAsia" w:hAnsiTheme="minorEastAsia" w:eastAsiaTheme="minorEastAsia" w:cstheme="minorEastAsia"/>
          <w:bCs w:val="0"/>
          <w:szCs w:val="32"/>
          <w:highlight w:val="none"/>
        </w:rPr>
        <w:t xml:space="preserve">理人</w:t>
      </w:r>
      <w:bookmarkEnd w:id="13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4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6" w:name="_Toc351203637"/>
      <w:r>
        <w:rPr>
          <w:rFonts w:hint="eastAsia" w:asciiTheme="minorEastAsia" w:hAnsiTheme="minorEastAsia" w:eastAsiaTheme="minorEastAsia" w:cstheme="minorEastAsia"/>
          <w:bCs w:val="0"/>
          <w:szCs w:val="32"/>
          <w:highlight w:val="none"/>
        </w:rPr>
        <w:t xml:space="preserve">5</w:t>
      </w:r>
      <w:bookmarkEnd w:id="145"/>
      <w:r/>
      <w:bookmarkStart w:id="147" w:name="_Toc292559872"/>
      <w:r/>
      <w:bookmarkStart w:id="148" w:name="_Toc296890991"/>
      <w:r/>
      <w:bookmarkStart w:id="149" w:name="_Toc297048349"/>
      <w:r/>
      <w:bookmarkStart w:id="150" w:name="_Toc297120463"/>
      <w:r/>
      <w:bookmarkStart w:id="151" w:name="_Toc296347162"/>
      <w:r/>
      <w:bookmarkStart w:id="152" w:name="_Toc296346664"/>
      <w:r/>
      <w:bookmarkStart w:id="153" w:name="_Toc296891203"/>
      <w:r/>
      <w:bookmarkStart w:id="154" w:name="_Toc296503163"/>
      <w:r/>
      <w:bookmarkStart w:id="155" w:name="_Toc292559367"/>
      <w:r/>
      <w:bookmarkStart w:id="156" w:name="_Toc296944502"/>
      <w:r>
        <w:rPr>
          <w:rFonts w:hint="eastAsia" w:asciiTheme="minorEastAsia" w:hAnsiTheme="minorEastAsia" w:eastAsiaTheme="minorEastAsia" w:cstheme="minorEastAsia"/>
          <w:bCs w:val="0"/>
          <w:szCs w:val="32"/>
          <w:highlight w:val="none"/>
        </w:rPr>
        <w:t xml:space="preserve">. 工程质量</w:t>
      </w:r>
      <w:bookmarkEnd w:id="14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57" w:name="_Toc297123496"/>
      <w:r/>
      <w:bookmarkStart w:id="158" w:name="_Toc312677997"/>
      <w:r/>
      <w:bookmarkStart w:id="159" w:name="_Toc318581164"/>
      <w:r/>
      <w:bookmarkStart w:id="160" w:name="_Toc297216155"/>
      <w:r/>
      <w:bookmarkStart w:id="161" w:name="_Toc300934949"/>
      <w:r/>
      <w:bookmarkStart w:id="162" w:name="_Toc303539106"/>
      <w:r/>
      <w:bookmarkStart w:id="163" w:name="_Toc304295527"/>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64" w:name="_Toc351203638"/>
      <w:r>
        <w:rPr>
          <w:rFonts w:hint="eastAsia" w:asciiTheme="minorEastAsia" w:hAnsiTheme="minorEastAsia" w:eastAsiaTheme="minorEastAsia" w:cstheme="minorEastAsia"/>
          <w:bCs w:val="0"/>
          <w:szCs w:val="32"/>
          <w:highlight w:val="none"/>
        </w:rPr>
        <w:t xml:space="preserve">6. 安全文明施工与环境保护</w:t>
      </w:r>
      <w:bookmarkEnd w:id="16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57"/>
      <w:r/>
      <w:bookmarkEnd w:id="158"/>
      <w:r/>
      <w:bookmarkEnd w:id="159"/>
      <w:r/>
      <w:bookmarkEnd w:id="160"/>
      <w:r/>
      <w:bookmarkEnd w:id="161"/>
      <w:r/>
      <w:bookmarkEnd w:id="162"/>
      <w:r/>
      <w:bookmarkEnd w:id="16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65" w:name="_Toc351203639"/>
      <w:r>
        <w:rPr>
          <w:rFonts w:hint="eastAsia" w:asciiTheme="minorEastAsia" w:hAnsiTheme="minorEastAsia" w:eastAsiaTheme="minorEastAsia" w:cstheme="minorEastAsia"/>
          <w:bCs w:val="0"/>
          <w:szCs w:val="32"/>
          <w:highlight w:val="none"/>
        </w:rPr>
        <w:t xml:space="preserve">7. 工期和进度</w:t>
      </w:r>
      <w:bookmarkEnd w:id="16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66" w:name="_Toc312678005"/>
      <w:r/>
      <w:bookmarkStart w:id="167" w:name="_Toc304295541"/>
      <w:r/>
      <w:bookmarkStart w:id="168" w:name="_Toc297123514"/>
      <w:r/>
      <w:bookmarkStart w:id="169" w:name="_Toc312677479"/>
      <w:r/>
      <w:bookmarkStart w:id="170" w:name="_Toc303539123"/>
      <w:r/>
      <w:bookmarkStart w:id="171" w:name="_Toc300934966"/>
      <w:r/>
      <w:bookmarkStart w:id="172" w:name="_Toc297216173"/>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645"/>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3" w:name="_Toc312678010"/>
      <w:r/>
      <w:bookmarkStart w:id="174" w:name="_Toc303539125"/>
      <w:r/>
      <w:bookmarkStart w:id="175" w:name="_Toc297216175"/>
      <w:r/>
      <w:bookmarkStart w:id="176" w:name="_Toc300934968"/>
      <w:r/>
      <w:bookmarkStart w:id="177" w:name="_Toc304295546"/>
      <w:r/>
      <w:bookmarkStart w:id="178" w:name="_Toc297123516"/>
      <w:r/>
      <w:bookmarkStart w:id="179" w:name="_Toc312677484"/>
      <w:r>
        <w:rPr>
          <w:rFonts w:hint="eastAsia" w:asciiTheme="minorEastAsia" w:hAnsiTheme="minorEastAsia" w:eastAsiaTheme="minorEastAsia" w:cstheme="minorEastAsia"/>
          <w:szCs w:val="32"/>
          <w:highlight w:val="none"/>
        </w:rPr>
        <w:t xml:space="preserve">.5 工期延误</w:t>
      </w:r>
      <w:bookmarkEnd w:id="173"/>
      <w:r/>
      <w:bookmarkEnd w:id="174"/>
      <w:r/>
      <w:bookmarkEnd w:id="175"/>
      <w:r/>
      <w:bookmarkEnd w:id="176"/>
      <w:r/>
      <w:bookmarkEnd w:id="177"/>
      <w:r/>
      <w:bookmarkEnd w:id="178"/>
      <w:r/>
      <w:bookmarkEnd w:id="1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0" w:name="_Toc318581169"/>
      <w:r/>
      <w:bookmarkStart w:id="181" w:name="_Toc312677486"/>
      <w:r/>
      <w:bookmarkStart w:id="182" w:name="_Toc312678012"/>
      <w:r/>
      <w:bookmarkStart w:id="183" w:name="_Toc297123518"/>
      <w:r/>
      <w:bookmarkStart w:id="184" w:name="_Toc303539127"/>
      <w:r/>
      <w:bookmarkStart w:id="185" w:name="_Toc304295548"/>
      <w:r/>
      <w:bookmarkStart w:id="186" w:name="_Toc297216177"/>
      <w:r/>
      <w:bookmarkStart w:id="187" w:name="_Toc300934970"/>
      <w:r>
        <w:rPr>
          <w:rFonts w:hint="eastAsia" w:asciiTheme="minorEastAsia" w:hAnsiTheme="minorEastAsia" w:eastAsiaTheme="minorEastAsia" w:cstheme="minorEastAsia"/>
          <w:szCs w:val="32"/>
          <w:highlight w:val="none"/>
        </w:rPr>
        <w:t xml:space="preserve">.5.2 因承包人原因导致工期延误</w:t>
      </w:r>
      <w:bookmarkEnd w:id="180"/>
      <w:r/>
      <w:bookmarkEnd w:id="181"/>
      <w:r/>
      <w:bookmarkEnd w:id="18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88" w:name="_Toc312678013"/>
      <w:r/>
      <w:bookmarkStart w:id="189" w:name="_Toc312677487"/>
      <w:r/>
      <w:bookmarkStart w:id="19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83"/>
      <w:r/>
      <w:bookmarkEnd w:id="184"/>
      <w:r/>
      <w:bookmarkEnd w:id="185"/>
      <w:r/>
      <w:bookmarkEnd w:id="186"/>
      <w:r/>
      <w:bookmarkEnd w:id="187"/>
      <w:r/>
      <w:bookmarkEnd w:id="188"/>
      <w:r/>
      <w:bookmarkEnd w:id="189"/>
      <w:r/>
      <w:bookmarkEnd w:id="19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191" w:name="_Toc318581171"/>
      <w:r/>
      <w:bookmarkStart w:id="192" w:name="_Toc312678014"/>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191"/>
      <w:r/>
      <w:bookmarkEnd w:id="19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3" w:name="_Toc297216178"/>
      <w:r/>
      <w:bookmarkStart w:id="194" w:name="_Toc303539128"/>
      <w:r/>
      <w:bookmarkStart w:id="195" w:name="_Toc297123519"/>
      <w:r/>
      <w:bookmarkStart w:id="196" w:name="_Toc312678015"/>
      <w:r/>
      <w:bookmarkStart w:id="197" w:name="_Toc304295549"/>
      <w:r/>
      <w:bookmarkStart w:id="198" w:name="_Toc300934971"/>
      <w:r>
        <w:rPr>
          <w:rFonts w:hint="eastAsia" w:asciiTheme="minorEastAsia" w:hAnsiTheme="minorEastAsia" w:eastAsiaTheme="minorEastAsia" w:cstheme="minorEastAsia"/>
          <w:szCs w:val="32"/>
          <w:highlight w:val="none"/>
        </w:rPr>
        <w:t xml:space="preserve">.6 不</w:t>
      </w:r>
      <w:bookmarkEnd w:id="193"/>
      <w:r/>
      <w:bookmarkEnd w:id="194"/>
      <w:r/>
      <w:bookmarkEnd w:id="195"/>
      <w:r/>
      <w:bookmarkEnd w:id="196"/>
      <w:r/>
      <w:bookmarkEnd w:id="197"/>
      <w:r/>
      <w:bookmarkEnd w:id="19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199" w:name="_Toc318581172"/>
      <w:r/>
      <w:bookmarkStart w:id="200" w:name="_Toc297216179"/>
      <w:r/>
      <w:bookmarkStart w:id="201" w:name="_Toc297123520"/>
      <w:r/>
      <w:bookmarkStart w:id="202" w:name="_Toc312678016"/>
      <w:r/>
      <w:bookmarkStart w:id="203" w:name="_Toc304295550"/>
      <w:r/>
      <w:bookmarkStart w:id="204" w:name="_Toc303539129"/>
      <w:r/>
      <w:bookmarkStart w:id="205" w:name="_Toc300934972"/>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199"/>
      <w:r/>
      <w:bookmarkEnd w:id="200"/>
      <w:r/>
      <w:bookmarkEnd w:id="201"/>
      <w:r/>
      <w:bookmarkEnd w:id="202"/>
      <w:r/>
      <w:bookmarkEnd w:id="203"/>
      <w:r/>
      <w:bookmarkEnd w:id="204"/>
      <w:r/>
      <w:bookmarkEnd w:id="20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6" w:name="_Toc303539130"/>
      <w:r/>
      <w:bookmarkStart w:id="207" w:name="_Toc297123521"/>
      <w:r/>
      <w:bookmarkStart w:id="208" w:name="_Toc304295551"/>
      <w:r/>
      <w:bookmarkStart w:id="209" w:name="_Toc297216180"/>
      <w:r/>
      <w:bookmarkStart w:id="210" w:name="_Toc300934973"/>
      <w:r/>
      <w:bookmarkStart w:id="211" w:name="_Toc312678017"/>
      <w:r>
        <w:rPr>
          <w:rFonts w:hint="eastAsia" w:asciiTheme="minorEastAsia" w:hAnsiTheme="minorEastAsia" w:eastAsiaTheme="minorEastAsia" w:cstheme="minorEastAsia"/>
          <w:szCs w:val="32"/>
          <w:highlight w:val="none"/>
        </w:rPr>
        <w:t xml:space="preserve">.7异常恶劣的气候条件</w:t>
      </w:r>
      <w:bookmarkEnd w:id="206"/>
      <w:r/>
      <w:bookmarkEnd w:id="207"/>
      <w:r/>
      <w:bookmarkEnd w:id="208"/>
      <w:r/>
      <w:bookmarkEnd w:id="209"/>
      <w:r/>
      <w:bookmarkEnd w:id="210"/>
      <w:r/>
      <w:bookmarkEnd w:id="2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12" w:name="_Toc351203640"/>
      <w:r>
        <w:rPr>
          <w:rFonts w:hint="eastAsia" w:asciiTheme="minorEastAsia" w:hAnsiTheme="minorEastAsia" w:eastAsiaTheme="minorEastAsia" w:cstheme="minorEastAsia"/>
          <w:bCs w:val="0"/>
          <w:szCs w:val="32"/>
          <w:highlight w:val="none"/>
        </w:rPr>
        <w:t xml:space="preserve">8. 材料与设备</w:t>
      </w:r>
      <w:bookmarkEnd w:id="212"/>
      <w:r/>
      <w:bookmarkEnd w:id="147"/>
      <w:r/>
      <w:bookmarkEnd w:id="148"/>
      <w:r/>
      <w:bookmarkEnd w:id="149"/>
      <w:r/>
      <w:bookmarkEnd w:id="150"/>
      <w:r/>
      <w:bookmarkEnd w:id="151"/>
      <w:r/>
      <w:bookmarkEnd w:id="152"/>
      <w:r/>
      <w:bookmarkEnd w:id="153"/>
      <w:r/>
      <w:bookmarkEnd w:id="154"/>
      <w:r/>
      <w:bookmarkEnd w:id="155"/>
      <w:r/>
      <w:bookmarkEnd w:id="15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13" w:name="_Toc296944506"/>
      <w:r/>
      <w:bookmarkStart w:id="214" w:name="_Toc297048353"/>
      <w:r/>
      <w:bookmarkStart w:id="215" w:name="_Toc296890995"/>
      <w:r/>
      <w:bookmarkStart w:id="216" w:name="_Toc292559877"/>
      <w:r/>
      <w:bookmarkStart w:id="217" w:name="_Toc303539136"/>
      <w:r/>
      <w:bookmarkStart w:id="218" w:name="_Toc312677493"/>
      <w:r/>
      <w:bookmarkStart w:id="219" w:name="_Toc296346668"/>
      <w:r/>
      <w:bookmarkStart w:id="220" w:name="_Toc296503167"/>
      <w:r/>
      <w:bookmarkStart w:id="221" w:name="_Toc300934979"/>
      <w:r/>
      <w:bookmarkStart w:id="222" w:name="_Toc297123527"/>
      <w:r/>
      <w:bookmarkStart w:id="223" w:name="_Toc296891207"/>
      <w:r/>
      <w:bookmarkStart w:id="224" w:name="_Toc297120467"/>
      <w:r/>
      <w:bookmarkStart w:id="225" w:name="_Toc312678019"/>
      <w:r/>
      <w:bookmarkStart w:id="226" w:name="_Toc297216186"/>
      <w:r/>
      <w:bookmarkStart w:id="227" w:name="_Toc280868654"/>
      <w:r/>
      <w:bookmarkStart w:id="228" w:name="_Toc296347166"/>
      <w:r/>
      <w:bookmarkStart w:id="229" w:name="_Toc292559372"/>
      <w:r/>
      <w:bookmarkStart w:id="230" w:name="_Toc304295556"/>
      <w:r/>
      <w:bookmarkStart w:id="231" w:name="_Toc280868656"/>
      <w:r/>
      <w:bookmarkStart w:id="232" w:name="_Toc267251424"/>
      <w:r/>
      <w:bookmarkStart w:id="233" w:name="_Toc280868655"/>
      <w:r>
        <w:rPr>
          <w:rFonts w:hint="eastAsia" w:asciiTheme="minorEastAsia" w:hAnsiTheme="minorEastAsia" w:eastAsiaTheme="minorEastAsia" w:cstheme="minorEastAsia"/>
          <w:szCs w:val="32"/>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34" w:name="_Toc292559373"/>
      <w:r/>
      <w:bookmarkStart w:id="235" w:name="_Toc292559878"/>
      <w:r/>
      <w:bookmarkStart w:id="236" w:name="_Toc297123528"/>
      <w:r/>
      <w:bookmarkStart w:id="237" w:name="_Toc296346669"/>
      <w:r/>
      <w:bookmarkStart w:id="238" w:name="_Toc296503168"/>
      <w:r/>
      <w:bookmarkStart w:id="239" w:name="_Toc297216187"/>
      <w:r/>
      <w:bookmarkStart w:id="240" w:name="_Toc312677494"/>
      <w:r/>
      <w:bookmarkStart w:id="241" w:name="_Toc296890996"/>
      <w:r/>
      <w:bookmarkStart w:id="242" w:name="_Toc296891208"/>
      <w:r/>
      <w:bookmarkStart w:id="243" w:name="_Toc304295557"/>
      <w:r/>
      <w:bookmarkStart w:id="244" w:name="_Toc297048354"/>
      <w:r/>
      <w:bookmarkStart w:id="245" w:name="_Toc297120468"/>
      <w:r/>
      <w:bookmarkStart w:id="246" w:name="_Toc300934980"/>
      <w:r/>
      <w:bookmarkStart w:id="247" w:name="_Toc303539137"/>
      <w:r/>
      <w:bookmarkStart w:id="248" w:name="_Toc318581173"/>
      <w:r/>
      <w:bookmarkStart w:id="249" w:name="_Toc296347167"/>
      <w:r/>
      <w:bookmarkStart w:id="250" w:name="_Toc312678020"/>
      <w:r/>
      <w:bookmarkStart w:id="251" w:name="_Toc296944507"/>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34"/>
      <w:r/>
      <w:bookmarkEnd w:id="23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52" w:name="_Toc351203641"/>
      <w:r>
        <w:rPr>
          <w:rFonts w:hint="eastAsia" w:asciiTheme="minorEastAsia" w:hAnsiTheme="minorEastAsia" w:eastAsiaTheme="minorEastAsia" w:cstheme="minorEastAsia"/>
          <w:bCs w:val="0"/>
          <w:szCs w:val="32"/>
          <w:highlight w:val="none"/>
        </w:rPr>
        <w:t xml:space="preserve">9</w:t>
      </w:r>
      <w:bookmarkEnd w:id="231"/>
      <w:r/>
      <w:bookmarkEnd w:id="232"/>
      <w:r/>
      <w:bookmarkEnd w:id="233"/>
      <w:r/>
      <w:bookmarkStart w:id="253" w:name="_Toc303539139"/>
      <w:r/>
      <w:bookmarkStart w:id="254" w:name="_Toc297216192"/>
      <w:r/>
      <w:bookmarkStart w:id="255" w:name="_Toc312678021"/>
      <w:r/>
      <w:bookmarkStart w:id="256" w:name="_Toc300934982"/>
      <w:r/>
      <w:bookmarkStart w:id="257" w:name="_Toc304295559"/>
      <w:r/>
      <w:bookmarkStart w:id="258" w:name="_Toc297123533"/>
      <w:r/>
      <w:bookmarkStart w:id="259" w:name="_Toc312677495"/>
      <w:r/>
      <w:bookmarkStart w:id="260" w:name="_Toc292559883"/>
      <w:r/>
      <w:bookmarkStart w:id="261" w:name="_Toc297120473"/>
      <w:r/>
      <w:bookmarkStart w:id="262" w:name="_Toc296944512"/>
      <w:r/>
      <w:bookmarkStart w:id="263" w:name="_Toc267251428"/>
      <w:r/>
      <w:bookmarkStart w:id="264" w:name="_Toc292559378"/>
      <w:r/>
      <w:bookmarkStart w:id="265" w:name="_Toc296891213"/>
      <w:r/>
      <w:bookmarkStart w:id="266" w:name="_Toc296503173"/>
      <w:r/>
      <w:bookmarkStart w:id="267" w:name="_Toc296891001"/>
      <w:r/>
      <w:bookmarkStart w:id="268" w:name="_Toc267251427"/>
      <w:r/>
      <w:bookmarkStart w:id="269" w:name="_Toc296347172"/>
      <w:r/>
      <w:bookmarkStart w:id="270" w:name="_Toc296346674"/>
      <w:r/>
      <w:bookmarkStart w:id="271" w:name="_Toc297048359"/>
      <w:r>
        <w:rPr>
          <w:rFonts w:hint="eastAsia" w:asciiTheme="minorEastAsia" w:hAnsiTheme="minorEastAsia" w:eastAsiaTheme="minorEastAsia" w:cstheme="minorEastAsia"/>
          <w:bCs w:val="0"/>
          <w:szCs w:val="32"/>
          <w:highlight w:val="none"/>
        </w:rPr>
        <w:t xml:space="preserve">. 试验与检验</w:t>
      </w:r>
      <w:bookmarkEnd w:id="252"/>
      <w:r/>
      <w:bookmarkEnd w:id="253"/>
      <w:r/>
      <w:bookmarkEnd w:id="254"/>
      <w:r/>
      <w:bookmarkEnd w:id="255"/>
      <w:r/>
      <w:bookmarkEnd w:id="256"/>
      <w:r/>
      <w:bookmarkEnd w:id="257"/>
      <w:r/>
      <w:bookmarkEnd w:id="258"/>
      <w:r/>
      <w:bookmarkEnd w:id="25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72" w:name="_Toc312677496"/>
      <w:r/>
      <w:bookmarkStart w:id="273" w:name="_Toc303539140"/>
      <w:r/>
      <w:bookmarkStart w:id="274" w:name="_Toc297123534"/>
      <w:r/>
      <w:bookmarkStart w:id="275" w:name="_Toc304295560"/>
      <w:r/>
      <w:bookmarkStart w:id="276" w:name="_Toc297216193"/>
      <w:r/>
      <w:bookmarkStart w:id="277" w:name="_Toc300934983"/>
      <w:r/>
      <w:bookmarkStart w:id="278" w:name="_Toc312678022"/>
      <w:r>
        <w:rPr>
          <w:rFonts w:hint="eastAsia" w:asciiTheme="minorEastAsia" w:hAnsiTheme="minorEastAsia" w:eastAsiaTheme="minorEastAsia" w:cstheme="minorEastAsia"/>
          <w:szCs w:val="32"/>
          <w:highlight w:val="none"/>
        </w:rPr>
        <w:t xml:space="preserve">.1试验设备与试验人员</w:t>
      </w:r>
      <w:bookmarkEnd w:id="272"/>
      <w:r/>
      <w:bookmarkEnd w:id="273"/>
      <w:r/>
      <w:bookmarkEnd w:id="274"/>
      <w:r/>
      <w:bookmarkEnd w:id="275"/>
      <w:r/>
      <w:bookmarkEnd w:id="276"/>
      <w:r/>
      <w:bookmarkEnd w:id="277"/>
      <w:r/>
      <w:bookmarkEnd w:id="27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79" w:name="_Toc312677497"/>
      <w:r/>
      <w:bookmarkStart w:id="280" w:name="_Toc312678023"/>
      <w:r/>
      <w:bookmarkStart w:id="281" w:name="_Toc303539141"/>
      <w:r/>
      <w:bookmarkStart w:id="282" w:name="_Toc297216194"/>
      <w:r/>
      <w:bookmarkStart w:id="283" w:name="_Toc297123535"/>
      <w:r/>
      <w:bookmarkStart w:id="284" w:name="_Toc304295561"/>
      <w:r/>
      <w:bookmarkStart w:id="285" w:name="_Toc300934984"/>
      <w:r/>
      <w:bookmarkStart w:id="28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12678024"/>
      <w:r/>
      <w:bookmarkStart w:id="288" w:name="_Toc303539142"/>
      <w:r/>
      <w:bookmarkStart w:id="289" w:name="_Toc312677498"/>
      <w:r/>
      <w:bookmarkStart w:id="290" w:name="_Toc300934985"/>
      <w:r/>
      <w:bookmarkStart w:id="291" w:name="_Toc304295562"/>
      <w:r/>
      <w:bookmarkStart w:id="292" w:name="_Toc297216195"/>
      <w:r/>
      <w:bookmarkStart w:id="293" w:name="_Toc297123536"/>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86"/>
      <w:r/>
      <w:bookmarkEnd w:id="287"/>
      <w:r/>
      <w:bookmarkEnd w:id="288"/>
      <w:r/>
      <w:bookmarkEnd w:id="289"/>
      <w:r/>
      <w:bookmarkEnd w:id="290"/>
      <w:r/>
      <w:bookmarkEnd w:id="291"/>
      <w:r/>
      <w:bookmarkEnd w:id="292"/>
      <w:r/>
      <w:bookmarkEnd w:id="293"/>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94" w:name="_Toc351203642"/>
      <w:r>
        <w:rPr>
          <w:rFonts w:hint="eastAsia" w:asciiTheme="minorEastAsia" w:hAnsiTheme="minorEastAsia" w:eastAsiaTheme="minorEastAsia" w:cstheme="minorEastAsia"/>
          <w:bCs w:val="0"/>
          <w:szCs w:val="32"/>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7048379"/>
      <w:r/>
      <w:bookmarkStart w:id="296" w:name="_Toc292559903"/>
      <w:r/>
      <w:bookmarkStart w:id="297" w:name="_Toc297216199"/>
      <w:r/>
      <w:bookmarkStart w:id="298" w:name="_Toc296944532"/>
      <w:r/>
      <w:bookmarkStart w:id="299" w:name="_Toc304295566"/>
      <w:r/>
      <w:bookmarkStart w:id="300" w:name="_Toc296503193"/>
      <w:r/>
      <w:bookmarkStart w:id="301" w:name="_Toc296891233"/>
      <w:r/>
      <w:bookmarkStart w:id="302" w:name="_Toc303539146"/>
      <w:r/>
      <w:bookmarkStart w:id="303" w:name="_Toc296346694"/>
      <w:r/>
      <w:bookmarkStart w:id="304" w:name="_Toc296347192"/>
      <w:r/>
      <w:bookmarkStart w:id="305" w:name="_Toc297120493"/>
      <w:r/>
      <w:bookmarkStart w:id="306" w:name="_Toc300934989"/>
      <w:r/>
      <w:bookmarkStart w:id="307" w:name="_Toc297123540"/>
      <w:r/>
      <w:bookmarkStart w:id="308" w:name="_Toc296891021"/>
      <w:r/>
      <w:bookmarkStart w:id="309" w:name="_Toc292559398"/>
      <w:r/>
      <w:bookmarkStart w:id="310" w:name="_Toc312678025"/>
      <w:r/>
      <w:bookmarkStart w:id="311" w:name="_Toc312677499"/>
      <w:r/>
      <w:bookmarkStart w:id="312" w:name="_Toc267251437"/>
      <w:r/>
      <w:bookmarkStart w:id="313" w:name="_Toc267251433"/>
      <w:r/>
      <w:bookmarkStart w:id="314" w:name="_Toc267251441"/>
      <w:r/>
      <w:bookmarkStart w:id="315" w:name="_Toc267251435"/>
      <w:r/>
      <w:bookmarkStart w:id="316" w:name="_Toc267251439"/>
      <w:r/>
      <w:bookmarkStart w:id="317" w:name="_Toc267251440"/>
      <w:r/>
      <w:bookmarkStart w:id="318" w:name="_Toc267251442"/>
      <w:r>
        <w:rPr>
          <w:rFonts w:hint="eastAsia" w:asciiTheme="minorEastAsia" w:hAnsiTheme="minorEastAsia" w:eastAsiaTheme="minorEastAsia" w:cstheme="minorEastAsia"/>
          <w:bCs w:val="0"/>
          <w:szCs w:val="32"/>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19" w:name="_Toc296944533"/>
      <w:r/>
      <w:bookmarkStart w:id="320" w:name="_Toc292559904"/>
      <w:r/>
      <w:bookmarkStart w:id="321" w:name="_Toc303539147"/>
      <w:r/>
      <w:bookmarkStart w:id="322" w:name="_Toc297123541"/>
      <w:r/>
      <w:bookmarkStart w:id="323" w:name="_Toc312677500"/>
      <w:r/>
      <w:bookmarkStart w:id="324" w:name="_Toc297048380"/>
      <w:r/>
      <w:bookmarkStart w:id="325" w:name="_Toc304295567"/>
      <w:r/>
      <w:bookmarkStart w:id="326" w:name="_Toc292559399"/>
      <w:r/>
      <w:bookmarkStart w:id="327" w:name="_Toc296347193"/>
      <w:r/>
      <w:bookmarkStart w:id="328" w:name="_Toc297120494"/>
      <w:r/>
      <w:bookmarkStart w:id="329" w:name="_Toc296891022"/>
      <w:r/>
      <w:bookmarkStart w:id="330" w:name="_Toc300934990"/>
      <w:r/>
      <w:bookmarkStart w:id="331" w:name="_Toc296891234"/>
      <w:r/>
      <w:bookmarkStart w:id="332" w:name="_Toc312678026"/>
      <w:r/>
      <w:bookmarkStart w:id="333" w:name="_Toc296503194"/>
      <w:r/>
      <w:bookmarkStart w:id="334" w:name="_Toc296346695"/>
      <w:r/>
      <w:bookmarkStart w:id="335" w:name="_Toc297216200"/>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2559402"/>
      <w:r/>
      <w:bookmarkStart w:id="337" w:name="_Toc297216203"/>
      <w:r/>
      <w:bookmarkStart w:id="338" w:name="_Toc296346698"/>
      <w:r/>
      <w:bookmarkStart w:id="339" w:name="_Toc292559907"/>
      <w:r/>
      <w:bookmarkStart w:id="340" w:name="_Toc296503197"/>
      <w:r/>
      <w:bookmarkStart w:id="341" w:name="_Toc296891237"/>
      <w:r/>
      <w:bookmarkStart w:id="342" w:name="_Toc296347196"/>
      <w:r/>
      <w:bookmarkStart w:id="343" w:name="_Toc296891025"/>
      <w:r/>
      <w:bookmarkStart w:id="344" w:name="_Toc300934993"/>
      <w:r/>
      <w:bookmarkStart w:id="345" w:name="_Toc303539150"/>
      <w:r/>
      <w:bookmarkStart w:id="346" w:name="_Toc296944536"/>
      <w:r/>
      <w:bookmarkStart w:id="347" w:name="_Toc297123544"/>
      <w:r/>
      <w:bookmarkStart w:id="348" w:name="_Toc297048383"/>
      <w:r/>
      <w:bookmarkStart w:id="349" w:name="_Toc297120497"/>
      <w:r/>
      <w:bookmarkStart w:id="350" w:name="_Toc304295570"/>
      <w:r/>
      <w:bookmarkStart w:id="351" w:name="_Toc312678029"/>
      <w:r/>
      <w:bookmarkStart w:id="352" w:name="_Toc312677503"/>
      <w:r>
        <w:rPr>
          <w:rFonts w:hint="eastAsia" w:asciiTheme="minorEastAsia" w:hAnsiTheme="minorEastAsia" w:eastAsiaTheme="minorEastAsia" w:cstheme="minorEastAsia"/>
          <w:szCs w:val="32"/>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913"/>
      <w:r/>
      <w:bookmarkStart w:id="354" w:name="_Toc296346704"/>
      <w:r/>
      <w:bookmarkStart w:id="355" w:name="_Toc296944542"/>
      <w:r/>
      <w:bookmarkStart w:id="356" w:name="_Toc297120503"/>
      <w:r/>
      <w:bookmarkStart w:id="357" w:name="_Toc297216204"/>
      <w:r/>
      <w:bookmarkStart w:id="358" w:name="_Toc296347202"/>
      <w:r/>
      <w:bookmarkStart w:id="359" w:name="_Toc296503203"/>
      <w:r/>
      <w:bookmarkStart w:id="360" w:name="_Toc296891031"/>
      <w:r/>
      <w:bookmarkStart w:id="361" w:name="_Toc297048389"/>
      <w:r/>
      <w:bookmarkStart w:id="362" w:name="_Toc297123545"/>
      <w:r/>
      <w:bookmarkStart w:id="363" w:name="_Toc300934994"/>
      <w:r/>
      <w:bookmarkStart w:id="364" w:name="_Toc296891243"/>
      <w:r/>
      <w:bookmarkStart w:id="365" w:name="_Toc303539151"/>
      <w:r/>
      <w:bookmarkStart w:id="366" w:name="_Toc292559408"/>
      <w:r>
        <w:rPr>
          <w:rFonts w:hint="eastAsia" w:asciiTheme="minorEastAsia" w:hAnsiTheme="minorEastAsia" w:eastAsiaTheme="minorEastAsia" w:cstheme="minorEastAsia"/>
          <w:szCs w:val="32"/>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67" w:name="_Toc296347203"/>
      <w:r/>
      <w:bookmarkStart w:id="368" w:name="_Toc296944543"/>
      <w:r/>
      <w:bookmarkStart w:id="369" w:name="_Toc292559914"/>
      <w:r/>
      <w:bookmarkStart w:id="370" w:name="_Toc300934995"/>
      <w:r/>
      <w:bookmarkStart w:id="371" w:name="_Toc304295571"/>
      <w:r/>
      <w:bookmarkStart w:id="372" w:name="_Toc292559409"/>
      <w:r/>
      <w:bookmarkStart w:id="373" w:name="_Toc297048390"/>
      <w:r/>
      <w:bookmarkStart w:id="374" w:name="_Toc296891032"/>
      <w:r/>
      <w:bookmarkStart w:id="375" w:name="_Toc297216205"/>
      <w:r/>
      <w:bookmarkStart w:id="376" w:name="_Toc312678030"/>
      <w:r/>
      <w:bookmarkStart w:id="377" w:name="_Toc318581175"/>
      <w:r/>
      <w:bookmarkStart w:id="378" w:name="_Toc312677504"/>
      <w:r/>
      <w:bookmarkStart w:id="379" w:name="_Toc296891244"/>
      <w:r/>
      <w:bookmarkStart w:id="380" w:name="_Toc297120504"/>
      <w:r/>
      <w:bookmarkStart w:id="381" w:name="_Toc296346705"/>
      <w:r/>
      <w:bookmarkStart w:id="382" w:name="_Toc297123546"/>
      <w:r/>
      <w:bookmarkStart w:id="383" w:name="_Toc303539152"/>
      <w:r/>
      <w:bookmarkStart w:id="384" w:name="_Toc296503204"/>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85" w:name="_Toc312677507"/>
      <w:r/>
      <w:bookmarkStart w:id="386" w:name="_Toc296944538"/>
      <w:r/>
      <w:bookmarkStart w:id="387" w:name="_Toc296503199"/>
      <w:r/>
      <w:bookmarkStart w:id="388" w:name="_Toc296891027"/>
      <w:r/>
      <w:bookmarkStart w:id="389" w:name="_Toc296347198"/>
      <w:r/>
      <w:bookmarkStart w:id="390" w:name="_Toc296891239"/>
      <w:r/>
      <w:bookmarkStart w:id="391" w:name="_Toc297120499"/>
      <w:r/>
      <w:bookmarkStart w:id="392" w:name="_Toc303539154"/>
      <w:r/>
      <w:bookmarkStart w:id="393" w:name="_Toc296346700"/>
      <w:r/>
      <w:bookmarkStart w:id="394" w:name="_Toc297123548"/>
      <w:r/>
      <w:bookmarkStart w:id="395" w:name="_Toc297048385"/>
      <w:r/>
      <w:bookmarkStart w:id="396" w:name="_Toc297216207"/>
      <w:r/>
      <w:bookmarkStart w:id="397" w:name="_Toc292559909"/>
      <w:r/>
      <w:bookmarkStart w:id="398" w:name="_Toc312678033"/>
      <w:r/>
      <w:bookmarkStart w:id="399" w:name="_Toc304295574"/>
      <w:r/>
      <w:bookmarkStart w:id="400" w:name="_Toc292559404"/>
      <w:r/>
      <w:bookmarkStart w:id="401" w:name="_Toc300934997"/>
      <w:r>
        <w:rPr>
          <w:rFonts w:hint="eastAsia" w:asciiTheme="minorEastAsia" w:hAnsiTheme="minorEastAsia" w:eastAsiaTheme="minorEastAsia" w:cstheme="minorEastAsia"/>
          <w:szCs w:val="32"/>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02" w:name="_Toc312677508"/>
      <w:r/>
      <w:bookmarkStart w:id="403" w:name="_Toc312678034"/>
      <w:r/>
      <w:bookmarkStart w:id="404" w:name="_Toc318581176"/>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02"/>
      <w:r/>
      <w:bookmarkEnd w:id="403"/>
      <w:r/>
      <w:bookmarkEnd w:id="40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05" w:name="_Toc318581177"/>
      <w:r/>
      <w:bookmarkStart w:id="406" w:name="_Toc312677509"/>
      <w:r/>
      <w:bookmarkStart w:id="407" w:name="_Toc312678035"/>
      <w:r>
        <w:rPr>
          <w:rFonts w:hint="eastAsia" w:asciiTheme="minorEastAsia" w:hAnsiTheme="minorEastAsia" w:eastAsiaTheme="minorEastAsia" w:cstheme="minorEastAsia"/>
          <w:szCs w:val="32"/>
          <w:highlight w:val="none"/>
        </w:rPr>
        <w:t xml:space="preserve">0.7.1 依法必须招标的暂估价项目</w:t>
      </w:r>
      <w:bookmarkEnd w:id="405"/>
      <w:r/>
      <w:bookmarkEnd w:id="406"/>
      <w:r/>
      <w:bookmarkEnd w:id="40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08" w:name="_Toc351203643"/>
      <w:r>
        <w:rPr>
          <w:rFonts w:hint="eastAsia" w:asciiTheme="minorEastAsia" w:hAnsiTheme="minorEastAsia" w:eastAsiaTheme="minorEastAsia" w:cstheme="minorEastAsia"/>
          <w:bCs w:val="0"/>
          <w:szCs w:val="32"/>
          <w:highlight w:val="none"/>
        </w:rPr>
        <w:t xml:space="preserve">11. 价格调整</w:t>
      </w:r>
      <w:bookmarkEnd w:id="408"/>
      <w:r/>
      <w:r/>
    </w:p>
    <w:p>
      <w:pPr>
        <w:ind w:firstLine="420"/>
        <w:spacing w:line="332" w:lineRule="auto"/>
        <w:rPr>
          <w:rFonts w:hint="eastAsia" w:asciiTheme="minorEastAsia" w:hAnsiTheme="minorEastAsia" w:eastAsiaTheme="minorEastAsia" w:cstheme="minorEastAsia"/>
          <w:szCs w:val="32"/>
          <w:highlight w:val="none"/>
        </w:rPr>
      </w:pPr>
      <w:r/>
      <w:bookmarkStart w:id="409" w:name="_Toc297120501"/>
      <w:r/>
      <w:bookmarkStart w:id="410" w:name="_Toc292559406"/>
      <w:r/>
      <w:bookmarkStart w:id="411" w:name="_Toc296503201"/>
      <w:r/>
      <w:bookmarkStart w:id="412" w:name="_Toc296891029"/>
      <w:r/>
      <w:bookmarkStart w:id="413" w:name="_Toc296891241"/>
      <w:r/>
      <w:bookmarkStart w:id="414" w:name="_Toc312678039"/>
      <w:r/>
      <w:bookmarkStart w:id="415" w:name="_Toc292559911"/>
      <w:r/>
      <w:bookmarkStart w:id="416" w:name="_Toc297216209"/>
      <w:r/>
      <w:bookmarkStart w:id="417" w:name="_Toc296346702"/>
      <w:r/>
      <w:bookmarkStart w:id="418" w:name="_Toc297048387"/>
      <w:r/>
      <w:bookmarkStart w:id="419" w:name="_Toc296944540"/>
      <w:r/>
      <w:bookmarkStart w:id="420" w:name="_Toc304295577"/>
      <w:r/>
      <w:bookmarkStart w:id="421" w:name="_Toc296347200"/>
      <w:r/>
      <w:bookmarkStart w:id="422" w:name="_Toc303539157"/>
      <w:r/>
      <w:bookmarkStart w:id="423" w:name="_Toc300935000"/>
      <w:r/>
      <w:bookmarkStart w:id="424" w:name="_Toc297123550"/>
      <w:r>
        <w:rPr>
          <w:rFonts w:hint="eastAsia" w:asciiTheme="minorEastAsia" w:hAnsiTheme="minorEastAsia" w:eastAsiaTheme="minorEastAsia" w:cstheme="minorEastAsia"/>
          <w:szCs w:val="32"/>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12"/>
      <w:r/>
      <w:bookmarkEnd w:id="313"/>
      <w:r/>
      <w:bookmarkEnd w:id="314"/>
      <w:r/>
      <w:bookmarkEnd w:id="315"/>
      <w:r/>
      <w:bookmarkEnd w:id="316"/>
      <w:r/>
      <w:bookmarkEnd w:id="317"/>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25" w:name="_Toc297048391"/>
      <w:r/>
      <w:bookmarkStart w:id="426" w:name="_Toc297120505"/>
      <w:r/>
      <w:bookmarkStart w:id="427" w:name="_Toc296891245"/>
      <w:r/>
      <w:bookmarkStart w:id="428" w:name="_Toc292559410"/>
      <w:r/>
      <w:bookmarkStart w:id="429" w:name="_Toc296346706"/>
      <w:r/>
      <w:bookmarkStart w:id="430" w:name="_Toc296891033"/>
      <w:r/>
      <w:bookmarkStart w:id="431" w:name="_Toc296347204"/>
      <w:r/>
      <w:bookmarkStart w:id="432" w:name="_Toc296944544"/>
      <w:r/>
      <w:bookmarkStart w:id="433" w:name="_Toc292559915"/>
      <w:r/>
      <w:bookmarkStart w:id="434" w:name="_Toc296503205"/>
      <w:r/>
      <w:bookmarkStart w:id="435" w:name="_Toc351203644"/>
      <w:r/>
      <w:bookmarkStart w:id="436" w:name="_Toc312678040"/>
      <w:r/>
      <w:bookmarkStart w:id="437" w:name="_Toc300935002"/>
      <w:r/>
      <w:bookmarkStart w:id="438" w:name="_Toc297216211"/>
      <w:r/>
      <w:bookmarkStart w:id="439" w:name="_Toc303539159"/>
      <w:r/>
      <w:bookmarkStart w:id="440" w:name="_Toc304295579"/>
      <w:r/>
      <w:bookmarkStart w:id="441" w:name="_Toc297123552"/>
      <w:r>
        <w:rPr>
          <w:rFonts w:hint="eastAsia" w:asciiTheme="minorEastAsia" w:hAnsiTheme="minorEastAsia" w:eastAsiaTheme="minorEastAsia" w:cstheme="minorEastAsia"/>
          <w:bCs w:val="0"/>
          <w:szCs w:val="32"/>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Theme="minorEastAsia" w:hAnsiTheme="minorEastAsia" w:eastAsiaTheme="minorEastAsia" w:cstheme="minorEastAsia"/>
          <w:bCs w:val="0"/>
          <w:szCs w:val="32"/>
          <w:highlight w:val="none"/>
        </w:rPr>
        <w:t xml:space="preserve">合同价格、计量与支付</w:t>
      </w:r>
      <w:bookmarkEnd w:id="435"/>
      <w:r/>
      <w:bookmarkEnd w:id="436"/>
      <w:r/>
      <w:bookmarkEnd w:id="437"/>
      <w:r/>
      <w:bookmarkEnd w:id="438"/>
      <w:r/>
      <w:bookmarkEnd w:id="439"/>
      <w:r/>
      <w:bookmarkEnd w:id="440"/>
      <w:r/>
      <w:bookmarkEnd w:id="441"/>
      <w:r/>
      <w:r/>
    </w:p>
    <w:p>
      <w:pPr>
        <w:ind w:firstLine="420"/>
        <w:spacing w:line="332" w:lineRule="auto"/>
        <w:rPr>
          <w:rFonts w:hint="eastAsia" w:asciiTheme="minorEastAsia" w:hAnsiTheme="minorEastAsia" w:eastAsiaTheme="minorEastAsia" w:cstheme="minorEastAsia"/>
          <w:szCs w:val="32"/>
          <w:highlight w:val="none"/>
        </w:rPr>
      </w:pPr>
      <w:r/>
      <w:bookmarkStart w:id="442" w:name="_Toc292559411"/>
      <w:r/>
      <w:bookmarkStart w:id="443" w:name="_Toc292559916"/>
      <w:r/>
      <w:bookmarkStart w:id="444" w:name="_Toc267251461"/>
      <w:r/>
      <w:bookmarkStart w:id="445" w:name="_Toc296346707"/>
      <w:r/>
      <w:bookmarkStart w:id="446" w:name="_Toc297120506"/>
      <w:r/>
      <w:bookmarkStart w:id="447" w:name="_Toc296944545"/>
      <w:r/>
      <w:bookmarkStart w:id="448" w:name="_Toc297048392"/>
      <w:r/>
      <w:bookmarkStart w:id="449" w:name="_Toc296891034"/>
      <w:r/>
      <w:bookmarkStart w:id="450" w:name="_Toc296503206"/>
      <w:r/>
      <w:bookmarkStart w:id="451" w:name="_Toc296347205"/>
      <w:r/>
      <w:bookmarkStart w:id="452" w:name="_Toc296891246"/>
      <w:r/>
      <w:bookmarkStart w:id="453" w:name="_Toc297216212"/>
      <w:r/>
      <w:bookmarkStart w:id="454" w:name="_Toc312678041"/>
      <w:r/>
      <w:bookmarkStart w:id="455" w:name="_Toc304295580"/>
      <w:r/>
      <w:bookmarkStart w:id="456" w:name="_Toc300935003"/>
      <w:r/>
      <w:bookmarkStart w:id="457" w:name="_Toc297123553"/>
      <w:r/>
      <w:bookmarkStart w:id="458" w:name="_Toc303539160"/>
      <w:r>
        <w:rPr>
          <w:rFonts w:hint="eastAsia" w:asciiTheme="minorEastAsia" w:hAnsiTheme="minorEastAsia" w:eastAsiaTheme="minorEastAsia" w:cstheme="minorEastAsia"/>
          <w:szCs w:val="32"/>
          <w:highlight w:val="none"/>
        </w:rPr>
        <w:t xml:space="preserve">12.1 合</w:t>
      </w:r>
      <w:bookmarkEnd w:id="442"/>
      <w:r/>
      <w:bookmarkEnd w:id="443"/>
      <w:r/>
      <w:bookmarkEnd w:id="444"/>
      <w:r>
        <w:rPr>
          <w:rFonts w:hint="eastAsia" w:asciiTheme="minorEastAsia" w:hAnsiTheme="minorEastAsia" w:eastAsiaTheme="minorEastAsia" w:cstheme="minorEastAsia"/>
          <w:szCs w:val="32"/>
          <w:highlight w:val="none"/>
        </w:rPr>
        <w:t xml:space="preserve">同价</w:t>
      </w:r>
      <w:bookmarkEnd w:id="445"/>
      <w:r/>
      <w:bookmarkEnd w:id="446"/>
      <w:r/>
      <w:bookmarkEnd w:id="447"/>
      <w:r/>
      <w:bookmarkEnd w:id="448"/>
      <w:r/>
      <w:bookmarkEnd w:id="449"/>
      <w:r/>
      <w:bookmarkEnd w:id="450"/>
      <w:r/>
      <w:bookmarkEnd w:id="451"/>
      <w:r/>
      <w:bookmarkEnd w:id="452"/>
      <w:r>
        <w:rPr>
          <w:rFonts w:hint="eastAsia" w:asciiTheme="minorEastAsia" w:hAnsiTheme="minorEastAsia" w:eastAsiaTheme="minorEastAsia" w:cstheme="minorEastAsia"/>
          <w:szCs w:val="32"/>
          <w:highlight w:val="none"/>
        </w:rPr>
        <w:t xml:space="preserve">格形式</w:t>
      </w:r>
      <w:bookmarkEnd w:id="453"/>
      <w:r/>
      <w:bookmarkEnd w:id="454"/>
      <w:r/>
      <w:bookmarkEnd w:id="455"/>
      <w:r/>
      <w:bookmarkEnd w:id="456"/>
      <w:r/>
      <w:bookmarkEnd w:id="457"/>
      <w:r/>
      <w:bookmarkEnd w:id="45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59" w:name="_Toc304295581"/>
      <w:r/>
      <w:bookmarkStart w:id="460" w:name="_Toc300935004"/>
      <w:r/>
      <w:bookmarkStart w:id="461" w:name="_Toc312678042"/>
      <w:r/>
      <w:bookmarkStart w:id="462" w:name="_Toc297123554"/>
      <w:r/>
      <w:bookmarkStart w:id="463" w:name="_Toc303539161"/>
      <w:r/>
      <w:bookmarkStart w:id="464" w:name="_Toc297216213"/>
      <w:r/>
      <w:bookmarkStart w:id="465" w:name="_Toc297048393"/>
      <w:r/>
      <w:bookmarkStart w:id="466" w:name="_Toc296346708"/>
      <w:r/>
      <w:bookmarkStart w:id="467" w:name="_Toc292559917"/>
      <w:r/>
      <w:bookmarkStart w:id="468" w:name="_Toc292559412"/>
      <w:r/>
      <w:bookmarkStart w:id="469" w:name="_Toc296347206"/>
      <w:r/>
      <w:bookmarkStart w:id="470" w:name="_Toc296503207"/>
      <w:r/>
      <w:bookmarkStart w:id="471" w:name="_Toc296944546"/>
      <w:r/>
      <w:bookmarkStart w:id="472" w:name="_Toc296891035"/>
      <w:r/>
      <w:bookmarkStart w:id="473" w:name="_Toc297120507"/>
      <w:r/>
      <w:bookmarkStart w:id="474" w:name="_Toc296891247"/>
      <w:r>
        <w:rPr>
          <w:rFonts w:hint="eastAsia" w:asciiTheme="minorEastAsia" w:hAnsiTheme="minorEastAsia" w:eastAsiaTheme="minorEastAsia" w:cstheme="minorEastAsia"/>
          <w:szCs w:val="32"/>
          <w:highlight w:val="none"/>
        </w:rPr>
        <w:t xml:space="preserve">12.2 预付款</w:t>
      </w:r>
      <w:bookmarkEnd w:id="459"/>
      <w:r/>
      <w:bookmarkEnd w:id="460"/>
      <w:r/>
      <w:bookmarkEnd w:id="461"/>
      <w:r/>
      <w:bookmarkEnd w:id="462"/>
      <w:r/>
      <w:bookmarkEnd w:id="463"/>
      <w:r/>
      <w:bookmarkEnd w:id="46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65"/>
      <w:r/>
      <w:bookmarkEnd w:id="466"/>
      <w:r/>
      <w:bookmarkEnd w:id="467"/>
      <w:r/>
      <w:bookmarkEnd w:id="468"/>
      <w:r/>
      <w:bookmarkEnd w:id="469"/>
      <w:r/>
      <w:bookmarkEnd w:id="470"/>
      <w:r/>
      <w:bookmarkEnd w:id="471"/>
      <w:r/>
      <w:bookmarkEnd w:id="472"/>
      <w:r/>
      <w:bookmarkEnd w:id="473"/>
      <w:r/>
      <w:bookmarkEnd w:id="4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lang w:val="en-US" w:eastAsia="zh-CN"/>
        </w:rPr>
        <w:t xml:space="preserve">按现行计价等文件、</w:t>
      </w:r>
      <w:r>
        <w:rPr>
          <w:rFonts w:hint="eastAsia" w:asciiTheme="minorEastAsia" w:hAnsiTheme="minorEastAsia" w:eastAsiaTheme="minorEastAsia" w:cstheme="minorEastAsia"/>
          <w:szCs w:val="32"/>
          <w:highlight w:val="none"/>
          <w:u w:val="single"/>
        </w:rPr>
        <w:t xml:space="preserve">规范</w:t>
      </w:r>
      <w:r>
        <w:rPr>
          <w:rFonts w:hint="eastAsia" w:asciiTheme="minorEastAsia" w:hAnsiTheme="minorEastAsia" w:eastAsiaTheme="minorEastAsia" w:cstheme="minorEastAsia"/>
          <w:szCs w:val="32"/>
          <w:highlight w:val="none"/>
          <w:u w:val="single"/>
          <w:lang w:val="en-US" w:eastAsia="zh-CN"/>
        </w:rPr>
        <w:t xml:space="preserve">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75" w:name="_Toc297048397"/>
      <w:r/>
      <w:bookmarkStart w:id="476" w:name="_Toc292559921"/>
      <w:r/>
      <w:bookmarkStart w:id="477" w:name="_Toc297120511"/>
      <w:r/>
      <w:bookmarkStart w:id="478" w:name="_Toc296346712"/>
      <w:r/>
      <w:bookmarkStart w:id="479" w:name="_Toc292559416"/>
      <w:r/>
      <w:bookmarkStart w:id="480" w:name="_Toc296944550"/>
      <w:r/>
      <w:bookmarkStart w:id="481" w:name="_Toc297123556"/>
      <w:r/>
      <w:bookmarkStart w:id="482" w:name="_Toc296891251"/>
      <w:r/>
      <w:bookmarkStart w:id="483" w:name="_Toc296891039"/>
      <w:r/>
      <w:bookmarkStart w:id="484" w:name="_Toc296347210"/>
      <w:r/>
      <w:bookmarkStart w:id="485" w:name="_Toc303539163"/>
      <w:r/>
      <w:bookmarkStart w:id="486" w:name="_Toc300935006"/>
      <w:r/>
      <w:bookmarkStart w:id="487" w:name="_Toc297216215"/>
      <w:r/>
      <w:bookmarkStart w:id="488" w:name="_Toc296503211"/>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18"/>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89" w:name="_Toc351203645"/>
      <w:r/>
      <w:bookmarkStart w:id="490" w:name="_Toc297048405"/>
      <w:r/>
      <w:bookmarkStart w:id="491" w:name="_Toc297216223"/>
      <w:r/>
      <w:bookmarkStart w:id="492" w:name="_Toc297120519"/>
      <w:r/>
      <w:bookmarkStart w:id="493" w:name="_Toc304295593"/>
      <w:r/>
      <w:bookmarkStart w:id="494" w:name="_Toc297123564"/>
      <w:r/>
      <w:bookmarkStart w:id="495" w:name="_Toc303539172"/>
      <w:r/>
      <w:bookmarkStart w:id="496" w:name="_Toc296891047"/>
      <w:r/>
      <w:bookmarkStart w:id="497" w:name="_Toc296503219"/>
      <w:r/>
      <w:bookmarkStart w:id="498" w:name="_Toc296891259"/>
      <w:r/>
      <w:bookmarkStart w:id="499" w:name="_Toc296346720"/>
      <w:r/>
      <w:bookmarkStart w:id="500" w:name="_Toc296347218"/>
      <w:r/>
      <w:bookmarkStart w:id="501" w:name="_Toc292559929"/>
      <w:r/>
      <w:bookmarkStart w:id="502" w:name="_Toc300935015"/>
      <w:r/>
      <w:bookmarkStart w:id="503" w:name="_Toc312678053"/>
      <w:r/>
      <w:bookmarkStart w:id="504" w:name="_Toc296944558"/>
      <w:r/>
      <w:bookmarkStart w:id="505" w:name="_Toc292559424"/>
      <w:r>
        <w:rPr>
          <w:rFonts w:hint="eastAsia" w:asciiTheme="minorEastAsia" w:hAnsiTheme="minorEastAsia" w:eastAsiaTheme="minorEastAsia" w:cstheme="minorEastAsia"/>
          <w:bCs w:val="0"/>
          <w:szCs w:val="32"/>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06" w:name="_Toc292559933"/>
      <w:r/>
      <w:bookmarkStart w:id="507" w:name="_Toc296944562"/>
      <w:r/>
      <w:bookmarkStart w:id="508" w:name="_Toc303539173"/>
      <w:r/>
      <w:bookmarkStart w:id="509" w:name="_Toc296891263"/>
      <w:r/>
      <w:bookmarkStart w:id="510" w:name="_Toc300935016"/>
      <w:r/>
      <w:bookmarkStart w:id="511" w:name="_Toc296346724"/>
      <w:r/>
      <w:bookmarkStart w:id="512" w:name="_Toc297120523"/>
      <w:r/>
      <w:bookmarkStart w:id="513" w:name="_Toc296891051"/>
      <w:r/>
      <w:bookmarkStart w:id="514" w:name="_Toc296347222"/>
      <w:r/>
      <w:bookmarkStart w:id="515" w:name="_Toc312678056"/>
      <w:r/>
      <w:bookmarkStart w:id="516" w:name="_Toc304295596"/>
      <w:r/>
      <w:bookmarkStart w:id="517" w:name="_Toc296503223"/>
      <w:r/>
      <w:bookmarkStart w:id="518" w:name="_Toc297048409"/>
      <w:r/>
      <w:bookmarkStart w:id="519" w:name="_Toc292559428"/>
      <w:r/>
      <w:bookmarkStart w:id="520" w:name="_Toc297123565"/>
      <w:r/>
      <w:bookmarkStart w:id="521" w:name="_Toc297216224"/>
      <w:r/>
      <w:bookmarkStart w:id="522" w:name="_Toc267251475"/>
      <w:r/>
      <w:bookmarkStart w:id="523" w:name="_Toc267251473"/>
      <w:r/>
      <w:bookmarkStart w:id="524" w:name="_Toc267251471"/>
      <w:r/>
      <w:bookmarkStart w:id="525" w:name="_Toc267251472"/>
      <w:r/>
      <w:bookmarkStart w:id="526" w:name="_Toc267251474"/>
      <w:r/>
      <w:bookmarkStart w:id="527" w:name="_Toc267251476"/>
      <w:r/>
      <w:bookmarkStart w:id="528" w:name="_Toc267251470"/>
      <w:r>
        <w:rPr>
          <w:rFonts w:hint="eastAsia" w:asciiTheme="minorEastAsia" w:hAnsiTheme="minorEastAsia" w:eastAsiaTheme="minorEastAsia" w:cstheme="minorEastAsia"/>
          <w:szCs w:val="32"/>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20"/>
        <w:jc w:val="left"/>
        <w:spacing w:line="332" w:lineRule="auto"/>
        <w:rPr>
          <w:rFonts w:hint="eastAsia" w:asciiTheme="minorEastAsia" w:hAnsiTheme="minorEastAsia" w:eastAsiaTheme="minorEastAsia" w:cstheme="minorEastAsia"/>
          <w:szCs w:val="32"/>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Theme="minorEastAsia" w:hAnsiTheme="minorEastAsia" w:eastAsiaTheme="minorEastAsia" w:cstheme="minorEastAsia"/>
          <w:szCs w:val="32"/>
          <w:highlight w:val="none"/>
        </w:rPr>
        <w:t xml:space="preserve">13.2.2竣工验收程序</w:t>
      </w:r>
      <w:bookmarkEnd w:id="52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3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3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3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3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35" w:name="_Toc351203646"/>
      <w:r>
        <w:rPr>
          <w:rFonts w:hint="eastAsia" w:asciiTheme="minorEastAsia" w:hAnsiTheme="minorEastAsia" w:eastAsiaTheme="minorEastAsia" w:cstheme="minorEastAsia"/>
          <w:bCs w:val="0"/>
          <w:szCs w:val="32"/>
          <w:highlight w:val="none"/>
        </w:rPr>
        <w:t xml:space="preserve">14. 竣工结算</w:t>
      </w:r>
      <w:bookmarkEnd w:id="53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第</w:t>
      </w:r>
      <w:r>
        <w:rPr>
          <w:rFonts w:hint="eastAsia" w:asciiTheme="minorEastAsia" w:hAnsiTheme="minorEastAsia" w:eastAsiaTheme="minorEastAsia" w:cstheme="minorEastAsia"/>
          <w:szCs w:val="32"/>
          <w:highlight w:val="none"/>
          <w:u w:val="single"/>
          <w:lang w:val="en-US" w:eastAsia="zh-CN"/>
        </w:rPr>
        <w:t xml:space="preserve">二</w:t>
      </w:r>
      <w:r>
        <w:rPr>
          <w:rFonts w:hint="eastAsia" w:asciiTheme="minorEastAsia" w:hAnsiTheme="minorEastAsia" w:eastAsiaTheme="minorEastAsia" w:cstheme="minorEastAsia"/>
          <w:szCs w:val="32"/>
          <w:highlight w:val="none"/>
          <w:u w:val="single"/>
        </w:rPr>
        <w:t xml:space="preserve">章中付款方式约定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22"/>
      <w:r/>
      <w:bookmarkEnd w:id="523"/>
      <w:r/>
      <w:bookmarkEnd w:id="524"/>
      <w:r/>
      <w:bookmarkEnd w:id="525"/>
      <w:r/>
      <w:bookmarkEnd w:id="526"/>
      <w:r/>
      <w:bookmarkEnd w:id="527"/>
      <w:r/>
      <w:bookmarkEnd w:id="528"/>
      <w:r/>
      <w:bookmarkEnd w:id="534"/>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36" w:name="_Toc351203647"/>
      <w:r/>
      <w:bookmarkStart w:id="537" w:name="_Toc267251483"/>
      <w:r/>
      <w:bookmarkStart w:id="538" w:name="_Toc267251484"/>
      <w:r/>
      <w:bookmarkStart w:id="539" w:name="_Toc267251482"/>
      <w:r/>
      <w:bookmarkStart w:id="540" w:name="_Toc267251485"/>
      <w:r/>
      <w:bookmarkStart w:id="541" w:name="_Toc267251490"/>
      <w:r/>
      <w:bookmarkStart w:id="542" w:name="_Toc267251486"/>
      <w:r/>
      <w:bookmarkStart w:id="543" w:name="_Toc267251489"/>
      <w:r/>
      <w:bookmarkStart w:id="544" w:name="_Toc267251488"/>
      <w:r/>
      <w:bookmarkStart w:id="545" w:name="_Toc267251495"/>
      <w:r/>
      <w:bookmarkStart w:id="546" w:name="_Toc267251491"/>
      <w:r/>
      <w:bookmarkStart w:id="547" w:name="_Toc267251498"/>
      <w:r/>
      <w:bookmarkStart w:id="548" w:name="_Toc267251494"/>
      <w:r/>
      <w:bookmarkStart w:id="549" w:name="_Toc267251496"/>
      <w:r/>
      <w:bookmarkStart w:id="550" w:name="_Toc267251492"/>
      <w:r/>
      <w:bookmarkStart w:id="551" w:name="_Toc267251497"/>
      <w:r/>
      <w:bookmarkStart w:id="552" w:name="_Toc267251499"/>
      <w:r/>
      <w:bookmarkStart w:id="553" w:name="_Toc267251502"/>
      <w:r/>
      <w:bookmarkStart w:id="554" w:name="_Toc267251501"/>
      <w:r/>
      <w:bookmarkStart w:id="555" w:name="_Toc267251493"/>
      <w:r/>
      <w:bookmarkStart w:id="556" w:name="_Toc267251503"/>
      <w:r/>
      <w:bookmarkStart w:id="557" w:name="_Toc267251506"/>
      <w:r/>
      <w:bookmarkStart w:id="558" w:name="_Toc267251504"/>
      <w:r/>
      <w:bookmarkStart w:id="559" w:name="_Toc267251507"/>
      <w:r/>
      <w:bookmarkStart w:id="560" w:name="_Toc267251508"/>
      <w:r/>
      <w:bookmarkStart w:id="561" w:name="_Toc267251511"/>
      <w:r/>
      <w:bookmarkStart w:id="562" w:name="_Toc267251509"/>
      <w:r/>
      <w:bookmarkStart w:id="563" w:name="_Toc267251514"/>
      <w:r/>
      <w:bookmarkStart w:id="564" w:name="_Toc267251515"/>
      <w:r/>
      <w:bookmarkStart w:id="565" w:name="_Toc267251510"/>
      <w:r/>
      <w:bookmarkStart w:id="566" w:name="_Toc267251513"/>
      <w:r>
        <w:rPr>
          <w:rFonts w:hint="eastAsia" w:asciiTheme="minorEastAsia" w:hAnsiTheme="minorEastAsia" w:eastAsiaTheme="minorEastAsia" w:cstheme="minorEastAsia"/>
          <w:bCs w:val="0"/>
          <w:szCs w:val="32"/>
          <w:highlight w:val="none"/>
        </w:rPr>
        <w:t xml:space="preserve">15. 缺陷责任期与保修</w:t>
      </w:r>
      <w:bookmarkEnd w:id="53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3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年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38"/>
      <w:r/>
      <w:bookmarkEnd w:id="53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4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（1）本合同工程保修期为</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41"/>
      <w:r/>
      <w:bookmarkEnd w:id="542"/>
      <w:r/>
      <w:bookmarkEnd w:id="543"/>
      <w:r/>
      <w:bookmarkEnd w:id="544"/>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67" w:name="_Toc351203648"/>
      <w:r/>
      <w:bookmarkStart w:id="568" w:name="_Toc280868717"/>
      <w:r/>
      <w:bookmarkStart w:id="569" w:name="_Toc280868718"/>
      <w:r>
        <w:rPr>
          <w:rFonts w:hint="eastAsia" w:asciiTheme="minorEastAsia" w:hAnsiTheme="minorEastAsia" w:eastAsiaTheme="minorEastAsia" w:cstheme="minorEastAsia"/>
          <w:bCs w:val="0"/>
          <w:szCs w:val="32"/>
          <w:highlight w:val="none"/>
        </w:rPr>
        <w:t xml:space="preserve">16. 违约</w:t>
      </w:r>
      <w:bookmarkEnd w:id="56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0" w:name="_Toc351203649"/>
      <w:r>
        <w:rPr>
          <w:rFonts w:hint="eastAsia" w:asciiTheme="minorEastAsia" w:hAnsiTheme="minorEastAsia" w:eastAsiaTheme="minorEastAsia" w:cstheme="minorEastAsia"/>
          <w:bCs w:val="0"/>
          <w:szCs w:val="32"/>
          <w:highlight w:val="none"/>
        </w:rPr>
        <w:t xml:space="preserve">17. 不可抗力</w:t>
      </w:r>
      <w:bookmarkEnd w:id="570"/>
      <w:r>
        <w:rPr>
          <w:rFonts w:hint="eastAsia" w:asciiTheme="minorEastAsia" w:hAnsiTheme="minorEastAsia" w:eastAsiaTheme="minorEastAsia" w:cstheme="minorEastAsia"/>
          <w:bCs w:val="0"/>
          <w:szCs w:val="32"/>
          <w:highlight w:val="none"/>
        </w:rPr>
        <w:t xml:space="preserve"> </w:t>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1" w:name="_Toc351203650"/>
      <w:r>
        <w:rPr>
          <w:rFonts w:hint="eastAsia" w:asciiTheme="minorEastAsia" w:hAnsiTheme="minorEastAsia" w:eastAsiaTheme="minorEastAsia" w:cstheme="minorEastAsia"/>
          <w:bCs w:val="0"/>
          <w:szCs w:val="32"/>
          <w:highlight w:val="none"/>
        </w:rPr>
        <w:t xml:space="preserve">18. 保险</w:t>
      </w:r>
      <w:bookmarkEnd w:id="571"/>
      <w:r/>
      <w:bookmarkEnd w:id="5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18.3 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18.7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2" w:name="_Toc351203651"/>
      <w:r>
        <w:rPr>
          <w:rFonts w:hint="eastAsia" w:asciiTheme="minorEastAsia" w:hAnsiTheme="minorEastAsia" w:eastAsiaTheme="minorEastAsia" w:cstheme="minorEastAsia"/>
          <w:bCs w:val="0"/>
          <w:szCs w:val="32"/>
          <w:highlight w:val="none"/>
        </w:rPr>
        <w:t xml:space="preserve">20. 争议解决</w:t>
      </w:r>
      <w:bookmarkEnd w:id="572"/>
      <w:r/>
      <w:bookmarkEnd w:id="557"/>
      <w:r/>
      <w:bookmarkEnd w:id="55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 争</w:t>
      </w:r>
      <w:bookmarkEnd w:id="55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20.3.1 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20.3.2 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20.4仲裁或诉讼</w:t>
      </w:r>
      <w:bookmarkEnd w:id="56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61"/>
      <w:r/>
      <w:bookmarkEnd w:id="562"/>
      <w:r/>
      <w:bookmarkEnd w:id="563"/>
      <w:r/>
      <w:bookmarkEnd w:id="564"/>
      <w:r/>
      <w:bookmarkEnd w:id="565"/>
      <w:r/>
      <w:bookmarkEnd w:id="566"/>
      <w:r/>
      <w:r/>
    </w:p>
    <w:p>
      <w:pPr>
        <w:pStyle w:val="895"/>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rPr>
        <w:t xml:space="preserve">2</w:t>
      </w:r>
      <w:r>
        <w:rPr>
          <w:rFonts w:hint="eastAsia" w:asciiTheme="minorEastAsia" w:hAnsiTheme="minorEastAsia" w:eastAsiaTheme="minorEastAsia" w:cstheme="minorEastAsia"/>
          <w:bCs w:val="0"/>
          <w:szCs w:val="32"/>
          <w:highlight w:val="none"/>
          <w:lang w:val="en-US" w:eastAsia="zh-CN"/>
        </w:rPr>
        <w:t xml:space="preserve">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 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9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73" w:name="_Toc152045769"/>
      <w:r/>
      <w:bookmarkStart w:id="574" w:name="_Toc179632787"/>
      <w:r/>
      <w:bookmarkStart w:id="575" w:name="_Toc152042551"/>
      <w:r>
        <w:rPr>
          <w:rStyle w:val="960"/>
          <w:rFonts w:hint="eastAsia" w:asciiTheme="minorEastAsia" w:hAnsiTheme="minorEastAsia" w:eastAsiaTheme="minorEastAsia" w:cstheme="minorEastAsia"/>
          <w:highlight w:val="none"/>
        </w:rPr>
        <w:t xml:space="preserve">附件：履约担保格式</w:t>
      </w:r>
      <w:bookmarkEnd w:id="573"/>
      <w:r/>
      <w:bookmarkEnd w:id="574"/>
      <w:r/>
      <w:bookmarkEnd w:id="57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907"/>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92"/>
        <w:rPr>
          <w:rFonts w:hint="eastAsia" w:asciiTheme="minorEastAsia" w:hAnsiTheme="minorEastAsia" w:eastAsiaTheme="minorEastAsia" w:cstheme="minorEastAsia"/>
          <w:highlight w:val="none"/>
        </w:rPr>
      </w:pPr>
      <w:r/>
      <w:bookmarkStart w:id="576" w:name="_Toc30120"/>
      <w:r/>
      <w:bookmarkStart w:id="577" w:name="_Toc30868"/>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76"/>
      <w:r/>
      <w:bookmarkEnd w:id="57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竞争性谈判响应文件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52"/>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jc w:val="center"/>
        <w:rPr>
          <w:rFonts w:hint="eastAsia" w:ascii="宋体" w:hAnsi="宋体"/>
          <w:b/>
          <w:color w:val="000000"/>
          <w:spacing w:val="20"/>
          <w:sz w:val="21"/>
          <w:szCs w:val="21"/>
          <w:highlight w:val="none"/>
        </w:rPr>
      </w:pPr>
      <w:r/>
      <w:bookmarkStart w:id="578" w:name="_Toc17349"/>
      <w:r/>
      <w:bookmarkStart w:id="579" w:name="_Toc21151"/>
      <w:r>
        <w:rPr>
          <w:rFonts w:hint="eastAsia" w:asciiTheme="minorEastAsia" w:hAnsiTheme="minorEastAsia" w:eastAsiaTheme="minorEastAsia" w:cstheme="minorEastAsia"/>
          <w:b/>
          <w:color w:val="000000"/>
          <w:sz w:val="36"/>
          <w:szCs w:val="20"/>
          <w:highlight w:val="none"/>
          <w:lang w:val="en-US" w:eastAsia="zh-CN" w:bidi="ar-SA"/>
        </w:rPr>
        <w:t xml:space="preserve">首次响应报价表</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项目编号</w:t>
      </w:r>
      <w:r>
        <w:rPr>
          <w:rFonts w:hint="eastAsia" w:asciiTheme="minorEastAsia" w:hAnsiTheme="minorEastAsia" w:eastAsiaTheme="minorEastAsia" w:cstheme="minorEastAsia"/>
          <w:sz w:val="24"/>
          <w:szCs w:val="24"/>
          <w:highlight w:val="none"/>
        </w:rPr>
        <w:t xml:space="preserve">：</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本次为首次报价</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货币单位：人民币元</w:t>
      </w:r>
      <w:r>
        <w:rPr>
          <w:rFonts w:hint="eastAsia" w:asciiTheme="minorEastAsia" w:hAnsiTheme="minorEastAsia" w:eastAsiaTheme="minorEastAsia" w:cstheme="minorEastAsia"/>
          <w:sz w:val="24"/>
          <w:szCs w:val="24"/>
          <w:highlight w:val="none"/>
        </w:rPr>
        <w:t xml:space="preserve">     </w:t>
      </w:r>
      <w:r/>
    </w:p>
    <w:tbl>
      <w:tblPr>
        <w:tblStyle w:val="90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2005"/>
        <w:gridCol w:w="3412"/>
        <w:gridCol w:w="1634"/>
      </w:tblGrid>
      <w:tr>
        <w:trPr>
          <w:cantSplit/>
          <w:jc w:val="center"/>
          <w:trHeight w:val="1019"/>
        </w:trPr>
        <w:tc>
          <w:tcPr>
            <w:tcW w:w="1468" w:type="dxa"/>
            <w:vAlign w:val="center"/>
            <w:textDirection w:val="lrTb"/>
            <w:noWrap w:val="false"/>
          </w:tcPr>
          <w:p>
            <w:pPr>
              <w:jc w:val="center"/>
              <w:rPr>
                <w:rFonts w:hint="eastAsia"/>
                <w:sz w:val="21"/>
                <w:szCs w:val="21"/>
              </w:rPr>
            </w:pPr>
            <w:r>
              <w:rPr>
                <w:rFonts w:hint="eastAsia"/>
                <w:sz w:val="21"/>
                <w:szCs w:val="21"/>
              </w:rPr>
              <w:t xml:space="preserve">项目名称</w:t>
            </w:r>
            <w:r/>
          </w:p>
        </w:tc>
        <w:tc>
          <w:tcPr>
            <w:tcW w:w="2005" w:type="dxa"/>
            <w:vAlign w:val="center"/>
            <w:textDirection w:val="lrTb"/>
            <w:noWrap w:val="false"/>
          </w:tcPr>
          <w:p>
            <w:pPr>
              <w:jc w:val="center"/>
              <w:rPr>
                <w:rFonts w:hint="eastAsia"/>
                <w:sz w:val="21"/>
                <w:szCs w:val="21"/>
              </w:rPr>
            </w:pPr>
            <w:r>
              <w:rPr>
                <w:rFonts w:hint="eastAsia"/>
                <w:sz w:val="21"/>
                <w:szCs w:val="21"/>
              </w:rPr>
              <w:t xml:space="preserve">项目内容</w:t>
            </w:r>
            <w:r/>
          </w:p>
        </w:tc>
        <w:tc>
          <w:tcPr>
            <w:tcW w:w="3412"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（小写）</w:t>
            </w:r>
            <w:r/>
          </w:p>
        </w:tc>
        <w:tc>
          <w:tcPr>
            <w:tcW w:w="1634" w:type="dxa"/>
            <w:vAlign w:val="center"/>
            <w:textDirection w:val="lrTb"/>
            <w:noWrap w:val="false"/>
          </w:tcPr>
          <w:p>
            <w:pPr>
              <w:jc w:val="center"/>
              <w:rPr>
                <w:rFonts w:hint="eastAsia"/>
                <w:sz w:val="21"/>
                <w:szCs w:val="21"/>
                <w:lang w:val="en-US" w:eastAsia="zh-CN"/>
              </w:rPr>
            </w:pPr>
            <w:r>
              <w:rPr>
                <w:rFonts w:hint="eastAsia"/>
                <w:sz w:val="21"/>
                <w:szCs w:val="21"/>
                <w:lang w:val="en-US" w:eastAsia="zh-CN"/>
              </w:rPr>
              <w:t xml:space="preserve">备注</w:t>
            </w:r>
            <w:r/>
          </w:p>
        </w:tc>
      </w:tr>
      <w:tr>
        <w:trPr>
          <w:cantSplit/>
          <w:jc w:val="center"/>
          <w:trHeight w:val="1035"/>
        </w:trPr>
        <w:tc>
          <w:tcPr>
            <w:tcW w:w="1468" w:type="dxa"/>
            <w:vAlign w:val="center"/>
            <w:textDirection w:val="lrTb"/>
            <w:noWrap w:val="false"/>
          </w:tcPr>
          <w:p>
            <w:pPr>
              <w:jc w:val="center"/>
              <w:rPr>
                <w:rFonts w:hint="eastAsia" w:eastAsia="宋体"/>
                <w:sz w:val="21"/>
                <w:szCs w:val="21"/>
                <w:lang w:val="en-US" w:eastAsia="zh-CN"/>
              </w:rPr>
            </w:pPr>
            <w:r>
              <w:rPr>
                <w:rFonts w:hint="eastAsia" w:eastAsia="宋体"/>
                <w:sz w:val="21"/>
                <w:szCs w:val="21"/>
                <w:lang w:val="en-US" w:eastAsia="zh-CN"/>
              </w:rPr>
            </w:r>
            <w:r/>
          </w:p>
        </w:tc>
        <w:tc>
          <w:tcPr>
            <w:tcW w:w="2005" w:type="dxa"/>
            <w:vAlign w:val="center"/>
            <w:textDirection w:val="lrTb"/>
            <w:noWrap w:val="false"/>
          </w:tcPr>
          <w:p>
            <w:pPr>
              <w:jc w:val="center"/>
              <w:rPr>
                <w:rFonts w:hint="eastAsia" w:eastAsia="宋体"/>
                <w:sz w:val="21"/>
                <w:szCs w:val="21"/>
                <w:lang w:val="en-US" w:eastAsia="zh-CN"/>
              </w:rPr>
            </w:pPr>
            <w:r>
              <w:rPr>
                <w:rFonts w:hint="eastAsia"/>
                <w:sz w:val="21"/>
                <w:szCs w:val="21"/>
                <w:lang w:val="en-US" w:eastAsia="zh-CN"/>
              </w:rPr>
              <w:t xml:space="preserve">详见《谈判文件》</w:t>
            </w:r>
            <w:r/>
          </w:p>
        </w:tc>
        <w:tc>
          <w:tcPr>
            <w:tcW w:w="3412" w:type="dxa"/>
            <w:vAlign w:val="center"/>
            <w:textDirection w:val="lrTb"/>
            <w:noWrap w:val="false"/>
          </w:tcPr>
          <w:p>
            <w:pPr>
              <w:jc w:val="center"/>
              <w:rPr>
                <w:rFonts w:hint="eastAsia"/>
                <w:sz w:val="21"/>
                <w:szCs w:val="21"/>
                <w:lang w:val="en-US"/>
              </w:rPr>
            </w:pPr>
            <w:r>
              <w:rPr>
                <w:rFonts w:hint="eastAsia"/>
                <w:sz w:val="21"/>
                <w:szCs w:val="21"/>
                <w:lang w:val="en-US"/>
              </w:rPr>
              <w:t xml:space="preserve">  元</w:t>
            </w:r>
            <w:r/>
          </w:p>
        </w:tc>
        <w:tc>
          <w:tcPr>
            <w:tcW w:w="1634" w:type="dxa"/>
            <w:vAlign w:val="center"/>
            <w:textDirection w:val="lrTb"/>
            <w:noWrap w:val="false"/>
          </w:tcPr>
          <w:p>
            <w:pPr>
              <w:jc w:val="center"/>
              <w:rPr>
                <w:rFonts w:hint="eastAsia"/>
                <w:sz w:val="21"/>
                <w:szCs w:val="21"/>
                <w:lang w:val="en-US"/>
              </w:rPr>
            </w:pPr>
            <w:r>
              <w:rPr>
                <w:rFonts w:hint="eastAsia"/>
                <w:sz w:val="21"/>
                <w:szCs w:val="21"/>
                <w:lang w:val="en-US"/>
              </w:rPr>
            </w:r>
            <w:r/>
          </w:p>
        </w:tc>
      </w:tr>
      <w:tr>
        <w:trPr>
          <w:cantSplit/>
          <w:jc w:val="center"/>
          <w:trHeight w:val="1714"/>
        </w:trPr>
        <w:tc>
          <w:tcPr>
            <w:tcW w:w="1468" w:type="dxa"/>
            <w:vAlign w:val="center"/>
            <w:textDirection w:val="lrTb"/>
            <w:noWrap w:val="false"/>
          </w:tcPr>
          <w:p>
            <w:pPr>
              <w:jc w:val="center"/>
              <w:rPr>
                <w:rFonts w:hint="eastAsia"/>
                <w:sz w:val="21"/>
                <w:szCs w:val="21"/>
              </w:rPr>
            </w:pPr>
            <w:r>
              <w:rPr>
                <w:rFonts w:hint="eastAsia"/>
                <w:sz w:val="21"/>
                <w:szCs w:val="21"/>
                <w:lang w:val="en-US" w:eastAsia="zh-CN"/>
              </w:rPr>
              <w:t xml:space="preserve">报价</w:t>
            </w:r>
            <w:r>
              <w:rPr>
                <w:rFonts w:hint="eastAsia"/>
                <w:sz w:val="21"/>
                <w:szCs w:val="21"/>
              </w:rPr>
              <w:t xml:space="preserve">（大写）</w:t>
            </w:r>
            <w:r>
              <w:rPr>
                <w:rFonts w:hint="eastAsia"/>
                <w:sz w:val="21"/>
                <w:szCs w:val="21"/>
                <w:lang w:eastAsia="zh-CN"/>
              </w:rPr>
              <w:t xml:space="preserve">：</w:t>
            </w:r>
            <w:r/>
          </w:p>
        </w:tc>
        <w:tc>
          <w:tcPr>
            <w:gridSpan w:val="3"/>
            <w:tcW w:w="7051" w:type="dxa"/>
            <w:vAlign w:val="center"/>
            <w:textDirection w:val="lrTb"/>
            <w:noWrap w:val="false"/>
          </w:tcPr>
          <w:p>
            <w:pPr>
              <w:rPr>
                <w:rFonts w:hint="eastAsia"/>
                <w:sz w:val="21"/>
                <w:szCs w:val="21"/>
                <w:lang w:val="en-US" w:eastAsia="zh-CN"/>
              </w:rPr>
            </w:pPr>
            <w:r>
              <w:rPr>
                <w:rFonts w:hint="eastAsia"/>
                <w:sz w:val="21"/>
                <w:szCs w:val="21"/>
                <w:lang w:val="en-US" w:eastAsia="zh-CN"/>
              </w:rPr>
              <w:t xml:space="preserve">金额大写</w:t>
            </w:r>
            <w:r/>
          </w:p>
        </w:tc>
      </w:tr>
    </w:tbl>
    <w:p>
      <w:pPr>
        <w:keepLines w:val="0"/>
        <w:keepNext w:val="0"/>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供应商报价说明：</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采购人不需再支付报价以外的任何费用。</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偏离说明：详见《采购需求响应表》。</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报价大小写不一致以大写为准。</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投标人公章：          （电子签章）</w:t>
      </w:r>
      <w:r/>
    </w:p>
    <w:p>
      <w:pPr>
        <w:pStyle w:val="892"/>
        <w:jc w:val="left"/>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78"/>
      <w:r/>
      <w:bookmarkEnd w:id="579"/>
      <w:r>
        <w:rPr>
          <w:rFonts w:hint="eastAsia" w:asciiTheme="minorEastAsia" w:hAnsiTheme="minorEastAsia" w:eastAsiaTheme="minorEastAsia" w:cstheme="minorEastAsia"/>
          <w:bCs/>
          <w:sz w:val="24"/>
          <w:szCs w:val="24"/>
          <w:highlight w:val="none"/>
        </w:rPr>
        <w:t xml:space="preserve"> </w:t>
      </w:r>
      <w:r/>
    </w:p>
    <w:p>
      <w:pPr>
        <w:pStyle w:val="89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3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52"/>
        <w:spacing w:before="360" w:after="100" w:afterAutospacing="1"/>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892"/>
        <w:rPr>
          <w:rFonts w:hint="eastAsia" w:asciiTheme="minorEastAsia" w:hAnsiTheme="minorEastAsia" w:eastAsiaTheme="minorEastAsia" w:cstheme="minorEastAsia"/>
          <w:bCs/>
          <w:szCs w:val="24"/>
          <w:highlight w:val="none"/>
        </w:rPr>
      </w:pPr>
      <w:r/>
      <w:bookmarkStart w:id="580" w:name="_Toc18211"/>
      <w:r/>
      <w:bookmarkStart w:id="581" w:name="_Toc5756"/>
      <w:r/>
      <w:bookmarkStart w:id="582" w:name="_Toc6273"/>
      <w:r>
        <w:rPr>
          <w:rFonts w:hint="eastAsia" w:asciiTheme="minorEastAsia" w:hAnsiTheme="minorEastAsia" w:eastAsiaTheme="minorEastAsia" w:cstheme="minorEastAsia"/>
          <w:highlight w:val="none"/>
        </w:rPr>
        <w:t xml:space="preserve">承  诺  书</w:t>
      </w:r>
      <w:bookmarkEnd w:id="580"/>
      <w:r/>
      <w:bookmarkEnd w:id="581"/>
      <w:r/>
      <w:bookmarkEnd w:id="582"/>
      <w:r/>
      <w:r/>
    </w:p>
    <w:p>
      <w:pPr>
        <w:ind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               （采购单位名称）：</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本单位</w:t>
      </w:r>
      <w:r>
        <w:rPr>
          <w:rFonts w:hint="eastAsia" w:ascii="宋体" w:hAnsi="宋体"/>
          <w:color w:val="000000"/>
          <w:sz w:val="24"/>
          <w:szCs w:val="24"/>
          <w:highlight w:val="none"/>
          <w:u w:val="single"/>
        </w:rPr>
        <w:t xml:space="preserve">           （名称）</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（项目名称和项目编号）</w:t>
      </w:r>
      <w:r>
        <w:rPr>
          <w:rFonts w:hint="eastAsia" w:ascii="宋体" w:hAnsi="宋体"/>
          <w:color w:val="000000"/>
          <w:sz w:val="24"/>
          <w:szCs w:val="24"/>
          <w:highlight w:val="none"/>
        </w:rPr>
        <w:t xml:space="preserve">的政府采购活动，郑重承诺具备以下条件：</w:t>
      </w:r>
      <w:r/>
    </w:p>
    <w:p>
      <w:pPr>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1、参加本次政府采购活动前三年内，在经营活动中没有重大违法记录；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、企业不存在因发生重大工程质量、安全生产事故被有关部门暂停投标资格并在暂停期内；</w:t>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3、未被“信用中国”网站（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）、中国政府采购网（www.ccgp.gov.cn）列入失信执行人、重大税收违法案件当事人名单、政府采购严重违法失信行为记录名单。</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本单位对上述承诺的真实性负责。如有虚假，将依法承担相应责任。同时我们同意如贵方要求，可以出示相关证明文件。</w:t>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jc w:val="both"/>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（盖单位章）</w:t>
      </w:r>
      <w:r/>
    </w:p>
    <w:p>
      <w:pPr>
        <w:jc w:val="both"/>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法定代表人或授权委托人：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（签字或盖章）</w:t>
      </w:r>
      <w:r/>
    </w:p>
    <w:p>
      <w:pPr>
        <w:jc w:val="both"/>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日期：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562"/>
        <w:jc w:val="left"/>
        <w:keepLines w:val="0"/>
        <w:keepNext w:val="0"/>
        <w:pageBreakBefore w:val="0"/>
        <w:spacing w:line="360" w:lineRule="auto"/>
        <w:widowControl w:val="off"/>
        <w:rPr>
          <w:rFonts w:hint="eastAsia" w:ascii="宋体" w:hAnsi="宋体"/>
          <w:b/>
          <w:color w:val="000000"/>
          <w:spacing w:val="20"/>
          <w:sz w:val="24"/>
          <w:szCs w:val="24"/>
        </w:rPr>
      </w:pPr>
      <w:r>
        <w:rPr>
          <w:rFonts w:hint="eastAsia" w:ascii="宋体" w:hAnsi="宋体"/>
          <w:b/>
          <w:color w:val="000000"/>
          <w:spacing w:val="20"/>
          <w:sz w:val="24"/>
          <w:szCs w:val="24"/>
        </w:rPr>
      </w:r>
      <w:r/>
    </w:p>
    <w:p>
      <w:pPr>
        <w:pStyle w:val="1052"/>
        <w:ind w:right="28" w:firstLine="480"/>
        <w:keepLines w:val="0"/>
        <w:keepNext w:val="0"/>
        <w:pageBreakBefore w:val="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5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附件四</w:t>
      </w:r>
      <w:r/>
    </w:p>
    <w:p>
      <w:pPr>
        <w:pStyle w:val="892"/>
        <w:rPr>
          <w:rFonts w:hint="eastAsia" w:asciiTheme="minorEastAsia" w:hAnsiTheme="minorEastAsia" w:eastAsiaTheme="minorEastAsia" w:cstheme="minorEastAsia"/>
          <w:szCs w:val="24"/>
          <w:highlight w:val="none"/>
        </w:rPr>
      </w:pPr>
      <w:r/>
      <w:bookmarkStart w:id="583" w:name="_Toc23499"/>
      <w:r/>
      <w:bookmarkStart w:id="584" w:name="_Toc30554"/>
      <w:r/>
      <w:bookmarkStart w:id="585" w:name="_Toc2129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83"/>
      <w:r/>
      <w:bookmarkEnd w:id="584"/>
      <w:r/>
      <w:bookmarkEnd w:id="585"/>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33"/>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33"/>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901"/>
        <w:tblW w:w="9658" w:type="dxa"/>
        <w:tblInd w:w="0" w:type="dxa"/>
        <w:tblLayout w:type="fixed"/>
        <w:tblCellMar>
          <w:left w:w="0" w:type="dxa"/>
          <w:top w:w="0" w:type="dxa"/>
          <w:right w:w="0" w:type="dxa"/>
          <w:bottom w:w="0" w:type="dxa"/>
        </w:tblCellMar>
        <w:tblLook w:val="04A0" w:firstRow="1" w:lastRow="0" w:firstColumn="1" w:lastColumn="0" w:noHBand="0" w:noVBand="1"/>
      </w:tblPr>
      <w:tblGrid>
        <w:gridCol w:w="2414"/>
        <w:gridCol w:w="2415"/>
        <w:gridCol w:w="2414"/>
        <w:gridCol w:w="2415"/>
      </w:tblGrid>
      <w:tr>
        <w:trPr>
          <w:cantSplit/>
          <w:trHeight w:val="53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rPr>
              <w:t xml:space="preserve">项目名称</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采购要求</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
                <w:bCs/>
                <w:color w:val="000000"/>
                <w:szCs w:val="21"/>
              </w:rPr>
            </w:pPr>
            <w:r>
              <w:rPr>
                <w:rFonts w:hint="eastAsia" w:ascii="宋体" w:hAnsi="宋体" w:cs="宋体"/>
                <w:b/>
                <w:bCs/>
                <w:szCs w:val="21"/>
              </w:rPr>
              <w:t xml:space="preserve">实际响应情况</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
                <w:bCs/>
                <w:color w:val="000000"/>
                <w:szCs w:val="21"/>
              </w:rPr>
            </w:pPr>
            <w:r>
              <w:rPr>
                <w:rFonts w:hint="eastAsia" w:ascii="宋体" w:hAnsi="宋体" w:cs="宋体"/>
                <w:b/>
                <w:bCs/>
                <w:color w:val="000000"/>
                <w:szCs w:val="21"/>
              </w:rPr>
              <w:t xml:space="preserve">偏离说明</w:t>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8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r>
        <w:trPr>
          <w:cantSplit/>
          <w:trHeight w:val="12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14" w:type="dxa"/>
            <w:vAlign w:val="center"/>
            <w:textDirection w:val="lrTb"/>
            <w:noWrap/>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rFonts w:ascii="宋体" w:hAnsi="宋体" w:cs="宋体"/>
                <w:bCs/>
                <w:color w:val="000000"/>
                <w:szCs w:val="21"/>
              </w:rPr>
            </w:pPr>
            <w:r>
              <w:rPr>
                <w:rFonts w:ascii="宋体" w:hAnsi="宋体" w:cs="宋体"/>
                <w:bCs/>
                <w:color w:val="000000"/>
                <w:szCs w:val="21"/>
              </w:rPr>
            </w:r>
            <w:r/>
          </w:p>
        </w:tc>
      </w:tr>
    </w:tbl>
    <w:p>
      <w:pPr>
        <w:pStyle w:val="1033"/>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33"/>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注：（1）本表不得删除；</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   （2）如无任何偏离，请于本表 “偏离说明”中注明“无偏离”；</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   （3）如有偏离项，请于本表中列明偏离内容，如需要可自行延长，其余无偏离内容不须赘述。</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lang w:eastAsia="zh-CN"/>
        </w:rPr>
      </w:pPr>
      <w:r>
        <w:rPr>
          <w:rFonts w:hint="eastAsia" w:asciiTheme="minorEastAsia" w:hAnsiTheme="minorEastAsia" w:eastAsiaTheme="minorEastAsia" w:cstheme="minorEastAsia"/>
          <w:sz w:val="21"/>
          <w:szCs w:val="21"/>
          <w:highlight w:val="none"/>
          <w:u w:val="none"/>
          <w:lang w:eastAsia="zh-CN"/>
        </w:rPr>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供应商（电子签章）：</w:t>
      </w:r>
      <w:r/>
    </w:p>
    <w:p>
      <w:pPr>
        <w:pStyle w:val="1033"/>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法定代表人（签名或印鉴）：</w:t>
      </w:r>
      <w:r/>
    </w:p>
    <w:p>
      <w:pPr>
        <w:pStyle w:val="1033"/>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u w:val="none"/>
        </w:rPr>
        <w:t xml:space="preserve">日期：</w:t>
      </w:r>
      <w:r/>
    </w:p>
    <w:p>
      <w:pPr>
        <w:pStyle w:val="1052"/>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附件五</w:t>
      </w:r>
      <w:r/>
    </w:p>
    <w:p>
      <w:pPr>
        <w:pStyle w:val="1052"/>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892"/>
        <w:rPr>
          <w:rFonts w:hint="eastAsia" w:asciiTheme="minorEastAsia" w:hAnsiTheme="minorEastAsia" w:eastAsiaTheme="minorEastAsia" w:cstheme="minorEastAsia"/>
          <w:highlight w:val="none"/>
        </w:rPr>
      </w:pPr>
      <w:r/>
      <w:bookmarkStart w:id="586" w:name="_Toc14231"/>
      <w:r/>
      <w:bookmarkStart w:id="587" w:name="_Toc6957"/>
      <w:r/>
      <w:bookmarkStart w:id="588" w:name="_Toc735"/>
      <w:r>
        <w:rPr>
          <w:rFonts w:hint="eastAsia" w:asciiTheme="minorEastAsia" w:hAnsiTheme="minorEastAsia" w:eastAsiaTheme="minorEastAsia" w:cstheme="minorEastAsia"/>
          <w:highlight w:val="none"/>
        </w:rPr>
        <w:t xml:space="preserve">授  权  委  托  书</w:t>
      </w:r>
      <w:bookmarkEnd w:id="586"/>
      <w:r/>
      <w:bookmarkEnd w:id="587"/>
      <w:r/>
      <w:bookmarkEnd w:id="588"/>
      <w:r/>
      <w:r/>
    </w:p>
    <w:p>
      <w:pPr>
        <w:pStyle w:val="105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响应文件时起至合同执行结束时止，全权代表我单位对上述项目的进行</w:t>
      </w:r>
      <w:r>
        <w:rPr>
          <w:rFonts w:hint="eastAsia" w:asciiTheme="minorEastAsia" w:hAnsiTheme="minorEastAsia" w:eastAsiaTheme="minorEastAsia" w:cstheme="minorEastAsia"/>
          <w:sz w:val="24"/>
          <w:highlight w:val="none"/>
          <w:lang w:eastAsia="zh-CN"/>
        </w:rPr>
        <w:t xml:space="preserve">谈判</w:t>
      </w:r>
      <w:r>
        <w:rPr>
          <w:rFonts w:hint="eastAsia" w:asciiTheme="minorEastAsia" w:hAnsiTheme="minorEastAsia" w:eastAsiaTheme="minorEastAsia" w:cstheme="minorEastAsia"/>
          <w:sz w:val="24"/>
          <w:highlight w:val="none"/>
        </w:rPr>
        <w:t xml:space="preserve">、签约等，所签署的一切文件，我公司均承认有效。</w:t>
      </w:r>
      <w:r/>
    </w:p>
    <w:p>
      <w:pPr>
        <w:pStyle w:val="1052"/>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52"/>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2"/>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pStyle w:val="105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63"/>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r>
      <w:r/>
    </w:p>
    <w:p>
      <w:pPr>
        <w:pStyle w:val="1052"/>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5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2"/>
        <w:rPr>
          <w:rFonts w:hint="eastAsia" w:asciiTheme="minorEastAsia" w:hAnsiTheme="minorEastAsia" w:eastAsiaTheme="minorEastAsia" w:cstheme="minorEastAsia"/>
          <w:szCs w:val="24"/>
          <w:highlight w:val="none"/>
        </w:rPr>
      </w:pPr>
      <w:r/>
      <w:bookmarkStart w:id="589" w:name="_Toc19729"/>
      <w:r/>
      <w:bookmarkStart w:id="590" w:name="_Toc17059"/>
      <w:r/>
      <w:bookmarkStart w:id="591" w:name="_Toc8273"/>
      <w:r>
        <w:rPr>
          <w:rFonts w:hint="eastAsia" w:asciiTheme="minorEastAsia" w:hAnsiTheme="minorEastAsia" w:eastAsiaTheme="minorEastAsia" w:cstheme="minorEastAsia"/>
          <w:highlight w:val="none"/>
        </w:rPr>
        <w:t xml:space="preserve">具备履行合同所必需的设备和专业技术能力的声明</w:t>
      </w:r>
      <w:bookmarkEnd w:id="589"/>
      <w:r/>
      <w:bookmarkEnd w:id="590"/>
      <w:r/>
      <w:bookmarkEnd w:id="591"/>
      <w:r/>
      <w:r/>
    </w:p>
    <w:p>
      <w:pPr>
        <w:pStyle w:val="1052"/>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52"/>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52"/>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52"/>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52"/>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2"/>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3"/>
        <w:ind w:firstLine="0"/>
        <w:spacing w:line="240" w:lineRule="auto"/>
        <w:rPr>
          <w:rFonts w:hint="eastAsia" w:asciiTheme="minorEastAsia" w:hAnsiTheme="minorEastAsia" w:eastAsiaTheme="minorEastAsia" w:cstheme="minorEastAsia"/>
          <w:bCs w:val="0"/>
          <w:sz w:val="24"/>
          <w:szCs w:val="24"/>
          <w:highlight w:val="none"/>
        </w:rPr>
      </w:pPr>
      <w:r/>
      <w:bookmarkStart w:id="592" w:name="_Toc16987"/>
      <w:r/>
      <w:r/>
    </w:p>
    <w:p>
      <w:pPr>
        <w:pStyle w:val="1063"/>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592"/>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92"/>
        <w:rPr>
          <w:rFonts w:hint="eastAsia" w:asciiTheme="minorEastAsia" w:hAnsiTheme="minorEastAsia" w:eastAsiaTheme="minorEastAsia" w:cstheme="minorEastAsia"/>
          <w:b w:val="0"/>
          <w:szCs w:val="24"/>
          <w:highlight w:val="none"/>
        </w:rPr>
      </w:pPr>
      <w:r/>
      <w:bookmarkStart w:id="593" w:name="_Toc11288"/>
      <w:r/>
      <w:bookmarkStart w:id="594" w:name="_Toc8045"/>
      <w:r/>
      <w:bookmarkStart w:id="595" w:name="_Toc19960"/>
      <w:r>
        <w:rPr>
          <w:rFonts w:hint="eastAsia" w:asciiTheme="minorEastAsia" w:hAnsiTheme="minorEastAsia" w:eastAsiaTheme="minorEastAsia" w:cstheme="minorEastAsia"/>
          <w:highlight w:val="none"/>
        </w:rPr>
        <w:t xml:space="preserve">无重大违法记录声明</w:t>
      </w:r>
      <w:bookmarkEnd w:id="593"/>
      <w:r/>
      <w:bookmarkEnd w:id="594"/>
      <w:r/>
      <w:bookmarkEnd w:id="595"/>
      <w:r/>
      <w:r/>
    </w:p>
    <w:p>
      <w:pPr>
        <w:pStyle w:val="1052"/>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5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52"/>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52"/>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52"/>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5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52"/>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52"/>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52"/>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3"/>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3"/>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jc w:val="center"/>
        <w:spacing w:after="320" w:line="360" w:lineRule="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中小企业声明函（工程）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本公司（联合体）郑重声明，根据《政府采购促进中小企业发展管理办法》（财库﹝2020﹞46 号）的规定，本公司 （联合体）参加</w:t>
      </w:r>
      <w:r>
        <w:rPr>
          <w:rFonts w:hint="eastAsia" w:asciiTheme="minorEastAsia" w:hAnsiTheme="minorEastAsia" w:eastAsiaTheme="minorEastAsia" w:cstheme="minorEastAsia"/>
          <w:i/>
          <w:iCs/>
          <w:sz w:val="24"/>
          <w:szCs w:val="24"/>
          <w:highlight w:val="none"/>
          <w:u w:val="single"/>
          <w:lang w:bidi="ar"/>
        </w:rPr>
        <w:t xml:space="preserve">（单位名称）</w:t>
      </w:r>
      <w:r>
        <w:rPr>
          <w:rFonts w:hint="eastAsia" w:asciiTheme="minorEastAsia" w:hAnsiTheme="minorEastAsia" w:eastAsiaTheme="minorEastAsia" w:cstheme="minorEastAsia"/>
          <w:sz w:val="24"/>
          <w:szCs w:val="24"/>
          <w:highlight w:val="none"/>
          <w:lang w:bidi="ar"/>
        </w:rPr>
        <w:t xml:space="preserve">的</w:t>
      </w:r>
      <w:r>
        <w:rPr>
          <w:rFonts w:hint="eastAsia" w:asciiTheme="minorEastAsia" w:hAnsiTheme="minorEastAsia" w:eastAsiaTheme="minorEastAsia" w:cstheme="minorEastAsia"/>
          <w:i/>
          <w:iCs/>
          <w:sz w:val="24"/>
          <w:szCs w:val="24"/>
          <w:highlight w:val="none"/>
          <w:u w:val="single"/>
          <w:lang w:bidi="ar"/>
        </w:rPr>
        <w:t xml:space="preserve">（项目名称）</w:t>
      </w:r>
      <w:r>
        <w:rPr>
          <w:rFonts w:hint="eastAsia" w:asciiTheme="minorEastAsia" w:hAnsiTheme="minorEastAsia" w:eastAsiaTheme="minorEastAsia" w:cstheme="minorEastAsia"/>
          <w:sz w:val="24"/>
          <w:szCs w:val="24"/>
          <w:highlight w:val="none"/>
          <w:lang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1.</w:t>
      </w:r>
      <w:r>
        <w:rPr>
          <w:rFonts w:hint="eastAsia" w:asciiTheme="minorEastAsia" w:hAnsiTheme="minorEastAsia" w:eastAsiaTheme="minorEastAsia" w:cstheme="minorEastAsia"/>
          <w:sz w:val="24"/>
          <w:szCs w:val="24"/>
          <w:highlight w:val="none"/>
          <w:u w:val="single"/>
          <w:lang w:bidi="ar"/>
        </w:rPr>
        <w:t xml:space="preserve"> （标的名称） </w:t>
      </w:r>
      <w:r>
        <w:rPr>
          <w:rFonts w:hint="eastAsia" w:asciiTheme="minorEastAsia" w:hAnsiTheme="minorEastAsia" w:eastAsiaTheme="minorEastAsia" w:cstheme="minorEastAsia"/>
          <w:sz w:val="24"/>
          <w:szCs w:val="24"/>
          <w:highlight w:val="none"/>
          <w:lang w:bidi="ar"/>
        </w:rPr>
        <w:t xml:space="preserve">，属于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 </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w:t>
      </w:r>
      <w:r>
        <w:rPr>
          <w:rStyle w:val="954"/>
          <w:rFonts w:hint="eastAsia" w:asciiTheme="minorEastAsia" w:hAnsiTheme="minorEastAsia" w:eastAsiaTheme="minorEastAsia" w:cstheme="minorEastAsia"/>
          <w:sz w:val="24"/>
          <w:szCs w:val="24"/>
          <w:highlight w:val="none"/>
          <w:lang w:bidi="ar"/>
        </w:rPr>
        <w:footnoteReference w:id="2"/>
      </w:r>
      <w:r>
        <w:rPr>
          <w:rFonts w:hint="eastAsia" w:asciiTheme="minorEastAsia" w:hAnsiTheme="minorEastAsia" w:eastAsiaTheme="minorEastAsia" w:cstheme="minorEastAsia"/>
          <w:sz w:val="24"/>
          <w:szCs w:val="24"/>
          <w:highlight w:val="none"/>
          <w:lang w:bidi="ar"/>
        </w:rPr>
        <w:t xml:space="preserve">，属于（中型企业、小型企业、微型企业）；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2. </w:t>
      </w:r>
      <w:r>
        <w:rPr>
          <w:rFonts w:hint="eastAsia" w:asciiTheme="minorEastAsia" w:hAnsiTheme="minorEastAsia" w:eastAsiaTheme="minorEastAsia" w:cstheme="minorEastAsia"/>
          <w:sz w:val="24"/>
          <w:szCs w:val="24"/>
          <w:highlight w:val="none"/>
          <w:u w:val="single"/>
          <w:lang w:bidi="ar"/>
        </w:rPr>
        <w:t xml:space="preserve">（标的名称）</w:t>
      </w:r>
      <w:r>
        <w:rPr>
          <w:rFonts w:hint="eastAsia" w:asciiTheme="minorEastAsia" w:hAnsiTheme="minorEastAsia" w:eastAsiaTheme="minorEastAsia" w:cstheme="minorEastAsia"/>
          <w:sz w:val="24"/>
          <w:szCs w:val="24"/>
          <w:highlight w:val="none"/>
          <w:lang w:bidi="ar"/>
        </w:rPr>
        <w:t xml:space="preserve"> ，属于</w:t>
      </w:r>
      <w:r>
        <w:rPr>
          <w:rFonts w:hint="eastAsia" w:asciiTheme="minorEastAsia" w:hAnsiTheme="minorEastAsia" w:eastAsiaTheme="minorEastAsia" w:cstheme="minorEastAsia"/>
          <w:sz w:val="24"/>
          <w:szCs w:val="24"/>
          <w:highlight w:val="none"/>
          <w:u w:val="single"/>
          <w:lang w:bidi="ar"/>
        </w:rPr>
        <w:t xml:space="preserve"> 建筑业 </w:t>
      </w:r>
      <w:r>
        <w:rPr>
          <w:rFonts w:hint="eastAsia" w:asciiTheme="minorEastAsia" w:hAnsiTheme="minorEastAsia" w:eastAsiaTheme="minorEastAsia" w:cstheme="minorEastAsia"/>
          <w:sz w:val="24"/>
          <w:szCs w:val="24"/>
          <w:highlight w:val="none"/>
          <w:lang w:bidi="ar"/>
        </w:rPr>
        <w:t xml:space="preserve">行业；承建（承接）企业为</w:t>
      </w:r>
      <w:r>
        <w:rPr>
          <w:rFonts w:hint="eastAsia" w:asciiTheme="minorEastAsia" w:hAnsiTheme="minorEastAsia" w:eastAsiaTheme="minorEastAsia" w:cstheme="minorEastAsia"/>
          <w:sz w:val="24"/>
          <w:szCs w:val="24"/>
          <w:highlight w:val="none"/>
          <w:u w:val="single"/>
          <w:lang w:bidi="ar"/>
        </w:rPr>
        <w:t xml:space="preserve">（企业名称）</w:t>
      </w:r>
      <w:r>
        <w:rPr>
          <w:rFonts w:hint="eastAsia" w:asciiTheme="minorEastAsia" w:hAnsiTheme="minorEastAsia" w:eastAsiaTheme="minorEastAsia" w:cstheme="minorEastAsia"/>
          <w:sz w:val="24"/>
          <w:szCs w:val="24"/>
          <w:highlight w:val="none"/>
          <w:lang w:bidi="ar"/>
        </w:rPr>
        <w:t xml:space="preserve">，从业人员</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人，营业收入为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万元，资产总额为</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万元，属于（中型企业、小型企业、微型企业）；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本企业对上述声明内容的真实性负责。如有虚假，将依法承担相应责任。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企业名称（盖章）： </w:t>
      </w:r>
      <w:r/>
    </w:p>
    <w:p>
      <w:pPr>
        <w:ind w:firstLine="504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bidi="ar"/>
        </w:rPr>
        <w:t xml:space="preserve">日 期：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1从业人员、营业收入、资产总额填报上一年度数据，无上一年度数据的新成立企业可不填报。</w:t>
      </w:r>
      <w:r/>
    </w:p>
    <w:p>
      <w:pPr>
        <w:pStyle w:val="1052"/>
        <w:spacing w:line="4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3"/>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5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52"/>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892"/>
        <w:rPr>
          <w:rFonts w:hint="eastAsia" w:asciiTheme="minorEastAsia" w:hAnsiTheme="minorEastAsia" w:eastAsiaTheme="minorEastAsia" w:cstheme="minorEastAsia"/>
          <w:szCs w:val="24"/>
          <w:highlight w:val="none"/>
        </w:rPr>
      </w:pPr>
      <w:r/>
      <w:bookmarkStart w:id="596" w:name="_Toc6257"/>
      <w:r/>
      <w:bookmarkStart w:id="597" w:name="_Toc5488"/>
      <w:r/>
      <w:bookmarkStart w:id="598" w:name="_Toc10995"/>
      <w:r>
        <w:rPr>
          <w:rFonts w:hint="eastAsia" w:asciiTheme="minorEastAsia" w:hAnsiTheme="minorEastAsia" w:eastAsiaTheme="minorEastAsia" w:cstheme="minorEastAsia"/>
          <w:highlight w:val="none"/>
        </w:rPr>
        <w:t xml:space="preserve">残疾人福利性单位声明函</w:t>
      </w:r>
      <w:bookmarkEnd w:id="596"/>
      <w:r/>
      <w:bookmarkEnd w:id="597"/>
      <w:r/>
      <w:bookmarkEnd w:id="598"/>
      <w:r/>
      <w:r/>
    </w:p>
    <w:p>
      <w:pPr>
        <w:pStyle w:val="1052"/>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64"/>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64"/>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64"/>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64"/>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2"/>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892"/>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892"/>
        <w:rPr>
          <w:rFonts w:hint="eastAsia" w:asciiTheme="minorEastAsia" w:hAnsiTheme="minorEastAsia" w:eastAsiaTheme="minorEastAsia" w:cstheme="minorEastAsia"/>
          <w:highlight w:val="none"/>
        </w:rPr>
      </w:pPr>
      <w:r/>
      <w:bookmarkStart w:id="599" w:name="_Toc18910"/>
      <w:r/>
      <w:bookmarkStart w:id="600" w:name="_Toc11441"/>
      <w:r/>
      <w:bookmarkStart w:id="601" w:name="_Toc11345"/>
      <w:r>
        <w:rPr>
          <w:rFonts w:hint="eastAsia" w:asciiTheme="minorEastAsia" w:hAnsiTheme="minorEastAsia" w:eastAsiaTheme="minorEastAsia" w:cstheme="minorEastAsia"/>
          <w:highlight w:val="none"/>
        </w:rPr>
        <w:t xml:space="preserve">监狱企业证明文件</w:t>
      </w:r>
      <w:bookmarkEnd w:id="599"/>
      <w:r/>
      <w:bookmarkEnd w:id="600"/>
      <w:r/>
      <w:bookmarkEnd w:id="601"/>
      <w:r/>
      <w:r/>
    </w:p>
    <w:p>
      <w:pPr>
        <w:pStyle w:val="1064"/>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64"/>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36"/>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rPr>
          <w:rFonts w:hint="eastAsia" w:asciiTheme="minorEastAsia" w:hAnsiTheme="minorEastAsia" w:eastAsiaTheme="minorEastAsia" w:cstheme="minorEastAsia"/>
          <w:b/>
          <w:color w:val="000000"/>
          <w:sz w:val="36"/>
          <w:szCs w:val="20"/>
          <w:highlight w:val="none"/>
          <w:lang w:val="en-US" w:eastAsia="zh-CN" w:bidi="ar-SA"/>
        </w:rPr>
      </w:pPr>
      <w:r>
        <w:rPr>
          <w:rFonts w:hint="eastAsia" w:asciiTheme="minorEastAsia" w:hAnsiTheme="minorEastAsia" w:eastAsiaTheme="minorEastAsia" w:cstheme="minorEastAsia"/>
          <w:b/>
          <w:color w:val="000000"/>
          <w:sz w:val="36"/>
          <w:szCs w:val="20"/>
          <w:highlight w:val="none"/>
          <w:lang w:val="en-US" w:eastAsia="zh-CN" w:bidi="ar-SA"/>
        </w:rPr>
        <w:br w:type="page" w:clear="all"/>
      </w:r>
      <w:r/>
    </w:p>
    <w:p>
      <w:pPr>
        <w:pStyle w:val="936"/>
        <w:jc w:val="both"/>
        <w:keepLines w:val="0"/>
        <w:keepNext w:val="0"/>
        <w:spacing w:before="0" w:beforeAutospacing="0" w:after="0" w:afterAutospacing="0"/>
        <w:widowControl w:val="off"/>
        <w:rPr>
          <w:rFonts w:hint="default"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auto"/>
          <w:sz w:val="24"/>
          <w:szCs w:val="24"/>
          <w:highlight w:val="none"/>
          <w:lang w:val="en-US" w:eastAsia="zh-CN"/>
        </w:rPr>
        <w:t xml:space="preserve">附件十一</w:t>
      </w:r>
      <w:r/>
    </w:p>
    <w:p>
      <w:pPr>
        <w:pStyle w:val="936"/>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936"/>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jc w:val="both"/>
        <w:spacing w:line="520" w:lineRule="exact"/>
        <w:tabs>
          <w:tab w:val="left" w:pos="2340" w:leader="none"/>
          <w:tab w:val="left" w:pos="2520" w:leader="none"/>
          <w:tab w:val="left" w:pos="2700" w:leader="none"/>
          <w:tab w:val="left" w:pos="3060" w:leader="none"/>
        </w:tabs>
        <w:rPr>
          <w:rFonts w:hint="default" w:ascii="宋体" w:hAnsi="宋体"/>
          <w:b/>
          <w:color w:val="000000"/>
          <w:sz w:val="21"/>
          <w:szCs w:val="21"/>
          <w:lang w:val="en-US"/>
        </w:rPr>
      </w:pPr>
      <w:r>
        <w:rPr>
          <w:rFonts w:hint="eastAsia" w:asciiTheme="minorEastAsia" w:hAnsiTheme="minorEastAsia" w:eastAsiaTheme="minorEastAsia" w:cstheme="minorEastAsia"/>
          <w:b/>
          <w:color w:val="auto"/>
          <w:sz w:val="24"/>
          <w:szCs w:val="24"/>
          <w:highlight w:val="none"/>
          <w:lang w:val="en-US" w:eastAsia="zh-CN"/>
        </w:rPr>
        <w:t xml:space="preserve">附件十二</w:t>
      </w:r>
      <w:r/>
    </w:p>
    <w:p>
      <w:pPr>
        <w:jc w:val="center"/>
        <w:keepLines w:val="0"/>
        <w:keepNext w:val="0"/>
        <w:pageBreakBefore w:val="0"/>
        <w:spacing w:line="400" w:lineRule="exact"/>
        <w:widowControl w:val="off"/>
        <w:tabs>
          <w:tab w:val="left" w:pos="2340" w:leader="none"/>
          <w:tab w:val="left" w:pos="2520" w:leader="none"/>
          <w:tab w:val="left" w:pos="2700" w:leader="none"/>
          <w:tab w:val="left" w:pos="3060" w:leader="none"/>
        </w:tabs>
        <w:rPr>
          <w:rFonts w:hint="eastAsia" w:ascii="宋体" w:hAnsi="宋体"/>
          <w:b/>
          <w:color w:val="000000"/>
          <w:sz w:val="24"/>
          <w:szCs w:val="24"/>
        </w:rPr>
      </w:pPr>
      <w:r>
        <w:rPr>
          <w:rFonts w:hint="eastAsia" w:ascii="宋体" w:hAnsi="宋体"/>
          <w:b/>
          <w:color w:val="000000"/>
          <w:sz w:val="24"/>
          <w:szCs w:val="24"/>
        </w:rPr>
        <w:t xml:space="preserve">诚信投标承诺书</w:t>
      </w:r>
      <w:r/>
    </w:p>
    <w:p>
      <w:pPr>
        <w:keepLines w:val="0"/>
        <w:keepNext w:val="0"/>
        <w:pageBreakBefore w:val="0"/>
        <w:spacing w:line="400" w:lineRule="exact"/>
        <w:widowControl w:val="off"/>
        <w:rPr>
          <w:rFonts w:hint="eastAsia" w:ascii="宋体" w:hAnsi="宋体" w:cs="Verdana"/>
          <w:color w:val="000000"/>
          <w:sz w:val="24"/>
          <w:szCs w:val="24"/>
        </w:rPr>
      </w:pP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（采购人名称）：</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我单位自愿参加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（项目名称）的投标活动，并做如下承诺：</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1.在本项目的投标活动中，自觉遵守相关法律法规的规定，遵循诚实信用的原则。</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2.响应文件中所有内容均为我单位真实意思表达，且均已核实并保证真实有效。</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3.无法律、法规及采购文件中规定的限制参加投标的行为。 </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4.不以他人名义投标或者以其他方式弄虚作假，骗取成交。</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5.不与采购人（采购代理）或其他响应人相互串通投标，损害国家利益、社会公共利益或者他人的合法权益。</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6.公平竞争，不背后搞小动作，无恶意投诉、诋毁、排挤其他响应人的行为。</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7.不向采购人（采购代理）或者评标委员会成员行贿、打招呼，以谋取成交。</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8.成交后在采购文件规定的时间内依法与采购人签订合同。</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9.不进行缺乏事实根据或法律依据的投诉。</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10.本公司拟派往本工程的项目负责人现阶段没有担任其他在建工程项目的项目经理。</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11.本公司拟派往本工程的项目负责人未同时在两个或者两个以上单位受聘或者执业。</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12.无建筑市场不良行为在江苏省建设工程招标网、泰州市住房和城乡建设局官网上被曝光（曝光仅限以下行为：串通投标、弄虚作假、以他人名义投标、骗取中标、转包、违法分包）。</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13.无本项目的特定资格条件中供应商禁止投标的情形。</w:t>
      </w:r>
      <w:r/>
    </w:p>
    <w:p>
      <w:pPr>
        <w:ind w:firstLine="420"/>
        <w:keepLines w:val="0"/>
        <w:keepNext w:val="0"/>
        <w:pageBreakBefore w:val="0"/>
        <w:spacing w:after="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20"/>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eastAsia="宋体" w:cs="宋体"/>
          <w:color w:val="000000"/>
          <w:sz w:val="24"/>
          <w:szCs w:val="24"/>
        </w:rPr>
        <w:t xml:space="preserve"> 如我单位违反上述承诺内容，自愿接受采购人、主管部门调查处理，并承担由此引发的一切后果。</w:t>
      </w:r>
      <w:r/>
    </w:p>
    <w:p>
      <w:pPr>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         特此承诺</w:t>
      </w:r>
      <w:r/>
    </w:p>
    <w:p>
      <w:pPr>
        <w:pStyle w:val="1067"/>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r>
      <w:r/>
    </w:p>
    <w:p>
      <w:pPr>
        <w:pStyle w:val="1067"/>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r>
      <w:r/>
    </w:p>
    <w:p>
      <w:pPr>
        <w:pStyle w:val="1067"/>
        <w:jc w:val="right"/>
        <w:keepLines w:val="0"/>
        <w:keepNext w:val="0"/>
        <w:pageBreakBefore w:val="0"/>
        <w:spacing w:before="120"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供应商：</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w:t>
      </w:r>
      <w:r>
        <w:rPr>
          <w:rFonts w:hint="eastAsia" w:ascii="宋体" w:hAnsi="宋体" w:cs="宋体"/>
          <w:sz w:val="24"/>
          <w:szCs w:val="24"/>
        </w:rPr>
        <w:t xml:space="preserve">加盖CA电子公章</w:t>
      </w:r>
      <w:r>
        <w:rPr>
          <w:rFonts w:hint="eastAsia" w:ascii="宋体" w:hAnsi="宋体" w:cs="Verdana"/>
          <w:color w:val="000000"/>
          <w:sz w:val="24"/>
          <w:szCs w:val="24"/>
        </w:rPr>
        <w:t xml:space="preserve">）</w:t>
      </w:r>
      <w:r/>
    </w:p>
    <w:p>
      <w:pPr>
        <w:jc w:val="right"/>
        <w:keepLines w:val="0"/>
        <w:keepNext w:val="0"/>
        <w:pageBreakBefore w:val="0"/>
        <w:spacing w:after="0" w:line="400" w:lineRule="exact"/>
        <w:widowControl w:val="off"/>
        <w:rPr>
          <w:rFonts w:hint="eastAsia" w:ascii="宋体" w:hAnsi="宋体" w:cs="Verdana"/>
          <w:color w:val="000000"/>
          <w:sz w:val="24"/>
          <w:szCs w:val="24"/>
        </w:rPr>
      </w:pPr>
      <w:r>
        <w:rPr>
          <w:rFonts w:hint="eastAsia" w:ascii="宋体" w:hAnsi="宋体" w:cs="Verdana"/>
          <w:color w:val="000000"/>
          <w:sz w:val="24"/>
          <w:szCs w:val="24"/>
        </w:rPr>
        <w:t xml:space="preserve">法定代表人或委托代理人：</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（签字或盖章）</w:t>
      </w:r>
      <w:r/>
    </w:p>
    <w:p>
      <w:pPr>
        <w:jc w:val="right"/>
        <w:keepLines w:val="0"/>
        <w:keepNext w:val="0"/>
        <w:pageBreakBefore w:val="0"/>
        <w:spacing w:after="0"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宋体" w:hAnsi="宋体" w:cs="Verdana"/>
          <w:color w:val="000000"/>
          <w:sz w:val="24"/>
          <w:szCs w:val="24"/>
        </w:rPr>
        <w:t xml:space="preserve"> 日期：</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年</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月</w:t>
      </w:r>
      <w:r>
        <w:rPr>
          <w:rFonts w:hint="eastAsia" w:ascii="宋体" w:hAnsi="宋体" w:cs="Verdana"/>
          <w:color w:val="000000"/>
          <w:sz w:val="24"/>
          <w:szCs w:val="24"/>
          <w:u w:val="single"/>
        </w:rPr>
        <w:t xml:space="preserve">      </w:t>
      </w:r>
      <w:r>
        <w:rPr>
          <w:rFonts w:hint="eastAsia" w:ascii="宋体" w:hAnsi="宋体" w:cs="Verdana"/>
          <w:color w:val="000000"/>
          <w:sz w:val="24"/>
          <w:szCs w:val="24"/>
        </w:rPr>
        <w:t xml:space="preserve">日</w:t>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29"/>
      </w:pPr>
      <w:r>
        <w:rPr>
          <w:rStyle w:val="954"/>
        </w:rPr>
        <w:footnoteRef/>
      </w:r>
      <w:r>
        <w:t xml:space="preserve"> </w:t>
      </w:r>
      <w:r>
        <w:rPr>
          <w:rFonts w:hint="eastAsia"/>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Heading 1 Char"/>
    <w:basedOn w:val="900"/>
    <w:link w:val="892"/>
    <w:uiPriority w:val="9"/>
    <w:rPr>
      <w:rFonts w:ascii="Arial" w:hAnsi="Arial" w:eastAsia="Arial" w:cs="Arial"/>
      <w:sz w:val="40"/>
      <w:szCs w:val="40"/>
    </w:rPr>
  </w:style>
  <w:style w:type="character" w:styleId="740">
    <w:name w:val="Heading 2 Char"/>
    <w:basedOn w:val="900"/>
    <w:link w:val="893"/>
    <w:uiPriority w:val="9"/>
    <w:rPr>
      <w:rFonts w:ascii="Arial" w:hAnsi="Arial" w:eastAsia="Arial" w:cs="Arial"/>
      <w:sz w:val="34"/>
    </w:rPr>
  </w:style>
  <w:style w:type="character" w:styleId="741">
    <w:name w:val="Heading 3 Char"/>
    <w:basedOn w:val="900"/>
    <w:link w:val="894"/>
    <w:uiPriority w:val="9"/>
    <w:rPr>
      <w:rFonts w:ascii="Arial" w:hAnsi="Arial" w:eastAsia="Arial" w:cs="Arial"/>
      <w:sz w:val="30"/>
      <w:szCs w:val="30"/>
    </w:rPr>
  </w:style>
  <w:style w:type="character" w:styleId="742">
    <w:name w:val="Heading 4 Char"/>
    <w:basedOn w:val="900"/>
    <w:link w:val="895"/>
    <w:uiPriority w:val="9"/>
    <w:rPr>
      <w:rFonts w:ascii="Arial" w:hAnsi="Arial" w:eastAsia="Arial" w:cs="Arial"/>
      <w:b/>
      <w:bCs/>
      <w:sz w:val="26"/>
      <w:szCs w:val="26"/>
    </w:rPr>
  </w:style>
  <w:style w:type="character" w:styleId="743">
    <w:name w:val="Heading 5 Char"/>
    <w:basedOn w:val="900"/>
    <w:link w:val="896"/>
    <w:uiPriority w:val="9"/>
    <w:rPr>
      <w:rFonts w:ascii="Arial" w:hAnsi="Arial" w:eastAsia="Arial" w:cs="Arial"/>
      <w:b/>
      <w:bCs/>
      <w:sz w:val="24"/>
      <w:szCs w:val="24"/>
    </w:rPr>
  </w:style>
  <w:style w:type="character" w:styleId="744">
    <w:name w:val="Heading 6 Char"/>
    <w:basedOn w:val="900"/>
    <w:link w:val="897"/>
    <w:uiPriority w:val="9"/>
    <w:rPr>
      <w:rFonts w:ascii="Arial" w:hAnsi="Arial" w:eastAsia="Arial" w:cs="Arial"/>
      <w:b/>
      <w:bCs/>
      <w:sz w:val="22"/>
      <w:szCs w:val="22"/>
    </w:rPr>
  </w:style>
  <w:style w:type="character" w:styleId="745">
    <w:name w:val="Heading 7 Char"/>
    <w:basedOn w:val="900"/>
    <w:link w:val="898"/>
    <w:uiPriority w:val="9"/>
    <w:rPr>
      <w:rFonts w:ascii="Arial" w:hAnsi="Arial" w:eastAsia="Arial" w:cs="Arial"/>
      <w:b/>
      <w:bCs/>
      <w:i/>
      <w:iCs/>
      <w:sz w:val="22"/>
      <w:szCs w:val="22"/>
    </w:rPr>
  </w:style>
  <w:style w:type="paragraph" w:styleId="746">
    <w:name w:val="Heading 8"/>
    <w:basedOn w:val="891"/>
    <w:next w:val="891"/>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basedOn w:val="900"/>
    <w:link w:val="746"/>
    <w:uiPriority w:val="9"/>
    <w:rPr>
      <w:rFonts w:ascii="Arial" w:hAnsi="Arial" w:eastAsia="Arial" w:cs="Arial"/>
      <w:i/>
      <w:iCs/>
      <w:sz w:val="22"/>
      <w:szCs w:val="22"/>
    </w:rPr>
  </w:style>
  <w:style w:type="character" w:styleId="748">
    <w:name w:val="Heading 9 Char"/>
    <w:basedOn w:val="900"/>
    <w:link w:val="899"/>
    <w:uiPriority w:val="9"/>
    <w:rPr>
      <w:rFonts w:ascii="Arial" w:hAnsi="Arial" w:eastAsia="Arial" w:cs="Arial"/>
      <w:i/>
      <w:iCs/>
      <w:sz w:val="21"/>
      <w:szCs w:val="21"/>
    </w:rPr>
  </w:style>
  <w:style w:type="character" w:styleId="749">
    <w:name w:val="Title Char"/>
    <w:basedOn w:val="900"/>
    <w:link w:val="937"/>
    <w:uiPriority w:val="10"/>
    <w:rPr>
      <w:sz w:val="48"/>
      <w:szCs w:val="48"/>
    </w:rPr>
  </w:style>
  <w:style w:type="paragraph" w:styleId="750">
    <w:name w:val="Subtitle"/>
    <w:basedOn w:val="891"/>
    <w:next w:val="891"/>
    <w:link w:val="751"/>
    <w:uiPriority w:val="11"/>
    <w:qFormat/>
    <w:pPr>
      <w:spacing w:before="200" w:after="200"/>
    </w:pPr>
    <w:rPr>
      <w:sz w:val="24"/>
      <w:szCs w:val="24"/>
    </w:rPr>
  </w:style>
  <w:style w:type="character" w:styleId="751">
    <w:name w:val="Subtitle Char"/>
    <w:basedOn w:val="900"/>
    <w:link w:val="750"/>
    <w:uiPriority w:val="11"/>
    <w:rPr>
      <w:sz w:val="24"/>
      <w:szCs w:val="24"/>
    </w:rPr>
  </w:style>
  <w:style w:type="paragraph" w:styleId="752">
    <w:name w:val="Quote"/>
    <w:basedOn w:val="891"/>
    <w:next w:val="891"/>
    <w:link w:val="753"/>
    <w:uiPriority w:val="29"/>
    <w:qFormat/>
    <w:pPr>
      <w:ind w:left="720" w:right="720"/>
    </w:pPr>
    <w:rPr>
      <w:i/>
    </w:rPr>
  </w:style>
  <w:style w:type="character" w:styleId="753">
    <w:name w:val="Quote Char"/>
    <w:link w:val="752"/>
    <w:uiPriority w:val="29"/>
    <w:rPr>
      <w:i/>
    </w:rPr>
  </w:style>
  <w:style w:type="paragraph" w:styleId="754">
    <w:name w:val="Intense Quote"/>
    <w:basedOn w:val="891"/>
    <w:next w:val="891"/>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0"/>
    <w:link w:val="926"/>
    <w:uiPriority w:val="99"/>
  </w:style>
  <w:style w:type="character" w:styleId="757">
    <w:name w:val="Footer Char"/>
    <w:basedOn w:val="900"/>
    <w:link w:val="922"/>
    <w:uiPriority w:val="99"/>
  </w:style>
  <w:style w:type="paragraph" w:styleId="758">
    <w:name w:val="Caption"/>
    <w:basedOn w:val="891"/>
    <w:next w:val="891"/>
    <w:uiPriority w:val="35"/>
    <w:semiHidden/>
    <w:unhideWhenUsed/>
    <w:qFormat/>
    <w:pPr>
      <w:spacing w:line="276" w:lineRule="auto"/>
    </w:pPr>
    <w:rPr>
      <w:b/>
      <w:bCs/>
      <w:color w:val="4f81bd" w:themeColor="accent1"/>
      <w:sz w:val="18"/>
      <w:szCs w:val="18"/>
    </w:rPr>
  </w:style>
  <w:style w:type="character" w:styleId="759">
    <w:name w:val="Caption Char"/>
    <w:basedOn w:val="758"/>
    <w:link w:val="922"/>
    <w:uiPriority w:val="99"/>
  </w:style>
  <w:style w:type="table" w:styleId="760">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Footnote Text Char"/>
    <w:link w:val="929"/>
    <w:uiPriority w:val="99"/>
    <w:rPr>
      <w:sz w:val="18"/>
    </w:rPr>
  </w:style>
  <w:style w:type="paragraph" w:styleId="886">
    <w:name w:val="endnote text"/>
    <w:basedOn w:val="891"/>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0"/>
    <w:uiPriority w:val="99"/>
    <w:semiHidden/>
    <w:unhideWhenUsed/>
    <w:rPr>
      <w:vertAlign w:val="superscript"/>
    </w:r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2">
    <w:name w:val="Heading 1"/>
    <w:basedOn w:val="891"/>
    <w:next w:val="891"/>
    <w:link w:val="957"/>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893">
    <w:name w:val="Heading 2"/>
    <w:basedOn w:val="891"/>
    <w:next w:val="891"/>
    <w:link w:val="958"/>
    <w:uiPriority w:val="0"/>
    <w:qFormat/>
    <w:pPr>
      <w:keepLines/>
      <w:keepNext/>
      <w:spacing w:before="260" w:after="260" w:line="412" w:lineRule="auto"/>
      <w:widowControl w:val="off"/>
      <w:outlineLvl w:val="1"/>
    </w:pPr>
    <w:rPr>
      <w:rFonts w:ascii="Arial" w:hAnsi="Arial" w:eastAsia="黑体"/>
      <w:b/>
      <w:bCs/>
      <w:sz w:val="32"/>
      <w:szCs w:val="32"/>
    </w:rPr>
  </w:style>
  <w:style w:type="paragraph" w:styleId="894">
    <w:name w:val="Heading 3"/>
    <w:basedOn w:val="891"/>
    <w:next w:val="891"/>
    <w:link w:val="959"/>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95">
    <w:name w:val="Heading 4"/>
    <w:basedOn w:val="891"/>
    <w:next w:val="891"/>
    <w:link w:val="960"/>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96">
    <w:name w:val="Heading 5"/>
    <w:basedOn w:val="891"/>
    <w:next w:val="902"/>
    <w:link w:val="961"/>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97">
    <w:name w:val="Heading 6"/>
    <w:basedOn w:val="891"/>
    <w:next w:val="902"/>
    <w:link w:val="962"/>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98">
    <w:name w:val="Heading 7"/>
    <w:basedOn w:val="891"/>
    <w:next w:val="891"/>
    <w:link w:val="963"/>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99">
    <w:name w:val="Heading 9"/>
    <w:basedOn w:val="891"/>
    <w:next w:val="891"/>
    <w:link w:val="964"/>
    <w:uiPriority w:val="0"/>
    <w:qFormat/>
    <w:pPr>
      <w:ind w:left="3780" w:hanging="420"/>
      <w:keepLines/>
      <w:keepNext/>
      <w:spacing w:before="240" w:after="64" w:line="320" w:lineRule="auto"/>
      <w:tabs>
        <w:tab w:val="left" w:pos="3780" w:leader="none"/>
      </w:tabs>
      <w:outlineLvl w:val="8"/>
    </w:pPr>
    <w:rPr>
      <w:sz w:val="24"/>
      <w:szCs w:val="21"/>
    </w:rPr>
  </w:style>
  <w:style w:type="character" w:styleId="900" w:default="1">
    <w:name w:val="Default Paragraph Font"/>
    <w:uiPriority w:val="0"/>
    <w:qFormat/>
  </w:style>
  <w:style w:type="table" w:styleId="901" w:default="1">
    <w:name w:val="Normal Table"/>
    <w:uiPriority w:val="0"/>
    <w:semiHidden/>
    <w:qFormat/>
    <w:tblPr>
      <w:tblCellMar>
        <w:left w:w="108" w:type="dxa"/>
        <w:top w:w="0" w:type="dxa"/>
        <w:right w:w="108" w:type="dxa"/>
        <w:bottom w:w="0" w:type="dxa"/>
      </w:tblCellMar>
    </w:tblPr>
  </w:style>
  <w:style w:type="paragraph" w:styleId="902" w:customStyle="1">
    <w:name w:val="文章正文"/>
    <w:basedOn w:val="891"/>
    <w:uiPriority w:val="0"/>
    <w:qFormat/>
    <w:pPr>
      <w:ind w:firstLine="560"/>
      <w:spacing w:line="360" w:lineRule="auto"/>
    </w:pPr>
    <w:rPr>
      <w:rFonts w:eastAsia="仿宋_GB2312"/>
      <w:sz w:val="28"/>
    </w:rPr>
  </w:style>
  <w:style w:type="paragraph" w:styleId="903">
    <w:name w:val="List 3"/>
    <w:basedOn w:val="891"/>
    <w:uiPriority w:val="0"/>
    <w:qFormat/>
    <w:pPr>
      <w:contextualSpacing/>
      <w:ind w:left="100" w:hanging="200"/>
    </w:pPr>
  </w:style>
  <w:style w:type="paragraph" w:styleId="904">
    <w:name w:val="toc 7"/>
    <w:basedOn w:val="891"/>
    <w:next w:val="891"/>
    <w:uiPriority w:val="0"/>
    <w:qFormat/>
    <w:pPr>
      <w:ind w:left="1260"/>
      <w:jc w:val="left"/>
    </w:pPr>
    <w:rPr>
      <w:sz w:val="18"/>
      <w:szCs w:val="18"/>
    </w:rPr>
  </w:style>
  <w:style w:type="paragraph" w:styleId="905">
    <w:name w:val="Note Heading"/>
    <w:basedOn w:val="891"/>
    <w:next w:val="891"/>
    <w:uiPriority w:val="0"/>
    <w:qFormat/>
    <w:rPr>
      <w:rFonts w:ascii="Verdana" w:hAnsi="Verdana" w:cs="Times New Roman"/>
      <w:szCs w:val="20"/>
    </w:rPr>
  </w:style>
  <w:style w:type="paragraph" w:styleId="906">
    <w:name w:val="List Number"/>
    <w:basedOn w:val="891"/>
    <w:uiPriority w:val="0"/>
    <w:qFormat/>
    <w:pPr>
      <w:ind w:left="454" w:hanging="284"/>
      <w:jc w:val="left"/>
      <w:spacing w:after="50"/>
      <w:widowControl/>
      <w:tabs>
        <w:tab w:val="left" w:pos="454" w:leader="none"/>
        <w:tab w:val="left" w:pos="720" w:leader="none"/>
      </w:tabs>
    </w:pPr>
    <w:rPr>
      <w:sz w:val="24"/>
      <w:szCs w:val="20"/>
    </w:rPr>
  </w:style>
  <w:style w:type="paragraph" w:styleId="907">
    <w:name w:val="Normal Indent"/>
    <w:basedOn w:val="891"/>
    <w:next w:val="891"/>
    <w:link w:val="965"/>
    <w:uiPriority w:val="0"/>
    <w:qFormat/>
    <w:pPr>
      <w:ind w:firstLine="200"/>
    </w:pPr>
  </w:style>
  <w:style w:type="paragraph" w:styleId="908">
    <w:name w:val="index 5"/>
    <w:basedOn w:val="891"/>
    <w:next w:val="891"/>
    <w:uiPriority w:val="0"/>
    <w:qFormat/>
    <w:pPr>
      <w:ind w:left="1680"/>
    </w:pPr>
  </w:style>
  <w:style w:type="paragraph" w:styleId="909">
    <w:name w:val="annotation text"/>
    <w:basedOn w:val="891"/>
    <w:uiPriority w:val="0"/>
    <w:semiHidden/>
    <w:qFormat/>
    <w:pPr>
      <w:jc w:val="left"/>
    </w:pPr>
  </w:style>
  <w:style w:type="paragraph" w:styleId="910">
    <w:name w:val="Body Text 3"/>
    <w:basedOn w:val="891"/>
    <w:uiPriority w:val="0"/>
    <w:qFormat/>
    <w:pPr>
      <w:spacing w:after="120"/>
    </w:pPr>
    <w:rPr>
      <w:sz w:val="16"/>
      <w:szCs w:val="16"/>
    </w:rPr>
  </w:style>
  <w:style w:type="paragraph" w:styleId="911">
    <w:name w:val="Body Text"/>
    <w:basedOn w:val="891"/>
    <w:next w:val="891"/>
    <w:link w:val="966"/>
    <w:uiPriority w:val="0"/>
    <w:qFormat/>
    <w:pPr>
      <w:spacing w:after="120"/>
    </w:pPr>
  </w:style>
  <w:style w:type="paragraph" w:styleId="912">
    <w:name w:val="Body Text Indent"/>
    <w:basedOn w:val="891"/>
    <w:uiPriority w:val="0"/>
    <w:qFormat/>
    <w:pPr>
      <w:ind w:left="200"/>
      <w:spacing w:after="120"/>
    </w:pPr>
  </w:style>
  <w:style w:type="paragraph" w:styleId="913">
    <w:name w:val="List 2"/>
    <w:basedOn w:val="891"/>
    <w:uiPriority w:val="0"/>
    <w:qFormat/>
    <w:pPr>
      <w:ind w:left="400" w:hanging="200"/>
    </w:pPr>
  </w:style>
  <w:style w:type="paragraph" w:styleId="914">
    <w:name w:val="index 4"/>
    <w:basedOn w:val="891"/>
    <w:next w:val="891"/>
    <w:uiPriority w:val="0"/>
    <w:qFormat/>
    <w:pPr>
      <w:ind w:left="600"/>
    </w:pPr>
    <w:rPr>
      <w:rFonts w:ascii="Verdana" w:hAnsi="Verdana"/>
      <w:szCs w:val="20"/>
    </w:rPr>
  </w:style>
  <w:style w:type="paragraph" w:styleId="915">
    <w:name w:val="toc 5"/>
    <w:basedOn w:val="891"/>
    <w:next w:val="891"/>
    <w:uiPriority w:val="0"/>
    <w:qFormat/>
    <w:pPr>
      <w:ind w:left="840"/>
      <w:jc w:val="left"/>
    </w:pPr>
    <w:rPr>
      <w:sz w:val="18"/>
      <w:szCs w:val="18"/>
    </w:rPr>
  </w:style>
  <w:style w:type="paragraph" w:styleId="916">
    <w:name w:val="toc 3"/>
    <w:basedOn w:val="891"/>
    <w:next w:val="891"/>
    <w:uiPriority w:val="0"/>
    <w:qFormat/>
    <w:pPr>
      <w:ind w:left="420"/>
      <w:jc w:val="left"/>
    </w:pPr>
    <w:rPr>
      <w:i/>
      <w:iCs/>
      <w:sz w:val="20"/>
      <w:szCs w:val="20"/>
    </w:rPr>
  </w:style>
  <w:style w:type="paragraph" w:styleId="917">
    <w:name w:val="Plain Text"/>
    <w:basedOn w:val="891"/>
    <w:next w:val="907"/>
    <w:link w:val="967"/>
    <w:uiPriority w:val="0"/>
    <w:qFormat/>
    <w:rPr>
      <w:rFonts w:ascii="宋体"/>
    </w:rPr>
  </w:style>
  <w:style w:type="paragraph" w:styleId="918">
    <w:name w:val="toc 8"/>
    <w:basedOn w:val="891"/>
    <w:next w:val="891"/>
    <w:uiPriority w:val="0"/>
    <w:qFormat/>
    <w:pPr>
      <w:ind w:left="1470"/>
      <w:jc w:val="left"/>
    </w:pPr>
    <w:rPr>
      <w:sz w:val="18"/>
      <w:szCs w:val="18"/>
    </w:rPr>
  </w:style>
  <w:style w:type="paragraph" w:styleId="919">
    <w:name w:val="Date"/>
    <w:basedOn w:val="891"/>
    <w:next w:val="891"/>
    <w:uiPriority w:val="0"/>
    <w:qFormat/>
    <w:pPr>
      <w:ind w:left="100"/>
    </w:pPr>
    <w:rPr>
      <w:sz w:val="28"/>
      <w:szCs w:val="20"/>
    </w:rPr>
  </w:style>
  <w:style w:type="paragraph" w:styleId="920">
    <w:name w:val="Body Text Indent 2"/>
    <w:basedOn w:val="891"/>
    <w:uiPriority w:val="0"/>
    <w:qFormat/>
    <w:pPr>
      <w:ind w:firstLine="200"/>
      <w:jc w:val="left"/>
      <w:spacing w:line="360" w:lineRule="auto"/>
    </w:pPr>
    <w:rPr>
      <w:rFonts w:ascii="仿宋_GB2312" w:eastAsia="仿宋_GB2312"/>
      <w:b/>
      <w:bCs/>
      <w:sz w:val="24"/>
    </w:rPr>
  </w:style>
  <w:style w:type="paragraph" w:styleId="921">
    <w:name w:val="Balloon Text"/>
    <w:basedOn w:val="891"/>
    <w:uiPriority w:val="0"/>
    <w:qFormat/>
    <w:rPr>
      <w:sz w:val="18"/>
      <w:szCs w:val="18"/>
    </w:rPr>
  </w:style>
  <w:style w:type="paragraph" w:styleId="922">
    <w:name w:val="Footer"/>
    <w:basedOn w:val="891"/>
    <w:link w:val="968"/>
    <w:uiPriority w:val="99"/>
    <w:qFormat/>
    <w:pPr>
      <w:jc w:val="left"/>
      <w:tabs>
        <w:tab w:val="center" w:pos="4153" w:leader="none"/>
        <w:tab w:val="right" w:pos="8306" w:leader="none"/>
      </w:tabs>
    </w:pPr>
    <w:rPr>
      <w:sz w:val="18"/>
      <w:szCs w:val="18"/>
    </w:rPr>
  </w:style>
  <w:style w:type="paragraph" w:styleId="923">
    <w:name w:val="envelope return"/>
    <w:basedOn w:val="924"/>
    <w:uiPriority w:val="0"/>
    <w:qFormat/>
    <w:rPr>
      <w:rFonts w:ascii="Arial" w:hAnsi="Arial"/>
    </w:rPr>
  </w:style>
  <w:style w:type="paragraph" w:styleId="924" w:customStyle="1">
    <w:name w:val="Normal_19"/>
    <w:next w:val="925"/>
    <w:uiPriority w:val="0"/>
    <w:qFormat/>
    <w:pPr>
      <w:jc w:val="both"/>
      <w:widowControl w:val="off"/>
    </w:pPr>
    <w:rPr>
      <w:rFonts w:hint="default" w:ascii="Calibri" w:hAnsi="Calibri" w:eastAsia="宋体" w:cs="Times New Roman"/>
      <w:sz w:val="21"/>
      <w:szCs w:val="24"/>
    </w:rPr>
  </w:style>
  <w:style w:type="paragraph" w:styleId="925" w:customStyle="1">
    <w:name w:val="正文文本缩进1"/>
    <w:basedOn w:val="924"/>
    <w:uiPriority w:val="0"/>
    <w:qFormat/>
    <w:pPr>
      <w:ind w:firstLine="225"/>
    </w:pPr>
    <w:rPr>
      <w:rFonts w:ascii="仿宋_GB2312" w:eastAsia="仿宋_GB2312"/>
      <w:sz w:val="32"/>
    </w:rPr>
  </w:style>
  <w:style w:type="paragraph" w:styleId="926">
    <w:name w:val="Header"/>
    <w:basedOn w:val="891"/>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27">
    <w:name w:val="toc 1"/>
    <w:basedOn w:val="891"/>
    <w:next w:val="891"/>
    <w:uiPriority w:val="0"/>
    <w:qFormat/>
    <w:pPr>
      <w:jc w:val="left"/>
      <w:spacing w:before="120" w:after="120"/>
    </w:pPr>
    <w:rPr>
      <w:b/>
      <w:bCs/>
      <w:caps/>
      <w:sz w:val="20"/>
      <w:szCs w:val="20"/>
    </w:rPr>
  </w:style>
  <w:style w:type="paragraph" w:styleId="928">
    <w:name w:val="toc 4"/>
    <w:basedOn w:val="891"/>
    <w:next w:val="891"/>
    <w:uiPriority w:val="0"/>
    <w:qFormat/>
    <w:pPr>
      <w:ind w:left="630"/>
      <w:jc w:val="left"/>
    </w:pPr>
    <w:rPr>
      <w:sz w:val="18"/>
      <w:szCs w:val="18"/>
    </w:rPr>
  </w:style>
  <w:style w:type="paragraph" w:styleId="929">
    <w:name w:val="footnote text"/>
    <w:basedOn w:val="891"/>
    <w:link w:val="969"/>
    <w:uiPriority w:val="0"/>
    <w:qFormat/>
    <w:pPr>
      <w:jc w:val="left"/>
    </w:pPr>
    <w:rPr>
      <w:sz w:val="18"/>
      <w:szCs w:val="18"/>
    </w:rPr>
  </w:style>
  <w:style w:type="paragraph" w:styleId="930">
    <w:name w:val="toc 6"/>
    <w:basedOn w:val="891"/>
    <w:next w:val="891"/>
    <w:uiPriority w:val="0"/>
    <w:qFormat/>
    <w:pPr>
      <w:ind w:left="1050"/>
      <w:jc w:val="left"/>
    </w:pPr>
    <w:rPr>
      <w:sz w:val="18"/>
      <w:szCs w:val="18"/>
    </w:rPr>
  </w:style>
  <w:style w:type="paragraph" w:styleId="931">
    <w:name w:val="Body Text Indent 3"/>
    <w:basedOn w:val="891"/>
    <w:uiPriority w:val="0"/>
    <w:qFormat/>
    <w:pPr>
      <w:ind w:firstLine="570"/>
    </w:pPr>
    <w:rPr>
      <w:rFonts w:ascii="楷体_GB2312" w:eastAsia="楷体_GB2312"/>
      <w:sz w:val="32"/>
      <w:szCs w:val="20"/>
    </w:rPr>
  </w:style>
  <w:style w:type="paragraph" w:styleId="932">
    <w:name w:val="index 9"/>
    <w:basedOn w:val="891"/>
    <w:next w:val="891"/>
    <w:uiPriority w:val="0"/>
    <w:qFormat/>
    <w:pPr>
      <w:ind w:left="3360"/>
    </w:pPr>
  </w:style>
  <w:style w:type="paragraph" w:styleId="933">
    <w:name w:val="toc 2"/>
    <w:basedOn w:val="891"/>
    <w:next w:val="891"/>
    <w:uiPriority w:val="0"/>
    <w:qFormat/>
    <w:pPr>
      <w:ind w:left="210"/>
      <w:jc w:val="left"/>
    </w:pPr>
    <w:rPr>
      <w:smallCaps/>
      <w:sz w:val="20"/>
      <w:szCs w:val="20"/>
    </w:rPr>
  </w:style>
  <w:style w:type="paragraph" w:styleId="934">
    <w:name w:val="toc 9"/>
    <w:basedOn w:val="891"/>
    <w:next w:val="891"/>
    <w:uiPriority w:val="0"/>
    <w:qFormat/>
    <w:pPr>
      <w:ind w:left="1680"/>
      <w:jc w:val="left"/>
    </w:pPr>
    <w:rPr>
      <w:sz w:val="18"/>
      <w:szCs w:val="18"/>
    </w:rPr>
  </w:style>
  <w:style w:type="paragraph" w:styleId="935">
    <w:name w:val="Body Text 2"/>
    <w:basedOn w:val="891"/>
    <w:uiPriority w:val="0"/>
    <w:qFormat/>
    <w:pPr>
      <w:jc w:val="left"/>
    </w:pPr>
    <w:rPr>
      <w:rFonts w:eastAsia="楷体_GB2312"/>
    </w:rPr>
  </w:style>
  <w:style w:type="paragraph" w:styleId="936">
    <w:name w:val="Normal (Web)"/>
    <w:basedOn w:val="891"/>
    <w:uiPriority w:val="99"/>
    <w:qFormat/>
    <w:pPr>
      <w:jc w:val="left"/>
      <w:spacing w:before="100" w:beforeAutospacing="1" w:after="100" w:afterAutospacing="1"/>
      <w:widowControl/>
    </w:pPr>
    <w:rPr>
      <w:rFonts w:ascii="宋体"/>
      <w:color w:val="000000"/>
      <w:sz w:val="24"/>
    </w:rPr>
  </w:style>
  <w:style w:type="paragraph" w:styleId="937">
    <w:name w:val="Title"/>
    <w:basedOn w:val="891"/>
    <w:link w:val="970"/>
    <w:uiPriority w:val="0"/>
    <w:qFormat/>
    <w:pPr>
      <w:jc w:val="center"/>
      <w:widowControl/>
    </w:pPr>
    <w:rPr>
      <w:b/>
      <w:sz w:val="24"/>
      <w:szCs w:val="20"/>
      <w:lang w:val="en-GB" w:eastAsia="en-GB"/>
    </w:rPr>
  </w:style>
  <w:style w:type="paragraph" w:styleId="938">
    <w:name w:val="annotation subject"/>
    <w:basedOn w:val="909"/>
    <w:next w:val="909"/>
    <w:uiPriority w:val="0"/>
    <w:semiHidden/>
    <w:qFormat/>
    <w:rPr>
      <w:b/>
      <w:bCs/>
    </w:rPr>
  </w:style>
  <w:style w:type="paragraph" w:styleId="939">
    <w:name w:val="Body Text First Indent"/>
    <w:basedOn w:val="911"/>
    <w:next w:val="940"/>
    <w:link w:val="971"/>
    <w:uiPriority w:val="0"/>
    <w:qFormat/>
    <w:pPr>
      <w:ind w:firstLine="420"/>
    </w:pPr>
  </w:style>
  <w:style w:type="paragraph" w:styleId="940">
    <w:name w:val="Body Text First Indent 2"/>
    <w:basedOn w:val="912"/>
    <w:uiPriority w:val="0"/>
    <w:semiHidden/>
    <w:qFormat/>
    <w:pPr>
      <w:ind w:firstLine="420"/>
    </w:pPr>
  </w:style>
  <w:style w:type="table" w:styleId="941">
    <w:name w:val="Table Grid"/>
    <w:basedOn w:val="9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uiPriority w:val="0"/>
    <w:qFormat/>
    <w:rPr>
      <w:b/>
      <w:bCs/>
    </w:rPr>
  </w:style>
  <w:style w:type="character" w:styleId="943">
    <w:name w:val="page number"/>
    <w:basedOn w:val="900"/>
    <w:uiPriority w:val="0"/>
    <w:qFormat/>
  </w:style>
  <w:style w:type="character" w:styleId="944">
    <w:name w:val="FollowedHyperlink"/>
    <w:basedOn w:val="900"/>
    <w:uiPriority w:val="0"/>
    <w:qFormat/>
    <w:rPr>
      <w:color w:val="800080"/>
      <w:u w:val="none"/>
    </w:rPr>
  </w:style>
  <w:style w:type="character" w:styleId="945">
    <w:name w:val="Emphasis"/>
    <w:basedOn w:val="900"/>
    <w:uiPriority w:val="0"/>
    <w:qFormat/>
  </w:style>
  <w:style w:type="character" w:styleId="946">
    <w:name w:val="HTML Definition"/>
    <w:basedOn w:val="900"/>
    <w:uiPriority w:val="0"/>
    <w:qFormat/>
  </w:style>
  <w:style w:type="character" w:styleId="947">
    <w:name w:val="HTML Typewriter"/>
    <w:basedOn w:val="900"/>
    <w:uiPriority w:val="0"/>
    <w:qFormat/>
    <w:rPr>
      <w:rFonts w:ascii="monospace" w:hAnsi="monospace" w:eastAsia="monospace" w:cs="monospace"/>
      <w:sz w:val="20"/>
    </w:rPr>
  </w:style>
  <w:style w:type="character" w:styleId="948">
    <w:name w:val="HTML Acronym"/>
    <w:basedOn w:val="900"/>
    <w:uiPriority w:val="0"/>
    <w:qFormat/>
  </w:style>
  <w:style w:type="character" w:styleId="949">
    <w:name w:val="HTML Variable"/>
    <w:basedOn w:val="900"/>
    <w:uiPriority w:val="0"/>
    <w:qFormat/>
  </w:style>
  <w:style w:type="character" w:styleId="950">
    <w:name w:val="Hyperlink"/>
    <w:basedOn w:val="900"/>
    <w:uiPriority w:val="0"/>
    <w:qFormat/>
    <w:rPr>
      <w:color w:val="0000ff"/>
      <w:u w:val="none"/>
    </w:rPr>
  </w:style>
  <w:style w:type="character" w:styleId="951">
    <w:name w:val="HTML Code"/>
    <w:basedOn w:val="900"/>
    <w:uiPriority w:val="0"/>
    <w:qFormat/>
    <w:rPr>
      <w:rFonts w:hint="default" w:ascii="monospace" w:hAnsi="monospace" w:eastAsia="monospace" w:cs="monospace"/>
      <w:sz w:val="20"/>
    </w:rPr>
  </w:style>
  <w:style w:type="character" w:styleId="952">
    <w:name w:val="annotation reference"/>
    <w:uiPriority w:val="0"/>
    <w:qFormat/>
    <w:rPr>
      <w:sz w:val="21"/>
    </w:rPr>
  </w:style>
  <w:style w:type="character" w:styleId="953">
    <w:name w:val="HTML Cite"/>
    <w:basedOn w:val="900"/>
    <w:uiPriority w:val="0"/>
    <w:qFormat/>
  </w:style>
  <w:style w:type="character" w:styleId="954">
    <w:name w:val="footnote reference"/>
    <w:basedOn w:val="900"/>
    <w:uiPriority w:val="0"/>
    <w:qFormat/>
    <w:rPr>
      <w:vertAlign w:val="superscript"/>
    </w:rPr>
  </w:style>
  <w:style w:type="character" w:styleId="955">
    <w:name w:val="HTML Keyboard"/>
    <w:basedOn w:val="900"/>
    <w:uiPriority w:val="0"/>
    <w:qFormat/>
    <w:rPr>
      <w:rFonts w:hint="default" w:ascii="monospace" w:hAnsi="monospace" w:eastAsia="monospace" w:cs="monospace"/>
      <w:sz w:val="20"/>
    </w:rPr>
  </w:style>
  <w:style w:type="character" w:styleId="956">
    <w:name w:val="HTML Sample"/>
    <w:basedOn w:val="900"/>
    <w:uiPriority w:val="0"/>
    <w:qFormat/>
    <w:rPr>
      <w:rFonts w:hint="default" w:ascii="monospace" w:hAnsi="monospace" w:eastAsia="monospace" w:cs="monospace"/>
    </w:rPr>
  </w:style>
  <w:style w:type="character" w:styleId="957" w:customStyle="1">
    <w:name w:val="标题 1 Char"/>
    <w:link w:val="892"/>
    <w:uiPriority w:val="0"/>
    <w:qFormat/>
    <w:rPr>
      <w:rFonts w:ascii="宋体" w:hAnsi="宋体" w:eastAsia="宋体"/>
      <w:b/>
      <w:color w:val="000000"/>
      <w:sz w:val="36"/>
      <w:szCs w:val="20"/>
    </w:rPr>
  </w:style>
  <w:style w:type="character" w:styleId="958" w:customStyle="1">
    <w:name w:val="标题 2 Char"/>
    <w:link w:val="893"/>
    <w:uiPriority w:val="0"/>
    <w:qFormat/>
    <w:rPr>
      <w:rFonts w:ascii="Arial" w:hAnsi="Arial" w:eastAsia="黑体"/>
      <w:b/>
      <w:bCs/>
      <w:sz w:val="32"/>
      <w:szCs w:val="32"/>
    </w:rPr>
  </w:style>
  <w:style w:type="character" w:styleId="959" w:customStyle="1">
    <w:name w:val="标题 3 Char"/>
    <w:link w:val="894"/>
    <w:uiPriority w:val="0"/>
    <w:qFormat/>
    <w:rPr>
      <w:rFonts w:ascii="黑体" w:eastAsia="黑体"/>
      <w:b/>
      <w:color w:val="000000"/>
      <w:sz w:val="28"/>
    </w:rPr>
  </w:style>
  <w:style w:type="character" w:styleId="960" w:customStyle="1">
    <w:name w:val="标题 4 Char"/>
    <w:link w:val="895"/>
    <w:uiPriority w:val="0"/>
    <w:qFormat/>
    <w:rPr>
      <w:rFonts w:ascii="Arial" w:hAnsi="Arial" w:eastAsia="黑体"/>
      <w:b/>
      <w:bCs/>
      <w:sz w:val="28"/>
      <w:szCs w:val="28"/>
    </w:rPr>
  </w:style>
  <w:style w:type="character" w:styleId="961" w:customStyle="1">
    <w:name w:val="标题 5 Char"/>
    <w:link w:val="896"/>
    <w:uiPriority w:val="0"/>
    <w:qFormat/>
    <w:rPr>
      <w:rFonts w:eastAsia="黑体"/>
      <w:b/>
      <w:bCs/>
      <w:sz w:val="28"/>
      <w:szCs w:val="28"/>
    </w:rPr>
  </w:style>
  <w:style w:type="character" w:styleId="962" w:customStyle="1">
    <w:name w:val="标题 6 Char"/>
    <w:link w:val="897"/>
    <w:uiPriority w:val="0"/>
    <w:qFormat/>
    <w:rPr>
      <w:rFonts w:eastAsia="黑体"/>
      <w:b/>
      <w:bCs/>
      <w:sz w:val="28"/>
      <w:szCs w:val="24"/>
    </w:rPr>
  </w:style>
  <w:style w:type="character" w:styleId="963" w:customStyle="1">
    <w:name w:val="标题 7 Char"/>
    <w:link w:val="898"/>
    <w:uiPriority w:val="0"/>
    <w:qFormat/>
    <w:rPr>
      <w:rFonts w:eastAsia="黑体"/>
      <w:b/>
      <w:bCs/>
      <w:sz w:val="24"/>
      <w:szCs w:val="24"/>
    </w:rPr>
  </w:style>
  <w:style w:type="character" w:styleId="964" w:customStyle="1">
    <w:name w:val="标题 9 Char"/>
    <w:link w:val="899"/>
    <w:uiPriority w:val="0"/>
    <w:qFormat/>
    <w:rPr>
      <w:sz w:val="24"/>
      <w:szCs w:val="21"/>
    </w:rPr>
  </w:style>
  <w:style w:type="character" w:styleId="965" w:customStyle="1">
    <w:name w:val="正文缩进 Char"/>
    <w:link w:val="907"/>
    <w:uiPriority w:val="0"/>
    <w:qFormat/>
    <w:rPr>
      <w:sz w:val="21"/>
      <w:szCs w:val="24"/>
    </w:rPr>
  </w:style>
  <w:style w:type="character" w:styleId="966" w:customStyle="1">
    <w:name w:val="正文文本 Char"/>
    <w:link w:val="911"/>
    <w:uiPriority w:val="0"/>
    <w:qFormat/>
    <w:rPr>
      <w:sz w:val="21"/>
      <w:szCs w:val="24"/>
    </w:rPr>
  </w:style>
  <w:style w:type="character" w:styleId="967" w:customStyle="1">
    <w:name w:val="纯文本 Char"/>
    <w:link w:val="917"/>
    <w:uiPriority w:val="0"/>
    <w:qFormat/>
    <w:rPr>
      <w:rFonts w:ascii="宋体" w:eastAsia="宋体"/>
      <w:sz w:val="21"/>
      <w:szCs w:val="24"/>
      <w:lang w:val="en-US" w:eastAsia="zh-CN" w:bidi="ar-SA"/>
    </w:rPr>
  </w:style>
  <w:style w:type="character" w:styleId="968" w:customStyle="1">
    <w:name w:val="页脚 Char"/>
    <w:link w:val="922"/>
    <w:uiPriority w:val="99"/>
    <w:qFormat/>
    <w:rPr>
      <w:sz w:val="18"/>
      <w:szCs w:val="18"/>
    </w:rPr>
  </w:style>
  <w:style w:type="character" w:styleId="969" w:customStyle="1">
    <w:name w:val="脚注文本 Char"/>
    <w:link w:val="929"/>
    <w:uiPriority w:val="0"/>
    <w:qFormat/>
    <w:rPr>
      <w:sz w:val="18"/>
      <w:szCs w:val="18"/>
    </w:rPr>
  </w:style>
  <w:style w:type="character" w:styleId="970" w:customStyle="1">
    <w:name w:val="标题 Char"/>
    <w:link w:val="937"/>
    <w:uiPriority w:val="0"/>
    <w:qFormat/>
    <w:rPr>
      <w:b/>
      <w:sz w:val="24"/>
      <w:lang w:val="en-GB" w:eastAsia="en-GB"/>
    </w:rPr>
  </w:style>
  <w:style w:type="character" w:styleId="971" w:customStyle="1">
    <w:name w:val="正文首行缩进 Char"/>
    <w:basedOn w:val="966"/>
    <w:link w:val="939"/>
    <w:uiPriority w:val="0"/>
    <w:qFormat/>
  </w:style>
  <w:style w:type="character" w:styleId="972" w:customStyle="1">
    <w:name w:val="超链接1"/>
    <w:basedOn w:val="973"/>
    <w:uiPriority w:val="99"/>
    <w:qFormat/>
    <w:rPr>
      <w:sz w:val="21"/>
      <w:szCs w:val="24"/>
      <w:lang w:val="en-US" w:eastAsia="zh-CN" w:bidi="ar-SA"/>
    </w:rPr>
  </w:style>
  <w:style w:type="character" w:styleId="973" w:customStyle="1">
    <w:name w:val="默认段落字体1"/>
    <w:uiPriority w:val="0"/>
    <w:semiHidden/>
    <w:qFormat/>
  </w:style>
  <w:style w:type="character" w:styleId="974" w:customStyle="1">
    <w:name w:val="_Style 82"/>
    <w:uiPriority w:val="0"/>
    <w:qFormat/>
    <w:rPr>
      <w:b/>
      <w:bCs/>
      <w:smallCaps/>
      <w:spacing w:val="5"/>
    </w:rPr>
  </w:style>
  <w:style w:type="character" w:styleId="975" w:customStyle="1">
    <w:name w:val="WPS Plain Char"/>
    <w:link w:val="976"/>
    <w:uiPriority w:val="0"/>
    <w:qFormat/>
    <w:rPr>
      <w:lang w:val="en-US" w:eastAsia="zh-CN" w:bidi="ar-SA"/>
    </w:rPr>
  </w:style>
  <w:style w:type="paragraph" w:styleId="976" w:customStyle="1">
    <w:name w:val="WPS Plain"/>
    <w:link w:val="975"/>
    <w:uiPriority w:val="0"/>
    <w:qFormat/>
    <w:rPr>
      <w:rFonts w:ascii="Times New Roman" w:hAnsi="Times New Roman" w:eastAsia="宋体" w:cs="Times New Roman"/>
      <w:lang w:val="en-US" w:eastAsia="zh-CN" w:bidi="ar-SA"/>
    </w:rPr>
  </w:style>
  <w:style w:type="character" w:styleId="977" w:customStyle="1">
    <w:name w:val="info1"/>
    <w:uiPriority w:val="0"/>
    <w:qFormat/>
    <w:rPr>
      <w:sz w:val="29"/>
      <w:szCs w:val="29"/>
    </w:rPr>
  </w:style>
  <w:style w:type="character" w:styleId="978" w:customStyle="1">
    <w:name w:val="Heading #3|1_"/>
    <w:link w:val="979"/>
    <w:uiPriority w:val="0"/>
    <w:qFormat/>
    <w:rPr>
      <w:rFonts w:ascii="宋体" w:hAnsi="宋体" w:eastAsia="宋体" w:cs="宋体"/>
      <w:sz w:val="42"/>
      <w:szCs w:val="42"/>
      <w:lang w:val="zh-TW" w:eastAsia="zh-TW" w:bidi="zh-TW"/>
    </w:rPr>
  </w:style>
  <w:style w:type="paragraph" w:styleId="979" w:customStyle="1">
    <w:name w:val="Heading #3|1"/>
    <w:basedOn w:val="891"/>
    <w:link w:val="978"/>
    <w:uiPriority w:val="0"/>
    <w:qFormat/>
    <w:pPr>
      <w:jc w:val="center"/>
      <w:spacing w:after="590" w:line="634" w:lineRule="exact"/>
      <w:outlineLvl w:val="2"/>
    </w:pPr>
    <w:rPr>
      <w:rFonts w:ascii="宋体" w:hAnsi="宋体" w:cs="宋体"/>
      <w:sz w:val="42"/>
      <w:szCs w:val="42"/>
      <w:lang w:val="zh-TW" w:eastAsia="zh-TW" w:bidi="zh-TW"/>
    </w:rPr>
  </w:style>
  <w:style w:type="character" w:styleId="980" w:customStyle="1">
    <w:name w:val="font01"/>
    <w:uiPriority w:val="0"/>
    <w:qFormat/>
    <w:rPr>
      <w:rFonts w:ascii="宋体" w:eastAsia="宋体" w:cs="宋体"/>
      <w:color w:val="000000"/>
      <w:sz w:val="22"/>
      <w:szCs w:val="22"/>
      <w:vertAlign w:val="superscript"/>
      <w:lang w:bidi="ar-SA"/>
    </w:rPr>
  </w:style>
  <w:style w:type="character" w:styleId="981" w:customStyle="1">
    <w:name w:val="bulletintext1"/>
    <w:uiPriority w:val="0"/>
    <w:qFormat/>
    <w:rPr>
      <w:color w:val="000000"/>
      <w:sz w:val="18"/>
      <w:szCs w:val="18"/>
    </w:rPr>
  </w:style>
  <w:style w:type="character" w:styleId="982" w:customStyle="1">
    <w:name w:val="font11"/>
    <w:uiPriority w:val="0"/>
    <w:qFormat/>
    <w:rPr>
      <w:rFonts w:ascii="宋体" w:eastAsia="宋体" w:cs="宋体"/>
      <w:color w:val="000000"/>
      <w:sz w:val="22"/>
      <w:szCs w:val="22"/>
      <w:lang w:bidi="ar-SA"/>
    </w:rPr>
  </w:style>
  <w:style w:type="character" w:styleId="983" w:customStyle="1">
    <w:name w:val="样式 宋体 小四"/>
    <w:uiPriority w:val="0"/>
    <w:qFormat/>
    <w:rPr>
      <w:rFonts w:ascii="宋体"/>
      <w:spacing w:val="6"/>
      <w:sz w:val="24"/>
      <w:szCs w:val="24"/>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891"/>
    <w:link w:val="984"/>
    <w:uiPriority w:val="0"/>
    <w:qFormat/>
    <w:pPr>
      <w:contextualSpacing/>
      <w:ind w:left="720"/>
      <w:jc w:val="left"/>
      <w:widowControl/>
    </w:pPr>
    <w:rPr>
      <w:rFonts w:ascii="Calibri" w:hAnsi="Calibri"/>
      <w:sz w:val="24"/>
      <w:lang w:eastAsia="en-US" w:bidi="en-US"/>
    </w:rPr>
  </w:style>
  <w:style w:type="character" w:styleId="986" w:customStyle="1">
    <w:name w:val="md"/>
    <w:basedOn w:val="900"/>
    <w:uiPriority w:val="0"/>
    <w:qFormat/>
  </w:style>
  <w:style w:type="character" w:styleId="987" w:customStyle="1">
    <w:name w:val="cart_title_smaller1"/>
    <w:uiPriority w:val="0"/>
    <w:qFormat/>
    <w:rPr>
      <w:color w:val="000000"/>
      <w:sz w:val="18"/>
      <w:szCs w:val="18"/>
      <w:u w:val="none"/>
    </w:rPr>
  </w:style>
  <w:style w:type="character" w:styleId="988" w:customStyle="1">
    <w:name w:val="表格标题 Char"/>
    <w:link w:val="989"/>
    <w:uiPriority w:val="0"/>
    <w:qFormat/>
    <w:rPr>
      <w:rFonts w:ascii="Cambria Math" w:hAnsi="Cambria Math" w:eastAsia="仿宋_GB2312"/>
      <w:b/>
      <w:sz w:val="21"/>
      <w:szCs w:val="24"/>
    </w:rPr>
  </w:style>
  <w:style w:type="paragraph" w:styleId="989" w:customStyle="1">
    <w:name w:val="表格标题"/>
    <w:basedOn w:val="891"/>
    <w:link w:val="988"/>
    <w:uiPriority w:val="0"/>
    <w:qFormat/>
    <w:pPr>
      <w:jc w:val="center"/>
    </w:pPr>
    <w:rPr>
      <w:rFonts w:ascii="Cambria Math" w:hAnsi="Cambria Math" w:eastAsia="仿宋_GB2312"/>
      <w:b/>
    </w:rPr>
  </w:style>
  <w:style w:type="character" w:styleId="990" w:customStyle="1">
    <w:name w:val="Body text|1_"/>
    <w:link w:val="991"/>
    <w:uiPriority w:val="0"/>
    <w:qFormat/>
    <w:rPr>
      <w:rFonts w:ascii="宋体" w:hAnsi="宋体" w:eastAsia="宋体" w:cs="宋体"/>
      <w:lang w:val="zh-TW" w:eastAsia="zh-TW" w:bidi="zh-TW"/>
    </w:rPr>
  </w:style>
  <w:style w:type="paragraph" w:styleId="991" w:customStyle="1">
    <w:name w:val="Body text|1"/>
    <w:basedOn w:val="891"/>
    <w:link w:val="990"/>
    <w:uiPriority w:val="0"/>
    <w:qFormat/>
    <w:pPr>
      <w:ind w:left="190" w:firstLine="650"/>
      <w:jc w:val="left"/>
      <w:spacing w:after="270" w:line="590" w:lineRule="exact"/>
    </w:pPr>
    <w:rPr>
      <w:rFonts w:ascii="宋体" w:hAnsi="宋体" w:cs="宋体"/>
      <w:sz w:val="20"/>
      <w:szCs w:val="20"/>
      <w:lang w:val="zh-TW" w:eastAsia="zh-TW" w:bidi="zh-TW"/>
    </w:rPr>
  </w:style>
  <w:style w:type="character" w:styleId="992" w:customStyle="1">
    <w:name w:val="Header or footer|1_"/>
    <w:link w:val="993"/>
    <w:uiPriority w:val="0"/>
    <w:qFormat/>
    <w:rPr>
      <w:sz w:val="26"/>
      <w:szCs w:val="26"/>
      <w:lang w:val="zh-TW" w:eastAsia="zh-TW" w:bidi="zh-TW"/>
    </w:rPr>
  </w:style>
  <w:style w:type="paragraph" w:styleId="993" w:customStyle="1">
    <w:name w:val="Header or footer|1"/>
    <w:basedOn w:val="891"/>
    <w:link w:val="992"/>
    <w:uiPriority w:val="0"/>
    <w:qFormat/>
    <w:pPr>
      <w:jc w:val="left"/>
    </w:pPr>
    <w:rPr>
      <w:sz w:val="26"/>
      <w:szCs w:val="26"/>
      <w:lang w:val="zh-TW" w:eastAsia="zh-TW" w:bidi="zh-TW"/>
    </w:rPr>
  </w:style>
  <w:style w:type="paragraph" w:styleId="994" w:customStyle="1">
    <w:name w:val=" Char2 Char Char Char"/>
    <w:basedOn w:val="891"/>
    <w:uiPriority w:val="0"/>
    <w:qFormat/>
    <w:rPr>
      <w:rFonts w:ascii="仿宋_GB2312" w:eastAsia="仿宋_GB2312"/>
      <w:b/>
      <w:sz w:val="32"/>
      <w:szCs w:val="32"/>
    </w:rPr>
  </w:style>
  <w:style w:type="paragraph" w:styleId="995" w:customStyle="1">
    <w:name w:val="文件标题"/>
    <w:basedOn w:val="891"/>
    <w:uiPriority w:val="0"/>
    <w:qFormat/>
    <w:pPr>
      <w:jc w:val="center"/>
      <w:spacing w:after="240"/>
    </w:pPr>
    <w:rPr>
      <w:rFonts w:ascii="Arial Black" w:hAnsi="Arial Black"/>
      <w:sz w:val="48"/>
      <w:szCs w:val="20"/>
    </w:rPr>
  </w:style>
  <w:style w:type="paragraph" w:styleId="996" w:customStyle="1">
    <w:name w:val="xl29"/>
    <w:basedOn w:val="8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97" w:customStyle="1">
    <w:name w:val="标准中文版式_正文"/>
    <w:basedOn w:val="891"/>
    <w:uiPriority w:val="0"/>
    <w:qFormat/>
    <w:pPr>
      <w:ind w:firstLine="200"/>
      <w:spacing w:before="30" w:line="360" w:lineRule="auto"/>
    </w:pPr>
    <w:rPr>
      <w:rFonts w:ascii="Arial" w:hAnsi="Arial"/>
      <w:sz w:val="24"/>
    </w:rPr>
  </w:style>
  <w:style w:type="paragraph" w:styleId="998" w:customStyle="1">
    <w:name w:val="默认段落字体 Para Char Char Char Char Char Char Char Char Char1 Char Char Char Char"/>
    <w:basedOn w:val="891"/>
    <w:uiPriority w:val="0"/>
    <w:qFormat/>
    <w:rPr>
      <w:rFonts w:ascii="Tahoma" w:hAnsi="Tahoma"/>
      <w:sz w:val="24"/>
      <w:szCs w:val="20"/>
    </w:rPr>
  </w:style>
  <w:style w:type="paragraph" w:styleId="999" w:customStyle="1">
    <w:name w:val="简单回函地址"/>
    <w:basedOn w:val="891"/>
    <w:uiPriority w:val="0"/>
    <w:qFormat/>
    <w:rPr>
      <w:rFonts w:cs="宋体"/>
      <w:szCs w:val="21"/>
    </w:rPr>
  </w:style>
  <w:style w:type="paragraph" w:styleId="1000" w:customStyle="1">
    <w:name w:val=" Char Char Char Char Char Char"/>
    <w:basedOn w:val="891"/>
    <w:uiPriority w:val="0"/>
    <w:qFormat/>
    <w:rPr>
      <w:szCs w:val="20"/>
    </w:rPr>
  </w:style>
  <w:style w:type="paragraph" w:styleId="1001" w:customStyle="1">
    <w:name w:val="部分1"/>
    <w:basedOn w:val="891"/>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1002" w:customStyle="1">
    <w:name w:val="Char"/>
    <w:basedOn w:val="891"/>
    <w:uiPriority w:val="0"/>
    <w:qFormat/>
    <w:rPr>
      <w:rFonts w:ascii="仿宋_GB2312" w:eastAsia="仿宋_GB2312"/>
      <w:b/>
      <w:sz w:val="32"/>
      <w:szCs w:val="32"/>
    </w:rPr>
  </w:style>
  <w:style w:type="paragraph" w:styleId="1003" w:customStyle="1">
    <w:name w:val="xl38"/>
    <w:basedOn w:val="891"/>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1004" w:customStyle="1">
    <w:name w:val="xl28"/>
    <w:basedOn w:val="89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05" w:customStyle="1">
    <w:name w:val="xl26"/>
    <w:basedOn w:val="8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6" w:customStyle="1">
    <w:name w:val="Section #"/>
    <w:next w:val="891"/>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1007">
    <w:name w:val="No Spacing"/>
    <w:uiPriority w:val="0"/>
    <w:qFormat/>
    <w:rPr>
      <w:rFonts w:ascii="Times New Roman" w:hAnsi="Times New Roman" w:eastAsia="宋体" w:cs="Times New Roman"/>
      <w:sz w:val="22"/>
      <w:szCs w:val="22"/>
      <w:lang w:val="en-US" w:eastAsia="en-US" w:bidi="en-US"/>
    </w:rPr>
  </w:style>
  <w:style w:type="paragraph" w:styleId="1008" w:customStyle="1">
    <w:name w:val=" Char1"/>
    <w:basedOn w:val="891"/>
    <w:uiPriority w:val="0"/>
    <w:qFormat/>
    <w:rPr>
      <w:rFonts w:ascii="仿宋_GB2312" w:eastAsia="仿宋_GB2312"/>
      <w:b/>
      <w:sz w:val="32"/>
      <w:szCs w:val="32"/>
    </w:rPr>
  </w:style>
  <w:style w:type="paragraph" w:styleId="1009">
    <w:name w:val="List Paragraph"/>
    <w:basedOn w:val="891"/>
    <w:next w:val="932"/>
    <w:uiPriority w:val="34"/>
    <w:qFormat/>
    <w:pPr>
      <w:ind w:firstLine="200"/>
      <w:jc w:val="both"/>
      <w:widowControl w:val="off"/>
    </w:pPr>
    <w:rPr>
      <w:sz w:val="21"/>
      <w:szCs w:val="22"/>
      <w:lang w:val="en-US" w:eastAsia="zh-CN" w:bidi="ar-SA"/>
    </w:rPr>
  </w:style>
  <w:style w:type="paragraph" w:styleId="1010"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1011" w:customStyle="1">
    <w:name w:val="xl25"/>
    <w:basedOn w:val="8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1012" w:customStyle="1">
    <w:name w:val="规范正文"/>
    <w:basedOn w:val="891"/>
    <w:uiPriority w:val="0"/>
    <w:qFormat/>
    <w:pPr>
      <w:ind w:left="480"/>
      <w:spacing w:line="360" w:lineRule="auto"/>
    </w:pPr>
    <w:rPr>
      <w:sz w:val="24"/>
      <w:szCs w:val="20"/>
    </w:rPr>
  </w:style>
  <w:style w:type="paragraph" w:styleId="1013" w:customStyle="1">
    <w:name w:val="表格文字"/>
    <w:basedOn w:val="891"/>
    <w:uiPriority w:val="0"/>
    <w:qFormat/>
    <w:pPr>
      <w:jc w:val="center"/>
    </w:pPr>
    <w:rPr>
      <w:rFonts w:ascii="Cambria Math" w:hAnsi="Cambria Math" w:eastAsia="仿宋_GB2312"/>
    </w:rPr>
  </w:style>
  <w:style w:type="paragraph" w:styleId="1014" w:customStyle="1">
    <w:name w:val="xl27"/>
    <w:basedOn w:val="8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15" w:customStyle="1">
    <w:name w:val="HTML 预先格式化"/>
    <w:basedOn w:val="8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16" w:customStyle="1">
    <w:name w:val="正文 样式"/>
    <w:basedOn w:val="891"/>
    <w:uiPriority w:val="0"/>
    <w:qFormat/>
    <w:pPr>
      <w:ind w:firstLine="480"/>
      <w:spacing w:line="360" w:lineRule="auto"/>
    </w:pPr>
    <w:rPr>
      <w:rFonts w:ascii="Cambria Math" w:hAnsi="Cambria Math" w:eastAsia="仿宋_GB2312" w:cs="Cambria Math"/>
      <w:sz w:val="24"/>
    </w:rPr>
  </w:style>
  <w:style w:type="paragraph" w:styleId="1017" w:customStyle="1">
    <w:name w:val="正文缩进1"/>
    <w:next w:val="908"/>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18" w:customStyle="1">
    <w:name w:val="flName"/>
    <w:basedOn w:val="891"/>
    <w:uiPriority w:val="0"/>
    <w:qFormat/>
    <w:pPr>
      <w:ind w:firstLine="200"/>
      <w:jc w:val="center"/>
      <w:spacing w:before="320" w:after="160" w:line="360" w:lineRule="atLeast"/>
    </w:pPr>
    <w:rPr>
      <w:rFonts w:ascii="Arial" w:hAnsi="Arial" w:eastAsia="黑体"/>
      <w:sz w:val="32"/>
    </w:rPr>
  </w:style>
  <w:style w:type="paragraph" w:styleId="1019" w:customStyle="1">
    <w:name w:val="正文2"/>
    <w:basedOn w:val="891"/>
    <w:uiPriority w:val="0"/>
    <w:qFormat/>
    <w:pPr>
      <w:ind w:firstLine="200"/>
      <w:spacing w:before="156" w:line="360" w:lineRule="auto"/>
    </w:pPr>
    <w:rPr>
      <w:sz w:val="24"/>
      <w:szCs w:val="20"/>
    </w:rPr>
  </w:style>
  <w:style w:type="paragraph" w:styleId="1020" w:customStyle="1">
    <w:name w:val="普通正文"/>
    <w:basedOn w:val="891"/>
    <w:uiPriority w:val="0"/>
    <w:qFormat/>
    <w:pPr>
      <w:ind w:firstLine="480"/>
      <w:jc w:val="left"/>
      <w:spacing w:before="120" w:after="120" w:line="360" w:lineRule="auto"/>
    </w:pPr>
    <w:rPr>
      <w:rFonts w:ascii="Arial" w:hAnsi="Arial"/>
      <w:sz w:val="24"/>
    </w:rPr>
  </w:style>
  <w:style w:type="paragraph" w:styleId="1021" w:customStyle="1">
    <w:name w:val="xl24"/>
    <w:basedOn w:val="8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22" w:customStyle="1">
    <w:name w:val="表内文字"/>
    <w:basedOn w:val="891"/>
    <w:uiPriority w:val="0"/>
    <w:qFormat/>
    <w:pPr>
      <w:jc w:val="center"/>
      <w:spacing w:before="50" w:after="50"/>
    </w:pPr>
    <w:rPr>
      <w:rFonts w:ascii="宋体"/>
      <w:sz w:val="24"/>
      <w:szCs w:val="20"/>
    </w:rPr>
  </w:style>
  <w:style w:type="paragraph" w:styleId="1023" w:customStyle="1">
    <w:name w:val="正文段"/>
    <w:basedOn w:val="891"/>
    <w:uiPriority w:val="0"/>
    <w:qFormat/>
    <w:pPr>
      <w:ind w:firstLine="200"/>
      <w:spacing w:after="50"/>
      <w:widowControl/>
    </w:pPr>
    <w:rPr>
      <w:sz w:val="24"/>
      <w:szCs w:val="20"/>
    </w:rPr>
  </w:style>
  <w:style w:type="paragraph" w:styleId="1024" w:customStyle="1">
    <w:name w:val="xl30"/>
    <w:basedOn w:val="891"/>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25" w:customStyle="1">
    <w:name w:val="Proposals body"/>
    <w:basedOn w:val="891"/>
    <w:next w:val="891"/>
    <w:uiPriority w:val="0"/>
    <w:qFormat/>
    <w:pPr>
      <w:jc w:val="left"/>
      <w:spacing w:line="360" w:lineRule="auto"/>
      <w:widowControl/>
    </w:pPr>
    <w:rPr>
      <w:rFonts w:ascii="宋体"/>
      <w:color w:val="000000"/>
      <w:sz w:val="24"/>
      <w:szCs w:val="20"/>
    </w:rPr>
  </w:style>
  <w:style w:type="paragraph" w:styleId="1026" w:customStyle="1">
    <w:name w:val="正文格式"/>
    <w:basedOn w:val="891"/>
    <w:uiPriority w:val="0"/>
    <w:qFormat/>
    <w:pPr>
      <w:ind w:firstLine="480"/>
      <w:spacing w:line="360" w:lineRule="auto"/>
    </w:pPr>
    <w:rPr>
      <w:rFonts w:ascii="Cambria Math" w:hAnsi="Cambria Math" w:eastAsia="仿宋_GB2312" w:cs="Cambria Math"/>
      <w:sz w:val="24"/>
      <w:szCs w:val="20"/>
    </w:rPr>
  </w:style>
  <w:style w:type="paragraph" w:styleId="1027" w:customStyle="1">
    <w:name w:val=" Char"/>
    <w:basedOn w:val="891"/>
    <w:uiPriority w:val="0"/>
    <w:qFormat/>
    <w:rPr>
      <w:szCs w:val="20"/>
    </w:rPr>
  </w:style>
  <w:style w:type="paragraph" w:styleId="1028" w:customStyle="1">
    <w:name w:val="Plain Text"/>
    <w:basedOn w:val="891"/>
    <w:uiPriority w:val="0"/>
    <w:qFormat/>
    <w:rPr>
      <w:rFonts w:ascii="宋体" w:hAnsi="Courier New" w:eastAsia="楷体_GB2312" w:cs="宋体"/>
      <w:sz w:val="28"/>
      <w:szCs w:val="21"/>
    </w:rPr>
  </w:style>
  <w:style w:type="paragraph" w:styleId="1029" w:customStyle="1">
    <w:name w:val=" Char2"/>
    <w:basedOn w:val="891"/>
    <w:uiPriority w:val="0"/>
    <w:qFormat/>
    <w:rPr>
      <w:rFonts w:ascii="仿宋_GB2312" w:eastAsia="仿宋_GB2312"/>
      <w:b/>
      <w:sz w:val="32"/>
      <w:szCs w:val="32"/>
    </w:rPr>
  </w:style>
  <w:style w:type="paragraph" w:styleId="1030" w:customStyle="1">
    <w:name w:val="正文（缩进）"/>
    <w:basedOn w:val="891"/>
    <w:uiPriority w:val="0"/>
    <w:qFormat/>
    <w:pPr>
      <w:ind w:firstLine="480"/>
      <w:spacing w:before="156" w:after="156"/>
    </w:pPr>
    <w:rPr>
      <w:rFonts w:ascii="Calibri" w:hAnsi="Calibri"/>
      <w:szCs w:val="20"/>
    </w:rPr>
  </w:style>
  <w:style w:type="character" w:styleId="1031" w:customStyle="1">
    <w:name w:val="NormalCharacter"/>
    <w:uiPriority w:val="0"/>
    <w:qFormat/>
  </w:style>
  <w:style w:type="character" w:styleId="1032" w:customStyle="1">
    <w:name w:val="UserStyle_9"/>
    <w:uiPriority w:val="0"/>
    <w:qFormat/>
  </w:style>
  <w:style w:type="paragraph" w:styleId="1033"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34" w:customStyle="1">
    <w:name w:val="Table Paragraph"/>
    <w:basedOn w:val="891"/>
    <w:uiPriority w:val="1"/>
    <w:qFormat/>
    <w:rPr>
      <w:rFonts w:ascii="宋体" w:hAnsi="宋体" w:eastAsia="宋体" w:cs="宋体"/>
      <w:lang w:val="zh-CN" w:eastAsia="zh-CN" w:bidi="zh-CN"/>
    </w:rPr>
  </w:style>
  <w:style w:type="character" w:styleId="1035" w:customStyle="1">
    <w:name w:val="hour_am"/>
    <w:basedOn w:val="900"/>
    <w:uiPriority w:val="0"/>
    <w:qFormat/>
  </w:style>
  <w:style w:type="character" w:styleId="1036" w:customStyle="1">
    <w:name w:val="hover"/>
    <w:basedOn w:val="900"/>
    <w:uiPriority w:val="0"/>
    <w:qFormat/>
    <w:rPr>
      <w:shd w:val="clear" w:color="auto" w:fill="eeeeee"/>
    </w:rPr>
  </w:style>
  <w:style w:type="character" w:styleId="1037" w:customStyle="1">
    <w:name w:val="hover1"/>
    <w:basedOn w:val="900"/>
    <w:uiPriority w:val="0"/>
    <w:qFormat/>
    <w:rPr>
      <w:color w:val="5fb878"/>
    </w:rPr>
  </w:style>
  <w:style w:type="character" w:styleId="1038" w:customStyle="1">
    <w:name w:val="hover2"/>
    <w:basedOn w:val="900"/>
    <w:uiPriority w:val="0"/>
    <w:qFormat/>
    <w:rPr>
      <w:color w:val="5fb878"/>
    </w:rPr>
  </w:style>
  <w:style w:type="character" w:styleId="1039" w:customStyle="1">
    <w:name w:val="hover3"/>
    <w:basedOn w:val="900"/>
    <w:uiPriority w:val="0"/>
    <w:qFormat/>
    <w:rPr>
      <w:color w:val="ffffff"/>
    </w:rPr>
  </w:style>
  <w:style w:type="character" w:styleId="1040" w:customStyle="1">
    <w:name w:val="old"/>
    <w:basedOn w:val="900"/>
    <w:uiPriority w:val="0"/>
    <w:qFormat/>
    <w:rPr>
      <w:color w:val="999999"/>
    </w:rPr>
  </w:style>
  <w:style w:type="character" w:styleId="1041" w:customStyle="1">
    <w:name w:val="glyphicon"/>
    <w:basedOn w:val="900"/>
    <w:uiPriority w:val="0"/>
    <w:qFormat/>
  </w:style>
  <w:style w:type="character" w:styleId="1042" w:customStyle="1">
    <w:name w:val="hour_pm"/>
    <w:basedOn w:val="900"/>
    <w:uiPriority w:val="0"/>
    <w:qFormat/>
  </w:style>
  <w:style w:type="paragraph" w:styleId="1043"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样式 标题 2 + Times New Roman 四号 非加粗 段前: 5 磅 段后: 0 磅 行距: 固定值 20..."/>
    <w:basedOn w:val="893"/>
    <w:uiPriority w:val="0"/>
    <w:qFormat/>
    <w:pPr>
      <w:spacing w:before="100" w:after="0" w:line="400" w:lineRule="exact"/>
    </w:pPr>
    <w:rPr>
      <w:rFonts w:ascii="Times New Roman" w:hAnsi="Times New Roman" w:cs="宋体"/>
      <w:b w:val="0"/>
      <w:bCs w:val="0"/>
      <w:sz w:val="28"/>
      <w:szCs w:val="20"/>
    </w:rPr>
  </w:style>
  <w:style w:type="paragraph" w:styleId="1045"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46" w:customStyle="1">
    <w:name w:val="hover4"/>
    <w:basedOn w:val="900"/>
    <w:uiPriority w:val="0"/>
    <w:qFormat/>
    <w:rPr>
      <w:color w:val="5fb878"/>
    </w:rPr>
  </w:style>
  <w:style w:type="character" w:styleId="1047" w:customStyle="1">
    <w:name w:val="hover5"/>
    <w:basedOn w:val="900"/>
    <w:uiPriority w:val="0"/>
    <w:qFormat/>
    <w:rPr>
      <w:color w:val="5fb878"/>
    </w:rPr>
  </w:style>
  <w:style w:type="character" w:styleId="1048" w:customStyle="1">
    <w:name w:val="first-child"/>
    <w:basedOn w:val="900"/>
    <w:uiPriority w:val="0"/>
    <w:qFormat/>
  </w:style>
  <w:style w:type="character" w:styleId="1049" w:customStyle="1">
    <w:name w:val="layui-this2"/>
    <w:basedOn w:val="900"/>
    <w:uiPriority w:val="0"/>
    <w:qFormat/>
    <w:rPr>
      <w:shd w:val="clear" w:color="auto" w:fill="ffffff"/>
    </w:rPr>
  </w:style>
  <w:style w:type="character" w:styleId="1050" w:customStyle="1">
    <w:name w:val="active"/>
    <w:basedOn w:val="900"/>
    <w:uiPriority w:val="0"/>
    <w:qFormat/>
    <w:rPr>
      <w:color w:val="ffffff"/>
      <w:shd w:val="clear" w:color="auto" w:fill="0f5bb9"/>
    </w:rPr>
  </w:style>
  <w:style w:type="character" w:styleId="1051" w:customStyle="1">
    <w:name w:val="active16"/>
    <w:basedOn w:val="900"/>
    <w:uiPriority w:val="0"/>
    <w:qFormat/>
    <w:rPr>
      <w:color w:val="ffffff"/>
      <w:shd w:val="clear" w:color="auto" w:fill="0f5bb9"/>
    </w:rPr>
  </w:style>
  <w:style w:type="paragraph" w:styleId="1052" w:customStyle="1">
    <w:name w:val="正文11"/>
    <w:next w:val="1053"/>
    <w:uiPriority w:val="0"/>
    <w:qFormat/>
    <w:pPr>
      <w:jc w:val="both"/>
      <w:widowControl w:val="off"/>
    </w:pPr>
    <w:rPr>
      <w:rFonts w:hint="default" w:ascii="Times New Roman" w:hAnsi="Times New Roman" w:eastAsia="宋体" w:cs="Times New Roman"/>
      <w:sz w:val="21"/>
      <w:szCs w:val="24"/>
    </w:rPr>
  </w:style>
  <w:style w:type="paragraph" w:styleId="1053" w:customStyle="1">
    <w:name w:val="目录 11"/>
    <w:basedOn w:val="1052"/>
    <w:next w:val="1052"/>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54" w:customStyle="1">
    <w:name w:val="正文首行缩进 21"/>
    <w:basedOn w:val="925"/>
    <w:uiPriority w:val="0"/>
    <w:qFormat/>
    <w:pPr>
      <w:ind w:left="420" w:firstLine="420"/>
      <w:jc w:val="left"/>
      <w:spacing w:after="120"/>
    </w:pPr>
    <w:rPr>
      <w:rFonts w:eastAsia="宋体"/>
      <w:sz w:val="21"/>
    </w:rPr>
  </w:style>
  <w:style w:type="paragraph" w:styleId="1055" w:customStyle="1">
    <w:name w:val="寄信人地址1"/>
    <w:basedOn w:val="891"/>
    <w:uiPriority w:val="99"/>
    <w:unhideWhenUsed/>
    <w:qFormat/>
    <w:rPr>
      <w:rFonts w:ascii="Arial" w:hAnsi="Arial"/>
    </w:rPr>
  </w:style>
  <w:style w:type="paragraph" w:styleId="1056" w:customStyle="1">
    <w:name w:val="普通(网站)1"/>
    <w:basedOn w:val="891"/>
    <w:uiPriority w:val="0"/>
    <w:qFormat/>
    <w:pPr>
      <w:jc w:val="left"/>
      <w:spacing w:before="100" w:beforeAutospacing="1" w:after="100" w:afterAutospacing="1"/>
      <w:widowControl/>
    </w:pPr>
    <w:rPr>
      <w:rFonts w:ascii="宋体" w:hAnsi="宋体"/>
      <w:color w:val="000000"/>
      <w:sz w:val="24"/>
      <w:szCs w:val="24"/>
    </w:rPr>
  </w:style>
  <w:style w:type="paragraph" w:styleId="1057" w:customStyle="1">
    <w:name w:val="纯文本1111"/>
    <w:basedOn w:val="891"/>
    <w:uiPriority w:val="99"/>
    <w:qFormat/>
    <w:rPr>
      <w:rFonts w:ascii="宋体" w:hAnsi="Courier New"/>
      <w:sz w:val="24"/>
    </w:rPr>
  </w:style>
  <w:style w:type="paragraph" w:styleId="1058" w:customStyle="1">
    <w:name w:val="段"/>
    <w:next w:val="891"/>
    <w:uiPriority w:val="0"/>
    <w:qFormat/>
    <w:pPr>
      <w:ind w:firstLine="200"/>
      <w:jc w:val="both"/>
      <w:spacing w:line="360" w:lineRule="auto"/>
    </w:pPr>
    <w:rPr>
      <w:rFonts w:hint="default" w:ascii="宋体" w:hAnsi="Times New Roman" w:eastAsia="宋体" w:cs="Times New Roman"/>
      <w:sz w:val="24"/>
      <w:szCs w:val="22"/>
    </w:rPr>
  </w:style>
  <w:style w:type="paragraph" w:styleId="1059" w:customStyle="1">
    <w:name w:val="纯文本11"/>
    <w:basedOn w:val="891"/>
    <w:uiPriority w:val="99"/>
    <w:qFormat/>
    <w:pPr>
      <w:jc w:val="both"/>
      <w:widowControl w:val="off"/>
    </w:pPr>
    <w:rPr>
      <w:rFonts w:ascii="宋体"/>
      <w:szCs w:val="24"/>
    </w:rPr>
  </w:style>
  <w:style w:type="paragraph" w:styleId="1060" w:customStyle="1">
    <w:name w:val="正文文本缩进 31"/>
    <w:basedOn w:val="1052"/>
    <w:uiPriority w:val="0"/>
    <w:qFormat/>
    <w:pPr>
      <w:ind w:firstLine="600"/>
      <w:spacing w:before="50" w:after="50" w:line="400" w:lineRule="exact"/>
    </w:pPr>
    <w:rPr>
      <w:rFonts w:ascii="仿宋_GB2312" w:hAnsi="宋体" w:eastAsia="仿宋_GB2312"/>
      <w:sz w:val="32"/>
    </w:rPr>
  </w:style>
  <w:style w:type="paragraph" w:styleId="1061" w:customStyle="1">
    <w:name w:val="black1"/>
    <w:basedOn w:val="1052"/>
    <w:uiPriority w:val="0"/>
    <w:qFormat/>
    <w:pPr>
      <w:jc w:val="left"/>
      <w:spacing w:before="100" w:beforeAutospacing="1" w:after="100" w:afterAutospacing="1"/>
      <w:widowControl/>
    </w:pPr>
    <w:rPr>
      <w:rFonts w:ascii="宋体" w:hAnsi="宋体"/>
      <w:sz w:val="24"/>
    </w:rPr>
  </w:style>
  <w:style w:type="paragraph" w:styleId="1062" w:customStyle="1">
    <w:name w:val="页脚1"/>
    <w:basedOn w:val="1033"/>
    <w:uiPriority w:val="0"/>
    <w:qFormat/>
    <w:pPr>
      <w:spacing w:line="240" w:lineRule="auto"/>
      <w:tabs>
        <w:tab w:val="center" w:pos="4153" w:leader="none"/>
        <w:tab w:val="right" w:pos="8306" w:leader="none"/>
      </w:tabs>
    </w:pPr>
    <w:rPr>
      <w:sz w:val="18"/>
      <w:szCs w:val="18"/>
    </w:rPr>
  </w:style>
  <w:style w:type="paragraph" w:styleId="1063" w:customStyle="1">
    <w:name w:val="副标题1"/>
    <w:basedOn w:val="1052"/>
    <w:next w:val="1052"/>
    <w:uiPriority w:val="0"/>
    <w:qFormat/>
    <w:pPr>
      <w:ind w:firstLine="200"/>
      <w:jc w:val="left"/>
      <w:spacing w:line="400" w:lineRule="exact"/>
      <w:outlineLvl w:val="1"/>
    </w:pPr>
    <w:rPr>
      <w:rFonts w:ascii="Cambria" w:hAnsi="Cambria" w:eastAsia="黑体"/>
      <w:b/>
      <w:bCs/>
      <w:sz w:val="32"/>
      <w:szCs w:val="32"/>
    </w:rPr>
  </w:style>
  <w:style w:type="paragraph" w:styleId="1064" w:customStyle="1">
    <w:name w:val="正文文本1"/>
    <w:basedOn w:val="1052"/>
    <w:next w:val="891"/>
    <w:uiPriority w:val="0"/>
    <w:qFormat/>
    <w:pPr>
      <w:spacing w:after="120"/>
    </w:pPr>
    <w:rPr>
      <w:sz w:val="15"/>
    </w:rPr>
  </w:style>
  <w:style w:type="paragraph" w:styleId="1065" w:customStyle="1">
    <w:name w:val="一级条标题"/>
    <w:basedOn w:val="1066"/>
    <w:next w:val="1058"/>
    <w:uiPriority w:val="0"/>
    <w:qFormat/>
    <w:pPr>
      <w:tabs>
        <w:tab w:val="left" w:pos="1200" w:leader="none"/>
      </w:tabs>
      <w:outlineLvl w:val="2"/>
    </w:pPr>
  </w:style>
  <w:style w:type="paragraph" w:styleId="1066" w:customStyle="1">
    <w:name w:val="章标题"/>
    <w:next w:val="89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67" w:customStyle="1">
    <w:name w:val="索引 11"/>
    <w:basedOn w:val="891"/>
    <w:next w:val="891"/>
    <w:uiPriority w:val="0"/>
    <w:qFormat/>
    <w:rPr>
      <w:rFonts w:ascii="Verdana" w:hAnsi="Verdana"/>
      <w:szCs w:val="18"/>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40</cp:revision>
  <dcterms:created xsi:type="dcterms:W3CDTF">2021-03-25T00:40:00Z</dcterms:created>
  <dcterms:modified xsi:type="dcterms:W3CDTF">2026-07-24T07:51:55Z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170FD2157F69444583A6CEA46705D526_13</vt:lpwstr>
  </property>
  <property fmtid="{D5CDD505-2E9C-101B-9397-08002B2CF9AE}" pid="4" name="KSOTemplateDocerSaveRecord">
    <vt:lpwstr>eyJoZGlkIjoiMzEwNTM5NzYwMDRjMzkwZTVkZjY2ODkwMGIxNGU0OTUiLCJ1c2VySWQiOiIyMTE4MDEwMTAifQ==</vt:lpwstr>
  </property>
</Properties>
</file>